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7085F" w14:textId="77777777" w:rsidR="005207FB" w:rsidRDefault="005207FB">
      <w:pPr>
        <w:jc w:val="center"/>
        <w:rPr>
          <w:b/>
          <w:sz w:val="28"/>
          <w:szCs w:val="28"/>
        </w:rPr>
      </w:pPr>
    </w:p>
    <w:p w14:paraId="0FE91FEC" w14:textId="77777777" w:rsidR="005207FB" w:rsidRDefault="005207FB">
      <w:pPr>
        <w:jc w:val="center"/>
        <w:rPr>
          <w:b/>
          <w:sz w:val="28"/>
          <w:szCs w:val="28"/>
        </w:rPr>
      </w:pPr>
    </w:p>
    <w:p w14:paraId="7D7A5A80" w14:textId="77777777" w:rsidR="005207FB" w:rsidRDefault="005207FB">
      <w:pPr>
        <w:jc w:val="center"/>
        <w:rPr>
          <w:b/>
          <w:sz w:val="28"/>
          <w:szCs w:val="28"/>
        </w:rPr>
      </w:pPr>
    </w:p>
    <w:p w14:paraId="59EEE26D" w14:textId="77777777" w:rsidR="005207FB" w:rsidRDefault="005207FB">
      <w:pPr>
        <w:jc w:val="center"/>
        <w:rPr>
          <w:b/>
          <w:sz w:val="28"/>
          <w:szCs w:val="28"/>
        </w:rPr>
      </w:pPr>
    </w:p>
    <w:p w14:paraId="3C71483D" w14:textId="77777777" w:rsidR="005207FB" w:rsidRDefault="005207FB">
      <w:pPr>
        <w:jc w:val="center"/>
        <w:rPr>
          <w:b/>
          <w:sz w:val="28"/>
          <w:szCs w:val="28"/>
        </w:rPr>
      </w:pPr>
    </w:p>
    <w:p w14:paraId="60ED216D" w14:textId="77777777" w:rsidR="005207FB" w:rsidRDefault="005207FB">
      <w:pPr>
        <w:jc w:val="center"/>
        <w:rPr>
          <w:b/>
          <w:sz w:val="28"/>
          <w:szCs w:val="28"/>
        </w:rPr>
      </w:pPr>
    </w:p>
    <w:p w14:paraId="00000001" w14:textId="77777777" w:rsidR="00453B80" w:rsidRDefault="00000000">
      <w:pPr>
        <w:jc w:val="center"/>
        <w:rPr>
          <w:b/>
          <w:sz w:val="28"/>
          <w:szCs w:val="28"/>
        </w:rPr>
      </w:pPr>
      <w:r>
        <w:rPr>
          <w:b/>
          <w:sz w:val="28"/>
          <w:szCs w:val="28"/>
        </w:rPr>
        <w:t>Module Title: Principles of Professional Legal Practice</w:t>
      </w:r>
    </w:p>
    <w:p w14:paraId="00000002" w14:textId="5CD4D955" w:rsidR="00453B80" w:rsidRDefault="00000000">
      <w:pPr>
        <w:jc w:val="center"/>
        <w:rPr>
          <w:b/>
        </w:rPr>
      </w:pPr>
      <w:r>
        <w:rPr>
          <w:b/>
        </w:rPr>
        <w:t>Assignment Title: Equality and Diversity</w:t>
      </w:r>
      <w:r w:rsidR="00F36B80">
        <w:rPr>
          <w:b/>
        </w:rPr>
        <w:t xml:space="preserve"> (Assignment 2)</w:t>
      </w:r>
    </w:p>
    <w:p w14:paraId="00000003" w14:textId="4DAAF8D2" w:rsidR="00453B80" w:rsidRDefault="00000000">
      <w:pPr>
        <w:jc w:val="center"/>
      </w:pPr>
      <w:r>
        <w:t>Student Name:</w:t>
      </w:r>
      <w:r w:rsidR="00F30E6C">
        <w:t xml:space="preserve"> Sabrina Ioana Acsinte</w:t>
      </w:r>
    </w:p>
    <w:p w14:paraId="00000004" w14:textId="0DEAE4DC" w:rsidR="00453B80" w:rsidRDefault="00000000">
      <w:pPr>
        <w:jc w:val="center"/>
      </w:pPr>
      <w:r>
        <w:t>Student ID:</w:t>
      </w:r>
      <w:r w:rsidR="00F30E6C">
        <w:t xml:space="preserve"> 2233446</w:t>
      </w:r>
    </w:p>
    <w:p w14:paraId="00000005" w14:textId="77777777" w:rsidR="00453B80" w:rsidRDefault="00000000">
      <w:pPr>
        <w:jc w:val="center"/>
        <w:rPr>
          <w:b/>
        </w:rPr>
      </w:pPr>
      <w:r>
        <w:br w:type="page"/>
      </w:r>
    </w:p>
    <w:p w14:paraId="00000006" w14:textId="77777777" w:rsidR="00453B80" w:rsidRDefault="00000000">
      <w:pPr>
        <w:rPr>
          <w:b/>
        </w:rPr>
      </w:pPr>
      <w:r>
        <w:rPr>
          <w:b/>
        </w:rPr>
        <w:lastRenderedPageBreak/>
        <w:t xml:space="preserve">Introduction </w:t>
      </w:r>
    </w:p>
    <w:p w14:paraId="00000007" w14:textId="562CB405" w:rsidR="00453B80" w:rsidRDefault="00000000">
      <w:r>
        <w:t xml:space="preserve">Equality and diversity ensure a free circulation of ideas and equal treatment within the legal profession. Diversity creates an opportunity to get more clients from varied sections of society </w:t>
      </w:r>
      <w:r w:rsidR="00A3425D">
        <w:t>that</w:t>
      </w:r>
      <w:r>
        <w:t xml:space="preserve"> gain the trust of the </w:t>
      </w:r>
      <w:r w:rsidR="00A3425D">
        <w:t>business community</w:t>
      </w:r>
      <w:r>
        <w:t xml:space="preserve"> through an inclusive approach and equality. Therefore the importance of </w:t>
      </w:r>
      <w:r w:rsidR="005207FB">
        <w:t>diversity, equality</w:t>
      </w:r>
      <w:r>
        <w:t xml:space="preserve"> and inclusive approach need to be acknowledged for an effective work environment developing within the legal profession. Therefore, th</w:t>
      </w:r>
      <w:r w:rsidR="004F7985">
        <w:t>is</w:t>
      </w:r>
      <w:r>
        <w:t xml:space="preserve"> essay will be conducted with the aim of understanding the key principles of professional practice. The importance of equality and diversity within the legal profession will be highlighted through effective discussion</w:t>
      </w:r>
      <w:r w:rsidR="00F63010">
        <w:t xml:space="preserve"> too</w:t>
      </w:r>
      <w:r>
        <w:t xml:space="preserve">. </w:t>
      </w:r>
      <w:r w:rsidR="00F63010">
        <w:t>Moreover, t</w:t>
      </w:r>
      <w:r>
        <w:t xml:space="preserve">he key ethical requirements within SRA Principles of Regulation and the important Code of Conduct will be discussed in detail to get detailed insight into the topic.   </w:t>
      </w:r>
    </w:p>
    <w:p w14:paraId="70C9372F" w14:textId="77777777" w:rsidR="005207FB" w:rsidRDefault="00000000">
      <w:pPr>
        <w:rPr>
          <w:b/>
        </w:rPr>
      </w:pPr>
      <w:r>
        <w:rPr>
          <w:b/>
        </w:rPr>
        <w:br w:type="page"/>
      </w:r>
    </w:p>
    <w:p w14:paraId="00000008" w14:textId="61861B11" w:rsidR="00453B80" w:rsidRDefault="00000000">
      <w:pPr>
        <w:rPr>
          <w:b/>
        </w:rPr>
      </w:pPr>
      <w:r>
        <w:rPr>
          <w:b/>
        </w:rPr>
        <w:lastRenderedPageBreak/>
        <w:t>Discussion</w:t>
      </w:r>
    </w:p>
    <w:p w14:paraId="0000000A" w14:textId="1467B100" w:rsidR="00453B80" w:rsidRDefault="00000000">
      <w:r>
        <w:t>Professional practice includes several norms and ethical practices that ensure a healthy environment and interrelationship within the professional sector. There are a few necessary principles that need to be followed including respect for the law, honesty and transparency respect for interrelationships and many more. Legislations provide detailed criteria and guidelines for the professional sector to perform their action effectively making their action legal and responsible in the eye of the law. The professional activity of the organisation is designed based on the legislation and sets the organisation's policy and regulations that guide the employees effectively. Paying proper respect and following the policy and regulations ensures ethical performance and avoids any legal hazards within the professional sector. Honesty and transparency help to create a judicious practice within the professional sector and thereby promote acts of honesty within the organisation</w:t>
      </w:r>
      <w:r w:rsidR="005207FB">
        <w:t xml:space="preserve"> </w:t>
      </w:r>
      <w:sdt>
        <w:sdtPr>
          <w:id w:val="-1461487661"/>
          <w:citation/>
        </w:sdtPr>
        <w:sdtContent>
          <w:r w:rsidR="005207FB">
            <w:fldChar w:fldCharType="begin"/>
          </w:r>
          <w:r w:rsidR="005207FB">
            <w:rPr>
              <w:lang w:val="en-GB"/>
            </w:rPr>
            <w:instrText xml:space="preserve"> CITATION rec23 \l 2057 </w:instrText>
          </w:r>
          <w:r w:rsidR="005207FB">
            <w:fldChar w:fldCharType="separate"/>
          </w:r>
          <w:r w:rsidR="005207FB" w:rsidRPr="005207FB">
            <w:rPr>
              <w:noProof/>
              <w:lang w:val="en-GB"/>
            </w:rPr>
            <w:t>(rec. uk, 2023)</w:t>
          </w:r>
          <w:r w:rsidR="005207FB">
            <w:fldChar w:fldCharType="end"/>
          </w:r>
        </w:sdtContent>
      </w:sdt>
      <w:r>
        <w:t xml:space="preserve">. Handling the clients and employees with an unbiased and honest approach builds trust and thereby strong interrelationships are developed. Mishandling of the data of clients and providing inaccurate statements to project false promises on behalf of the company should be avoided. The hidden things related to charges and other valid actions within the professional functioning must be avoided to create transparency within the organisation. Respect for each other's culture to build a healthy workplace must be ensured by all the professional employees and the management of the organisation. A healthy and competitive environment within the professional sector can be built through fair and lawful practice. Diversity within the workplace needs to be promoted to develop cultural awareness and thereby create a chance to include people from varied sections of society. All the activities within the organisation should ensure the health and safety of both employees and the client to reflect high responsibility towards </w:t>
      </w:r>
      <w:r>
        <w:lastRenderedPageBreak/>
        <w:t xml:space="preserve">society. There are many more principles like maintaining proper privacy of the data and healthy financial transactions and many more within the professional sector that ensure the legal performance of the organisation (Erez, 2019).   </w:t>
      </w:r>
    </w:p>
    <w:p w14:paraId="0000000C" w14:textId="0374F0ED" w:rsidR="00453B80" w:rsidRDefault="00000000">
      <w:r>
        <w:t>The three key factors are very crucial within the workplace to develop the work efficiency and motivation of the employees. Diversity within the workplace means variation of population based on the cross-section of society. Diversity can be segregated into many kinds like gender diversity, age diversity, physical ability and ethnic diversity. The composition of the total number of employees that have a healthy proportion of the population from various sections of the society as above mentioned makes the workplace diverse (Sánchez et al., 2020). Equality mentions a fair practice with all the employees and other staff involved with the organisation that creates an equal opportunity for them to perform and flourish as per organisation norms and regulations. The above-mentioned factors are implemented within the organisation through an effective inclusive approach. Thereby inclusion highlights the experience of the employees within the organisation and the opportunity they can avail to contribute their ability and ideas in the production process of the organisation</w:t>
      </w:r>
      <w:r w:rsidR="005207FB">
        <w:t xml:space="preserve"> </w:t>
      </w:r>
      <w:sdt>
        <w:sdtPr>
          <w:id w:val="670451175"/>
          <w:citation/>
        </w:sdtPr>
        <w:sdtContent>
          <w:r w:rsidR="005207FB">
            <w:fldChar w:fldCharType="begin"/>
          </w:r>
          <w:r w:rsidR="005207FB">
            <w:rPr>
              <w:lang w:val="en-GB"/>
            </w:rPr>
            <w:instrText xml:space="preserve"> CITATION mck22 \l 2057 </w:instrText>
          </w:r>
          <w:r w:rsidR="005207FB">
            <w:fldChar w:fldCharType="separate"/>
          </w:r>
          <w:r w:rsidR="005207FB" w:rsidRPr="005207FB">
            <w:rPr>
              <w:noProof/>
              <w:lang w:val="en-GB"/>
            </w:rPr>
            <w:t>(McKinsey, 2022)</w:t>
          </w:r>
          <w:r w:rsidR="005207FB">
            <w:fldChar w:fldCharType="end"/>
          </w:r>
        </w:sdtContent>
      </w:sdt>
      <w:r>
        <w:t xml:space="preserve">. Inclusion creates a judicious and fair platform for the employees within the organisation to flourish their diverse character and free circulation of new ideas to develop their skills and high-performance ability.  </w:t>
      </w:r>
    </w:p>
    <w:p w14:paraId="0000000E" w14:textId="77777777" w:rsidR="00453B80" w:rsidRDefault="00000000">
      <w:r>
        <w:t xml:space="preserve">The legal profession of the UK is classified into two parts solicitors and barristers. The professional practice of the solicitors and the barristers needs high requirements of equality and diversity within it. The Equality Act 2010 of the UK clearly directs the various actions that need to be performed within the legal profession to maintain equality and diversity (Kele and Cassell, 2023). The rights of people to receive equal opportunity and avoid discrimination are safeguarded through the law. The legal </w:t>
      </w:r>
      <w:r>
        <w:lastRenderedPageBreak/>
        <w:t xml:space="preserve">professional receives a clear framework through the Equality Act 2010 to develop their performance of effectively dealing with the disabled person. This helps to avoid discrimination and harassment both directly and indirectly within the legal profession. The judicial functions must eradicate any practice of discrimination and that can be ensured through proper monitoring and training, and conducting managerial committees to create accountability as per the Equality Act 2010 within the legal profession. </w:t>
      </w:r>
    </w:p>
    <w:p w14:paraId="0000000F" w14:textId="5B26F8F5" w:rsidR="00453B80" w:rsidRDefault="00000000">
      <w:r>
        <w:t xml:space="preserve">Practice of equality and diversity within the legal profession helps to relate the clients from varied backgrounds of </w:t>
      </w:r>
      <w:r w:rsidR="005207FB">
        <w:t>society and</w:t>
      </w:r>
      <w:r>
        <w:t xml:space="preserve"> feel more confident to consult their problems with the legal firm and seek help from them. The legal firm gets a strong client base through a diverse and equal approach and enhances trust and a strong image within the society. New ideas and innovation can be initiated through the practice of diversity and equality within the legal profession. The employers get motivated and feel free to exhibit their innovative ideas that will benefit the legal firm's growth. High employee retention, as well as client retention, can be achieved by the law firm as well as </w:t>
      </w:r>
      <w:r w:rsidR="005207FB">
        <w:t>individual legal</w:t>
      </w:r>
      <w:r>
        <w:t xml:space="preserve"> professionals through equality and diversity. Developing a strong legal team to handle critical cases and perform proper research analysis can be achieved through a diverse approach within the </w:t>
      </w:r>
      <w:r w:rsidR="005207FB">
        <w:t xml:space="preserve">legal profession </w:t>
      </w:r>
      <w:sdt>
        <w:sdtPr>
          <w:id w:val="1673149627"/>
          <w:citation/>
        </w:sdtPr>
        <w:sdtContent>
          <w:r w:rsidR="005207FB">
            <w:fldChar w:fldCharType="begin"/>
          </w:r>
          <w:r w:rsidR="005207FB">
            <w:rPr>
              <w:lang w:val="en-GB"/>
            </w:rPr>
            <w:instrText xml:space="preserve"> CITATION Ang231 \l 2057 </w:instrText>
          </w:r>
          <w:r w:rsidR="005207FB">
            <w:fldChar w:fldCharType="separate"/>
          </w:r>
          <w:r w:rsidR="005207FB" w:rsidRPr="005207FB">
            <w:rPr>
              <w:noProof/>
              <w:lang w:val="en-GB"/>
            </w:rPr>
            <w:t>(Cesario, 2023)</w:t>
          </w:r>
          <w:r w:rsidR="005207FB">
            <w:fldChar w:fldCharType="end"/>
          </w:r>
        </w:sdtContent>
      </w:sdt>
      <w:r>
        <w:t xml:space="preserve">. An effective diverse and equality approach within the legal firm can be developed through effective leadership. Constant training and providing effective education to grow the </w:t>
      </w:r>
      <w:r w:rsidR="005207FB">
        <w:t>employee’s</w:t>
      </w:r>
      <w:r>
        <w:t xml:space="preserve"> inclusive approach need to be performed periodically. Reflecting the value of diversity and setting a goal by the leader to develop the legal performance effectively ensures the target that employees need to meet through their efficient performance. Conversation to understand the changes and problems faced by the employees and the clients within the legal profession helps to make necessary developments. </w:t>
      </w:r>
    </w:p>
    <w:p w14:paraId="00000011" w14:textId="1B87D415" w:rsidR="00453B80" w:rsidRDefault="00000000">
      <w:r>
        <w:lastRenderedPageBreak/>
        <w:t>SRA principles provide a detailed code of conduct to the solicitors, lawyers and other legal firms to provide appropriate legal services. Ethical performance and accountability are created through the SRA principles of Regulation that help to monitor the behaviour of legal professionals</w:t>
      </w:r>
      <w:r w:rsidR="005207FB">
        <w:t xml:space="preserve"> </w:t>
      </w:r>
      <w:sdt>
        <w:sdtPr>
          <w:id w:val="1704136701"/>
          <w:citation/>
        </w:sdtPr>
        <w:sdtContent>
          <w:r w:rsidR="005207FB">
            <w:fldChar w:fldCharType="begin"/>
          </w:r>
          <w:r w:rsidR="005207FB">
            <w:rPr>
              <w:lang w:val="en-GB"/>
            </w:rPr>
            <w:instrText xml:space="preserve"> CITATION uks23 \l 2057 </w:instrText>
          </w:r>
          <w:r w:rsidR="005207FB">
            <w:fldChar w:fldCharType="separate"/>
          </w:r>
          <w:r w:rsidR="005207FB" w:rsidRPr="005207FB">
            <w:rPr>
              <w:noProof/>
              <w:lang w:val="en-GB"/>
            </w:rPr>
            <w:t>(UK solicitors, 2023)</w:t>
          </w:r>
          <w:r w:rsidR="005207FB">
            <w:fldChar w:fldCharType="end"/>
          </w:r>
        </w:sdtContent>
      </w:sdt>
      <w:r>
        <w:t xml:space="preserve">. The code of conduct reflects the crucial factors that need to be maintained by the legal professional while providing legal services. The legal professional must maintain trust and act fairly </w:t>
      </w:r>
      <w:r w:rsidR="005207FB">
        <w:t>to</w:t>
      </w:r>
      <w:r>
        <w:t xml:space="preserve"> ensure the proper handling of the legal service. The personal view of the solicitor must not reflect on the legal service and avoid any kind of </w:t>
      </w:r>
      <w:r w:rsidR="005207FB">
        <w:t>biased</w:t>
      </w:r>
      <w:r>
        <w:t xml:space="preserve"> approach. Utilising the power of the position no unfair action should be performed by a legal professional to take undue advantage from the client. The intentionally misleading attempt of the legal practitioner is considered as a crime towards the client and thereby proper guidance with the case needs </w:t>
      </w:r>
      <w:r w:rsidR="005207FB">
        <w:t>to be</w:t>
      </w:r>
      <w:r>
        <w:t xml:space="preserve"> ensured. Legal professionals must not tamper with the evidence and present it in a wrong way before the courts. Persuading the available evidence and presenting false evidence is considered to be an unethical practice within the legal practice according to SRA principles. Court time is very precious and therefore the legal practitioner must present all the relatable evidence and witnesses to ensure proper utilisation of the time. The </w:t>
      </w:r>
      <w:r w:rsidR="005207FB">
        <w:t>legal service provided</w:t>
      </w:r>
      <w:r>
        <w:t xml:space="preserve"> must be conducted according to the instruction of the client or the legal authorisation on behalf of the client. Illegal authority instruction on behalf of the client can hamper the case and client interest can get vulnerable. Proper accountability and transparency must be created within the client and the legal professionals this helps to check the case processing and lead it in the right direction. It is the duty of the legal professional to safeguard the </w:t>
      </w:r>
      <w:r w:rsidR="005207FB">
        <w:t>client’s</w:t>
      </w:r>
      <w:r>
        <w:t xml:space="preserve"> assets and money if they are entrusted by the client to protect </w:t>
      </w:r>
      <w:r w:rsidR="005207FB">
        <w:t>those</w:t>
      </w:r>
      <w:r>
        <w:t xml:space="preserve"> (Clark et al., 2019). The stakeholders involved in legal services like employees, managers and others must be acknowledged with the legal knowledge and necessary requirements </w:t>
      </w:r>
      <w:r>
        <w:lastRenderedPageBreak/>
        <w:t xml:space="preserve">to ensure quality performance. The solicitor must have a proper certification of their service like REL or RFL and annual returns must be paid accordingly as per the guidance of SRA principles and regulations (Blackwell, 2019). Thereby the SRA board of the UK has framed a proper code of conduct that ensures equality and diverse approach within the legal service as well as accountability, transparency, client interest safety and ethical performance through it. The SRA Code of Conduct (2019) has been a strict guideline for legal professionals to lead their functioning in an effective and ethical way.    </w:t>
      </w:r>
    </w:p>
    <w:p w14:paraId="00000012" w14:textId="77777777" w:rsidR="00453B80" w:rsidRDefault="00000000">
      <w:r>
        <w:br w:type="page"/>
      </w:r>
    </w:p>
    <w:p w14:paraId="00000013" w14:textId="77777777" w:rsidR="00453B80" w:rsidRDefault="00000000">
      <w:pPr>
        <w:rPr>
          <w:b/>
        </w:rPr>
      </w:pPr>
      <w:r>
        <w:rPr>
          <w:b/>
        </w:rPr>
        <w:lastRenderedPageBreak/>
        <w:t xml:space="preserve">Conclusion </w:t>
      </w:r>
    </w:p>
    <w:p w14:paraId="00000014" w14:textId="7D339FA4" w:rsidR="00453B80" w:rsidRDefault="00000000">
      <w:r>
        <w:t>Legal professionals provide legal services to their clients who need to be bonded with a proper legal framework. Thereby</w:t>
      </w:r>
      <w:r w:rsidR="00426960">
        <w:t>,</w:t>
      </w:r>
      <w:r>
        <w:t xml:space="preserve"> the</w:t>
      </w:r>
      <w:r w:rsidR="00426960">
        <w:t xml:space="preserve"> above-conducted</w:t>
      </w:r>
      <w:r>
        <w:t xml:space="preserve"> essay has given a detailed insight into the principle of professional practice. Paying respect towards legal regulation and developing strong interrelationships with the employee through proper cultural awareness helps to create a healthy work </w:t>
      </w:r>
      <w:r w:rsidR="005207FB">
        <w:t>environment. The importance</w:t>
      </w:r>
      <w:r>
        <w:t xml:space="preserve"> of equality and diversity within the legal profession has been </w:t>
      </w:r>
      <w:r w:rsidR="005207FB">
        <w:t>highlighted</w:t>
      </w:r>
      <w:r w:rsidR="00426960">
        <w:t xml:space="preserve"> in the essay</w:t>
      </w:r>
      <w:r w:rsidR="005207FB">
        <w:t>. The equality</w:t>
      </w:r>
      <w:r>
        <w:t xml:space="preserve">, diversity and inclusion approach according to the Equality Act 2010 helps the legal firm to develop its functioning and understand the client's needs properly. Clients feel relatable with the positive approach of the legal professional and build strong trust with them.  SRA Code of Conduct (2019) has reflected the code of conduct of the legal profession like maintaining trust and unbiased action of the solicitors towards their client and many more.  </w:t>
      </w:r>
      <w:r>
        <w:br w:type="page"/>
      </w:r>
    </w:p>
    <w:p w14:paraId="00000015" w14:textId="77777777" w:rsidR="00453B80" w:rsidRDefault="00000000">
      <w:pPr>
        <w:rPr>
          <w:b/>
        </w:rPr>
      </w:pPr>
      <w:r>
        <w:rPr>
          <w:b/>
        </w:rPr>
        <w:lastRenderedPageBreak/>
        <w:t xml:space="preserve">References </w:t>
      </w:r>
    </w:p>
    <w:p w14:paraId="5E9D5904" w14:textId="77777777" w:rsidR="00EB0FFB" w:rsidRDefault="00000000">
      <w:r>
        <w:t>Blackwell, M., (2019). Conduct Unbefitting: Solicitors, the SRA and Tax Avoidance.</w:t>
      </w:r>
    </w:p>
    <w:p w14:paraId="556CD0E8" w14:textId="77777777" w:rsidR="00EB0FFB" w:rsidRDefault="00000000" w:rsidP="005207FB">
      <w:pPr>
        <w:pStyle w:val="Bibliography"/>
        <w:rPr>
          <w:noProof/>
        </w:rPr>
      </w:pPr>
      <w:r>
        <w:rPr>
          <w:noProof/>
        </w:rPr>
        <w:t xml:space="preserve">Cesario, A., (2023). </w:t>
      </w:r>
      <w:r>
        <w:rPr>
          <w:i/>
          <w:iCs/>
          <w:noProof/>
        </w:rPr>
        <w:t xml:space="preserve">The Benefits of Diversity in the Legal Profession. </w:t>
      </w:r>
      <w:r>
        <w:rPr>
          <w:noProof/>
        </w:rPr>
        <w:t xml:space="preserve">[Online] Available at: </w:t>
      </w:r>
      <w:r>
        <w:rPr>
          <w:noProof/>
          <w:u w:val="single"/>
        </w:rPr>
        <w:t>https://blog.lawline.com/the-benefits-of-diversity-in-the-legal-profession#:~:text=Diversity%20brings%20more%20clients%20and%20spurs%20economic%20growth.&amp;text=Clients%20from%20different%20backgrounds%20will,growth%20for%20the%20firm%20overall.</w:t>
      </w:r>
      <w:r>
        <w:rPr>
          <w:noProof/>
        </w:rPr>
        <w:t>[Accessed 2 8 2023].</w:t>
      </w:r>
    </w:p>
    <w:p w14:paraId="4A97480C" w14:textId="77777777" w:rsidR="00EB0FFB" w:rsidRDefault="00000000">
      <w:r>
        <w:t xml:space="preserve">Clark, T., Moorhead, R., Vaughan, S. and Brener, A., (2019). A Response to the Financial Conduct Authority’s Consultation Paper CP19/4. Available at SSRN 3368896. </w:t>
      </w:r>
    </w:p>
    <w:p w14:paraId="28B3C030" w14:textId="77777777" w:rsidR="00EB0FFB" w:rsidRDefault="00000000">
      <w:r>
        <w:t>Erez, E., (2019). Integrating a victim perspective in criminal justice through victim impact statements. In Integrating a victim perspective within criminal justice (pp. 165-184). Routledge.</w:t>
      </w:r>
    </w:p>
    <w:p w14:paraId="12E0C463" w14:textId="77777777" w:rsidR="00EB0FFB" w:rsidRDefault="00000000">
      <w:r>
        <w:t>Kele, J.E. and Cassell, C.M., (2023). The face of the firm: the impact of employer branding on diversity. British Journal of Management, 34(2), pp.692-708.</w:t>
      </w:r>
    </w:p>
    <w:p w14:paraId="53DAC05D" w14:textId="77777777" w:rsidR="00EB0FFB" w:rsidRDefault="00000000" w:rsidP="005207FB">
      <w:pPr>
        <w:pStyle w:val="Bibliography"/>
        <w:rPr>
          <w:noProof/>
        </w:rPr>
      </w:pPr>
      <w:r>
        <w:rPr>
          <w:noProof/>
        </w:rPr>
        <w:t xml:space="preserve">McKinsey, (2022). </w:t>
      </w:r>
      <w:r>
        <w:rPr>
          <w:i/>
          <w:iCs/>
          <w:noProof/>
        </w:rPr>
        <w:t xml:space="preserve">What are diversity, equity, and inclusion? </w:t>
      </w:r>
      <w:r>
        <w:rPr>
          <w:noProof/>
        </w:rPr>
        <w:t xml:space="preserve">[Online] Available at: </w:t>
      </w:r>
      <w:r>
        <w:rPr>
          <w:noProof/>
          <w:u w:val="single"/>
        </w:rPr>
        <w:t>https://www.mckinsey.com/featured-insights/mckinsey-explainers/what-is-diversity-equity-and-inclusion</w:t>
      </w:r>
      <w:r>
        <w:rPr>
          <w:noProof/>
        </w:rPr>
        <w:t>[Accessed 2 8 2023].</w:t>
      </w:r>
    </w:p>
    <w:p w14:paraId="0A1284AF" w14:textId="77777777" w:rsidR="00EB0FFB" w:rsidRDefault="00000000" w:rsidP="005207FB">
      <w:pPr>
        <w:pStyle w:val="Bibliography"/>
        <w:rPr>
          <w:noProof/>
        </w:rPr>
      </w:pPr>
      <w:r>
        <w:rPr>
          <w:noProof/>
        </w:rPr>
        <w:t xml:space="preserve">rec. uk, (2023). </w:t>
      </w:r>
      <w:r>
        <w:rPr>
          <w:i/>
          <w:iCs/>
          <w:noProof/>
        </w:rPr>
        <w:t xml:space="preserve">Code of Professional Practice. </w:t>
      </w:r>
      <w:r>
        <w:rPr>
          <w:noProof/>
        </w:rPr>
        <w:t xml:space="preserve">[Online] Available at: </w:t>
      </w:r>
      <w:r>
        <w:rPr>
          <w:noProof/>
          <w:u w:val="single"/>
        </w:rPr>
        <w:t>https://www.rec.uk.com/recruiters/compliance/code-professional-practice</w:t>
      </w:r>
      <w:r>
        <w:rPr>
          <w:noProof/>
        </w:rPr>
        <w:t>[Accessed 2 8 2023].</w:t>
      </w:r>
    </w:p>
    <w:p w14:paraId="0378D956" w14:textId="77777777" w:rsidR="00EB0FFB" w:rsidRDefault="00000000">
      <w:r>
        <w:t xml:space="preserve">Sánchez-Monedero, J., Dencik, L. and Edwards, L., (2020), January. What does it mean to solve the problem of discrimination in hiring? Social, technical and legal perspectives from the UK on automated hiring systems. In Proceedings of the 2020 Conference on fairness, accountability, and transparency (pp. 458-468). </w:t>
      </w:r>
    </w:p>
    <w:p w14:paraId="4E366EB7" w14:textId="77777777" w:rsidR="00EB0FFB" w:rsidRDefault="00000000" w:rsidP="005207FB">
      <w:pPr>
        <w:pStyle w:val="Bibliography"/>
        <w:rPr>
          <w:noProof/>
        </w:rPr>
      </w:pPr>
      <w:r>
        <w:rPr>
          <w:noProof/>
        </w:rPr>
        <w:lastRenderedPageBreak/>
        <w:t xml:space="preserve">UK solicitors, (2023). </w:t>
      </w:r>
      <w:r>
        <w:rPr>
          <w:i/>
          <w:iCs/>
          <w:noProof/>
        </w:rPr>
        <w:t xml:space="preserve">SRA Code of Conduct for Solicitors. </w:t>
      </w:r>
      <w:r>
        <w:rPr>
          <w:noProof/>
        </w:rPr>
        <w:t xml:space="preserve">[Online] Available at: </w:t>
      </w:r>
      <w:r>
        <w:rPr>
          <w:noProof/>
          <w:u w:val="single"/>
        </w:rPr>
        <w:t>https://uksolicitors.org/2021/solicitors/sra-code-of-conduct-for-solicitors/#:~:text=The%20Code%20of%20Conduct%20describes,us%20to%20provide%20legal%20services.</w:t>
      </w:r>
      <w:r>
        <w:rPr>
          <w:noProof/>
        </w:rPr>
        <w:t>[Accessed 2 8 2023].</w:t>
      </w:r>
    </w:p>
    <w:p w14:paraId="0000001B" w14:textId="77777777" w:rsidR="00453B80" w:rsidRDefault="00453B80"/>
    <w:sectPr w:rsidR="00453B80" w:rsidSect="005207FB">
      <w:headerReference w:type="default" r:id="rId7"/>
      <w:footerReference w:type="default" r:id="rId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89638" w14:textId="77777777" w:rsidR="00C510AE" w:rsidRDefault="00C510AE">
      <w:pPr>
        <w:spacing w:line="240" w:lineRule="auto"/>
      </w:pPr>
      <w:r>
        <w:separator/>
      </w:r>
    </w:p>
  </w:endnote>
  <w:endnote w:type="continuationSeparator" w:id="0">
    <w:p w14:paraId="57583852" w14:textId="77777777" w:rsidR="00C510AE" w:rsidRDefault="00C510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774499"/>
      <w:docPartObj>
        <w:docPartGallery w:val="Page Numbers (Bottom of Page)"/>
        <w:docPartUnique/>
      </w:docPartObj>
    </w:sdtPr>
    <w:sdtContent>
      <w:sdt>
        <w:sdtPr>
          <w:id w:val="-1769616900"/>
          <w:docPartObj>
            <w:docPartGallery w:val="Page Numbers (Top of Page)"/>
            <w:docPartUnique/>
          </w:docPartObj>
        </w:sdtPr>
        <w:sdtContent>
          <w:p w14:paraId="217449E8" w14:textId="1DD3FE2D" w:rsidR="005207FB" w:rsidRDefault="00000000">
            <w:pPr>
              <w:pStyle w:val="Footer"/>
              <w:jc w:val="right"/>
            </w:pPr>
            <w:r>
              <w:t xml:space="preserve">Page </w:t>
            </w:r>
            <w:r>
              <w:rPr>
                <w:b/>
                <w:bCs/>
              </w:rPr>
              <w:fldChar w:fldCharType="begin"/>
            </w:r>
            <w:r>
              <w:rPr>
                <w:b/>
                <w:bCs/>
              </w:rPr>
              <w:instrText xml:space="preserve"> PAGE </w:instrText>
            </w:r>
            <w:r>
              <w:rPr>
                <w:b/>
                <w:bCs/>
              </w:rPr>
              <w:fldChar w:fldCharType="separate"/>
            </w:r>
            <w:r w:rsidR="00C0387A">
              <w:rPr>
                <w:b/>
                <w:bCs/>
                <w:noProof/>
              </w:rPr>
              <w:t>10</w:t>
            </w:r>
            <w:r>
              <w:rPr>
                <w:b/>
                <w:bCs/>
              </w:rPr>
              <w:fldChar w:fldCharType="end"/>
            </w:r>
            <w:r>
              <w:t xml:space="preserve"> of </w:t>
            </w:r>
            <w:r>
              <w:rPr>
                <w:b/>
                <w:bCs/>
              </w:rPr>
              <w:fldChar w:fldCharType="begin"/>
            </w:r>
            <w:r>
              <w:rPr>
                <w:b/>
                <w:bCs/>
              </w:rPr>
              <w:instrText xml:space="preserve"> NUMPAGES  </w:instrText>
            </w:r>
            <w:r>
              <w:rPr>
                <w:b/>
                <w:bCs/>
              </w:rPr>
              <w:fldChar w:fldCharType="separate"/>
            </w:r>
            <w:r w:rsidR="00C0387A">
              <w:rPr>
                <w:b/>
                <w:bCs/>
                <w:noProof/>
              </w:rPr>
              <w:t>10</w:t>
            </w:r>
            <w:r>
              <w:rPr>
                <w:b/>
                <w:bCs/>
              </w:rPr>
              <w:fldChar w:fldCharType="end"/>
            </w:r>
          </w:p>
        </w:sdtContent>
      </w:sdt>
    </w:sdtContent>
  </w:sdt>
  <w:p w14:paraId="626B6A51" w14:textId="77777777" w:rsidR="005207FB" w:rsidRDefault="00520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1AA0D" w14:textId="77777777" w:rsidR="00C510AE" w:rsidRDefault="00C510AE">
      <w:pPr>
        <w:spacing w:line="240" w:lineRule="auto"/>
      </w:pPr>
      <w:r>
        <w:separator/>
      </w:r>
    </w:p>
  </w:footnote>
  <w:footnote w:type="continuationSeparator" w:id="0">
    <w:p w14:paraId="6B156DE7" w14:textId="77777777" w:rsidR="00C510AE" w:rsidRDefault="00C510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E558D" w14:textId="541F12D3" w:rsidR="005207FB" w:rsidRPr="005207FB" w:rsidRDefault="00000000" w:rsidP="005207FB">
    <w:pPr>
      <w:pStyle w:val="Header"/>
      <w:jc w:val="right"/>
    </w:pPr>
    <w:r w:rsidRPr="005207FB">
      <w:t>Principles of Professional Legal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B80"/>
    <w:rsid w:val="000452BD"/>
    <w:rsid w:val="00426960"/>
    <w:rsid w:val="00453B80"/>
    <w:rsid w:val="004F7985"/>
    <w:rsid w:val="005207FB"/>
    <w:rsid w:val="00807021"/>
    <w:rsid w:val="00A3425D"/>
    <w:rsid w:val="00B318F9"/>
    <w:rsid w:val="00C0387A"/>
    <w:rsid w:val="00C510AE"/>
    <w:rsid w:val="00E87944"/>
    <w:rsid w:val="00EB0FFB"/>
    <w:rsid w:val="00F30E6C"/>
    <w:rsid w:val="00F36B80"/>
    <w:rsid w:val="00F63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51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207FB"/>
    <w:pPr>
      <w:tabs>
        <w:tab w:val="center" w:pos="4680"/>
        <w:tab w:val="right" w:pos="9360"/>
      </w:tabs>
      <w:spacing w:line="240" w:lineRule="auto"/>
    </w:pPr>
  </w:style>
  <w:style w:type="character" w:customStyle="1" w:styleId="HeaderChar">
    <w:name w:val="Header Char"/>
    <w:basedOn w:val="DefaultParagraphFont"/>
    <w:link w:val="Header"/>
    <w:uiPriority w:val="99"/>
    <w:rsid w:val="005207FB"/>
  </w:style>
  <w:style w:type="paragraph" w:styleId="Footer">
    <w:name w:val="footer"/>
    <w:basedOn w:val="Normal"/>
    <w:link w:val="FooterChar"/>
    <w:uiPriority w:val="99"/>
    <w:unhideWhenUsed/>
    <w:rsid w:val="005207FB"/>
    <w:pPr>
      <w:tabs>
        <w:tab w:val="center" w:pos="4680"/>
        <w:tab w:val="right" w:pos="9360"/>
      </w:tabs>
      <w:spacing w:line="240" w:lineRule="auto"/>
    </w:pPr>
  </w:style>
  <w:style w:type="character" w:customStyle="1" w:styleId="FooterChar">
    <w:name w:val="Footer Char"/>
    <w:basedOn w:val="DefaultParagraphFont"/>
    <w:link w:val="Footer"/>
    <w:uiPriority w:val="99"/>
    <w:rsid w:val="005207FB"/>
  </w:style>
  <w:style w:type="character" w:customStyle="1" w:styleId="Heading1Char">
    <w:name w:val="Heading 1 Char"/>
    <w:basedOn w:val="DefaultParagraphFont"/>
    <w:link w:val="Heading1"/>
    <w:uiPriority w:val="9"/>
    <w:rsid w:val="005207FB"/>
    <w:rPr>
      <w:sz w:val="40"/>
      <w:szCs w:val="40"/>
    </w:rPr>
  </w:style>
  <w:style w:type="paragraph" w:styleId="Bibliography">
    <w:name w:val="Bibliography"/>
    <w:basedOn w:val="Normal"/>
    <w:next w:val="Normal"/>
    <w:uiPriority w:val="37"/>
    <w:unhideWhenUsed/>
    <w:rsid w:val="005207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rec23</b:Tag>
    <b:SourceType>InternetSite</b:SourceType>
    <b:Guid>{BA475912-5D19-4149-9C9A-D58519AA941D}</b:Guid>
    <b:Author>
      <b:Author>
        <b:Corporate>rec.uk</b:Corporate>
      </b:Author>
    </b:Author>
    <b:Title>Code of Professional Practice</b:Title>
    <b:Year>2023</b:Year>
    <b:YearAccessed>2023</b:YearAccessed>
    <b:MonthAccessed>8</b:MonthAccessed>
    <b:DayAccessed>2</b:DayAccessed>
    <b:URL>https://www.rec.uk.com/recruiters/compliance/code-professional-practice</b:URL>
    <b:RefOrder>1</b:RefOrder>
  </b:Source>
  <b:Source>
    <b:Tag>mck22</b:Tag>
    <b:SourceType>InternetSite</b:SourceType>
    <b:Guid>{9DE1DDE0-F815-43BC-A2A3-2D1CA95374FF}</b:Guid>
    <b:Author>
      <b:Author>
        <b:Corporate>mckinsey</b:Corporate>
      </b:Author>
    </b:Author>
    <b:Title>What is diversity, equity, and inclusion?</b:Title>
    <b:Year>2022</b:Year>
    <b:YearAccessed>2023</b:YearAccessed>
    <b:MonthAccessed>8</b:MonthAccessed>
    <b:DayAccessed>2</b:DayAccessed>
    <b:URL>https://www.mckinsey.com/featured-insights/mckinsey-explainers/what-is-diversity-equity-and-inclusion</b:URL>
    <b:RefOrder>2</b:RefOrder>
  </b:Source>
  <b:Source>
    <b:Tag>Ang231</b:Tag>
    <b:SourceType>InternetSite</b:SourceType>
    <b:Guid>{F2481D28-AD07-42D7-9F20-35C9CAD07B0A}</b:Guid>
    <b:Author>
      <b:Author>
        <b:NameList>
          <b:Person>
            <b:Last>Cesario</b:Last>
            <b:First>Angelica</b:First>
          </b:Person>
        </b:NameList>
      </b:Author>
    </b:Author>
    <b:Title>The Benefits of Diversity in the Legal Profession</b:Title>
    <b:Year>2023</b:Year>
    <b:YearAccessed>2023</b:YearAccessed>
    <b:MonthAccessed>8</b:MonthAccessed>
    <b:DayAccessed>2</b:DayAccessed>
    <b:URL>https://blog.lawline.com/the-benefits-of-diversity-in-the-legal-profession#:~:text=Diversity%20brings%20more%20clients%20and%20spurs%20economic%20growth.&amp;text=Clients%20from%20different%20backgrounds%20will,growth%20for%20the%20firm%20overall.</b:URL>
    <b:RefOrder>3</b:RefOrder>
  </b:Source>
  <b:Source>
    <b:Tag>uks23</b:Tag>
    <b:SourceType>InternetSite</b:SourceType>
    <b:Guid>{10397C74-CC66-43A5-8147-0424178ECC64}</b:Guid>
    <b:Author>
      <b:Author>
        <b:Corporate>uksolicitors</b:Corporate>
      </b:Author>
    </b:Author>
    <b:Title>SRA Code of Conduct for Solicitors</b:Title>
    <b:Year>2023</b:Year>
    <b:YearAccessed>2023</b:YearAccessed>
    <b:MonthAccessed>8</b:MonthAccessed>
    <b:DayAccessed>2</b:DayAccessed>
    <b:URL>https://uksolicitors.org/2021/solicitors/sra-code-of-conduct-for-solicitors/#:~:text=The%20Code%20of%20Conduct%20describes,us%20to%20provide%20legal%20services.</b:URL>
    <b:RefOrder>4</b:RefOrder>
  </b:Source>
</b:Sources>
</file>

<file path=customXml/itemProps1.xml><?xml version="1.0" encoding="utf-8"?>
<ds:datastoreItem xmlns:ds="http://schemas.openxmlformats.org/officeDocument/2006/customXml" ds:itemID="{557CF5FE-33AF-4E22-B535-1BD9E80A8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1934</Words>
  <Characters>11024</Characters>
  <Application>Microsoft Office Word</Application>
  <DocSecurity>0</DocSecurity>
  <Lines>91</Lines>
  <Paragraphs>25</Paragraphs>
  <ScaleCrop>false</ScaleCrop>
  <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2023-08-08T08:51:00Z</dcterms:created>
  <dcterms:modified xsi:type="dcterms:W3CDTF">2023-08-13T10:26:00Z</dcterms:modified>
</cp:coreProperties>
</file>