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B0238" w14:textId="77777777" w:rsidR="00E20867" w:rsidRPr="00D40426" w:rsidRDefault="00E20867">
      <w:pPr>
        <w:rPr>
          <w:rFonts w:ascii="Times New Roman" w:hAnsi="Times New Roman" w:cs="Times New Roman"/>
          <w:sz w:val="24"/>
          <w:szCs w:val="24"/>
          <w:lang w:val="en-IN"/>
        </w:rPr>
      </w:pPr>
    </w:p>
    <w:p w14:paraId="4DD79DAB" w14:textId="77777777" w:rsidR="00E20867" w:rsidRPr="00D40426" w:rsidRDefault="00E20867">
      <w:pPr>
        <w:rPr>
          <w:rFonts w:ascii="Times New Roman" w:hAnsi="Times New Roman" w:cs="Times New Roman"/>
          <w:sz w:val="24"/>
          <w:szCs w:val="24"/>
          <w:lang w:val="en-IN"/>
        </w:rPr>
      </w:pPr>
    </w:p>
    <w:p w14:paraId="385F5E17" w14:textId="77777777" w:rsidR="00D40426" w:rsidRPr="00D40426" w:rsidRDefault="00D40426" w:rsidP="00D40426">
      <w:pPr>
        <w:rPr>
          <w:rFonts w:ascii="Times New Roman" w:hAnsi="Times New Roman" w:cs="Times New Roman"/>
          <w:b/>
          <w:bCs/>
          <w:sz w:val="24"/>
          <w:szCs w:val="24"/>
        </w:rPr>
      </w:pPr>
    </w:p>
    <w:p w14:paraId="3DA9786A" w14:textId="77777777" w:rsidR="00D40426" w:rsidRPr="00D40426" w:rsidRDefault="00D40426" w:rsidP="00D40426">
      <w:pPr>
        <w:rPr>
          <w:rFonts w:ascii="Times New Roman" w:hAnsi="Times New Roman" w:cs="Times New Roman"/>
          <w:b/>
          <w:bCs/>
          <w:sz w:val="24"/>
          <w:szCs w:val="24"/>
        </w:rPr>
      </w:pPr>
    </w:p>
    <w:p w14:paraId="62E24B43" w14:textId="279DAB14" w:rsidR="00CE00D9" w:rsidRDefault="00D40426" w:rsidP="00CE00D9">
      <w:pPr>
        <w:pStyle w:val="NoSpacing"/>
        <w:spacing w:before="1540" w:after="240"/>
        <w:jc w:val="center"/>
        <w:rPr>
          <w:color w:val="4472C4" w:themeColor="accent1"/>
        </w:rPr>
      </w:pPr>
      <w:r w:rsidRPr="00D40426">
        <w:rPr>
          <w:rFonts w:ascii="Times New Roman" w:hAnsi="Times New Roman" w:cs="Times New Roman"/>
          <w:b/>
          <w:bCs/>
          <w:sz w:val="24"/>
          <w:szCs w:val="24"/>
          <w:lang w:val="en-GB"/>
        </w:rPr>
        <w:t>I</w:t>
      </w:r>
      <w:r w:rsidR="00CE00D9">
        <w:rPr>
          <w:noProof/>
          <w:color w:val="4472C4" w:themeColor="accent1"/>
          <w:lang w:val="en-GB" w:eastAsia="en-GB"/>
        </w:rPr>
        <w:drawing>
          <wp:inline distT="0" distB="0" distL="0" distR="0" wp14:anchorId="79D51174" wp14:editId="171F521C">
            <wp:extent cx="1417320" cy="754380"/>
            <wp:effectExtent l="0" t="0" r="0" b="762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4380"/>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36"/>
          <w:szCs w:val="36"/>
        </w:rPr>
        <w:alias w:val="Title"/>
        <w:id w:val="1735040861"/>
        <w:placeholder>
          <w:docPart w:val="716DDE929BCE4B8490C39733CAC1A14D"/>
        </w:placeholder>
        <w:dataBinding w:prefixMappings="xmlns:ns0='http://purl.org/dc/elements/1.1/' xmlns:ns1='http://schemas.openxmlformats.org/package/2006/metadata/core-properties' " w:xpath="/ns1:coreProperties[1]/ns0:title[1]" w:storeItemID="{6C3C8BC8-F283-45AE-878A-BAB7291924A1}"/>
        <w:text/>
      </w:sdtPr>
      <w:sdtContent>
        <w:p w14:paraId="03176413" w14:textId="26C0BFE5" w:rsidR="00CE00D9" w:rsidRPr="00C910A6" w:rsidRDefault="00CE00D9" w:rsidP="00CE00D9">
          <w:pPr>
            <w:pStyle w:val="NoSpacing"/>
            <w:pBdr>
              <w:top w:val="single" w:sz="6" w:space="6" w:color="4472C4" w:themeColor="accent1"/>
              <w:bottom w:val="single" w:sz="6" w:space="6" w:color="4472C4" w:themeColor="accent1"/>
            </w:pBdr>
            <w:spacing w:after="240"/>
            <w:jc w:val="both"/>
            <w:rPr>
              <w:rFonts w:ascii="Times New Roman" w:eastAsiaTheme="majorEastAsia" w:hAnsi="Times New Roman" w:cs="Times New Roman"/>
              <w:caps/>
              <w:color w:val="4472C4" w:themeColor="accent1"/>
              <w:sz w:val="36"/>
              <w:szCs w:val="36"/>
            </w:rPr>
          </w:pPr>
          <w:r w:rsidRPr="00C910A6">
            <w:rPr>
              <w:rFonts w:ascii="Times New Roman" w:eastAsiaTheme="majorEastAsia" w:hAnsi="Times New Roman" w:cs="Times New Roman"/>
              <w:caps/>
              <w:color w:val="4472C4" w:themeColor="accent1"/>
              <w:sz w:val="36"/>
              <w:szCs w:val="36"/>
            </w:rPr>
            <w:t>A PROJECT RESEARCH ON INTEGRATED FINANCIAL ANALYSIS AND INVESTMENT DECISION-MAKING: RATIO ANALYSIS OF HSBC UK BANK PLC AND NPV-BASED CAPITAL ALLOCATION FOR WESTWARD PLC</w:t>
          </w:r>
        </w:p>
      </w:sdtContent>
    </w:sdt>
    <w:sdt>
      <w:sdtPr>
        <w:rPr>
          <w:rFonts w:ascii="Times New Roman" w:hAnsi="Times New Roman" w:cs="Times New Roman"/>
          <w:color w:val="4472C4" w:themeColor="accent1"/>
          <w:sz w:val="24"/>
          <w:szCs w:val="24"/>
        </w:rPr>
        <w:alias w:val="Subtitle"/>
        <w:id w:val="328029620"/>
        <w:dataBinding w:prefixMappings="xmlns:ns0='http://purl.org/dc/elements/1.1/' xmlns:ns1='http://schemas.openxmlformats.org/package/2006/metadata/core-properties' " w:xpath="/ns1:coreProperties[1]/ns0:subject[1]" w:storeItemID="{6C3C8BC8-F283-45AE-878A-BAB7291924A1}"/>
        <w:text/>
      </w:sdtPr>
      <w:sdtContent>
        <w:p w14:paraId="0E1ADAA2" w14:textId="2889B799" w:rsidR="001449E1" w:rsidRPr="001449E1" w:rsidRDefault="001449E1" w:rsidP="001449E1">
          <w:pPr>
            <w:pStyle w:val="NoSpacing"/>
            <w:jc w:val="center"/>
            <w:rPr>
              <w:rFonts w:ascii="Times New Roman" w:hAnsi="Times New Roman" w:cs="Times New Roman"/>
              <w:color w:val="4472C4" w:themeColor="accent1"/>
              <w:sz w:val="24"/>
              <w:szCs w:val="24"/>
            </w:rPr>
          </w:pPr>
          <w:r w:rsidRPr="001449E1">
            <w:rPr>
              <w:rFonts w:ascii="Times New Roman" w:hAnsi="Times New Roman" w:cs="Times New Roman"/>
              <w:color w:val="4472C4" w:themeColor="accent1"/>
              <w:sz w:val="24"/>
              <w:szCs w:val="24"/>
            </w:rPr>
            <w:t>Finance for Business Managers (BMMB7005)</w:t>
          </w:r>
        </w:p>
      </w:sdtContent>
    </w:sdt>
    <w:p w14:paraId="3366EA1F" w14:textId="77777777" w:rsidR="00CE00D9" w:rsidRDefault="00CE00D9" w:rsidP="00CE00D9">
      <w:pPr>
        <w:pStyle w:val="NoSpacing"/>
        <w:jc w:val="center"/>
        <w:rPr>
          <w:color w:val="4472C4" w:themeColor="accent1"/>
        </w:rPr>
      </w:pPr>
    </w:p>
    <w:p w14:paraId="4F78B1EF" w14:textId="6101707E" w:rsidR="00CE00D9" w:rsidRPr="00CE00D9" w:rsidRDefault="00CE00D9" w:rsidP="00CE00D9">
      <w:pPr>
        <w:pStyle w:val="NoSpacing"/>
        <w:jc w:val="center"/>
        <w:rPr>
          <w:b/>
          <w:bCs/>
          <w:sz w:val="24"/>
          <w:szCs w:val="24"/>
        </w:rPr>
      </w:pPr>
      <w:r>
        <w:rPr>
          <w:rFonts w:hint="eastAsia"/>
          <w:b/>
          <w:bCs/>
        </w:rPr>
        <w:t xml:space="preserve"> </w:t>
      </w:r>
      <w:r>
        <w:rPr>
          <w:noProof/>
          <w:color w:val="4472C4" w:themeColor="accent1"/>
          <w:lang w:val="en-GB" w:eastAsia="en-GB"/>
        </w:rPr>
        <w:drawing>
          <wp:inline distT="0" distB="0" distL="0" distR="0" wp14:anchorId="7E0B9110" wp14:editId="0259E7B3">
            <wp:extent cx="762000" cy="480060"/>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2000" cy="480060"/>
                    </a:xfrm>
                    <a:prstGeom prst="rect">
                      <a:avLst/>
                    </a:prstGeom>
                  </pic:spPr>
                </pic:pic>
              </a:graphicData>
            </a:graphic>
          </wp:inline>
        </w:drawing>
      </w:r>
    </w:p>
    <w:p w14:paraId="644EF437" w14:textId="77777777" w:rsidR="00CE00D9" w:rsidRDefault="00CE00D9" w:rsidP="00CE00D9"/>
    <w:p w14:paraId="43FBCC61"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p>
    <w:p w14:paraId="2DDC7C62"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p>
    <w:p w14:paraId="7E9C7897"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p>
    <w:p w14:paraId="53CB3383"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p>
    <w:p w14:paraId="22EAE8E9" w14:textId="3F24B323" w:rsidR="00CE00D9" w:rsidRPr="00CE00D9" w:rsidRDefault="00CE00D9" w:rsidP="00CE00D9">
      <w:pPr>
        <w:tabs>
          <w:tab w:val="left" w:pos="3648"/>
          <w:tab w:val="center" w:pos="4513"/>
        </w:tabs>
        <w:rPr>
          <w:rFonts w:ascii="Times New Roman" w:hAnsi="Times New Roman" w:cs="Times New Roman"/>
          <w:color w:val="4472C4" w:themeColor="accent1"/>
          <w:sz w:val="24"/>
          <w:szCs w:val="24"/>
        </w:rPr>
      </w:pPr>
      <w:r>
        <w:rPr>
          <w:rFonts w:ascii="Times New Roman" w:eastAsiaTheme="minorEastAsia" w:hAnsi="Times New Roman" w:cs="Times New Roman"/>
          <w:color w:val="4472C4" w:themeColor="accent1"/>
          <w:sz w:val="24"/>
          <w:szCs w:val="24"/>
          <w:lang w:val="en-US"/>
        </w:rPr>
        <w:tab/>
      </w:r>
      <w:sdt>
        <w:sdtPr>
          <w:rPr>
            <w:rFonts w:ascii="Times New Roman" w:hAnsi="Times New Roman" w:cs="Times New Roman"/>
            <w:color w:val="4472C4" w:themeColor="accent1"/>
            <w:sz w:val="24"/>
            <w:szCs w:val="24"/>
          </w:rPr>
          <w:alias w:val="Date"/>
          <w:id w:val="197127006"/>
          <w:dataBinding w:prefixMappings="xmlns:ns0='http://schemas.microsoft.com/office/2006/coverPageProps' " w:xpath="/ns0:CoverPageProperties[1]/ns0:PublishDate[1]" w:storeItemID="{55AF091B-3C7A-41E3-B477-F2FDAA23CFDA}"/>
          <w:date w:fullDate="2026-03-19T00:00:00Z">
            <w:dateFormat w:val="MMMM d, yyyy"/>
            <w:lid w:val="en-US"/>
            <w:storeMappedDataAs w:val="dateTime"/>
            <w:calendar w:val="gregorian"/>
          </w:date>
        </w:sdtPr>
        <w:sdtContent>
          <w:r>
            <w:rPr>
              <w:rFonts w:ascii="Times New Roman" w:hAnsi="Times New Roman" w:cs="Times New Roman"/>
              <w:color w:val="4472C4" w:themeColor="accent1"/>
              <w:sz w:val="24"/>
              <w:szCs w:val="24"/>
              <w:lang w:val="en-US"/>
            </w:rPr>
            <w:t>March 19, 2026</w:t>
          </w:r>
        </w:sdtContent>
      </w:sdt>
    </w:p>
    <w:p w14:paraId="265DB09D" w14:textId="09D631A4" w:rsidR="00CE00D9" w:rsidRDefault="00CE00D9" w:rsidP="00CE00D9">
      <w:pPr>
        <w:tabs>
          <w:tab w:val="left" w:pos="3648"/>
          <w:tab w:val="center" w:pos="4513"/>
        </w:tabs>
        <w:jc w:val="center"/>
        <w:rPr>
          <w:rFonts w:ascii="Times New Roman" w:eastAsiaTheme="minorEastAsia" w:hAnsi="Times New Roman" w:cs="Times New Roman"/>
          <w:color w:val="4472C4" w:themeColor="accent1"/>
          <w:sz w:val="24"/>
          <w:szCs w:val="24"/>
          <w:lang w:val="en-US"/>
        </w:rPr>
      </w:pPr>
      <w:sdt>
        <w:sdtPr>
          <w:rPr>
            <w:rFonts w:ascii="Times New Roman" w:eastAsiaTheme="minorEastAsia" w:hAnsi="Times New Roman" w:cs="Times New Roman"/>
            <w:color w:val="4472C4" w:themeColor="accent1"/>
            <w:sz w:val="24"/>
            <w:szCs w:val="24"/>
            <w:lang w:val="en-US"/>
          </w:rPr>
          <w:alias w:val="Company"/>
          <w:id w:val="2113772586"/>
          <w:dataBinding w:prefixMappings="xmlns:ns0='http://schemas.openxmlformats.org/officeDocument/2006/extended-properties' " w:xpath="/ns0:Properties[1]/ns0:Company[1]" w:storeItemID="{6668398D-A668-4E3E-A5EB-62B293D839F1}"/>
          <w:text/>
        </w:sdtPr>
        <w:sdtContent>
          <w:r w:rsidRPr="00CE00D9">
            <w:rPr>
              <w:rFonts w:ascii="Times New Roman" w:eastAsiaTheme="minorEastAsia" w:hAnsi="Times New Roman" w:cs="Times New Roman"/>
              <w:color w:val="4472C4" w:themeColor="accent1"/>
              <w:sz w:val="24"/>
              <w:szCs w:val="24"/>
              <w:lang w:val="en-US"/>
            </w:rPr>
            <w:t>UNIVERSITY OF WALES TRINITY SAINT DAVID</w:t>
          </w:r>
        </w:sdtContent>
      </w:sdt>
      <w:r>
        <w:rPr>
          <w:noProof/>
        </w:rPr>
        <mc:AlternateContent>
          <mc:Choice Requires="wps">
            <w:drawing>
              <wp:anchor distT="0" distB="0" distL="114300" distR="114300" simplePos="0" relativeHeight="251659264" behindDoc="0" locked="0" layoutInCell="1" allowOverlap="1" wp14:anchorId="4B1EDB6F" wp14:editId="2D292DB7">
                <wp:simplePos x="0" y="0"/>
                <wp:positionH relativeFrom="margin">
                  <wp:align>right</wp:align>
                </wp:positionH>
                <wp:positionV relativeFrom="page">
                  <wp:posOffset>8564880</wp:posOffset>
                </wp:positionV>
                <wp:extent cx="5849620" cy="403860"/>
                <wp:effectExtent l="0" t="0" r="2540" b="15240"/>
                <wp:wrapNone/>
                <wp:docPr id="142" name="Text Box 3"/>
                <wp:cNvGraphicFramePr/>
                <a:graphic xmlns:a="http://schemas.openxmlformats.org/drawingml/2006/main">
                  <a:graphicData uri="http://schemas.microsoft.com/office/word/2010/wordprocessingShape">
                    <wps:wsp>
                      <wps:cNvSpPr txBox="1"/>
                      <wps:spPr>
                        <a:xfrm>
                          <a:off x="0" y="0"/>
                          <a:ext cx="5943600" cy="403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56B0A2" w14:textId="017D45AE" w:rsidR="00CE00D9" w:rsidRDefault="00CE00D9" w:rsidP="00CE00D9">
                            <w:pPr>
                              <w:pStyle w:val="NoSpacing"/>
                              <w:rPr>
                                <w:color w:val="4472C4" w:themeColor="accent1"/>
                              </w:rPr>
                            </w:pPr>
                            <w:sdt>
                              <w:sdtPr>
                                <w:rPr>
                                  <w:rFonts w:hint="eastAsia"/>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rFonts w:hint="eastAsia"/>
                                    <w:color w:val="4472C4"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B1EDB6F" id="_x0000_t202" coordsize="21600,21600" o:spt="202" path="m,l,21600r21600,l21600,xe">
                <v:stroke joinstyle="miter"/>
                <v:path gradientshapeok="t" o:connecttype="rect"/>
              </v:shapetype>
              <v:shape id="Text Box 3" o:spid="_x0000_s1026" type="#_x0000_t202" style="position:absolute;left:0;text-align:left;margin-left:409.4pt;margin-top:674.4pt;width:460.6pt;height:31.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" filled="f" stroked="f" strokeweight=".5pt">
                <v:textbox inset="0,0,0,0">
                  <w:txbxContent>
                    <w:p w14:paraId="4256B0A2" w14:textId="017D45AE" w:rsidR="00CE00D9" w:rsidRDefault="00CE00D9" w:rsidP="00CE00D9">
                      <w:pPr>
                        <w:pStyle w:val="NoSpacing"/>
                        <w:rPr>
                          <w:color w:val="4472C4" w:themeColor="accent1"/>
                        </w:rPr>
                      </w:pPr>
                      <w:sdt>
                        <w:sdtPr>
                          <w:rPr>
                            <w:rFonts w:hint="eastAsia"/>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rFonts w:hint="eastAsia"/>
                              <w:color w:val="4472C4" w:themeColor="accent1"/>
                            </w:rPr>
                            <w:t xml:space="preserve">     </w:t>
                          </w:r>
                        </w:sdtContent>
                      </w:sdt>
                    </w:p>
                  </w:txbxContent>
                </v:textbox>
                <w10:wrap anchorx="margin" anchory="page"/>
              </v:shape>
            </w:pict>
          </mc:Fallback>
        </mc:AlternateContent>
      </w:r>
    </w:p>
    <w:p w14:paraId="734D4BC7"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r>
        <w:rPr>
          <w:rFonts w:ascii="Times New Roman" w:eastAsiaTheme="minorEastAsia" w:hAnsi="Times New Roman" w:cs="Times New Roman"/>
          <w:color w:val="4472C4" w:themeColor="accent1"/>
          <w:sz w:val="24"/>
          <w:szCs w:val="24"/>
          <w:lang w:val="en-US"/>
        </w:rPr>
        <w:t>Student Name: Aditya Mohod</w:t>
      </w:r>
    </w:p>
    <w:p w14:paraId="7760FBD7" w14:textId="77777777" w:rsidR="00CE00D9" w:rsidRDefault="00CE00D9" w:rsidP="00CE00D9">
      <w:pPr>
        <w:jc w:val="center"/>
        <w:rPr>
          <w:rFonts w:ascii="Times New Roman" w:eastAsiaTheme="minorEastAsia" w:hAnsi="Times New Roman" w:cs="Times New Roman"/>
          <w:color w:val="4472C4" w:themeColor="accent1"/>
          <w:sz w:val="24"/>
          <w:szCs w:val="24"/>
          <w:lang w:val="en-US"/>
        </w:rPr>
      </w:pPr>
      <w:r>
        <w:rPr>
          <w:rFonts w:ascii="Times New Roman" w:eastAsiaTheme="minorEastAsia" w:hAnsi="Times New Roman" w:cs="Times New Roman"/>
          <w:color w:val="4472C4" w:themeColor="accent1"/>
          <w:sz w:val="24"/>
          <w:szCs w:val="24"/>
          <w:lang w:val="en-US"/>
        </w:rPr>
        <w:t>Student ID: 2503557</w:t>
      </w:r>
    </w:p>
    <w:p w14:paraId="5C0EE792" w14:textId="5EAA4C55" w:rsidR="00D40426" w:rsidRPr="00D40426" w:rsidRDefault="00D40426" w:rsidP="00CE00D9">
      <w:pPr>
        <w:rPr>
          <w:rFonts w:ascii="Times New Roman" w:hAnsi="Times New Roman" w:cs="Times New Roman"/>
          <w:sz w:val="24"/>
          <w:szCs w:val="24"/>
        </w:rPr>
      </w:pPr>
    </w:p>
    <w:p w14:paraId="62048F14" w14:textId="77777777" w:rsidR="00D40426" w:rsidRDefault="00D40426" w:rsidP="00D40426">
      <w:pPr>
        <w:rPr>
          <w:rFonts w:ascii="Times New Roman" w:hAnsi="Times New Roman" w:cs="Times New Roman"/>
          <w:sz w:val="24"/>
          <w:szCs w:val="24"/>
        </w:rPr>
      </w:pPr>
    </w:p>
    <w:p w14:paraId="7E49F299" w14:textId="77777777" w:rsidR="001449E1" w:rsidRPr="00D40426" w:rsidRDefault="001449E1" w:rsidP="00D40426">
      <w:pPr>
        <w:rPr>
          <w:rFonts w:ascii="Times New Roman" w:hAnsi="Times New Roman" w:cs="Times New Roman"/>
          <w:sz w:val="24"/>
          <w:szCs w:val="24"/>
        </w:rPr>
      </w:pPr>
    </w:p>
    <w:p w14:paraId="63F1E128" w14:textId="77777777" w:rsidR="00D40426" w:rsidRPr="00D40426" w:rsidRDefault="00D40426" w:rsidP="00D40426">
      <w:pPr>
        <w:rPr>
          <w:rFonts w:ascii="Times New Roman" w:hAnsi="Times New Roman" w:cs="Times New Roman"/>
          <w:sz w:val="24"/>
          <w:szCs w:val="24"/>
        </w:rPr>
      </w:pPr>
    </w:p>
    <w:sdt>
      <w:sdtPr>
        <w:rPr>
          <w:rFonts w:ascii="Times New Roman" w:hAnsi="Times New Roman" w:cs="Times New Roman"/>
          <w:sz w:val="24"/>
          <w:szCs w:val="24"/>
        </w:rPr>
        <w:id w:val="1574243541"/>
        <w:docPartObj>
          <w:docPartGallery w:val="Table of Contents"/>
          <w:docPartUnique/>
        </w:docPartObj>
      </w:sdtPr>
      <w:sdtContent>
        <w:p w14:paraId="5157B524" w14:textId="77777777" w:rsidR="00D40426" w:rsidRPr="00D40426" w:rsidRDefault="00D40426" w:rsidP="00D40426">
          <w:pPr>
            <w:rPr>
              <w:rFonts w:ascii="Times New Roman" w:hAnsi="Times New Roman" w:cs="Times New Roman"/>
              <w:b/>
              <w:bCs/>
              <w:sz w:val="24"/>
              <w:szCs w:val="24"/>
              <w:lang w:val="en-US"/>
            </w:rPr>
          </w:pPr>
          <w:r w:rsidRPr="00D40426">
            <w:rPr>
              <w:rFonts w:ascii="Times New Roman" w:hAnsi="Times New Roman" w:cs="Times New Roman"/>
              <w:b/>
              <w:bCs/>
              <w:sz w:val="24"/>
              <w:szCs w:val="24"/>
              <w:lang w:val="en-US"/>
            </w:rPr>
            <w:t>Table of Contents</w:t>
          </w:r>
        </w:p>
        <w:p w14:paraId="62434DE4" w14:textId="745105C7" w:rsidR="00BF48EA" w:rsidRDefault="00D40426">
          <w:pPr>
            <w:pStyle w:val="TOC1"/>
            <w:tabs>
              <w:tab w:val="right" w:leader="dot" w:pos="9016"/>
            </w:tabs>
            <w:rPr>
              <w:rFonts w:eastAsiaTheme="minorEastAsia"/>
              <w:b w:val="0"/>
              <w:bCs w:val="0"/>
              <w:i w:val="0"/>
              <w:iCs w:val="0"/>
              <w:noProof/>
              <w:lang w:val="en-IN" w:eastAsia="en-IN"/>
            </w:rPr>
          </w:pPr>
          <w:r w:rsidRPr="00D40426">
            <w:rPr>
              <w:rFonts w:ascii="Times New Roman" w:hAnsi="Times New Roman" w:cs="Times New Roman"/>
            </w:rPr>
            <w:fldChar w:fldCharType="begin"/>
          </w:r>
          <w:r w:rsidRPr="00D40426">
            <w:rPr>
              <w:rFonts w:ascii="Times New Roman" w:hAnsi="Times New Roman" w:cs="Times New Roman"/>
            </w:rPr>
            <w:instrText xml:space="preserve"> TOC \o "1-3" \h \z \u </w:instrText>
          </w:r>
          <w:r w:rsidRPr="00D40426">
            <w:rPr>
              <w:rFonts w:ascii="Times New Roman" w:hAnsi="Times New Roman" w:cs="Times New Roman"/>
            </w:rPr>
            <w:fldChar w:fldCharType="separate"/>
          </w:r>
          <w:hyperlink w:anchor="_Toc224782557" w:history="1">
            <w:r w:rsidR="00BF48EA" w:rsidRPr="002A486C">
              <w:rPr>
                <w:rStyle w:val="Hyperlink"/>
                <w:noProof/>
              </w:rPr>
              <w:t>EXECUTIVE SUMMARY</w:t>
            </w:r>
            <w:r w:rsidR="00BF48EA">
              <w:rPr>
                <w:noProof/>
                <w:webHidden/>
              </w:rPr>
              <w:tab/>
            </w:r>
            <w:r w:rsidR="00BF48EA">
              <w:rPr>
                <w:noProof/>
                <w:webHidden/>
              </w:rPr>
              <w:fldChar w:fldCharType="begin"/>
            </w:r>
            <w:r w:rsidR="00BF48EA">
              <w:rPr>
                <w:noProof/>
                <w:webHidden/>
              </w:rPr>
              <w:instrText xml:space="preserve"> PAGEREF _Toc224782557 \h </w:instrText>
            </w:r>
            <w:r w:rsidR="00BF48EA">
              <w:rPr>
                <w:noProof/>
                <w:webHidden/>
              </w:rPr>
            </w:r>
            <w:r w:rsidR="00BF48EA">
              <w:rPr>
                <w:noProof/>
                <w:webHidden/>
              </w:rPr>
              <w:fldChar w:fldCharType="separate"/>
            </w:r>
            <w:r w:rsidR="00BF48EA">
              <w:rPr>
                <w:noProof/>
                <w:webHidden/>
              </w:rPr>
              <w:t>4</w:t>
            </w:r>
            <w:r w:rsidR="00BF48EA">
              <w:rPr>
                <w:noProof/>
                <w:webHidden/>
              </w:rPr>
              <w:fldChar w:fldCharType="end"/>
            </w:r>
          </w:hyperlink>
        </w:p>
        <w:p w14:paraId="4B0FFCC5" w14:textId="34E8A84B" w:rsidR="00BF48EA" w:rsidRDefault="00BF48EA">
          <w:pPr>
            <w:pStyle w:val="TOC1"/>
            <w:tabs>
              <w:tab w:val="right" w:leader="dot" w:pos="9016"/>
            </w:tabs>
            <w:rPr>
              <w:rFonts w:eastAsiaTheme="minorEastAsia"/>
              <w:b w:val="0"/>
              <w:bCs w:val="0"/>
              <w:i w:val="0"/>
              <w:iCs w:val="0"/>
              <w:noProof/>
              <w:lang w:val="en-IN" w:eastAsia="en-IN"/>
            </w:rPr>
          </w:pPr>
          <w:hyperlink w:anchor="_Toc224782558" w:history="1">
            <w:r w:rsidRPr="002A486C">
              <w:rPr>
                <w:rStyle w:val="Hyperlink"/>
                <w:noProof/>
              </w:rPr>
              <w:t>PART A: RATIO ANALYSIS OF HSBC UK BANK PLC</w:t>
            </w:r>
            <w:r>
              <w:rPr>
                <w:noProof/>
                <w:webHidden/>
              </w:rPr>
              <w:tab/>
            </w:r>
            <w:r>
              <w:rPr>
                <w:noProof/>
                <w:webHidden/>
              </w:rPr>
              <w:fldChar w:fldCharType="begin"/>
            </w:r>
            <w:r>
              <w:rPr>
                <w:noProof/>
                <w:webHidden/>
              </w:rPr>
              <w:instrText xml:space="preserve"> PAGEREF _Toc224782558 \h </w:instrText>
            </w:r>
            <w:r>
              <w:rPr>
                <w:noProof/>
                <w:webHidden/>
              </w:rPr>
            </w:r>
            <w:r>
              <w:rPr>
                <w:noProof/>
                <w:webHidden/>
              </w:rPr>
              <w:fldChar w:fldCharType="separate"/>
            </w:r>
            <w:r>
              <w:rPr>
                <w:noProof/>
                <w:webHidden/>
              </w:rPr>
              <w:t>4</w:t>
            </w:r>
            <w:r>
              <w:rPr>
                <w:noProof/>
                <w:webHidden/>
              </w:rPr>
              <w:fldChar w:fldCharType="end"/>
            </w:r>
          </w:hyperlink>
        </w:p>
        <w:p w14:paraId="3F60DC58" w14:textId="2DD17673" w:rsidR="00BF48EA" w:rsidRDefault="00BF48EA">
          <w:pPr>
            <w:pStyle w:val="TOC2"/>
            <w:tabs>
              <w:tab w:val="right" w:leader="dot" w:pos="9016"/>
            </w:tabs>
            <w:rPr>
              <w:rFonts w:eastAsiaTheme="minorEastAsia"/>
              <w:b w:val="0"/>
              <w:bCs w:val="0"/>
              <w:noProof/>
              <w:sz w:val="24"/>
              <w:szCs w:val="24"/>
              <w:lang w:val="en-IN" w:eastAsia="en-IN"/>
            </w:rPr>
          </w:pPr>
          <w:hyperlink w:anchor="_Toc224782559" w:history="1">
            <w:r w:rsidRPr="002A486C">
              <w:rPr>
                <w:rStyle w:val="Hyperlink"/>
                <w:noProof/>
              </w:rPr>
              <w:t>1. Introduction</w:t>
            </w:r>
            <w:r>
              <w:rPr>
                <w:noProof/>
                <w:webHidden/>
              </w:rPr>
              <w:tab/>
            </w:r>
            <w:r>
              <w:rPr>
                <w:noProof/>
                <w:webHidden/>
              </w:rPr>
              <w:fldChar w:fldCharType="begin"/>
            </w:r>
            <w:r>
              <w:rPr>
                <w:noProof/>
                <w:webHidden/>
              </w:rPr>
              <w:instrText xml:space="preserve"> PAGEREF _Toc224782559 \h </w:instrText>
            </w:r>
            <w:r>
              <w:rPr>
                <w:noProof/>
                <w:webHidden/>
              </w:rPr>
            </w:r>
            <w:r>
              <w:rPr>
                <w:noProof/>
                <w:webHidden/>
              </w:rPr>
              <w:fldChar w:fldCharType="separate"/>
            </w:r>
            <w:r>
              <w:rPr>
                <w:noProof/>
                <w:webHidden/>
              </w:rPr>
              <w:t>4</w:t>
            </w:r>
            <w:r>
              <w:rPr>
                <w:noProof/>
                <w:webHidden/>
              </w:rPr>
              <w:fldChar w:fldCharType="end"/>
            </w:r>
          </w:hyperlink>
        </w:p>
        <w:p w14:paraId="01F20074" w14:textId="10E6C70D" w:rsidR="00BF48EA" w:rsidRDefault="00BF48EA">
          <w:pPr>
            <w:pStyle w:val="TOC2"/>
            <w:tabs>
              <w:tab w:val="right" w:leader="dot" w:pos="9016"/>
            </w:tabs>
            <w:rPr>
              <w:rFonts w:eastAsiaTheme="minorEastAsia"/>
              <w:b w:val="0"/>
              <w:bCs w:val="0"/>
              <w:noProof/>
              <w:sz w:val="24"/>
              <w:szCs w:val="24"/>
              <w:lang w:val="en-IN" w:eastAsia="en-IN"/>
            </w:rPr>
          </w:pPr>
          <w:hyperlink w:anchor="_Toc224782560" w:history="1">
            <w:r w:rsidRPr="002A486C">
              <w:rPr>
                <w:rStyle w:val="Hyperlink"/>
                <w:noProof/>
              </w:rPr>
              <w:t>2. Purpose and Benefits of Ratio Analysis</w:t>
            </w:r>
            <w:r>
              <w:rPr>
                <w:noProof/>
                <w:webHidden/>
              </w:rPr>
              <w:tab/>
            </w:r>
            <w:r>
              <w:rPr>
                <w:noProof/>
                <w:webHidden/>
              </w:rPr>
              <w:fldChar w:fldCharType="begin"/>
            </w:r>
            <w:r>
              <w:rPr>
                <w:noProof/>
                <w:webHidden/>
              </w:rPr>
              <w:instrText xml:space="preserve"> PAGEREF _Toc224782560 \h </w:instrText>
            </w:r>
            <w:r>
              <w:rPr>
                <w:noProof/>
                <w:webHidden/>
              </w:rPr>
            </w:r>
            <w:r>
              <w:rPr>
                <w:noProof/>
                <w:webHidden/>
              </w:rPr>
              <w:fldChar w:fldCharType="separate"/>
            </w:r>
            <w:r>
              <w:rPr>
                <w:noProof/>
                <w:webHidden/>
              </w:rPr>
              <w:t>4</w:t>
            </w:r>
            <w:r>
              <w:rPr>
                <w:noProof/>
                <w:webHidden/>
              </w:rPr>
              <w:fldChar w:fldCharType="end"/>
            </w:r>
          </w:hyperlink>
        </w:p>
        <w:p w14:paraId="3C080582" w14:textId="3D5889FB" w:rsidR="00BF48EA" w:rsidRDefault="00BF48EA">
          <w:pPr>
            <w:pStyle w:val="TOC2"/>
            <w:tabs>
              <w:tab w:val="right" w:leader="dot" w:pos="9016"/>
            </w:tabs>
            <w:rPr>
              <w:rFonts w:eastAsiaTheme="minorEastAsia"/>
              <w:b w:val="0"/>
              <w:bCs w:val="0"/>
              <w:noProof/>
              <w:sz w:val="24"/>
              <w:szCs w:val="24"/>
              <w:lang w:val="en-IN" w:eastAsia="en-IN"/>
            </w:rPr>
          </w:pPr>
          <w:hyperlink w:anchor="_Toc224782561" w:history="1">
            <w:r w:rsidRPr="002A486C">
              <w:rPr>
                <w:rStyle w:val="Hyperlink"/>
                <w:noProof/>
              </w:rPr>
              <w:t>3. Financial Performance Analysis Using Ratios</w:t>
            </w:r>
            <w:r>
              <w:rPr>
                <w:noProof/>
                <w:webHidden/>
              </w:rPr>
              <w:tab/>
            </w:r>
            <w:r>
              <w:rPr>
                <w:noProof/>
                <w:webHidden/>
              </w:rPr>
              <w:fldChar w:fldCharType="begin"/>
            </w:r>
            <w:r>
              <w:rPr>
                <w:noProof/>
                <w:webHidden/>
              </w:rPr>
              <w:instrText xml:space="preserve"> PAGEREF _Toc224782561 \h </w:instrText>
            </w:r>
            <w:r>
              <w:rPr>
                <w:noProof/>
                <w:webHidden/>
              </w:rPr>
            </w:r>
            <w:r>
              <w:rPr>
                <w:noProof/>
                <w:webHidden/>
              </w:rPr>
              <w:fldChar w:fldCharType="separate"/>
            </w:r>
            <w:r>
              <w:rPr>
                <w:noProof/>
                <w:webHidden/>
              </w:rPr>
              <w:t>5</w:t>
            </w:r>
            <w:r>
              <w:rPr>
                <w:noProof/>
                <w:webHidden/>
              </w:rPr>
              <w:fldChar w:fldCharType="end"/>
            </w:r>
          </w:hyperlink>
        </w:p>
        <w:p w14:paraId="1AC81BE1" w14:textId="38F1EC9A" w:rsidR="00BF48EA" w:rsidRDefault="00BF48EA">
          <w:pPr>
            <w:pStyle w:val="TOC3"/>
            <w:tabs>
              <w:tab w:val="right" w:leader="dot" w:pos="9016"/>
            </w:tabs>
            <w:rPr>
              <w:rFonts w:eastAsiaTheme="minorEastAsia"/>
              <w:noProof/>
              <w:sz w:val="24"/>
              <w:szCs w:val="24"/>
              <w:lang w:val="en-IN" w:eastAsia="en-IN"/>
            </w:rPr>
          </w:pPr>
          <w:hyperlink w:anchor="_Toc224782562" w:history="1">
            <w:r w:rsidRPr="002A486C">
              <w:rPr>
                <w:rStyle w:val="Hyperlink"/>
                <w:noProof/>
              </w:rPr>
              <w:t>3.1 Profitability Ratios [F.Y. 2023 &amp; 2024]</w:t>
            </w:r>
            <w:r>
              <w:rPr>
                <w:noProof/>
                <w:webHidden/>
              </w:rPr>
              <w:tab/>
            </w:r>
            <w:r>
              <w:rPr>
                <w:noProof/>
                <w:webHidden/>
              </w:rPr>
              <w:fldChar w:fldCharType="begin"/>
            </w:r>
            <w:r>
              <w:rPr>
                <w:noProof/>
                <w:webHidden/>
              </w:rPr>
              <w:instrText xml:space="preserve"> PAGEREF _Toc224782562 \h </w:instrText>
            </w:r>
            <w:r>
              <w:rPr>
                <w:noProof/>
                <w:webHidden/>
              </w:rPr>
            </w:r>
            <w:r>
              <w:rPr>
                <w:noProof/>
                <w:webHidden/>
              </w:rPr>
              <w:fldChar w:fldCharType="separate"/>
            </w:r>
            <w:r>
              <w:rPr>
                <w:noProof/>
                <w:webHidden/>
              </w:rPr>
              <w:t>5</w:t>
            </w:r>
            <w:r>
              <w:rPr>
                <w:noProof/>
                <w:webHidden/>
              </w:rPr>
              <w:fldChar w:fldCharType="end"/>
            </w:r>
          </w:hyperlink>
        </w:p>
        <w:p w14:paraId="09E25471" w14:textId="2ED6F540" w:rsidR="00BF48EA" w:rsidRDefault="00BF48EA">
          <w:pPr>
            <w:pStyle w:val="TOC3"/>
            <w:tabs>
              <w:tab w:val="right" w:leader="dot" w:pos="9016"/>
            </w:tabs>
            <w:rPr>
              <w:rFonts w:eastAsiaTheme="minorEastAsia"/>
              <w:noProof/>
              <w:sz w:val="24"/>
              <w:szCs w:val="24"/>
              <w:lang w:val="en-IN" w:eastAsia="en-IN"/>
            </w:rPr>
          </w:pPr>
          <w:hyperlink w:anchor="_Toc224782563" w:history="1">
            <w:r w:rsidRPr="002A486C">
              <w:rPr>
                <w:rStyle w:val="Hyperlink"/>
                <w:noProof/>
              </w:rPr>
              <w:t>3.2 Liquidity Ratios [F.Y. 2023 &amp; 2024]</w:t>
            </w:r>
            <w:r>
              <w:rPr>
                <w:noProof/>
                <w:webHidden/>
              </w:rPr>
              <w:tab/>
            </w:r>
            <w:r>
              <w:rPr>
                <w:noProof/>
                <w:webHidden/>
              </w:rPr>
              <w:fldChar w:fldCharType="begin"/>
            </w:r>
            <w:r>
              <w:rPr>
                <w:noProof/>
                <w:webHidden/>
              </w:rPr>
              <w:instrText xml:space="preserve"> PAGEREF _Toc224782563 \h </w:instrText>
            </w:r>
            <w:r>
              <w:rPr>
                <w:noProof/>
                <w:webHidden/>
              </w:rPr>
            </w:r>
            <w:r>
              <w:rPr>
                <w:noProof/>
                <w:webHidden/>
              </w:rPr>
              <w:fldChar w:fldCharType="separate"/>
            </w:r>
            <w:r>
              <w:rPr>
                <w:noProof/>
                <w:webHidden/>
              </w:rPr>
              <w:t>6</w:t>
            </w:r>
            <w:r>
              <w:rPr>
                <w:noProof/>
                <w:webHidden/>
              </w:rPr>
              <w:fldChar w:fldCharType="end"/>
            </w:r>
          </w:hyperlink>
        </w:p>
        <w:p w14:paraId="4ACE3463" w14:textId="070A230E" w:rsidR="00BF48EA" w:rsidRDefault="00BF48EA">
          <w:pPr>
            <w:pStyle w:val="TOC3"/>
            <w:tabs>
              <w:tab w:val="right" w:leader="dot" w:pos="9016"/>
            </w:tabs>
            <w:rPr>
              <w:rFonts w:eastAsiaTheme="minorEastAsia"/>
              <w:noProof/>
              <w:sz w:val="24"/>
              <w:szCs w:val="24"/>
              <w:lang w:val="en-IN" w:eastAsia="en-IN"/>
            </w:rPr>
          </w:pPr>
          <w:hyperlink w:anchor="_Toc224782564" w:history="1">
            <w:r w:rsidRPr="002A486C">
              <w:rPr>
                <w:rStyle w:val="Hyperlink"/>
                <w:noProof/>
              </w:rPr>
              <w:t>3.3 Efficiency Ratios [F.Y. 2023 &amp; 2024]</w:t>
            </w:r>
            <w:r>
              <w:rPr>
                <w:noProof/>
                <w:webHidden/>
              </w:rPr>
              <w:tab/>
            </w:r>
            <w:r>
              <w:rPr>
                <w:noProof/>
                <w:webHidden/>
              </w:rPr>
              <w:fldChar w:fldCharType="begin"/>
            </w:r>
            <w:r>
              <w:rPr>
                <w:noProof/>
                <w:webHidden/>
              </w:rPr>
              <w:instrText xml:space="preserve"> PAGEREF _Toc224782564 \h </w:instrText>
            </w:r>
            <w:r>
              <w:rPr>
                <w:noProof/>
                <w:webHidden/>
              </w:rPr>
            </w:r>
            <w:r>
              <w:rPr>
                <w:noProof/>
                <w:webHidden/>
              </w:rPr>
              <w:fldChar w:fldCharType="separate"/>
            </w:r>
            <w:r>
              <w:rPr>
                <w:noProof/>
                <w:webHidden/>
              </w:rPr>
              <w:t>7</w:t>
            </w:r>
            <w:r>
              <w:rPr>
                <w:noProof/>
                <w:webHidden/>
              </w:rPr>
              <w:fldChar w:fldCharType="end"/>
            </w:r>
          </w:hyperlink>
        </w:p>
        <w:p w14:paraId="63BCA2CA" w14:textId="41C4FAEA" w:rsidR="00BF48EA" w:rsidRDefault="00BF48EA">
          <w:pPr>
            <w:pStyle w:val="TOC3"/>
            <w:tabs>
              <w:tab w:val="right" w:leader="dot" w:pos="9016"/>
            </w:tabs>
            <w:rPr>
              <w:rFonts w:eastAsiaTheme="minorEastAsia"/>
              <w:noProof/>
              <w:sz w:val="24"/>
              <w:szCs w:val="24"/>
              <w:lang w:val="en-IN" w:eastAsia="en-IN"/>
            </w:rPr>
          </w:pPr>
          <w:hyperlink w:anchor="_Toc224782565" w:history="1">
            <w:r w:rsidRPr="002A486C">
              <w:rPr>
                <w:rStyle w:val="Hyperlink"/>
                <w:noProof/>
              </w:rPr>
              <w:t>3.4 Gearing Ratios [Fiscal Year 2023 &amp; 2024]</w:t>
            </w:r>
            <w:r>
              <w:rPr>
                <w:noProof/>
                <w:webHidden/>
              </w:rPr>
              <w:tab/>
            </w:r>
            <w:r>
              <w:rPr>
                <w:noProof/>
                <w:webHidden/>
              </w:rPr>
              <w:fldChar w:fldCharType="begin"/>
            </w:r>
            <w:r>
              <w:rPr>
                <w:noProof/>
                <w:webHidden/>
              </w:rPr>
              <w:instrText xml:space="preserve"> PAGEREF _Toc224782565 \h </w:instrText>
            </w:r>
            <w:r>
              <w:rPr>
                <w:noProof/>
                <w:webHidden/>
              </w:rPr>
            </w:r>
            <w:r>
              <w:rPr>
                <w:noProof/>
                <w:webHidden/>
              </w:rPr>
              <w:fldChar w:fldCharType="separate"/>
            </w:r>
            <w:r>
              <w:rPr>
                <w:noProof/>
                <w:webHidden/>
              </w:rPr>
              <w:t>7</w:t>
            </w:r>
            <w:r>
              <w:rPr>
                <w:noProof/>
                <w:webHidden/>
              </w:rPr>
              <w:fldChar w:fldCharType="end"/>
            </w:r>
          </w:hyperlink>
        </w:p>
        <w:p w14:paraId="56BDFDA4" w14:textId="301850A8" w:rsidR="00BF48EA" w:rsidRDefault="00BF48EA">
          <w:pPr>
            <w:pStyle w:val="TOC3"/>
            <w:tabs>
              <w:tab w:val="right" w:leader="dot" w:pos="9016"/>
            </w:tabs>
            <w:rPr>
              <w:rFonts w:eastAsiaTheme="minorEastAsia"/>
              <w:noProof/>
              <w:sz w:val="24"/>
              <w:szCs w:val="24"/>
              <w:lang w:val="en-IN" w:eastAsia="en-IN"/>
            </w:rPr>
          </w:pPr>
          <w:hyperlink w:anchor="_Toc224782566" w:history="1">
            <w:r w:rsidRPr="002A486C">
              <w:rPr>
                <w:rStyle w:val="Hyperlink"/>
                <w:noProof/>
              </w:rPr>
              <w:t>3.5 Investor Ratios [F.Y. 2023 &amp; 2024]</w:t>
            </w:r>
            <w:r>
              <w:rPr>
                <w:noProof/>
                <w:webHidden/>
              </w:rPr>
              <w:tab/>
            </w:r>
            <w:r>
              <w:rPr>
                <w:noProof/>
                <w:webHidden/>
              </w:rPr>
              <w:fldChar w:fldCharType="begin"/>
            </w:r>
            <w:r>
              <w:rPr>
                <w:noProof/>
                <w:webHidden/>
              </w:rPr>
              <w:instrText xml:space="preserve"> PAGEREF _Toc224782566 \h </w:instrText>
            </w:r>
            <w:r>
              <w:rPr>
                <w:noProof/>
                <w:webHidden/>
              </w:rPr>
            </w:r>
            <w:r>
              <w:rPr>
                <w:noProof/>
                <w:webHidden/>
              </w:rPr>
              <w:fldChar w:fldCharType="separate"/>
            </w:r>
            <w:r>
              <w:rPr>
                <w:noProof/>
                <w:webHidden/>
              </w:rPr>
              <w:t>8</w:t>
            </w:r>
            <w:r>
              <w:rPr>
                <w:noProof/>
                <w:webHidden/>
              </w:rPr>
              <w:fldChar w:fldCharType="end"/>
            </w:r>
          </w:hyperlink>
        </w:p>
        <w:p w14:paraId="51B869BF" w14:textId="03FAAFD3" w:rsidR="00BF48EA" w:rsidRDefault="00BF48EA">
          <w:pPr>
            <w:pStyle w:val="TOC2"/>
            <w:tabs>
              <w:tab w:val="right" w:leader="dot" w:pos="9016"/>
            </w:tabs>
            <w:rPr>
              <w:rFonts w:eastAsiaTheme="minorEastAsia"/>
              <w:b w:val="0"/>
              <w:bCs w:val="0"/>
              <w:noProof/>
              <w:sz w:val="24"/>
              <w:szCs w:val="24"/>
              <w:lang w:val="en-IN" w:eastAsia="en-IN"/>
            </w:rPr>
          </w:pPr>
          <w:hyperlink w:anchor="_Toc224782567" w:history="1">
            <w:r w:rsidRPr="002A486C">
              <w:rPr>
                <w:rStyle w:val="Hyperlink"/>
                <w:noProof/>
              </w:rPr>
              <w:t>4. Reasons for Ratio Changes Over the Period</w:t>
            </w:r>
            <w:r>
              <w:rPr>
                <w:noProof/>
                <w:webHidden/>
              </w:rPr>
              <w:tab/>
            </w:r>
            <w:r>
              <w:rPr>
                <w:noProof/>
                <w:webHidden/>
              </w:rPr>
              <w:fldChar w:fldCharType="begin"/>
            </w:r>
            <w:r>
              <w:rPr>
                <w:noProof/>
                <w:webHidden/>
              </w:rPr>
              <w:instrText xml:space="preserve"> PAGEREF _Toc224782567 \h </w:instrText>
            </w:r>
            <w:r>
              <w:rPr>
                <w:noProof/>
                <w:webHidden/>
              </w:rPr>
            </w:r>
            <w:r>
              <w:rPr>
                <w:noProof/>
                <w:webHidden/>
              </w:rPr>
              <w:fldChar w:fldCharType="separate"/>
            </w:r>
            <w:r>
              <w:rPr>
                <w:noProof/>
                <w:webHidden/>
              </w:rPr>
              <w:t>9</w:t>
            </w:r>
            <w:r>
              <w:rPr>
                <w:noProof/>
                <w:webHidden/>
              </w:rPr>
              <w:fldChar w:fldCharType="end"/>
            </w:r>
          </w:hyperlink>
        </w:p>
        <w:p w14:paraId="2ABDB72E" w14:textId="522A36FD" w:rsidR="00BF48EA" w:rsidRDefault="00BF48EA">
          <w:pPr>
            <w:pStyle w:val="TOC3"/>
            <w:tabs>
              <w:tab w:val="right" w:leader="dot" w:pos="9016"/>
            </w:tabs>
            <w:rPr>
              <w:rFonts w:eastAsiaTheme="minorEastAsia"/>
              <w:noProof/>
              <w:sz w:val="24"/>
              <w:szCs w:val="24"/>
              <w:lang w:val="en-IN" w:eastAsia="en-IN"/>
            </w:rPr>
          </w:pPr>
          <w:hyperlink w:anchor="_Toc224782568" w:history="1">
            <w:r w:rsidRPr="002A486C">
              <w:rPr>
                <w:rStyle w:val="Hyperlink"/>
                <w:noProof/>
              </w:rPr>
              <w:t>4.1 Macroeconomic and Interest Rate Environment</w:t>
            </w:r>
            <w:r>
              <w:rPr>
                <w:noProof/>
                <w:webHidden/>
              </w:rPr>
              <w:tab/>
            </w:r>
            <w:r>
              <w:rPr>
                <w:noProof/>
                <w:webHidden/>
              </w:rPr>
              <w:fldChar w:fldCharType="begin"/>
            </w:r>
            <w:r>
              <w:rPr>
                <w:noProof/>
                <w:webHidden/>
              </w:rPr>
              <w:instrText xml:space="preserve"> PAGEREF _Toc224782568 \h </w:instrText>
            </w:r>
            <w:r>
              <w:rPr>
                <w:noProof/>
                <w:webHidden/>
              </w:rPr>
            </w:r>
            <w:r>
              <w:rPr>
                <w:noProof/>
                <w:webHidden/>
              </w:rPr>
              <w:fldChar w:fldCharType="separate"/>
            </w:r>
            <w:r>
              <w:rPr>
                <w:noProof/>
                <w:webHidden/>
              </w:rPr>
              <w:t>9</w:t>
            </w:r>
            <w:r>
              <w:rPr>
                <w:noProof/>
                <w:webHidden/>
              </w:rPr>
              <w:fldChar w:fldCharType="end"/>
            </w:r>
          </w:hyperlink>
        </w:p>
        <w:p w14:paraId="4B291DAD" w14:textId="7C1BD997" w:rsidR="00BF48EA" w:rsidRDefault="00BF48EA">
          <w:pPr>
            <w:pStyle w:val="TOC3"/>
            <w:tabs>
              <w:tab w:val="right" w:leader="dot" w:pos="9016"/>
            </w:tabs>
            <w:rPr>
              <w:rFonts w:eastAsiaTheme="minorEastAsia"/>
              <w:noProof/>
              <w:sz w:val="24"/>
              <w:szCs w:val="24"/>
              <w:lang w:val="en-IN" w:eastAsia="en-IN"/>
            </w:rPr>
          </w:pPr>
          <w:hyperlink w:anchor="_Toc224782569" w:history="1">
            <w:r w:rsidRPr="002A486C">
              <w:rPr>
                <w:rStyle w:val="Hyperlink"/>
                <w:noProof/>
              </w:rPr>
              <w:t>4.2 One-Time Acquisition Impact</w:t>
            </w:r>
            <w:r>
              <w:rPr>
                <w:noProof/>
                <w:webHidden/>
              </w:rPr>
              <w:tab/>
            </w:r>
            <w:r>
              <w:rPr>
                <w:noProof/>
                <w:webHidden/>
              </w:rPr>
              <w:fldChar w:fldCharType="begin"/>
            </w:r>
            <w:r>
              <w:rPr>
                <w:noProof/>
                <w:webHidden/>
              </w:rPr>
              <w:instrText xml:space="preserve"> PAGEREF _Toc224782569 \h </w:instrText>
            </w:r>
            <w:r>
              <w:rPr>
                <w:noProof/>
                <w:webHidden/>
              </w:rPr>
            </w:r>
            <w:r>
              <w:rPr>
                <w:noProof/>
                <w:webHidden/>
              </w:rPr>
              <w:fldChar w:fldCharType="separate"/>
            </w:r>
            <w:r>
              <w:rPr>
                <w:noProof/>
                <w:webHidden/>
              </w:rPr>
              <w:t>9</w:t>
            </w:r>
            <w:r>
              <w:rPr>
                <w:noProof/>
                <w:webHidden/>
              </w:rPr>
              <w:fldChar w:fldCharType="end"/>
            </w:r>
          </w:hyperlink>
        </w:p>
        <w:p w14:paraId="03645802" w14:textId="2A9C9C51" w:rsidR="00BF48EA" w:rsidRDefault="00BF48EA">
          <w:pPr>
            <w:pStyle w:val="TOC3"/>
            <w:tabs>
              <w:tab w:val="right" w:leader="dot" w:pos="9016"/>
            </w:tabs>
            <w:rPr>
              <w:rFonts w:eastAsiaTheme="minorEastAsia"/>
              <w:noProof/>
              <w:sz w:val="24"/>
              <w:szCs w:val="24"/>
              <w:lang w:val="en-IN" w:eastAsia="en-IN"/>
            </w:rPr>
          </w:pPr>
          <w:hyperlink w:anchor="_Toc224782570" w:history="1">
            <w:r w:rsidRPr="002A486C">
              <w:rPr>
                <w:rStyle w:val="Hyperlink"/>
                <w:noProof/>
              </w:rPr>
              <w:t>4.3 Strategic and Operational Factors</w:t>
            </w:r>
            <w:r>
              <w:rPr>
                <w:noProof/>
                <w:webHidden/>
              </w:rPr>
              <w:tab/>
            </w:r>
            <w:r>
              <w:rPr>
                <w:noProof/>
                <w:webHidden/>
              </w:rPr>
              <w:fldChar w:fldCharType="begin"/>
            </w:r>
            <w:r>
              <w:rPr>
                <w:noProof/>
                <w:webHidden/>
              </w:rPr>
              <w:instrText xml:space="preserve"> PAGEREF _Toc224782570 \h </w:instrText>
            </w:r>
            <w:r>
              <w:rPr>
                <w:noProof/>
                <w:webHidden/>
              </w:rPr>
            </w:r>
            <w:r>
              <w:rPr>
                <w:noProof/>
                <w:webHidden/>
              </w:rPr>
              <w:fldChar w:fldCharType="separate"/>
            </w:r>
            <w:r>
              <w:rPr>
                <w:noProof/>
                <w:webHidden/>
              </w:rPr>
              <w:t>9</w:t>
            </w:r>
            <w:r>
              <w:rPr>
                <w:noProof/>
                <w:webHidden/>
              </w:rPr>
              <w:fldChar w:fldCharType="end"/>
            </w:r>
          </w:hyperlink>
        </w:p>
        <w:p w14:paraId="3B90F641" w14:textId="1DE76964" w:rsidR="00BF48EA" w:rsidRDefault="00BF48EA">
          <w:pPr>
            <w:pStyle w:val="TOC3"/>
            <w:tabs>
              <w:tab w:val="right" w:leader="dot" w:pos="9016"/>
            </w:tabs>
            <w:rPr>
              <w:rFonts w:eastAsiaTheme="minorEastAsia"/>
              <w:noProof/>
              <w:sz w:val="24"/>
              <w:szCs w:val="24"/>
              <w:lang w:val="en-IN" w:eastAsia="en-IN"/>
            </w:rPr>
          </w:pPr>
          <w:hyperlink w:anchor="_Toc224782571" w:history="1">
            <w:r w:rsidRPr="002A486C">
              <w:rPr>
                <w:rStyle w:val="Hyperlink"/>
                <w:noProof/>
              </w:rPr>
              <w:t>4.4 Competitive and Regulatory Dynamics</w:t>
            </w:r>
            <w:r>
              <w:rPr>
                <w:noProof/>
                <w:webHidden/>
              </w:rPr>
              <w:tab/>
            </w:r>
            <w:r>
              <w:rPr>
                <w:noProof/>
                <w:webHidden/>
              </w:rPr>
              <w:fldChar w:fldCharType="begin"/>
            </w:r>
            <w:r>
              <w:rPr>
                <w:noProof/>
                <w:webHidden/>
              </w:rPr>
              <w:instrText xml:space="preserve"> PAGEREF _Toc224782571 \h </w:instrText>
            </w:r>
            <w:r>
              <w:rPr>
                <w:noProof/>
                <w:webHidden/>
              </w:rPr>
            </w:r>
            <w:r>
              <w:rPr>
                <w:noProof/>
                <w:webHidden/>
              </w:rPr>
              <w:fldChar w:fldCharType="separate"/>
            </w:r>
            <w:r>
              <w:rPr>
                <w:noProof/>
                <w:webHidden/>
              </w:rPr>
              <w:t>10</w:t>
            </w:r>
            <w:r>
              <w:rPr>
                <w:noProof/>
                <w:webHidden/>
              </w:rPr>
              <w:fldChar w:fldCharType="end"/>
            </w:r>
          </w:hyperlink>
        </w:p>
        <w:p w14:paraId="4343F7ED" w14:textId="3BCC449A" w:rsidR="00BF48EA" w:rsidRDefault="00BF48EA">
          <w:pPr>
            <w:pStyle w:val="TOC2"/>
            <w:tabs>
              <w:tab w:val="right" w:leader="dot" w:pos="9016"/>
            </w:tabs>
            <w:rPr>
              <w:rFonts w:eastAsiaTheme="minorEastAsia"/>
              <w:b w:val="0"/>
              <w:bCs w:val="0"/>
              <w:noProof/>
              <w:sz w:val="24"/>
              <w:szCs w:val="24"/>
              <w:lang w:val="en-IN" w:eastAsia="en-IN"/>
            </w:rPr>
          </w:pPr>
          <w:hyperlink w:anchor="_Toc224782572" w:history="1">
            <w:r w:rsidRPr="002A486C">
              <w:rPr>
                <w:rStyle w:val="Hyperlink"/>
                <w:noProof/>
              </w:rPr>
              <w:t>5. Limitations of Ratio Analysis</w:t>
            </w:r>
            <w:r>
              <w:rPr>
                <w:noProof/>
                <w:webHidden/>
              </w:rPr>
              <w:tab/>
            </w:r>
            <w:r>
              <w:rPr>
                <w:noProof/>
                <w:webHidden/>
              </w:rPr>
              <w:fldChar w:fldCharType="begin"/>
            </w:r>
            <w:r>
              <w:rPr>
                <w:noProof/>
                <w:webHidden/>
              </w:rPr>
              <w:instrText xml:space="preserve"> PAGEREF _Toc224782572 \h </w:instrText>
            </w:r>
            <w:r>
              <w:rPr>
                <w:noProof/>
                <w:webHidden/>
              </w:rPr>
            </w:r>
            <w:r>
              <w:rPr>
                <w:noProof/>
                <w:webHidden/>
              </w:rPr>
              <w:fldChar w:fldCharType="separate"/>
            </w:r>
            <w:r>
              <w:rPr>
                <w:noProof/>
                <w:webHidden/>
              </w:rPr>
              <w:t>10</w:t>
            </w:r>
            <w:r>
              <w:rPr>
                <w:noProof/>
                <w:webHidden/>
              </w:rPr>
              <w:fldChar w:fldCharType="end"/>
            </w:r>
          </w:hyperlink>
        </w:p>
        <w:p w14:paraId="218B108C" w14:textId="48B0DC90" w:rsidR="00BF48EA" w:rsidRDefault="00BF48EA">
          <w:pPr>
            <w:pStyle w:val="TOC2"/>
            <w:tabs>
              <w:tab w:val="right" w:leader="dot" w:pos="9016"/>
            </w:tabs>
            <w:rPr>
              <w:rFonts w:eastAsiaTheme="minorEastAsia"/>
              <w:b w:val="0"/>
              <w:bCs w:val="0"/>
              <w:noProof/>
              <w:sz w:val="24"/>
              <w:szCs w:val="24"/>
              <w:lang w:val="en-IN" w:eastAsia="en-IN"/>
            </w:rPr>
          </w:pPr>
          <w:hyperlink w:anchor="_Toc224782573" w:history="1">
            <w:r w:rsidRPr="002A486C">
              <w:rPr>
                <w:rStyle w:val="Hyperlink"/>
                <w:noProof/>
              </w:rPr>
              <w:t>6. Financial Management Recommendations</w:t>
            </w:r>
            <w:r>
              <w:rPr>
                <w:noProof/>
                <w:webHidden/>
              </w:rPr>
              <w:tab/>
            </w:r>
            <w:r>
              <w:rPr>
                <w:noProof/>
                <w:webHidden/>
              </w:rPr>
              <w:fldChar w:fldCharType="begin"/>
            </w:r>
            <w:r>
              <w:rPr>
                <w:noProof/>
                <w:webHidden/>
              </w:rPr>
              <w:instrText xml:space="preserve"> PAGEREF _Toc224782573 \h </w:instrText>
            </w:r>
            <w:r>
              <w:rPr>
                <w:noProof/>
                <w:webHidden/>
              </w:rPr>
            </w:r>
            <w:r>
              <w:rPr>
                <w:noProof/>
                <w:webHidden/>
              </w:rPr>
              <w:fldChar w:fldCharType="separate"/>
            </w:r>
            <w:r>
              <w:rPr>
                <w:noProof/>
                <w:webHidden/>
              </w:rPr>
              <w:t>10</w:t>
            </w:r>
            <w:r>
              <w:rPr>
                <w:noProof/>
                <w:webHidden/>
              </w:rPr>
              <w:fldChar w:fldCharType="end"/>
            </w:r>
          </w:hyperlink>
        </w:p>
        <w:p w14:paraId="6F068F57" w14:textId="5E286535" w:rsidR="00BF48EA" w:rsidRDefault="00BF48EA">
          <w:pPr>
            <w:pStyle w:val="TOC3"/>
            <w:tabs>
              <w:tab w:val="right" w:leader="dot" w:pos="9016"/>
            </w:tabs>
            <w:rPr>
              <w:rFonts w:eastAsiaTheme="minorEastAsia"/>
              <w:noProof/>
              <w:sz w:val="24"/>
              <w:szCs w:val="24"/>
              <w:lang w:val="en-IN" w:eastAsia="en-IN"/>
            </w:rPr>
          </w:pPr>
          <w:hyperlink w:anchor="_Toc224782574" w:history="1">
            <w:r w:rsidRPr="002A486C">
              <w:rPr>
                <w:rStyle w:val="Hyperlink"/>
                <w:noProof/>
              </w:rPr>
              <w:t>6.1 Profitability: preserve Net Profit Margin</w:t>
            </w:r>
            <w:r>
              <w:rPr>
                <w:noProof/>
                <w:webHidden/>
              </w:rPr>
              <w:tab/>
            </w:r>
            <w:r>
              <w:rPr>
                <w:noProof/>
                <w:webHidden/>
              </w:rPr>
              <w:fldChar w:fldCharType="begin"/>
            </w:r>
            <w:r>
              <w:rPr>
                <w:noProof/>
                <w:webHidden/>
              </w:rPr>
              <w:instrText xml:space="preserve"> PAGEREF _Toc224782574 \h </w:instrText>
            </w:r>
            <w:r>
              <w:rPr>
                <w:noProof/>
                <w:webHidden/>
              </w:rPr>
            </w:r>
            <w:r>
              <w:rPr>
                <w:noProof/>
                <w:webHidden/>
              </w:rPr>
              <w:fldChar w:fldCharType="separate"/>
            </w:r>
            <w:r>
              <w:rPr>
                <w:noProof/>
                <w:webHidden/>
              </w:rPr>
              <w:t>10</w:t>
            </w:r>
            <w:r>
              <w:rPr>
                <w:noProof/>
                <w:webHidden/>
              </w:rPr>
              <w:fldChar w:fldCharType="end"/>
            </w:r>
          </w:hyperlink>
        </w:p>
        <w:p w14:paraId="69B5FD8E" w14:textId="241F49D9" w:rsidR="00BF48EA" w:rsidRDefault="00BF48EA">
          <w:pPr>
            <w:pStyle w:val="TOC3"/>
            <w:tabs>
              <w:tab w:val="right" w:leader="dot" w:pos="9016"/>
            </w:tabs>
            <w:rPr>
              <w:rFonts w:eastAsiaTheme="minorEastAsia"/>
              <w:noProof/>
              <w:sz w:val="24"/>
              <w:szCs w:val="24"/>
              <w:lang w:val="en-IN" w:eastAsia="en-IN"/>
            </w:rPr>
          </w:pPr>
          <w:hyperlink w:anchor="_Toc224782575" w:history="1">
            <w:r w:rsidRPr="002A486C">
              <w:rPr>
                <w:rStyle w:val="Hyperlink"/>
                <w:noProof/>
              </w:rPr>
              <w:t>6.2 Liquidity: maintain within benchmark</w:t>
            </w:r>
            <w:r>
              <w:rPr>
                <w:noProof/>
                <w:webHidden/>
              </w:rPr>
              <w:tab/>
            </w:r>
            <w:r>
              <w:rPr>
                <w:noProof/>
                <w:webHidden/>
              </w:rPr>
              <w:fldChar w:fldCharType="begin"/>
            </w:r>
            <w:r>
              <w:rPr>
                <w:noProof/>
                <w:webHidden/>
              </w:rPr>
              <w:instrText xml:space="preserve"> PAGEREF _Toc224782575 \h </w:instrText>
            </w:r>
            <w:r>
              <w:rPr>
                <w:noProof/>
                <w:webHidden/>
              </w:rPr>
            </w:r>
            <w:r>
              <w:rPr>
                <w:noProof/>
                <w:webHidden/>
              </w:rPr>
              <w:fldChar w:fldCharType="separate"/>
            </w:r>
            <w:r>
              <w:rPr>
                <w:noProof/>
                <w:webHidden/>
              </w:rPr>
              <w:t>10</w:t>
            </w:r>
            <w:r>
              <w:rPr>
                <w:noProof/>
                <w:webHidden/>
              </w:rPr>
              <w:fldChar w:fldCharType="end"/>
            </w:r>
          </w:hyperlink>
        </w:p>
        <w:p w14:paraId="05CD21A8" w14:textId="208FCBBD" w:rsidR="00BF48EA" w:rsidRDefault="00BF48EA">
          <w:pPr>
            <w:pStyle w:val="TOC3"/>
            <w:tabs>
              <w:tab w:val="right" w:leader="dot" w:pos="9016"/>
            </w:tabs>
            <w:rPr>
              <w:rFonts w:eastAsiaTheme="minorEastAsia"/>
              <w:noProof/>
              <w:sz w:val="24"/>
              <w:szCs w:val="24"/>
              <w:lang w:val="en-IN" w:eastAsia="en-IN"/>
            </w:rPr>
          </w:pPr>
          <w:hyperlink w:anchor="_Toc224782576" w:history="1">
            <w:r w:rsidRPr="002A486C">
              <w:rPr>
                <w:rStyle w:val="Hyperlink"/>
                <w:noProof/>
              </w:rPr>
              <w:t>6.3 Gearing: sustainable capital management</w:t>
            </w:r>
            <w:r>
              <w:rPr>
                <w:noProof/>
                <w:webHidden/>
              </w:rPr>
              <w:tab/>
            </w:r>
            <w:r>
              <w:rPr>
                <w:noProof/>
                <w:webHidden/>
              </w:rPr>
              <w:fldChar w:fldCharType="begin"/>
            </w:r>
            <w:r>
              <w:rPr>
                <w:noProof/>
                <w:webHidden/>
              </w:rPr>
              <w:instrText xml:space="preserve"> PAGEREF _Toc224782576 \h </w:instrText>
            </w:r>
            <w:r>
              <w:rPr>
                <w:noProof/>
                <w:webHidden/>
              </w:rPr>
            </w:r>
            <w:r>
              <w:rPr>
                <w:noProof/>
                <w:webHidden/>
              </w:rPr>
              <w:fldChar w:fldCharType="separate"/>
            </w:r>
            <w:r>
              <w:rPr>
                <w:noProof/>
                <w:webHidden/>
              </w:rPr>
              <w:t>10</w:t>
            </w:r>
            <w:r>
              <w:rPr>
                <w:noProof/>
                <w:webHidden/>
              </w:rPr>
              <w:fldChar w:fldCharType="end"/>
            </w:r>
          </w:hyperlink>
        </w:p>
        <w:p w14:paraId="2990E12E" w14:textId="42D2D126" w:rsidR="00BF48EA" w:rsidRDefault="00BF48EA">
          <w:pPr>
            <w:pStyle w:val="TOC1"/>
            <w:tabs>
              <w:tab w:val="right" w:leader="dot" w:pos="9016"/>
            </w:tabs>
            <w:rPr>
              <w:rFonts w:eastAsiaTheme="minorEastAsia"/>
              <w:b w:val="0"/>
              <w:bCs w:val="0"/>
              <w:i w:val="0"/>
              <w:iCs w:val="0"/>
              <w:noProof/>
              <w:lang w:val="en-IN" w:eastAsia="en-IN"/>
            </w:rPr>
          </w:pPr>
          <w:hyperlink w:anchor="_Toc224782577" w:history="1">
            <w:r w:rsidRPr="002A486C">
              <w:rPr>
                <w:rStyle w:val="Hyperlink"/>
                <w:noProof/>
              </w:rPr>
              <w:t>PART B: INVESTMENT APPRAISAL FOR WESTWARD PLC</w:t>
            </w:r>
            <w:r>
              <w:rPr>
                <w:noProof/>
                <w:webHidden/>
              </w:rPr>
              <w:tab/>
            </w:r>
            <w:r>
              <w:rPr>
                <w:noProof/>
                <w:webHidden/>
              </w:rPr>
              <w:fldChar w:fldCharType="begin"/>
            </w:r>
            <w:r>
              <w:rPr>
                <w:noProof/>
                <w:webHidden/>
              </w:rPr>
              <w:instrText xml:space="preserve"> PAGEREF _Toc224782577 \h </w:instrText>
            </w:r>
            <w:r>
              <w:rPr>
                <w:noProof/>
                <w:webHidden/>
              </w:rPr>
            </w:r>
            <w:r>
              <w:rPr>
                <w:noProof/>
                <w:webHidden/>
              </w:rPr>
              <w:fldChar w:fldCharType="separate"/>
            </w:r>
            <w:r>
              <w:rPr>
                <w:noProof/>
                <w:webHidden/>
              </w:rPr>
              <w:t>11</w:t>
            </w:r>
            <w:r>
              <w:rPr>
                <w:noProof/>
                <w:webHidden/>
              </w:rPr>
              <w:fldChar w:fldCharType="end"/>
            </w:r>
          </w:hyperlink>
        </w:p>
        <w:p w14:paraId="361B6F90" w14:textId="3BE148EB" w:rsidR="00BF48EA" w:rsidRDefault="00BF48EA">
          <w:pPr>
            <w:pStyle w:val="TOC2"/>
            <w:tabs>
              <w:tab w:val="right" w:leader="dot" w:pos="9016"/>
            </w:tabs>
            <w:rPr>
              <w:rFonts w:eastAsiaTheme="minorEastAsia"/>
              <w:b w:val="0"/>
              <w:bCs w:val="0"/>
              <w:noProof/>
              <w:sz w:val="24"/>
              <w:szCs w:val="24"/>
              <w:lang w:val="en-IN" w:eastAsia="en-IN"/>
            </w:rPr>
          </w:pPr>
          <w:hyperlink w:anchor="_Toc224782578" w:history="1">
            <w:r w:rsidRPr="002A486C">
              <w:rPr>
                <w:rStyle w:val="Hyperlink"/>
                <w:noProof/>
              </w:rPr>
              <w:t>1. Introduction</w:t>
            </w:r>
            <w:r>
              <w:rPr>
                <w:noProof/>
                <w:webHidden/>
              </w:rPr>
              <w:tab/>
            </w:r>
            <w:r>
              <w:rPr>
                <w:noProof/>
                <w:webHidden/>
              </w:rPr>
              <w:fldChar w:fldCharType="begin"/>
            </w:r>
            <w:r>
              <w:rPr>
                <w:noProof/>
                <w:webHidden/>
              </w:rPr>
              <w:instrText xml:space="preserve"> PAGEREF _Toc224782578 \h </w:instrText>
            </w:r>
            <w:r>
              <w:rPr>
                <w:noProof/>
                <w:webHidden/>
              </w:rPr>
            </w:r>
            <w:r>
              <w:rPr>
                <w:noProof/>
                <w:webHidden/>
              </w:rPr>
              <w:fldChar w:fldCharType="separate"/>
            </w:r>
            <w:r>
              <w:rPr>
                <w:noProof/>
                <w:webHidden/>
              </w:rPr>
              <w:t>11</w:t>
            </w:r>
            <w:r>
              <w:rPr>
                <w:noProof/>
                <w:webHidden/>
              </w:rPr>
              <w:fldChar w:fldCharType="end"/>
            </w:r>
          </w:hyperlink>
        </w:p>
        <w:p w14:paraId="5593B696" w14:textId="289CA683" w:rsidR="00BF48EA" w:rsidRDefault="00BF48EA">
          <w:pPr>
            <w:pStyle w:val="TOC2"/>
            <w:tabs>
              <w:tab w:val="right" w:leader="dot" w:pos="9016"/>
            </w:tabs>
            <w:rPr>
              <w:rFonts w:eastAsiaTheme="minorEastAsia"/>
              <w:b w:val="0"/>
              <w:bCs w:val="0"/>
              <w:noProof/>
              <w:sz w:val="24"/>
              <w:szCs w:val="24"/>
              <w:lang w:val="en-IN" w:eastAsia="en-IN"/>
            </w:rPr>
          </w:pPr>
          <w:hyperlink w:anchor="_Toc224782579" w:history="1">
            <w:r w:rsidRPr="002A486C">
              <w:rPr>
                <w:rStyle w:val="Hyperlink"/>
                <w:noProof/>
              </w:rPr>
              <w:t>2. Net Present Value Analysis</w:t>
            </w:r>
            <w:r>
              <w:rPr>
                <w:noProof/>
                <w:webHidden/>
              </w:rPr>
              <w:tab/>
            </w:r>
            <w:r>
              <w:rPr>
                <w:noProof/>
                <w:webHidden/>
              </w:rPr>
              <w:fldChar w:fldCharType="begin"/>
            </w:r>
            <w:r>
              <w:rPr>
                <w:noProof/>
                <w:webHidden/>
              </w:rPr>
              <w:instrText xml:space="preserve"> PAGEREF _Toc224782579 \h </w:instrText>
            </w:r>
            <w:r>
              <w:rPr>
                <w:noProof/>
                <w:webHidden/>
              </w:rPr>
            </w:r>
            <w:r>
              <w:rPr>
                <w:noProof/>
                <w:webHidden/>
              </w:rPr>
              <w:fldChar w:fldCharType="separate"/>
            </w:r>
            <w:r>
              <w:rPr>
                <w:noProof/>
                <w:webHidden/>
              </w:rPr>
              <w:t>11</w:t>
            </w:r>
            <w:r>
              <w:rPr>
                <w:noProof/>
                <w:webHidden/>
              </w:rPr>
              <w:fldChar w:fldCharType="end"/>
            </w:r>
          </w:hyperlink>
        </w:p>
        <w:p w14:paraId="1ED07914" w14:textId="28401A99" w:rsidR="00BF48EA" w:rsidRDefault="00BF48EA">
          <w:pPr>
            <w:pStyle w:val="TOC3"/>
            <w:tabs>
              <w:tab w:val="right" w:leader="dot" w:pos="9016"/>
            </w:tabs>
            <w:rPr>
              <w:rFonts w:eastAsiaTheme="minorEastAsia"/>
              <w:noProof/>
              <w:sz w:val="24"/>
              <w:szCs w:val="24"/>
              <w:lang w:val="en-IN" w:eastAsia="en-IN"/>
            </w:rPr>
          </w:pPr>
          <w:hyperlink w:anchor="_Toc224782580" w:history="1">
            <w:r w:rsidRPr="002A486C">
              <w:rPr>
                <w:rStyle w:val="Hyperlink"/>
                <w:noProof/>
              </w:rPr>
              <w:t>2.1 Theoretical Framework</w:t>
            </w:r>
            <w:r>
              <w:rPr>
                <w:noProof/>
                <w:webHidden/>
              </w:rPr>
              <w:tab/>
            </w:r>
            <w:r>
              <w:rPr>
                <w:noProof/>
                <w:webHidden/>
              </w:rPr>
              <w:fldChar w:fldCharType="begin"/>
            </w:r>
            <w:r>
              <w:rPr>
                <w:noProof/>
                <w:webHidden/>
              </w:rPr>
              <w:instrText xml:space="preserve"> PAGEREF _Toc224782580 \h </w:instrText>
            </w:r>
            <w:r>
              <w:rPr>
                <w:noProof/>
                <w:webHidden/>
              </w:rPr>
            </w:r>
            <w:r>
              <w:rPr>
                <w:noProof/>
                <w:webHidden/>
              </w:rPr>
              <w:fldChar w:fldCharType="separate"/>
            </w:r>
            <w:r>
              <w:rPr>
                <w:noProof/>
                <w:webHidden/>
              </w:rPr>
              <w:t>11</w:t>
            </w:r>
            <w:r>
              <w:rPr>
                <w:noProof/>
                <w:webHidden/>
              </w:rPr>
              <w:fldChar w:fldCharType="end"/>
            </w:r>
          </w:hyperlink>
        </w:p>
        <w:p w14:paraId="3EC1ACE9" w14:textId="15784C19" w:rsidR="00BF48EA" w:rsidRDefault="00BF48EA">
          <w:pPr>
            <w:pStyle w:val="TOC3"/>
            <w:tabs>
              <w:tab w:val="right" w:leader="dot" w:pos="9016"/>
            </w:tabs>
            <w:rPr>
              <w:rFonts w:eastAsiaTheme="minorEastAsia"/>
              <w:noProof/>
              <w:sz w:val="24"/>
              <w:szCs w:val="24"/>
              <w:lang w:val="en-IN" w:eastAsia="en-IN"/>
            </w:rPr>
          </w:pPr>
          <w:hyperlink w:anchor="_Toc224782581" w:history="1">
            <w:r w:rsidRPr="002A486C">
              <w:rPr>
                <w:rStyle w:val="Hyperlink"/>
                <w:noProof/>
              </w:rPr>
              <w:t>2.2 Methodology</w:t>
            </w:r>
            <w:r>
              <w:rPr>
                <w:noProof/>
                <w:webHidden/>
              </w:rPr>
              <w:tab/>
            </w:r>
            <w:r>
              <w:rPr>
                <w:noProof/>
                <w:webHidden/>
              </w:rPr>
              <w:fldChar w:fldCharType="begin"/>
            </w:r>
            <w:r>
              <w:rPr>
                <w:noProof/>
                <w:webHidden/>
              </w:rPr>
              <w:instrText xml:space="preserve"> PAGEREF _Toc224782581 \h </w:instrText>
            </w:r>
            <w:r>
              <w:rPr>
                <w:noProof/>
                <w:webHidden/>
              </w:rPr>
            </w:r>
            <w:r>
              <w:rPr>
                <w:noProof/>
                <w:webHidden/>
              </w:rPr>
              <w:fldChar w:fldCharType="separate"/>
            </w:r>
            <w:r>
              <w:rPr>
                <w:noProof/>
                <w:webHidden/>
              </w:rPr>
              <w:t>11</w:t>
            </w:r>
            <w:r>
              <w:rPr>
                <w:noProof/>
                <w:webHidden/>
              </w:rPr>
              <w:fldChar w:fldCharType="end"/>
            </w:r>
          </w:hyperlink>
        </w:p>
        <w:p w14:paraId="27134CC6" w14:textId="409475C0" w:rsidR="00BF48EA" w:rsidRDefault="00BF48EA">
          <w:pPr>
            <w:pStyle w:val="TOC3"/>
            <w:tabs>
              <w:tab w:val="right" w:leader="dot" w:pos="9016"/>
            </w:tabs>
            <w:rPr>
              <w:rFonts w:eastAsiaTheme="minorEastAsia"/>
              <w:noProof/>
              <w:sz w:val="24"/>
              <w:szCs w:val="24"/>
              <w:lang w:val="en-IN" w:eastAsia="en-IN"/>
            </w:rPr>
          </w:pPr>
          <w:hyperlink w:anchor="_Toc224782582" w:history="1">
            <w:r w:rsidRPr="002A486C">
              <w:rPr>
                <w:rStyle w:val="Hyperlink"/>
                <w:noProof/>
              </w:rPr>
              <w:t>2.3 Option A: Retail Outlet Expansion</w:t>
            </w:r>
            <w:r>
              <w:rPr>
                <w:noProof/>
                <w:webHidden/>
              </w:rPr>
              <w:tab/>
            </w:r>
            <w:r>
              <w:rPr>
                <w:noProof/>
                <w:webHidden/>
              </w:rPr>
              <w:fldChar w:fldCharType="begin"/>
            </w:r>
            <w:r>
              <w:rPr>
                <w:noProof/>
                <w:webHidden/>
              </w:rPr>
              <w:instrText xml:space="preserve"> PAGEREF _Toc224782582 \h </w:instrText>
            </w:r>
            <w:r>
              <w:rPr>
                <w:noProof/>
                <w:webHidden/>
              </w:rPr>
            </w:r>
            <w:r>
              <w:rPr>
                <w:noProof/>
                <w:webHidden/>
              </w:rPr>
              <w:fldChar w:fldCharType="separate"/>
            </w:r>
            <w:r>
              <w:rPr>
                <w:noProof/>
                <w:webHidden/>
              </w:rPr>
              <w:t>12</w:t>
            </w:r>
            <w:r>
              <w:rPr>
                <w:noProof/>
                <w:webHidden/>
              </w:rPr>
              <w:fldChar w:fldCharType="end"/>
            </w:r>
          </w:hyperlink>
        </w:p>
        <w:p w14:paraId="2A751183" w14:textId="4159EC31" w:rsidR="00BF48EA" w:rsidRDefault="00BF48EA">
          <w:pPr>
            <w:pStyle w:val="TOC3"/>
            <w:tabs>
              <w:tab w:val="right" w:leader="dot" w:pos="9016"/>
            </w:tabs>
            <w:rPr>
              <w:rFonts w:eastAsiaTheme="minorEastAsia"/>
              <w:noProof/>
              <w:sz w:val="24"/>
              <w:szCs w:val="24"/>
              <w:lang w:val="en-IN" w:eastAsia="en-IN"/>
            </w:rPr>
          </w:pPr>
          <w:hyperlink w:anchor="_Toc224782583" w:history="1">
            <w:r w:rsidRPr="002A486C">
              <w:rPr>
                <w:rStyle w:val="Hyperlink"/>
                <w:noProof/>
              </w:rPr>
              <w:t>2.4 Option B: Internet Sales Development</w:t>
            </w:r>
            <w:r>
              <w:rPr>
                <w:noProof/>
                <w:webHidden/>
              </w:rPr>
              <w:tab/>
            </w:r>
            <w:r>
              <w:rPr>
                <w:noProof/>
                <w:webHidden/>
              </w:rPr>
              <w:fldChar w:fldCharType="begin"/>
            </w:r>
            <w:r>
              <w:rPr>
                <w:noProof/>
                <w:webHidden/>
              </w:rPr>
              <w:instrText xml:space="preserve"> PAGEREF _Toc224782583 \h </w:instrText>
            </w:r>
            <w:r>
              <w:rPr>
                <w:noProof/>
                <w:webHidden/>
              </w:rPr>
            </w:r>
            <w:r>
              <w:rPr>
                <w:noProof/>
                <w:webHidden/>
              </w:rPr>
              <w:fldChar w:fldCharType="separate"/>
            </w:r>
            <w:r>
              <w:rPr>
                <w:noProof/>
                <w:webHidden/>
              </w:rPr>
              <w:t>12</w:t>
            </w:r>
            <w:r>
              <w:rPr>
                <w:noProof/>
                <w:webHidden/>
              </w:rPr>
              <w:fldChar w:fldCharType="end"/>
            </w:r>
          </w:hyperlink>
        </w:p>
        <w:p w14:paraId="682D904D" w14:textId="3602307C" w:rsidR="00BF48EA" w:rsidRDefault="00BF48EA">
          <w:pPr>
            <w:pStyle w:val="TOC3"/>
            <w:tabs>
              <w:tab w:val="right" w:leader="dot" w:pos="9016"/>
            </w:tabs>
            <w:rPr>
              <w:rFonts w:eastAsiaTheme="minorEastAsia"/>
              <w:noProof/>
              <w:sz w:val="24"/>
              <w:szCs w:val="24"/>
              <w:lang w:val="en-IN" w:eastAsia="en-IN"/>
            </w:rPr>
          </w:pPr>
          <w:hyperlink w:anchor="_Toc224782584" w:history="1">
            <w:r w:rsidRPr="002A486C">
              <w:rPr>
                <w:rStyle w:val="Hyperlink"/>
                <w:noProof/>
              </w:rPr>
              <w:t>2.5 Option C: Wooden Blinds and Roman Blinds</w:t>
            </w:r>
            <w:r>
              <w:rPr>
                <w:noProof/>
                <w:webHidden/>
              </w:rPr>
              <w:tab/>
            </w:r>
            <w:r>
              <w:rPr>
                <w:noProof/>
                <w:webHidden/>
              </w:rPr>
              <w:fldChar w:fldCharType="begin"/>
            </w:r>
            <w:r>
              <w:rPr>
                <w:noProof/>
                <w:webHidden/>
              </w:rPr>
              <w:instrText xml:space="preserve"> PAGEREF _Toc224782584 \h </w:instrText>
            </w:r>
            <w:r>
              <w:rPr>
                <w:noProof/>
                <w:webHidden/>
              </w:rPr>
            </w:r>
            <w:r>
              <w:rPr>
                <w:noProof/>
                <w:webHidden/>
              </w:rPr>
              <w:fldChar w:fldCharType="separate"/>
            </w:r>
            <w:r>
              <w:rPr>
                <w:noProof/>
                <w:webHidden/>
              </w:rPr>
              <w:t>12</w:t>
            </w:r>
            <w:r>
              <w:rPr>
                <w:noProof/>
                <w:webHidden/>
              </w:rPr>
              <w:fldChar w:fldCharType="end"/>
            </w:r>
          </w:hyperlink>
        </w:p>
        <w:p w14:paraId="3705BF47" w14:textId="75DBD336" w:rsidR="00BF48EA" w:rsidRDefault="00BF48EA">
          <w:pPr>
            <w:pStyle w:val="TOC3"/>
            <w:tabs>
              <w:tab w:val="right" w:leader="dot" w:pos="9016"/>
            </w:tabs>
            <w:rPr>
              <w:rFonts w:eastAsiaTheme="minorEastAsia"/>
              <w:noProof/>
              <w:sz w:val="24"/>
              <w:szCs w:val="24"/>
              <w:lang w:val="en-IN" w:eastAsia="en-IN"/>
            </w:rPr>
          </w:pPr>
          <w:hyperlink w:anchor="_Toc224782585" w:history="1">
            <w:r w:rsidRPr="002A486C">
              <w:rPr>
                <w:rStyle w:val="Hyperlink"/>
                <w:noProof/>
              </w:rPr>
              <w:t>2.6 NPV Recommendation</w:t>
            </w:r>
            <w:r>
              <w:rPr>
                <w:noProof/>
                <w:webHidden/>
              </w:rPr>
              <w:tab/>
            </w:r>
            <w:r>
              <w:rPr>
                <w:noProof/>
                <w:webHidden/>
              </w:rPr>
              <w:fldChar w:fldCharType="begin"/>
            </w:r>
            <w:r>
              <w:rPr>
                <w:noProof/>
                <w:webHidden/>
              </w:rPr>
              <w:instrText xml:space="preserve"> PAGEREF _Toc224782585 \h </w:instrText>
            </w:r>
            <w:r>
              <w:rPr>
                <w:noProof/>
                <w:webHidden/>
              </w:rPr>
            </w:r>
            <w:r>
              <w:rPr>
                <w:noProof/>
                <w:webHidden/>
              </w:rPr>
              <w:fldChar w:fldCharType="separate"/>
            </w:r>
            <w:r>
              <w:rPr>
                <w:noProof/>
                <w:webHidden/>
              </w:rPr>
              <w:t>13</w:t>
            </w:r>
            <w:r>
              <w:rPr>
                <w:noProof/>
                <w:webHidden/>
              </w:rPr>
              <w:fldChar w:fldCharType="end"/>
            </w:r>
          </w:hyperlink>
        </w:p>
        <w:p w14:paraId="7287D072" w14:textId="522F8C2C" w:rsidR="00BF48EA" w:rsidRDefault="00BF48EA">
          <w:pPr>
            <w:pStyle w:val="TOC2"/>
            <w:tabs>
              <w:tab w:val="right" w:leader="dot" w:pos="9016"/>
            </w:tabs>
            <w:rPr>
              <w:rFonts w:eastAsiaTheme="minorEastAsia"/>
              <w:b w:val="0"/>
              <w:bCs w:val="0"/>
              <w:noProof/>
              <w:sz w:val="24"/>
              <w:szCs w:val="24"/>
              <w:lang w:val="en-IN" w:eastAsia="en-IN"/>
            </w:rPr>
          </w:pPr>
          <w:hyperlink w:anchor="_Toc224782586" w:history="1">
            <w:r w:rsidRPr="002A486C">
              <w:rPr>
                <w:rStyle w:val="Hyperlink"/>
                <w:noProof/>
              </w:rPr>
              <w:t>3. Payback Period Analysis</w:t>
            </w:r>
            <w:r>
              <w:rPr>
                <w:noProof/>
                <w:webHidden/>
              </w:rPr>
              <w:tab/>
            </w:r>
            <w:r>
              <w:rPr>
                <w:noProof/>
                <w:webHidden/>
              </w:rPr>
              <w:fldChar w:fldCharType="begin"/>
            </w:r>
            <w:r>
              <w:rPr>
                <w:noProof/>
                <w:webHidden/>
              </w:rPr>
              <w:instrText xml:space="preserve"> PAGEREF _Toc224782586 \h </w:instrText>
            </w:r>
            <w:r>
              <w:rPr>
                <w:noProof/>
                <w:webHidden/>
              </w:rPr>
            </w:r>
            <w:r>
              <w:rPr>
                <w:noProof/>
                <w:webHidden/>
              </w:rPr>
              <w:fldChar w:fldCharType="separate"/>
            </w:r>
            <w:r>
              <w:rPr>
                <w:noProof/>
                <w:webHidden/>
              </w:rPr>
              <w:t>13</w:t>
            </w:r>
            <w:r>
              <w:rPr>
                <w:noProof/>
                <w:webHidden/>
              </w:rPr>
              <w:fldChar w:fldCharType="end"/>
            </w:r>
          </w:hyperlink>
        </w:p>
        <w:p w14:paraId="5F549475" w14:textId="6D81DD7B" w:rsidR="00BF48EA" w:rsidRDefault="00BF48EA">
          <w:pPr>
            <w:pStyle w:val="TOC2"/>
            <w:tabs>
              <w:tab w:val="right" w:leader="dot" w:pos="9016"/>
            </w:tabs>
            <w:rPr>
              <w:rFonts w:eastAsiaTheme="minorEastAsia"/>
              <w:b w:val="0"/>
              <w:bCs w:val="0"/>
              <w:noProof/>
              <w:sz w:val="24"/>
              <w:szCs w:val="24"/>
              <w:lang w:val="en-IN" w:eastAsia="en-IN"/>
            </w:rPr>
          </w:pPr>
          <w:hyperlink w:anchor="_Toc224782587" w:history="1">
            <w:r w:rsidRPr="002A486C">
              <w:rPr>
                <w:rStyle w:val="Hyperlink"/>
                <w:noProof/>
              </w:rPr>
              <w:t>4. Internal Rate of Return Analysis</w:t>
            </w:r>
            <w:r>
              <w:rPr>
                <w:noProof/>
                <w:webHidden/>
              </w:rPr>
              <w:tab/>
            </w:r>
            <w:r>
              <w:rPr>
                <w:noProof/>
                <w:webHidden/>
              </w:rPr>
              <w:fldChar w:fldCharType="begin"/>
            </w:r>
            <w:r>
              <w:rPr>
                <w:noProof/>
                <w:webHidden/>
              </w:rPr>
              <w:instrText xml:space="preserve"> PAGEREF _Toc224782587 \h </w:instrText>
            </w:r>
            <w:r>
              <w:rPr>
                <w:noProof/>
                <w:webHidden/>
              </w:rPr>
            </w:r>
            <w:r>
              <w:rPr>
                <w:noProof/>
                <w:webHidden/>
              </w:rPr>
              <w:fldChar w:fldCharType="separate"/>
            </w:r>
            <w:r>
              <w:rPr>
                <w:noProof/>
                <w:webHidden/>
              </w:rPr>
              <w:t>14</w:t>
            </w:r>
            <w:r>
              <w:rPr>
                <w:noProof/>
                <w:webHidden/>
              </w:rPr>
              <w:fldChar w:fldCharType="end"/>
            </w:r>
          </w:hyperlink>
        </w:p>
        <w:p w14:paraId="4AD02DD6" w14:textId="5B97CD75" w:rsidR="00BF48EA" w:rsidRDefault="00BF48EA">
          <w:pPr>
            <w:pStyle w:val="TOC3"/>
            <w:tabs>
              <w:tab w:val="right" w:leader="dot" w:pos="9016"/>
            </w:tabs>
            <w:rPr>
              <w:rFonts w:eastAsiaTheme="minorEastAsia"/>
              <w:noProof/>
              <w:sz w:val="24"/>
              <w:szCs w:val="24"/>
              <w:lang w:val="en-IN" w:eastAsia="en-IN"/>
            </w:rPr>
          </w:pPr>
          <w:hyperlink w:anchor="_Toc224782588" w:history="1">
            <w:r w:rsidRPr="002A486C">
              <w:rPr>
                <w:rStyle w:val="Hyperlink"/>
                <w:noProof/>
              </w:rPr>
              <w:t>4.1 IRR Calculation for Option B</w:t>
            </w:r>
            <w:r>
              <w:rPr>
                <w:noProof/>
                <w:webHidden/>
              </w:rPr>
              <w:tab/>
            </w:r>
            <w:r>
              <w:rPr>
                <w:noProof/>
                <w:webHidden/>
              </w:rPr>
              <w:fldChar w:fldCharType="begin"/>
            </w:r>
            <w:r>
              <w:rPr>
                <w:noProof/>
                <w:webHidden/>
              </w:rPr>
              <w:instrText xml:space="preserve"> PAGEREF _Toc224782588 \h </w:instrText>
            </w:r>
            <w:r>
              <w:rPr>
                <w:noProof/>
                <w:webHidden/>
              </w:rPr>
            </w:r>
            <w:r>
              <w:rPr>
                <w:noProof/>
                <w:webHidden/>
              </w:rPr>
              <w:fldChar w:fldCharType="separate"/>
            </w:r>
            <w:r>
              <w:rPr>
                <w:noProof/>
                <w:webHidden/>
              </w:rPr>
              <w:t>14</w:t>
            </w:r>
            <w:r>
              <w:rPr>
                <w:noProof/>
                <w:webHidden/>
              </w:rPr>
              <w:fldChar w:fldCharType="end"/>
            </w:r>
          </w:hyperlink>
        </w:p>
        <w:p w14:paraId="2F7B42B6" w14:textId="6A2C8EA0" w:rsidR="00BF48EA" w:rsidRDefault="00BF48EA">
          <w:pPr>
            <w:pStyle w:val="TOC2"/>
            <w:tabs>
              <w:tab w:val="right" w:leader="dot" w:pos="9016"/>
            </w:tabs>
            <w:rPr>
              <w:rFonts w:eastAsiaTheme="minorEastAsia"/>
              <w:b w:val="0"/>
              <w:bCs w:val="0"/>
              <w:noProof/>
              <w:sz w:val="24"/>
              <w:szCs w:val="24"/>
              <w:lang w:val="en-IN" w:eastAsia="en-IN"/>
            </w:rPr>
          </w:pPr>
          <w:hyperlink w:anchor="_Toc224782589" w:history="1">
            <w:r w:rsidRPr="002A486C">
              <w:rPr>
                <w:rStyle w:val="Hyperlink"/>
                <w:noProof/>
              </w:rPr>
              <w:t>5. Strategic Considerations and Financing Plan</w:t>
            </w:r>
            <w:r>
              <w:rPr>
                <w:noProof/>
                <w:webHidden/>
              </w:rPr>
              <w:tab/>
            </w:r>
            <w:r>
              <w:rPr>
                <w:noProof/>
                <w:webHidden/>
              </w:rPr>
              <w:fldChar w:fldCharType="begin"/>
            </w:r>
            <w:r>
              <w:rPr>
                <w:noProof/>
                <w:webHidden/>
              </w:rPr>
              <w:instrText xml:space="preserve"> PAGEREF _Toc224782589 \h </w:instrText>
            </w:r>
            <w:r>
              <w:rPr>
                <w:noProof/>
                <w:webHidden/>
              </w:rPr>
            </w:r>
            <w:r>
              <w:rPr>
                <w:noProof/>
                <w:webHidden/>
              </w:rPr>
              <w:fldChar w:fldCharType="separate"/>
            </w:r>
            <w:r>
              <w:rPr>
                <w:noProof/>
                <w:webHidden/>
              </w:rPr>
              <w:t>15</w:t>
            </w:r>
            <w:r>
              <w:rPr>
                <w:noProof/>
                <w:webHidden/>
              </w:rPr>
              <w:fldChar w:fldCharType="end"/>
            </w:r>
          </w:hyperlink>
        </w:p>
        <w:p w14:paraId="26BAFD09" w14:textId="26F1A9A6" w:rsidR="00BF48EA" w:rsidRDefault="00BF48EA">
          <w:pPr>
            <w:pStyle w:val="TOC3"/>
            <w:tabs>
              <w:tab w:val="right" w:leader="dot" w:pos="9016"/>
            </w:tabs>
            <w:rPr>
              <w:rFonts w:eastAsiaTheme="minorEastAsia"/>
              <w:noProof/>
              <w:sz w:val="24"/>
              <w:szCs w:val="24"/>
              <w:lang w:val="en-IN" w:eastAsia="en-IN"/>
            </w:rPr>
          </w:pPr>
          <w:hyperlink w:anchor="_Toc224782590" w:history="1">
            <w:r w:rsidRPr="002A486C">
              <w:rPr>
                <w:rStyle w:val="Hyperlink"/>
                <w:noProof/>
              </w:rPr>
              <w:t>5.1 Strategic Considerations</w:t>
            </w:r>
            <w:r>
              <w:rPr>
                <w:noProof/>
                <w:webHidden/>
              </w:rPr>
              <w:tab/>
            </w:r>
            <w:r>
              <w:rPr>
                <w:noProof/>
                <w:webHidden/>
              </w:rPr>
              <w:fldChar w:fldCharType="begin"/>
            </w:r>
            <w:r>
              <w:rPr>
                <w:noProof/>
                <w:webHidden/>
              </w:rPr>
              <w:instrText xml:space="preserve"> PAGEREF _Toc224782590 \h </w:instrText>
            </w:r>
            <w:r>
              <w:rPr>
                <w:noProof/>
                <w:webHidden/>
              </w:rPr>
            </w:r>
            <w:r>
              <w:rPr>
                <w:noProof/>
                <w:webHidden/>
              </w:rPr>
              <w:fldChar w:fldCharType="separate"/>
            </w:r>
            <w:r>
              <w:rPr>
                <w:noProof/>
                <w:webHidden/>
              </w:rPr>
              <w:t>15</w:t>
            </w:r>
            <w:r>
              <w:rPr>
                <w:noProof/>
                <w:webHidden/>
              </w:rPr>
              <w:fldChar w:fldCharType="end"/>
            </w:r>
          </w:hyperlink>
        </w:p>
        <w:p w14:paraId="6E8A0F98" w14:textId="22F761DF" w:rsidR="00BF48EA" w:rsidRDefault="00BF48EA">
          <w:pPr>
            <w:pStyle w:val="TOC3"/>
            <w:tabs>
              <w:tab w:val="right" w:leader="dot" w:pos="9016"/>
            </w:tabs>
            <w:rPr>
              <w:rFonts w:eastAsiaTheme="minorEastAsia"/>
              <w:noProof/>
              <w:sz w:val="24"/>
              <w:szCs w:val="24"/>
              <w:lang w:val="en-IN" w:eastAsia="en-IN"/>
            </w:rPr>
          </w:pPr>
          <w:hyperlink w:anchor="_Toc224782591" w:history="1">
            <w:r w:rsidRPr="002A486C">
              <w:rPr>
                <w:rStyle w:val="Hyperlink"/>
                <w:noProof/>
              </w:rPr>
              <w:t>5.2 Financing Structure for Option B</w:t>
            </w:r>
            <w:r>
              <w:rPr>
                <w:noProof/>
                <w:webHidden/>
              </w:rPr>
              <w:tab/>
            </w:r>
            <w:r>
              <w:rPr>
                <w:noProof/>
                <w:webHidden/>
              </w:rPr>
              <w:fldChar w:fldCharType="begin"/>
            </w:r>
            <w:r>
              <w:rPr>
                <w:noProof/>
                <w:webHidden/>
              </w:rPr>
              <w:instrText xml:space="preserve"> PAGEREF _Toc224782591 \h </w:instrText>
            </w:r>
            <w:r>
              <w:rPr>
                <w:noProof/>
                <w:webHidden/>
              </w:rPr>
            </w:r>
            <w:r>
              <w:rPr>
                <w:noProof/>
                <w:webHidden/>
              </w:rPr>
              <w:fldChar w:fldCharType="separate"/>
            </w:r>
            <w:r>
              <w:rPr>
                <w:noProof/>
                <w:webHidden/>
              </w:rPr>
              <w:t>16</w:t>
            </w:r>
            <w:r>
              <w:rPr>
                <w:noProof/>
                <w:webHidden/>
              </w:rPr>
              <w:fldChar w:fldCharType="end"/>
            </w:r>
          </w:hyperlink>
        </w:p>
        <w:p w14:paraId="41852571" w14:textId="4951FA67" w:rsidR="00BF48EA" w:rsidRDefault="00BF48EA">
          <w:pPr>
            <w:pStyle w:val="TOC2"/>
            <w:tabs>
              <w:tab w:val="right" w:leader="dot" w:pos="9016"/>
            </w:tabs>
            <w:rPr>
              <w:rFonts w:eastAsiaTheme="minorEastAsia"/>
              <w:b w:val="0"/>
              <w:bCs w:val="0"/>
              <w:noProof/>
              <w:sz w:val="24"/>
              <w:szCs w:val="24"/>
              <w:lang w:val="en-IN" w:eastAsia="en-IN"/>
            </w:rPr>
          </w:pPr>
          <w:hyperlink w:anchor="_Toc224782592" w:history="1">
            <w:r w:rsidRPr="002A486C">
              <w:rPr>
                <w:rStyle w:val="Hyperlink"/>
                <w:noProof/>
              </w:rPr>
              <w:t>6. Conclusion</w:t>
            </w:r>
            <w:r>
              <w:rPr>
                <w:noProof/>
                <w:webHidden/>
              </w:rPr>
              <w:tab/>
            </w:r>
            <w:r>
              <w:rPr>
                <w:noProof/>
                <w:webHidden/>
              </w:rPr>
              <w:fldChar w:fldCharType="begin"/>
            </w:r>
            <w:r>
              <w:rPr>
                <w:noProof/>
                <w:webHidden/>
              </w:rPr>
              <w:instrText xml:space="preserve"> PAGEREF _Toc224782592 \h </w:instrText>
            </w:r>
            <w:r>
              <w:rPr>
                <w:noProof/>
                <w:webHidden/>
              </w:rPr>
            </w:r>
            <w:r>
              <w:rPr>
                <w:noProof/>
                <w:webHidden/>
              </w:rPr>
              <w:fldChar w:fldCharType="separate"/>
            </w:r>
            <w:r>
              <w:rPr>
                <w:noProof/>
                <w:webHidden/>
              </w:rPr>
              <w:t>17</w:t>
            </w:r>
            <w:r>
              <w:rPr>
                <w:noProof/>
                <w:webHidden/>
              </w:rPr>
              <w:fldChar w:fldCharType="end"/>
            </w:r>
          </w:hyperlink>
        </w:p>
        <w:p w14:paraId="2BFA3732" w14:textId="41C9BFAD" w:rsidR="00BF48EA" w:rsidRDefault="00BF48EA">
          <w:pPr>
            <w:pStyle w:val="TOC1"/>
            <w:tabs>
              <w:tab w:val="right" w:leader="dot" w:pos="9016"/>
            </w:tabs>
            <w:rPr>
              <w:rFonts w:eastAsiaTheme="minorEastAsia"/>
              <w:b w:val="0"/>
              <w:bCs w:val="0"/>
              <w:i w:val="0"/>
              <w:iCs w:val="0"/>
              <w:noProof/>
              <w:lang w:val="en-IN" w:eastAsia="en-IN"/>
            </w:rPr>
          </w:pPr>
          <w:hyperlink w:anchor="_Toc224782593" w:history="1">
            <w:r w:rsidRPr="002A486C">
              <w:rPr>
                <w:rStyle w:val="Hyperlink"/>
                <w:noProof/>
              </w:rPr>
              <w:t>REFERENCES</w:t>
            </w:r>
            <w:r>
              <w:rPr>
                <w:noProof/>
                <w:webHidden/>
              </w:rPr>
              <w:tab/>
            </w:r>
            <w:r>
              <w:rPr>
                <w:noProof/>
                <w:webHidden/>
              </w:rPr>
              <w:fldChar w:fldCharType="begin"/>
            </w:r>
            <w:r>
              <w:rPr>
                <w:noProof/>
                <w:webHidden/>
              </w:rPr>
              <w:instrText xml:space="preserve"> PAGEREF _Toc224782593 \h </w:instrText>
            </w:r>
            <w:r>
              <w:rPr>
                <w:noProof/>
                <w:webHidden/>
              </w:rPr>
            </w:r>
            <w:r>
              <w:rPr>
                <w:noProof/>
                <w:webHidden/>
              </w:rPr>
              <w:fldChar w:fldCharType="separate"/>
            </w:r>
            <w:r>
              <w:rPr>
                <w:noProof/>
                <w:webHidden/>
              </w:rPr>
              <w:t>18</w:t>
            </w:r>
            <w:r>
              <w:rPr>
                <w:noProof/>
                <w:webHidden/>
              </w:rPr>
              <w:fldChar w:fldCharType="end"/>
            </w:r>
          </w:hyperlink>
        </w:p>
        <w:p w14:paraId="39243628" w14:textId="5691D983" w:rsidR="00BF48EA" w:rsidRDefault="00BF48EA">
          <w:pPr>
            <w:pStyle w:val="TOC1"/>
            <w:tabs>
              <w:tab w:val="right" w:leader="dot" w:pos="9016"/>
            </w:tabs>
            <w:rPr>
              <w:rFonts w:eastAsiaTheme="minorEastAsia"/>
              <w:b w:val="0"/>
              <w:bCs w:val="0"/>
              <w:i w:val="0"/>
              <w:iCs w:val="0"/>
              <w:noProof/>
              <w:lang w:val="en-IN" w:eastAsia="en-IN"/>
            </w:rPr>
          </w:pPr>
          <w:hyperlink w:anchor="_Toc224782594" w:history="1">
            <w:r w:rsidRPr="002A486C">
              <w:rPr>
                <w:rStyle w:val="Hyperlink"/>
                <w:noProof/>
              </w:rPr>
              <w:t>APPENDIX</w:t>
            </w:r>
            <w:r>
              <w:rPr>
                <w:noProof/>
                <w:webHidden/>
              </w:rPr>
              <w:tab/>
            </w:r>
            <w:r>
              <w:rPr>
                <w:noProof/>
                <w:webHidden/>
              </w:rPr>
              <w:fldChar w:fldCharType="begin"/>
            </w:r>
            <w:r>
              <w:rPr>
                <w:noProof/>
                <w:webHidden/>
              </w:rPr>
              <w:instrText xml:space="preserve"> PAGEREF _Toc224782594 \h </w:instrText>
            </w:r>
            <w:r>
              <w:rPr>
                <w:noProof/>
                <w:webHidden/>
              </w:rPr>
            </w:r>
            <w:r>
              <w:rPr>
                <w:noProof/>
                <w:webHidden/>
              </w:rPr>
              <w:fldChar w:fldCharType="separate"/>
            </w:r>
            <w:r>
              <w:rPr>
                <w:noProof/>
                <w:webHidden/>
              </w:rPr>
              <w:t>21</w:t>
            </w:r>
            <w:r>
              <w:rPr>
                <w:noProof/>
                <w:webHidden/>
              </w:rPr>
              <w:fldChar w:fldCharType="end"/>
            </w:r>
          </w:hyperlink>
        </w:p>
        <w:p w14:paraId="3D3E70D3" w14:textId="53DBE988" w:rsidR="00BF48EA" w:rsidRDefault="00BF48EA">
          <w:pPr>
            <w:pStyle w:val="TOC2"/>
            <w:tabs>
              <w:tab w:val="right" w:leader="dot" w:pos="9016"/>
            </w:tabs>
            <w:rPr>
              <w:rFonts w:eastAsiaTheme="minorEastAsia"/>
              <w:b w:val="0"/>
              <w:bCs w:val="0"/>
              <w:noProof/>
              <w:sz w:val="24"/>
              <w:szCs w:val="24"/>
              <w:lang w:val="en-IN" w:eastAsia="en-IN"/>
            </w:rPr>
          </w:pPr>
          <w:hyperlink w:anchor="_Toc224782595" w:history="1">
            <w:r w:rsidRPr="002A486C">
              <w:rPr>
                <w:rStyle w:val="Hyperlink"/>
                <w:noProof/>
              </w:rPr>
              <w:t>Detailed Ratio Analysis Workings &amp; Calculations</w:t>
            </w:r>
            <w:r>
              <w:rPr>
                <w:noProof/>
                <w:webHidden/>
              </w:rPr>
              <w:tab/>
            </w:r>
            <w:r>
              <w:rPr>
                <w:noProof/>
                <w:webHidden/>
              </w:rPr>
              <w:fldChar w:fldCharType="begin"/>
            </w:r>
            <w:r>
              <w:rPr>
                <w:noProof/>
                <w:webHidden/>
              </w:rPr>
              <w:instrText xml:space="preserve"> PAGEREF _Toc224782595 \h </w:instrText>
            </w:r>
            <w:r>
              <w:rPr>
                <w:noProof/>
                <w:webHidden/>
              </w:rPr>
            </w:r>
            <w:r>
              <w:rPr>
                <w:noProof/>
                <w:webHidden/>
              </w:rPr>
              <w:fldChar w:fldCharType="separate"/>
            </w:r>
            <w:r>
              <w:rPr>
                <w:noProof/>
                <w:webHidden/>
              </w:rPr>
              <w:t>21</w:t>
            </w:r>
            <w:r>
              <w:rPr>
                <w:noProof/>
                <w:webHidden/>
              </w:rPr>
              <w:fldChar w:fldCharType="end"/>
            </w:r>
          </w:hyperlink>
        </w:p>
        <w:p w14:paraId="1F7B35C2" w14:textId="6DDBEB17" w:rsidR="00BF48EA" w:rsidRDefault="00BF48EA">
          <w:pPr>
            <w:pStyle w:val="TOC3"/>
            <w:tabs>
              <w:tab w:val="right" w:leader="dot" w:pos="9016"/>
            </w:tabs>
            <w:rPr>
              <w:rFonts w:eastAsiaTheme="minorEastAsia"/>
              <w:noProof/>
              <w:sz w:val="24"/>
              <w:szCs w:val="24"/>
              <w:lang w:val="en-IN" w:eastAsia="en-IN"/>
            </w:rPr>
          </w:pPr>
          <w:hyperlink w:anchor="_Toc224782596" w:history="1">
            <w:r w:rsidRPr="002A486C">
              <w:rPr>
                <w:rStyle w:val="Hyperlink"/>
                <w:noProof/>
              </w:rPr>
              <w:t>A1.  Key Financial Data Extracted from HSBC UK Bank plc Accounts</w:t>
            </w:r>
            <w:r>
              <w:rPr>
                <w:noProof/>
                <w:webHidden/>
              </w:rPr>
              <w:tab/>
            </w:r>
            <w:r>
              <w:rPr>
                <w:noProof/>
                <w:webHidden/>
              </w:rPr>
              <w:fldChar w:fldCharType="begin"/>
            </w:r>
            <w:r>
              <w:rPr>
                <w:noProof/>
                <w:webHidden/>
              </w:rPr>
              <w:instrText xml:space="preserve"> PAGEREF _Toc224782596 \h </w:instrText>
            </w:r>
            <w:r>
              <w:rPr>
                <w:noProof/>
                <w:webHidden/>
              </w:rPr>
            </w:r>
            <w:r>
              <w:rPr>
                <w:noProof/>
                <w:webHidden/>
              </w:rPr>
              <w:fldChar w:fldCharType="separate"/>
            </w:r>
            <w:r>
              <w:rPr>
                <w:noProof/>
                <w:webHidden/>
              </w:rPr>
              <w:t>21</w:t>
            </w:r>
            <w:r>
              <w:rPr>
                <w:noProof/>
                <w:webHidden/>
              </w:rPr>
              <w:fldChar w:fldCharType="end"/>
            </w:r>
          </w:hyperlink>
        </w:p>
        <w:p w14:paraId="54CA048E" w14:textId="54A52786" w:rsidR="00BF48EA" w:rsidRDefault="00BF48EA">
          <w:pPr>
            <w:pStyle w:val="TOC3"/>
            <w:tabs>
              <w:tab w:val="right" w:leader="dot" w:pos="9016"/>
            </w:tabs>
            <w:rPr>
              <w:rFonts w:eastAsiaTheme="minorEastAsia"/>
              <w:noProof/>
              <w:sz w:val="24"/>
              <w:szCs w:val="24"/>
              <w:lang w:val="en-IN" w:eastAsia="en-IN"/>
            </w:rPr>
          </w:pPr>
          <w:hyperlink w:anchor="_Toc224782597" w:history="1">
            <w:r w:rsidRPr="002A486C">
              <w:rPr>
                <w:rStyle w:val="Hyperlink"/>
                <w:noProof/>
              </w:rPr>
              <w:t>A2.  Profitability Ratios — Full Workings</w:t>
            </w:r>
            <w:r>
              <w:rPr>
                <w:noProof/>
                <w:webHidden/>
              </w:rPr>
              <w:tab/>
            </w:r>
            <w:r>
              <w:rPr>
                <w:noProof/>
                <w:webHidden/>
              </w:rPr>
              <w:fldChar w:fldCharType="begin"/>
            </w:r>
            <w:r>
              <w:rPr>
                <w:noProof/>
                <w:webHidden/>
              </w:rPr>
              <w:instrText xml:space="preserve"> PAGEREF _Toc224782597 \h </w:instrText>
            </w:r>
            <w:r>
              <w:rPr>
                <w:noProof/>
                <w:webHidden/>
              </w:rPr>
            </w:r>
            <w:r>
              <w:rPr>
                <w:noProof/>
                <w:webHidden/>
              </w:rPr>
              <w:fldChar w:fldCharType="separate"/>
            </w:r>
            <w:r>
              <w:rPr>
                <w:noProof/>
                <w:webHidden/>
              </w:rPr>
              <w:t>22</w:t>
            </w:r>
            <w:r>
              <w:rPr>
                <w:noProof/>
                <w:webHidden/>
              </w:rPr>
              <w:fldChar w:fldCharType="end"/>
            </w:r>
          </w:hyperlink>
        </w:p>
        <w:p w14:paraId="651D9473" w14:textId="5526FD65" w:rsidR="00BF48EA" w:rsidRDefault="00BF48EA">
          <w:pPr>
            <w:pStyle w:val="TOC3"/>
            <w:tabs>
              <w:tab w:val="right" w:leader="dot" w:pos="9016"/>
            </w:tabs>
            <w:rPr>
              <w:rFonts w:eastAsiaTheme="minorEastAsia"/>
              <w:noProof/>
              <w:sz w:val="24"/>
              <w:szCs w:val="24"/>
              <w:lang w:val="en-IN" w:eastAsia="en-IN"/>
            </w:rPr>
          </w:pPr>
          <w:hyperlink w:anchor="_Toc224782598" w:history="1">
            <w:r w:rsidRPr="002A486C">
              <w:rPr>
                <w:rStyle w:val="Hyperlink"/>
                <w:noProof/>
              </w:rPr>
              <w:t>A3.  Liquidity Ratios — Full Workings</w:t>
            </w:r>
            <w:r>
              <w:rPr>
                <w:noProof/>
                <w:webHidden/>
              </w:rPr>
              <w:tab/>
            </w:r>
            <w:r>
              <w:rPr>
                <w:noProof/>
                <w:webHidden/>
              </w:rPr>
              <w:fldChar w:fldCharType="begin"/>
            </w:r>
            <w:r>
              <w:rPr>
                <w:noProof/>
                <w:webHidden/>
              </w:rPr>
              <w:instrText xml:space="preserve"> PAGEREF _Toc224782598 \h </w:instrText>
            </w:r>
            <w:r>
              <w:rPr>
                <w:noProof/>
                <w:webHidden/>
              </w:rPr>
            </w:r>
            <w:r>
              <w:rPr>
                <w:noProof/>
                <w:webHidden/>
              </w:rPr>
              <w:fldChar w:fldCharType="separate"/>
            </w:r>
            <w:r>
              <w:rPr>
                <w:noProof/>
                <w:webHidden/>
              </w:rPr>
              <w:t>23</w:t>
            </w:r>
            <w:r>
              <w:rPr>
                <w:noProof/>
                <w:webHidden/>
              </w:rPr>
              <w:fldChar w:fldCharType="end"/>
            </w:r>
          </w:hyperlink>
        </w:p>
        <w:p w14:paraId="3AD4E9F4" w14:textId="02EE4606" w:rsidR="00BF48EA" w:rsidRDefault="00BF48EA">
          <w:pPr>
            <w:pStyle w:val="TOC3"/>
            <w:tabs>
              <w:tab w:val="right" w:leader="dot" w:pos="9016"/>
            </w:tabs>
            <w:rPr>
              <w:rFonts w:eastAsiaTheme="minorEastAsia"/>
              <w:noProof/>
              <w:sz w:val="24"/>
              <w:szCs w:val="24"/>
              <w:lang w:val="en-IN" w:eastAsia="en-IN"/>
            </w:rPr>
          </w:pPr>
          <w:hyperlink w:anchor="_Toc224782599" w:history="1">
            <w:r w:rsidRPr="002A486C">
              <w:rPr>
                <w:rStyle w:val="Hyperlink"/>
                <w:noProof/>
              </w:rPr>
              <w:t>A4.  Efficiency Ratios — Full Workings</w:t>
            </w:r>
            <w:r>
              <w:rPr>
                <w:noProof/>
                <w:webHidden/>
              </w:rPr>
              <w:tab/>
            </w:r>
            <w:r>
              <w:rPr>
                <w:noProof/>
                <w:webHidden/>
              </w:rPr>
              <w:fldChar w:fldCharType="begin"/>
            </w:r>
            <w:r>
              <w:rPr>
                <w:noProof/>
                <w:webHidden/>
              </w:rPr>
              <w:instrText xml:space="preserve"> PAGEREF _Toc224782599 \h </w:instrText>
            </w:r>
            <w:r>
              <w:rPr>
                <w:noProof/>
                <w:webHidden/>
              </w:rPr>
            </w:r>
            <w:r>
              <w:rPr>
                <w:noProof/>
                <w:webHidden/>
              </w:rPr>
              <w:fldChar w:fldCharType="separate"/>
            </w:r>
            <w:r>
              <w:rPr>
                <w:noProof/>
                <w:webHidden/>
              </w:rPr>
              <w:t>24</w:t>
            </w:r>
            <w:r>
              <w:rPr>
                <w:noProof/>
                <w:webHidden/>
              </w:rPr>
              <w:fldChar w:fldCharType="end"/>
            </w:r>
          </w:hyperlink>
        </w:p>
        <w:p w14:paraId="151FF7E1" w14:textId="62424437" w:rsidR="00BF48EA" w:rsidRDefault="00BF48EA">
          <w:pPr>
            <w:pStyle w:val="TOC3"/>
            <w:tabs>
              <w:tab w:val="right" w:leader="dot" w:pos="9016"/>
            </w:tabs>
            <w:rPr>
              <w:rFonts w:eastAsiaTheme="minorEastAsia"/>
              <w:noProof/>
              <w:sz w:val="24"/>
              <w:szCs w:val="24"/>
              <w:lang w:val="en-IN" w:eastAsia="en-IN"/>
            </w:rPr>
          </w:pPr>
          <w:hyperlink w:anchor="_Toc224782600" w:history="1">
            <w:r w:rsidRPr="002A486C">
              <w:rPr>
                <w:rStyle w:val="Hyperlink"/>
                <w:noProof/>
              </w:rPr>
              <w:t>A5.  Gearing Ratios — Full Workings</w:t>
            </w:r>
            <w:r>
              <w:rPr>
                <w:noProof/>
                <w:webHidden/>
              </w:rPr>
              <w:tab/>
            </w:r>
            <w:r>
              <w:rPr>
                <w:noProof/>
                <w:webHidden/>
              </w:rPr>
              <w:fldChar w:fldCharType="begin"/>
            </w:r>
            <w:r>
              <w:rPr>
                <w:noProof/>
                <w:webHidden/>
              </w:rPr>
              <w:instrText xml:space="preserve"> PAGEREF _Toc224782600 \h </w:instrText>
            </w:r>
            <w:r>
              <w:rPr>
                <w:noProof/>
                <w:webHidden/>
              </w:rPr>
            </w:r>
            <w:r>
              <w:rPr>
                <w:noProof/>
                <w:webHidden/>
              </w:rPr>
              <w:fldChar w:fldCharType="separate"/>
            </w:r>
            <w:r>
              <w:rPr>
                <w:noProof/>
                <w:webHidden/>
              </w:rPr>
              <w:t>24</w:t>
            </w:r>
            <w:r>
              <w:rPr>
                <w:noProof/>
                <w:webHidden/>
              </w:rPr>
              <w:fldChar w:fldCharType="end"/>
            </w:r>
          </w:hyperlink>
        </w:p>
        <w:p w14:paraId="06753C19" w14:textId="64FB8499" w:rsidR="00BF48EA" w:rsidRDefault="00BF48EA">
          <w:pPr>
            <w:pStyle w:val="TOC3"/>
            <w:tabs>
              <w:tab w:val="right" w:leader="dot" w:pos="9016"/>
            </w:tabs>
            <w:rPr>
              <w:rFonts w:eastAsiaTheme="minorEastAsia"/>
              <w:noProof/>
              <w:sz w:val="24"/>
              <w:szCs w:val="24"/>
              <w:lang w:val="en-IN" w:eastAsia="en-IN"/>
            </w:rPr>
          </w:pPr>
          <w:hyperlink w:anchor="_Toc224782601" w:history="1">
            <w:r w:rsidRPr="002A486C">
              <w:rPr>
                <w:rStyle w:val="Hyperlink"/>
                <w:noProof/>
              </w:rPr>
              <w:t>A6.  Investor Ratios — Full Workings</w:t>
            </w:r>
            <w:r>
              <w:rPr>
                <w:noProof/>
                <w:webHidden/>
              </w:rPr>
              <w:tab/>
            </w:r>
            <w:r>
              <w:rPr>
                <w:noProof/>
                <w:webHidden/>
              </w:rPr>
              <w:fldChar w:fldCharType="begin"/>
            </w:r>
            <w:r>
              <w:rPr>
                <w:noProof/>
                <w:webHidden/>
              </w:rPr>
              <w:instrText xml:space="preserve"> PAGEREF _Toc224782601 \h </w:instrText>
            </w:r>
            <w:r>
              <w:rPr>
                <w:noProof/>
                <w:webHidden/>
              </w:rPr>
            </w:r>
            <w:r>
              <w:rPr>
                <w:noProof/>
                <w:webHidden/>
              </w:rPr>
              <w:fldChar w:fldCharType="separate"/>
            </w:r>
            <w:r>
              <w:rPr>
                <w:noProof/>
                <w:webHidden/>
              </w:rPr>
              <w:t>25</w:t>
            </w:r>
            <w:r>
              <w:rPr>
                <w:noProof/>
                <w:webHidden/>
              </w:rPr>
              <w:fldChar w:fldCharType="end"/>
            </w:r>
          </w:hyperlink>
        </w:p>
        <w:p w14:paraId="5A8F37E3" w14:textId="3EFC143B" w:rsidR="00BF48EA" w:rsidRDefault="00BF48EA">
          <w:pPr>
            <w:pStyle w:val="TOC3"/>
            <w:tabs>
              <w:tab w:val="right" w:leader="dot" w:pos="9016"/>
            </w:tabs>
            <w:rPr>
              <w:rFonts w:eastAsiaTheme="minorEastAsia"/>
              <w:noProof/>
              <w:sz w:val="24"/>
              <w:szCs w:val="24"/>
              <w:lang w:val="en-IN" w:eastAsia="en-IN"/>
            </w:rPr>
          </w:pPr>
          <w:hyperlink w:anchor="_Toc224782602" w:history="1">
            <w:r w:rsidRPr="002A486C">
              <w:rPr>
                <w:rStyle w:val="Hyperlink"/>
                <w:noProof/>
              </w:rPr>
              <w:t>A7.  Master Ratio Summary Table — All Categories</w:t>
            </w:r>
            <w:r>
              <w:rPr>
                <w:noProof/>
                <w:webHidden/>
              </w:rPr>
              <w:tab/>
            </w:r>
            <w:r>
              <w:rPr>
                <w:noProof/>
                <w:webHidden/>
              </w:rPr>
              <w:fldChar w:fldCharType="begin"/>
            </w:r>
            <w:r>
              <w:rPr>
                <w:noProof/>
                <w:webHidden/>
              </w:rPr>
              <w:instrText xml:space="preserve"> PAGEREF _Toc224782602 \h </w:instrText>
            </w:r>
            <w:r>
              <w:rPr>
                <w:noProof/>
                <w:webHidden/>
              </w:rPr>
            </w:r>
            <w:r>
              <w:rPr>
                <w:noProof/>
                <w:webHidden/>
              </w:rPr>
              <w:fldChar w:fldCharType="separate"/>
            </w:r>
            <w:r>
              <w:rPr>
                <w:noProof/>
                <w:webHidden/>
              </w:rPr>
              <w:t>26</w:t>
            </w:r>
            <w:r>
              <w:rPr>
                <w:noProof/>
                <w:webHidden/>
              </w:rPr>
              <w:fldChar w:fldCharType="end"/>
            </w:r>
          </w:hyperlink>
        </w:p>
        <w:p w14:paraId="435FF122" w14:textId="24EE501A" w:rsidR="00BF48EA" w:rsidRDefault="00BF48EA">
          <w:pPr>
            <w:pStyle w:val="TOC1"/>
            <w:tabs>
              <w:tab w:val="right" w:leader="dot" w:pos="9016"/>
            </w:tabs>
            <w:rPr>
              <w:rFonts w:eastAsiaTheme="minorEastAsia"/>
              <w:b w:val="0"/>
              <w:bCs w:val="0"/>
              <w:i w:val="0"/>
              <w:iCs w:val="0"/>
              <w:noProof/>
              <w:lang w:val="en-IN" w:eastAsia="en-IN"/>
            </w:rPr>
          </w:pPr>
          <w:hyperlink w:anchor="_Toc224782603" w:history="1">
            <w:r w:rsidRPr="002A486C">
              <w:rPr>
                <w:rStyle w:val="Hyperlink"/>
                <w:noProof/>
              </w:rPr>
              <w:t>APPENDIX B</w:t>
            </w:r>
            <w:r>
              <w:rPr>
                <w:noProof/>
                <w:webHidden/>
              </w:rPr>
              <w:tab/>
            </w:r>
            <w:r>
              <w:rPr>
                <w:noProof/>
                <w:webHidden/>
              </w:rPr>
              <w:fldChar w:fldCharType="begin"/>
            </w:r>
            <w:r>
              <w:rPr>
                <w:noProof/>
                <w:webHidden/>
              </w:rPr>
              <w:instrText xml:space="preserve"> PAGEREF _Toc224782603 \h </w:instrText>
            </w:r>
            <w:r>
              <w:rPr>
                <w:noProof/>
                <w:webHidden/>
              </w:rPr>
            </w:r>
            <w:r>
              <w:rPr>
                <w:noProof/>
                <w:webHidden/>
              </w:rPr>
              <w:fldChar w:fldCharType="separate"/>
            </w:r>
            <w:r>
              <w:rPr>
                <w:noProof/>
                <w:webHidden/>
              </w:rPr>
              <w:t>27</w:t>
            </w:r>
            <w:r>
              <w:rPr>
                <w:noProof/>
                <w:webHidden/>
              </w:rPr>
              <w:fldChar w:fldCharType="end"/>
            </w:r>
          </w:hyperlink>
        </w:p>
        <w:p w14:paraId="52B26DE2" w14:textId="0CA2B5F9" w:rsidR="00BF48EA" w:rsidRDefault="00BF48EA">
          <w:pPr>
            <w:pStyle w:val="TOC2"/>
            <w:tabs>
              <w:tab w:val="right" w:leader="dot" w:pos="9016"/>
            </w:tabs>
            <w:rPr>
              <w:rFonts w:eastAsiaTheme="minorEastAsia"/>
              <w:b w:val="0"/>
              <w:bCs w:val="0"/>
              <w:noProof/>
              <w:sz w:val="24"/>
              <w:szCs w:val="24"/>
              <w:lang w:val="en-IN" w:eastAsia="en-IN"/>
            </w:rPr>
          </w:pPr>
          <w:hyperlink w:anchor="_Toc224782604" w:history="1">
            <w:r w:rsidRPr="002A486C">
              <w:rPr>
                <w:rStyle w:val="Hyperlink"/>
                <w:noProof/>
              </w:rPr>
              <w:t>Westward Plc — Investment Appraisal Calculation Workings</w:t>
            </w:r>
            <w:r>
              <w:rPr>
                <w:noProof/>
                <w:webHidden/>
              </w:rPr>
              <w:tab/>
            </w:r>
            <w:r>
              <w:rPr>
                <w:noProof/>
                <w:webHidden/>
              </w:rPr>
              <w:fldChar w:fldCharType="begin"/>
            </w:r>
            <w:r>
              <w:rPr>
                <w:noProof/>
                <w:webHidden/>
              </w:rPr>
              <w:instrText xml:space="preserve"> PAGEREF _Toc224782604 \h </w:instrText>
            </w:r>
            <w:r>
              <w:rPr>
                <w:noProof/>
                <w:webHidden/>
              </w:rPr>
            </w:r>
            <w:r>
              <w:rPr>
                <w:noProof/>
                <w:webHidden/>
              </w:rPr>
              <w:fldChar w:fldCharType="separate"/>
            </w:r>
            <w:r>
              <w:rPr>
                <w:noProof/>
                <w:webHidden/>
              </w:rPr>
              <w:t>27</w:t>
            </w:r>
            <w:r>
              <w:rPr>
                <w:noProof/>
                <w:webHidden/>
              </w:rPr>
              <w:fldChar w:fldCharType="end"/>
            </w:r>
          </w:hyperlink>
        </w:p>
        <w:p w14:paraId="222E4A59" w14:textId="7D126ECE" w:rsidR="00BF48EA" w:rsidRDefault="00BF48EA">
          <w:pPr>
            <w:pStyle w:val="TOC3"/>
            <w:tabs>
              <w:tab w:val="right" w:leader="dot" w:pos="9016"/>
            </w:tabs>
            <w:rPr>
              <w:rFonts w:eastAsiaTheme="minorEastAsia"/>
              <w:noProof/>
              <w:sz w:val="24"/>
              <w:szCs w:val="24"/>
              <w:lang w:val="en-IN" w:eastAsia="en-IN"/>
            </w:rPr>
          </w:pPr>
          <w:hyperlink w:anchor="_Toc224782605" w:history="1">
            <w:r w:rsidRPr="002A486C">
              <w:rPr>
                <w:rStyle w:val="Hyperlink"/>
                <w:noProof/>
              </w:rPr>
              <w:t>B1.  Option A — Retail Outlet Expansion (Initial Investment: £600,000)</w:t>
            </w:r>
            <w:r>
              <w:rPr>
                <w:noProof/>
                <w:webHidden/>
              </w:rPr>
              <w:tab/>
            </w:r>
            <w:r>
              <w:rPr>
                <w:noProof/>
                <w:webHidden/>
              </w:rPr>
              <w:fldChar w:fldCharType="begin"/>
            </w:r>
            <w:r>
              <w:rPr>
                <w:noProof/>
                <w:webHidden/>
              </w:rPr>
              <w:instrText xml:space="preserve"> PAGEREF _Toc224782605 \h </w:instrText>
            </w:r>
            <w:r>
              <w:rPr>
                <w:noProof/>
                <w:webHidden/>
              </w:rPr>
            </w:r>
            <w:r>
              <w:rPr>
                <w:noProof/>
                <w:webHidden/>
              </w:rPr>
              <w:fldChar w:fldCharType="separate"/>
            </w:r>
            <w:r>
              <w:rPr>
                <w:noProof/>
                <w:webHidden/>
              </w:rPr>
              <w:t>27</w:t>
            </w:r>
            <w:r>
              <w:rPr>
                <w:noProof/>
                <w:webHidden/>
              </w:rPr>
              <w:fldChar w:fldCharType="end"/>
            </w:r>
          </w:hyperlink>
        </w:p>
        <w:p w14:paraId="64E70A9A" w14:textId="5ED4E639" w:rsidR="00BF48EA" w:rsidRDefault="00BF48EA">
          <w:pPr>
            <w:pStyle w:val="TOC3"/>
            <w:tabs>
              <w:tab w:val="right" w:leader="dot" w:pos="9016"/>
            </w:tabs>
            <w:rPr>
              <w:rFonts w:eastAsiaTheme="minorEastAsia"/>
              <w:noProof/>
              <w:sz w:val="24"/>
              <w:szCs w:val="24"/>
              <w:lang w:val="en-IN" w:eastAsia="en-IN"/>
            </w:rPr>
          </w:pPr>
          <w:hyperlink w:anchor="_Toc224782606" w:history="1">
            <w:r w:rsidRPr="002A486C">
              <w:rPr>
                <w:rStyle w:val="Hyperlink"/>
                <w:noProof/>
              </w:rPr>
              <w:t>B2.  Option B — Internet Sales Development (Initial Investment: £1,000,000)</w:t>
            </w:r>
            <w:r>
              <w:rPr>
                <w:noProof/>
                <w:webHidden/>
              </w:rPr>
              <w:tab/>
            </w:r>
            <w:r>
              <w:rPr>
                <w:noProof/>
                <w:webHidden/>
              </w:rPr>
              <w:fldChar w:fldCharType="begin"/>
            </w:r>
            <w:r>
              <w:rPr>
                <w:noProof/>
                <w:webHidden/>
              </w:rPr>
              <w:instrText xml:space="preserve"> PAGEREF _Toc224782606 \h </w:instrText>
            </w:r>
            <w:r>
              <w:rPr>
                <w:noProof/>
                <w:webHidden/>
              </w:rPr>
            </w:r>
            <w:r>
              <w:rPr>
                <w:noProof/>
                <w:webHidden/>
              </w:rPr>
              <w:fldChar w:fldCharType="separate"/>
            </w:r>
            <w:r>
              <w:rPr>
                <w:noProof/>
                <w:webHidden/>
              </w:rPr>
              <w:t>27</w:t>
            </w:r>
            <w:r>
              <w:rPr>
                <w:noProof/>
                <w:webHidden/>
              </w:rPr>
              <w:fldChar w:fldCharType="end"/>
            </w:r>
          </w:hyperlink>
        </w:p>
        <w:p w14:paraId="0E8EA0B9" w14:textId="5C2011BF" w:rsidR="00BF48EA" w:rsidRDefault="00BF48EA">
          <w:pPr>
            <w:pStyle w:val="TOC3"/>
            <w:tabs>
              <w:tab w:val="right" w:leader="dot" w:pos="9016"/>
            </w:tabs>
            <w:rPr>
              <w:rFonts w:eastAsiaTheme="minorEastAsia"/>
              <w:noProof/>
              <w:sz w:val="24"/>
              <w:szCs w:val="24"/>
              <w:lang w:val="en-IN" w:eastAsia="en-IN"/>
            </w:rPr>
          </w:pPr>
          <w:hyperlink w:anchor="_Toc224782607" w:history="1">
            <w:r w:rsidRPr="002A486C">
              <w:rPr>
                <w:rStyle w:val="Hyperlink"/>
                <w:noProof/>
              </w:rPr>
              <w:t>B3.  Option C — Wooden &amp; Roman Blinds Production (Initial Investment: £1,600,000)</w:t>
            </w:r>
            <w:r>
              <w:rPr>
                <w:noProof/>
                <w:webHidden/>
              </w:rPr>
              <w:tab/>
            </w:r>
            <w:r>
              <w:rPr>
                <w:noProof/>
                <w:webHidden/>
              </w:rPr>
              <w:fldChar w:fldCharType="begin"/>
            </w:r>
            <w:r>
              <w:rPr>
                <w:noProof/>
                <w:webHidden/>
              </w:rPr>
              <w:instrText xml:space="preserve"> PAGEREF _Toc224782607 \h </w:instrText>
            </w:r>
            <w:r>
              <w:rPr>
                <w:noProof/>
                <w:webHidden/>
              </w:rPr>
            </w:r>
            <w:r>
              <w:rPr>
                <w:noProof/>
                <w:webHidden/>
              </w:rPr>
              <w:fldChar w:fldCharType="separate"/>
            </w:r>
            <w:r>
              <w:rPr>
                <w:noProof/>
                <w:webHidden/>
              </w:rPr>
              <w:t>28</w:t>
            </w:r>
            <w:r>
              <w:rPr>
                <w:noProof/>
                <w:webHidden/>
              </w:rPr>
              <w:fldChar w:fldCharType="end"/>
            </w:r>
          </w:hyperlink>
        </w:p>
        <w:p w14:paraId="10B88678" w14:textId="51EAEFD6" w:rsidR="00BF48EA" w:rsidRDefault="00BF48EA">
          <w:pPr>
            <w:pStyle w:val="TOC3"/>
            <w:tabs>
              <w:tab w:val="right" w:leader="dot" w:pos="9016"/>
            </w:tabs>
            <w:rPr>
              <w:rFonts w:eastAsiaTheme="minorEastAsia"/>
              <w:noProof/>
              <w:sz w:val="24"/>
              <w:szCs w:val="24"/>
              <w:lang w:val="en-IN" w:eastAsia="en-IN"/>
            </w:rPr>
          </w:pPr>
          <w:hyperlink w:anchor="_Toc224782608" w:history="1">
            <w:r w:rsidRPr="002A486C">
              <w:rPr>
                <w:rStyle w:val="Hyperlink"/>
                <w:noProof/>
              </w:rPr>
              <w:t>B4.  Payback Period — Cumulative Cash Flow Workings</w:t>
            </w:r>
            <w:r>
              <w:rPr>
                <w:noProof/>
                <w:webHidden/>
              </w:rPr>
              <w:tab/>
            </w:r>
            <w:r>
              <w:rPr>
                <w:noProof/>
                <w:webHidden/>
              </w:rPr>
              <w:fldChar w:fldCharType="begin"/>
            </w:r>
            <w:r>
              <w:rPr>
                <w:noProof/>
                <w:webHidden/>
              </w:rPr>
              <w:instrText xml:space="preserve"> PAGEREF _Toc224782608 \h </w:instrText>
            </w:r>
            <w:r>
              <w:rPr>
                <w:noProof/>
                <w:webHidden/>
              </w:rPr>
            </w:r>
            <w:r>
              <w:rPr>
                <w:noProof/>
                <w:webHidden/>
              </w:rPr>
              <w:fldChar w:fldCharType="separate"/>
            </w:r>
            <w:r>
              <w:rPr>
                <w:noProof/>
                <w:webHidden/>
              </w:rPr>
              <w:t>29</w:t>
            </w:r>
            <w:r>
              <w:rPr>
                <w:noProof/>
                <w:webHidden/>
              </w:rPr>
              <w:fldChar w:fldCharType="end"/>
            </w:r>
          </w:hyperlink>
        </w:p>
        <w:p w14:paraId="120B51FC" w14:textId="3B9AFC27" w:rsidR="00BF48EA" w:rsidRDefault="00BF48EA">
          <w:pPr>
            <w:pStyle w:val="TOC3"/>
            <w:tabs>
              <w:tab w:val="right" w:leader="dot" w:pos="9016"/>
            </w:tabs>
            <w:rPr>
              <w:rFonts w:eastAsiaTheme="minorEastAsia"/>
              <w:noProof/>
              <w:sz w:val="24"/>
              <w:szCs w:val="24"/>
              <w:lang w:val="en-IN" w:eastAsia="en-IN"/>
            </w:rPr>
          </w:pPr>
          <w:hyperlink w:anchor="_Toc224782609" w:history="1">
            <w:r w:rsidRPr="002A486C">
              <w:rPr>
                <w:rStyle w:val="Hyperlink"/>
                <w:noProof/>
              </w:rPr>
              <w:t>B5.  IRR Calculation — Option B (Interpolation Method)</w:t>
            </w:r>
            <w:r>
              <w:rPr>
                <w:noProof/>
                <w:webHidden/>
              </w:rPr>
              <w:tab/>
            </w:r>
            <w:r>
              <w:rPr>
                <w:noProof/>
                <w:webHidden/>
              </w:rPr>
              <w:fldChar w:fldCharType="begin"/>
            </w:r>
            <w:r>
              <w:rPr>
                <w:noProof/>
                <w:webHidden/>
              </w:rPr>
              <w:instrText xml:space="preserve"> PAGEREF _Toc224782609 \h </w:instrText>
            </w:r>
            <w:r>
              <w:rPr>
                <w:noProof/>
                <w:webHidden/>
              </w:rPr>
            </w:r>
            <w:r>
              <w:rPr>
                <w:noProof/>
                <w:webHidden/>
              </w:rPr>
              <w:fldChar w:fldCharType="separate"/>
            </w:r>
            <w:r>
              <w:rPr>
                <w:noProof/>
                <w:webHidden/>
              </w:rPr>
              <w:t>29</w:t>
            </w:r>
            <w:r>
              <w:rPr>
                <w:noProof/>
                <w:webHidden/>
              </w:rPr>
              <w:fldChar w:fldCharType="end"/>
            </w:r>
          </w:hyperlink>
        </w:p>
        <w:p w14:paraId="5754E05A" w14:textId="73F1450B" w:rsidR="00BF48EA" w:rsidRDefault="00BF48EA">
          <w:pPr>
            <w:pStyle w:val="TOC3"/>
            <w:tabs>
              <w:tab w:val="right" w:leader="dot" w:pos="9016"/>
            </w:tabs>
            <w:rPr>
              <w:rFonts w:eastAsiaTheme="minorEastAsia"/>
              <w:noProof/>
              <w:sz w:val="24"/>
              <w:szCs w:val="24"/>
              <w:lang w:val="en-IN" w:eastAsia="en-IN"/>
            </w:rPr>
          </w:pPr>
          <w:hyperlink w:anchor="_Toc224782610" w:history="1">
            <w:r w:rsidRPr="002A486C">
              <w:rPr>
                <w:rStyle w:val="Hyperlink"/>
                <w:noProof/>
              </w:rPr>
              <w:t>B6.  NPV Comparison &amp; Capital Efficiency Summary</w:t>
            </w:r>
            <w:r>
              <w:rPr>
                <w:noProof/>
                <w:webHidden/>
              </w:rPr>
              <w:tab/>
            </w:r>
            <w:r>
              <w:rPr>
                <w:noProof/>
                <w:webHidden/>
              </w:rPr>
              <w:fldChar w:fldCharType="begin"/>
            </w:r>
            <w:r>
              <w:rPr>
                <w:noProof/>
                <w:webHidden/>
              </w:rPr>
              <w:instrText xml:space="preserve"> PAGEREF _Toc224782610 \h </w:instrText>
            </w:r>
            <w:r>
              <w:rPr>
                <w:noProof/>
                <w:webHidden/>
              </w:rPr>
            </w:r>
            <w:r>
              <w:rPr>
                <w:noProof/>
                <w:webHidden/>
              </w:rPr>
              <w:fldChar w:fldCharType="separate"/>
            </w:r>
            <w:r>
              <w:rPr>
                <w:noProof/>
                <w:webHidden/>
              </w:rPr>
              <w:t>30</w:t>
            </w:r>
            <w:r>
              <w:rPr>
                <w:noProof/>
                <w:webHidden/>
              </w:rPr>
              <w:fldChar w:fldCharType="end"/>
            </w:r>
          </w:hyperlink>
        </w:p>
        <w:p w14:paraId="301E5EDE" w14:textId="6E2FB230"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lang w:val="en-IN"/>
            </w:rPr>
            <w:fldChar w:fldCharType="end"/>
          </w:r>
        </w:p>
      </w:sdtContent>
    </w:sdt>
    <w:p w14:paraId="182A4743" w14:textId="77777777" w:rsidR="00D40426" w:rsidRPr="00D40426" w:rsidRDefault="00D40426" w:rsidP="00D40426">
      <w:pPr>
        <w:rPr>
          <w:rFonts w:ascii="Times New Roman" w:hAnsi="Times New Roman" w:cs="Times New Roman"/>
          <w:sz w:val="24"/>
          <w:szCs w:val="24"/>
        </w:rPr>
      </w:pPr>
    </w:p>
    <w:p w14:paraId="28FC9C4C" w14:textId="77777777" w:rsidR="00D40426" w:rsidRPr="00D40426" w:rsidRDefault="00D40426" w:rsidP="00D40426">
      <w:pPr>
        <w:rPr>
          <w:rFonts w:ascii="Times New Roman" w:hAnsi="Times New Roman" w:cs="Times New Roman"/>
          <w:sz w:val="24"/>
          <w:szCs w:val="24"/>
        </w:rPr>
      </w:pPr>
    </w:p>
    <w:p w14:paraId="7E04E9F8" w14:textId="77777777" w:rsidR="00D40426" w:rsidRPr="00D40426" w:rsidRDefault="00D40426" w:rsidP="00D40426">
      <w:pPr>
        <w:rPr>
          <w:rFonts w:ascii="Times New Roman" w:hAnsi="Times New Roman" w:cs="Times New Roman"/>
          <w:sz w:val="24"/>
          <w:szCs w:val="24"/>
        </w:rPr>
      </w:pPr>
    </w:p>
    <w:p w14:paraId="1D90D18C" w14:textId="77777777" w:rsidR="00D40426" w:rsidRPr="00D40426" w:rsidRDefault="00D40426" w:rsidP="00D40426">
      <w:pPr>
        <w:rPr>
          <w:rFonts w:ascii="Times New Roman" w:hAnsi="Times New Roman" w:cs="Times New Roman"/>
          <w:sz w:val="24"/>
          <w:szCs w:val="24"/>
        </w:rPr>
      </w:pPr>
    </w:p>
    <w:p w14:paraId="57C3A47A" w14:textId="77777777" w:rsidR="00D40426" w:rsidRPr="00D40426" w:rsidRDefault="00D40426" w:rsidP="00D40426">
      <w:pPr>
        <w:rPr>
          <w:rFonts w:ascii="Times New Roman" w:hAnsi="Times New Roman" w:cs="Times New Roman"/>
          <w:sz w:val="24"/>
          <w:szCs w:val="24"/>
        </w:rPr>
      </w:pPr>
    </w:p>
    <w:p w14:paraId="0789B424" w14:textId="77777777" w:rsidR="00D40426" w:rsidRPr="00D40426" w:rsidRDefault="00D40426" w:rsidP="00D40426">
      <w:pPr>
        <w:rPr>
          <w:rFonts w:ascii="Times New Roman" w:hAnsi="Times New Roman" w:cs="Times New Roman"/>
          <w:sz w:val="24"/>
          <w:szCs w:val="24"/>
        </w:rPr>
      </w:pPr>
    </w:p>
    <w:p w14:paraId="48D0780F" w14:textId="77777777" w:rsidR="00D40426" w:rsidRPr="00D40426" w:rsidRDefault="00D40426" w:rsidP="00D40426">
      <w:pPr>
        <w:rPr>
          <w:rFonts w:ascii="Times New Roman" w:hAnsi="Times New Roman" w:cs="Times New Roman"/>
          <w:sz w:val="24"/>
          <w:szCs w:val="24"/>
        </w:rPr>
      </w:pPr>
    </w:p>
    <w:p w14:paraId="009AAD06" w14:textId="77777777" w:rsidR="00D40426" w:rsidRPr="00D40426" w:rsidRDefault="00D40426" w:rsidP="00D40426">
      <w:pPr>
        <w:rPr>
          <w:rFonts w:ascii="Times New Roman" w:hAnsi="Times New Roman" w:cs="Times New Roman"/>
          <w:sz w:val="24"/>
          <w:szCs w:val="24"/>
        </w:rPr>
      </w:pPr>
    </w:p>
    <w:p w14:paraId="48EC5CED" w14:textId="77777777" w:rsidR="00D40426" w:rsidRDefault="00D40426" w:rsidP="00D40426">
      <w:pPr>
        <w:rPr>
          <w:rFonts w:ascii="Times New Roman" w:hAnsi="Times New Roman" w:cs="Times New Roman"/>
          <w:sz w:val="24"/>
          <w:szCs w:val="24"/>
        </w:rPr>
      </w:pPr>
    </w:p>
    <w:p w14:paraId="06327F68" w14:textId="77777777" w:rsidR="00346F3E" w:rsidRDefault="00346F3E" w:rsidP="00D40426">
      <w:pPr>
        <w:rPr>
          <w:rFonts w:ascii="Times New Roman" w:hAnsi="Times New Roman" w:cs="Times New Roman"/>
          <w:sz w:val="24"/>
          <w:szCs w:val="24"/>
        </w:rPr>
      </w:pPr>
    </w:p>
    <w:p w14:paraId="1028744B" w14:textId="77777777" w:rsidR="00346F3E" w:rsidRDefault="00346F3E" w:rsidP="00D40426">
      <w:pPr>
        <w:rPr>
          <w:rFonts w:ascii="Times New Roman" w:hAnsi="Times New Roman" w:cs="Times New Roman"/>
          <w:sz w:val="24"/>
          <w:szCs w:val="24"/>
        </w:rPr>
      </w:pPr>
    </w:p>
    <w:p w14:paraId="7552F3B9" w14:textId="77777777" w:rsidR="00346F3E" w:rsidRDefault="00346F3E" w:rsidP="00D40426">
      <w:pPr>
        <w:rPr>
          <w:rFonts w:ascii="Times New Roman" w:hAnsi="Times New Roman" w:cs="Times New Roman"/>
          <w:sz w:val="24"/>
          <w:szCs w:val="24"/>
        </w:rPr>
      </w:pPr>
    </w:p>
    <w:p w14:paraId="3C94D706" w14:textId="77777777" w:rsidR="00346F3E" w:rsidRDefault="00346F3E" w:rsidP="00D40426">
      <w:pPr>
        <w:rPr>
          <w:rFonts w:ascii="Times New Roman" w:hAnsi="Times New Roman" w:cs="Times New Roman"/>
          <w:sz w:val="24"/>
          <w:szCs w:val="24"/>
        </w:rPr>
      </w:pPr>
    </w:p>
    <w:p w14:paraId="28F7119E" w14:textId="77777777" w:rsidR="00346F3E" w:rsidRDefault="00346F3E" w:rsidP="00D40426">
      <w:pPr>
        <w:rPr>
          <w:rFonts w:ascii="Times New Roman" w:hAnsi="Times New Roman" w:cs="Times New Roman"/>
          <w:sz w:val="24"/>
          <w:szCs w:val="24"/>
        </w:rPr>
      </w:pPr>
    </w:p>
    <w:p w14:paraId="1F51A0C9" w14:textId="77777777" w:rsidR="00346F3E" w:rsidRDefault="00346F3E" w:rsidP="00D40426">
      <w:pPr>
        <w:rPr>
          <w:rFonts w:ascii="Times New Roman" w:hAnsi="Times New Roman" w:cs="Times New Roman"/>
          <w:sz w:val="24"/>
          <w:szCs w:val="24"/>
        </w:rPr>
      </w:pPr>
    </w:p>
    <w:p w14:paraId="409F3A42" w14:textId="77777777" w:rsidR="00346F3E" w:rsidRPr="00D40426" w:rsidRDefault="00346F3E" w:rsidP="00D40426">
      <w:pPr>
        <w:rPr>
          <w:rFonts w:ascii="Times New Roman" w:hAnsi="Times New Roman" w:cs="Times New Roman"/>
          <w:sz w:val="24"/>
          <w:szCs w:val="24"/>
        </w:rPr>
      </w:pPr>
    </w:p>
    <w:p w14:paraId="2EB5CE36" w14:textId="77777777" w:rsidR="00D40426" w:rsidRPr="00D40426" w:rsidRDefault="00D40426" w:rsidP="005E51D5">
      <w:pPr>
        <w:pStyle w:val="Heading1"/>
      </w:pPr>
      <w:bookmarkStart w:id="0" w:name="_Toc224782557"/>
      <w:r w:rsidRPr="00D40426">
        <w:lastRenderedPageBreak/>
        <w:t>EXECUTIVE SUMMARY</w:t>
      </w:r>
      <w:bookmarkEnd w:id="0"/>
    </w:p>
    <w:p w14:paraId="0FB4B1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This paper provides a financial analysis of HSBC UK Bank plc for the fiscal years 2023 and 2024, as well as an investment appraisal for Westward Plc. Part A employs standard ratio analysis across five categories—profitability, liquidity, efficiency, gearing, and investor ratios—to assess financial health and performance. Part B utilises Net Present Value (NPV), Internal Rate of Return (IRR), and Payback Period methodologies to evaluate three mutually exclusive capital investment alternatives.</w:t>
      </w:r>
    </w:p>
    <w:p w14:paraId="221BAA4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Part A demonstrates a varied performance assessment. Return on Equity decreased from 21.8% to 16.5%, although Gross Profit Margin remained robust at 62.4%. The Current Ratio of 1.18 in 2024 signifies sufficient although constrained short-term liquidity. The Gearing Ratio of 89.3% indicates HSBC UK's significant leverage, aligning with typical banking business practices. The Dividend Payout Ratio rose markedly to 80.7%, indicating proactive capital management. </w:t>
      </w:r>
    </w:p>
    <w:p w14:paraId="1A60D21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Part B designates Option B (Internet Sales Development) as the superior investment for Westward Plc, yielding an NPV of £792,245 and an IRR of 32.45%, significantly exceeding the 6% cost of capital. A proposed financing structure integrates retained earnings, long-term debt, and equity in a balanced manner.</w:t>
      </w:r>
    </w:p>
    <w:p w14:paraId="2CF67C79" w14:textId="77777777" w:rsidR="00D40426" w:rsidRPr="00D40426" w:rsidRDefault="00D40426" w:rsidP="005E51D5">
      <w:pPr>
        <w:pStyle w:val="Heading1"/>
      </w:pPr>
      <w:bookmarkStart w:id="1" w:name="_Toc224782558"/>
      <w:r w:rsidRPr="00D40426">
        <w:t>PART A: RATIO ANALYSIS OF HSBC UK BANK PLC</w:t>
      </w:r>
      <w:bookmarkEnd w:id="1"/>
    </w:p>
    <w:p w14:paraId="0711F165" w14:textId="77777777" w:rsidR="00D40426" w:rsidRPr="00D40426" w:rsidRDefault="00D40426" w:rsidP="00D40426">
      <w:pPr>
        <w:rPr>
          <w:rFonts w:ascii="Times New Roman" w:hAnsi="Times New Roman" w:cs="Times New Roman"/>
          <w:sz w:val="24"/>
          <w:szCs w:val="24"/>
        </w:rPr>
      </w:pPr>
    </w:p>
    <w:p w14:paraId="56667573" w14:textId="77777777" w:rsidR="00D40426" w:rsidRPr="00D40426" w:rsidRDefault="00D40426" w:rsidP="005E51D5">
      <w:pPr>
        <w:pStyle w:val="Heading2"/>
      </w:pPr>
      <w:bookmarkStart w:id="2" w:name="_Toc224782559"/>
      <w:r w:rsidRPr="00D40426">
        <w:t>1. Introduction</w:t>
      </w:r>
      <w:bookmarkEnd w:id="2"/>
    </w:p>
    <w:p w14:paraId="33B49A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This section examines the financial performance of HSBC UK Bank plc in 2023 and 2024. Financial ratios are used as the primary method of financial statement analysis, as they help to interpret complex financial information in an understandable and comparable manner, including comparisons with industry standards (Walsh, 2008; Woelfel, 1994). Financial statement analysis is the best method for evaluating the performance of management in guiding the bank and assessing the financial health of the institution for external stakeholders (Penman, 2013).</w:t>
      </w:r>
    </w:p>
    <w:p w14:paraId="32A115F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HSBC UK Bank plc is a ring-fenced retail and commercial bank, wholly owned by HSBC Holdings plc. It is regulated by the PRA and FCA. HSBC UK Bank plc serves a wide range of customers in retail banking, wealth management, and commercial banking (HSBC UK Bank plc, 2024). During 2023 and 2024, HSBC UK Bank plc faced an increase in interest rates, inflation, and the process of integrating Silicon Valley Bank UK, acquired by HSBC in March 2023.</w:t>
      </w:r>
    </w:p>
    <w:p w14:paraId="68D434EA" w14:textId="77777777" w:rsidR="00D40426" w:rsidRPr="00D40426" w:rsidRDefault="00D40426" w:rsidP="005E51D5">
      <w:pPr>
        <w:pStyle w:val="Heading2"/>
      </w:pPr>
      <w:bookmarkStart w:id="3" w:name="_Toc224782560"/>
      <w:r w:rsidRPr="00D40426">
        <w:t>2. Purpose and Benefits of Ratio Analysis</w:t>
      </w:r>
      <w:bookmarkEnd w:id="3"/>
    </w:p>
    <w:p w14:paraId="2FFED7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Ratio analysis is a cornerstone of financial statement evaluation, enabling stakeholders to assess performance, identify trends, and benchmark against peers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xml:space="preserve"> and McLaney, 2021). Its principal benefits include simplifying complex financial data into easily interpreted metrics, enabling comparisons over time and across organisations, and providing early warning indicators of financial risk.</w:t>
      </w:r>
    </w:p>
    <w:p w14:paraId="5EAB1CF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Academic literature identifies five principal categories of ratios applicable to organisational analysis: profitability, liquidity, efficiency, gearing, and investor ratios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Arnold, 2013). Profitability ratios measure a firm's ability to generate earnings relative to revenue or capital employed. Liquidity ratios assess the capacity to meet short-term obligations. Efficiency ratios evaluate how effectively resources are deployed. Gearing ratios examine the balance between debt and equity financing and assess financial risk. Investor ratios consider returns and value metrics relevant to shareholders. Each category addresses a distinct dimension of financial health, and together they provide a holistic view of organisational performance (Saunders and Cornett, 2021).</w:t>
      </w:r>
    </w:p>
    <w:p w14:paraId="6583CD2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Ratio analysis does, however, carry limitations. Ratios are backward-looking, derived from historical data, and dependent on accounting conventions that vary across firms. They also capture point-in-time measurements and exclude qualitative factors such as management quality and strategic positioning (Penman, 2013; Drury, 2020). These limitations are discussed further in Section 5.</w:t>
      </w:r>
    </w:p>
    <w:p w14:paraId="0C61662D" w14:textId="77777777" w:rsidR="00D40426" w:rsidRPr="00D40426" w:rsidRDefault="00D40426" w:rsidP="005E51D5">
      <w:pPr>
        <w:pStyle w:val="Heading2"/>
      </w:pPr>
      <w:bookmarkStart w:id="4" w:name="_Toc224782561"/>
      <w:r w:rsidRPr="00D40426">
        <w:t>3. Financial Performance Analysis Using Ratios</w:t>
      </w:r>
      <w:bookmarkEnd w:id="4"/>
    </w:p>
    <w:p w14:paraId="0F99712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sections that follow describe the five types of ratios that have been computed for HSBC UK Bank plc. Benchmarks have also been provided for each type of ratio for better comprehension. Benchmarks for the industry have been based on the statistics provided by the Bank of England (2024), Koch and MacDonald (2014), and Saunders and Cornett (2021). Note: Since HSBC UK Bank plc is a bank, some ratios are structurally not applicable. In such cases, the best alternative ratios have been used, as explained below.</w:t>
      </w:r>
    </w:p>
    <w:p w14:paraId="0C962CAD" w14:textId="77777777" w:rsidR="00D40426" w:rsidRPr="00D40426" w:rsidRDefault="00D40426" w:rsidP="005E51D5">
      <w:pPr>
        <w:pStyle w:val="Heading3"/>
      </w:pPr>
      <w:bookmarkStart w:id="5" w:name="_Toc224782562"/>
      <w:r w:rsidRPr="00D40426">
        <w:t>3.1 Profitability Ratios [F.Y. 2023 &amp; 2024]</w:t>
      </w:r>
      <w:bookmarkEnd w:id="5"/>
    </w:p>
    <w:p w14:paraId="783C9DF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profitability ratios show the measure of the degree to which a firm is profitable in comparison to the revenue and capital employed by the firm. The standard profitability ratios that have been used in this study are Gross Profit Margin, Net Profit Margin, Return on Equity, and Return on Assets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Walsh, 2008).</w:t>
      </w:r>
    </w:p>
    <w:p w14:paraId="48852AF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Industry Benchmarks:</w:t>
      </w:r>
    </w:p>
    <w:p w14:paraId="37CEAA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ROE 10-15%, ROA 0.8-1.2%, Gross Profit Margin 55-65%, Net Profit Margin 20-30%</w:t>
      </w:r>
    </w:p>
    <w:p w14:paraId="0E7505A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For Retail &amp; Commercial Banks in the UK (Saunders &amp; Cornett, 2021)</w:t>
      </w:r>
    </w:p>
    <w:tbl>
      <w:tblPr>
        <w:tblW w:w="83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36"/>
        <w:gridCol w:w="1116"/>
        <w:gridCol w:w="1154"/>
        <w:gridCol w:w="1135"/>
        <w:gridCol w:w="2129"/>
      </w:tblGrid>
      <w:tr w:rsidR="00D40426" w:rsidRPr="00D40426" w14:paraId="663C83A9" w14:textId="77777777">
        <w:tc>
          <w:tcPr>
            <w:tcW w:w="283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A67D5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115"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C7961C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15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7A93F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13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2FF79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2127"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DE5DC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Industry Benchmark</w:t>
            </w:r>
          </w:p>
        </w:tc>
      </w:tr>
      <w:tr w:rsidR="00D40426" w:rsidRPr="00D40426" w14:paraId="6281AFDA" w14:textId="77777777">
        <w:tc>
          <w:tcPr>
            <w:tcW w:w="28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3A93D80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Profit Margin</w:t>
            </w:r>
          </w:p>
        </w:tc>
        <w:tc>
          <w:tcPr>
            <w:tcW w:w="1115"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54D2E1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64.1%</w:t>
            </w:r>
          </w:p>
        </w:tc>
        <w:tc>
          <w:tcPr>
            <w:tcW w:w="1153"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391B1F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62.4%</w:t>
            </w:r>
          </w:p>
        </w:tc>
        <w:tc>
          <w:tcPr>
            <w:tcW w:w="11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6085A64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2127"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0249C1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 – 65%</w:t>
            </w:r>
          </w:p>
        </w:tc>
      </w:tr>
      <w:tr w:rsidR="00D40426" w:rsidRPr="00D40426" w14:paraId="433B0610" w14:textId="77777777">
        <w:tc>
          <w:tcPr>
            <w:tcW w:w="28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4441AE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Profit Margin</w:t>
            </w:r>
          </w:p>
        </w:tc>
        <w:tc>
          <w:tcPr>
            <w:tcW w:w="111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3C8350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28.3%</w:t>
            </w:r>
          </w:p>
        </w:tc>
        <w:tc>
          <w:tcPr>
            <w:tcW w:w="115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2A741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22.7%</w:t>
            </w:r>
          </w:p>
        </w:tc>
        <w:tc>
          <w:tcPr>
            <w:tcW w:w="11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5789FE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−5.6 pp</w:t>
            </w:r>
          </w:p>
        </w:tc>
        <w:tc>
          <w:tcPr>
            <w:tcW w:w="2127"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6F9BB35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20% – 30%</w:t>
            </w:r>
          </w:p>
        </w:tc>
      </w:tr>
      <w:tr w:rsidR="00D40426" w:rsidRPr="00D40426" w14:paraId="69B9F993" w14:textId="77777777">
        <w:tc>
          <w:tcPr>
            <w:tcW w:w="28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4A6473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Return on Equity (ROE)</w:t>
            </w:r>
          </w:p>
        </w:tc>
        <w:tc>
          <w:tcPr>
            <w:tcW w:w="1115"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0AA9E78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21.8%</w:t>
            </w:r>
          </w:p>
        </w:tc>
        <w:tc>
          <w:tcPr>
            <w:tcW w:w="1153"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33235FB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16.5%</w:t>
            </w:r>
          </w:p>
        </w:tc>
        <w:tc>
          <w:tcPr>
            <w:tcW w:w="11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6F1AA74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−5.3 pp</w:t>
            </w:r>
          </w:p>
        </w:tc>
        <w:tc>
          <w:tcPr>
            <w:tcW w:w="2127"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6C8FF51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 – 15%</w:t>
            </w:r>
          </w:p>
        </w:tc>
      </w:tr>
      <w:tr w:rsidR="00D40426" w:rsidRPr="00D40426" w14:paraId="0AA7C8BD" w14:textId="77777777">
        <w:tc>
          <w:tcPr>
            <w:tcW w:w="28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EA8593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Return on Assets (ROA)</w:t>
            </w:r>
          </w:p>
        </w:tc>
        <w:tc>
          <w:tcPr>
            <w:tcW w:w="111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B7455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1.56%</w:t>
            </w:r>
          </w:p>
        </w:tc>
        <w:tc>
          <w:tcPr>
            <w:tcW w:w="115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8EE95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1.23%</w:t>
            </w:r>
          </w:p>
        </w:tc>
        <w:tc>
          <w:tcPr>
            <w:tcW w:w="11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3DDE2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−0.33 pp</w:t>
            </w:r>
          </w:p>
        </w:tc>
        <w:tc>
          <w:tcPr>
            <w:tcW w:w="2127"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2257501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 – 1.2%</w:t>
            </w:r>
          </w:p>
        </w:tc>
      </w:tr>
    </w:tbl>
    <w:p w14:paraId="61CCBA59" w14:textId="77777777" w:rsidR="00D40426" w:rsidRPr="00D40426" w:rsidRDefault="00D40426" w:rsidP="00D40426">
      <w:pPr>
        <w:rPr>
          <w:rFonts w:ascii="Times New Roman" w:hAnsi="Times New Roman" w:cs="Times New Roman"/>
          <w:sz w:val="24"/>
          <w:szCs w:val="24"/>
        </w:rPr>
      </w:pPr>
    </w:p>
    <w:p w14:paraId="0615D14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lastRenderedPageBreak/>
        <w:t xml:space="preserve">Critical Evaluation: </w:t>
      </w:r>
      <w:r w:rsidRPr="00D40426">
        <w:rPr>
          <w:rFonts w:ascii="Times New Roman" w:hAnsi="Times New Roman" w:cs="Times New Roman"/>
          <w:sz w:val="24"/>
          <w:szCs w:val="24"/>
        </w:rPr>
        <w:t xml:space="preserve">The gross profit margin recorded a minimal decline from 64.1% to 62.4%, but this is still well within the sector’s benchmark range of 55-65%. This is an indication that HSBC UK’s core income generation with respect to direct costs is still quite robust. The minimal decline is as a result of moderately higher funding costs as the bank faces the challenges of a high-intensity deposit competition under a high-interest-rate regime. The net profit margin recorded a more significant decline from 28.3% to 22.7%, but this is still well within the sector’s range of 20-30%. This decline is a result of the rising operating costs as well as the non-recurring acquisition costs of SVBUK. Penman (2013) asserts that non-recurring items may distort </w:t>
      </w:r>
      <w:proofErr w:type="spellStart"/>
      <w:r w:rsidRPr="00D40426">
        <w:rPr>
          <w:rFonts w:ascii="Times New Roman" w:hAnsi="Times New Roman" w:cs="Times New Roman"/>
          <w:sz w:val="24"/>
          <w:szCs w:val="24"/>
        </w:rPr>
        <w:t>interperiod</w:t>
      </w:r>
      <w:proofErr w:type="spellEnd"/>
      <w:r w:rsidRPr="00D40426">
        <w:rPr>
          <w:rFonts w:ascii="Times New Roman" w:hAnsi="Times New Roman" w:cs="Times New Roman"/>
          <w:sz w:val="24"/>
          <w:szCs w:val="24"/>
        </w:rPr>
        <w:t xml:space="preserve"> comparisons. Therefore, the net profit margin recorded in 2024 is a more reliable indicator of the bank’s capacity to generate earnings. The return on equity recorded a decline from 21.8% to 16.5%, moving from above the sector’s range of 10-15% to the sector’s range. Therefore, this is a confirmation of the theoretical assertions that the market tends towards the mean after non-recurring income events, as established by Koch &amp; MacDonald (2014). Return on assets recorded a decline from 1.56% to 1.23%, which is above the sector’s range of 0.8-1.2%. Therefore, this is a confirmation that the bank is still efficiently generating earnings with respect to asset utilization. In conclusion, although the profitability recorded in 2024 is below that recorded in 2023, the profitability is still above the sector’s benchmarks and is a more reliable indicator of the bank’s capacity to generate earnings going into the future.</w:t>
      </w:r>
    </w:p>
    <w:p w14:paraId="0E0B8989" w14:textId="77777777" w:rsidR="00D40426" w:rsidRPr="00D40426" w:rsidRDefault="00D40426" w:rsidP="005E51D5">
      <w:pPr>
        <w:pStyle w:val="Heading3"/>
      </w:pPr>
      <w:bookmarkStart w:id="6" w:name="_Toc224782563"/>
      <w:r w:rsidRPr="00D40426">
        <w:t>3.2 Liquidity Ratios [F.Y. 2023 &amp; 2024]</w:t>
      </w:r>
      <w:bookmarkEnd w:id="6"/>
    </w:p>
    <w:p w14:paraId="6BA80B5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Liquidity ratios measure the organisation’s ability to pay short-term liabilities by using available assets. There are two types of liquidity ratios. These are the Current Ratio and the Quick Ratio, also called the Acid Test. According to industry ratios for banks, the Current Ratio is 1.1 to 1.3, and the Quick Ratio is 1.0 to 1.2 (Mishkin, 2019; Casu, </w:t>
      </w:r>
      <w:proofErr w:type="spellStart"/>
      <w:r w:rsidRPr="00D40426">
        <w:rPr>
          <w:rFonts w:ascii="Times New Roman" w:hAnsi="Times New Roman" w:cs="Times New Roman"/>
          <w:sz w:val="24"/>
          <w:szCs w:val="24"/>
        </w:rPr>
        <w:t>Girardone</w:t>
      </w:r>
      <w:proofErr w:type="spellEnd"/>
      <w:r w:rsidRPr="00D40426">
        <w:rPr>
          <w:rFonts w:ascii="Times New Roman" w:hAnsi="Times New Roman" w:cs="Times New Roman"/>
          <w:sz w:val="24"/>
          <w:szCs w:val="24"/>
        </w:rPr>
        <w:t>, and Molyneux, 2015).</w:t>
      </w:r>
    </w:p>
    <w:tbl>
      <w:tblPr>
        <w:tblW w:w="90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93"/>
        <w:gridCol w:w="1134"/>
        <w:gridCol w:w="992"/>
        <w:gridCol w:w="1134"/>
        <w:gridCol w:w="3123"/>
      </w:tblGrid>
      <w:tr w:rsidR="00D40426" w:rsidRPr="00D40426" w14:paraId="396A03FF" w14:textId="77777777">
        <w:tc>
          <w:tcPr>
            <w:tcW w:w="269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8C7AF6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13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FA1794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992"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40B7929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13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D7F31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312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39BC1E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Industry Benchmark</w:t>
            </w:r>
          </w:p>
        </w:tc>
      </w:tr>
      <w:tr w:rsidR="00D40426" w:rsidRPr="00D40426" w14:paraId="28AF47B0" w14:textId="77777777">
        <w:tc>
          <w:tcPr>
            <w:tcW w:w="2693"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3328221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Current Ratio</w:t>
            </w:r>
          </w:p>
        </w:tc>
        <w:tc>
          <w:tcPr>
            <w:tcW w:w="11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25B04E4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1.24</w:t>
            </w:r>
          </w:p>
        </w:tc>
        <w:tc>
          <w:tcPr>
            <w:tcW w:w="992"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77B8D5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1.18</w:t>
            </w:r>
          </w:p>
        </w:tc>
        <w:tc>
          <w:tcPr>
            <w:tcW w:w="11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08E4C26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3123"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4B020CB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1.1x – 1.3x</w:t>
            </w:r>
          </w:p>
        </w:tc>
      </w:tr>
      <w:tr w:rsidR="00D40426" w:rsidRPr="00D40426" w14:paraId="4D421724" w14:textId="77777777">
        <w:tc>
          <w:tcPr>
            <w:tcW w:w="269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75DF80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Quick Ratio (Acid Test)</w:t>
            </w:r>
          </w:p>
        </w:tc>
        <w:tc>
          <w:tcPr>
            <w:tcW w:w="11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B016D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1.22</w:t>
            </w:r>
          </w:p>
        </w:tc>
        <w:tc>
          <w:tcPr>
            <w:tcW w:w="992"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0E3E6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1.16</w:t>
            </w:r>
          </w:p>
        </w:tc>
        <w:tc>
          <w:tcPr>
            <w:tcW w:w="11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216890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3123"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1593417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1.0x – 1.2x</w:t>
            </w:r>
          </w:p>
        </w:tc>
      </w:tr>
    </w:tbl>
    <w:p w14:paraId="7B7E956B" w14:textId="77777777" w:rsidR="00D40426" w:rsidRPr="00D40426" w:rsidRDefault="00D40426" w:rsidP="00D40426">
      <w:pPr>
        <w:rPr>
          <w:rFonts w:ascii="Times New Roman" w:hAnsi="Times New Roman" w:cs="Times New Roman"/>
          <w:sz w:val="24"/>
          <w:szCs w:val="24"/>
        </w:rPr>
      </w:pPr>
    </w:p>
    <w:p w14:paraId="423725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Critical Evaluation:</w:t>
      </w:r>
      <w:r w:rsidRPr="00D40426">
        <w:rPr>
          <w:rFonts w:ascii="Times New Roman" w:hAnsi="Times New Roman" w:cs="Times New Roman"/>
          <w:sz w:val="24"/>
          <w:szCs w:val="24"/>
        </w:rPr>
        <w:t xml:space="preserve"> The Current Ratio reduced slightly from 1.24 to 1.18, still within the range of 1.1-1.3, an appropriate range for the banking sector. This shows that HSBC UK is adequately liquid to pay its short-term debts. Although there is a slight reduction in the Current Ratio, it should be monitored. According to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xml:space="preserve"> (2019), if the current ratio is below 1.0, it implies that the company lacks the ability to pay its short-term debts, and high current ratios could be an indication that the company holds idle capital. The bank’s current ratio is still within the standard range, showing that HSBC UK’s management practices are balanced. The Quick Ratio, in the case of banks, is an equivalent measure of the Current Ratio, as physical inventory does not form part of their balance sheet. The Quick Ratio reduced slightly from 1.22 to 1.16, still within the standard range of 1.0-1.2. According to Casu, </w:t>
      </w:r>
      <w:proofErr w:type="spellStart"/>
      <w:r w:rsidRPr="00D40426">
        <w:rPr>
          <w:rFonts w:ascii="Times New Roman" w:hAnsi="Times New Roman" w:cs="Times New Roman"/>
          <w:sz w:val="24"/>
          <w:szCs w:val="24"/>
        </w:rPr>
        <w:t>Girardone</w:t>
      </w:r>
      <w:proofErr w:type="spellEnd"/>
      <w:r w:rsidRPr="00D40426">
        <w:rPr>
          <w:rFonts w:ascii="Times New Roman" w:hAnsi="Times New Roman" w:cs="Times New Roman"/>
          <w:sz w:val="24"/>
          <w:szCs w:val="24"/>
        </w:rPr>
        <w:t xml:space="preserve">, and Molyneux (2015), the management of bank liquidity differs from that of other </w:t>
      </w:r>
      <w:r w:rsidRPr="00D40426">
        <w:rPr>
          <w:rFonts w:ascii="Times New Roman" w:hAnsi="Times New Roman" w:cs="Times New Roman"/>
          <w:sz w:val="24"/>
          <w:szCs w:val="24"/>
        </w:rPr>
        <w:lastRenderedPageBreak/>
        <w:t>non-financial companies due to the nature of their business, where their sources of funds are mainly deposits, which are subject to instant withdrawal. The reduction in both ratios indicates that HSBC UK is adequately liquid to pay its short-term debts. The slight reduction in both ratios could be due to the expansion of the balance sheet and increased capital utilization due to the SVB UK integration. The management should, however, be vigilant, especially as interest rates are rising and depositors could withdraw their funds (Bank of England, 2024).</w:t>
      </w:r>
    </w:p>
    <w:p w14:paraId="58B21418" w14:textId="77777777" w:rsidR="00D40426" w:rsidRPr="00D40426" w:rsidRDefault="00D40426" w:rsidP="005E51D5">
      <w:pPr>
        <w:pStyle w:val="Heading3"/>
      </w:pPr>
      <w:bookmarkStart w:id="7" w:name="_Toc224782564"/>
      <w:r w:rsidRPr="00D40426">
        <w:t>3.3 Efficiency Ratios [F.Y. 2023 &amp; 2024]</w:t>
      </w:r>
      <w:bookmarkEnd w:id="7"/>
    </w:p>
    <w:p w14:paraId="42B9C8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These ratios are used to measure how well an organization is utilizing its assets to generate revenue (Woelfel, 1994; Drury, 2020). For financial institutions, applicable efficiency ratios would be: Asset Turnover Ratio; Operating Expense Ratio. Industry benchmarks: Asset Turnover Ratio: 0.03-0.05x; Operating Expense Ratio: 45-55%. (Walsh, 2008; Koch and MacDonald, 2014). Note: Inventory Turnover Ratio and Debtor Days are not applicable to a bank’s business model.</w:t>
      </w:r>
    </w:p>
    <w:tbl>
      <w:tblPr>
        <w:tblW w:w="85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2"/>
        <w:gridCol w:w="1268"/>
        <w:gridCol w:w="1458"/>
        <w:gridCol w:w="1134"/>
        <w:gridCol w:w="1849"/>
      </w:tblGrid>
      <w:tr w:rsidR="00D40426" w:rsidRPr="00D40426" w14:paraId="38B98E11" w14:textId="77777777">
        <w:tc>
          <w:tcPr>
            <w:tcW w:w="2802"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6C57DE3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268"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1F3F99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458"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7BAA5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13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E72511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849"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29E94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Industry Benchmark</w:t>
            </w:r>
          </w:p>
        </w:tc>
      </w:tr>
      <w:tr w:rsidR="00D40426" w:rsidRPr="00D40426" w14:paraId="1FB1565E" w14:textId="77777777">
        <w:tc>
          <w:tcPr>
            <w:tcW w:w="2802"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418BF7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Asset Turnover Ratio</w:t>
            </w:r>
          </w:p>
        </w:tc>
        <w:tc>
          <w:tcPr>
            <w:tcW w:w="1268"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31A7CEB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0.055x</w:t>
            </w:r>
          </w:p>
        </w:tc>
        <w:tc>
          <w:tcPr>
            <w:tcW w:w="1458"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0DB29D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0.049x</w:t>
            </w:r>
          </w:p>
        </w:tc>
        <w:tc>
          <w:tcPr>
            <w:tcW w:w="1134"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184B28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−0.006x</w:t>
            </w:r>
          </w:p>
        </w:tc>
        <w:tc>
          <w:tcPr>
            <w:tcW w:w="1849"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16679AF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0.03x – 0.05x</w:t>
            </w:r>
          </w:p>
        </w:tc>
      </w:tr>
      <w:tr w:rsidR="00D40426" w:rsidRPr="00D40426" w14:paraId="0A6A4360" w14:textId="77777777">
        <w:tc>
          <w:tcPr>
            <w:tcW w:w="2802"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14B1D0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Operating Expense Ratio</w:t>
            </w:r>
          </w:p>
        </w:tc>
        <w:tc>
          <w:tcPr>
            <w:tcW w:w="1268"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9A671C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35.9%</w:t>
            </w:r>
          </w:p>
        </w:tc>
        <w:tc>
          <w:tcPr>
            <w:tcW w:w="1458"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168F63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37.6%</w:t>
            </w:r>
          </w:p>
        </w:tc>
        <w:tc>
          <w:tcPr>
            <w:tcW w:w="113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2BAFB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1849"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7A5783D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 – 55%</w:t>
            </w:r>
          </w:p>
        </w:tc>
      </w:tr>
    </w:tbl>
    <w:p w14:paraId="29A7730C" w14:textId="77777777" w:rsidR="00D40426" w:rsidRPr="00D40426" w:rsidRDefault="00D40426" w:rsidP="00D40426">
      <w:pPr>
        <w:rPr>
          <w:rFonts w:ascii="Times New Roman" w:hAnsi="Times New Roman" w:cs="Times New Roman"/>
          <w:sz w:val="24"/>
          <w:szCs w:val="24"/>
        </w:rPr>
      </w:pPr>
    </w:p>
    <w:p w14:paraId="17F55D8B" w14:textId="77777777" w:rsidR="00D40426" w:rsidRPr="00D40426" w:rsidRDefault="00D40426" w:rsidP="00D40426">
      <w:pPr>
        <w:rPr>
          <w:rFonts w:ascii="Times New Roman" w:hAnsi="Times New Roman" w:cs="Times New Roman"/>
          <w:sz w:val="24"/>
          <w:szCs w:val="24"/>
        </w:rPr>
      </w:pPr>
    </w:p>
    <w:p w14:paraId="3B124A3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Critical Evaluation:</w:t>
      </w:r>
      <w:r w:rsidRPr="00D40426">
        <w:rPr>
          <w:rFonts w:ascii="Times New Roman" w:hAnsi="Times New Roman" w:cs="Times New Roman"/>
          <w:sz w:val="24"/>
          <w:szCs w:val="24"/>
        </w:rPr>
        <w:t xml:space="preserve"> The company’s Asset Turnover Ratio has reduced from 0.055x to 0.049x. This means that its balance sheet growth has surpassed its revenue growth in 2024, partly because of the SVB UK deal that added to its holdings of low-yielding liquid assets (Koch and MacDonald, 2014). This is a concern because Walsh (2008) emphasizes that asset efficiency is a key factor in driving profitability in the long term. This is particularly important to banks because their balance sheets are significantly larger than those of non-financial firms. The company’s Operating Expense Ratio has also increased from 35.9% to 37.6%, although it is still within a relatively low range of 45-55%, a clear indicator that HSBC UK is still efficient in its operations relative to its peers in the industry. This is a clear advantage of its scale and infrastructure (KPMG, 2023). According to Woelfel (1994), increases in operating ratios are a reflection of strategic investment in technology and regulatory compliance, rather than inefficiency in operational control. This is particularly true in the banking industry in the UK because investment in technology is a requirement for long-term competitiveness (KPMG, 2023).</w:t>
      </w:r>
    </w:p>
    <w:p w14:paraId="47B67DC5" w14:textId="77777777" w:rsidR="00D40426" w:rsidRPr="00D40426" w:rsidRDefault="00D40426" w:rsidP="005E51D5">
      <w:pPr>
        <w:pStyle w:val="Heading3"/>
      </w:pPr>
      <w:bookmarkStart w:id="8" w:name="_Toc224782565"/>
      <w:r w:rsidRPr="00D40426">
        <w:t>3.4 Gearing Ratios [Fiscal Year 2023 &amp; 2024]</w:t>
      </w:r>
      <w:bookmarkEnd w:id="8"/>
    </w:p>
    <w:p w14:paraId="3F03BB3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Gearing ratios are used to measure the degree to which a company’s business is financed through debt rather than equity, and to test how well a company can pay off its debt from its operating profits (Arnold, 2013; Berk &amp; DeMarzo, 2020). The gearing ratios used are Debt to </w:t>
      </w:r>
      <w:r w:rsidRPr="00D40426">
        <w:rPr>
          <w:rFonts w:ascii="Times New Roman" w:hAnsi="Times New Roman" w:cs="Times New Roman"/>
          <w:sz w:val="24"/>
          <w:szCs w:val="24"/>
        </w:rPr>
        <w:lastRenderedPageBreak/>
        <w:t>Equity Ratio (Gearing Ratio), and Interest Cover. Industry benchmarks indicate a Gearing Ratio of 85-95% for retail banks in the UK, and an Interest Coverage Ratio greater than 2.0x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Prudential Regulation Authority, 2024).</w:t>
      </w:r>
    </w:p>
    <w:tbl>
      <w:tblPr>
        <w:tblW w:w="86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26"/>
        <w:gridCol w:w="1275"/>
        <w:gridCol w:w="1799"/>
        <w:gridCol w:w="1036"/>
        <w:gridCol w:w="2410"/>
      </w:tblGrid>
      <w:tr w:rsidR="00D40426" w:rsidRPr="00D40426" w14:paraId="45C9FF38" w14:textId="77777777">
        <w:tc>
          <w:tcPr>
            <w:tcW w:w="2126"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D32263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275"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7F0E1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799"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4F1241F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036"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A78B2A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241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36ADD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Industry Benchmark</w:t>
            </w:r>
          </w:p>
        </w:tc>
      </w:tr>
      <w:tr w:rsidR="00D40426" w:rsidRPr="00D40426" w14:paraId="69BF6DD7" w14:textId="77777777">
        <w:trPr>
          <w:trHeight w:val="640"/>
        </w:trPr>
        <w:tc>
          <w:tcPr>
            <w:tcW w:w="2126"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7150D378" w14:textId="77777777" w:rsidR="00D40426" w:rsidRPr="00D40426" w:rsidRDefault="00D40426" w:rsidP="00D40426">
            <w:pPr>
              <w:rPr>
                <w:rFonts w:ascii="Times New Roman" w:hAnsi="Times New Roman" w:cs="Times New Roman"/>
                <w:b/>
                <w:bCs/>
                <w:sz w:val="24"/>
                <w:szCs w:val="24"/>
              </w:rPr>
            </w:pPr>
            <w:r w:rsidRPr="00D40426">
              <w:rPr>
                <w:rFonts w:ascii="Times New Roman" w:hAnsi="Times New Roman" w:cs="Times New Roman"/>
                <w:b/>
                <w:bCs/>
                <w:sz w:val="24"/>
                <w:szCs w:val="24"/>
              </w:rPr>
              <w:t>Gearing Ratio (Debt/Equity)</w:t>
            </w:r>
          </w:p>
        </w:tc>
        <w:tc>
          <w:tcPr>
            <w:tcW w:w="1275"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44CD916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91.2%</w:t>
            </w:r>
          </w:p>
        </w:tc>
        <w:tc>
          <w:tcPr>
            <w:tcW w:w="1799"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1D505BD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89.3%</w:t>
            </w:r>
          </w:p>
        </w:tc>
        <w:tc>
          <w:tcPr>
            <w:tcW w:w="1036"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2EE0E44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−1.9 pp</w:t>
            </w:r>
          </w:p>
        </w:tc>
        <w:tc>
          <w:tcPr>
            <w:tcW w:w="2410"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04A2847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85% – 95%</w:t>
            </w:r>
          </w:p>
        </w:tc>
      </w:tr>
      <w:tr w:rsidR="00D40426" w:rsidRPr="00D40426" w14:paraId="679437B4" w14:textId="77777777">
        <w:tc>
          <w:tcPr>
            <w:tcW w:w="212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FE5B0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Interest Cover</w:t>
            </w:r>
          </w:p>
        </w:tc>
        <w:tc>
          <w:tcPr>
            <w:tcW w:w="127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9C1CD3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3.8x</w:t>
            </w:r>
          </w:p>
        </w:tc>
        <w:tc>
          <w:tcPr>
            <w:tcW w:w="1799"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AEB86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3.2x</w:t>
            </w:r>
          </w:p>
        </w:tc>
        <w:tc>
          <w:tcPr>
            <w:tcW w:w="103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88B724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−0.6x</w:t>
            </w:r>
          </w:p>
        </w:tc>
        <w:tc>
          <w:tcPr>
            <w:tcW w:w="2410"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58AC5D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Above 2.0x</w:t>
            </w:r>
          </w:p>
        </w:tc>
      </w:tr>
    </w:tbl>
    <w:p w14:paraId="3C29E8C1" w14:textId="77777777" w:rsidR="00D40426" w:rsidRPr="00D40426" w:rsidRDefault="00D40426" w:rsidP="00D40426">
      <w:pPr>
        <w:rPr>
          <w:rFonts w:ascii="Times New Roman" w:hAnsi="Times New Roman" w:cs="Times New Roman"/>
          <w:sz w:val="24"/>
          <w:szCs w:val="24"/>
        </w:rPr>
      </w:pPr>
    </w:p>
    <w:p w14:paraId="2ED311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Critical Evaluation:</w:t>
      </w:r>
      <w:r w:rsidRPr="00D40426">
        <w:rPr>
          <w:rFonts w:ascii="Times New Roman" w:hAnsi="Times New Roman" w:cs="Times New Roman"/>
          <w:sz w:val="24"/>
          <w:szCs w:val="24"/>
        </w:rPr>
        <w:t xml:space="preserve"> The gearing ratio for 2023 stood at 91.2%, while for 2024, it stood at 89.3%. These are within the acceptable range for the banking industry, which should be between 85-95%. This reflects the inherently high leverage nature of retail banking business models (Mishkin, 2019). Banking business models are inherently geared towards debt finance, mainly client deposits. This results in a high gearing ratio, which far exceeds the non-financial sector industry standard. In other sectors, the acceptable range for a gearing ratio should be between 30-60%.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The decrease by 1.9% represents a marginal decrease. Arnold (2013) argues that gearing ratios should be evaluated within the context of the industry. High gearing for banking businesses reflects the business model rather than financial distress. The interest cover ratio has reduced from 3.8 to 3.2. However, this still represents a high ratio and far exceeds the threshold of 2.0. This shows that HSBC UK can pay its debt from its earnings. The decrease simply reflects higher interest expenses due to the current rate regime and an expanded balance sheet. Leland (1994) argues that high gearing for mature financial institutions is congruent with optimal capital structure theory, provided that the interest cover is high enough. Overall, the above analysis shows that HSBC UK’s capital structure is healthy.</w:t>
      </w:r>
    </w:p>
    <w:p w14:paraId="724C757D" w14:textId="77777777" w:rsidR="00D40426" w:rsidRPr="00D40426" w:rsidRDefault="00D40426" w:rsidP="005E51D5">
      <w:pPr>
        <w:pStyle w:val="Heading3"/>
      </w:pPr>
      <w:bookmarkStart w:id="9" w:name="_Toc224782566"/>
      <w:r w:rsidRPr="00D40426">
        <w:t>3.5 Investor Ratios [F.Y. 2023 &amp; 2024]</w:t>
      </w:r>
      <w:bookmarkEnd w:id="9"/>
    </w:p>
    <w:p w14:paraId="7A4442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Investor ratios are used by current and prospective shareholders to assess returns generated by the entity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Arnold, 2013). The standard investor ratios applied here are Earnings Per Share (EPS) and Dividend Payout Ratio.</w:t>
      </w:r>
    </w:p>
    <w:tbl>
      <w:tblPr>
        <w:tblW w:w="90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22"/>
        <w:gridCol w:w="1501"/>
        <w:gridCol w:w="1501"/>
        <w:gridCol w:w="1221"/>
        <w:gridCol w:w="2091"/>
      </w:tblGrid>
      <w:tr w:rsidR="00D40426" w:rsidRPr="00D40426" w14:paraId="3A222CF7" w14:textId="77777777">
        <w:tc>
          <w:tcPr>
            <w:tcW w:w="2722"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7B93A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501"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80B7A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501"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B60865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221"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10E76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2091"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2DE02E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Industry Benchmark</w:t>
            </w:r>
          </w:p>
        </w:tc>
      </w:tr>
      <w:tr w:rsidR="00D40426" w:rsidRPr="00D40426" w14:paraId="34322CD6" w14:textId="77777777">
        <w:tc>
          <w:tcPr>
            <w:tcW w:w="2722"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4C23C4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Earnings Per Share (EPS)</w:t>
            </w:r>
          </w:p>
        </w:tc>
        <w:tc>
          <w:tcPr>
            <w:tcW w:w="1501"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13469B4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Not Calculable</w:t>
            </w:r>
          </w:p>
        </w:tc>
        <w:tc>
          <w:tcPr>
            <w:tcW w:w="1501"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16C0C5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Not Calculable</w:t>
            </w:r>
          </w:p>
        </w:tc>
        <w:tc>
          <w:tcPr>
            <w:tcW w:w="1221" w:type="dxa"/>
            <w:tcBorders>
              <w:top w:val="single" w:sz="2" w:space="0" w:color="AAAAAA"/>
              <w:left w:val="single" w:sz="2" w:space="0" w:color="AAAAAA"/>
              <w:bottom w:val="single" w:sz="2" w:space="0" w:color="AAAAAA"/>
              <w:right w:val="single" w:sz="2" w:space="0" w:color="AAAAAA"/>
            </w:tcBorders>
            <w:shd w:val="clear" w:color="auto" w:fill="EBF3FB"/>
            <w:tcMar>
              <w:top w:w="80" w:type="dxa"/>
              <w:left w:w="120" w:type="dxa"/>
              <w:bottom w:w="80" w:type="dxa"/>
              <w:right w:w="120" w:type="dxa"/>
            </w:tcMar>
            <w:vAlign w:val="center"/>
            <w:hideMark/>
          </w:tcPr>
          <w:p w14:paraId="7C6D06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2091"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7DA4BEA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 (unlisted)</w:t>
            </w:r>
          </w:p>
        </w:tc>
      </w:tr>
      <w:tr w:rsidR="00D40426" w:rsidRPr="00D40426" w14:paraId="4D6FD8FE" w14:textId="77777777">
        <w:tc>
          <w:tcPr>
            <w:tcW w:w="2722"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3EEDB7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Dividend Payout Ratio</w:t>
            </w:r>
          </w:p>
        </w:tc>
        <w:tc>
          <w:tcPr>
            <w:tcW w:w="1501"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D6565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41.9%</w:t>
            </w:r>
          </w:p>
        </w:tc>
        <w:tc>
          <w:tcPr>
            <w:tcW w:w="1501"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5FD5F9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80.7%</w:t>
            </w:r>
          </w:p>
        </w:tc>
        <w:tc>
          <w:tcPr>
            <w:tcW w:w="1221"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44868B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+38.8 pp</w:t>
            </w:r>
          </w:p>
        </w:tc>
        <w:tc>
          <w:tcPr>
            <w:tcW w:w="2091" w:type="dxa"/>
            <w:tcBorders>
              <w:top w:val="single" w:sz="2" w:space="0" w:color="AAAAAA"/>
              <w:left w:val="single" w:sz="2" w:space="0" w:color="AAAAAA"/>
              <w:bottom w:val="single" w:sz="2" w:space="0" w:color="AAAAAA"/>
              <w:right w:val="single" w:sz="2" w:space="0" w:color="AAAAAA"/>
            </w:tcBorders>
            <w:shd w:val="clear" w:color="auto" w:fill="E2EFDA"/>
            <w:tcMar>
              <w:top w:w="80" w:type="dxa"/>
              <w:left w:w="120" w:type="dxa"/>
              <w:bottom w:w="80" w:type="dxa"/>
              <w:right w:w="120" w:type="dxa"/>
            </w:tcMar>
            <w:vAlign w:val="center"/>
            <w:hideMark/>
          </w:tcPr>
          <w:p w14:paraId="78E6E86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 – 60%</w:t>
            </w:r>
          </w:p>
        </w:tc>
      </w:tr>
    </w:tbl>
    <w:p w14:paraId="56E46D0D" w14:textId="77777777" w:rsidR="00D40426" w:rsidRPr="00D40426" w:rsidRDefault="00D40426" w:rsidP="00D40426">
      <w:pPr>
        <w:rPr>
          <w:rFonts w:ascii="Times New Roman" w:hAnsi="Times New Roman" w:cs="Times New Roman"/>
          <w:sz w:val="24"/>
          <w:szCs w:val="24"/>
        </w:rPr>
      </w:pPr>
    </w:p>
    <w:p w14:paraId="1438715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Critical Evaluation:</w:t>
      </w:r>
      <w:r w:rsidRPr="00D40426">
        <w:rPr>
          <w:rFonts w:ascii="Times New Roman" w:hAnsi="Times New Roman" w:cs="Times New Roman"/>
          <w:sz w:val="24"/>
          <w:szCs w:val="24"/>
        </w:rPr>
        <w:t xml:space="preserve"> EPS and dividend yield metrics are structurally inapplicable to HSBC UK Bank plc as it is a wholly owned, unlisted subsidiary with no publicly traded equity. Penman (2013) notes this is a common limitation when analysing subsidiary entities; full </w:t>
      </w:r>
      <w:r w:rsidRPr="00D40426">
        <w:rPr>
          <w:rFonts w:ascii="Times New Roman" w:hAnsi="Times New Roman" w:cs="Times New Roman"/>
          <w:sz w:val="24"/>
          <w:szCs w:val="24"/>
        </w:rPr>
        <w:lastRenderedPageBreak/>
        <w:t>investor ratio analysis would require evaluation at the HSBC Holdings plc group level where market data is available. The absence of calculable EPS does not reflect negatively on financial performance; rather, it is a structural feature of the organisation's ownership model. The Dividend Payout Ratio remains highly informative as a capital allocation indicator. Its significant increase from 41.9% in 2023 to 80.7% in 2024 reflects a strategic shift toward capital extraction from the subsidiary to the parent group, consistent with Jensen's (1986) free cash flow hypothesis, which argues that mature firms with limited reinvestment opportunities should distribute surplus capital. The industry benchmark for payout ratios in UK banks is 30–60% (Bank of England, 2024). The 2024 ratio of 80.7% substantially exceeds this benchmark, indicating an unusually high level of capital distribution. Whilst this may reflect management confidence in HSBC UK's earnings stability, Myers and Majluf (1984) caution that elevated payout ratios reduce internal capital buffers and may force costly external fundraising during periods of economic stress. The significant increase in dividend distribution therefore represents a key strategic risk warranting close monitoring alongside the bank's capital resilience position.</w:t>
      </w:r>
    </w:p>
    <w:p w14:paraId="546062AE" w14:textId="77777777" w:rsidR="00D40426" w:rsidRPr="00D40426" w:rsidRDefault="00D40426" w:rsidP="005E51D5">
      <w:pPr>
        <w:pStyle w:val="Heading2"/>
      </w:pPr>
      <w:bookmarkStart w:id="10" w:name="_Toc224782567"/>
      <w:r w:rsidRPr="00D40426">
        <w:t>4. Reasons for Ratio Changes Over the Period</w:t>
      </w:r>
      <w:bookmarkEnd w:id="10"/>
    </w:p>
    <w:p w14:paraId="10B68BC6" w14:textId="77777777" w:rsidR="00D40426" w:rsidRPr="00D40426" w:rsidRDefault="00D40426" w:rsidP="005E51D5">
      <w:pPr>
        <w:pStyle w:val="Heading3"/>
      </w:pPr>
      <w:bookmarkStart w:id="11" w:name="_Toc224782568"/>
      <w:r w:rsidRPr="00D40426">
        <w:t>4.1 Macroeconomic and Interest Rate Environment</w:t>
      </w:r>
      <w:bookmarkEnd w:id="11"/>
    </w:p>
    <w:p w14:paraId="461CE73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Bank of England’s policy rate rising to 5.25% helped to ensure income generation for all interest-bearing products, thus ensuring high gross profit margins. However, it also led to an increase in funding costs, thus reducing net profit margins due to increased competition on deposit pricing (Bank of England, 2024). According to Mishkin (2019), the effect of monetary policy on the profitability of banks through the monetary policy pass-through effect is asymmetric. Economic uncertainty further reduced lending demand, thus reducing asset turnover. However, a strong macroeconomic environment ensured high asset quality.</w:t>
      </w:r>
    </w:p>
    <w:p w14:paraId="5DE03E31" w14:textId="77777777" w:rsidR="00D40426" w:rsidRPr="00D40426" w:rsidRDefault="00D40426" w:rsidP="005E51D5">
      <w:pPr>
        <w:pStyle w:val="Heading3"/>
      </w:pPr>
      <w:bookmarkStart w:id="12" w:name="_Toc224782569"/>
      <w:r w:rsidRPr="00D40426">
        <w:t>4.2 One-Time Acquisition Impact</w:t>
      </w:r>
      <w:bookmarkEnd w:id="12"/>
    </w:p>
    <w:p w14:paraId="7EBEC3A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The acquisition of Silicon Valley Bank UK for a considerable discount on book value in March 2023 had a considerable non-recurring impact on profitability metrics for 2023, with a return on equity (ROE) of 21.8% and a return on assets (ROA) of 1.56%. Penman (2013) points out that it is imperative to distinguish between non-recurring and recurring items to </w:t>
      </w:r>
      <w:proofErr w:type="spellStart"/>
      <w:r w:rsidRPr="00D40426">
        <w:rPr>
          <w:rFonts w:ascii="Times New Roman" w:hAnsi="Times New Roman" w:cs="Times New Roman"/>
          <w:sz w:val="24"/>
          <w:szCs w:val="24"/>
        </w:rPr>
        <w:t>analyze</w:t>
      </w:r>
      <w:proofErr w:type="spellEnd"/>
      <w:r w:rsidRPr="00D40426">
        <w:rPr>
          <w:rFonts w:ascii="Times New Roman" w:hAnsi="Times New Roman" w:cs="Times New Roman"/>
          <w:sz w:val="24"/>
          <w:szCs w:val="24"/>
        </w:rPr>
        <w:t xml:space="preserve"> a company’s performance. The profitability metrics for 2024 are more reliable, with an ROE of 16.5% and an ROA of 1.23%.</w:t>
      </w:r>
    </w:p>
    <w:p w14:paraId="7763CB8E" w14:textId="77777777" w:rsidR="00D40426" w:rsidRPr="00D40426" w:rsidRDefault="00D40426" w:rsidP="005E51D5">
      <w:pPr>
        <w:pStyle w:val="Heading3"/>
      </w:pPr>
      <w:bookmarkStart w:id="13" w:name="_Toc224782570"/>
      <w:r w:rsidRPr="00D40426">
        <w:t>4.3 Strategic and Operational Factors</w:t>
      </w:r>
      <w:bookmarkEnd w:id="13"/>
    </w:p>
    <w:p w14:paraId="4A84FF4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Strategic decisions were seen to have impacted the ratios to a certain degree. The Dividend Payout Ratio increased from 41.9% to 80.7%, which reflects prudent management in line with Jensen’s (1986) free cash flow hypothesis. Technology investment and regulatory compliance spending contributed to an increase in the Operating Expense Ratio from 35.9% to 37.6%, although KPMG (2023) and Deloitte (2023) classify this spending as necessary long-term investment. There has been a small decline in gearing levels, which reflects prudent management.</w:t>
      </w:r>
    </w:p>
    <w:p w14:paraId="6B42D20F" w14:textId="77777777" w:rsidR="00D40426" w:rsidRPr="00D40426" w:rsidRDefault="00D40426" w:rsidP="005E51D5">
      <w:pPr>
        <w:pStyle w:val="Heading3"/>
      </w:pPr>
      <w:bookmarkStart w:id="14" w:name="_Toc224782571"/>
      <w:r w:rsidRPr="00D40426">
        <w:lastRenderedPageBreak/>
        <w:t>4.4 Competitive and Regulatory Dynamics</w:t>
      </w:r>
      <w:bookmarkEnd w:id="14"/>
    </w:p>
    <w:p w14:paraId="7D81864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Challenger bank competition and fintech firms impacted fee income. Regulatory requirements, including ring-fencing rules, have restricted the bank’s ability to change its business model (FCA, 2023; PRA, 2023). According to Greenbaum, Thakor, and Boot (2019), although regulatory constraints are stabilizing forces for the industry, they can negatively impact individual bank profitability.</w:t>
      </w:r>
    </w:p>
    <w:p w14:paraId="6D09434F" w14:textId="77777777" w:rsidR="00D40426" w:rsidRPr="00D40426" w:rsidRDefault="00D40426" w:rsidP="005E51D5">
      <w:pPr>
        <w:pStyle w:val="Heading2"/>
      </w:pPr>
      <w:bookmarkStart w:id="15" w:name="_Toc224782572"/>
      <w:r w:rsidRPr="00D40426">
        <w:t>5. Limitations of Ratio Analysis</w:t>
      </w:r>
      <w:bookmarkEnd w:id="15"/>
    </w:p>
    <w:p w14:paraId="17680EB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Ratio analysis has methodological limitations that are applicable to the analysis of HSBC UK. First, ratio analysis is backward-looking and does not give any guidance on future performance or future risks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xml:space="preserve">, 2019). Second, accounting standards such as IFRS 9 on expected credit losses are subjective and influence the profitability of a company (Saunders and Cornett, 2021). Third, ratio analysis is based on snapshot analysis, which may not capture changes within a particular accounting period due to balance sheet management (Drury, 2020). Fourth, ratio analysis for inter-firm analysis faces limitations due to heterogeneity across banking peers (Casu, </w:t>
      </w:r>
      <w:proofErr w:type="spellStart"/>
      <w:r w:rsidRPr="00D40426">
        <w:rPr>
          <w:rFonts w:ascii="Times New Roman" w:hAnsi="Times New Roman" w:cs="Times New Roman"/>
          <w:sz w:val="24"/>
          <w:szCs w:val="24"/>
        </w:rPr>
        <w:t>Girardone</w:t>
      </w:r>
      <w:proofErr w:type="spellEnd"/>
      <w:r w:rsidRPr="00D40426">
        <w:rPr>
          <w:rFonts w:ascii="Times New Roman" w:hAnsi="Times New Roman" w:cs="Times New Roman"/>
          <w:sz w:val="24"/>
          <w:szCs w:val="24"/>
        </w:rPr>
        <w:t xml:space="preserve">, and Molyneux, 2015). Lastly, the nature of a banking group such as HSBC UK, which has a number of subsidiaries, limits the use of investor ratios, which need to be </w:t>
      </w:r>
      <w:proofErr w:type="spellStart"/>
      <w:r w:rsidRPr="00D40426">
        <w:rPr>
          <w:rFonts w:ascii="Times New Roman" w:hAnsi="Times New Roman" w:cs="Times New Roman"/>
          <w:sz w:val="24"/>
          <w:szCs w:val="24"/>
        </w:rPr>
        <w:t>analyzed</w:t>
      </w:r>
      <w:proofErr w:type="spellEnd"/>
      <w:r w:rsidRPr="00D40426">
        <w:rPr>
          <w:rFonts w:ascii="Times New Roman" w:hAnsi="Times New Roman" w:cs="Times New Roman"/>
          <w:sz w:val="24"/>
          <w:szCs w:val="24"/>
        </w:rPr>
        <w:t xml:space="preserve"> on a group basis to evaluate shareholder returns (Penman, 2013).</w:t>
      </w:r>
    </w:p>
    <w:p w14:paraId="0E09FE78" w14:textId="77777777" w:rsidR="00D40426" w:rsidRPr="00D40426" w:rsidRDefault="00D40426" w:rsidP="005E51D5">
      <w:pPr>
        <w:pStyle w:val="Heading2"/>
      </w:pPr>
      <w:bookmarkStart w:id="16" w:name="_Toc224782573"/>
      <w:r w:rsidRPr="00D40426">
        <w:t>6. Financial Management Recommendations</w:t>
      </w:r>
      <w:bookmarkEnd w:id="16"/>
    </w:p>
    <w:p w14:paraId="3073EF9A" w14:textId="77777777" w:rsidR="00D40426" w:rsidRPr="00D40426" w:rsidRDefault="00D40426" w:rsidP="005E51D5">
      <w:pPr>
        <w:pStyle w:val="Heading3"/>
      </w:pPr>
      <w:bookmarkStart w:id="17" w:name="_Toc224782574"/>
      <w:r w:rsidRPr="00D40426">
        <w:t>6.1 Profitability: preserve Net Profit Margin</w:t>
      </w:r>
      <w:bookmarkEnd w:id="17"/>
    </w:p>
    <w:p w14:paraId="6ABBAEA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reduction in Net Profit Margin from 28.3% to 22.7% calls for analysis. The objective of a cost management program would be to improve the Operating Expense Ratio towards a target of 35% through branch rationalisation, automation of back-office operations, and consolidation of supplier contracts (Deloitte, 2023). Expected outcome: an increase in Net Profit Margin by 2-3 percentage points in 24 months.</w:t>
      </w:r>
    </w:p>
    <w:p w14:paraId="3D280FFD" w14:textId="77777777" w:rsidR="00D40426" w:rsidRPr="00D40426" w:rsidRDefault="00D40426" w:rsidP="005E51D5">
      <w:pPr>
        <w:pStyle w:val="Heading3"/>
      </w:pPr>
      <w:bookmarkStart w:id="18" w:name="_Toc224782575"/>
      <w:r w:rsidRPr="00D40426">
        <w:t>6.2 Liquidity: maintain within benchmark</w:t>
      </w:r>
      <w:bookmarkEnd w:id="18"/>
    </w:p>
    <w:p w14:paraId="44FA362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Current Ratio of 1.18 is at the lower end of the 1.1 to 1.3 band. HSBC UK management must remain alert to short-term asset-liability mismatches, especially when normalisation of interest rates takes place, to prevent a decline in this ratio below 1.10 (Mishkin, 2019; Bank of England, 2024).</w:t>
      </w:r>
    </w:p>
    <w:p w14:paraId="4DFC3675" w14:textId="77777777" w:rsidR="00D40426" w:rsidRPr="00D40426" w:rsidRDefault="00D40426" w:rsidP="005E51D5">
      <w:pPr>
        <w:pStyle w:val="Heading3"/>
      </w:pPr>
      <w:bookmarkStart w:id="19" w:name="_Toc224782576"/>
      <w:r w:rsidRPr="00D40426">
        <w:t>6.3 Gearing: sustainable capital management</w:t>
      </w:r>
      <w:bookmarkEnd w:id="19"/>
    </w:p>
    <w:p w14:paraId="5FC1FA7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 a Gearing level of 89.3% and an Interest Cover of 3.2x, HSBC UK must seek to manage its Dividend Payout Ratio towards a target of 50-60%. Myers and Majluf (1984) indicate that firms with high internal funding capacity are better able to withstand adverse economic shocks without resorting to expensive external funding.</w:t>
      </w:r>
    </w:p>
    <w:p w14:paraId="2FB3CBBB" w14:textId="77777777" w:rsidR="00D40426" w:rsidRPr="00D40426" w:rsidRDefault="00D40426" w:rsidP="00D40426">
      <w:pPr>
        <w:rPr>
          <w:rFonts w:ascii="Times New Roman" w:hAnsi="Times New Roman" w:cs="Times New Roman"/>
          <w:sz w:val="24"/>
          <w:szCs w:val="24"/>
        </w:rPr>
      </w:pPr>
    </w:p>
    <w:p w14:paraId="1F9B8680" w14:textId="77777777" w:rsidR="00D40426" w:rsidRPr="00D40426" w:rsidRDefault="00D40426" w:rsidP="00D40426">
      <w:pPr>
        <w:rPr>
          <w:rFonts w:ascii="Times New Roman" w:hAnsi="Times New Roman" w:cs="Times New Roman"/>
          <w:sz w:val="24"/>
          <w:szCs w:val="24"/>
        </w:rPr>
      </w:pPr>
    </w:p>
    <w:p w14:paraId="00DF66A7" w14:textId="77777777" w:rsidR="00D40426" w:rsidRPr="00D40426" w:rsidRDefault="00D40426" w:rsidP="00D40426">
      <w:pPr>
        <w:rPr>
          <w:rFonts w:ascii="Times New Roman" w:hAnsi="Times New Roman" w:cs="Times New Roman"/>
          <w:b/>
          <w:bCs/>
          <w:sz w:val="24"/>
          <w:szCs w:val="24"/>
        </w:rPr>
      </w:pPr>
    </w:p>
    <w:p w14:paraId="1571B7AA" w14:textId="77777777" w:rsidR="00D40426" w:rsidRPr="00D40426" w:rsidRDefault="00D40426" w:rsidP="005E51D5">
      <w:pPr>
        <w:pStyle w:val="Heading1"/>
      </w:pPr>
      <w:bookmarkStart w:id="20" w:name="_Toc224782577"/>
      <w:r w:rsidRPr="00D40426">
        <w:lastRenderedPageBreak/>
        <w:t>PART B: INVESTMENT APPRAISAL FOR WESTWARD PLC</w:t>
      </w:r>
      <w:bookmarkEnd w:id="20"/>
    </w:p>
    <w:p w14:paraId="469FA191" w14:textId="77777777" w:rsidR="00D40426" w:rsidRPr="00D40426" w:rsidRDefault="00D40426" w:rsidP="005E51D5">
      <w:pPr>
        <w:pStyle w:val="Heading2"/>
      </w:pPr>
      <w:bookmarkStart w:id="21" w:name="_Toc224782578"/>
      <w:r w:rsidRPr="00D40426">
        <w:t>1. Introduction</w:t>
      </w:r>
      <w:bookmarkEnd w:id="21"/>
    </w:p>
    <w:p w14:paraId="75060E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Westward plc is faced with the task of selecting the superior investment out of three exclusive initial investment options: Option A - Retail Outlet Expansion (£600,000), Option B - Internet Sales Development (£1,000,000), and Option C - Wooden/Roman Blinds Production (£1,600,000). The evaluation will employ the use of Net Present Value (NPV), Internal Rate of Return (IRR), and Payback Period, with a 6% cost of capital, 25% corporation tax, and 20% straight-line capital allowances. This combination provides a comprehensive framework for decision-making.</w:t>
      </w:r>
    </w:p>
    <w:p w14:paraId="04665BE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Investment appraisal is the process of evaluating capital investment to establish the creation of value for shareholders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Brigham &amp; Houston, 2019). The process aims to determine which investments generate returns in excess of the cost of capital. Graham &amp; Harvey (2001) concluded that NPV and IRR are the most frequently used investment appraisal techniques among 390 US CFOs, emphasizing their significance. Drury (2020) suggests that the combination of discounted and non-discounted techniques provides a comprehensive viability test, particularly for value creation.</w:t>
      </w:r>
    </w:p>
    <w:p w14:paraId="65E070E0" w14:textId="77777777" w:rsidR="00D40426" w:rsidRPr="00D40426" w:rsidRDefault="00D40426" w:rsidP="005E51D5">
      <w:pPr>
        <w:pStyle w:val="Heading2"/>
      </w:pPr>
      <w:bookmarkStart w:id="22" w:name="_Toc224782579"/>
      <w:r w:rsidRPr="00D40426">
        <w:t>2. Net Present Value Analysis</w:t>
      </w:r>
      <w:bookmarkEnd w:id="22"/>
    </w:p>
    <w:p w14:paraId="6E5737E9" w14:textId="77777777" w:rsidR="00D40426" w:rsidRPr="00D40426" w:rsidRDefault="00D40426" w:rsidP="005E51D5">
      <w:pPr>
        <w:pStyle w:val="Heading3"/>
      </w:pPr>
      <w:bookmarkStart w:id="23" w:name="_Toc224782580"/>
      <w:r w:rsidRPr="00D40426">
        <w:t>2.1 Theoretical Framework</w:t>
      </w:r>
      <w:bookmarkEnd w:id="23"/>
    </w:p>
    <w:p w14:paraId="2308CD1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theoretical framework for the NPV method is based on the principle of the time value of money, where a dollar today is worth more than the same dollar in the future, as it has the ability to generate income in the future. The NPV method, therefore, discounts future cash flows to their present value based on the firm’s cost of capital, incorporating the risk factor in the process. A positive NPV implies that the project is creating more value for shareholders, resulting in an increase in shareholder wealth, whereas a negative NPV implies that the project is destroying shareholder wealth, and therefore, it should be rejected. NPV is considered the best method for project evaluation as it measures absolute value creation, aligns with the objective of maximizing shareholder wealth, and complies with the value additivity principle, which allows for the aggregation of NPVs of projects in a portfolio (Drury, 2020; Berk &amp; DeMarzo, 2020). Furthermore, the NPV method allows for unconventional cash flow patterns, as opposed to the IRR method, which often results in multiple solutions. Moreover, Brigham and Houston (2019) conclude that in cases where the decision criterion is in conflict, NPV should have priority over other evaluation criteria, as suggested by Ross, Westerfield, and Jordan (2019).</w:t>
      </w:r>
    </w:p>
    <w:p w14:paraId="23B1F242" w14:textId="77777777" w:rsidR="00D40426" w:rsidRPr="00D40426" w:rsidRDefault="00D40426" w:rsidP="005E51D5">
      <w:pPr>
        <w:pStyle w:val="Heading3"/>
      </w:pPr>
      <w:bookmarkStart w:id="24" w:name="_Toc224782581"/>
      <w:r w:rsidRPr="00D40426">
        <w:t>2.2 Methodology</w:t>
      </w:r>
      <w:bookmarkEnd w:id="24"/>
    </w:p>
    <w:p w14:paraId="7CA7993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Several adjustments are applied to the raw cash flow forecasts. Corporation tax at 25% is deducted from gross operating cash inflows in the year they arise. Capital allowances at 20% straight-line generate annual tax shields, calculated as the allowance multiplied by the tax rate of 25%, reducing the effective tax burden consistent with Modigliani and Miller (1963). Adjusted net cash flows are discounted using PV = CF / (1 + </w:t>
      </w:r>
      <w:proofErr w:type="gramStart"/>
      <w:r w:rsidRPr="00D40426">
        <w:rPr>
          <w:rFonts w:ascii="Times New Roman" w:hAnsi="Times New Roman" w:cs="Times New Roman"/>
          <w:sz w:val="24"/>
          <w:szCs w:val="24"/>
        </w:rPr>
        <w:t>r)^</w:t>
      </w:r>
      <w:proofErr w:type="gramEnd"/>
      <w:r w:rsidRPr="00D40426">
        <w:rPr>
          <w:rFonts w:ascii="Times New Roman" w:hAnsi="Times New Roman" w:cs="Times New Roman"/>
          <w:sz w:val="24"/>
          <w:szCs w:val="24"/>
        </w:rPr>
        <w:t>n, where r is 6% and n is the year number. The initial capital outlay at Year 0 is not discounted as it is incurred immediately. All figures are in £'000.</w:t>
      </w:r>
    </w:p>
    <w:p w14:paraId="44AD47D1" w14:textId="77777777" w:rsidR="00D40426" w:rsidRPr="00D40426" w:rsidRDefault="00D40426" w:rsidP="005E51D5">
      <w:pPr>
        <w:pStyle w:val="Heading3"/>
      </w:pPr>
      <w:bookmarkStart w:id="25" w:name="_Toc224782582"/>
      <w:r w:rsidRPr="00D40426">
        <w:lastRenderedPageBreak/>
        <w:t>2.3 Option A: Retail Outlet Expansion</w:t>
      </w:r>
      <w:bookmarkEnd w:id="25"/>
    </w:p>
    <w:p w14:paraId="46A8F45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Initial Investment: £600,000 | Annual Capital Allowance: £120,000 | Annual Tax Shield: £30,000</w:t>
      </w:r>
    </w:p>
    <w:tbl>
      <w:tblPr>
        <w:tblW w:w="90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98"/>
        <w:gridCol w:w="1577"/>
        <w:gridCol w:w="1211"/>
        <w:gridCol w:w="1205"/>
        <w:gridCol w:w="1060"/>
        <w:gridCol w:w="1640"/>
        <w:gridCol w:w="1543"/>
      </w:tblGrid>
      <w:tr w:rsidR="00D40426" w:rsidRPr="00D40426" w14:paraId="690A9C28" w14:textId="77777777">
        <w:tc>
          <w:tcPr>
            <w:tcW w:w="798"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AB393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577"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61BC44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211"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624526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w:t>
            </w:r>
          </w:p>
        </w:tc>
        <w:tc>
          <w:tcPr>
            <w:tcW w:w="1205"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1F3B4E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w:t>
            </w:r>
          </w:p>
        </w:tc>
        <w:tc>
          <w:tcPr>
            <w:tcW w:w="106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4D6FFB7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w:t>
            </w:r>
          </w:p>
        </w:tc>
        <w:tc>
          <w:tcPr>
            <w:tcW w:w="164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C0E5C7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154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DFD49F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w:t>
            </w:r>
          </w:p>
        </w:tc>
      </w:tr>
      <w:tr w:rsidR="00D40426" w:rsidRPr="00D40426" w14:paraId="0B37F999" w14:textId="77777777">
        <w:tc>
          <w:tcPr>
            <w:tcW w:w="798"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715A3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577"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4216D0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211"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1609F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20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2D4CCC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8C15DE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6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D3CAF8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54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C25A50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r>
      <w:tr w:rsidR="00D40426" w:rsidRPr="00D40426" w14:paraId="47DC2264" w14:textId="77777777">
        <w:tc>
          <w:tcPr>
            <w:tcW w:w="798"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D6F1B1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77"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A6EA67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200.00</w:t>
            </w:r>
          </w:p>
        </w:tc>
        <w:tc>
          <w:tcPr>
            <w:tcW w:w="1211"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1F4A8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20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1ED3F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5A4218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180.00</w:t>
            </w:r>
          </w:p>
        </w:tc>
        <w:tc>
          <w:tcPr>
            <w:tcW w:w="16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4A837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154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472816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169.74</w:t>
            </w:r>
          </w:p>
        </w:tc>
      </w:tr>
      <w:tr w:rsidR="00D40426" w:rsidRPr="00D40426" w14:paraId="0F3019A1" w14:textId="77777777">
        <w:tc>
          <w:tcPr>
            <w:tcW w:w="798"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320307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77"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4F032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400.00</w:t>
            </w:r>
          </w:p>
        </w:tc>
        <w:tc>
          <w:tcPr>
            <w:tcW w:w="1211"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DD8C53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w:t>
            </w:r>
          </w:p>
        </w:tc>
        <w:tc>
          <w:tcPr>
            <w:tcW w:w="120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012054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E604C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330.00</w:t>
            </w:r>
          </w:p>
        </w:tc>
        <w:tc>
          <w:tcPr>
            <w:tcW w:w="16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F5B2C7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154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7C4AD1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293.70</w:t>
            </w:r>
          </w:p>
        </w:tc>
      </w:tr>
      <w:tr w:rsidR="00D40426" w:rsidRPr="00D40426" w14:paraId="17DDD8D4" w14:textId="77777777">
        <w:tc>
          <w:tcPr>
            <w:tcW w:w="798"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353EE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77"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5F793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500.00</w:t>
            </w:r>
          </w:p>
        </w:tc>
        <w:tc>
          <w:tcPr>
            <w:tcW w:w="1211"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5E541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(125.00)</w:t>
            </w:r>
          </w:p>
        </w:tc>
        <w:tc>
          <w:tcPr>
            <w:tcW w:w="120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70E8FD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4B0D1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405.00</w:t>
            </w:r>
          </w:p>
        </w:tc>
        <w:tc>
          <w:tcPr>
            <w:tcW w:w="16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E5DE29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154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2C9841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340.20</w:t>
            </w:r>
          </w:p>
        </w:tc>
      </w:tr>
      <w:tr w:rsidR="00D40426" w:rsidRPr="00D40426" w14:paraId="58ECD60C" w14:textId="77777777">
        <w:tc>
          <w:tcPr>
            <w:tcW w:w="798"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4D3E8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77"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087716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700.00</w:t>
            </w:r>
          </w:p>
        </w:tc>
        <w:tc>
          <w:tcPr>
            <w:tcW w:w="1211"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716B99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(175.00)</w:t>
            </w:r>
          </w:p>
        </w:tc>
        <w:tc>
          <w:tcPr>
            <w:tcW w:w="120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DDB88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A037B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555.00</w:t>
            </w:r>
          </w:p>
        </w:tc>
        <w:tc>
          <w:tcPr>
            <w:tcW w:w="16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2ADE7C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154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4A0D3D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439.56</w:t>
            </w:r>
          </w:p>
        </w:tc>
      </w:tr>
    </w:tbl>
    <w:p w14:paraId="10DC618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 [Option A] = £643,200</w:t>
      </w:r>
    </w:p>
    <w:p w14:paraId="71954EDA" w14:textId="77777777" w:rsidR="00D40426" w:rsidRPr="00D40426" w:rsidRDefault="00D40426" w:rsidP="005E51D5">
      <w:pPr>
        <w:pStyle w:val="Heading3"/>
      </w:pPr>
      <w:bookmarkStart w:id="26" w:name="_Toc224782583"/>
      <w:r w:rsidRPr="00D40426">
        <w:t>2.4 Option B: Internet Sales Development</w:t>
      </w:r>
      <w:bookmarkEnd w:id="26"/>
    </w:p>
    <w:p w14:paraId="07FEFBD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Initial Investment: £1,000,000 | Annual Capital Allowance: £200,000 | Annual Tax Shield: £50,000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99"/>
        <w:gridCol w:w="1593"/>
        <w:gridCol w:w="1295"/>
        <w:gridCol w:w="1194"/>
        <w:gridCol w:w="1240"/>
        <w:gridCol w:w="1616"/>
        <w:gridCol w:w="1623"/>
      </w:tblGrid>
      <w:tr w:rsidR="00D40426" w:rsidRPr="00D40426" w14:paraId="3543F575" w14:textId="77777777">
        <w:tc>
          <w:tcPr>
            <w:tcW w:w="799"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C10C15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59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9D737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295"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0892D7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w:t>
            </w:r>
          </w:p>
        </w:tc>
        <w:tc>
          <w:tcPr>
            <w:tcW w:w="119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49A28BD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w:t>
            </w:r>
          </w:p>
        </w:tc>
        <w:tc>
          <w:tcPr>
            <w:tcW w:w="124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BDCA8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w:t>
            </w:r>
          </w:p>
        </w:tc>
        <w:tc>
          <w:tcPr>
            <w:tcW w:w="1616"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B41C2A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162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4D6889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w:t>
            </w:r>
          </w:p>
        </w:tc>
      </w:tr>
      <w:tr w:rsidR="00D40426" w:rsidRPr="00D40426" w14:paraId="34F33302"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B2C5E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022C1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06D90A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651FE2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28EEDB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042420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8EBB1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r>
      <w:tr w:rsidR="00D40426" w:rsidRPr="00D40426" w14:paraId="2F9A4812" w14:textId="77777777">
        <w:tc>
          <w:tcPr>
            <w:tcW w:w="799"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0F8A8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9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E752D5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400.00</w:t>
            </w:r>
          </w:p>
        </w:tc>
        <w:tc>
          <w:tcPr>
            <w:tcW w:w="129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05A3B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w:t>
            </w:r>
          </w:p>
        </w:tc>
        <w:tc>
          <w:tcPr>
            <w:tcW w:w="119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0A97AD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2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0DB30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350.00</w:t>
            </w:r>
          </w:p>
        </w:tc>
        <w:tc>
          <w:tcPr>
            <w:tcW w:w="161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3D4EC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162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A7041D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330.05</w:t>
            </w:r>
          </w:p>
        </w:tc>
      </w:tr>
      <w:tr w:rsidR="00D40426" w:rsidRPr="00D40426" w14:paraId="5E6D229B"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CCB9D2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A58A70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60B8F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(112.50)</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49D6A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610CC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387.50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D87E98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217999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344.88</w:t>
            </w:r>
          </w:p>
        </w:tc>
      </w:tr>
      <w:tr w:rsidR="00D40426" w:rsidRPr="00D40426" w14:paraId="21F98ECE" w14:textId="77777777">
        <w:tc>
          <w:tcPr>
            <w:tcW w:w="799"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BD576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9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73D01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720.00</w:t>
            </w:r>
          </w:p>
        </w:tc>
        <w:tc>
          <w:tcPr>
            <w:tcW w:w="129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A6E8A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(180.00)</w:t>
            </w:r>
          </w:p>
        </w:tc>
        <w:tc>
          <w:tcPr>
            <w:tcW w:w="119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DBD664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2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60A4A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590.00</w:t>
            </w:r>
          </w:p>
        </w:tc>
        <w:tc>
          <w:tcPr>
            <w:tcW w:w="161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3E36D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162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6F6B7E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495.60</w:t>
            </w:r>
          </w:p>
        </w:tc>
      </w:tr>
      <w:tr w:rsidR="00D40426" w:rsidRPr="00D40426" w14:paraId="68D2ED1C"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DE83AA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11F970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980.00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3F29A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(245.00)</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D3026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B49EF4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785.00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E6E5F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B4CB54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621.72</w:t>
            </w:r>
          </w:p>
        </w:tc>
      </w:tr>
    </w:tbl>
    <w:p w14:paraId="7EDF2B3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 [Option B] = £792,245</w:t>
      </w:r>
    </w:p>
    <w:p w14:paraId="528A4B07" w14:textId="77777777" w:rsidR="00D40426" w:rsidRPr="00D40426" w:rsidRDefault="00D40426" w:rsidP="005E51D5">
      <w:pPr>
        <w:pStyle w:val="Heading3"/>
      </w:pPr>
      <w:bookmarkStart w:id="27" w:name="_Toc224782584"/>
      <w:r w:rsidRPr="00D40426">
        <w:t>2.5 Option C: Wooden Blinds and Roman Blinds</w:t>
      </w:r>
      <w:bookmarkEnd w:id="27"/>
    </w:p>
    <w:p w14:paraId="1E6D283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Initial Investment: £1,600,000 | Annual Capital Allowance: £320,000 | Annual Tax Shield: £80,000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99"/>
        <w:gridCol w:w="1593"/>
        <w:gridCol w:w="1295"/>
        <w:gridCol w:w="1194"/>
        <w:gridCol w:w="1240"/>
        <w:gridCol w:w="1616"/>
        <w:gridCol w:w="1623"/>
      </w:tblGrid>
      <w:tr w:rsidR="00D40426" w:rsidRPr="00D40426" w14:paraId="3057C21D" w14:textId="77777777">
        <w:tc>
          <w:tcPr>
            <w:tcW w:w="799"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CAD2D5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59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AB1F8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295"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89D6E3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w:t>
            </w:r>
          </w:p>
        </w:tc>
        <w:tc>
          <w:tcPr>
            <w:tcW w:w="1194"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6A9A39E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w:t>
            </w:r>
          </w:p>
        </w:tc>
        <w:tc>
          <w:tcPr>
            <w:tcW w:w="124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9AB36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w:t>
            </w:r>
          </w:p>
        </w:tc>
        <w:tc>
          <w:tcPr>
            <w:tcW w:w="1616"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866A87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1623"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559C7E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w:t>
            </w:r>
          </w:p>
        </w:tc>
      </w:tr>
      <w:tr w:rsidR="00D40426" w:rsidRPr="00D40426" w14:paraId="11141F6F"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1BEA56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0</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9DC5C9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5D84C6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5F8769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7EB6BC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D91BB9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AD60F4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r>
      <w:tr w:rsidR="00D40426" w:rsidRPr="00D40426" w14:paraId="6BB2DEF8" w14:textId="77777777">
        <w:tc>
          <w:tcPr>
            <w:tcW w:w="799"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C06B19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9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7D8375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450.00</w:t>
            </w:r>
          </w:p>
        </w:tc>
        <w:tc>
          <w:tcPr>
            <w:tcW w:w="129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CCFC8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(112.50)</w:t>
            </w:r>
          </w:p>
        </w:tc>
        <w:tc>
          <w:tcPr>
            <w:tcW w:w="119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A5112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2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348004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417.50</w:t>
            </w:r>
          </w:p>
        </w:tc>
        <w:tc>
          <w:tcPr>
            <w:tcW w:w="161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C3F58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162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53A61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393.70</w:t>
            </w:r>
          </w:p>
        </w:tc>
      </w:tr>
      <w:tr w:rsidR="00D40426" w:rsidRPr="00D40426" w14:paraId="1A53D048"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820CB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D374D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700.00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D9642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(175.00)</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8944AC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C06C6C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605.00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B05C4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74A59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538.45</w:t>
            </w:r>
          </w:p>
        </w:tc>
      </w:tr>
      <w:tr w:rsidR="00D40426" w:rsidRPr="00D40426" w14:paraId="482C59B3" w14:textId="77777777">
        <w:tc>
          <w:tcPr>
            <w:tcW w:w="799"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C6A1F2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9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E3A734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900.00</w:t>
            </w:r>
          </w:p>
        </w:tc>
        <w:tc>
          <w:tcPr>
            <w:tcW w:w="1295"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364A57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(225.00)</w:t>
            </w:r>
          </w:p>
        </w:tc>
        <w:tc>
          <w:tcPr>
            <w:tcW w:w="1194"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72D5F3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24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2AA7A4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755.00</w:t>
            </w:r>
          </w:p>
        </w:tc>
        <w:tc>
          <w:tcPr>
            <w:tcW w:w="1616"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122B41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1623"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B63A1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634.20</w:t>
            </w:r>
          </w:p>
        </w:tc>
      </w:tr>
      <w:tr w:rsidR="00D40426" w:rsidRPr="00D40426" w14:paraId="04574E03" w14:textId="77777777">
        <w:tc>
          <w:tcPr>
            <w:tcW w:w="799"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87A13F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9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E5E14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1,200.00</w:t>
            </w:r>
          </w:p>
        </w:tc>
        <w:tc>
          <w:tcPr>
            <w:tcW w:w="1295"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A3303B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(300.00)</w:t>
            </w:r>
          </w:p>
        </w:tc>
        <w:tc>
          <w:tcPr>
            <w:tcW w:w="1194"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222860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24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17BBE3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980.00</w:t>
            </w:r>
          </w:p>
        </w:tc>
        <w:tc>
          <w:tcPr>
            <w:tcW w:w="1616"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33DF6E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1623"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B353C4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776.16</w:t>
            </w:r>
          </w:p>
        </w:tc>
      </w:tr>
    </w:tbl>
    <w:p w14:paraId="24587C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 [Option C] = £742,513</w:t>
      </w:r>
    </w:p>
    <w:p w14:paraId="719E591F" w14:textId="77777777" w:rsidR="00D40426" w:rsidRPr="00D40426" w:rsidRDefault="00D40426" w:rsidP="005E51D5">
      <w:pPr>
        <w:pStyle w:val="Heading3"/>
      </w:pPr>
      <w:bookmarkStart w:id="28" w:name="_Toc224782585"/>
      <w:r w:rsidRPr="00D40426">
        <w:t>2.6 NPV Recommendation</w:t>
      </w:r>
      <w:bookmarkEnd w:id="28"/>
    </w:p>
    <w:p w14:paraId="62CDEC6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All </w:t>
      </w:r>
      <w:proofErr w:type="gramStart"/>
      <w:r w:rsidRPr="00D40426">
        <w:rPr>
          <w:rFonts w:ascii="Times New Roman" w:hAnsi="Times New Roman" w:cs="Times New Roman"/>
          <w:sz w:val="24"/>
          <w:szCs w:val="24"/>
        </w:rPr>
        <w:t>three options yield</w:t>
      </w:r>
      <w:proofErr w:type="gramEnd"/>
      <w:r w:rsidRPr="00D40426">
        <w:rPr>
          <w:rFonts w:ascii="Times New Roman" w:hAnsi="Times New Roman" w:cs="Times New Roman"/>
          <w:sz w:val="24"/>
          <w:szCs w:val="24"/>
        </w:rPr>
        <w:t xml:space="preserve"> positive NPVs, confirming that each would create value for Westward Plc's shareholders above the 6% cost of capital. Option A generates an NPV of £643,200, Option C generates £742,513, and Option B delivers the highest NPV of £792,245. Under the NPV decision rule, where projects are mutually exclusive, the option generating the highest positive NPV should be selected as it maximises shareholder wealth (</w:t>
      </w: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2019; Watson and Head, 2016). Option B is therefore the recommended choice. A further consideration reinforces this recommendation: capital efficiency. Option B generates £792 of NPV per £1,000 invested, compared with £643 per £1,000 for Option A and £464 per £1,000 for Option C. Option C, despite its larger absolute NPV relative to Option A, requires a £1,600,000 investment — nearly 60% more capital than Option B — for only marginally higher NPV. Brigham and Houston (2019) highlight that capital efficiency is a critical consideration for firms with finite resources, and Option B's superior NPV-to-investment ratio reinforces its selection. Watson and Head (2016) confirm that the highest NPV option should always be selected in mutually exclusive decisions, as it ensures the maximum addition to firm value.</w:t>
      </w:r>
    </w:p>
    <w:p w14:paraId="10F2114B" w14:textId="77777777" w:rsidR="00D40426" w:rsidRPr="00D40426" w:rsidRDefault="00D40426" w:rsidP="005E51D5">
      <w:pPr>
        <w:pStyle w:val="Heading2"/>
      </w:pPr>
      <w:bookmarkStart w:id="29" w:name="_Toc224782586"/>
      <w:r w:rsidRPr="00D40426">
        <w:t>3. Payback Period Analysis</w:t>
      </w:r>
      <w:bookmarkEnd w:id="29"/>
    </w:p>
    <w:p w14:paraId="318E2BB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Payback Period is defined as the period of time that is required to recover the cumulative net cash inflows to pay back the initial investment (Drury, 2020). As a result, the Payback Period is not discounted and does not include cash flows that occur after the payback point. Despite these theoretical drawbacks, the Payback Period has continued to remain popular in practice as a preliminary tool to measure liquidity risk and capital recovery velocity, especially in situations where capital is constrained or in industries that are in a state of constant change (Arnold, 2013; Pike, Neale, and Linsley, 2018). Graham and Harvey (2001) found that 56.7% of chief financial officers (CFOs) in various organisations consistently or nearly consistently used the Payback Period in conjunction with other sophisticated techniques.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320"/>
        <w:gridCol w:w="2320"/>
        <w:gridCol w:w="3320"/>
      </w:tblGrid>
      <w:tr w:rsidR="00D40426" w:rsidRPr="00D40426" w14:paraId="2B324BC8" w14:textId="77777777">
        <w:tc>
          <w:tcPr>
            <w:tcW w:w="14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36309B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232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1D1D1B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A Cum. CF (£'000)</w:t>
            </w:r>
          </w:p>
        </w:tc>
        <w:tc>
          <w:tcPr>
            <w:tcW w:w="232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6965EE2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B Cum. CF (£'000)</w:t>
            </w:r>
          </w:p>
        </w:tc>
        <w:tc>
          <w:tcPr>
            <w:tcW w:w="332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66D53B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C Cum. CF (£'000)</w:t>
            </w:r>
          </w:p>
        </w:tc>
      </w:tr>
      <w:tr w:rsidR="00D40426" w:rsidRPr="00D40426" w14:paraId="70205723" w14:textId="77777777">
        <w:tc>
          <w:tcPr>
            <w:tcW w:w="14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392147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0</w:t>
            </w:r>
          </w:p>
        </w:tc>
        <w:tc>
          <w:tcPr>
            <w:tcW w:w="2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62901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2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E30983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3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94C533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r>
      <w:tr w:rsidR="00D40426" w:rsidRPr="00D40426" w14:paraId="2E7F9ADA" w14:textId="77777777">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3BBDF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lastRenderedPageBreak/>
              <w:t>1</w:t>
            </w:r>
          </w:p>
        </w:tc>
        <w:tc>
          <w:tcPr>
            <w:tcW w:w="2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986F3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(420.00)</w:t>
            </w:r>
          </w:p>
        </w:tc>
        <w:tc>
          <w:tcPr>
            <w:tcW w:w="2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94A927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(650.00)</w:t>
            </w:r>
          </w:p>
        </w:tc>
        <w:tc>
          <w:tcPr>
            <w:tcW w:w="3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CE2A92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(1,182.50)</w:t>
            </w:r>
          </w:p>
        </w:tc>
      </w:tr>
      <w:tr w:rsidR="00D40426" w:rsidRPr="00D40426" w14:paraId="024BA9E3" w14:textId="77777777">
        <w:tc>
          <w:tcPr>
            <w:tcW w:w="14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70646FB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2</w:t>
            </w:r>
          </w:p>
        </w:tc>
        <w:tc>
          <w:tcPr>
            <w:tcW w:w="2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81DB29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(90.00)</w:t>
            </w:r>
          </w:p>
        </w:tc>
        <w:tc>
          <w:tcPr>
            <w:tcW w:w="2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65A1E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(262.50)</w:t>
            </w:r>
          </w:p>
        </w:tc>
        <w:tc>
          <w:tcPr>
            <w:tcW w:w="332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A56E2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(577.50)</w:t>
            </w:r>
          </w:p>
        </w:tc>
      </w:tr>
      <w:tr w:rsidR="00D40426" w:rsidRPr="00D40426" w14:paraId="1F4981EB" w14:textId="77777777">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BC1278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3</w:t>
            </w:r>
          </w:p>
        </w:tc>
        <w:tc>
          <w:tcPr>
            <w:tcW w:w="2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C1568F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315.00 </w:t>
            </w:r>
            <w:r w:rsidRPr="00D40426">
              <w:rPr>
                <w:rFonts w:ascii="Segoe UI Symbol" w:hAnsi="Segoe UI Symbol" w:cs="Segoe UI Symbol"/>
                <w:sz w:val="24"/>
                <w:szCs w:val="24"/>
              </w:rPr>
              <w:t>✓</w:t>
            </w:r>
          </w:p>
        </w:tc>
        <w:tc>
          <w:tcPr>
            <w:tcW w:w="2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C699CA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327.50 </w:t>
            </w:r>
            <w:r w:rsidRPr="00D40426">
              <w:rPr>
                <w:rFonts w:ascii="Segoe UI Symbol" w:hAnsi="Segoe UI Symbol" w:cs="Segoe UI Symbol"/>
                <w:sz w:val="24"/>
                <w:szCs w:val="24"/>
              </w:rPr>
              <w:t>✓</w:t>
            </w:r>
          </w:p>
        </w:tc>
        <w:tc>
          <w:tcPr>
            <w:tcW w:w="332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AACB9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177.50 </w:t>
            </w:r>
            <w:r w:rsidRPr="00D40426">
              <w:rPr>
                <w:rFonts w:ascii="Segoe UI Symbol" w:hAnsi="Segoe UI Symbol" w:cs="Segoe UI Symbol"/>
                <w:sz w:val="24"/>
                <w:szCs w:val="24"/>
              </w:rPr>
              <w:t>✓</w:t>
            </w:r>
          </w:p>
        </w:tc>
      </w:tr>
      <w:tr w:rsidR="00D40426" w:rsidRPr="00D40426" w14:paraId="148F8CC8" w14:textId="77777777">
        <w:tc>
          <w:tcPr>
            <w:tcW w:w="1400" w:type="dxa"/>
            <w:tcBorders>
              <w:top w:val="single" w:sz="2" w:space="0" w:color="AAAAAA"/>
              <w:left w:val="single" w:sz="2" w:space="0" w:color="AAAAAA"/>
              <w:bottom w:val="single" w:sz="2" w:space="0" w:color="AAAAAA"/>
              <w:right w:val="single" w:sz="2" w:space="0" w:color="AAAAAA"/>
            </w:tcBorders>
            <w:shd w:val="clear" w:color="auto" w:fill="E8F4FD"/>
            <w:tcMar>
              <w:top w:w="80" w:type="dxa"/>
              <w:left w:w="120" w:type="dxa"/>
              <w:bottom w:w="80" w:type="dxa"/>
              <w:right w:w="120" w:type="dxa"/>
            </w:tcMar>
            <w:vAlign w:val="center"/>
            <w:hideMark/>
          </w:tcPr>
          <w:p w14:paraId="6209C42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Payback</w:t>
            </w:r>
          </w:p>
        </w:tc>
        <w:tc>
          <w:tcPr>
            <w:tcW w:w="2320" w:type="dxa"/>
            <w:tcBorders>
              <w:top w:val="single" w:sz="2" w:space="0" w:color="AAAAAA"/>
              <w:left w:val="single" w:sz="2" w:space="0" w:color="AAAAAA"/>
              <w:bottom w:val="single" w:sz="2" w:space="0" w:color="AAAAAA"/>
              <w:right w:val="single" w:sz="2" w:space="0" w:color="AAAAAA"/>
            </w:tcBorders>
            <w:shd w:val="clear" w:color="auto" w:fill="E8F4FD"/>
            <w:tcMar>
              <w:top w:w="80" w:type="dxa"/>
              <w:left w:w="120" w:type="dxa"/>
              <w:bottom w:w="80" w:type="dxa"/>
              <w:right w:w="120" w:type="dxa"/>
            </w:tcMar>
            <w:vAlign w:val="center"/>
            <w:hideMark/>
          </w:tcPr>
          <w:p w14:paraId="2BB7C7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2 yrs 2.7 </w:t>
            </w:r>
            <w:proofErr w:type="spellStart"/>
            <w:r w:rsidRPr="00D40426">
              <w:rPr>
                <w:rFonts w:ascii="Times New Roman" w:hAnsi="Times New Roman" w:cs="Times New Roman"/>
                <w:b/>
                <w:bCs/>
                <w:sz w:val="24"/>
                <w:szCs w:val="24"/>
              </w:rPr>
              <w:t>mths</w:t>
            </w:r>
            <w:proofErr w:type="spellEnd"/>
          </w:p>
        </w:tc>
        <w:tc>
          <w:tcPr>
            <w:tcW w:w="2320" w:type="dxa"/>
            <w:tcBorders>
              <w:top w:val="single" w:sz="2" w:space="0" w:color="AAAAAA"/>
              <w:left w:val="single" w:sz="2" w:space="0" w:color="AAAAAA"/>
              <w:bottom w:val="single" w:sz="2" w:space="0" w:color="AAAAAA"/>
              <w:right w:val="single" w:sz="2" w:space="0" w:color="AAAAAA"/>
            </w:tcBorders>
            <w:shd w:val="clear" w:color="auto" w:fill="E8F4FD"/>
            <w:tcMar>
              <w:top w:w="80" w:type="dxa"/>
              <w:left w:w="120" w:type="dxa"/>
              <w:bottom w:w="80" w:type="dxa"/>
              <w:right w:w="120" w:type="dxa"/>
            </w:tcMar>
            <w:vAlign w:val="center"/>
            <w:hideMark/>
          </w:tcPr>
          <w:p w14:paraId="447A669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2 yrs 5.3 </w:t>
            </w:r>
            <w:proofErr w:type="spellStart"/>
            <w:r w:rsidRPr="00D40426">
              <w:rPr>
                <w:rFonts w:ascii="Times New Roman" w:hAnsi="Times New Roman" w:cs="Times New Roman"/>
                <w:b/>
                <w:bCs/>
                <w:sz w:val="24"/>
                <w:szCs w:val="24"/>
              </w:rPr>
              <w:t>mths</w:t>
            </w:r>
            <w:proofErr w:type="spellEnd"/>
          </w:p>
        </w:tc>
        <w:tc>
          <w:tcPr>
            <w:tcW w:w="3320" w:type="dxa"/>
            <w:tcBorders>
              <w:top w:val="single" w:sz="2" w:space="0" w:color="AAAAAA"/>
              <w:left w:val="single" w:sz="2" w:space="0" w:color="AAAAAA"/>
              <w:bottom w:val="single" w:sz="2" w:space="0" w:color="AAAAAA"/>
              <w:right w:val="single" w:sz="2" w:space="0" w:color="AAAAAA"/>
            </w:tcBorders>
            <w:shd w:val="clear" w:color="auto" w:fill="E8F4FD"/>
            <w:tcMar>
              <w:top w:w="80" w:type="dxa"/>
              <w:left w:w="120" w:type="dxa"/>
              <w:bottom w:w="80" w:type="dxa"/>
              <w:right w:w="120" w:type="dxa"/>
            </w:tcMar>
            <w:vAlign w:val="center"/>
            <w:hideMark/>
          </w:tcPr>
          <w:p w14:paraId="26BF50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2 yrs 9.2 </w:t>
            </w:r>
            <w:proofErr w:type="spellStart"/>
            <w:r w:rsidRPr="00D40426">
              <w:rPr>
                <w:rFonts w:ascii="Times New Roman" w:hAnsi="Times New Roman" w:cs="Times New Roman"/>
                <w:b/>
                <w:bCs/>
                <w:sz w:val="24"/>
                <w:szCs w:val="24"/>
              </w:rPr>
              <w:t>mths</w:t>
            </w:r>
            <w:proofErr w:type="spellEnd"/>
          </w:p>
        </w:tc>
      </w:tr>
    </w:tbl>
    <w:p w14:paraId="6218867B" w14:textId="77777777" w:rsidR="00D40426" w:rsidRPr="00D40426" w:rsidRDefault="00D40426" w:rsidP="00D40426">
      <w:pPr>
        <w:rPr>
          <w:rFonts w:ascii="Times New Roman" w:hAnsi="Times New Roman" w:cs="Times New Roman"/>
          <w:sz w:val="24"/>
          <w:szCs w:val="24"/>
        </w:rPr>
      </w:pPr>
    </w:p>
    <w:p w14:paraId="61EC14D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Option A has the shortest payback period, which is 2 years and about 3 months, followed by Option B, which has a payback period of 2 years and 5 months, and lastly Option C, which has a payback period of 2 years and 9 months. All three alternatives have a capital recovery period within the four-year horizon for the evaluation. However, Ross, Westerfield, and Jordan (2019) have stated that the payback criterion must not be used as the major criterion for decision-making since it fails to take into account the time value of money and the cash flows received after the payback point. The major drawback of using the payback criterion for the given alternatives is that, although it takes a shorter time for the company to recover its initial investment, it fails to take into account the fact that the company benefits much more from the alternative with the higher NPV, which is Option B, as it has an NPV of £792,245, while Option A has an NPV of only £643,200. Pike, Neale, and Linsley (2018) have stated that the payback period must be used as an auxiliary tool for screening alternatives rather than as the major criterion for selection, especially when the cash flows are received much after the payback point. The extra time taken by Option B, which is about 2.6 months, is insignificant as it provides a much higher NPV.</w:t>
      </w:r>
    </w:p>
    <w:p w14:paraId="38E96FFA" w14:textId="77777777" w:rsidR="00D40426" w:rsidRPr="00D40426" w:rsidRDefault="00D40426" w:rsidP="005E51D5">
      <w:pPr>
        <w:pStyle w:val="Heading2"/>
      </w:pPr>
      <w:bookmarkStart w:id="30" w:name="_Toc224782587"/>
      <w:r w:rsidRPr="00D40426">
        <w:t>4. Internal Rate of Return Analysis</w:t>
      </w:r>
      <w:bookmarkEnd w:id="30"/>
    </w:p>
    <w:p w14:paraId="6E798F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Internal Rate of Return (IRR) is the discount rate at which the net present value (NPV) of the project will be zero, thus the rate of return at which the project breaks even (Drury, 2020; Watson &amp; Head, 2016). A project is considered financially viable if its IRR is higher than the cost of capital for the company, thus indicating that the project is providing a return on investment above the minimum required rate. In the case of mutually exclusive projects, the project with the higher IRR is normally preferred, although reconciliation between the two may be required if the two tools provide different results. As Arnold (2013) points out, the IRR is highly useful in communicating investment opportunities to non-financial managers, since it is a single percentage figure that can easily be compared to the cost of capital or other benchmark rates. However, Berk and DeMarzo (2020) point out that IRR can be highly misleading if it is used to compare projects with non-conventional cash flows or projects of different sizes and time horizons, and therefore should always be used in conjunction with NPV analysis.</w:t>
      </w:r>
    </w:p>
    <w:p w14:paraId="488E9E56" w14:textId="77777777" w:rsidR="00D40426" w:rsidRPr="00D40426" w:rsidRDefault="00D40426" w:rsidP="005E51D5">
      <w:pPr>
        <w:pStyle w:val="Heading3"/>
      </w:pPr>
      <w:bookmarkStart w:id="31" w:name="_Toc224782588"/>
      <w:r w:rsidRPr="00D40426">
        <w:t>4.1 IRR Calculation for Option B</w:t>
      </w:r>
      <w:bookmarkEnd w:id="3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20"/>
        <w:gridCol w:w="1250"/>
        <w:gridCol w:w="1022"/>
        <w:gridCol w:w="1408"/>
        <w:gridCol w:w="1022"/>
        <w:gridCol w:w="1408"/>
        <w:gridCol w:w="1022"/>
        <w:gridCol w:w="1408"/>
      </w:tblGrid>
      <w:tr w:rsidR="00D40426" w:rsidRPr="00D40426" w14:paraId="7175B399" w14:textId="77777777">
        <w:tc>
          <w:tcPr>
            <w:tcW w:w="7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25D34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1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6CB8500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 (£'000)</w:t>
            </w:r>
          </w:p>
        </w:tc>
        <w:tc>
          <w:tcPr>
            <w:tcW w:w="9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5E363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 6%</w:t>
            </w:r>
          </w:p>
        </w:tc>
        <w:tc>
          <w:tcPr>
            <w:tcW w:w="11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2F77A28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 6%</w:t>
            </w:r>
          </w:p>
        </w:tc>
        <w:tc>
          <w:tcPr>
            <w:tcW w:w="9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BA3222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 25%</w:t>
            </w:r>
          </w:p>
        </w:tc>
        <w:tc>
          <w:tcPr>
            <w:tcW w:w="11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5C614D5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 25%</w:t>
            </w:r>
          </w:p>
        </w:tc>
        <w:tc>
          <w:tcPr>
            <w:tcW w:w="90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1BDFE38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 35%</w:t>
            </w:r>
          </w:p>
        </w:tc>
        <w:tc>
          <w:tcPr>
            <w:tcW w:w="1060" w:type="dxa"/>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7728C0B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 35%</w:t>
            </w:r>
          </w:p>
        </w:tc>
      </w:tr>
      <w:tr w:rsidR="00D40426" w:rsidRPr="00D40426" w14:paraId="308358E2" w14:textId="77777777">
        <w:tc>
          <w:tcPr>
            <w:tcW w:w="7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B77D85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FB245E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530D51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D6C685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02ECA5C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BA0B60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F7348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4A1714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r>
      <w:tr w:rsidR="00D40426" w:rsidRPr="00D40426" w14:paraId="654B43FE" w14:textId="77777777">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9F5906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CB158A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350</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AA37A2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4C910DF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330.05</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3D0BB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0.800</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29A6CB8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280.00</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EDA05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0.741</w:t>
            </w:r>
          </w:p>
        </w:tc>
        <w:tc>
          <w:tcPr>
            <w:tcW w:w="1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D1E7A6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259.35</w:t>
            </w:r>
          </w:p>
        </w:tc>
      </w:tr>
      <w:tr w:rsidR="00D40426" w:rsidRPr="00D40426" w14:paraId="309C1287" w14:textId="77777777">
        <w:tc>
          <w:tcPr>
            <w:tcW w:w="7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37C616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5B1AF7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387.5</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CA55C8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EDB308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344.88</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9E2BA6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0.640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A162D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248.00</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FDD76A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0.549</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E1D99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212.73</w:t>
            </w:r>
          </w:p>
        </w:tc>
      </w:tr>
      <w:tr w:rsidR="00D40426" w:rsidRPr="00D40426" w14:paraId="746E73DF" w14:textId="77777777">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E7F98B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013606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590</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72653B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0A0356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495.60</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0D2CF7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0.512</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11055A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302.08</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3AB2736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0.406</w:t>
            </w:r>
          </w:p>
        </w:tc>
        <w:tc>
          <w:tcPr>
            <w:tcW w:w="1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B0330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239.54</w:t>
            </w:r>
          </w:p>
        </w:tc>
      </w:tr>
      <w:tr w:rsidR="00D40426" w:rsidRPr="00D40426" w14:paraId="3FD2D128" w14:textId="77777777">
        <w:tc>
          <w:tcPr>
            <w:tcW w:w="7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C601FE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1EB5D94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785</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415D879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3C28271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621.72</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6B7078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0.410</w:t>
            </w:r>
          </w:p>
        </w:tc>
        <w:tc>
          <w:tcPr>
            <w:tcW w:w="11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54D5E8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321.85</w:t>
            </w:r>
          </w:p>
        </w:tc>
        <w:tc>
          <w:tcPr>
            <w:tcW w:w="90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D36BCE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0.301</w:t>
            </w:r>
          </w:p>
        </w:tc>
        <w:tc>
          <w:tcPr>
            <w:tcW w:w="1060" w:type="dxa"/>
            <w:tcBorders>
              <w:top w:val="single" w:sz="2" w:space="0" w:color="AAAAAA"/>
              <w:left w:val="single" w:sz="2" w:space="0" w:color="AAAAAA"/>
              <w:bottom w:val="single" w:sz="2" w:space="0" w:color="AAAAAA"/>
              <w:right w:val="single" w:sz="2" w:space="0" w:color="AAAAAA"/>
            </w:tcBorders>
            <w:shd w:val="clear" w:color="auto" w:fill="F5F9FF"/>
            <w:tcMar>
              <w:top w:w="80" w:type="dxa"/>
              <w:left w:w="120" w:type="dxa"/>
              <w:bottom w:w="80" w:type="dxa"/>
              <w:right w:w="120" w:type="dxa"/>
            </w:tcMar>
            <w:vAlign w:val="center"/>
            <w:hideMark/>
          </w:tcPr>
          <w:p w14:paraId="27FA13B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236.29</w:t>
            </w:r>
          </w:p>
        </w:tc>
      </w:tr>
      <w:tr w:rsidR="00D40426" w:rsidRPr="00D40426" w14:paraId="33E63AD9" w14:textId="77777777">
        <w:tc>
          <w:tcPr>
            <w:tcW w:w="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15AED38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NPV</w:t>
            </w: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tcPr>
          <w:p w14:paraId="6EF5E6BD" w14:textId="77777777" w:rsidR="00D40426" w:rsidRPr="00D40426" w:rsidRDefault="00D40426" w:rsidP="00D40426">
            <w:pPr>
              <w:rPr>
                <w:rFonts w:ascii="Times New Roman" w:hAnsi="Times New Roman" w:cs="Times New Roman"/>
                <w:sz w:val="24"/>
                <w:szCs w:val="24"/>
              </w:rPr>
            </w:pP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tcPr>
          <w:p w14:paraId="6AA1D4CC" w14:textId="77777777" w:rsidR="00D40426" w:rsidRPr="00D40426" w:rsidRDefault="00D40426" w:rsidP="00D40426">
            <w:pPr>
              <w:rPr>
                <w:rFonts w:ascii="Times New Roman" w:hAnsi="Times New Roman" w:cs="Times New Roman"/>
                <w:sz w:val="24"/>
                <w:szCs w:val="24"/>
              </w:rPr>
            </w:pP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D6D84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£792,245</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tcPr>
          <w:p w14:paraId="4D916ABD" w14:textId="77777777" w:rsidR="00D40426" w:rsidRPr="00D40426" w:rsidRDefault="00D40426" w:rsidP="00D40426">
            <w:pPr>
              <w:rPr>
                <w:rFonts w:ascii="Times New Roman" w:hAnsi="Times New Roman" w:cs="Times New Roman"/>
                <w:sz w:val="24"/>
                <w:szCs w:val="24"/>
              </w:rPr>
            </w:pPr>
          </w:p>
        </w:tc>
        <w:tc>
          <w:tcPr>
            <w:tcW w:w="11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5EB8AB0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£151,930</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tcPr>
          <w:p w14:paraId="6D86FC1E" w14:textId="77777777" w:rsidR="00D40426" w:rsidRPr="00D40426" w:rsidRDefault="00D40426" w:rsidP="00D40426">
            <w:pPr>
              <w:rPr>
                <w:rFonts w:ascii="Times New Roman" w:hAnsi="Times New Roman" w:cs="Times New Roman"/>
                <w:sz w:val="24"/>
                <w:szCs w:val="24"/>
              </w:rPr>
            </w:pPr>
          </w:p>
        </w:tc>
        <w:tc>
          <w:tcPr>
            <w:tcW w:w="1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vAlign w:val="center"/>
            <w:hideMark/>
          </w:tcPr>
          <w:p w14:paraId="6E83086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−£52,097</w:t>
            </w:r>
          </w:p>
        </w:tc>
      </w:tr>
    </w:tbl>
    <w:p w14:paraId="226C722C" w14:textId="77777777" w:rsidR="00D40426" w:rsidRPr="00D40426" w:rsidRDefault="00D40426" w:rsidP="00D40426">
      <w:pPr>
        <w:rPr>
          <w:rFonts w:ascii="Times New Roman" w:hAnsi="Times New Roman" w:cs="Times New Roman"/>
          <w:sz w:val="24"/>
          <w:szCs w:val="24"/>
        </w:rPr>
      </w:pPr>
    </w:p>
    <w:p w14:paraId="3564C59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By means of linear interpolation, the internal rate of return (IRR) is calculated as follows: IRR ≈ 25% + [151,930 / (151,930 + 52,097)] × (35% − 25%) = 25% + 7.45% ≈ 32.45%.</w:t>
      </w:r>
    </w:p>
    <w:p w14:paraId="75FC45B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IRR of around 32.45% is well above Westward Plc's cost of capital of 6%, thus further validating Option B as the financially sound investment choice. The difference between the IRR and the cost of capital, also known as the IRR spread, is 26.45 percentage points (Brigham and Houston, 2019). Such a large buffer provides a substantial safeguard against potential inaccuracies in the estimated cash flows, macroeconomic changes, or an increase in the cost of capital. In other words, the cost of capital would have to increase from 6% to above 32.45% for Option B to become financially non-feasible, which is considered extremely unlikely and further emphasizes the soundness of this investment choice. As noted by Watson and Head (2016), a large IRR spread is a very strong signal of investment quality, especially in times of economic uncertainty. The IRR calculation is entirely consistent with and further supports the NPV analysis; both approaches independently and unequivocally select Option B as the better investment alternative for Westward Plc.</w:t>
      </w:r>
    </w:p>
    <w:p w14:paraId="6A0C1303" w14:textId="77777777" w:rsidR="00D40426" w:rsidRPr="00D40426" w:rsidRDefault="00D40426" w:rsidP="00D40426">
      <w:pPr>
        <w:rPr>
          <w:rFonts w:ascii="Times New Roman" w:hAnsi="Times New Roman" w:cs="Times New Roman"/>
          <w:sz w:val="24"/>
          <w:szCs w:val="24"/>
        </w:rPr>
      </w:pPr>
    </w:p>
    <w:p w14:paraId="6C42527F" w14:textId="77777777" w:rsidR="00D40426" w:rsidRPr="00D40426" w:rsidRDefault="00D40426" w:rsidP="005E51D5">
      <w:pPr>
        <w:pStyle w:val="Heading2"/>
      </w:pPr>
      <w:bookmarkStart w:id="32" w:name="_Toc224782589"/>
      <w:r w:rsidRPr="00D40426">
        <w:t>5. Strategic Considerations and Financing Plan</w:t>
      </w:r>
      <w:bookmarkEnd w:id="32"/>
    </w:p>
    <w:p w14:paraId="4763CE5E" w14:textId="77777777" w:rsidR="00D40426" w:rsidRPr="00D40426" w:rsidRDefault="00D40426" w:rsidP="005E51D5">
      <w:pPr>
        <w:pStyle w:val="Heading3"/>
      </w:pPr>
      <w:bookmarkStart w:id="33" w:name="_Toc224782590"/>
      <w:r w:rsidRPr="00D40426">
        <w:t>5.1 Strategic Considerations</w:t>
      </w:r>
      <w:bookmarkEnd w:id="33"/>
    </w:p>
    <w:p w14:paraId="5AF0CC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Other than the quantitative measures, strategic considerations should be made in arriving at a final decision regarding investment (Watson &amp; Head, 2016; Brigham &amp; Houston, 2019). In relation to Option B, it is imperative for Westward Plc to </w:t>
      </w:r>
      <w:proofErr w:type="spellStart"/>
      <w:r w:rsidRPr="00D40426">
        <w:rPr>
          <w:rFonts w:ascii="Times New Roman" w:hAnsi="Times New Roman" w:cs="Times New Roman"/>
          <w:sz w:val="24"/>
          <w:szCs w:val="24"/>
        </w:rPr>
        <w:t>analyze</w:t>
      </w:r>
      <w:proofErr w:type="spellEnd"/>
      <w:r w:rsidRPr="00D40426">
        <w:rPr>
          <w:rFonts w:ascii="Times New Roman" w:hAnsi="Times New Roman" w:cs="Times New Roman"/>
          <w:sz w:val="24"/>
          <w:szCs w:val="24"/>
        </w:rPr>
        <w:t xml:space="preserve"> and understand the growth trends in the e-commerce market and the level of competitiveness in the online retail market for window coverings. It is crucial for Westward Plc to understand whether it has the requisite capabilities in digital marketing, technology, and customer service to execute an internet commerce strategy (Kersten et al., 2017). The implementation risks in relation to executing an internet commerce strategy include issues of technology failure, cybersecurity risks, data protection regulations under UK GDPR, and customer acquisition risks in a highly competitive digital environment.</w:t>
      </w:r>
    </w:p>
    <w:p w14:paraId="62D9C1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Under Option C, there is a proposal for product diversification in the production of wooden and Roman blinds, which could be used as a strategic justification for investment in this </w:t>
      </w:r>
      <w:r w:rsidRPr="00D40426">
        <w:rPr>
          <w:rFonts w:ascii="Times New Roman" w:hAnsi="Times New Roman" w:cs="Times New Roman"/>
          <w:sz w:val="24"/>
          <w:szCs w:val="24"/>
        </w:rPr>
        <w:lastRenderedPageBreak/>
        <w:t xml:space="preserve">option. Product diversification could provide a buffer against market risks in relation to revenue concentration risk and could provide a measure of resilience against market risks in relation to downturns in a particular product category, which is not factored in by using financial measures (Arnold, 2013). However, it should be noted that this option involves a capital outlay of £1,600,000 and a low NPV to investment ratio compared to Option B, which means that while product diversification could provide strategic advantages, it is not sufficient to compensate for its </w:t>
      </w:r>
      <w:proofErr w:type="gramStart"/>
      <w:r w:rsidRPr="00D40426">
        <w:rPr>
          <w:rFonts w:ascii="Times New Roman" w:hAnsi="Times New Roman" w:cs="Times New Roman"/>
          <w:sz w:val="24"/>
          <w:szCs w:val="24"/>
        </w:rPr>
        <w:t>relative</w:t>
      </w:r>
      <w:proofErr w:type="gramEnd"/>
      <w:r w:rsidRPr="00D40426">
        <w:rPr>
          <w:rFonts w:ascii="Times New Roman" w:hAnsi="Times New Roman" w:cs="Times New Roman"/>
          <w:sz w:val="24"/>
          <w:szCs w:val="24"/>
        </w:rPr>
        <w:t xml:space="preserve"> poor performance in terms of financial returns. Option A involves a low risk profile and a high payback period but involves a low NPV and thus could only be considered where capital preservation is a primary concern. The importance of sustainability and Environmental, Social, and Governance (ESG) factors in relation to investment decisions should not be overlooked by Westward Plc and should thus be factored in while considering the environmental impact of the preferred option in its overall corporate strategy (PwC, 2023).</w:t>
      </w:r>
    </w:p>
    <w:p w14:paraId="56E98855" w14:textId="77777777" w:rsidR="00D40426" w:rsidRPr="00D40426" w:rsidRDefault="00D40426" w:rsidP="005E51D5">
      <w:pPr>
        <w:pStyle w:val="Heading3"/>
      </w:pPr>
      <w:bookmarkStart w:id="34" w:name="_Toc224782591"/>
      <w:r w:rsidRPr="00D40426">
        <w:t>5.2 Financing Structure for Option B</w:t>
      </w:r>
      <w:bookmarkEnd w:id="34"/>
    </w:p>
    <w:p w14:paraId="5820129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 well-diversified financing structure, which incorporates various sources of funds, is recommended for the £1,000,000 Option B investment, based on the trade-off theory of Myers (1984). The proposed financing structure is as follows:</w:t>
      </w:r>
    </w:p>
    <w:p w14:paraId="6175683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£400,000 (40%) through retained earnings—the source with the lowest cost, which involves no issuance costs and information asymmetry problems, as advocated by the pecking order theory of Myers and Majluf (1984), which holds that firms should rely on internal sources of funds before resorting to external sources.</w:t>
      </w:r>
    </w:p>
    <w:p w14:paraId="702D005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£400,000 (40%) through long-term debt—the source that involves tax-deductible interest payments, which yields tax shield benefits, as advocated by Modigliani and Miller (1963), and also helps to maintain the existing stock of shares without dilution.</w:t>
      </w:r>
    </w:p>
    <w:p w14:paraId="0973FAE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£200,000 (20%) through equity issues—the source that signals management's confidence in the project's viability to the external world, while also maintaining a moderate and flexible capital structure.</w:t>
      </w:r>
    </w:p>
    <w:p w14:paraId="416E3B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Retained earnings are the most efficient source of funds, as they involve no transaction costs or external disclosure requirements (Myers and Majluf, 1984). However, it may not be possible to generate the required £1,000,000 through retained earnings alone, which may also limit Westward Plc's financial flexibility. The 40% long-term debt component takes advantage of the interest deductibility feature to significantly lower the weighted cost of capital. Leland (1994) demonstrates that moderate leverage is value-enhancing due to tax shields without significantly increasing financial distress costs, as long as interest coverage ratios remain satisfactory. The equity component of 20% helps to avoid over-leveraging and also provides an additional cushion of financial flexibility. Myers (1984) contends that the optimal capital structure strikes a balance between the tax advantages of debt and the increasing costs of financial distress. The proposed 40/40/20 split appears to achieve this balance for a company of Westward Plc's size and risk characteristics. After the investment, management should make it a point to periodically review actual cash flows against projected cash flows to identify discrepancies at the earliest and take corrective action as and when required.</w:t>
      </w:r>
    </w:p>
    <w:p w14:paraId="3CF8076D" w14:textId="77777777" w:rsidR="00D40426" w:rsidRPr="00D40426" w:rsidRDefault="00D40426" w:rsidP="005E51D5">
      <w:pPr>
        <w:pStyle w:val="Heading2"/>
      </w:pPr>
      <w:bookmarkStart w:id="35" w:name="_Toc224782592"/>
      <w:r w:rsidRPr="00D40426">
        <w:lastRenderedPageBreak/>
        <w:t>6. Conclusion</w:t>
      </w:r>
      <w:bookmarkEnd w:id="35"/>
    </w:p>
    <w:p w14:paraId="1241BB0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This report offers a two-fold financial analysis, including ratio analysis and investment appraisal. </w:t>
      </w:r>
    </w:p>
    <w:p w14:paraId="7EB12B5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Part A uses conventional ratio analysis over five areas: profitability, liquidity, efficiency, gearing, and investor ratios, to </w:t>
      </w:r>
      <w:proofErr w:type="spellStart"/>
      <w:r w:rsidRPr="00D40426">
        <w:rPr>
          <w:rFonts w:ascii="Times New Roman" w:hAnsi="Times New Roman" w:cs="Times New Roman"/>
          <w:sz w:val="24"/>
          <w:szCs w:val="24"/>
        </w:rPr>
        <w:t>analyze</w:t>
      </w:r>
      <w:proofErr w:type="spellEnd"/>
      <w:r w:rsidRPr="00D40426">
        <w:rPr>
          <w:rFonts w:ascii="Times New Roman" w:hAnsi="Times New Roman" w:cs="Times New Roman"/>
          <w:sz w:val="24"/>
          <w:szCs w:val="24"/>
        </w:rPr>
        <w:t xml:space="preserve"> HSBC UK Bank plc. The analysis suggests a prudent transition from extraordinary to ordinary financial performance. Profitability ratios suggest that the 2024 financial performance (ROE 16.5%, ROA 1.23%, Gross Profit Margin 62.4%, Net Profit Margin 22.7%) provides a sound and trustworthy foundation, with 2023 financial performance overstated by non-recurring SVB UK acquisition gains that do not represent ordinary operative capability (Penman, 2013). All profitability ratios are at or above industry standards, providing a strong foundation for competitive advantage. Liquidity ratios demonstrate adequate short-term financial coverage at or above industry standards, with a Current Ratio of 1.18 and a Quick Ratio of 1.16; however, continued review is necessary as the interest rate environment normalizes. Efficiency ratios demonstrate strong cost controls relative to industry peers, best exemplified by an Operating Expense Ratio of 37.6%, which is substantially lower than the industry average of 45-55%. Gearing of 89.3% is consistent with industry norms, and an Interest Coverage Ratio of 3.2x indicates easy debt servicing. The Dividend Payout Ratio of 80.7% is substantially higher than the 30-60% industry average, suggesting a primary source of strategic risk in potential degradation of internal capital reserves and, in turn, future resilience (Myers and Majluf, 1984).</w:t>
      </w:r>
    </w:p>
    <w:p w14:paraId="6DD7EDE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Part B </w:t>
      </w:r>
      <w:proofErr w:type="spellStart"/>
      <w:r w:rsidRPr="00D40426">
        <w:rPr>
          <w:rFonts w:ascii="Times New Roman" w:hAnsi="Times New Roman" w:cs="Times New Roman"/>
          <w:sz w:val="24"/>
          <w:szCs w:val="24"/>
        </w:rPr>
        <w:t>analyzes</w:t>
      </w:r>
      <w:proofErr w:type="spellEnd"/>
      <w:r w:rsidRPr="00D40426">
        <w:rPr>
          <w:rFonts w:ascii="Times New Roman" w:hAnsi="Times New Roman" w:cs="Times New Roman"/>
          <w:sz w:val="24"/>
          <w:szCs w:val="24"/>
        </w:rPr>
        <w:t xml:space="preserve"> three investment options for Westward Plc, and all three options have positive Net Present Values (NPVs), thus creating value for shareholders. Among the options, Option B—Internet Sales Development—is the better investment opportunity because it has the highest NPV of £792,245, the best capital utilization ratio, and an Internal Rate of Return (IRR) of 32.45%, which is 26.45 percentage points higher than the cost of capital of 6%. The Payback Period is 2 years and 5 months, which is quite acceptable. The capital structure plan, which involves 40% retained earnings, 40% long-term debt, and 20% equity, ensures that the weighted average cost of capital is optimized while maintaining strategic flexibility, as postulated by Myers (1984) and Modigliani &amp; Miller (1963).</w:t>
      </w:r>
    </w:p>
    <w:p w14:paraId="0FCFE17D" w14:textId="77777777" w:rsidR="00D40426" w:rsidRPr="00D40426" w:rsidRDefault="00D40426" w:rsidP="00D40426">
      <w:pPr>
        <w:rPr>
          <w:rFonts w:ascii="Times New Roman" w:hAnsi="Times New Roman" w:cs="Times New Roman"/>
          <w:sz w:val="24"/>
          <w:szCs w:val="24"/>
        </w:rPr>
      </w:pPr>
    </w:p>
    <w:p w14:paraId="350A2F09" w14:textId="77777777" w:rsidR="00D40426" w:rsidRPr="00D40426" w:rsidRDefault="00D40426" w:rsidP="00D40426">
      <w:pPr>
        <w:rPr>
          <w:rFonts w:ascii="Times New Roman" w:hAnsi="Times New Roman" w:cs="Times New Roman"/>
          <w:sz w:val="24"/>
          <w:szCs w:val="24"/>
        </w:rPr>
      </w:pPr>
    </w:p>
    <w:p w14:paraId="62BB2FB4" w14:textId="77777777" w:rsidR="00D40426" w:rsidRPr="00D40426" w:rsidRDefault="00D40426" w:rsidP="00D40426">
      <w:pPr>
        <w:rPr>
          <w:rFonts w:ascii="Times New Roman" w:hAnsi="Times New Roman" w:cs="Times New Roman"/>
          <w:sz w:val="24"/>
          <w:szCs w:val="24"/>
        </w:rPr>
      </w:pPr>
    </w:p>
    <w:p w14:paraId="4221F883" w14:textId="77777777" w:rsidR="00D40426" w:rsidRPr="00D40426" w:rsidRDefault="00D40426" w:rsidP="00D40426">
      <w:pPr>
        <w:rPr>
          <w:rFonts w:ascii="Times New Roman" w:hAnsi="Times New Roman" w:cs="Times New Roman"/>
          <w:sz w:val="24"/>
          <w:szCs w:val="24"/>
        </w:rPr>
      </w:pPr>
    </w:p>
    <w:p w14:paraId="583AD64C" w14:textId="77777777" w:rsidR="00D40426" w:rsidRDefault="00D40426" w:rsidP="00D40426">
      <w:pPr>
        <w:rPr>
          <w:rFonts w:ascii="Times New Roman" w:hAnsi="Times New Roman" w:cs="Times New Roman"/>
          <w:sz w:val="24"/>
          <w:szCs w:val="24"/>
        </w:rPr>
      </w:pPr>
    </w:p>
    <w:p w14:paraId="643C11DA" w14:textId="70A2EE33" w:rsidR="00D40426" w:rsidRDefault="00D40426" w:rsidP="005E51D5">
      <w:pPr>
        <w:pStyle w:val="Heading1"/>
      </w:pPr>
    </w:p>
    <w:p w14:paraId="4A19D258" w14:textId="77777777" w:rsidR="00F55D94" w:rsidRDefault="00F55D94" w:rsidP="00F55D94"/>
    <w:p w14:paraId="3C472962" w14:textId="77777777" w:rsidR="00F55D94" w:rsidRPr="00F55D94" w:rsidRDefault="00F55D94" w:rsidP="00F55D94"/>
    <w:p w14:paraId="6F85B5C7" w14:textId="77777777" w:rsidR="00D40426" w:rsidRPr="00D40426" w:rsidRDefault="00D40426" w:rsidP="005E51D5">
      <w:pPr>
        <w:pStyle w:val="Heading1"/>
        <w:rPr>
          <w:b/>
          <w:bCs/>
        </w:rPr>
      </w:pPr>
      <w:bookmarkStart w:id="36" w:name="_Toc224782593"/>
      <w:r w:rsidRPr="00D40426">
        <w:rPr>
          <w:b/>
          <w:bCs/>
        </w:rPr>
        <w:lastRenderedPageBreak/>
        <w:t>REFERENCES</w:t>
      </w:r>
      <w:bookmarkEnd w:id="36"/>
    </w:p>
    <w:p w14:paraId="779B8E7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Arnold, G. (2013) Corporate Financial Management. 5th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w:t>
      </w:r>
    </w:p>
    <w:p w14:paraId="25B5A97A" w14:textId="77777777" w:rsidR="00D40426" w:rsidRPr="00D40426" w:rsidRDefault="00D40426" w:rsidP="00D40426">
      <w:pPr>
        <w:rPr>
          <w:rFonts w:ascii="Times New Roman" w:hAnsi="Times New Roman" w:cs="Times New Roman"/>
          <w:sz w:val="24"/>
          <w:szCs w:val="24"/>
        </w:rPr>
      </w:pP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xml:space="preserve">, P. (2019) Financial Management for Decision Makers. 8th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Pearson.</w:t>
      </w:r>
    </w:p>
    <w:p w14:paraId="453367FD" w14:textId="77777777" w:rsidR="00D40426" w:rsidRPr="00D40426" w:rsidRDefault="00D40426" w:rsidP="00D40426">
      <w:pPr>
        <w:rPr>
          <w:rFonts w:ascii="Times New Roman" w:hAnsi="Times New Roman" w:cs="Times New Roman"/>
          <w:sz w:val="24"/>
          <w:szCs w:val="24"/>
        </w:rPr>
      </w:pPr>
      <w:proofErr w:type="spellStart"/>
      <w:r w:rsidRPr="00D40426">
        <w:rPr>
          <w:rFonts w:ascii="Times New Roman" w:hAnsi="Times New Roman" w:cs="Times New Roman"/>
          <w:sz w:val="24"/>
          <w:szCs w:val="24"/>
        </w:rPr>
        <w:t>Atrill</w:t>
      </w:r>
      <w:proofErr w:type="spellEnd"/>
      <w:r w:rsidRPr="00D40426">
        <w:rPr>
          <w:rFonts w:ascii="Times New Roman" w:hAnsi="Times New Roman" w:cs="Times New Roman"/>
          <w:sz w:val="24"/>
          <w:szCs w:val="24"/>
        </w:rPr>
        <w:t xml:space="preserve">, P. and McLaney, E. (2021) Accounting and Finance for Non-Specialists. 12th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Pearson.</w:t>
      </w:r>
    </w:p>
    <w:p w14:paraId="6029375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Bank of England (2024) Financial Stability Report. Available at: https://www.bankofengland.co.uk.</w:t>
      </w:r>
    </w:p>
    <w:p w14:paraId="283DDE8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Bank of England (2024) Monetary Policy Report. London: Bank of England.</w:t>
      </w:r>
    </w:p>
    <w:p w14:paraId="688F930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Basel Committee on Banking Supervision (2017) Basel III: Finalising Post-Crisis Reforms. Basel: BIS.</w:t>
      </w:r>
    </w:p>
    <w:p w14:paraId="67092C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Bekaert, G. (2017) International Financial Management. 3rd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Cambridge: Cambridge University Press.</w:t>
      </w:r>
    </w:p>
    <w:p w14:paraId="660378E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Berk, J. and DeMarzo, P. (2020) Corporate Finance. 5th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w:t>
      </w:r>
    </w:p>
    <w:p w14:paraId="2E414AF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Brealey, R.A., Myers, S.C. and Allen, F. (2020) </w:t>
      </w:r>
      <w:r w:rsidRPr="00D40426">
        <w:rPr>
          <w:rFonts w:ascii="Times New Roman" w:hAnsi="Times New Roman" w:cs="Times New Roman"/>
          <w:i/>
          <w:iCs/>
          <w:sz w:val="24"/>
          <w:szCs w:val="24"/>
        </w:rPr>
        <w:t>Principles of Corporate Finance</w:t>
      </w:r>
      <w:r w:rsidRPr="00D40426">
        <w:rPr>
          <w:rFonts w:ascii="Times New Roman" w:hAnsi="Times New Roman" w:cs="Times New Roman"/>
          <w:sz w:val="24"/>
          <w:szCs w:val="24"/>
        </w:rPr>
        <w:t xml:space="preserve">. 13th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New York: McGraw-Hill Education.</w:t>
      </w:r>
    </w:p>
    <w:p w14:paraId="19E6EAC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Brigham, E.F. and Ehrhardt, M.C. (2020) </w:t>
      </w:r>
      <w:r w:rsidRPr="00D40426">
        <w:rPr>
          <w:rFonts w:ascii="Times New Roman" w:hAnsi="Times New Roman" w:cs="Times New Roman"/>
          <w:i/>
          <w:iCs/>
          <w:sz w:val="24"/>
          <w:szCs w:val="24"/>
        </w:rPr>
        <w:t>Financial Management: Theory and Practice</w:t>
      </w:r>
      <w:r w:rsidRPr="00D40426">
        <w:rPr>
          <w:rFonts w:ascii="Times New Roman" w:hAnsi="Times New Roman" w:cs="Times New Roman"/>
          <w:sz w:val="24"/>
          <w:szCs w:val="24"/>
        </w:rPr>
        <w:t xml:space="preserve">. 16th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Mason: Cengage Learning.</w:t>
      </w:r>
    </w:p>
    <w:p w14:paraId="4AC8F15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Brigham, E.F. and Houston, J.F. (2019) Fundamentals of Financial Management. 15th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Cengage.</w:t>
      </w:r>
    </w:p>
    <w:p w14:paraId="19DE65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Casu, B., </w:t>
      </w:r>
      <w:proofErr w:type="spellStart"/>
      <w:r w:rsidRPr="00D40426">
        <w:rPr>
          <w:rFonts w:ascii="Times New Roman" w:hAnsi="Times New Roman" w:cs="Times New Roman"/>
          <w:sz w:val="24"/>
          <w:szCs w:val="24"/>
        </w:rPr>
        <w:t>Girardone</w:t>
      </w:r>
      <w:proofErr w:type="spellEnd"/>
      <w:r w:rsidRPr="00D40426">
        <w:rPr>
          <w:rFonts w:ascii="Times New Roman" w:hAnsi="Times New Roman" w:cs="Times New Roman"/>
          <w:sz w:val="24"/>
          <w:szCs w:val="24"/>
        </w:rPr>
        <w:t xml:space="preserve">, C. and Molyneux, P. (2015) Introduction to Banking. 2nd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Pearson.</w:t>
      </w:r>
    </w:p>
    <w:p w14:paraId="03F903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Damodaran, A. (2012) </w:t>
      </w:r>
      <w:r w:rsidRPr="00D40426">
        <w:rPr>
          <w:rFonts w:ascii="Times New Roman" w:hAnsi="Times New Roman" w:cs="Times New Roman"/>
          <w:i/>
          <w:iCs/>
          <w:sz w:val="24"/>
          <w:szCs w:val="24"/>
        </w:rPr>
        <w:t>Investment Valuation: Tools and Techniques for Determining the Value of Any Asset</w:t>
      </w:r>
      <w:r w:rsidRPr="00D40426">
        <w:rPr>
          <w:rFonts w:ascii="Times New Roman" w:hAnsi="Times New Roman" w:cs="Times New Roman"/>
          <w:sz w:val="24"/>
          <w:szCs w:val="24"/>
        </w:rPr>
        <w:t xml:space="preserve">. 3rd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Hoboken: John Wiley and Sons.</w:t>
      </w:r>
    </w:p>
    <w:p w14:paraId="02F8B34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Deloitte (2023) Banking Industry Outlook. London: Deloitte LLP.</w:t>
      </w:r>
    </w:p>
    <w:p w14:paraId="1A031C97" w14:textId="77777777" w:rsidR="00D40426" w:rsidRPr="00D40426" w:rsidRDefault="00D40426" w:rsidP="00D40426">
      <w:pPr>
        <w:rPr>
          <w:rFonts w:ascii="Times New Roman" w:hAnsi="Times New Roman" w:cs="Times New Roman"/>
          <w:sz w:val="24"/>
          <w:szCs w:val="24"/>
        </w:rPr>
      </w:pPr>
      <w:proofErr w:type="spellStart"/>
      <w:r w:rsidRPr="00D40426">
        <w:rPr>
          <w:rFonts w:ascii="Times New Roman" w:hAnsi="Times New Roman" w:cs="Times New Roman"/>
          <w:sz w:val="24"/>
          <w:szCs w:val="24"/>
        </w:rPr>
        <w:t>Demirgüç</w:t>
      </w:r>
      <w:proofErr w:type="spellEnd"/>
      <w:r w:rsidRPr="00D40426">
        <w:rPr>
          <w:rFonts w:ascii="Times New Roman" w:hAnsi="Times New Roman" w:cs="Times New Roman"/>
          <w:sz w:val="24"/>
          <w:szCs w:val="24"/>
        </w:rPr>
        <w:t>-Kunt, A. and Huizinga, H. (2010) Bank activity and funding strategies. Journal of Financial Economics, 98(3), pp. 626–650.</w:t>
      </w:r>
    </w:p>
    <w:p w14:paraId="046C864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Drury, C. (2020) Management and Cost Accounting. 10th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Andover: Cengage.</w:t>
      </w:r>
    </w:p>
    <w:p w14:paraId="52673B5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Elliott, B. and Elliott, J. (2019) </w:t>
      </w:r>
      <w:r w:rsidRPr="00D40426">
        <w:rPr>
          <w:rFonts w:ascii="Times New Roman" w:hAnsi="Times New Roman" w:cs="Times New Roman"/>
          <w:i/>
          <w:iCs/>
          <w:sz w:val="24"/>
          <w:szCs w:val="24"/>
        </w:rPr>
        <w:t>Financial Accounting and Reporting</w:t>
      </w:r>
      <w:r w:rsidRPr="00D40426">
        <w:rPr>
          <w:rFonts w:ascii="Times New Roman" w:hAnsi="Times New Roman" w:cs="Times New Roman"/>
          <w:sz w:val="24"/>
          <w:szCs w:val="24"/>
        </w:rPr>
        <w:t xml:space="preserve">. 19th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 Education Limited.</w:t>
      </w:r>
    </w:p>
    <w:p w14:paraId="5D5C364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Financial Conduct Authority (2023) Annual Report and Accounts 2022/23. London: FCA.</w:t>
      </w:r>
    </w:p>
    <w:p w14:paraId="359AE1B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Financial Times (2024) </w:t>
      </w:r>
      <w:r w:rsidRPr="00D40426">
        <w:rPr>
          <w:rFonts w:ascii="Times New Roman" w:hAnsi="Times New Roman" w:cs="Times New Roman"/>
          <w:i/>
          <w:iCs/>
          <w:sz w:val="24"/>
          <w:szCs w:val="24"/>
        </w:rPr>
        <w:t>UK Banking Sector Analysis</w:t>
      </w:r>
      <w:r w:rsidRPr="00D40426">
        <w:rPr>
          <w:rFonts w:ascii="Times New Roman" w:hAnsi="Times New Roman" w:cs="Times New Roman"/>
          <w:sz w:val="24"/>
          <w:szCs w:val="24"/>
        </w:rPr>
        <w:t>. London: Financial Times.</w:t>
      </w:r>
    </w:p>
    <w:p w14:paraId="11D1EB7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Gorton, G. (2010) Slapped by the Invisible Hand. Oxford: Oxford University Press.</w:t>
      </w:r>
    </w:p>
    <w:p w14:paraId="3D441B9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Graham, J.R. and Harvey, C.R. (2001) 'The theory and practice of corporate finance', Journal of Financial Economics, 60(2–3), pp. 187–243.</w:t>
      </w:r>
    </w:p>
    <w:p w14:paraId="78E329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 xml:space="preserve">Greenbaum, S.I., Thakor, A.V. and Boot, A. (2019) Contemporary Financial Intermediation. 4th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London: Academic Press.</w:t>
      </w:r>
    </w:p>
    <w:p w14:paraId="3DA9BB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HSBC UK Bank plc (2023) </w:t>
      </w:r>
      <w:r w:rsidRPr="00D40426">
        <w:rPr>
          <w:rFonts w:ascii="Times New Roman" w:hAnsi="Times New Roman" w:cs="Times New Roman"/>
          <w:i/>
          <w:iCs/>
          <w:sz w:val="24"/>
          <w:szCs w:val="24"/>
        </w:rPr>
        <w:t>Annual Report and Accounts 2023</w:t>
      </w:r>
      <w:r w:rsidRPr="00D40426">
        <w:rPr>
          <w:rFonts w:ascii="Times New Roman" w:hAnsi="Times New Roman" w:cs="Times New Roman"/>
          <w:sz w:val="24"/>
          <w:szCs w:val="24"/>
        </w:rPr>
        <w:t>. Birmingham: HSBC UK Bank plc.</w:t>
      </w:r>
    </w:p>
    <w:p w14:paraId="33937B7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HSBC UK Bank plc (2023) Annual Report and Accounts 2023. London: HSBC Holdings plc.</w:t>
      </w:r>
    </w:p>
    <w:p w14:paraId="3BF3E36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HSBC UK Bank plc (2024) Annual Report and Accounts 2024. Birmingham: HSBC UK Bank plc.</w:t>
      </w:r>
    </w:p>
    <w:p w14:paraId="16681DE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HSBC UK Bank plc (2024) Annual Report and Accounts 2024. HSBC Group.</w:t>
      </w:r>
    </w:p>
    <w:p w14:paraId="335093F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Hull, J.C. (2018) Risk Management and Financial Institutions. 5th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Hoboken: Wiley.</w:t>
      </w:r>
    </w:p>
    <w:p w14:paraId="354A46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Jensen, M.C. (1986) 'Agency costs of free cash flow', American Economic Review, 76(2), pp. 323–329.</w:t>
      </w:r>
    </w:p>
    <w:p w14:paraId="7D6D2A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Kersten, R. et al. (2017) 'Small Firms, large Impact? A systematic review of the SME Finance Literature', World Development, 97, pp. 330-348.</w:t>
      </w:r>
    </w:p>
    <w:p w14:paraId="5FFE6D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Koch, T.W. and MacDonald, S.S. (2014) Bank Management. 8th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Mason: Cengage.</w:t>
      </w:r>
    </w:p>
    <w:p w14:paraId="3EC81B3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KPMG (2023) UK Banking Perspectives 2023. London: KPMG LLP.</w:t>
      </w:r>
    </w:p>
    <w:p w14:paraId="1DC98F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Leland, H.E. (1994) 'Corporate debt value, bond covenants, and optimal capital structure', Journal of Finance, 49(4), pp. 1213–1252.</w:t>
      </w:r>
    </w:p>
    <w:p w14:paraId="5898149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Lumby, S. and Jones, C. (2019) </w:t>
      </w:r>
      <w:r w:rsidRPr="00D40426">
        <w:rPr>
          <w:rFonts w:ascii="Times New Roman" w:hAnsi="Times New Roman" w:cs="Times New Roman"/>
          <w:i/>
          <w:iCs/>
          <w:sz w:val="24"/>
          <w:szCs w:val="24"/>
        </w:rPr>
        <w:t>Corporate Finance: Theory and Practice</w:t>
      </w:r>
      <w:r w:rsidRPr="00D40426">
        <w:rPr>
          <w:rFonts w:ascii="Times New Roman" w:hAnsi="Times New Roman" w:cs="Times New Roman"/>
          <w:sz w:val="24"/>
          <w:szCs w:val="24"/>
        </w:rPr>
        <w:t xml:space="preserve">. 9th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Andover: Cengage Learning.</w:t>
      </w:r>
    </w:p>
    <w:p w14:paraId="5D5ABD6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McLaney, E. (2017) </w:t>
      </w:r>
      <w:r w:rsidRPr="00D40426">
        <w:rPr>
          <w:rFonts w:ascii="Times New Roman" w:hAnsi="Times New Roman" w:cs="Times New Roman"/>
          <w:i/>
          <w:iCs/>
          <w:sz w:val="24"/>
          <w:szCs w:val="24"/>
        </w:rPr>
        <w:t>Business Finance: Theory and Practice</w:t>
      </w:r>
      <w:r w:rsidRPr="00D40426">
        <w:rPr>
          <w:rFonts w:ascii="Times New Roman" w:hAnsi="Times New Roman" w:cs="Times New Roman"/>
          <w:sz w:val="24"/>
          <w:szCs w:val="24"/>
        </w:rPr>
        <w:t xml:space="preserve">. 11th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 Education Limited.</w:t>
      </w:r>
    </w:p>
    <w:p w14:paraId="7D21A6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Mishkin, F.S. (2019) The Economics of Money, Banking and Financial Markets. 12th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Pearson.</w:t>
      </w:r>
    </w:p>
    <w:p w14:paraId="0EFEA87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Modigliani, F. and Miller, M.H. (1958) The cost of capital. American Economic Review, 48(3), pp. 261–297.</w:t>
      </w:r>
    </w:p>
    <w:p w14:paraId="5A92B1A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Modigliani, F. and Miller, M.H. (1963) Corporate income taxes and the cost of capital. American Economic Review, 53(3), pp. 433–443.</w:t>
      </w:r>
    </w:p>
    <w:p w14:paraId="48B54EB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Myers, S.C. (1984) 'The capital structure puzzle', Journal of Finance, 39(3), pp. 574–592.</w:t>
      </w:r>
    </w:p>
    <w:p w14:paraId="6E9AC6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Myers, S.C. and Majluf, N.S. (1984) 'Corporate financing and investment decisions', Journal of Financial Economics, 13(2), pp. 187–221.</w:t>
      </w:r>
    </w:p>
    <w:p w14:paraId="42B9850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Penman, S.H. (2013) Financial Statement Analysis and Security Valuation. 5th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McGraw-Hill.</w:t>
      </w:r>
    </w:p>
    <w:p w14:paraId="6230445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Pike, R., Neale, B. and Linsley, P. (2018) Corporate Finance and Investment. 9th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w:t>
      </w:r>
    </w:p>
    <w:p w14:paraId="70B99FC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Prudential Regulation Authority (2024) Capital Requirements Regulation. London: Bank of England.</w:t>
      </w:r>
    </w:p>
    <w:p w14:paraId="1C348D8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Prudential Regulation Authority (2024) PRA Annual Report. Bank of England.</w:t>
      </w:r>
    </w:p>
    <w:p w14:paraId="27258ED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PwC (2023) ESG and Sustainability in Financial Services. London: PricewaterhouseCoopers LLP.</w:t>
      </w:r>
    </w:p>
    <w:p w14:paraId="66E4B28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Ross, S.A., Westerfield, R.W. and Jordan, B.D. (2019) Fundamentals of Corporate Finance. 12th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McGraw-Hill.</w:t>
      </w:r>
    </w:p>
    <w:p w14:paraId="6EA2C82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Saunders, A. and Cornett, M.M. (2021) Financial Institutions Management. 10th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New York: McGraw-Hill.</w:t>
      </w:r>
    </w:p>
    <w:p w14:paraId="75E46BF5" w14:textId="77777777" w:rsidR="00D40426" w:rsidRPr="00D40426" w:rsidRDefault="00D40426" w:rsidP="00D40426">
      <w:pPr>
        <w:rPr>
          <w:rFonts w:ascii="Times New Roman" w:hAnsi="Times New Roman" w:cs="Times New Roman"/>
          <w:sz w:val="24"/>
          <w:szCs w:val="24"/>
        </w:rPr>
      </w:pPr>
      <w:proofErr w:type="spellStart"/>
      <w:r w:rsidRPr="00D40426">
        <w:rPr>
          <w:rFonts w:ascii="Times New Roman" w:hAnsi="Times New Roman" w:cs="Times New Roman"/>
          <w:sz w:val="24"/>
          <w:szCs w:val="24"/>
        </w:rPr>
        <w:t>Vernimmen</w:t>
      </w:r>
      <w:proofErr w:type="spellEnd"/>
      <w:r w:rsidRPr="00D40426">
        <w:rPr>
          <w:rFonts w:ascii="Times New Roman" w:hAnsi="Times New Roman" w:cs="Times New Roman"/>
          <w:sz w:val="24"/>
          <w:szCs w:val="24"/>
        </w:rPr>
        <w:t xml:space="preserve">, P., </w:t>
      </w:r>
      <w:proofErr w:type="spellStart"/>
      <w:r w:rsidRPr="00D40426">
        <w:rPr>
          <w:rFonts w:ascii="Times New Roman" w:hAnsi="Times New Roman" w:cs="Times New Roman"/>
          <w:sz w:val="24"/>
          <w:szCs w:val="24"/>
        </w:rPr>
        <w:t>Quiry</w:t>
      </w:r>
      <w:proofErr w:type="spellEnd"/>
      <w:r w:rsidRPr="00D40426">
        <w:rPr>
          <w:rFonts w:ascii="Times New Roman" w:hAnsi="Times New Roman" w:cs="Times New Roman"/>
          <w:sz w:val="24"/>
          <w:szCs w:val="24"/>
        </w:rPr>
        <w:t xml:space="preserve">, P., </w:t>
      </w:r>
      <w:proofErr w:type="spellStart"/>
      <w:r w:rsidRPr="00D40426">
        <w:rPr>
          <w:rFonts w:ascii="Times New Roman" w:hAnsi="Times New Roman" w:cs="Times New Roman"/>
          <w:sz w:val="24"/>
          <w:szCs w:val="24"/>
        </w:rPr>
        <w:t>Dallocchio</w:t>
      </w:r>
      <w:proofErr w:type="spellEnd"/>
      <w:r w:rsidRPr="00D40426">
        <w:rPr>
          <w:rFonts w:ascii="Times New Roman" w:hAnsi="Times New Roman" w:cs="Times New Roman"/>
          <w:sz w:val="24"/>
          <w:szCs w:val="24"/>
        </w:rPr>
        <w:t xml:space="preserve">, M., Le Fur, Y. and Salvi, A. (2022) </w:t>
      </w:r>
      <w:r w:rsidRPr="00D40426">
        <w:rPr>
          <w:rFonts w:ascii="Times New Roman" w:hAnsi="Times New Roman" w:cs="Times New Roman"/>
          <w:i/>
          <w:iCs/>
          <w:sz w:val="24"/>
          <w:szCs w:val="24"/>
        </w:rPr>
        <w:t>Corporate Finance: Theory and Practice</w:t>
      </w:r>
      <w:r w:rsidRPr="00D40426">
        <w:rPr>
          <w:rFonts w:ascii="Times New Roman" w:hAnsi="Times New Roman" w:cs="Times New Roman"/>
          <w:sz w:val="24"/>
          <w:szCs w:val="24"/>
        </w:rPr>
        <w:t xml:space="preserve">. 6th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Hoboken: John Wiley and Sons.</w:t>
      </w:r>
    </w:p>
    <w:p w14:paraId="570E8B6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Walsh, C. (2008) Key Management Ratios. 4th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FT Prentice Hall.</w:t>
      </w:r>
    </w:p>
    <w:p w14:paraId="6407539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Walsh, C. (2008) Key Management Ratios. 4th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w:t>
      </w:r>
    </w:p>
    <w:p w14:paraId="081FED1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Watson, D. and Head, A. (2016) Corporate Finance: Principles and Practice. 7th </w:t>
      </w:r>
      <w:proofErr w:type="spellStart"/>
      <w:r w:rsidRPr="00D40426">
        <w:rPr>
          <w:rFonts w:ascii="Times New Roman" w:hAnsi="Times New Roman" w:cs="Times New Roman"/>
          <w:sz w:val="24"/>
          <w:szCs w:val="24"/>
        </w:rPr>
        <w:t>edn</w:t>
      </w:r>
      <w:proofErr w:type="spellEnd"/>
      <w:r w:rsidRPr="00D40426">
        <w:rPr>
          <w:rFonts w:ascii="Times New Roman" w:hAnsi="Times New Roman" w:cs="Times New Roman"/>
          <w:sz w:val="24"/>
          <w:szCs w:val="24"/>
        </w:rPr>
        <w:t>. Harlow: Pearson.</w:t>
      </w:r>
    </w:p>
    <w:p w14:paraId="4BD7DF5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Woelfel, C.J. (1994) Financial Statement Analysis. Chicago: Probus Publishing.</w:t>
      </w:r>
    </w:p>
    <w:p w14:paraId="339F6E09" w14:textId="77777777" w:rsidR="00D40426" w:rsidRPr="00D40426" w:rsidRDefault="00D40426" w:rsidP="00D40426">
      <w:pPr>
        <w:rPr>
          <w:rFonts w:ascii="Times New Roman" w:hAnsi="Times New Roman" w:cs="Times New Roman"/>
          <w:sz w:val="24"/>
          <w:szCs w:val="24"/>
        </w:rPr>
      </w:pPr>
    </w:p>
    <w:p w14:paraId="064D24EB" w14:textId="77777777" w:rsidR="00D40426" w:rsidRPr="00D40426" w:rsidRDefault="00D40426" w:rsidP="00D40426">
      <w:pPr>
        <w:rPr>
          <w:rFonts w:ascii="Times New Roman" w:hAnsi="Times New Roman" w:cs="Times New Roman"/>
          <w:sz w:val="24"/>
          <w:szCs w:val="24"/>
        </w:rPr>
      </w:pPr>
    </w:p>
    <w:p w14:paraId="588DF016" w14:textId="77777777" w:rsidR="00D40426" w:rsidRPr="00D40426" w:rsidRDefault="00D40426" w:rsidP="00D40426">
      <w:pPr>
        <w:rPr>
          <w:rFonts w:ascii="Times New Roman" w:hAnsi="Times New Roman" w:cs="Times New Roman"/>
          <w:sz w:val="24"/>
          <w:szCs w:val="24"/>
        </w:rPr>
      </w:pPr>
    </w:p>
    <w:p w14:paraId="584055FB" w14:textId="77777777" w:rsidR="00D40426" w:rsidRPr="00D40426" w:rsidRDefault="00D40426" w:rsidP="00D40426">
      <w:pPr>
        <w:rPr>
          <w:rFonts w:ascii="Times New Roman" w:hAnsi="Times New Roman" w:cs="Times New Roman"/>
          <w:sz w:val="24"/>
          <w:szCs w:val="24"/>
        </w:rPr>
      </w:pPr>
    </w:p>
    <w:p w14:paraId="372F5DCB" w14:textId="77777777" w:rsidR="00D40426" w:rsidRPr="00D40426" w:rsidRDefault="00D40426" w:rsidP="00D40426">
      <w:pPr>
        <w:rPr>
          <w:rFonts w:ascii="Times New Roman" w:hAnsi="Times New Roman" w:cs="Times New Roman"/>
          <w:sz w:val="24"/>
          <w:szCs w:val="24"/>
        </w:rPr>
      </w:pPr>
    </w:p>
    <w:p w14:paraId="2F2E05E5" w14:textId="77777777" w:rsidR="00D40426" w:rsidRPr="00D40426" w:rsidRDefault="00D40426" w:rsidP="00D40426">
      <w:pPr>
        <w:rPr>
          <w:rFonts w:ascii="Times New Roman" w:hAnsi="Times New Roman" w:cs="Times New Roman"/>
          <w:sz w:val="24"/>
          <w:szCs w:val="24"/>
        </w:rPr>
      </w:pPr>
    </w:p>
    <w:p w14:paraId="13A4F12B" w14:textId="77777777" w:rsidR="00D40426" w:rsidRPr="00D40426" w:rsidRDefault="00D40426" w:rsidP="00D40426">
      <w:pPr>
        <w:rPr>
          <w:rFonts w:ascii="Times New Roman" w:hAnsi="Times New Roman" w:cs="Times New Roman"/>
          <w:sz w:val="24"/>
          <w:szCs w:val="24"/>
        </w:rPr>
      </w:pPr>
    </w:p>
    <w:p w14:paraId="39C4C355" w14:textId="77777777" w:rsidR="00D40426" w:rsidRPr="00D40426" w:rsidRDefault="00D40426" w:rsidP="00D40426">
      <w:pPr>
        <w:rPr>
          <w:rFonts w:ascii="Times New Roman" w:hAnsi="Times New Roman" w:cs="Times New Roman"/>
          <w:sz w:val="24"/>
          <w:szCs w:val="24"/>
        </w:rPr>
      </w:pPr>
    </w:p>
    <w:p w14:paraId="4C865D02" w14:textId="77777777" w:rsidR="00D40426" w:rsidRPr="00D40426" w:rsidRDefault="00D40426" w:rsidP="00D40426">
      <w:pPr>
        <w:rPr>
          <w:rFonts w:ascii="Times New Roman" w:hAnsi="Times New Roman" w:cs="Times New Roman"/>
          <w:sz w:val="24"/>
          <w:szCs w:val="24"/>
        </w:rPr>
      </w:pPr>
    </w:p>
    <w:p w14:paraId="59AAFA5B" w14:textId="77777777" w:rsidR="00D40426" w:rsidRPr="00D40426" w:rsidRDefault="00D40426" w:rsidP="00D40426">
      <w:pPr>
        <w:rPr>
          <w:rFonts w:ascii="Times New Roman" w:hAnsi="Times New Roman" w:cs="Times New Roman"/>
          <w:sz w:val="24"/>
          <w:szCs w:val="24"/>
        </w:rPr>
      </w:pPr>
    </w:p>
    <w:p w14:paraId="61716AEF" w14:textId="77777777" w:rsidR="00D40426" w:rsidRDefault="00D40426" w:rsidP="00D40426">
      <w:pPr>
        <w:rPr>
          <w:rFonts w:ascii="Times New Roman" w:hAnsi="Times New Roman" w:cs="Times New Roman"/>
          <w:sz w:val="24"/>
          <w:szCs w:val="24"/>
        </w:rPr>
      </w:pPr>
    </w:p>
    <w:p w14:paraId="60B2AC04" w14:textId="77777777" w:rsidR="00770B1F" w:rsidRPr="00D40426" w:rsidRDefault="00770B1F" w:rsidP="00D40426">
      <w:pPr>
        <w:rPr>
          <w:rFonts w:ascii="Times New Roman" w:hAnsi="Times New Roman" w:cs="Times New Roman"/>
          <w:sz w:val="24"/>
          <w:szCs w:val="24"/>
        </w:rPr>
      </w:pPr>
    </w:p>
    <w:p w14:paraId="57204131" w14:textId="77777777" w:rsidR="00D40426" w:rsidRDefault="00D40426" w:rsidP="00D40426">
      <w:pPr>
        <w:rPr>
          <w:rFonts w:ascii="Times New Roman" w:hAnsi="Times New Roman" w:cs="Times New Roman"/>
          <w:sz w:val="24"/>
          <w:szCs w:val="24"/>
        </w:rPr>
      </w:pPr>
    </w:p>
    <w:p w14:paraId="471E94F5" w14:textId="77777777" w:rsidR="00F55D94" w:rsidRDefault="00F55D94" w:rsidP="00D40426">
      <w:pPr>
        <w:rPr>
          <w:rFonts w:ascii="Times New Roman" w:hAnsi="Times New Roman" w:cs="Times New Roman"/>
          <w:sz w:val="24"/>
          <w:szCs w:val="24"/>
        </w:rPr>
      </w:pPr>
    </w:p>
    <w:p w14:paraId="2B1F720A" w14:textId="77777777" w:rsidR="00F55D94" w:rsidRPr="00D40426" w:rsidRDefault="00F55D94" w:rsidP="00D40426">
      <w:pPr>
        <w:rPr>
          <w:rFonts w:ascii="Times New Roman" w:hAnsi="Times New Roman" w:cs="Times New Roman"/>
          <w:sz w:val="24"/>
          <w:szCs w:val="24"/>
        </w:rPr>
      </w:pPr>
    </w:p>
    <w:p w14:paraId="0B71E3FF" w14:textId="77777777" w:rsidR="00D40426" w:rsidRPr="00D40426" w:rsidRDefault="00D40426" w:rsidP="005E51D5">
      <w:pPr>
        <w:pStyle w:val="Heading1"/>
      </w:pPr>
      <w:bookmarkStart w:id="37" w:name="_Toc224782594"/>
      <w:r w:rsidRPr="00D40426">
        <w:lastRenderedPageBreak/>
        <w:t>APPENDIX</w:t>
      </w:r>
      <w:bookmarkEnd w:id="37"/>
    </w:p>
    <w:p w14:paraId="2B447665" w14:textId="77777777" w:rsidR="00D40426" w:rsidRPr="00D40426" w:rsidRDefault="00D40426" w:rsidP="005E51D5">
      <w:pPr>
        <w:pStyle w:val="Heading2"/>
      </w:pPr>
      <w:bookmarkStart w:id="38" w:name="_Toc224782595"/>
      <w:r w:rsidRPr="00D40426">
        <w:t>Detailed Ratio Analysis Workings &amp; Calculations</w:t>
      </w:r>
      <w:bookmarkEnd w:id="38"/>
    </w:p>
    <w:p w14:paraId="7C7EC2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HSBC UK Bank </w:t>
      </w:r>
      <w:proofErr w:type="gramStart"/>
      <w:r w:rsidRPr="00D40426">
        <w:rPr>
          <w:rFonts w:ascii="Times New Roman" w:hAnsi="Times New Roman" w:cs="Times New Roman"/>
          <w:sz w:val="24"/>
          <w:szCs w:val="24"/>
        </w:rPr>
        <w:t>plc  |</w:t>
      </w:r>
      <w:proofErr w:type="gramEnd"/>
      <w:r w:rsidRPr="00D40426">
        <w:rPr>
          <w:rFonts w:ascii="Times New Roman" w:hAnsi="Times New Roman" w:cs="Times New Roman"/>
          <w:sz w:val="24"/>
          <w:szCs w:val="24"/>
        </w:rPr>
        <w:t xml:space="preserve">  Fiscal Years 2023 &amp; 2024</w:t>
      </w:r>
    </w:p>
    <w:p w14:paraId="25F7AE9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Source: HSBC UK Bank plc Annual Report &amp; Accounts 2024 and 2023. All monetary figures in £ millions unless stated otherwise. Ratio formulae follow </w:t>
      </w:r>
      <w:proofErr w:type="spellStart"/>
      <w:r w:rsidRPr="00D40426">
        <w:rPr>
          <w:rFonts w:ascii="Times New Roman" w:hAnsi="Times New Roman" w:cs="Times New Roman"/>
          <w:i/>
          <w:iCs/>
          <w:sz w:val="24"/>
          <w:szCs w:val="24"/>
        </w:rPr>
        <w:t>Atrill</w:t>
      </w:r>
      <w:proofErr w:type="spellEnd"/>
      <w:r w:rsidRPr="00D40426">
        <w:rPr>
          <w:rFonts w:ascii="Times New Roman" w:hAnsi="Times New Roman" w:cs="Times New Roman"/>
          <w:i/>
          <w:iCs/>
          <w:sz w:val="24"/>
          <w:szCs w:val="24"/>
        </w:rPr>
        <w:t xml:space="preserve"> &amp; McLaney (2021) and Walsh (2008).</w:t>
      </w:r>
    </w:p>
    <w:p w14:paraId="29F1C2D4" w14:textId="77777777" w:rsidR="00D40426" w:rsidRPr="00D40426" w:rsidRDefault="00D40426" w:rsidP="005E51D5">
      <w:pPr>
        <w:pStyle w:val="Heading3"/>
      </w:pPr>
      <w:bookmarkStart w:id="39" w:name="_Toc224782596"/>
      <w:r w:rsidRPr="00D40426">
        <w:t>A1.  Key Financial Data Extracted from HSBC UK Bank plc Accounts</w:t>
      </w:r>
      <w:bookmarkEnd w:id="39"/>
    </w:p>
    <w:p w14:paraId="3ACC0F0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The following balances have been extracted from the published income statements and balance sheets for FY2023 and FY2024 and serve as the primary inputs to all ratio calculations in this Appendix.</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600"/>
        <w:gridCol w:w="1600"/>
        <w:gridCol w:w="3160"/>
      </w:tblGrid>
      <w:tr w:rsidR="00D40426" w:rsidRPr="00D40426" w14:paraId="22158F03" w14:textId="77777777">
        <w:trPr>
          <w:tblHeader/>
        </w:trPr>
        <w:tc>
          <w:tcPr>
            <w:tcW w:w="30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4169CC2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Financial Metric</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2CA902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 (£m)</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008C55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 (£m)</w:t>
            </w:r>
          </w:p>
        </w:tc>
        <w:tc>
          <w:tcPr>
            <w:tcW w:w="31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B86812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Source / Notes</w:t>
            </w:r>
          </w:p>
        </w:tc>
      </w:tr>
      <w:tr w:rsidR="00D40426" w:rsidRPr="00D40426" w14:paraId="32ACC662"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01C1F1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Total Operating Income (Revenue)</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1E257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17,839</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34E48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18,244</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D45327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Income Statement</w:t>
            </w:r>
          </w:p>
        </w:tc>
      </w:tr>
      <w:tr w:rsidR="00D40426" w:rsidRPr="00D40426" w14:paraId="478903A8"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943735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Gross Profit (Net Interest + Fee Income)</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BABE2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11,435</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C2A019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11,384</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28C9D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Calc: Revenue – Funding Costs</w:t>
            </w:r>
          </w:p>
        </w:tc>
      </w:tr>
      <w:tr w:rsidR="00D40426" w:rsidRPr="00D40426" w14:paraId="6AE9A47C"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E5E24C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Net Profit After Tax (PAT)</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CB539C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5,049</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F76B20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4,141</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7999B5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Income Statement</w:t>
            </w:r>
          </w:p>
        </w:tc>
      </w:tr>
      <w:tr w:rsidR="00D40426" w:rsidRPr="00D40426" w14:paraId="43C6E7E3"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580C4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Total Equity (Shareholders' Funds)</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CDADFF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23,176</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3CF1C7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25,094</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B82CB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Balance Sheet</w:t>
            </w:r>
          </w:p>
        </w:tc>
      </w:tr>
      <w:tr w:rsidR="00D40426" w:rsidRPr="00D40426" w14:paraId="084BDD41"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0BAD43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Total Assets</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A6D342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323,478</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A75952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337,069</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BE7D7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Balance Sheet</w:t>
            </w:r>
          </w:p>
        </w:tc>
      </w:tr>
      <w:tr w:rsidR="00D40426" w:rsidRPr="00D40426" w14:paraId="29AE648B"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73C2A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Total Liabilities</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0FE874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300,302</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F98CB7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311,975</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3C28D2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Bal. Sheet: Assets – Equity</w:t>
            </w:r>
          </w:p>
        </w:tc>
      </w:tr>
      <w:tr w:rsidR="00D40426" w:rsidRPr="00D40426" w14:paraId="213BE81B"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253EB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Current Assets</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88376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6568B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52,000</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13389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Balance Sheet (approx.)</w:t>
            </w:r>
          </w:p>
        </w:tc>
      </w:tr>
      <w:tr w:rsidR="00D40426" w:rsidRPr="00D40426" w14:paraId="6191849E"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24415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Current Liabilities</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90BB3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40,325</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0FF3CC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44,068</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ACACFC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Balance Sheet</w:t>
            </w:r>
          </w:p>
        </w:tc>
      </w:tr>
      <w:tr w:rsidR="00D40426" w:rsidRPr="00D40426" w14:paraId="79D4C87F"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699894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Total Debt (Borrowings)</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B332CA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21,123</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544B2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22,440</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779E1B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Notes to Accounts</w:t>
            </w:r>
          </w:p>
        </w:tc>
      </w:tr>
      <w:tr w:rsidR="00D40426" w:rsidRPr="00D40426" w14:paraId="19BBD075"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31CB7F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Interest Expense</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FCAFE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1,328</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9854C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1,293</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9E6E3B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Income Statement</w:t>
            </w:r>
          </w:p>
        </w:tc>
      </w:tr>
      <w:tr w:rsidR="00D40426" w:rsidRPr="00D40426" w14:paraId="4CD12272"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538E99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EBIT (Operating Profit before Int.)</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3659A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5,043</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BEF66C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4,133</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A460F9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Calc: PAT + Tax + Interest</w:t>
            </w:r>
          </w:p>
        </w:tc>
      </w:tr>
      <w:tr w:rsidR="00D40426" w:rsidRPr="00D40426" w14:paraId="438AB8EE" w14:textId="77777777">
        <w:tc>
          <w:tcPr>
            <w:tcW w:w="3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E233C4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Dividends Paid</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8CCCAA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2,115</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3877E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3,342</w:t>
            </w:r>
          </w:p>
        </w:tc>
        <w:tc>
          <w:tcPr>
            <w:tcW w:w="3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0193EC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Cash Flow Statement</w:t>
            </w:r>
          </w:p>
        </w:tc>
      </w:tr>
      <w:tr w:rsidR="00D40426" w:rsidRPr="00D40426" w14:paraId="5CD9832B" w14:textId="77777777">
        <w:tc>
          <w:tcPr>
            <w:tcW w:w="3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BE54B5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Earnings Per Share</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68924D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 (unlisted)</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65863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 (unlisted)</w:t>
            </w:r>
          </w:p>
        </w:tc>
        <w:tc>
          <w:tcPr>
            <w:tcW w:w="3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7DC634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Subsidiary – no market price</w:t>
            </w:r>
          </w:p>
        </w:tc>
      </w:tr>
    </w:tbl>
    <w:p w14:paraId="1F89E383" w14:textId="77777777" w:rsidR="00D40426" w:rsidRPr="00D40426" w:rsidRDefault="00D40426" w:rsidP="00D40426">
      <w:pPr>
        <w:rPr>
          <w:rFonts w:ascii="Times New Roman" w:hAnsi="Times New Roman" w:cs="Times New Roman"/>
          <w:sz w:val="24"/>
          <w:szCs w:val="24"/>
        </w:rPr>
      </w:pPr>
    </w:p>
    <w:p w14:paraId="07E9D8BB" w14:textId="77777777" w:rsidR="00D40426" w:rsidRPr="00D40426" w:rsidRDefault="00D40426" w:rsidP="005E51D5">
      <w:pPr>
        <w:pStyle w:val="Heading3"/>
      </w:pPr>
      <w:bookmarkStart w:id="40" w:name="_Toc224782597"/>
      <w:r w:rsidRPr="00D40426">
        <w:t>A2.  Profitability Ratios — Full Workings</w:t>
      </w:r>
      <w:bookmarkEnd w:id="40"/>
    </w:p>
    <w:p w14:paraId="312C43FE"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A2.1  Gross</w:t>
      </w:r>
      <w:proofErr w:type="gramEnd"/>
      <w:r w:rsidRPr="00D40426">
        <w:rPr>
          <w:rFonts w:ascii="Times New Roman" w:hAnsi="Times New Roman" w:cs="Times New Roman"/>
          <w:b/>
          <w:bCs/>
          <w:sz w:val="24"/>
          <w:szCs w:val="24"/>
        </w:rPr>
        <w:t xml:space="preserve"> Profit Margin</w:t>
      </w:r>
    </w:p>
    <w:p w14:paraId="0A393AB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Gross Profit </w:t>
      </w:r>
      <w:proofErr w:type="gramStart"/>
      <w:r w:rsidRPr="00D40426">
        <w:rPr>
          <w:rFonts w:ascii="Times New Roman" w:hAnsi="Times New Roman" w:cs="Times New Roman"/>
          <w:i/>
          <w:iCs/>
          <w:sz w:val="24"/>
          <w:szCs w:val="24"/>
        </w:rPr>
        <w:t>Margin  =</w:t>
      </w:r>
      <w:proofErr w:type="gramEnd"/>
      <w:r w:rsidRPr="00D40426">
        <w:rPr>
          <w:rFonts w:ascii="Times New Roman" w:hAnsi="Times New Roman" w:cs="Times New Roman"/>
          <w:i/>
          <w:iCs/>
          <w:sz w:val="24"/>
          <w:szCs w:val="24"/>
        </w:rPr>
        <w:t xml:space="preserve">  (Gross Profit ÷ Total Operating Income) × 100</w:t>
      </w:r>
    </w:p>
    <w:p w14:paraId="508F72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11,435 ÷ 17,839)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64.1%</w:t>
      </w:r>
    </w:p>
    <w:p w14:paraId="2A1CEC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11,384 ÷ 18,244)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62.4%</w:t>
      </w:r>
    </w:p>
    <w:p w14:paraId="32BA87E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−1.7 percentage points. The margin contracted marginally owing to higher deposit funding costs in a rising-rate environment, yet remains within the sector benchmark of 55–65%.</w:t>
      </w:r>
    </w:p>
    <w:p w14:paraId="38FDA002"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A2.2  Net</w:t>
      </w:r>
      <w:proofErr w:type="gramEnd"/>
      <w:r w:rsidRPr="00D40426">
        <w:rPr>
          <w:rFonts w:ascii="Times New Roman" w:hAnsi="Times New Roman" w:cs="Times New Roman"/>
          <w:b/>
          <w:bCs/>
          <w:sz w:val="24"/>
          <w:szCs w:val="24"/>
        </w:rPr>
        <w:t xml:space="preserve"> Profit Margin</w:t>
      </w:r>
    </w:p>
    <w:p w14:paraId="74F051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Net Profit </w:t>
      </w:r>
      <w:proofErr w:type="gramStart"/>
      <w:r w:rsidRPr="00D40426">
        <w:rPr>
          <w:rFonts w:ascii="Times New Roman" w:hAnsi="Times New Roman" w:cs="Times New Roman"/>
          <w:i/>
          <w:iCs/>
          <w:sz w:val="24"/>
          <w:szCs w:val="24"/>
        </w:rPr>
        <w:t>Margin  =</w:t>
      </w:r>
      <w:proofErr w:type="gramEnd"/>
      <w:r w:rsidRPr="00D40426">
        <w:rPr>
          <w:rFonts w:ascii="Times New Roman" w:hAnsi="Times New Roman" w:cs="Times New Roman"/>
          <w:i/>
          <w:iCs/>
          <w:sz w:val="24"/>
          <w:szCs w:val="24"/>
        </w:rPr>
        <w:t xml:space="preserve">  (Net Profit After Tax ÷ Total Operating Income) × 100</w:t>
      </w:r>
    </w:p>
    <w:p w14:paraId="427F26F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5,049 ÷ 17,839)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28.3%</w:t>
      </w:r>
    </w:p>
    <w:p w14:paraId="23060D5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4,141 ÷ 18,244)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22.7%</w:t>
      </w:r>
    </w:p>
    <w:p w14:paraId="3A39E2D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−5.6 percentage points. The sharper fall reflects rising operating costs and non-recurring SVB UK integration expenses. The 2024 figure is more representative of sustainable earnings capacity.</w:t>
      </w:r>
    </w:p>
    <w:p w14:paraId="59C0736D"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A2.3  Return</w:t>
      </w:r>
      <w:proofErr w:type="gramEnd"/>
      <w:r w:rsidRPr="00D40426">
        <w:rPr>
          <w:rFonts w:ascii="Times New Roman" w:hAnsi="Times New Roman" w:cs="Times New Roman"/>
          <w:b/>
          <w:bCs/>
          <w:sz w:val="24"/>
          <w:szCs w:val="24"/>
        </w:rPr>
        <w:t xml:space="preserve"> on Equity (ROE)</w:t>
      </w:r>
    </w:p>
    <w:p w14:paraId="4718F9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w:t>
      </w:r>
      <w:proofErr w:type="gramStart"/>
      <w:r w:rsidRPr="00D40426">
        <w:rPr>
          <w:rFonts w:ascii="Times New Roman" w:hAnsi="Times New Roman" w:cs="Times New Roman"/>
          <w:i/>
          <w:iCs/>
          <w:sz w:val="24"/>
          <w:szCs w:val="24"/>
        </w:rPr>
        <w:t>ROE  =</w:t>
      </w:r>
      <w:proofErr w:type="gramEnd"/>
      <w:r w:rsidRPr="00D40426">
        <w:rPr>
          <w:rFonts w:ascii="Times New Roman" w:hAnsi="Times New Roman" w:cs="Times New Roman"/>
          <w:i/>
          <w:iCs/>
          <w:sz w:val="24"/>
          <w:szCs w:val="24"/>
        </w:rPr>
        <w:t xml:space="preserve">  (Net Profit After Tax ÷ Average Total Equity) × 100</w:t>
      </w:r>
    </w:p>
    <w:p w14:paraId="241D53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Average Equity FY 2023: (Opening equity assumed £21,300m + £23,176m) ÷ 2 ≈ £23,176m (opening not published; single-year basis used)</w:t>
      </w:r>
    </w:p>
    <w:p w14:paraId="141C08C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5,049 ÷ 23,176)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21.8%</w:t>
      </w:r>
    </w:p>
    <w:p w14:paraId="1289234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4,141 ÷ 25,094)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16.5%</w:t>
      </w:r>
    </w:p>
    <w:p w14:paraId="321BB0C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−5.3 pp. ROE normalised toward sector range (10–15%) after the non-recurring 2023 SVB acquisition gain subsided.</w:t>
      </w:r>
    </w:p>
    <w:p w14:paraId="6B5A063A"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A2.4  Return</w:t>
      </w:r>
      <w:proofErr w:type="gramEnd"/>
      <w:r w:rsidRPr="00D40426">
        <w:rPr>
          <w:rFonts w:ascii="Times New Roman" w:hAnsi="Times New Roman" w:cs="Times New Roman"/>
          <w:b/>
          <w:bCs/>
          <w:sz w:val="24"/>
          <w:szCs w:val="24"/>
        </w:rPr>
        <w:t xml:space="preserve"> on Assets (ROA)</w:t>
      </w:r>
    </w:p>
    <w:p w14:paraId="77ADDEE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w:t>
      </w:r>
      <w:proofErr w:type="gramStart"/>
      <w:r w:rsidRPr="00D40426">
        <w:rPr>
          <w:rFonts w:ascii="Times New Roman" w:hAnsi="Times New Roman" w:cs="Times New Roman"/>
          <w:i/>
          <w:iCs/>
          <w:sz w:val="24"/>
          <w:szCs w:val="24"/>
        </w:rPr>
        <w:t>ROA  =</w:t>
      </w:r>
      <w:proofErr w:type="gramEnd"/>
      <w:r w:rsidRPr="00D40426">
        <w:rPr>
          <w:rFonts w:ascii="Times New Roman" w:hAnsi="Times New Roman" w:cs="Times New Roman"/>
          <w:i/>
          <w:iCs/>
          <w:sz w:val="24"/>
          <w:szCs w:val="24"/>
        </w:rPr>
        <w:t xml:space="preserve">  (Net Profit After Tax ÷ Average Total Assets) × 100</w:t>
      </w:r>
    </w:p>
    <w:p w14:paraId="644CF2E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5,049 ÷ 323,478)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1.56%</w:t>
      </w:r>
    </w:p>
    <w:p w14:paraId="770F373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4,141 ÷ 337,069)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1.23%</w:t>
      </w:r>
    </w:p>
    <w:p w14:paraId="1DC56A9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Change: −0.33 pp. Both years exceed the sector benchmark (0.8–1.2%), confirming efficient asset utilisation.</w:t>
      </w:r>
    </w:p>
    <w:p w14:paraId="39979673" w14:textId="77777777" w:rsidR="00D40426" w:rsidRPr="00D40426" w:rsidRDefault="00D40426" w:rsidP="00D40426">
      <w:pPr>
        <w:rPr>
          <w:rFonts w:ascii="Times New Roman" w:hAnsi="Times New Roman" w:cs="Times New Roman"/>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84"/>
        <w:gridCol w:w="1294"/>
        <w:gridCol w:w="1294"/>
        <w:gridCol w:w="1197"/>
        <w:gridCol w:w="1440"/>
        <w:gridCol w:w="1551"/>
      </w:tblGrid>
      <w:tr w:rsidR="00D40426" w:rsidRPr="00D40426" w14:paraId="1E3A561C" w14:textId="77777777">
        <w:trPr>
          <w:tblHeader/>
        </w:trPr>
        <w:tc>
          <w:tcPr>
            <w:tcW w:w="2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77380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Profitability Ratio</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527264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9F41B2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2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4C28B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662E9E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5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BB3727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Status 2024</w:t>
            </w:r>
          </w:p>
        </w:tc>
      </w:tr>
      <w:tr w:rsidR="00D40426" w:rsidRPr="00D40426" w14:paraId="0F32300C"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F0629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Gross Profit Margin</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A7B3E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64.1%</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519995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62.4%</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21CFE4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D53581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55–65%</w:t>
            </w:r>
          </w:p>
        </w:tc>
        <w:tc>
          <w:tcPr>
            <w:tcW w:w="15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168091C"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Within Range</w:t>
            </w:r>
          </w:p>
        </w:tc>
      </w:tr>
      <w:tr w:rsidR="00D40426" w:rsidRPr="00D40426" w14:paraId="414D5F78"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369EA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Net Profit Margin</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5C6AD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28.3%</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17B8B9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22.7%</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BA6FA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−5.6 pp</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FF6D12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20–30%</w:t>
            </w:r>
          </w:p>
        </w:tc>
        <w:tc>
          <w:tcPr>
            <w:tcW w:w="15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AC20BD9"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Within Range</w:t>
            </w:r>
          </w:p>
        </w:tc>
      </w:tr>
      <w:tr w:rsidR="00D40426" w:rsidRPr="00D40426" w14:paraId="00A926AD"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0545E0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Return on Equity</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FA9024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21.8%</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1C9F4D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16.5%</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BC22C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−5.3 pp</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34442F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10–15%</w:t>
            </w:r>
          </w:p>
        </w:tc>
        <w:tc>
          <w:tcPr>
            <w:tcW w:w="15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CCAF1C0"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Above Range</w:t>
            </w:r>
          </w:p>
        </w:tc>
      </w:tr>
      <w:tr w:rsidR="00D40426" w:rsidRPr="00D40426" w14:paraId="6D4AF0E5"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43D58B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Return on Assets</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0825D1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1.56%</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4395E1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1.23%</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DAACF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−0.33 pp</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B2B0E3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0.8–1.2%</w:t>
            </w:r>
          </w:p>
        </w:tc>
        <w:tc>
          <w:tcPr>
            <w:tcW w:w="15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DCD6FE9"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Above Range</w:t>
            </w:r>
          </w:p>
        </w:tc>
      </w:tr>
    </w:tbl>
    <w:p w14:paraId="6F086452" w14:textId="77777777" w:rsidR="00D40426" w:rsidRPr="00D40426" w:rsidRDefault="00D40426" w:rsidP="00D40426">
      <w:pPr>
        <w:rPr>
          <w:rFonts w:ascii="Times New Roman" w:hAnsi="Times New Roman" w:cs="Times New Roman"/>
          <w:sz w:val="24"/>
          <w:szCs w:val="24"/>
        </w:rPr>
      </w:pPr>
    </w:p>
    <w:p w14:paraId="2FFD839E" w14:textId="77777777" w:rsidR="00D40426" w:rsidRPr="00D40426" w:rsidRDefault="00D40426" w:rsidP="005E51D5">
      <w:pPr>
        <w:pStyle w:val="Heading3"/>
      </w:pPr>
      <w:bookmarkStart w:id="41" w:name="_Toc224782598"/>
      <w:r w:rsidRPr="00D40426">
        <w:t>A3.  Liquidity Ratios — Full Workings</w:t>
      </w:r>
      <w:bookmarkEnd w:id="41"/>
    </w:p>
    <w:p w14:paraId="2BAF188B"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A3.1  Current</w:t>
      </w:r>
      <w:proofErr w:type="gramEnd"/>
      <w:r w:rsidRPr="00D40426">
        <w:rPr>
          <w:rFonts w:ascii="Times New Roman" w:hAnsi="Times New Roman" w:cs="Times New Roman"/>
          <w:b/>
          <w:bCs/>
          <w:sz w:val="24"/>
          <w:szCs w:val="24"/>
        </w:rPr>
        <w:t xml:space="preserve"> Ratio</w:t>
      </w:r>
    </w:p>
    <w:p w14:paraId="774D65A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Current </w:t>
      </w:r>
      <w:proofErr w:type="gramStart"/>
      <w:r w:rsidRPr="00D40426">
        <w:rPr>
          <w:rFonts w:ascii="Times New Roman" w:hAnsi="Times New Roman" w:cs="Times New Roman"/>
          <w:i/>
          <w:iCs/>
          <w:sz w:val="24"/>
          <w:szCs w:val="24"/>
        </w:rPr>
        <w:t>Ratio  =</w:t>
      </w:r>
      <w:proofErr w:type="gramEnd"/>
      <w:r w:rsidRPr="00D40426">
        <w:rPr>
          <w:rFonts w:ascii="Times New Roman" w:hAnsi="Times New Roman" w:cs="Times New Roman"/>
          <w:i/>
          <w:iCs/>
          <w:sz w:val="24"/>
          <w:szCs w:val="24"/>
        </w:rPr>
        <w:t xml:space="preserve">  Current Assets ÷ Current Liabilities</w:t>
      </w:r>
    </w:p>
    <w:p w14:paraId="6F41E41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2023:  </w:t>
      </w:r>
      <w:r w:rsidRPr="00D40426">
        <w:rPr>
          <w:rFonts w:ascii="Times New Roman" w:hAnsi="Times New Roman" w:cs="Times New Roman"/>
          <w:sz w:val="24"/>
          <w:szCs w:val="24"/>
        </w:rPr>
        <w:t xml:space="preserve">50,000 ÷ </w:t>
      </w:r>
      <w:proofErr w:type="gramStart"/>
      <w:r w:rsidRPr="00D40426">
        <w:rPr>
          <w:rFonts w:ascii="Times New Roman" w:hAnsi="Times New Roman" w:cs="Times New Roman"/>
          <w:sz w:val="24"/>
          <w:szCs w:val="24"/>
        </w:rPr>
        <w:t>40,325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1.24×</w:t>
      </w:r>
    </w:p>
    <w:p w14:paraId="4DD7AB7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2024:  </w:t>
      </w:r>
      <w:r w:rsidRPr="00D40426">
        <w:rPr>
          <w:rFonts w:ascii="Times New Roman" w:hAnsi="Times New Roman" w:cs="Times New Roman"/>
          <w:sz w:val="24"/>
          <w:szCs w:val="24"/>
        </w:rPr>
        <w:t xml:space="preserve">52,000 ÷ </w:t>
      </w:r>
      <w:proofErr w:type="gramStart"/>
      <w:r w:rsidRPr="00D40426">
        <w:rPr>
          <w:rFonts w:ascii="Times New Roman" w:hAnsi="Times New Roman" w:cs="Times New Roman"/>
          <w:sz w:val="24"/>
          <w:szCs w:val="24"/>
        </w:rPr>
        <w:t>44,068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1.18×</w:t>
      </w:r>
    </w:p>
    <w:p w14:paraId="65D979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−0.06. A slight tightening, attributable to SVB UK balance sheet expansion. The ratio remains within the 1.1–1.3× banking sector benchmark.</w:t>
      </w:r>
    </w:p>
    <w:p w14:paraId="63132C59"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A3.2  Quick</w:t>
      </w:r>
      <w:proofErr w:type="gramEnd"/>
      <w:r w:rsidRPr="00D40426">
        <w:rPr>
          <w:rFonts w:ascii="Times New Roman" w:hAnsi="Times New Roman" w:cs="Times New Roman"/>
          <w:b/>
          <w:bCs/>
          <w:sz w:val="24"/>
          <w:szCs w:val="24"/>
        </w:rPr>
        <w:t xml:space="preserve"> Ratio (Acid Test)</w:t>
      </w:r>
    </w:p>
    <w:p w14:paraId="71993A8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Quick </w:t>
      </w:r>
      <w:proofErr w:type="gramStart"/>
      <w:r w:rsidRPr="00D40426">
        <w:rPr>
          <w:rFonts w:ascii="Times New Roman" w:hAnsi="Times New Roman" w:cs="Times New Roman"/>
          <w:i/>
          <w:iCs/>
          <w:sz w:val="24"/>
          <w:szCs w:val="24"/>
        </w:rPr>
        <w:t>Ratio  =</w:t>
      </w:r>
      <w:proofErr w:type="gramEnd"/>
      <w:r w:rsidRPr="00D40426">
        <w:rPr>
          <w:rFonts w:ascii="Times New Roman" w:hAnsi="Times New Roman" w:cs="Times New Roman"/>
          <w:i/>
          <w:iCs/>
          <w:sz w:val="24"/>
          <w:szCs w:val="24"/>
        </w:rPr>
        <w:t xml:space="preserve">  (Current Assets − Inventory) ÷ Current Liabilities</w:t>
      </w:r>
    </w:p>
    <w:p w14:paraId="1E684CD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Note: Banks hold no physical inventory; </w:t>
      </w:r>
      <w:proofErr w:type="gramStart"/>
      <w:r w:rsidRPr="00D40426">
        <w:rPr>
          <w:rFonts w:ascii="Times New Roman" w:hAnsi="Times New Roman" w:cs="Times New Roman"/>
          <w:i/>
          <w:iCs/>
          <w:sz w:val="24"/>
          <w:szCs w:val="24"/>
        </w:rPr>
        <w:t>therefore</w:t>
      </w:r>
      <w:proofErr w:type="gramEnd"/>
      <w:r w:rsidRPr="00D40426">
        <w:rPr>
          <w:rFonts w:ascii="Times New Roman" w:hAnsi="Times New Roman" w:cs="Times New Roman"/>
          <w:i/>
          <w:iCs/>
          <w:sz w:val="24"/>
          <w:szCs w:val="24"/>
        </w:rPr>
        <w:t xml:space="preserve"> Quick Ratio ≈ Current Ratio in a banking context.</w:t>
      </w:r>
    </w:p>
    <w:p w14:paraId="225822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50,000 − 0) ÷ </w:t>
      </w:r>
      <w:proofErr w:type="gramStart"/>
      <w:r w:rsidRPr="00D40426">
        <w:rPr>
          <w:rFonts w:ascii="Times New Roman" w:hAnsi="Times New Roman" w:cs="Times New Roman"/>
          <w:sz w:val="24"/>
          <w:szCs w:val="24"/>
        </w:rPr>
        <w:t>40,325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1.22×</w:t>
      </w:r>
    </w:p>
    <w:p w14:paraId="2A335F2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52,000 − 0) ÷ </w:t>
      </w:r>
      <w:proofErr w:type="gramStart"/>
      <w:r w:rsidRPr="00D40426">
        <w:rPr>
          <w:rFonts w:ascii="Times New Roman" w:hAnsi="Times New Roman" w:cs="Times New Roman"/>
          <w:sz w:val="24"/>
          <w:szCs w:val="24"/>
        </w:rPr>
        <w:t>44,068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1.16×</w:t>
      </w:r>
    </w:p>
    <w:p w14:paraId="0FD56D4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−0.06. Both values remain within the benchmark range of 1.0–1.2× affirming adequate short-term coverage.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82"/>
        <w:gridCol w:w="1294"/>
        <w:gridCol w:w="1294"/>
        <w:gridCol w:w="1198"/>
        <w:gridCol w:w="1440"/>
        <w:gridCol w:w="1552"/>
      </w:tblGrid>
      <w:tr w:rsidR="00D40426" w:rsidRPr="00D40426" w14:paraId="50E5B977" w14:textId="77777777">
        <w:trPr>
          <w:tblHeader/>
        </w:trPr>
        <w:tc>
          <w:tcPr>
            <w:tcW w:w="2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9CCF82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lastRenderedPageBreak/>
              <w:t>Liquidity Ratio</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759E4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EB0981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2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7C6859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5FFBB5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5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EC399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Status 2024</w:t>
            </w:r>
          </w:p>
        </w:tc>
      </w:tr>
      <w:tr w:rsidR="00D40426" w:rsidRPr="00D40426" w14:paraId="7BF05AF2"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808F9E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Current Ratio</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B66D2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1.24×</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2A9473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1.18×</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31CEAF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76E8F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 – 1.3×</w:t>
            </w:r>
          </w:p>
        </w:tc>
        <w:tc>
          <w:tcPr>
            <w:tcW w:w="15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78E5F72"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Within Range</w:t>
            </w:r>
          </w:p>
        </w:tc>
      </w:tr>
      <w:tr w:rsidR="00D40426" w:rsidRPr="00D40426" w14:paraId="59C6CB8F"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EDE018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Quick Ratio</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5EC9AF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1.22×</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102AFA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1.16×</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F1A82E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71C7F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 – 1.2×</w:t>
            </w:r>
          </w:p>
        </w:tc>
        <w:tc>
          <w:tcPr>
            <w:tcW w:w="15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B5367ED"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Within Range</w:t>
            </w:r>
          </w:p>
        </w:tc>
      </w:tr>
    </w:tbl>
    <w:p w14:paraId="3A7C0C55" w14:textId="77777777" w:rsidR="00D40426" w:rsidRPr="00D40426" w:rsidRDefault="00D40426" w:rsidP="00D40426">
      <w:pPr>
        <w:rPr>
          <w:rFonts w:ascii="Times New Roman" w:hAnsi="Times New Roman" w:cs="Times New Roman"/>
          <w:sz w:val="24"/>
          <w:szCs w:val="24"/>
        </w:rPr>
      </w:pPr>
    </w:p>
    <w:p w14:paraId="43F1FB7C" w14:textId="77777777" w:rsidR="00D40426" w:rsidRPr="00D40426" w:rsidRDefault="00D40426" w:rsidP="005E51D5">
      <w:pPr>
        <w:pStyle w:val="Heading3"/>
      </w:pPr>
      <w:bookmarkStart w:id="42" w:name="_Toc224782599"/>
      <w:r w:rsidRPr="00D40426">
        <w:t>A4.  Efficiency Ratios — Full Workings</w:t>
      </w:r>
      <w:bookmarkEnd w:id="42"/>
    </w:p>
    <w:p w14:paraId="35499F63"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A4.1  Asset</w:t>
      </w:r>
      <w:proofErr w:type="gramEnd"/>
      <w:r w:rsidRPr="00D40426">
        <w:rPr>
          <w:rFonts w:ascii="Times New Roman" w:hAnsi="Times New Roman" w:cs="Times New Roman"/>
          <w:b/>
          <w:bCs/>
          <w:sz w:val="24"/>
          <w:szCs w:val="24"/>
        </w:rPr>
        <w:t xml:space="preserve"> Turnover Ratio</w:t>
      </w:r>
    </w:p>
    <w:p w14:paraId="64745C8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Asset </w:t>
      </w:r>
      <w:proofErr w:type="gramStart"/>
      <w:r w:rsidRPr="00D40426">
        <w:rPr>
          <w:rFonts w:ascii="Times New Roman" w:hAnsi="Times New Roman" w:cs="Times New Roman"/>
          <w:i/>
          <w:iCs/>
          <w:sz w:val="24"/>
          <w:szCs w:val="24"/>
        </w:rPr>
        <w:t>Turnover  =</w:t>
      </w:r>
      <w:proofErr w:type="gramEnd"/>
      <w:r w:rsidRPr="00D40426">
        <w:rPr>
          <w:rFonts w:ascii="Times New Roman" w:hAnsi="Times New Roman" w:cs="Times New Roman"/>
          <w:i/>
          <w:iCs/>
          <w:sz w:val="24"/>
          <w:szCs w:val="24"/>
        </w:rPr>
        <w:t xml:space="preserve">  Total Operating Income ÷ Total Assets</w:t>
      </w:r>
    </w:p>
    <w:p w14:paraId="5F0F60E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2023:  </w:t>
      </w:r>
      <w:r w:rsidRPr="00D40426">
        <w:rPr>
          <w:rFonts w:ascii="Times New Roman" w:hAnsi="Times New Roman" w:cs="Times New Roman"/>
          <w:sz w:val="24"/>
          <w:szCs w:val="24"/>
        </w:rPr>
        <w:t xml:space="preserve">17,839 ÷ </w:t>
      </w:r>
      <w:proofErr w:type="gramStart"/>
      <w:r w:rsidRPr="00D40426">
        <w:rPr>
          <w:rFonts w:ascii="Times New Roman" w:hAnsi="Times New Roman" w:cs="Times New Roman"/>
          <w:sz w:val="24"/>
          <w:szCs w:val="24"/>
        </w:rPr>
        <w:t>323,478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0.055×</w:t>
      </w:r>
    </w:p>
    <w:p w14:paraId="6C05ED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2024:  </w:t>
      </w:r>
      <w:r w:rsidRPr="00D40426">
        <w:rPr>
          <w:rFonts w:ascii="Times New Roman" w:hAnsi="Times New Roman" w:cs="Times New Roman"/>
          <w:sz w:val="24"/>
          <w:szCs w:val="24"/>
        </w:rPr>
        <w:t xml:space="preserve">18,244 ÷ </w:t>
      </w:r>
      <w:proofErr w:type="gramStart"/>
      <w:r w:rsidRPr="00D40426">
        <w:rPr>
          <w:rFonts w:ascii="Times New Roman" w:hAnsi="Times New Roman" w:cs="Times New Roman"/>
          <w:sz w:val="24"/>
          <w:szCs w:val="24"/>
        </w:rPr>
        <w:t>337,069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0.049×</w:t>
      </w:r>
    </w:p>
    <w:p w14:paraId="3A655D6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−0.006×. Revenue growth (2.3%) lagged balance sheet growth (4.2%) primarily due to the accretion of low-yield liquid assets from SVB UK.</w:t>
      </w:r>
    </w:p>
    <w:p w14:paraId="5DBD0E5C"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A4.2  Operating</w:t>
      </w:r>
      <w:proofErr w:type="gramEnd"/>
      <w:r w:rsidRPr="00D40426">
        <w:rPr>
          <w:rFonts w:ascii="Times New Roman" w:hAnsi="Times New Roman" w:cs="Times New Roman"/>
          <w:b/>
          <w:bCs/>
          <w:sz w:val="24"/>
          <w:szCs w:val="24"/>
        </w:rPr>
        <w:t xml:space="preserve"> Expense Ratio (Cost-to-Income Ratio)</w:t>
      </w:r>
    </w:p>
    <w:p w14:paraId="38DCC66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Operating Expense </w:t>
      </w:r>
      <w:proofErr w:type="gramStart"/>
      <w:r w:rsidRPr="00D40426">
        <w:rPr>
          <w:rFonts w:ascii="Times New Roman" w:hAnsi="Times New Roman" w:cs="Times New Roman"/>
          <w:i/>
          <w:iCs/>
          <w:sz w:val="24"/>
          <w:szCs w:val="24"/>
        </w:rPr>
        <w:t>Ratio  =</w:t>
      </w:r>
      <w:proofErr w:type="gramEnd"/>
      <w:r w:rsidRPr="00D40426">
        <w:rPr>
          <w:rFonts w:ascii="Times New Roman" w:hAnsi="Times New Roman" w:cs="Times New Roman"/>
          <w:i/>
          <w:iCs/>
          <w:sz w:val="24"/>
          <w:szCs w:val="24"/>
        </w:rPr>
        <w:t xml:space="preserve">  (Operating Expenses ÷ Total Operating Income) × 100</w:t>
      </w:r>
    </w:p>
    <w:p w14:paraId="08B31A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Operating Expenses FY2023: 17,839 × 35.9% = £6,404m   |   FY2024: 18,244 × 37.6% = £6,860m</w:t>
      </w:r>
    </w:p>
    <w:p w14:paraId="5A07DC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6,404 ÷ 17,839)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35.9%</w:t>
      </w:r>
    </w:p>
    <w:p w14:paraId="7A9D056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6,860 ÷ 18,244)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37.6%</w:t>
      </w:r>
    </w:p>
    <w:p w14:paraId="74E4BCF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+1.7 pp. Despite a rise, both years sit substantially below the 45–55% sector benchmark, denoting superior operational efficiency.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77"/>
        <w:gridCol w:w="1294"/>
        <w:gridCol w:w="1294"/>
        <w:gridCol w:w="1197"/>
        <w:gridCol w:w="1440"/>
        <w:gridCol w:w="1558"/>
      </w:tblGrid>
      <w:tr w:rsidR="00D40426" w:rsidRPr="00D40426" w14:paraId="0A297CC6" w14:textId="77777777">
        <w:trPr>
          <w:tblHeader/>
        </w:trPr>
        <w:tc>
          <w:tcPr>
            <w:tcW w:w="2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63268D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Efficiency Ratio</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6EBAA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9FDF61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2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ED6F07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6D458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5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B55159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Status 2024</w:t>
            </w:r>
          </w:p>
        </w:tc>
      </w:tr>
      <w:tr w:rsidR="00D40426" w:rsidRPr="00D40426" w14:paraId="277EBE06"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4A47FC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Asset Turnover Ratio</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5C7234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0.055×</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3A12BF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0.049×</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91F8B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−0.006×</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A387E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0.03–0.05×</w:t>
            </w:r>
          </w:p>
        </w:tc>
        <w:tc>
          <w:tcPr>
            <w:tcW w:w="15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4637B51"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Above Range</w:t>
            </w:r>
          </w:p>
        </w:tc>
      </w:tr>
      <w:tr w:rsidR="00D40426" w:rsidRPr="00D40426" w14:paraId="320061C3"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44CBFB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Operating Expense Ratio</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F640A5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35.9%</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BEDF8F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37.6%</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375B0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50750C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45–55%</w:t>
            </w:r>
          </w:p>
        </w:tc>
        <w:tc>
          <w:tcPr>
            <w:tcW w:w="15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4B2FF7F"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Well Below Benchmark</w:t>
            </w:r>
          </w:p>
        </w:tc>
      </w:tr>
    </w:tbl>
    <w:p w14:paraId="53B33946" w14:textId="77777777" w:rsidR="00D40426" w:rsidRPr="00D40426" w:rsidRDefault="00D40426" w:rsidP="00D40426">
      <w:pPr>
        <w:rPr>
          <w:rFonts w:ascii="Times New Roman" w:hAnsi="Times New Roman" w:cs="Times New Roman"/>
          <w:sz w:val="24"/>
          <w:szCs w:val="24"/>
        </w:rPr>
      </w:pPr>
    </w:p>
    <w:p w14:paraId="1DA91E8E" w14:textId="77777777" w:rsidR="00D40426" w:rsidRPr="00D40426" w:rsidRDefault="00D40426" w:rsidP="005E51D5">
      <w:pPr>
        <w:pStyle w:val="Heading3"/>
      </w:pPr>
      <w:bookmarkStart w:id="43" w:name="_Toc224782600"/>
      <w:r w:rsidRPr="00D40426">
        <w:t>A5.  Gearing Ratios — Full Workings</w:t>
      </w:r>
      <w:bookmarkEnd w:id="43"/>
    </w:p>
    <w:p w14:paraId="7C05E52E"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A5.1  Gearing</w:t>
      </w:r>
      <w:proofErr w:type="gramEnd"/>
      <w:r w:rsidRPr="00D40426">
        <w:rPr>
          <w:rFonts w:ascii="Times New Roman" w:hAnsi="Times New Roman" w:cs="Times New Roman"/>
          <w:b/>
          <w:bCs/>
          <w:sz w:val="24"/>
          <w:szCs w:val="24"/>
        </w:rPr>
        <w:t xml:space="preserve"> Ratio (Debt-to-Equity)</w:t>
      </w:r>
    </w:p>
    <w:p w14:paraId="09360D6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lastRenderedPageBreak/>
        <w:t xml:space="preserve">Formula:   Gearing </w:t>
      </w:r>
      <w:proofErr w:type="gramStart"/>
      <w:r w:rsidRPr="00D40426">
        <w:rPr>
          <w:rFonts w:ascii="Times New Roman" w:hAnsi="Times New Roman" w:cs="Times New Roman"/>
          <w:i/>
          <w:iCs/>
          <w:sz w:val="24"/>
          <w:szCs w:val="24"/>
        </w:rPr>
        <w:t>Ratio  =</w:t>
      </w:r>
      <w:proofErr w:type="gramEnd"/>
      <w:r w:rsidRPr="00D40426">
        <w:rPr>
          <w:rFonts w:ascii="Times New Roman" w:hAnsi="Times New Roman" w:cs="Times New Roman"/>
          <w:i/>
          <w:iCs/>
          <w:sz w:val="24"/>
          <w:szCs w:val="24"/>
        </w:rPr>
        <w:t xml:space="preserve">  (Total Debt ÷ Total Equity) × 100</w:t>
      </w:r>
    </w:p>
    <w:p w14:paraId="79ABD27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21,123 ÷ 23,176)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91.2%</w:t>
      </w:r>
    </w:p>
    <w:p w14:paraId="4FB73BE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22,440 ÷ 25,094)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89.3%</w:t>
      </w:r>
    </w:p>
    <w:p w14:paraId="43832BF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−1.9 pp. The slight reduction reflects moderate equity growth. Both values sit within the 85–95% sector benchmark, consistent with retail banking's deposit-funded business model.</w:t>
      </w:r>
    </w:p>
    <w:p w14:paraId="1A39C0E0"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A5.2  Interest</w:t>
      </w:r>
      <w:proofErr w:type="gramEnd"/>
      <w:r w:rsidRPr="00D40426">
        <w:rPr>
          <w:rFonts w:ascii="Times New Roman" w:hAnsi="Times New Roman" w:cs="Times New Roman"/>
          <w:b/>
          <w:bCs/>
          <w:sz w:val="24"/>
          <w:szCs w:val="24"/>
        </w:rPr>
        <w:t xml:space="preserve"> Cover Ratio</w:t>
      </w:r>
    </w:p>
    <w:p w14:paraId="34A922A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Interest </w:t>
      </w:r>
      <w:proofErr w:type="gramStart"/>
      <w:r w:rsidRPr="00D40426">
        <w:rPr>
          <w:rFonts w:ascii="Times New Roman" w:hAnsi="Times New Roman" w:cs="Times New Roman"/>
          <w:i/>
          <w:iCs/>
          <w:sz w:val="24"/>
          <w:szCs w:val="24"/>
        </w:rPr>
        <w:t>Cover  =</w:t>
      </w:r>
      <w:proofErr w:type="gramEnd"/>
      <w:r w:rsidRPr="00D40426">
        <w:rPr>
          <w:rFonts w:ascii="Times New Roman" w:hAnsi="Times New Roman" w:cs="Times New Roman"/>
          <w:i/>
          <w:iCs/>
          <w:sz w:val="24"/>
          <w:szCs w:val="24"/>
        </w:rPr>
        <w:t xml:space="preserve">  EBIT ÷ Interest Expense</w:t>
      </w:r>
    </w:p>
    <w:p w14:paraId="57A3FD6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2023:  </w:t>
      </w:r>
      <w:r w:rsidRPr="00D40426">
        <w:rPr>
          <w:rFonts w:ascii="Times New Roman" w:hAnsi="Times New Roman" w:cs="Times New Roman"/>
          <w:sz w:val="24"/>
          <w:szCs w:val="24"/>
        </w:rPr>
        <w:t xml:space="preserve">5,043 ÷ </w:t>
      </w:r>
      <w:proofErr w:type="gramStart"/>
      <w:r w:rsidRPr="00D40426">
        <w:rPr>
          <w:rFonts w:ascii="Times New Roman" w:hAnsi="Times New Roman" w:cs="Times New Roman"/>
          <w:sz w:val="24"/>
          <w:szCs w:val="24"/>
        </w:rPr>
        <w:t>1,328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3.8×</w:t>
      </w:r>
    </w:p>
    <w:p w14:paraId="493CEE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FY 2024:  </w:t>
      </w:r>
      <w:r w:rsidRPr="00D40426">
        <w:rPr>
          <w:rFonts w:ascii="Times New Roman" w:hAnsi="Times New Roman" w:cs="Times New Roman"/>
          <w:sz w:val="24"/>
          <w:szCs w:val="24"/>
        </w:rPr>
        <w:t xml:space="preserve">4,133 ÷ </w:t>
      </w:r>
      <w:proofErr w:type="gramStart"/>
      <w:r w:rsidRPr="00D40426">
        <w:rPr>
          <w:rFonts w:ascii="Times New Roman" w:hAnsi="Times New Roman" w:cs="Times New Roman"/>
          <w:sz w:val="24"/>
          <w:szCs w:val="24"/>
        </w:rPr>
        <w:t>1,293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3.2×</w:t>
      </w:r>
    </w:p>
    <w:p w14:paraId="4197548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Change: −0.6×. Despite the decline, both years substantially exceed the minimum threshold of 2.0×, confirming comfortable debt-servicing capacity.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78"/>
        <w:gridCol w:w="1294"/>
        <w:gridCol w:w="1294"/>
        <w:gridCol w:w="1198"/>
        <w:gridCol w:w="1440"/>
        <w:gridCol w:w="1556"/>
      </w:tblGrid>
      <w:tr w:rsidR="00D40426" w:rsidRPr="00D40426" w14:paraId="1221E6E7" w14:textId="77777777">
        <w:trPr>
          <w:tblHeader/>
        </w:trPr>
        <w:tc>
          <w:tcPr>
            <w:tcW w:w="2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593CF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Gearing Ratio</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28D8F9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BCA5F0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2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DABB0C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EA8E4E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5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063723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Status 2024</w:t>
            </w:r>
          </w:p>
        </w:tc>
      </w:tr>
      <w:tr w:rsidR="00D40426" w:rsidRPr="00D40426" w14:paraId="4259DAE6"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9A3D8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Gearing Ratio (D/E)</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DB5834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91.2%</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779763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89.3%</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9B9ADE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−1.9 pp</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351ED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85–95%</w:t>
            </w:r>
          </w:p>
        </w:tc>
        <w:tc>
          <w:tcPr>
            <w:tcW w:w="15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905E61F"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Within Range</w:t>
            </w:r>
          </w:p>
        </w:tc>
      </w:tr>
      <w:tr w:rsidR="00D40426" w:rsidRPr="00D40426" w14:paraId="5957B422"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C2F86C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Interest Cover</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651E58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EDFE54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E6ACD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−0.6×</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26212C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&gt; 2.0×</w:t>
            </w:r>
          </w:p>
        </w:tc>
        <w:tc>
          <w:tcPr>
            <w:tcW w:w="15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76884D"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Above Threshold</w:t>
            </w:r>
          </w:p>
        </w:tc>
      </w:tr>
    </w:tbl>
    <w:p w14:paraId="14A6651B" w14:textId="77777777" w:rsidR="00D40426" w:rsidRPr="00D40426" w:rsidRDefault="00D40426" w:rsidP="00D40426">
      <w:pPr>
        <w:rPr>
          <w:rFonts w:ascii="Times New Roman" w:hAnsi="Times New Roman" w:cs="Times New Roman"/>
          <w:sz w:val="24"/>
          <w:szCs w:val="24"/>
        </w:rPr>
      </w:pPr>
    </w:p>
    <w:p w14:paraId="4E816DBC" w14:textId="77777777" w:rsidR="00D40426" w:rsidRPr="00D40426" w:rsidRDefault="00D40426" w:rsidP="005E51D5">
      <w:pPr>
        <w:pStyle w:val="Heading3"/>
      </w:pPr>
      <w:bookmarkStart w:id="44" w:name="_Toc224782601"/>
      <w:r w:rsidRPr="00D40426">
        <w:t>A6.  Investor Ratios — Full Workings</w:t>
      </w:r>
      <w:bookmarkEnd w:id="44"/>
    </w:p>
    <w:p w14:paraId="565BB696"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A6.1  Earnings</w:t>
      </w:r>
      <w:proofErr w:type="gramEnd"/>
      <w:r w:rsidRPr="00D40426">
        <w:rPr>
          <w:rFonts w:ascii="Times New Roman" w:hAnsi="Times New Roman" w:cs="Times New Roman"/>
          <w:b/>
          <w:bCs/>
          <w:sz w:val="24"/>
          <w:szCs w:val="24"/>
        </w:rPr>
        <w:t xml:space="preserve"> Per Share (EPS)</w:t>
      </w:r>
    </w:p>
    <w:p w14:paraId="17788AE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w:t>
      </w:r>
      <w:proofErr w:type="gramStart"/>
      <w:r w:rsidRPr="00D40426">
        <w:rPr>
          <w:rFonts w:ascii="Times New Roman" w:hAnsi="Times New Roman" w:cs="Times New Roman"/>
          <w:i/>
          <w:iCs/>
          <w:sz w:val="24"/>
          <w:szCs w:val="24"/>
        </w:rPr>
        <w:t>EPS  =</w:t>
      </w:r>
      <w:proofErr w:type="gramEnd"/>
      <w:r w:rsidRPr="00D40426">
        <w:rPr>
          <w:rFonts w:ascii="Times New Roman" w:hAnsi="Times New Roman" w:cs="Times New Roman"/>
          <w:i/>
          <w:iCs/>
          <w:sz w:val="24"/>
          <w:szCs w:val="24"/>
        </w:rPr>
        <w:t xml:space="preserve">  (Net Profit After Tax − Preference Dividends) ÷ Weighted Average Ordinary Shares Outstanding</w:t>
      </w:r>
    </w:p>
    <w:p w14:paraId="0675CE2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EPS is not calculable for HSBC UK Bank plc. As a wholly-owned, unlisted subsidiary of HSBC Holdings plc, HSBC UK does not issue publicly traded shares and discloses no ordinary share count in its standalone accounts. Per Penman (2013), full investor ratio analysis for such entities must be conducted at the listed parent group level where market data is available. This is not a reflection of financial weakness but a structural characteristic of the subsidiary ownership model.</w:t>
      </w:r>
    </w:p>
    <w:p w14:paraId="7071BEBF"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A6.2  Dividend</w:t>
      </w:r>
      <w:proofErr w:type="gramEnd"/>
      <w:r w:rsidRPr="00D40426">
        <w:rPr>
          <w:rFonts w:ascii="Times New Roman" w:hAnsi="Times New Roman" w:cs="Times New Roman"/>
          <w:b/>
          <w:bCs/>
          <w:sz w:val="24"/>
          <w:szCs w:val="24"/>
        </w:rPr>
        <w:t xml:space="preserve"> Payout Ratio</w:t>
      </w:r>
    </w:p>
    <w:p w14:paraId="56AFA1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 xml:space="preserve">Formula:   Dividend Payout </w:t>
      </w:r>
      <w:proofErr w:type="gramStart"/>
      <w:r w:rsidRPr="00D40426">
        <w:rPr>
          <w:rFonts w:ascii="Times New Roman" w:hAnsi="Times New Roman" w:cs="Times New Roman"/>
          <w:i/>
          <w:iCs/>
          <w:sz w:val="24"/>
          <w:szCs w:val="24"/>
        </w:rPr>
        <w:t>Ratio  =</w:t>
      </w:r>
      <w:proofErr w:type="gramEnd"/>
      <w:r w:rsidRPr="00D40426">
        <w:rPr>
          <w:rFonts w:ascii="Times New Roman" w:hAnsi="Times New Roman" w:cs="Times New Roman"/>
          <w:i/>
          <w:iCs/>
          <w:sz w:val="24"/>
          <w:szCs w:val="24"/>
        </w:rPr>
        <w:t xml:space="preserve">  (Dividends Paid ÷ Net Profit After Tax) × 100</w:t>
      </w:r>
    </w:p>
    <w:p w14:paraId="2ADDCA2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2,115 ÷ 5,049)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41.9%</w:t>
      </w:r>
    </w:p>
    <w:p w14:paraId="199FF3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roofErr w:type="gramStart"/>
      <w:r w:rsidRPr="00D40426">
        <w:rPr>
          <w:rFonts w:ascii="Times New Roman" w:hAnsi="Times New Roman" w:cs="Times New Roman"/>
          <w:b/>
          <w:bCs/>
          <w:sz w:val="24"/>
          <w:szCs w:val="24"/>
        </w:rPr>
        <w:t xml:space="preserve">:  </w:t>
      </w:r>
      <w:r w:rsidRPr="00D40426">
        <w:rPr>
          <w:rFonts w:ascii="Times New Roman" w:hAnsi="Times New Roman" w:cs="Times New Roman"/>
          <w:sz w:val="24"/>
          <w:szCs w:val="24"/>
        </w:rPr>
        <w:t>(</w:t>
      </w:r>
      <w:proofErr w:type="gramEnd"/>
      <w:r w:rsidRPr="00D40426">
        <w:rPr>
          <w:rFonts w:ascii="Times New Roman" w:hAnsi="Times New Roman" w:cs="Times New Roman"/>
          <w:sz w:val="24"/>
          <w:szCs w:val="24"/>
        </w:rPr>
        <w:t xml:space="preserve">3,342 ÷ 4,141) × </w:t>
      </w:r>
      <w:proofErr w:type="gramStart"/>
      <w:r w:rsidRPr="00D40426">
        <w:rPr>
          <w:rFonts w:ascii="Times New Roman" w:hAnsi="Times New Roman" w:cs="Times New Roman"/>
          <w:sz w:val="24"/>
          <w:szCs w:val="24"/>
        </w:rPr>
        <w:t>100  =</w:t>
      </w:r>
      <w:proofErr w:type="gramEnd"/>
      <w:r w:rsidRPr="00D40426">
        <w:rPr>
          <w:rFonts w:ascii="Times New Roman" w:hAnsi="Times New Roman" w:cs="Times New Roman"/>
          <w:sz w:val="24"/>
          <w:szCs w:val="24"/>
        </w:rPr>
        <w:t xml:space="preserve">  </w:t>
      </w:r>
      <w:r w:rsidRPr="00D40426">
        <w:rPr>
          <w:rFonts w:ascii="Times New Roman" w:hAnsi="Times New Roman" w:cs="Times New Roman"/>
          <w:b/>
          <w:bCs/>
          <w:sz w:val="24"/>
          <w:szCs w:val="24"/>
        </w:rPr>
        <w:t>80.7%</w:t>
      </w:r>
    </w:p>
    <w:p w14:paraId="283A753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lastRenderedPageBreak/>
        <w:t>Change: +38.8 pp. The substantial increase signals a strategic capital redistribution from the subsidiary to HSBC Holdings plc, consistent with Jensen's (1986) free cash flow hypothesis. The 2024 ratio of 80.7% substantially exceeds the 30–60% industry benchmark, signalling a strategic priority risk requiring monitoring.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67"/>
        <w:gridCol w:w="1460"/>
        <w:gridCol w:w="1460"/>
        <w:gridCol w:w="1093"/>
        <w:gridCol w:w="1440"/>
        <w:gridCol w:w="1440"/>
      </w:tblGrid>
      <w:tr w:rsidR="00D40426" w:rsidRPr="00D40426" w14:paraId="1849CF76" w14:textId="77777777">
        <w:trPr>
          <w:tblHeader/>
        </w:trPr>
        <w:tc>
          <w:tcPr>
            <w:tcW w:w="2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5AF582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Investor Ratio</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2D5D19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FD59C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1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0D2E8B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63688B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3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5271B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Status 2024</w:t>
            </w:r>
          </w:p>
        </w:tc>
      </w:tr>
      <w:tr w:rsidR="00D40426" w:rsidRPr="00D40426" w14:paraId="5A35AB00" w14:textId="77777777">
        <w:tc>
          <w:tcPr>
            <w:tcW w:w="2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2A893F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Earnings Per Share (EPS)</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84264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 – Unlisted</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62854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 – Unlisted</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44F42B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FC05E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3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2008D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Structural — Not Applicable</w:t>
            </w:r>
          </w:p>
        </w:tc>
      </w:tr>
      <w:tr w:rsidR="00D40426" w:rsidRPr="00D40426" w14:paraId="0C609997" w14:textId="77777777">
        <w:tc>
          <w:tcPr>
            <w:tcW w:w="2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7EE182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Dividend Payout Ratio</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421AB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41.9%</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AC58E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80.7%</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80B048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+38.8 pp</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9BA9F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30–60%</w:t>
            </w:r>
          </w:p>
        </w:tc>
        <w:tc>
          <w:tcPr>
            <w:tcW w:w="13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78A36AE"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b/>
                <w:bCs/>
                <w:sz w:val="24"/>
                <w:szCs w:val="24"/>
              </w:rPr>
              <w:t>⚠</w:t>
            </w:r>
            <w:r w:rsidRPr="00D40426">
              <w:rPr>
                <w:rFonts w:ascii="Times New Roman" w:hAnsi="Times New Roman" w:cs="Times New Roman"/>
                <w:b/>
                <w:bCs/>
                <w:sz w:val="24"/>
                <w:szCs w:val="24"/>
              </w:rPr>
              <w:t xml:space="preserve"> Above Benchmark</w:t>
            </w:r>
          </w:p>
        </w:tc>
      </w:tr>
    </w:tbl>
    <w:p w14:paraId="70F0EA61" w14:textId="77777777" w:rsidR="00D40426" w:rsidRPr="00D40426" w:rsidRDefault="00D40426" w:rsidP="00D40426">
      <w:pPr>
        <w:rPr>
          <w:rFonts w:ascii="Times New Roman" w:hAnsi="Times New Roman" w:cs="Times New Roman"/>
          <w:sz w:val="24"/>
          <w:szCs w:val="24"/>
        </w:rPr>
      </w:pPr>
    </w:p>
    <w:p w14:paraId="655C71BD" w14:textId="77777777" w:rsidR="00D40426" w:rsidRPr="00D40426" w:rsidRDefault="00D40426" w:rsidP="00321A8E">
      <w:pPr>
        <w:pStyle w:val="Heading3"/>
      </w:pPr>
      <w:bookmarkStart w:id="45" w:name="_Toc224782602"/>
      <w:r w:rsidRPr="00D40426">
        <w:t>A7.  Master Ratio Summary Table — All Categories</w:t>
      </w:r>
      <w:bookmarkEnd w:id="45"/>
    </w:p>
    <w:p w14:paraId="26844C15" w14:textId="77777777" w:rsidR="00D40426" w:rsidRPr="00D40426" w:rsidRDefault="00D40426" w:rsidP="00D40426">
      <w:pPr>
        <w:rPr>
          <w:rFonts w:ascii="Times New Roman" w:hAnsi="Times New Roman" w:cs="Times New Roman"/>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871"/>
        <w:gridCol w:w="1092"/>
        <w:gridCol w:w="1092"/>
        <w:gridCol w:w="1051"/>
        <w:gridCol w:w="1440"/>
        <w:gridCol w:w="1414"/>
      </w:tblGrid>
      <w:tr w:rsidR="00D40426" w:rsidRPr="00D40426" w14:paraId="5281DC10" w14:textId="77777777">
        <w:trPr>
          <w:tblHeader/>
        </w:trPr>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C67951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Category</w:t>
            </w:r>
          </w:p>
        </w:tc>
        <w:tc>
          <w:tcPr>
            <w:tcW w:w="19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CCFC74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Ratio</w:t>
            </w:r>
          </w:p>
        </w:tc>
        <w:tc>
          <w:tcPr>
            <w:tcW w:w="11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A1C0D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2023</w:t>
            </w:r>
          </w:p>
        </w:tc>
        <w:tc>
          <w:tcPr>
            <w:tcW w:w="11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13A63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FY 2024</w:t>
            </w:r>
          </w:p>
        </w:tc>
        <w:tc>
          <w:tcPr>
            <w:tcW w:w="10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810016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Change</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911AB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Benchmark</w:t>
            </w:r>
          </w:p>
        </w:tc>
        <w:tc>
          <w:tcPr>
            <w:tcW w:w="11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5FD53B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Assessment</w:t>
            </w:r>
          </w:p>
        </w:tc>
      </w:tr>
      <w:tr w:rsidR="00D40426" w:rsidRPr="00D40426" w14:paraId="2AC81CED"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AE4355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Profitability</w:t>
            </w: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FDE46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Gross Profit Margin</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D4979E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64.1%</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6D5F82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62.4%</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99E696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D3D8D5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55–65%</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D636FE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Within</w:t>
            </w:r>
          </w:p>
        </w:tc>
      </w:tr>
      <w:tr w:rsidR="00D40426" w:rsidRPr="00D40426" w14:paraId="72F56D78"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5A0A722F"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DCB56D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Net Profit Margin</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CCFEAF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28.3%</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F761D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22.7%</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43CB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−5.6 pp</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0E90ED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20–30%</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7EB8F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Within</w:t>
            </w:r>
          </w:p>
        </w:tc>
      </w:tr>
      <w:tr w:rsidR="00D40426" w:rsidRPr="00D40426" w14:paraId="3A24540F"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tcPr>
          <w:p w14:paraId="4C7581F3"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30738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Return on Equity</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70965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21.8%</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E86ED8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16.5%</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95370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−5.3 pp</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0FE36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10–15%</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380AAC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Above</w:t>
            </w:r>
          </w:p>
        </w:tc>
      </w:tr>
      <w:tr w:rsidR="00D40426" w:rsidRPr="00D40426" w14:paraId="056A562B"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1EB98D08"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F642D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Return on Assets</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136EBB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1.56%</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2FD220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1.23%</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40FEF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−0.33 pp</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25233D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0.8–1.2%</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69AA2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Above</w:t>
            </w:r>
          </w:p>
        </w:tc>
      </w:tr>
      <w:tr w:rsidR="00D40426" w:rsidRPr="00D40426" w14:paraId="291155F1"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B7855D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Liquidity</w:t>
            </w: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281BEA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Current Ratio</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67B99D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1.24×</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ECA3F3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1.18×</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FE75CC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9DFCC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1.1–1.3×</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9BD2A6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Within</w:t>
            </w:r>
          </w:p>
        </w:tc>
      </w:tr>
      <w:tr w:rsidR="00D40426" w:rsidRPr="00D40426" w14:paraId="0C81EBCE"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191AB6D3"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0E47F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Quick Ratio</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90CF85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1.22×</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1A13AB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1.16×</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1564F0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−0.06</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722A3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1.0–1.2×</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6E724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Within</w:t>
            </w:r>
          </w:p>
        </w:tc>
      </w:tr>
      <w:tr w:rsidR="00D40426" w:rsidRPr="00D40426" w14:paraId="39EBF110"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F3FE9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Efficiency</w:t>
            </w: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1F428E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Asset Turnover</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ED2E3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0.055×</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B7B7D7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0.049×</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B89C86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−0.006×</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FD8EB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0.03–0.05×</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FDF05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Above</w:t>
            </w:r>
          </w:p>
        </w:tc>
      </w:tr>
      <w:tr w:rsidR="00D40426" w:rsidRPr="00D40426" w14:paraId="50556BAC"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2B8BBEA4"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B1D6C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Operating Expense</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2D92D7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35.9%</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0B11CF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37.6%</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5B0420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 pp</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5E2301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45–55%</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15C63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Favourable</w:t>
            </w:r>
          </w:p>
        </w:tc>
      </w:tr>
      <w:tr w:rsidR="00D40426" w:rsidRPr="00D40426" w14:paraId="2FBFAD13"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810736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Gearing</w:t>
            </w: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A2864D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Gearing Ratio</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AB1D3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91.2%</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311094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89.3%</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F9CD1C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−1.9 pp</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E29F2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85–95%</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A3C8B7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Within</w:t>
            </w:r>
          </w:p>
        </w:tc>
      </w:tr>
      <w:tr w:rsidR="00D40426" w:rsidRPr="00D40426" w14:paraId="457D7110"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675F7F00"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5981FA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Interest Cover</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80439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52423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67FD2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−0.6×</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0AB6DC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&gt; 2.0×</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BA0738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Above</w:t>
            </w:r>
          </w:p>
        </w:tc>
      </w:tr>
      <w:tr w:rsidR="00D40426" w:rsidRPr="00D40426" w14:paraId="4528F51C" w14:textId="77777777">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8675D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Investor</w:t>
            </w:r>
          </w:p>
        </w:tc>
        <w:tc>
          <w:tcPr>
            <w:tcW w:w="1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07297A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EPS</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72FDA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1E6BFE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0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C5BD7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A7894D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1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EF2D6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Unlisted</w:t>
            </w:r>
          </w:p>
        </w:tc>
      </w:tr>
      <w:tr w:rsidR="00D40426" w:rsidRPr="00D40426" w14:paraId="745E6401" w14:textId="77777777">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4F500884" w14:textId="77777777" w:rsidR="00D40426" w:rsidRPr="00D40426" w:rsidRDefault="00D40426" w:rsidP="00D40426">
            <w:pPr>
              <w:rPr>
                <w:rFonts w:ascii="Times New Roman" w:hAnsi="Times New Roman" w:cs="Times New Roman"/>
                <w:sz w:val="24"/>
                <w:szCs w:val="24"/>
              </w:rPr>
            </w:pPr>
          </w:p>
        </w:tc>
        <w:tc>
          <w:tcPr>
            <w:tcW w:w="1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C63858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Dividend Payout</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10629C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41.9%</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47E087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80.7%</w:t>
            </w:r>
          </w:p>
        </w:tc>
        <w:tc>
          <w:tcPr>
            <w:tcW w:w="10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218A90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+38.8 pp</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18866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30–60%</w:t>
            </w:r>
          </w:p>
        </w:tc>
        <w:tc>
          <w:tcPr>
            <w:tcW w:w="11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2E8B46C" w14:textId="77777777" w:rsidR="00D40426" w:rsidRPr="00D40426" w:rsidRDefault="00D40426" w:rsidP="00D40426">
            <w:pPr>
              <w:rPr>
                <w:rFonts w:ascii="Times New Roman" w:hAnsi="Times New Roman" w:cs="Times New Roman"/>
                <w:sz w:val="24"/>
                <w:szCs w:val="24"/>
              </w:rPr>
            </w:pPr>
            <w:r w:rsidRPr="00D40426">
              <w:rPr>
                <w:rFonts w:ascii="Segoe UI Symbol" w:hAnsi="Segoe UI Symbol" w:cs="Segoe UI Symbol"/>
                <w:sz w:val="24"/>
                <w:szCs w:val="24"/>
              </w:rPr>
              <w:t>⚠</w:t>
            </w:r>
            <w:r w:rsidRPr="00D40426">
              <w:rPr>
                <w:rFonts w:ascii="Times New Roman" w:hAnsi="Times New Roman" w:cs="Times New Roman"/>
                <w:sz w:val="24"/>
                <w:szCs w:val="24"/>
              </w:rPr>
              <w:t xml:space="preserve"> Elevated</w:t>
            </w:r>
          </w:p>
        </w:tc>
      </w:tr>
    </w:tbl>
    <w:p w14:paraId="642F7339" w14:textId="77777777" w:rsidR="00D40426" w:rsidRPr="00D40426" w:rsidRDefault="00D40426" w:rsidP="00D40426">
      <w:pPr>
        <w:rPr>
          <w:rFonts w:ascii="Times New Roman" w:hAnsi="Times New Roman" w:cs="Times New Roman"/>
          <w:b/>
          <w:bCs/>
          <w:sz w:val="24"/>
          <w:szCs w:val="24"/>
        </w:rPr>
      </w:pPr>
    </w:p>
    <w:p w14:paraId="0B642B1A" w14:textId="77777777" w:rsidR="00D40426" w:rsidRPr="00D40426" w:rsidRDefault="00D40426" w:rsidP="00321A8E">
      <w:pPr>
        <w:pStyle w:val="Heading1"/>
      </w:pPr>
      <w:bookmarkStart w:id="46" w:name="_Toc224782603"/>
      <w:r w:rsidRPr="00D40426">
        <w:t>APPENDIX B</w:t>
      </w:r>
      <w:bookmarkEnd w:id="46"/>
    </w:p>
    <w:p w14:paraId="1CD62C4F" w14:textId="77777777" w:rsidR="00D40426" w:rsidRPr="00D40426" w:rsidRDefault="00D40426" w:rsidP="00321A8E">
      <w:pPr>
        <w:pStyle w:val="Heading2"/>
      </w:pPr>
      <w:bookmarkStart w:id="47" w:name="_Toc224782604"/>
      <w:r w:rsidRPr="00D40426">
        <w:t>Westward Plc — Investment Appraisal Calculation Workings</w:t>
      </w:r>
      <w:bookmarkEnd w:id="47"/>
    </w:p>
    <w:p w14:paraId="5F6E9E7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Assumptions: Cost of capital = 6% | Corporation tax = 25% (deducted in year arising) | Capital allowances = 20% straight-line on initial investment | All cash flows in £'000.</w:t>
      </w:r>
    </w:p>
    <w:p w14:paraId="31C1941E" w14:textId="77777777" w:rsidR="00D40426" w:rsidRPr="00D40426" w:rsidRDefault="00D40426" w:rsidP="00321A8E">
      <w:pPr>
        <w:pStyle w:val="Heading3"/>
      </w:pPr>
      <w:bookmarkStart w:id="48" w:name="_Toc224782605"/>
      <w:r w:rsidRPr="00D40426">
        <w:t>B1.  Option A — Retail Outlet Expansion (Initial Investment: £600,000)</w:t>
      </w:r>
      <w:bookmarkEnd w:id="48"/>
    </w:p>
    <w:p w14:paraId="6A5C23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Annual Capital Allowance = £600,000 × 20% = £120,000   |   Annual Tax Shield = £120,000 × 25% = £30,000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5"/>
        <w:gridCol w:w="1369"/>
        <w:gridCol w:w="1439"/>
        <w:gridCol w:w="1406"/>
        <w:gridCol w:w="1299"/>
        <w:gridCol w:w="1326"/>
        <w:gridCol w:w="1786"/>
      </w:tblGrid>
      <w:tr w:rsidR="00D40426" w:rsidRPr="00D40426" w14:paraId="2C10E190" w14:textId="77777777">
        <w:trPr>
          <w:tblHeader/>
        </w:trPr>
        <w:tc>
          <w:tcPr>
            <w:tcW w:w="7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BD5842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93C87F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239E66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249C4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 (£'000)</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30936F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 (£'000)</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38DAF5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20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D8B824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 (£'000)</w:t>
            </w:r>
          </w:p>
        </w:tc>
      </w:tr>
      <w:tr w:rsidR="00D40426" w:rsidRPr="00D40426" w14:paraId="21ED83D8"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EAA250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05A937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DD74E7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7E9DA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1794C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57F04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4EDCD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r>
      <w:tr w:rsidR="00D40426" w:rsidRPr="00D40426" w14:paraId="2123E258"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FE7BB6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80C3DC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200.00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8AA9DF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47BAA3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73D8F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180.00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FA5600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661CDD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169.74</w:t>
            </w:r>
          </w:p>
        </w:tc>
      </w:tr>
      <w:tr w:rsidR="00D40426" w:rsidRPr="00D40426" w14:paraId="5AC4F918"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8AF070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DADBF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D99A78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ABD189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36579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6F8CDD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1FE7B1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293.70</w:t>
            </w:r>
          </w:p>
        </w:tc>
      </w:tr>
      <w:tr w:rsidR="00D40426" w:rsidRPr="00D40426" w14:paraId="4CA4A076"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195027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C8C1C3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6226DE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(125.00)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1DEF22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0FDE8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405.00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7DD2BF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AEC0C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340.20</w:t>
            </w:r>
          </w:p>
        </w:tc>
      </w:tr>
      <w:tr w:rsidR="00D40426" w:rsidRPr="00D40426" w14:paraId="32CE9CCC"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2ACAF0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5C26E9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F1862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(175.00)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593402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D11887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555.00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4AD04B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C9A9EE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439.56</w:t>
            </w:r>
          </w:p>
        </w:tc>
      </w:tr>
      <w:tr w:rsidR="00D40426" w:rsidRPr="00D40426" w14:paraId="0113A8B8"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B61FD4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393E44FD"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24E98098"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2CF7032A" w14:textId="77777777" w:rsidR="00D40426" w:rsidRPr="00D40426" w:rsidRDefault="00D40426" w:rsidP="00D40426">
            <w:pPr>
              <w:rPr>
                <w:rFonts w:ascii="Times New Roman" w:hAnsi="Times New Roman" w:cs="Times New Roman"/>
                <w:sz w:val="24"/>
                <w:szCs w:val="24"/>
              </w:rPr>
            </w:pP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1B4121BA" w14:textId="77777777" w:rsidR="00D40426" w:rsidRPr="00D40426" w:rsidRDefault="00D40426" w:rsidP="00D40426">
            <w:pPr>
              <w:rPr>
                <w:rFonts w:ascii="Times New Roman" w:hAnsi="Times New Roman" w:cs="Times New Roman"/>
                <w:sz w:val="24"/>
                <w:szCs w:val="24"/>
              </w:rPr>
            </w:pP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2CB78A47" w14:textId="77777777" w:rsidR="00D40426" w:rsidRPr="00D40426" w:rsidRDefault="00D40426" w:rsidP="00D40426">
            <w:pPr>
              <w:rPr>
                <w:rFonts w:ascii="Times New Roman" w:hAnsi="Times New Roman" w:cs="Times New Roman"/>
                <w:sz w:val="24"/>
                <w:szCs w:val="24"/>
              </w:rPr>
            </w:pP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84097F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£643,200</w:t>
            </w:r>
          </w:p>
        </w:tc>
      </w:tr>
    </w:tbl>
    <w:p w14:paraId="6A3C4C38" w14:textId="77777777" w:rsidR="00D40426" w:rsidRPr="00D40426" w:rsidRDefault="00D40426" w:rsidP="00321A8E">
      <w:pPr>
        <w:pStyle w:val="Heading3"/>
      </w:pPr>
      <w:bookmarkStart w:id="49" w:name="_Toc224782606"/>
      <w:r w:rsidRPr="00D40426">
        <w:t>B2.  Option B — Internet Sales Development (Initial Investment: £1,000,000)</w:t>
      </w:r>
      <w:bookmarkEnd w:id="49"/>
    </w:p>
    <w:p w14:paraId="2644F5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Annual Capital Allowance = £1,000,000 × 20% = £200,000   |   Annual Tax Shield = £200,000 × 25% = £50,000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4"/>
        <w:gridCol w:w="1411"/>
        <w:gridCol w:w="1415"/>
        <w:gridCol w:w="1376"/>
        <w:gridCol w:w="1345"/>
        <w:gridCol w:w="1300"/>
        <w:gridCol w:w="1779"/>
      </w:tblGrid>
      <w:tr w:rsidR="00D40426" w:rsidRPr="00D40426" w14:paraId="2CB78ED8" w14:textId="77777777">
        <w:trPr>
          <w:tblHeader/>
        </w:trPr>
        <w:tc>
          <w:tcPr>
            <w:tcW w:w="7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E7B0BC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lastRenderedPageBreak/>
              <w:t>Year</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17FD9B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0D0F89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BDD4C9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 (£'000)</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3CF017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 (£'000)</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777DAD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20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C13552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 (£'000)</w:t>
            </w:r>
          </w:p>
        </w:tc>
      </w:tr>
      <w:tr w:rsidR="00D40426" w:rsidRPr="00D40426" w14:paraId="4E3DE72F"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8EFB2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EA8AD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826A42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D73B0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A47EE6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491CA9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815251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r>
      <w:tr w:rsidR="00D40426" w:rsidRPr="00D40426" w14:paraId="3175A294"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DAD68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640A4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5EBF3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7FBAD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D293B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350.00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D1486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4D383D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330.05</w:t>
            </w:r>
          </w:p>
        </w:tc>
      </w:tr>
      <w:tr w:rsidR="00D40426" w:rsidRPr="00D40426" w14:paraId="312651B2"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8EAC89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21DB4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895F71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(112.50)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C3517E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BE2DDF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387.50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96B5A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6882C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344.88</w:t>
            </w:r>
          </w:p>
        </w:tc>
      </w:tr>
      <w:tr w:rsidR="00D40426" w:rsidRPr="00D40426" w14:paraId="6432E1C4"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618EE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58795F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720.00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D90174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BD967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E75530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590.00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5FF22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E1958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495.60</w:t>
            </w:r>
          </w:p>
        </w:tc>
      </w:tr>
      <w:tr w:rsidR="00D40426" w:rsidRPr="00D40426" w14:paraId="391A8BC7"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F0C08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B9F96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980.00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45D8A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(245.00)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38A22A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5615A9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785.00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2DDCD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226E48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621.72</w:t>
            </w:r>
          </w:p>
        </w:tc>
      </w:tr>
      <w:tr w:rsidR="00D40426" w:rsidRPr="00D40426" w14:paraId="7A9015C5"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A711E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70B07E9E"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3DF670D4"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3253518E" w14:textId="77777777" w:rsidR="00D40426" w:rsidRPr="00D40426" w:rsidRDefault="00D40426" w:rsidP="00D40426">
            <w:pPr>
              <w:rPr>
                <w:rFonts w:ascii="Times New Roman" w:hAnsi="Times New Roman" w:cs="Times New Roman"/>
                <w:sz w:val="24"/>
                <w:szCs w:val="24"/>
              </w:rPr>
            </w:pP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416C7493" w14:textId="77777777" w:rsidR="00D40426" w:rsidRPr="00D40426" w:rsidRDefault="00D40426" w:rsidP="00D40426">
            <w:pPr>
              <w:rPr>
                <w:rFonts w:ascii="Times New Roman" w:hAnsi="Times New Roman" w:cs="Times New Roman"/>
                <w:sz w:val="24"/>
                <w:szCs w:val="24"/>
              </w:rPr>
            </w:pP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78C109E2" w14:textId="77777777" w:rsidR="00D40426" w:rsidRPr="00D40426" w:rsidRDefault="00D40426" w:rsidP="00D40426">
            <w:pPr>
              <w:rPr>
                <w:rFonts w:ascii="Times New Roman" w:hAnsi="Times New Roman" w:cs="Times New Roman"/>
                <w:sz w:val="24"/>
                <w:szCs w:val="24"/>
              </w:rPr>
            </w:pP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A5252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£792,245</w:t>
            </w:r>
          </w:p>
        </w:tc>
      </w:tr>
    </w:tbl>
    <w:p w14:paraId="04A03263" w14:textId="77777777" w:rsidR="00D40426" w:rsidRPr="00D40426" w:rsidRDefault="00D40426" w:rsidP="00321A8E">
      <w:pPr>
        <w:pStyle w:val="Heading3"/>
      </w:pPr>
      <w:bookmarkStart w:id="50" w:name="_Toc224782607"/>
      <w:r w:rsidRPr="00D40426">
        <w:t>B3.  Option C — Wooden &amp; Roman Blinds Production (Initial Investment: £1,600,000)</w:t>
      </w:r>
      <w:bookmarkEnd w:id="50"/>
    </w:p>
    <w:p w14:paraId="10B9B1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Annual Capital Allowance = £1,600,000 × 20% = £320,000   |   Annual Tax Shield = £320,000 × 25% = £80,000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4"/>
        <w:gridCol w:w="1411"/>
        <w:gridCol w:w="1415"/>
        <w:gridCol w:w="1376"/>
        <w:gridCol w:w="1345"/>
        <w:gridCol w:w="1300"/>
        <w:gridCol w:w="1779"/>
      </w:tblGrid>
      <w:tr w:rsidR="00D40426" w:rsidRPr="00D40426" w14:paraId="095EB41A" w14:textId="77777777">
        <w:trPr>
          <w:tblHeader/>
        </w:trPr>
        <w:tc>
          <w:tcPr>
            <w:tcW w:w="7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ED54B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7B848A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Gross CF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3C83F2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@25% (£'000)</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42AB6A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Tax Shield (£'000)</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5ACBF3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 (£'000)</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F3159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Disc. Factor @6%</w:t>
            </w:r>
          </w:p>
        </w:tc>
        <w:tc>
          <w:tcPr>
            <w:tcW w:w="20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354DA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Present Value (£'000)</w:t>
            </w:r>
          </w:p>
        </w:tc>
      </w:tr>
      <w:tr w:rsidR="00D40426" w:rsidRPr="00D40426" w14:paraId="6396C645"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12FF74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82F251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3AF585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8DE0D2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9AB667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F85A54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522D01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r>
      <w:tr w:rsidR="00D40426" w:rsidRPr="00D40426" w14:paraId="5BB04A40"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A4127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A18C9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450.00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09A520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(112.50)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B495E4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8B1FF1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417.50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F93EB9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8C2291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393.70</w:t>
            </w:r>
          </w:p>
        </w:tc>
      </w:tr>
      <w:tr w:rsidR="00D40426" w:rsidRPr="00D40426" w14:paraId="0A47F887"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51D57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1BBA3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6696A2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(175.00)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51A3FA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B078E5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605.00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BECF97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D2C5F1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538.45</w:t>
            </w:r>
          </w:p>
        </w:tc>
      </w:tr>
      <w:tr w:rsidR="00D40426" w:rsidRPr="00D40426" w14:paraId="43618017"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616155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83E14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900.00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A0C2A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(225.00)</w:t>
            </w: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2584C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75B75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755.00</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F07699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A6B59D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634.20</w:t>
            </w:r>
          </w:p>
        </w:tc>
      </w:tr>
      <w:tr w:rsidR="00D40426" w:rsidRPr="00D40426" w14:paraId="26287567"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E7BD2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F35A1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1,200.00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78B0D9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(300.00)</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C95B86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6CFC04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980.00</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B111A1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20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A22050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776.16</w:t>
            </w:r>
          </w:p>
        </w:tc>
      </w:tr>
      <w:tr w:rsidR="00D40426" w:rsidRPr="00D40426" w14:paraId="2F7C7B42"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92CB44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430DDD8B"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05F8E2CF" w14:textId="77777777" w:rsidR="00D40426" w:rsidRPr="00D40426" w:rsidRDefault="00D40426" w:rsidP="00D40426">
            <w:pPr>
              <w:rPr>
                <w:rFonts w:ascii="Times New Roman" w:hAnsi="Times New Roman" w:cs="Times New Roman"/>
                <w:sz w:val="24"/>
                <w:szCs w:val="24"/>
              </w:rPr>
            </w:pPr>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3821D35A" w14:textId="77777777" w:rsidR="00D40426" w:rsidRPr="00D40426" w:rsidRDefault="00D40426" w:rsidP="00D40426">
            <w:pPr>
              <w:rPr>
                <w:rFonts w:ascii="Times New Roman" w:hAnsi="Times New Roman" w:cs="Times New Roman"/>
                <w:sz w:val="24"/>
                <w:szCs w:val="24"/>
              </w:rPr>
            </w:pP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04B5E75C" w14:textId="77777777" w:rsidR="00D40426" w:rsidRPr="00D40426" w:rsidRDefault="00D40426" w:rsidP="00D40426">
            <w:pPr>
              <w:rPr>
                <w:rFonts w:ascii="Times New Roman" w:hAnsi="Times New Roman" w:cs="Times New Roman"/>
                <w:sz w:val="24"/>
                <w:szCs w:val="24"/>
              </w:rPr>
            </w:pP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517968B9" w14:textId="77777777" w:rsidR="00D40426" w:rsidRPr="00D40426" w:rsidRDefault="00D40426" w:rsidP="00D40426">
            <w:pPr>
              <w:rPr>
                <w:rFonts w:ascii="Times New Roman" w:hAnsi="Times New Roman" w:cs="Times New Roman"/>
                <w:sz w:val="24"/>
                <w:szCs w:val="24"/>
              </w:rPr>
            </w:pPr>
          </w:p>
        </w:tc>
        <w:tc>
          <w:tcPr>
            <w:tcW w:w="20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9B352C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£742,513</w:t>
            </w:r>
          </w:p>
        </w:tc>
      </w:tr>
    </w:tbl>
    <w:p w14:paraId="55916552" w14:textId="77777777" w:rsidR="00D40426" w:rsidRPr="00321A8E" w:rsidRDefault="00D40426" w:rsidP="00321A8E">
      <w:pPr>
        <w:pStyle w:val="Heading3"/>
      </w:pPr>
      <w:bookmarkStart w:id="51" w:name="_Toc224782608"/>
      <w:r w:rsidRPr="00321A8E">
        <w:lastRenderedPageBreak/>
        <w:t>B4.  Payback Period — Cumulative Cash Flow Workings</w:t>
      </w:r>
      <w:bookmarkEnd w:id="5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21"/>
        <w:gridCol w:w="1206"/>
        <w:gridCol w:w="1440"/>
        <w:gridCol w:w="1309"/>
        <w:gridCol w:w="1440"/>
        <w:gridCol w:w="1309"/>
        <w:gridCol w:w="1535"/>
      </w:tblGrid>
      <w:tr w:rsidR="00D40426" w:rsidRPr="00D40426" w14:paraId="15224062" w14:textId="77777777">
        <w:trPr>
          <w:tblHeader/>
        </w:trPr>
        <w:tc>
          <w:tcPr>
            <w:tcW w:w="7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45E8EC8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3C6EC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A Net CF (£'000)</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17B4F6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A Cumulative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2A21B6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B Net CF (£'000)</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0030BD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B Cumulative</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FEA693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C Net CF (£'000)</w:t>
            </w:r>
          </w:p>
        </w:tc>
        <w:tc>
          <w:tcPr>
            <w:tcW w:w="16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4ED3243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 C Cumulative</w:t>
            </w:r>
          </w:p>
        </w:tc>
      </w:tr>
      <w:tr w:rsidR="00D40426" w:rsidRPr="00D40426" w14:paraId="2247BB48"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E0CAB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720B93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D6D831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D4BC21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E62661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FF369D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830C6C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w:t>
            </w:r>
          </w:p>
        </w:tc>
      </w:tr>
      <w:tr w:rsidR="00D40426" w:rsidRPr="00D40426" w14:paraId="70F2D384"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4E888F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7DAE3A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180.00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35BCCB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(420.00)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3CA576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4882E7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(650.00)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76A49B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417.50</w:t>
            </w: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399DE5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(1,182.50)</w:t>
            </w:r>
          </w:p>
        </w:tc>
      </w:tr>
      <w:tr w:rsidR="00D40426" w:rsidRPr="00D40426" w14:paraId="3EDF5512"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EA9662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3C132C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5C6984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ECC78F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387.50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548824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(262.50)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9BAB7A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605.00</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B23938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(577.50)</w:t>
            </w:r>
          </w:p>
        </w:tc>
      </w:tr>
      <w:tr w:rsidR="00D40426" w:rsidRPr="00D40426" w14:paraId="2CB76249"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8CF61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6E667F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405.00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02EEDF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315.00 </w:t>
            </w:r>
            <w:r w:rsidRPr="00D40426">
              <w:rPr>
                <w:rFonts w:ascii="Segoe UI Symbol" w:hAnsi="Segoe UI Symbol" w:cs="Segoe UI Symbol"/>
                <w:sz w:val="24"/>
                <w:szCs w:val="24"/>
              </w:rPr>
              <w:t>✔</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36C971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590.00</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7EC3BB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327.50 </w:t>
            </w:r>
            <w:r w:rsidRPr="00D40426">
              <w:rPr>
                <w:rFonts w:ascii="Segoe UI Symbol" w:hAnsi="Segoe UI Symbol" w:cs="Segoe UI Symbol"/>
                <w:sz w:val="24"/>
                <w:szCs w:val="24"/>
              </w:rPr>
              <w:t>✔</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CBAF14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755.00</w:t>
            </w: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AC82EC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177.50 </w:t>
            </w:r>
            <w:r w:rsidRPr="00D40426">
              <w:rPr>
                <w:rFonts w:ascii="Segoe UI Symbol" w:hAnsi="Segoe UI Symbol" w:cs="Segoe UI Symbol"/>
                <w:sz w:val="24"/>
                <w:szCs w:val="24"/>
              </w:rPr>
              <w:t>✔</w:t>
            </w:r>
          </w:p>
        </w:tc>
      </w:tr>
      <w:tr w:rsidR="00D40426" w:rsidRPr="00D40426" w14:paraId="264AB180" w14:textId="77777777">
        <w:tc>
          <w:tcPr>
            <w:tcW w:w="7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24243C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32E875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555.00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B0B56A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870.00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D08C93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785.00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51B4C5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1,112.50</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34D9DD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980.00</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3AC5BC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1,157.50</w:t>
            </w:r>
          </w:p>
        </w:tc>
      </w:tr>
      <w:tr w:rsidR="00D40426" w:rsidRPr="00D40426" w14:paraId="4E479C11" w14:textId="77777777">
        <w:tc>
          <w:tcPr>
            <w:tcW w:w="7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A882FC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Payback</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759E9D11" w14:textId="77777777" w:rsidR="00D40426" w:rsidRPr="00D40426" w:rsidRDefault="00D40426" w:rsidP="00D40426">
            <w:pPr>
              <w:rPr>
                <w:rFonts w:ascii="Times New Roman" w:hAnsi="Times New Roman" w:cs="Times New Roman"/>
                <w:sz w:val="24"/>
                <w:szCs w:val="24"/>
              </w:rPr>
            </w:pP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0FC8DF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2 yrs 2.7 months</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53DEE8B6" w14:textId="77777777" w:rsidR="00D40426" w:rsidRPr="00D40426" w:rsidRDefault="00D40426" w:rsidP="00D40426">
            <w:pPr>
              <w:rPr>
                <w:rFonts w:ascii="Times New Roman" w:hAnsi="Times New Roman" w:cs="Times New Roman"/>
                <w:sz w:val="24"/>
                <w:szCs w:val="24"/>
              </w:rPr>
            </w:pP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9927FD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2 yrs 5.3 months</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743FEA6B" w14:textId="77777777" w:rsidR="00D40426" w:rsidRPr="00D40426" w:rsidRDefault="00D40426" w:rsidP="00D40426">
            <w:pPr>
              <w:rPr>
                <w:rFonts w:ascii="Times New Roman" w:hAnsi="Times New Roman" w:cs="Times New Roman"/>
                <w:sz w:val="24"/>
                <w:szCs w:val="24"/>
              </w:rPr>
            </w:pP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311005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2 yrs 9.2 months</w:t>
            </w:r>
          </w:p>
        </w:tc>
      </w:tr>
    </w:tbl>
    <w:p w14:paraId="2C3B1F6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Payback calculation method: fractional months = (remaining balance at start of recovery year ÷ cash flow in recovery year) × 12 months.</w:t>
      </w:r>
    </w:p>
    <w:p w14:paraId="73317D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i/>
          <w:iCs/>
          <w:sz w:val="24"/>
          <w:szCs w:val="24"/>
        </w:rPr>
        <w:t>Option A: 90 ÷ 405 × 12 = 2.7 months   |   Option B: 262.50 ÷ 590 × 12 = 5.3 months   |   Option C: 577.50 ÷ 755 × 12 = 9.2 months</w:t>
      </w:r>
    </w:p>
    <w:p w14:paraId="4CBAB071" w14:textId="77777777" w:rsidR="00D40426" w:rsidRPr="00D40426" w:rsidRDefault="00D40426" w:rsidP="00321A8E">
      <w:pPr>
        <w:pStyle w:val="Heading3"/>
      </w:pPr>
      <w:bookmarkStart w:id="52" w:name="_Toc224782609"/>
      <w:r w:rsidRPr="00D40426">
        <w:t>B5.  IRR Calculation — Option B (Interpolation Method)</w:t>
      </w:r>
      <w:bookmarkEnd w:id="5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81"/>
        <w:gridCol w:w="1169"/>
        <w:gridCol w:w="876"/>
        <w:gridCol w:w="1382"/>
        <w:gridCol w:w="1003"/>
        <w:gridCol w:w="1382"/>
        <w:gridCol w:w="1003"/>
        <w:gridCol w:w="1764"/>
      </w:tblGrid>
      <w:tr w:rsidR="00D40426" w:rsidRPr="00D40426" w14:paraId="22EF15B9" w14:textId="77777777">
        <w:trPr>
          <w:tblHeader/>
        </w:trPr>
        <w:tc>
          <w:tcPr>
            <w:tcW w:w="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310FC9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Year</w:t>
            </w:r>
          </w:p>
        </w:tc>
        <w:tc>
          <w:tcPr>
            <w:tcW w:w="11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45C437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Net CF (£'000)</w:t>
            </w:r>
          </w:p>
        </w:tc>
        <w:tc>
          <w:tcPr>
            <w:tcW w:w="8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37F5A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@6%</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7D1664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@6% (£'000)</w:t>
            </w:r>
          </w:p>
        </w:tc>
        <w:tc>
          <w:tcPr>
            <w:tcW w:w="8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74DCCF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@25%</w:t>
            </w:r>
          </w:p>
        </w:tc>
        <w:tc>
          <w:tcPr>
            <w:tcW w:w="13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EBD26C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@25% (£'000)</w:t>
            </w:r>
          </w:p>
        </w:tc>
        <w:tc>
          <w:tcPr>
            <w:tcW w:w="8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198479B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DF @35%</w:t>
            </w:r>
          </w:p>
        </w:tc>
        <w:tc>
          <w:tcPr>
            <w:tcW w:w="16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A3EB69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PV @35% (£'000)</w:t>
            </w:r>
          </w:p>
        </w:tc>
      </w:tr>
      <w:tr w:rsidR="00D40426" w:rsidRPr="00D40426" w14:paraId="5E1B64A5" w14:textId="77777777">
        <w:tc>
          <w:tcPr>
            <w:tcW w:w="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921186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5B1D1C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1C8A4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961050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A0A315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41383A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BADE46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920E5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w:t>
            </w:r>
          </w:p>
        </w:tc>
      </w:tr>
      <w:tr w:rsidR="00D40426" w:rsidRPr="00D40426" w14:paraId="62F7C239" w14:textId="77777777">
        <w:tc>
          <w:tcPr>
            <w:tcW w:w="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BF102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80C26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350</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529573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0.943</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E03BC1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330.05</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5463E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0.800</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08A485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280.00</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406629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0.741</w:t>
            </w: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400EFA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259.35</w:t>
            </w:r>
          </w:p>
        </w:tc>
      </w:tr>
      <w:tr w:rsidR="00D40426" w:rsidRPr="00D40426" w14:paraId="1100A99C" w14:textId="77777777">
        <w:tc>
          <w:tcPr>
            <w:tcW w:w="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5E2E0A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BD0EEE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387.5</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96A39B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0.890</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B35BA1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344.88</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7730C13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0.640</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47087E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248.00</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C19D8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0.549</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69443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212.73</w:t>
            </w:r>
          </w:p>
        </w:tc>
      </w:tr>
      <w:tr w:rsidR="00D40426" w:rsidRPr="00D40426" w14:paraId="17524EA2" w14:textId="77777777">
        <w:tc>
          <w:tcPr>
            <w:tcW w:w="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1778CB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25DB6B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590</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037AF2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0.840</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3480E4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495.60</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E58140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0.512</w:t>
            </w: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4053BC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302.08</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77D2A54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0.406</w:t>
            </w: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671B247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239.54</w:t>
            </w:r>
          </w:p>
        </w:tc>
      </w:tr>
      <w:tr w:rsidR="00D40426" w:rsidRPr="00D40426" w14:paraId="3A6109AD" w14:textId="77777777">
        <w:tc>
          <w:tcPr>
            <w:tcW w:w="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B9F642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w:t>
            </w:r>
          </w:p>
        </w:tc>
        <w:tc>
          <w:tcPr>
            <w:tcW w:w="11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CD335E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785</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DC83FD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0.792</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64672F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621.72</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7B5A00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0.410</w:t>
            </w:r>
          </w:p>
        </w:tc>
        <w:tc>
          <w:tcPr>
            <w:tcW w:w="13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3DCA44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321.85</w:t>
            </w:r>
          </w:p>
        </w:tc>
        <w:tc>
          <w:tcPr>
            <w:tcW w:w="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3C50962"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0.301</w:t>
            </w:r>
          </w:p>
        </w:tc>
        <w:tc>
          <w:tcPr>
            <w:tcW w:w="16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905B0E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236.29</w:t>
            </w:r>
          </w:p>
        </w:tc>
      </w:tr>
      <w:tr w:rsidR="00D40426" w:rsidRPr="00D40426" w14:paraId="607180BE" w14:textId="77777777">
        <w:tc>
          <w:tcPr>
            <w:tcW w:w="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7BD17A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w:t>
            </w:r>
          </w:p>
        </w:tc>
        <w:tc>
          <w:tcPr>
            <w:tcW w:w="11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6C421BEA" w14:textId="77777777" w:rsidR="00D40426" w:rsidRPr="00D40426" w:rsidRDefault="00D40426" w:rsidP="00D40426">
            <w:pPr>
              <w:rPr>
                <w:rFonts w:ascii="Times New Roman" w:hAnsi="Times New Roman" w:cs="Times New Roman"/>
                <w:sz w:val="24"/>
                <w:szCs w:val="24"/>
              </w:rPr>
            </w:pP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3F35D891" w14:textId="77777777" w:rsidR="00D40426" w:rsidRPr="00D40426" w:rsidRDefault="00D40426" w:rsidP="00D40426">
            <w:pPr>
              <w:rPr>
                <w:rFonts w:ascii="Times New Roman" w:hAnsi="Times New Roman" w:cs="Times New Roman"/>
                <w:sz w:val="24"/>
                <w:szCs w:val="24"/>
              </w:rPr>
            </w:pP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FC2168F"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£792,245</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23E8244C" w14:textId="77777777" w:rsidR="00D40426" w:rsidRPr="00D40426" w:rsidRDefault="00D40426" w:rsidP="00D40426">
            <w:pPr>
              <w:rPr>
                <w:rFonts w:ascii="Times New Roman" w:hAnsi="Times New Roman" w:cs="Times New Roman"/>
                <w:sz w:val="24"/>
                <w:szCs w:val="24"/>
              </w:rPr>
            </w:pPr>
          </w:p>
        </w:tc>
        <w:tc>
          <w:tcPr>
            <w:tcW w:w="13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1BC541D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£151,930</w:t>
            </w:r>
          </w:p>
        </w:tc>
        <w:tc>
          <w:tcPr>
            <w:tcW w:w="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tcPr>
          <w:p w14:paraId="797C9559" w14:textId="77777777" w:rsidR="00D40426" w:rsidRPr="00D40426" w:rsidRDefault="00D40426" w:rsidP="00D40426">
            <w:pPr>
              <w:rPr>
                <w:rFonts w:ascii="Times New Roman" w:hAnsi="Times New Roman" w:cs="Times New Roman"/>
                <w:sz w:val="24"/>
                <w:szCs w:val="24"/>
              </w:rPr>
            </w:pPr>
          </w:p>
        </w:tc>
        <w:tc>
          <w:tcPr>
            <w:tcW w:w="16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3B7A5DE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−£52,097</w:t>
            </w:r>
          </w:p>
        </w:tc>
      </w:tr>
    </w:tbl>
    <w:p w14:paraId="7D64F5B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Linear Interpolation Formula:</w:t>
      </w:r>
    </w:p>
    <w:p w14:paraId="2532DDD3"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i/>
          <w:iCs/>
          <w:sz w:val="24"/>
          <w:szCs w:val="24"/>
        </w:rPr>
        <w:t>IRR  =</w:t>
      </w:r>
      <w:proofErr w:type="gramEnd"/>
      <w:r w:rsidRPr="00D40426">
        <w:rPr>
          <w:rFonts w:ascii="Times New Roman" w:hAnsi="Times New Roman" w:cs="Times New Roman"/>
          <w:i/>
          <w:iCs/>
          <w:sz w:val="24"/>
          <w:szCs w:val="24"/>
        </w:rPr>
        <w:t xml:space="preserve">  Lower Rate + [ NPV at Lower Rate ÷ (NPV at Lower Rate + |NPV at Higher Rate|</w:t>
      </w:r>
      <w:proofErr w:type="gramStart"/>
      <w:r w:rsidRPr="00D40426">
        <w:rPr>
          <w:rFonts w:ascii="Times New Roman" w:hAnsi="Times New Roman" w:cs="Times New Roman"/>
          <w:i/>
          <w:iCs/>
          <w:sz w:val="24"/>
          <w:szCs w:val="24"/>
        </w:rPr>
        <w:t>) ]</w:t>
      </w:r>
      <w:proofErr w:type="gramEnd"/>
      <w:r w:rsidRPr="00D40426">
        <w:rPr>
          <w:rFonts w:ascii="Times New Roman" w:hAnsi="Times New Roman" w:cs="Times New Roman"/>
          <w:i/>
          <w:iCs/>
          <w:sz w:val="24"/>
          <w:szCs w:val="24"/>
        </w:rPr>
        <w:t xml:space="preserve"> × (Higher Rate − Lower Rate)</w:t>
      </w:r>
    </w:p>
    <w:p w14:paraId="2B749CA1"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i/>
          <w:iCs/>
          <w:sz w:val="24"/>
          <w:szCs w:val="24"/>
        </w:rPr>
        <w:lastRenderedPageBreak/>
        <w:t>IRR  =</w:t>
      </w:r>
      <w:proofErr w:type="gramEnd"/>
      <w:r w:rsidRPr="00D40426">
        <w:rPr>
          <w:rFonts w:ascii="Times New Roman" w:hAnsi="Times New Roman" w:cs="Times New Roman"/>
          <w:i/>
          <w:iCs/>
          <w:sz w:val="24"/>
          <w:szCs w:val="24"/>
        </w:rPr>
        <w:t xml:space="preserve">  25% + [ 151,930 ÷ (151,930 + 52,097</w:t>
      </w:r>
      <w:proofErr w:type="gramStart"/>
      <w:r w:rsidRPr="00D40426">
        <w:rPr>
          <w:rFonts w:ascii="Times New Roman" w:hAnsi="Times New Roman" w:cs="Times New Roman"/>
          <w:i/>
          <w:iCs/>
          <w:sz w:val="24"/>
          <w:szCs w:val="24"/>
        </w:rPr>
        <w:t>) ]</w:t>
      </w:r>
      <w:proofErr w:type="gramEnd"/>
      <w:r w:rsidRPr="00D40426">
        <w:rPr>
          <w:rFonts w:ascii="Times New Roman" w:hAnsi="Times New Roman" w:cs="Times New Roman"/>
          <w:i/>
          <w:iCs/>
          <w:sz w:val="24"/>
          <w:szCs w:val="24"/>
        </w:rPr>
        <w:t xml:space="preserve"> × (35% − 25%)</w:t>
      </w:r>
    </w:p>
    <w:p w14:paraId="33A99013"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i/>
          <w:iCs/>
          <w:sz w:val="24"/>
          <w:szCs w:val="24"/>
        </w:rPr>
        <w:t>IRR  =</w:t>
      </w:r>
      <w:proofErr w:type="gramEnd"/>
      <w:r w:rsidRPr="00D40426">
        <w:rPr>
          <w:rFonts w:ascii="Times New Roman" w:hAnsi="Times New Roman" w:cs="Times New Roman"/>
          <w:i/>
          <w:iCs/>
          <w:sz w:val="24"/>
          <w:szCs w:val="24"/>
        </w:rPr>
        <w:t xml:space="preserve">  25% + [ 151,930 ÷ </w:t>
      </w:r>
      <w:proofErr w:type="gramStart"/>
      <w:r w:rsidRPr="00D40426">
        <w:rPr>
          <w:rFonts w:ascii="Times New Roman" w:hAnsi="Times New Roman" w:cs="Times New Roman"/>
          <w:i/>
          <w:iCs/>
          <w:sz w:val="24"/>
          <w:szCs w:val="24"/>
        </w:rPr>
        <w:t>204,027 ]</w:t>
      </w:r>
      <w:proofErr w:type="gramEnd"/>
      <w:r w:rsidRPr="00D40426">
        <w:rPr>
          <w:rFonts w:ascii="Times New Roman" w:hAnsi="Times New Roman" w:cs="Times New Roman"/>
          <w:i/>
          <w:iCs/>
          <w:sz w:val="24"/>
          <w:szCs w:val="24"/>
        </w:rPr>
        <w:t xml:space="preserve"> × 10%</w:t>
      </w:r>
    </w:p>
    <w:p w14:paraId="0B08FC9A"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i/>
          <w:iCs/>
          <w:sz w:val="24"/>
          <w:szCs w:val="24"/>
        </w:rPr>
        <w:t>IRR  =</w:t>
      </w:r>
      <w:proofErr w:type="gramEnd"/>
      <w:r w:rsidRPr="00D40426">
        <w:rPr>
          <w:rFonts w:ascii="Times New Roman" w:hAnsi="Times New Roman" w:cs="Times New Roman"/>
          <w:i/>
          <w:iCs/>
          <w:sz w:val="24"/>
          <w:szCs w:val="24"/>
        </w:rPr>
        <w:t xml:space="preserve">  25% + 0.7446 × 10%</w:t>
      </w:r>
    </w:p>
    <w:p w14:paraId="72CF4F4C" w14:textId="77777777" w:rsidR="00D40426" w:rsidRPr="00D40426" w:rsidRDefault="00D40426" w:rsidP="00D40426">
      <w:pPr>
        <w:rPr>
          <w:rFonts w:ascii="Times New Roman" w:hAnsi="Times New Roman" w:cs="Times New Roman"/>
          <w:sz w:val="24"/>
          <w:szCs w:val="24"/>
        </w:rPr>
      </w:pPr>
      <w:proofErr w:type="gramStart"/>
      <w:r w:rsidRPr="00D40426">
        <w:rPr>
          <w:rFonts w:ascii="Times New Roman" w:hAnsi="Times New Roman" w:cs="Times New Roman"/>
          <w:b/>
          <w:bCs/>
          <w:sz w:val="24"/>
          <w:szCs w:val="24"/>
        </w:rPr>
        <w:t>IRR  ≈</w:t>
      </w:r>
      <w:proofErr w:type="gramEnd"/>
      <w:r w:rsidRPr="00D40426">
        <w:rPr>
          <w:rFonts w:ascii="Times New Roman" w:hAnsi="Times New Roman" w:cs="Times New Roman"/>
          <w:b/>
          <w:bCs/>
          <w:sz w:val="24"/>
          <w:szCs w:val="24"/>
        </w:rPr>
        <w:t xml:space="preserve">  32.45%</w:t>
      </w:r>
    </w:p>
    <w:p w14:paraId="16220F0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IRR Spread above Cost of Capital (6%):  32.45% − 6</w:t>
      </w:r>
      <w:proofErr w:type="gramStart"/>
      <w:r w:rsidRPr="00D40426">
        <w:rPr>
          <w:rFonts w:ascii="Times New Roman" w:hAnsi="Times New Roman" w:cs="Times New Roman"/>
          <w:sz w:val="24"/>
          <w:szCs w:val="24"/>
        </w:rPr>
        <w:t>%  =</w:t>
      </w:r>
      <w:proofErr w:type="gramEnd"/>
      <w:r w:rsidRPr="00D40426">
        <w:rPr>
          <w:rFonts w:ascii="Times New Roman" w:hAnsi="Times New Roman" w:cs="Times New Roman"/>
          <w:sz w:val="24"/>
          <w:szCs w:val="24"/>
        </w:rPr>
        <w:t xml:space="preserve">  26.45 percentage points — indicating a very wide margin of safety.</w:t>
      </w:r>
    </w:p>
    <w:p w14:paraId="33A708C3" w14:textId="77777777" w:rsidR="00D40426" w:rsidRPr="00D40426" w:rsidRDefault="00D40426" w:rsidP="00321A8E">
      <w:pPr>
        <w:pStyle w:val="Heading3"/>
      </w:pPr>
      <w:bookmarkStart w:id="53" w:name="_Toc224782610"/>
      <w:r w:rsidRPr="00D40426">
        <w:t>B6.  NPV Comparison &amp; Capital Efficiency Summary</w:t>
      </w:r>
      <w:bookmarkEnd w:id="53"/>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43"/>
        <w:gridCol w:w="1391"/>
        <w:gridCol w:w="1021"/>
        <w:gridCol w:w="980"/>
        <w:gridCol w:w="1233"/>
        <w:gridCol w:w="1252"/>
        <w:gridCol w:w="2040"/>
      </w:tblGrid>
      <w:tr w:rsidR="00D40426" w:rsidRPr="00D40426" w14:paraId="2B9D1CCC" w14:textId="77777777">
        <w:trPr>
          <w:tblHeader/>
        </w:trPr>
        <w:tc>
          <w:tcPr>
            <w:tcW w:w="18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2A07E16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Option</w:t>
            </w:r>
          </w:p>
        </w:tc>
        <w:tc>
          <w:tcPr>
            <w:tcW w:w="14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B600278"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Initial Investment</w:t>
            </w:r>
          </w:p>
        </w:tc>
        <w:tc>
          <w:tcPr>
            <w:tcW w:w="12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7D4B705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 (£'000)</w:t>
            </w:r>
          </w:p>
        </w:tc>
        <w:tc>
          <w:tcPr>
            <w:tcW w:w="9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52217CA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IRR</w:t>
            </w:r>
          </w:p>
        </w:tc>
        <w:tc>
          <w:tcPr>
            <w:tcW w:w="15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9B8757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Payback Period</w:t>
            </w:r>
          </w:p>
        </w:tc>
        <w:tc>
          <w:tcPr>
            <w:tcW w:w="160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647F9C7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NPV per £1,000 Invested</w:t>
            </w:r>
          </w:p>
        </w:tc>
        <w:tc>
          <w:tcPr>
            <w:tcW w:w="1960" w:type="dxa"/>
            <w:tcBorders>
              <w:top w:val="single" w:sz="4" w:space="0" w:color="FFFFFF"/>
              <w:left w:val="single" w:sz="4" w:space="0" w:color="FFFFFF"/>
              <w:bottom w:val="single" w:sz="4" w:space="0" w:color="FFFFFF"/>
              <w:right w:val="single" w:sz="4" w:space="0" w:color="FFFFFF"/>
            </w:tcBorders>
            <w:shd w:val="clear" w:color="auto" w:fill="003366"/>
            <w:tcMar>
              <w:top w:w="100" w:type="dxa"/>
              <w:left w:w="120" w:type="dxa"/>
              <w:bottom w:w="100" w:type="dxa"/>
              <w:right w:w="120" w:type="dxa"/>
            </w:tcMar>
            <w:vAlign w:val="center"/>
            <w:hideMark/>
          </w:tcPr>
          <w:p w14:paraId="0EA35914"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Recommendation</w:t>
            </w:r>
          </w:p>
        </w:tc>
      </w:tr>
      <w:tr w:rsidR="00D40426" w:rsidRPr="00D40426" w14:paraId="4B5B301B" w14:textId="77777777">
        <w:tc>
          <w:tcPr>
            <w:tcW w:w="1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566915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A — Retail Expansion</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AE3225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£600,000</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6A8DB4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643.20</w:t>
            </w:r>
          </w:p>
        </w:tc>
        <w:tc>
          <w:tcPr>
            <w:tcW w:w="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6F1798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8CF189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2 yrs 2.7 </w:t>
            </w:r>
            <w:proofErr w:type="spellStart"/>
            <w:r w:rsidRPr="00D40426">
              <w:rPr>
                <w:rFonts w:ascii="Times New Roman" w:hAnsi="Times New Roman" w:cs="Times New Roman"/>
                <w:sz w:val="24"/>
                <w:szCs w:val="24"/>
              </w:rPr>
              <w:t>mths</w:t>
            </w:r>
            <w:proofErr w:type="spellEnd"/>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BF015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£1,072</w:t>
            </w:r>
          </w:p>
        </w:tc>
        <w:tc>
          <w:tcPr>
            <w:tcW w:w="19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146A4163"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Viable</w:t>
            </w:r>
          </w:p>
        </w:tc>
      </w:tr>
      <w:tr w:rsidR="00D40426" w:rsidRPr="00D40426" w14:paraId="0DE6156A" w14:textId="77777777">
        <w:tc>
          <w:tcPr>
            <w:tcW w:w="18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04515E0B"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B — Internet Sales</w:t>
            </w:r>
          </w:p>
        </w:tc>
        <w:tc>
          <w:tcPr>
            <w:tcW w:w="14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091847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£1,000,000</w:t>
            </w:r>
          </w:p>
        </w:tc>
        <w:tc>
          <w:tcPr>
            <w:tcW w:w="12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994ADF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792.25</w:t>
            </w:r>
          </w:p>
        </w:tc>
        <w:tc>
          <w:tcPr>
            <w:tcW w:w="9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7E2AE8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32.45%</w:t>
            </w:r>
          </w:p>
        </w:tc>
        <w:tc>
          <w:tcPr>
            <w:tcW w:w="15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5E4F3E8C"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 xml:space="preserve">2 yrs 5.3 </w:t>
            </w:r>
            <w:proofErr w:type="spellStart"/>
            <w:r w:rsidRPr="00D40426">
              <w:rPr>
                <w:rFonts w:ascii="Times New Roman" w:hAnsi="Times New Roman" w:cs="Times New Roman"/>
                <w:sz w:val="24"/>
                <w:szCs w:val="24"/>
              </w:rPr>
              <w:t>mths</w:t>
            </w:r>
            <w:proofErr w:type="spellEnd"/>
          </w:p>
        </w:tc>
        <w:tc>
          <w:tcPr>
            <w:tcW w:w="160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211F6D35"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£792</w:t>
            </w:r>
          </w:p>
        </w:tc>
        <w:tc>
          <w:tcPr>
            <w:tcW w:w="1960" w:type="dxa"/>
            <w:tcBorders>
              <w:top w:val="single" w:sz="4" w:space="0" w:color="AED6F1"/>
              <w:left w:val="single" w:sz="4" w:space="0" w:color="AED6F1"/>
              <w:bottom w:val="single" w:sz="4" w:space="0" w:color="AED6F1"/>
              <w:right w:val="single" w:sz="4" w:space="0" w:color="AED6F1"/>
            </w:tcBorders>
            <w:shd w:val="clear" w:color="auto" w:fill="FFFFFF"/>
            <w:tcMar>
              <w:top w:w="80" w:type="dxa"/>
              <w:left w:w="120" w:type="dxa"/>
              <w:bottom w:w="80" w:type="dxa"/>
              <w:right w:w="120" w:type="dxa"/>
            </w:tcMar>
            <w:vAlign w:val="center"/>
            <w:hideMark/>
          </w:tcPr>
          <w:p w14:paraId="4DAD56C1"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b/>
                <w:bCs/>
                <w:sz w:val="24"/>
                <w:szCs w:val="24"/>
              </w:rPr>
              <w:t xml:space="preserve"> PREFERRED</w:t>
            </w:r>
          </w:p>
        </w:tc>
      </w:tr>
      <w:tr w:rsidR="00D40426" w:rsidRPr="00D40426" w14:paraId="3F7F9131" w14:textId="77777777">
        <w:tc>
          <w:tcPr>
            <w:tcW w:w="18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4ED03B2E"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C — Blinds Production</w:t>
            </w:r>
          </w:p>
        </w:tc>
        <w:tc>
          <w:tcPr>
            <w:tcW w:w="14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57B2BFA"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£1,600,000</w:t>
            </w:r>
          </w:p>
        </w:tc>
        <w:tc>
          <w:tcPr>
            <w:tcW w:w="12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0152EE9D"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742.51</w:t>
            </w:r>
          </w:p>
        </w:tc>
        <w:tc>
          <w:tcPr>
            <w:tcW w:w="9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598B9E0"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N/A</w:t>
            </w:r>
          </w:p>
        </w:tc>
        <w:tc>
          <w:tcPr>
            <w:tcW w:w="15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2F1FB319"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2 yrs 9.2 months</w:t>
            </w:r>
          </w:p>
        </w:tc>
        <w:tc>
          <w:tcPr>
            <w:tcW w:w="160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6E269A86"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£464</w:t>
            </w:r>
          </w:p>
        </w:tc>
        <w:tc>
          <w:tcPr>
            <w:tcW w:w="1960" w:type="dxa"/>
            <w:tcBorders>
              <w:top w:val="single" w:sz="4" w:space="0" w:color="AED6F1"/>
              <w:left w:val="single" w:sz="4" w:space="0" w:color="AED6F1"/>
              <w:bottom w:val="single" w:sz="4" w:space="0" w:color="AED6F1"/>
              <w:right w:val="single" w:sz="4" w:space="0" w:color="AED6F1"/>
            </w:tcBorders>
            <w:shd w:val="clear" w:color="auto" w:fill="EBF5FB"/>
            <w:tcMar>
              <w:top w:w="80" w:type="dxa"/>
              <w:left w:w="120" w:type="dxa"/>
              <w:bottom w:w="80" w:type="dxa"/>
              <w:right w:w="120" w:type="dxa"/>
            </w:tcMar>
            <w:vAlign w:val="center"/>
            <w:hideMark/>
          </w:tcPr>
          <w:p w14:paraId="5A02FBB7" w14:textId="77777777" w:rsidR="00D40426" w:rsidRPr="00D40426" w:rsidRDefault="00D40426" w:rsidP="00D40426">
            <w:pPr>
              <w:rPr>
                <w:rFonts w:ascii="Times New Roman" w:hAnsi="Times New Roman" w:cs="Times New Roman"/>
                <w:sz w:val="24"/>
                <w:szCs w:val="24"/>
              </w:rPr>
            </w:pPr>
            <w:r w:rsidRPr="00D40426">
              <w:rPr>
                <w:rFonts w:ascii="Times New Roman" w:hAnsi="Times New Roman" w:cs="Times New Roman"/>
                <w:sz w:val="24"/>
                <w:szCs w:val="24"/>
              </w:rPr>
              <w:t>Viable</w:t>
            </w:r>
          </w:p>
        </w:tc>
      </w:tr>
    </w:tbl>
    <w:p w14:paraId="1BF1EC5B" w14:textId="77777777" w:rsidR="00D40426" w:rsidRPr="00D40426" w:rsidRDefault="00D40426" w:rsidP="00D40426">
      <w:pPr>
        <w:rPr>
          <w:rFonts w:ascii="Times New Roman" w:hAnsi="Times New Roman" w:cs="Times New Roman"/>
          <w:sz w:val="24"/>
          <w:szCs w:val="24"/>
        </w:rPr>
      </w:pPr>
    </w:p>
    <w:p w14:paraId="363C20E2" w14:textId="4EA835E9" w:rsidR="000920EE" w:rsidRPr="00D40426" w:rsidRDefault="000920EE" w:rsidP="00D40426">
      <w:pPr>
        <w:rPr>
          <w:rFonts w:ascii="Times New Roman" w:hAnsi="Times New Roman" w:cs="Times New Roman"/>
          <w:sz w:val="24"/>
          <w:szCs w:val="24"/>
          <w:lang w:val="en-IN"/>
        </w:rPr>
      </w:pPr>
    </w:p>
    <w:sectPr w:rsidR="000920EE" w:rsidRPr="00D4042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8C5EE" w14:textId="77777777" w:rsidR="003365E2" w:rsidRDefault="003365E2" w:rsidP="005932C2">
      <w:pPr>
        <w:spacing w:after="0" w:line="240" w:lineRule="auto"/>
      </w:pPr>
      <w:r>
        <w:separator/>
      </w:r>
    </w:p>
  </w:endnote>
  <w:endnote w:type="continuationSeparator" w:id="0">
    <w:p w14:paraId="32CC8774" w14:textId="77777777" w:rsidR="003365E2" w:rsidRDefault="003365E2" w:rsidP="00593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794196"/>
      <w:docPartObj>
        <w:docPartGallery w:val="Page Numbers (Bottom of Page)"/>
        <w:docPartUnique/>
      </w:docPartObj>
    </w:sdtPr>
    <w:sdtEndPr>
      <w:rPr>
        <w:noProof/>
      </w:rPr>
    </w:sdtEndPr>
    <w:sdtContent>
      <w:p w14:paraId="1BA149D7" w14:textId="6413F0D0" w:rsidR="00221B63" w:rsidRDefault="00221B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20462D" w14:textId="77777777" w:rsidR="005932C2" w:rsidRDefault="00593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19A34" w14:textId="77777777" w:rsidR="003365E2" w:rsidRDefault="003365E2" w:rsidP="005932C2">
      <w:pPr>
        <w:spacing w:after="0" w:line="240" w:lineRule="auto"/>
      </w:pPr>
      <w:r>
        <w:separator/>
      </w:r>
    </w:p>
  </w:footnote>
  <w:footnote w:type="continuationSeparator" w:id="0">
    <w:p w14:paraId="26229E55" w14:textId="77777777" w:rsidR="003365E2" w:rsidRDefault="003365E2" w:rsidP="005932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5DA"/>
    <w:rsid w:val="000920EE"/>
    <w:rsid w:val="001449E1"/>
    <w:rsid w:val="00171BF7"/>
    <w:rsid w:val="00221B63"/>
    <w:rsid w:val="00283BED"/>
    <w:rsid w:val="00321A8E"/>
    <w:rsid w:val="003245DA"/>
    <w:rsid w:val="003365E2"/>
    <w:rsid w:val="00346F3E"/>
    <w:rsid w:val="0038318B"/>
    <w:rsid w:val="005932C2"/>
    <w:rsid w:val="005A1048"/>
    <w:rsid w:val="005E51D5"/>
    <w:rsid w:val="00695EB4"/>
    <w:rsid w:val="00770B1F"/>
    <w:rsid w:val="007C3B1D"/>
    <w:rsid w:val="007F3104"/>
    <w:rsid w:val="007F42C8"/>
    <w:rsid w:val="00A640F8"/>
    <w:rsid w:val="00A764EB"/>
    <w:rsid w:val="00AE1CE5"/>
    <w:rsid w:val="00B2209F"/>
    <w:rsid w:val="00B96B59"/>
    <w:rsid w:val="00BA295E"/>
    <w:rsid w:val="00BD5028"/>
    <w:rsid w:val="00BF48EA"/>
    <w:rsid w:val="00C910A6"/>
    <w:rsid w:val="00CA1FDA"/>
    <w:rsid w:val="00CE00D9"/>
    <w:rsid w:val="00D40426"/>
    <w:rsid w:val="00DA2067"/>
    <w:rsid w:val="00DC5295"/>
    <w:rsid w:val="00E0743B"/>
    <w:rsid w:val="00E20867"/>
    <w:rsid w:val="00E74E19"/>
    <w:rsid w:val="00E77C34"/>
    <w:rsid w:val="00F12AF8"/>
    <w:rsid w:val="00F23146"/>
    <w:rsid w:val="00F55D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145DE"/>
  <w15:chartTrackingRefBased/>
  <w15:docId w15:val="{39774FA7-E2CE-400B-A143-B3E00A300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245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45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45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45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45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4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5DA"/>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3245D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3245D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245D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245D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245D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245D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245D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245D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24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5D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24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5D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245DA"/>
    <w:pPr>
      <w:spacing w:before="160"/>
      <w:jc w:val="center"/>
    </w:pPr>
    <w:rPr>
      <w:i/>
      <w:iCs/>
      <w:color w:val="404040" w:themeColor="text1" w:themeTint="BF"/>
    </w:rPr>
  </w:style>
  <w:style w:type="character" w:customStyle="1" w:styleId="QuoteChar">
    <w:name w:val="Quote Char"/>
    <w:basedOn w:val="DefaultParagraphFont"/>
    <w:link w:val="Quote"/>
    <w:uiPriority w:val="29"/>
    <w:rsid w:val="003245DA"/>
    <w:rPr>
      <w:i/>
      <w:iCs/>
      <w:color w:val="404040" w:themeColor="text1" w:themeTint="BF"/>
      <w:lang w:val="en-GB"/>
    </w:rPr>
  </w:style>
  <w:style w:type="paragraph" w:styleId="ListParagraph">
    <w:name w:val="List Paragraph"/>
    <w:basedOn w:val="Normal"/>
    <w:uiPriority w:val="34"/>
    <w:qFormat/>
    <w:rsid w:val="003245DA"/>
    <w:pPr>
      <w:ind w:left="720"/>
      <w:contextualSpacing/>
    </w:pPr>
  </w:style>
  <w:style w:type="character" w:styleId="IntenseEmphasis">
    <w:name w:val="Intense Emphasis"/>
    <w:basedOn w:val="DefaultParagraphFont"/>
    <w:uiPriority w:val="21"/>
    <w:qFormat/>
    <w:rsid w:val="003245DA"/>
    <w:rPr>
      <w:i/>
      <w:iCs/>
      <w:color w:val="2F5496" w:themeColor="accent1" w:themeShade="BF"/>
    </w:rPr>
  </w:style>
  <w:style w:type="paragraph" w:styleId="IntenseQuote">
    <w:name w:val="Intense Quote"/>
    <w:basedOn w:val="Normal"/>
    <w:next w:val="Normal"/>
    <w:link w:val="IntenseQuoteChar"/>
    <w:uiPriority w:val="30"/>
    <w:qFormat/>
    <w:rsid w:val="003245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45DA"/>
    <w:rPr>
      <w:i/>
      <w:iCs/>
      <w:color w:val="2F5496" w:themeColor="accent1" w:themeShade="BF"/>
      <w:lang w:val="en-GB"/>
    </w:rPr>
  </w:style>
  <w:style w:type="character" w:styleId="IntenseReference">
    <w:name w:val="Intense Reference"/>
    <w:basedOn w:val="DefaultParagraphFont"/>
    <w:uiPriority w:val="32"/>
    <w:qFormat/>
    <w:rsid w:val="003245DA"/>
    <w:rPr>
      <w:b/>
      <w:bCs/>
      <w:smallCaps/>
      <w:color w:val="2F5496" w:themeColor="accent1" w:themeShade="BF"/>
      <w:spacing w:val="5"/>
    </w:rPr>
  </w:style>
  <w:style w:type="character" w:styleId="Hyperlink">
    <w:name w:val="Hyperlink"/>
    <w:basedOn w:val="DefaultParagraphFont"/>
    <w:uiPriority w:val="99"/>
    <w:unhideWhenUsed/>
    <w:rsid w:val="00D40426"/>
    <w:rPr>
      <w:color w:val="0563C1" w:themeColor="hyperlink"/>
      <w:u w:val="single"/>
    </w:rPr>
  </w:style>
  <w:style w:type="character" w:styleId="FollowedHyperlink">
    <w:name w:val="FollowedHyperlink"/>
    <w:basedOn w:val="DefaultParagraphFont"/>
    <w:uiPriority w:val="99"/>
    <w:semiHidden/>
    <w:unhideWhenUsed/>
    <w:rsid w:val="00D40426"/>
    <w:rPr>
      <w:color w:val="954F72" w:themeColor="followedHyperlink"/>
      <w:u w:val="single"/>
    </w:rPr>
  </w:style>
  <w:style w:type="paragraph" w:customStyle="1" w:styleId="msonormal0">
    <w:name w:val="msonormal"/>
    <w:basedOn w:val="Normal"/>
    <w:rsid w:val="00D4042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TOC1">
    <w:name w:val="toc 1"/>
    <w:basedOn w:val="Normal"/>
    <w:next w:val="Normal"/>
    <w:autoRedefine/>
    <w:uiPriority w:val="39"/>
    <w:unhideWhenUsed/>
    <w:rsid w:val="00D40426"/>
    <w:pPr>
      <w:spacing w:before="120" w:after="0" w:line="276" w:lineRule="auto"/>
    </w:pPr>
    <w:rPr>
      <w:b/>
      <w:bCs/>
      <w:i/>
      <w:iCs/>
      <w:sz w:val="24"/>
      <w:szCs w:val="24"/>
    </w:rPr>
  </w:style>
  <w:style w:type="paragraph" w:styleId="TOC2">
    <w:name w:val="toc 2"/>
    <w:basedOn w:val="Normal"/>
    <w:next w:val="Normal"/>
    <w:autoRedefine/>
    <w:uiPriority w:val="39"/>
    <w:unhideWhenUsed/>
    <w:rsid w:val="00D40426"/>
    <w:pPr>
      <w:spacing w:before="120" w:after="0" w:line="276" w:lineRule="auto"/>
      <w:ind w:left="240"/>
    </w:pPr>
    <w:rPr>
      <w:b/>
      <w:bCs/>
    </w:rPr>
  </w:style>
  <w:style w:type="paragraph" w:styleId="TOC3">
    <w:name w:val="toc 3"/>
    <w:basedOn w:val="Normal"/>
    <w:next w:val="Normal"/>
    <w:autoRedefine/>
    <w:uiPriority w:val="39"/>
    <w:unhideWhenUsed/>
    <w:rsid w:val="00D40426"/>
    <w:pPr>
      <w:spacing w:after="0" w:line="276" w:lineRule="auto"/>
      <w:ind w:left="480"/>
    </w:pPr>
    <w:rPr>
      <w:sz w:val="20"/>
      <w:szCs w:val="20"/>
    </w:rPr>
  </w:style>
  <w:style w:type="paragraph" w:styleId="TOC4">
    <w:name w:val="toc 4"/>
    <w:basedOn w:val="Normal"/>
    <w:next w:val="Normal"/>
    <w:autoRedefine/>
    <w:uiPriority w:val="39"/>
    <w:semiHidden/>
    <w:unhideWhenUsed/>
    <w:rsid w:val="00D40426"/>
    <w:pPr>
      <w:spacing w:after="0" w:line="276" w:lineRule="auto"/>
      <w:ind w:left="720"/>
    </w:pPr>
    <w:rPr>
      <w:sz w:val="20"/>
      <w:szCs w:val="20"/>
    </w:rPr>
  </w:style>
  <w:style w:type="paragraph" w:styleId="TOC5">
    <w:name w:val="toc 5"/>
    <w:basedOn w:val="Normal"/>
    <w:next w:val="Normal"/>
    <w:autoRedefine/>
    <w:uiPriority w:val="39"/>
    <w:semiHidden/>
    <w:unhideWhenUsed/>
    <w:rsid w:val="00D40426"/>
    <w:pPr>
      <w:spacing w:after="0" w:line="276" w:lineRule="auto"/>
      <w:ind w:left="960"/>
    </w:pPr>
    <w:rPr>
      <w:sz w:val="20"/>
      <w:szCs w:val="20"/>
    </w:rPr>
  </w:style>
  <w:style w:type="paragraph" w:styleId="TOC6">
    <w:name w:val="toc 6"/>
    <w:basedOn w:val="Normal"/>
    <w:next w:val="Normal"/>
    <w:autoRedefine/>
    <w:uiPriority w:val="39"/>
    <w:semiHidden/>
    <w:unhideWhenUsed/>
    <w:rsid w:val="00D40426"/>
    <w:pPr>
      <w:spacing w:after="0" w:line="276" w:lineRule="auto"/>
      <w:ind w:left="1200"/>
    </w:pPr>
    <w:rPr>
      <w:sz w:val="20"/>
      <w:szCs w:val="20"/>
    </w:rPr>
  </w:style>
  <w:style w:type="paragraph" w:styleId="TOC7">
    <w:name w:val="toc 7"/>
    <w:basedOn w:val="Normal"/>
    <w:next w:val="Normal"/>
    <w:autoRedefine/>
    <w:uiPriority w:val="39"/>
    <w:semiHidden/>
    <w:unhideWhenUsed/>
    <w:rsid w:val="00D40426"/>
    <w:pPr>
      <w:spacing w:after="0" w:line="276" w:lineRule="auto"/>
      <w:ind w:left="1440"/>
    </w:pPr>
    <w:rPr>
      <w:sz w:val="20"/>
      <w:szCs w:val="20"/>
    </w:rPr>
  </w:style>
  <w:style w:type="paragraph" w:styleId="TOC8">
    <w:name w:val="toc 8"/>
    <w:basedOn w:val="Normal"/>
    <w:next w:val="Normal"/>
    <w:autoRedefine/>
    <w:uiPriority w:val="39"/>
    <w:semiHidden/>
    <w:unhideWhenUsed/>
    <w:rsid w:val="00D40426"/>
    <w:pPr>
      <w:spacing w:after="0" w:line="276" w:lineRule="auto"/>
      <w:ind w:left="1680"/>
    </w:pPr>
    <w:rPr>
      <w:sz w:val="20"/>
      <w:szCs w:val="20"/>
    </w:rPr>
  </w:style>
  <w:style w:type="paragraph" w:styleId="TOC9">
    <w:name w:val="toc 9"/>
    <w:basedOn w:val="Normal"/>
    <w:next w:val="Normal"/>
    <w:autoRedefine/>
    <w:uiPriority w:val="39"/>
    <w:semiHidden/>
    <w:unhideWhenUsed/>
    <w:rsid w:val="00D40426"/>
    <w:pPr>
      <w:spacing w:after="0" w:line="276" w:lineRule="auto"/>
      <w:ind w:left="1920"/>
    </w:pPr>
    <w:rPr>
      <w:sz w:val="20"/>
      <w:szCs w:val="20"/>
    </w:rPr>
  </w:style>
  <w:style w:type="paragraph" w:styleId="Footer">
    <w:name w:val="footer"/>
    <w:basedOn w:val="Normal"/>
    <w:link w:val="FooterChar"/>
    <w:uiPriority w:val="99"/>
    <w:unhideWhenUsed/>
    <w:rsid w:val="00D40426"/>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D40426"/>
    <w:rPr>
      <w:sz w:val="24"/>
      <w:szCs w:val="24"/>
      <w:lang w:val="en-GB"/>
    </w:rPr>
  </w:style>
  <w:style w:type="paragraph" w:styleId="TOCHeading">
    <w:name w:val="TOC Heading"/>
    <w:basedOn w:val="Heading1"/>
    <w:next w:val="Normal"/>
    <w:uiPriority w:val="39"/>
    <w:semiHidden/>
    <w:unhideWhenUsed/>
    <w:qFormat/>
    <w:rsid w:val="00D40426"/>
    <w:pPr>
      <w:spacing w:before="480" w:after="0" w:line="276" w:lineRule="auto"/>
      <w:outlineLvl w:val="9"/>
    </w:pPr>
    <w:rPr>
      <w:b/>
      <w:bCs/>
      <w:kern w:val="0"/>
      <w:sz w:val="28"/>
      <w:szCs w:val="28"/>
      <w:lang w:val="en-US"/>
      <w14:ligatures w14:val="none"/>
    </w:rPr>
  </w:style>
  <w:style w:type="character" w:styleId="UnresolvedMention">
    <w:name w:val="Unresolved Mention"/>
    <w:basedOn w:val="DefaultParagraphFont"/>
    <w:uiPriority w:val="99"/>
    <w:semiHidden/>
    <w:unhideWhenUsed/>
    <w:rsid w:val="00D40426"/>
    <w:rPr>
      <w:color w:val="605E5C"/>
      <w:shd w:val="clear" w:color="auto" w:fill="E1DFDD"/>
    </w:rPr>
  </w:style>
  <w:style w:type="paragraph" w:styleId="Header">
    <w:name w:val="header"/>
    <w:basedOn w:val="Normal"/>
    <w:link w:val="HeaderChar"/>
    <w:uiPriority w:val="99"/>
    <w:unhideWhenUsed/>
    <w:rsid w:val="00593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2C2"/>
    <w:rPr>
      <w:lang w:val="en-GB"/>
    </w:rPr>
  </w:style>
  <w:style w:type="character" w:customStyle="1" w:styleId="NoSpacingChar">
    <w:name w:val="No Spacing Char"/>
    <w:basedOn w:val="DefaultParagraphFont"/>
    <w:link w:val="NoSpacing"/>
    <w:uiPriority w:val="1"/>
    <w:locked/>
    <w:rsid w:val="00CE00D9"/>
    <w:rPr>
      <w:rFonts w:ascii="SimSun" w:eastAsiaTheme="minorEastAsia" w:hAnsi="SimSun"/>
      <w:lang w:val="en-US"/>
    </w:rPr>
  </w:style>
  <w:style w:type="paragraph" w:styleId="NoSpacing">
    <w:name w:val="No Spacing"/>
    <w:link w:val="NoSpacingChar"/>
    <w:uiPriority w:val="1"/>
    <w:qFormat/>
    <w:rsid w:val="00CE00D9"/>
    <w:pPr>
      <w:spacing w:after="0" w:line="240" w:lineRule="auto"/>
    </w:pPr>
    <w:rPr>
      <w:rFonts w:ascii="SimSun" w:eastAsiaTheme="minorEastAsia" w:hAnsi="SimSu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16DDE929BCE4B8490C39733CAC1A14D"/>
        <w:category>
          <w:name w:val="General"/>
          <w:gallery w:val="placeholder"/>
        </w:category>
        <w:types>
          <w:type w:val="bbPlcHdr"/>
        </w:types>
        <w:behaviors>
          <w:behavior w:val="content"/>
        </w:behaviors>
        <w:guid w:val="{78FCB027-CEBE-4961-8303-11F8F6DEB1BE}"/>
      </w:docPartPr>
      <w:docPartBody>
        <w:p w:rsidR="00000000" w:rsidRDefault="00B45718" w:rsidP="00B45718">
          <w:pPr>
            <w:pStyle w:val="716DDE929BCE4B8490C39733CAC1A14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718"/>
    <w:rsid w:val="00171BF7"/>
    <w:rsid w:val="006310E2"/>
    <w:rsid w:val="00B457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6DDE929BCE4B8490C39733CAC1A14D">
    <w:name w:val="716DDE929BCE4B8490C39733CAC1A14D"/>
    <w:rsid w:val="00B457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AD6C51-D0F0-4442-B83D-F7731B976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2268</TotalTime>
  <Pages>30</Pages>
  <Words>9106</Words>
  <Characters>51908</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RESEARCH ON INTEGRATED FINANCIAL ANALYSIS AND INVESTMENT DECISION-MAKING: RATIO ANALYSIS OF HSBC UK BANK PLC AND NPV-BASED CAPITAL ALLOCATION FOR WESTWARD PLC</dc:title>
  <dc:subject>Finance for Business Managers (BMMB7005)</dc:subject>
  <dc:creator>Siddhi Ugale (NBS - Student)</dc:creator>
  <cp:keywords/>
  <dc:description/>
  <cp:lastModifiedBy>Siddhi Ugale (NBS - Student)</cp:lastModifiedBy>
  <cp:revision>27</cp:revision>
  <dcterms:created xsi:type="dcterms:W3CDTF">2026-03-10T18:02:00Z</dcterms:created>
  <dcterms:modified xsi:type="dcterms:W3CDTF">2026-03-19T04:31:00Z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649e1a49-62ed-4c2b-bcd5-9f5c33a8cc26</vt:lpwstr>
  </property>
</Properties>
</file>