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8926" w:type="dxa"/>
        <w:jc w:val="center"/>
        <w:tblLook w:val="04A0" w:firstRow="1" w:lastRow="0" w:firstColumn="1" w:lastColumn="0" w:noHBand="0" w:noVBand="1"/>
      </w:tblPr>
      <w:tblGrid>
        <w:gridCol w:w="2785"/>
        <w:gridCol w:w="6141"/>
      </w:tblGrid>
      <w:tr w:rsidR="00C0139B" w:rsidRPr="008158F5" w14:paraId="35F07A80" w14:textId="77777777" w:rsidTr="00D10E44">
        <w:trPr>
          <w:trHeight w:val="680"/>
          <w:jc w:val="center"/>
        </w:trPr>
        <w:tc>
          <w:tcPr>
            <w:tcW w:w="2785" w:type="dxa"/>
            <w:tcBorders>
              <w:top w:val="single" w:sz="4" w:space="0" w:color="auto"/>
              <w:left w:val="single" w:sz="4" w:space="0" w:color="auto"/>
              <w:bottom w:val="single" w:sz="4" w:space="0" w:color="auto"/>
              <w:right w:val="single" w:sz="4" w:space="0" w:color="auto"/>
            </w:tcBorders>
            <w:noWrap/>
            <w:vAlign w:val="center"/>
            <w:hideMark/>
          </w:tcPr>
          <w:p w14:paraId="6D3C4AEF" w14:textId="77777777" w:rsidR="00C0139B" w:rsidRPr="008158F5" w:rsidRDefault="00C0139B" w:rsidP="00D10E44">
            <w:pPr>
              <w:spacing w:line="360" w:lineRule="auto"/>
              <w:rPr>
                <w:rFonts w:ascii="Arial" w:eastAsia="Calibri" w:hAnsi="Arial" w:cs="Arial"/>
                <w:b/>
                <w:bCs/>
                <w:kern w:val="0"/>
                <w:sz w:val="22"/>
                <w:szCs w:val="22"/>
                <w14:ligatures w14:val="none"/>
              </w:rPr>
            </w:pPr>
            <w:r w:rsidRPr="008158F5">
              <w:rPr>
                <w:rFonts w:ascii="Arial" w:eastAsia="Calibri" w:hAnsi="Arial" w:cs="Arial"/>
                <w:b/>
                <w:bCs/>
                <w:kern w:val="0"/>
                <w:sz w:val="22"/>
                <w:szCs w:val="22"/>
                <w14:ligatures w14:val="none"/>
              </w:rPr>
              <w:t>NAME</w:t>
            </w:r>
          </w:p>
        </w:tc>
        <w:tc>
          <w:tcPr>
            <w:tcW w:w="6141" w:type="dxa"/>
            <w:tcBorders>
              <w:top w:val="single" w:sz="4" w:space="0" w:color="auto"/>
              <w:left w:val="nil"/>
              <w:bottom w:val="single" w:sz="4" w:space="0" w:color="auto"/>
              <w:right w:val="single" w:sz="4" w:space="0" w:color="auto"/>
            </w:tcBorders>
            <w:noWrap/>
            <w:vAlign w:val="center"/>
            <w:hideMark/>
          </w:tcPr>
          <w:p w14:paraId="3D13A6BD" w14:textId="095B3A90" w:rsidR="00C0139B" w:rsidRPr="008158F5" w:rsidRDefault="00C0139B" w:rsidP="00D10E44">
            <w:pPr>
              <w:spacing w:line="360" w:lineRule="auto"/>
              <w:rPr>
                <w:rFonts w:ascii="Arial" w:eastAsia="Calibri" w:hAnsi="Arial" w:cs="Arial"/>
                <w:b/>
                <w:bCs/>
                <w:kern w:val="0"/>
                <w:sz w:val="22"/>
                <w:szCs w:val="22"/>
                <w14:ligatures w14:val="none"/>
              </w:rPr>
            </w:pPr>
            <w:r w:rsidRPr="008158F5">
              <w:rPr>
                <w:rFonts w:ascii="Arial" w:eastAsia="Calibri" w:hAnsi="Arial" w:cs="Arial"/>
                <w:b/>
                <w:bCs/>
                <w:kern w:val="0"/>
                <w:sz w:val="22"/>
                <w:szCs w:val="22"/>
                <w14:ligatures w14:val="none"/>
              </w:rPr>
              <w:t> </w:t>
            </w:r>
            <w:r w:rsidR="004E66E5">
              <w:rPr>
                <w:rFonts w:ascii="Arial" w:eastAsia="Calibri" w:hAnsi="Arial" w:cs="Arial"/>
                <w:b/>
                <w:bCs/>
                <w:kern w:val="0"/>
                <w:sz w:val="22"/>
                <w:szCs w:val="22"/>
                <w14:ligatures w14:val="none"/>
              </w:rPr>
              <w:t>VIVIAN BIOH</w:t>
            </w:r>
          </w:p>
        </w:tc>
      </w:tr>
      <w:tr w:rsidR="00C0139B" w:rsidRPr="008158F5" w14:paraId="3B13A01A" w14:textId="77777777" w:rsidTr="00D10E44">
        <w:trPr>
          <w:trHeight w:val="680"/>
          <w:jc w:val="center"/>
        </w:trPr>
        <w:tc>
          <w:tcPr>
            <w:tcW w:w="2785" w:type="dxa"/>
            <w:tcBorders>
              <w:top w:val="nil"/>
              <w:left w:val="single" w:sz="4" w:space="0" w:color="auto"/>
              <w:bottom w:val="single" w:sz="4" w:space="0" w:color="auto"/>
              <w:right w:val="single" w:sz="4" w:space="0" w:color="auto"/>
            </w:tcBorders>
            <w:noWrap/>
            <w:vAlign w:val="center"/>
            <w:hideMark/>
          </w:tcPr>
          <w:p w14:paraId="6598522B" w14:textId="77777777" w:rsidR="00C0139B" w:rsidRPr="008158F5" w:rsidRDefault="00C0139B" w:rsidP="00D10E44">
            <w:pPr>
              <w:spacing w:line="360" w:lineRule="auto"/>
              <w:rPr>
                <w:rFonts w:ascii="Arial" w:eastAsia="Calibri" w:hAnsi="Arial" w:cs="Arial"/>
                <w:b/>
                <w:bCs/>
                <w:kern w:val="0"/>
                <w:sz w:val="22"/>
                <w:szCs w:val="22"/>
                <w14:ligatures w14:val="none"/>
              </w:rPr>
            </w:pPr>
            <w:r w:rsidRPr="008158F5">
              <w:rPr>
                <w:rFonts w:ascii="Arial" w:eastAsia="Calibri" w:hAnsi="Arial" w:cs="Arial"/>
                <w:b/>
                <w:bCs/>
                <w:kern w:val="0"/>
                <w:sz w:val="22"/>
                <w:szCs w:val="22"/>
                <w14:ligatures w14:val="none"/>
              </w:rPr>
              <w:t>STUDENT No.</w:t>
            </w:r>
          </w:p>
        </w:tc>
        <w:tc>
          <w:tcPr>
            <w:tcW w:w="6141" w:type="dxa"/>
            <w:tcBorders>
              <w:top w:val="nil"/>
              <w:left w:val="nil"/>
              <w:bottom w:val="single" w:sz="4" w:space="0" w:color="auto"/>
              <w:right w:val="single" w:sz="4" w:space="0" w:color="auto"/>
            </w:tcBorders>
            <w:noWrap/>
            <w:vAlign w:val="center"/>
            <w:hideMark/>
          </w:tcPr>
          <w:p w14:paraId="1F953B60" w14:textId="73E29831" w:rsidR="00C0139B" w:rsidRPr="008158F5" w:rsidRDefault="00C0139B" w:rsidP="00D10E44">
            <w:pPr>
              <w:spacing w:line="360" w:lineRule="auto"/>
              <w:rPr>
                <w:rFonts w:ascii="Arial" w:eastAsia="Calibri" w:hAnsi="Arial" w:cs="Arial"/>
                <w:b/>
                <w:bCs/>
                <w:kern w:val="0"/>
                <w:sz w:val="22"/>
                <w:szCs w:val="22"/>
                <w14:ligatures w14:val="none"/>
              </w:rPr>
            </w:pPr>
            <w:r w:rsidRPr="008158F5">
              <w:rPr>
                <w:rFonts w:ascii="Arial" w:eastAsia="Calibri" w:hAnsi="Arial" w:cs="Arial"/>
                <w:b/>
                <w:bCs/>
                <w:kern w:val="0"/>
                <w:sz w:val="22"/>
                <w:szCs w:val="22"/>
                <w14:ligatures w14:val="none"/>
              </w:rPr>
              <w:t> </w:t>
            </w:r>
            <w:r w:rsidR="004E66E5">
              <w:rPr>
                <w:rFonts w:ascii="Arial" w:eastAsia="Calibri" w:hAnsi="Arial" w:cs="Arial"/>
                <w:b/>
                <w:bCs/>
                <w:kern w:val="0"/>
                <w:sz w:val="22"/>
                <w:szCs w:val="22"/>
                <w14:ligatures w14:val="none"/>
              </w:rPr>
              <w:t>2432999</w:t>
            </w:r>
          </w:p>
        </w:tc>
      </w:tr>
      <w:tr w:rsidR="00C0139B" w:rsidRPr="008158F5" w14:paraId="7856FEE4" w14:textId="77777777" w:rsidTr="00D10E44">
        <w:trPr>
          <w:trHeight w:val="680"/>
          <w:jc w:val="center"/>
        </w:trPr>
        <w:tc>
          <w:tcPr>
            <w:tcW w:w="2785" w:type="dxa"/>
            <w:tcBorders>
              <w:top w:val="nil"/>
              <w:left w:val="single" w:sz="4" w:space="0" w:color="auto"/>
              <w:bottom w:val="single" w:sz="4" w:space="0" w:color="auto"/>
              <w:right w:val="single" w:sz="4" w:space="0" w:color="auto"/>
            </w:tcBorders>
            <w:noWrap/>
            <w:vAlign w:val="center"/>
            <w:hideMark/>
          </w:tcPr>
          <w:p w14:paraId="7AF1D132" w14:textId="77777777" w:rsidR="00C0139B" w:rsidRPr="008158F5" w:rsidRDefault="00C0139B" w:rsidP="00D10E44">
            <w:pPr>
              <w:spacing w:line="360" w:lineRule="auto"/>
              <w:rPr>
                <w:rFonts w:ascii="Arial" w:eastAsia="Calibri" w:hAnsi="Arial" w:cs="Arial"/>
                <w:b/>
                <w:bCs/>
                <w:kern w:val="0"/>
                <w:sz w:val="22"/>
                <w:szCs w:val="22"/>
                <w14:ligatures w14:val="none"/>
              </w:rPr>
            </w:pPr>
            <w:r w:rsidRPr="008158F5">
              <w:rPr>
                <w:rFonts w:ascii="Arial" w:eastAsia="Calibri" w:hAnsi="Arial" w:cs="Arial"/>
                <w:b/>
                <w:bCs/>
                <w:kern w:val="0"/>
                <w:sz w:val="22"/>
                <w:szCs w:val="22"/>
                <w14:ligatures w14:val="none"/>
              </w:rPr>
              <w:t>MODULE CODE</w:t>
            </w:r>
          </w:p>
        </w:tc>
        <w:tc>
          <w:tcPr>
            <w:tcW w:w="6141" w:type="dxa"/>
            <w:tcBorders>
              <w:top w:val="nil"/>
              <w:left w:val="nil"/>
              <w:bottom w:val="single" w:sz="4" w:space="0" w:color="auto"/>
              <w:right w:val="single" w:sz="4" w:space="0" w:color="auto"/>
            </w:tcBorders>
            <w:noWrap/>
            <w:vAlign w:val="center"/>
            <w:hideMark/>
          </w:tcPr>
          <w:p w14:paraId="29F35D82" w14:textId="5E8A384B" w:rsidR="00C0139B" w:rsidRPr="008158F5" w:rsidRDefault="00C0139B" w:rsidP="00D10E44">
            <w:pPr>
              <w:spacing w:line="360" w:lineRule="auto"/>
              <w:rPr>
                <w:rFonts w:ascii="Arial" w:eastAsia="Calibri" w:hAnsi="Arial" w:cs="Arial"/>
                <w:b/>
                <w:bCs/>
                <w:kern w:val="0"/>
                <w:sz w:val="22"/>
                <w:szCs w:val="22"/>
                <w14:ligatures w14:val="none"/>
              </w:rPr>
            </w:pPr>
            <w:r w:rsidRPr="008158F5">
              <w:rPr>
                <w:rFonts w:ascii="Arial" w:eastAsia="Calibri" w:hAnsi="Arial" w:cs="Arial"/>
                <w:b/>
                <w:bCs/>
                <w:kern w:val="0"/>
                <w:sz w:val="22"/>
                <w:szCs w:val="22"/>
                <w14:ligatures w14:val="none"/>
              </w:rPr>
              <w:t> </w:t>
            </w:r>
            <w:r w:rsidR="004E66E5">
              <w:rPr>
                <w:rFonts w:ascii="Arial" w:eastAsia="Calibri" w:hAnsi="Arial" w:cs="Arial"/>
                <w:b/>
                <w:bCs/>
                <w:kern w:val="0"/>
                <w:sz w:val="22"/>
                <w:szCs w:val="22"/>
                <w14:ligatures w14:val="none"/>
              </w:rPr>
              <w:t>BMP5016</w:t>
            </w:r>
          </w:p>
        </w:tc>
      </w:tr>
      <w:tr w:rsidR="00C0139B" w:rsidRPr="008158F5" w14:paraId="77648552" w14:textId="77777777" w:rsidTr="00D10E44">
        <w:trPr>
          <w:trHeight w:val="680"/>
          <w:jc w:val="center"/>
        </w:trPr>
        <w:tc>
          <w:tcPr>
            <w:tcW w:w="2785" w:type="dxa"/>
            <w:tcBorders>
              <w:top w:val="nil"/>
              <w:left w:val="single" w:sz="4" w:space="0" w:color="auto"/>
              <w:bottom w:val="single" w:sz="4" w:space="0" w:color="auto"/>
              <w:right w:val="single" w:sz="4" w:space="0" w:color="auto"/>
            </w:tcBorders>
            <w:noWrap/>
            <w:vAlign w:val="center"/>
            <w:hideMark/>
          </w:tcPr>
          <w:p w14:paraId="3C7D79A6" w14:textId="77777777" w:rsidR="00C0139B" w:rsidRPr="008158F5" w:rsidRDefault="00C0139B" w:rsidP="00D10E44">
            <w:pPr>
              <w:spacing w:line="360" w:lineRule="auto"/>
              <w:rPr>
                <w:rFonts w:ascii="Arial" w:eastAsia="Calibri" w:hAnsi="Arial" w:cs="Arial"/>
                <w:b/>
                <w:bCs/>
                <w:kern w:val="0"/>
                <w:sz w:val="22"/>
                <w:szCs w:val="22"/>
                <w14:ligatures w14:val="none"/>
              </w:rPr>
            </w:pPr>
            <w:r w:rsidRPr="008158F5">
              <w:rPr>
                <w:rFonts w:ascii="Arial" w:eastAsia="Calibri" w:hAnsi="Arial" w:cs="Arial"/>
                <w:b/>
                <w:bCs/>
                <w:kern w:val="0"/>
                <w:sz w:val="22"/>
                <w:szCs w:val="22"/>
                <w14:ligatures w14:val="none"/>
              </w:rPr>
              <w:t>COURSE TITLE</w:t>
            </w:r>
          </w:p>
        </w:tc>
        <w:tc>
          <w:tcPr>
            <w:tcW w:w="6141" w:type="dxa"/>
            <w:tcBorders>
              <w:top w:val="nil"/>
              <w:left w:val="nil"/>
              <w:bottom w:val="single" w:sz="4" w:space="0" w:color="auto"/>
              <w:right w:val="single" w:sz="4" w:space="0" w:color="auto"/>
            </w:tcBorders>
            <w:noWrap/>
            <w:vAlign w:val="center"/>
            <w:hideMark/>
          </w:tcPr>
          <w:p w14:paraId="34B0A2DB" w14:textId="04D9C58F" w:rsidR="00C0139B" w:rsidRPr="008158F5" w:rsidRDefault="00C0139B" w:rsidP="00D10E44">
            <w:pPr>
              <w:spacing w:line="360" w:lineRule="auto"/>
              <w:rPr>
                <w:rFonts w:ascii="Arial" w:eastAsia="Calibri" w:hAnsi="Arial" w:cs="Arial"/>
                <w:b/>
                <w:bCs/>
                <w:kern w:val="0"/>
                <w:sz w:val="22"/>
                <w:szCs w:val="22"/>
                <w14:ligatures w14:val="none"/>
              </w:rPr>
            </w:pPr>
            <w:r w:rsidRPr="008158F5">
              <w:rPr>
                <w:rFonts w:ascii="Arial" w:eastAsia="Calibri" w:hAnsi="Arial" w:cs="Arial"/>
                <w:b/>
                <w:bCs/>
                <w:kern w:val="0"/>
                <w:sz w:val="22"/>
                <w:szCs w:val="22"/>
                <w14:ligatures w14:val="none"/>
              </w:rPr>
              <w:t> </w:t>
            </w:r>
            <w:r w:rsidR="004E66E5">
              <w:rPr>
                <w:rFonts w:ascii="Arial" w:eastAsia="Calibri" w:hAnsi="Arial" w:cs="Arial"/>
                <w:b/>
                <w:bCs/>
                <w:kern w:val="0"/>
                <w:sz w:val="22"/>
                <w:szCs w:val="22"/>
                <w14:ligatures w14:val="none"/>
              </w:rPr>
              <w:t>BSc HEALTTH AND SOCIAL CARE</w:t>
            </w:r>
          </w:p>
        </w:tc>
      </w:tr>
      <w:tr w:rsidR="00984E73" w:rsidRPr="008158F5" w14:paraId="60F55075" w14:textId="77777777" w:rsidTr="00D10E44">
        <w:trPr>
          <w:trHeight w:val="680"/>
          <w:jc w:val="center"/>
        </w:trPr>
        <w:tc>
          <w:tcPr>
            <w:tcW w:w="2785" w:type="dxa"/>
            <w:tcBorders>
              <w:top w:val="nil"/>
              <w:left w:val="single" w:sz="4" w:space="0" w:color="auto"/>
              <w:bottom w:val="single" w:sz="4" w:space="0" w:color="auto"/>
              <w:right w:val="single" w:sz="4" w:space="0" w:color="auto"/>
            </w:tcBorders>
            <w:noWrap/>
            <w:vAlign w:val="center"/>
          </w:tcPr>
          <w:p w14:paraId="54F8C1A3" w14:textId="1AA48E14" w:rsidR="00984E73" w:rsidRPr="008158F5" w:rsidRDefault="00984E73" w:rsidP="00D10E44">
            <w:pPr>
              <w:spacing w:line="360" w:lineRule="auto"/>
              <w:rPr>
                <w:rFonts w:ascii="Arial" w:eastAsia="Calibri" w:hAnsi="Arial" w:cs="Arial"/>
                <w:b/>
                <w:bCs/>
                <w:kern w:val="0"/>
                <w:sz w:val="22"/>
                <w:szCs w:val="22"/>
                <w14:ligatures w14:val="none"/>
              </w:rPr>
            </w:pPr>
            <w:r>
              <w:rPr>
                <w:rFonts w:ascii="Arial" w:eastAsia="Calibri" w:hAnsi="Arial" w:cs="Arial"/>
                <w:b/>
                <w:bCs/>
                <w:kern w:val="0"/>
                <w:sz w:val="22"/>
                <w:szCs w:val="22"/>
                <w14:ligatures w14:val="none"/>
              </w:rPr>
              <w:t>ASSIGMENT TITLE</w:t>
            </w:r>
          </w:p>
        </w:tc>
        <w:tc>
          <w:tcPr>
            <w:tcW w:w="6141" w:type="dxa"/>
            <w:tcBorders>
              <w:top w:val="nil"/>
              <w:left w:val="nil"/>
              <w:bottom w:val="single" w:sz="4" w:space="0" w:color="auto"/>
              <w:right w:val="single" w:sz="4" w:space="0" w:color="auto"/>
            </w:tcBorders>
            <w:noWrap/>
            <w:vAlign w:val="center"/>
          </w:tcPr>
          <w:p w14:paraId="66297EE0" w14:textId="5C436729" w:rsidR="00984E73" w:rsidRPr="008158F5" w:rsidRDefault="00984E73" w:rsidP="00D10E44">
            <w:pPr>
              <w:spacing w:line="360" w:lineRule="auto"/>
              <w:rPr>
                <w:rFonts w:ascii="Arial" w:eastAsia="Calibri" w:hAnsi="Arial" w:cs="Arial"/>
                <w:b/>
                <w:bCs/>
                <w:kern w:val="0"/>
                <w:sz w:val="22"/>
                <w:szCs w:val="22"/>
                <w14:ligatures w14:val="none"/>
              </w:rPr>
            </w:pPr>
            <w:r>
              <w:rPr>
                <w:rFonts w:ascii="Arial" w:eastAsia="Calibri" w:hAnsi="Arial" w:cs="Arial"/>
                <w:b/>
                <w:bCs/>
                <w:kern w:val="0"/>
                <w:sz w:val="22"/>
                <w:szCs w:val="22"/>
                <w14:ligatures w14:val="none"/>
              </w:rPr>
              <w:t>COMPONENT 2 WRITTEN ASSIGMENT (REPORT)</w:t>
            </w:r>
          </w:p>
        </w:tc>
      </w:tr>
      <w:tr w:rsidR="00C0139B" w:rsidRPr="008158F5" w14:paraId="6B241642" w14:textId="77777777" w:rsidTr="00D10E44">
        <w:trPr>
          <w:trHeight w:val="680"/>
          <w:jc w:val="center"/>
        </w:trPr>
        <w:tc>
          <w:tcPr>
            <w:tcW w:w="2785" w:type="dxa"/>
            <w:tcBorders>
              <w:top w:val="nil"/>
              <w:left w:val="single" w:sz="4" w:space="0" w:color="auto"/>
              <w:bottom w:val="single" w:sz="4" w:space="0" w:color="auto"/>
              <w:right w:val="single" w:sz="4" w:space="0" w:color="auto"/>
            </w:tcBorders>
            <w:noWrap/>
            <w:vAlign w:val="center"/>
            <w:hideMark/>
          </w:tcPr>
          <w:p w14:paraId="665B8BDB" w14:textId="043CDDEC" w:rsidR="00C0139B" w:rsidRPr="008158F5" w:rsidRDefault="00984E73" w:rsidP="00D10E44">
            <w:pPr>
              <w:spacing w:line="360" w:lineRule="auto"/>
              <w:rPr>
                <w:rFonts w:ascii="Arial" w:eastAsia="Calibri" w:hAnsi="Arial" w:cs="Arial"/>
                <w:b/>
                <w:bCs/>
                <w:kern w:val="0"/>
                <w:sz w:val="22"/>
                <w:szCs w:val="22"/>
                <w14:ligatures w14:val="none"/>
              </w:rPr>
            </w:pPr>
            <w:r>
              <w:rPr>
                <w:rFonts w:ascii="Arial" w:eastAsia="Calibri" w:hAnsi="Arial" w:cs="Arial"/>
                <w:b/>
                <w:bCs/>
                <w:kern w:val="0"/>
                <w:sz w:val="22"/>
                <w:szCs w:val="22"/>
                <w14:ligatures w14:val="none"/>
              </w:rPr>
              <w:t>ECTURER’S NAME</w:t>
            </w:r>
          </w:p>
        </w:tc>
        <w:tc>
          <w:tcPr>
            <w:tcW w:w="6141" w:type="dxa"/>
            <w:tcBorders>
              <w:top w:val="nil"/>
              <w:left w:val="nil"/>
              <w:bottom w:val="single" w:sz="4" w:space="0" w:color="auto"/>
              <w:right w:val="single" w:sz="4" w:space="0" w:color="auto"/>
            </w:tcBorders>
            <w:noWrap/>
            <w:vAlign w:val="center"/>
            <w:hideMark/>
          </w:tcPr>
          <w:p w14:paraId="61112E24" w14:textId="494EB1B2" w:rsidR="00C0139B" w:rsidRPr="008158F5" w:rsidRDefault="00C0139B" w:rsidP="00D10E44">
            <w:pPr>
              <w:spacing w:line="360" w:lineRule="auto"/>
              <w:rPr>
                <w:rFonts w:ascii="Arial" w:eastAsia="Calibri" w:hAnsi="Arial" w:cs="Arial"/>
                <w:b/>
                <w:bCs/>
                <w:kern w:val="0"/>
                <w:sz w:val="22"/>
                <w:szCs w:val="22"/>
                <w14:ligatures w14:val="none"/>
              </w:rPr>
            </w:pPr>
            <w:r w:rsidRPr="008158F5">
              <w:rPr>
                <w:rFonts w:ascii="Arial" w:eastAsia="Calibri" w:hAnsi="Arial" w:cs="Arial"/>
                <w:b/>
                <w:bCs/>
                <w:kern w:val="0"/>
                <w:sz w:val="22"/>
                <w:szCs w:val="22"/>
                <w14:ligatures w14:val="none"/>
              </w:rPr>
              <w:t> </w:t>
            </w:r>
            <w:r w:rsidR="00984E73">
              <w:rPr>
                <w:rFonts w:ascii="Arial" w:eastAsia="Calibri" w:hAnsi="Arial" w:cs="Arial"/>
                <w:b/>
                <w:bCs/>
                <w:kern w:val="0"/>
                <w:sz w:val="22"/>
                <w:szCs w:val="22"/>
                <w14:ligatures w14:val="none"/>
              </w:rPr>
              <w:t>AZIDA ZAINOL</w:t>
            </w:r>
          </w:p>
        </w:tc>
      </w:tr>
    </w:tbl>
    <w:p w14:paraId="123A5057" w14:textId="77777777" w:rsidR="00AF422D" w:rsidRDefault="00AF422D"/>
    <w:p w14:paraId="551EBF4C" w14:textId="77777777" w:rsidR="00C0139B" w:rsidRDefault="00C0139B"/>
    <w:p w14:paraId="15942847" w14:textId="77777777" w:rsidR="00C0139B" w:rsidRDefault="00C0139B"/>
    <w:p w14:paraId="1850BDF6" w14:textId="77777777" w:rsidR="00C0139B" w:rsidRDefault="00C0139B"/>
    <w:p w14:paraId="0D4267BB" w14:textId="77777777" w:rsidR="00C0139B" w:rsidRDefault="00C0139B"/>
    <w:p w14:paraId="4D5A9881" w14:textId="77777777" w:rsidR="00C0139B" w:rsidRDefault="00C0139B"/>
    <w:p w14:paraId="447B8840" w14:textId="77777777" w:rsidR="00C0139B" w:rsidRDefault="00C0139B"/>
    <w:p w14:paraId="3785977A" w14:textId="77777777" w:rsidR="00C0139B" w:rsidRDefault="00C0139B"/>
    <w:p w14:paraId="7412337B" w14:textId="77777777" w:rsidR="00C0139B" w:rsidRDefault="00C0139B"/>
    <w:p w14:paraId="3C2CF640" w14:textId="77777777" w:rsidR="00C0139B" w:rsidRDefault="00C0139B"/>
    <w:p w14:paraId="41A37A22" w14:textId="77777777" w:rsidR="00C0139B" w:rsidRDefault="00C0139B"/>
    <w:p w14:paraId="5873BA2F" w14:textId="77777777" w:rsidR="00C0139B" w:rsidRDefault="00C0139B"/>
    <w:p w14:paraId="0D7F4B8C" w14:textId="77777777" w:rsidR="00C0139B" w:rsidRDefault="00C0139B"/>
    <w:p w14:paraId="7E8C0D22" w14:textId="77777777" w:rsidR="00C0139B" w:rsidRDefault="00C0139B"/>
    <w:p w14:paraId="16CDEF93" w14:textId="77777777" w:rsidR="00C0139B" w:rsidRDefault="00C0139B"/>
    <w:p w14:paraId="620FD0F3" w14:textId="77777777" w:rsidR="00C0139B" w:rsidRDefault="00C0139B"/>
    <w:p w14:paraId="29D7F43E" w14:textId="77777777" w:rsidR="00C0139B" w:rsidRDefault="00C0139B"/>
    <w:p w14:paraId="0C3422E2" w14:textId="77777777" w:rsidR="00C0139B" w:rsidRDefault="00C0139B"/>
    <w:p w14:paraId="46C0B4A4" w14:textId="77777777" w:rsidR="00C0139B" w:rsidRDefault="00C0139B"/>
    <w:p w14:paraId="05482D9C" w14:textId="5A5B56B6" w:rsidR="00C0139B" w:rsidRDefault="00C0139B" w:rsidP="00C0139B">
      <w:pPr>
        <w:jc w:val="center"/>
        <w:rPr>
          <w:rFonts w:ascii="Arial" w:hAnsi="Arial" w:cs="Arial"/>
          <w:b/>
          <w:bCs/>
          <w:sz w:val="22"/>
          <w:szCs w:val="22"/>
        </w:rPr>
      </w:pPr>
      <w:r w:rsidRPr="00C0139B">
        <w:rPr>
          <w:rFonts w:ascii="Arial" w:hAnsi="Arial" w:cs="Arial"/>
          <w:b/>
          <w:bCs/>
          <w:sz w:val="22"/>
          <w:szCs w:val="22"/>
        </w:rPr>
        <w:t>C</w:t>
      </w:r>
      <w:r w:rsidR="0083102B">
        <w:rPr>
          <w:rFonts w:ascii="Arial" w:hAnsi="Arial" w:cs="Arial"/>
          <w:b/>
          <w:bCs/>
          <w:sz w:val="22"/>
          <w:szCs w:val="22"/>
        </w:rPr>
        <w:t>OMPONENT</w:t>
      </w:r>
      <w:r w:rsidRPr="00C0139B">
        <w:rPr>
          <w:rFonts w:ascii="Arial" w:hAnsi="Arial" w:cs="Arial"/>
          <w:b/>
          <w:bCs/>
          <w:sz w:val="22"/>
          <w:szCs w:val="22"/>
        </w:rPr>
        <w:t xml:space="preserve"> 2</w:t>
      </w:r>
    </w:p>
    <w:p w14:paraId="777972D6" w14:textId="12368A5F" w:rsidR="0083102B" w:rsidRDefault="0083102B" w:rsidP="00C0139B">
      <w:pPr>
        <w:jc w:val="center"/>
        <w:rPr>
          <w:rFonts w:ascii="Arial" w:hAnsi="Arial" w:cs="Arial"/>
          <w:b/>
          <w:bCs/>
          <w:sz w:val="22"/>
          <w:szCs w:val="22"/>
        </w:rPr>
      </w:pPr>
      <w:r w:rsidRPr="0083102B">
        <w:rPr>
          <w:rFonts w:ascii="Arial" w:hAnsi="Arial" w:cs="Arial"/>
          <w:b/>
          <w:bCs/>
          <w:sz w:val="22"/>
          <w:szCs w:val="22"/>
        </w:rPr>
        <w:t>Evaluation of Person-</w:t>
      </w:r>
      <w:r w:rsidR="004E66E5" w:rsidRPr="0083102B">
        <w:rPr>
          <w:rFonts w:ascii="Arial" w:hAnsi="Arial" w:cs="Arial"/>
          <w:b/>
          <w:bCs/>
          <w:sz w:val="22"/>
          <w:szCs w:val="22"/>
        </w:rPr>
        <w:t>Centred</w:t>
      </w:r>
      <w:r w:rsidRPr="0083102B">
        <w:rPr>
          <w:rFonts w:ascii="Arial" w:hAnsi="Arial" w:cs="Arial"/>
          <w:b/>
          <w:bCs/>
          <w:sz w:val="22"/>
          <w:szCs w:val="22"/>
        </w:rPr>
        <w:t xml:space="preserve"> Care and Partnership Working in UK Health and Social Care</w:t>
      </w:r>
    </w:p>
    <w:p w14:paraId="17CE4311"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b/>
          <w:bCs/>
          <w:kern w:val="0"/>
          <w:sz w:val="22"/>
          <w:szCs w:val="22"/>
          <w14:ligatures w14:val="none"/>
        </w:rPr>
        <w:t>Introduction</w:t>
      </w:r>
    </w:p>
    <w:p w14:paraId="5EEFAB8E"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kern w:val="0"/>
          <w:sz w:val="22"/>
          <w:szCs w:val="22"/>
          <w14:ligatures w14:val="none"/>
        </w:rPr>
        <w:t>Person-centered care (PCC) and partnership working (PW) sit at the core of contemporary health and social care practice in the United Kingdom. As care needs grow increasingly complex</w:t>
      </w:r>
      <w:r>
        <w:rPr>
          <w:rFonts w:ascii="Arial" w:eastAsia="Times New Roman" w:hAnsi="Arial" w:cs="Arial"/>
          <w:kern w:val="0"/>
          <w:sz w:val="22"/>
          <w:szCs w:val="22"/>
          <w14:ligatures w14:val="none"/>
        </w:rPr>
        <w:t>,</w:t>
      </w:r>
      <w:r w:rsidRPr="00627A8A">
        <w:rPr>
          <w:rFonts w:ascii="Arial" w:eastAsia="Times New Roman" w:hAnsi="Arial" w:cs="Arial"/>
          <w:kern w:val="0"/>
          <w:sz w:val="22"/>
          <w:szCs w:val="22"/>
          <w14:ligatures w14:val="none"/>
        </w:rPr>
        <w:t xml:space="preserve"> shaped by ageing populations, multimorbidity</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widening health inequalities</w:t>
      </w:r>
      <w:r>
        <w:rPr>
          <w:rFonts w:ascii="Arial" w:eastAsia="Times New Roman" w:hAnsi="Arial" w:cs="Arial"/>
          <w:kern w:val="0"/>
          <w:sz w:val="22"/>
          <w:szCs w:val="22"/>
          <w14:ligatures w14:val="none"/>
        </w:rPr>
        <w:t>,</w:t>
      </w:r>
      <w:r w:rsidRPr="00627A8A">
        <w:rPr>
          <w:rFonts w:ascii="Arial" w:eastAsia="Times New Roman" w:hAnsi="Arial" w:cs="Arial"/>
          <w:kern w:val="0"/>
          <w:sz w:val="22"/>
          <w:szCs w:val="22"/>
          <w14:ligatures w14:val="none"/>
        </w:rPr>
        <w:t xml:space="preserve"> the ability of services to respond in ways that are both individually tailored and collaboratively delivered has never been more important. </w:t>
      </w:r>
    </w:p>
    <w:p w14:paraId="2B955242"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b/>
          <w:bCs/>
          <w:kern w:val="0"/>
          <w:sz w:val="22"/>
          <w:szCs w:val="22"/>
          <w14:ligatures w14:val="none"/>
        </w:rPr>
        <w:t>Person-Centered Care: Definition, Benefits</w:t>
      </w:r>
      <w:r>
        <w:rPr>
          <w:rFonts w:ascii="Arial" w:eastAsia="Times New Roman" w:hAnsi="Arial" w:cs="Arial"/>
          <w:b/>
          <w:bCs/>
          <w:kern w:val="0"/>
          <w:sz w:val="22"/>
          <w:szCs w:val="22"/>
          <w14:ligatures w14:val="none"/>
        </w:rPr>
        <w:t xml:space="preserve"> and </w:t>
      </w:r>
      <w:r w:rsidRPr="00627A8A">
        <w:rPr>
          <w:rFonts w:ascii="Arial" w:eastAsia="Times New Roman" w:hAnsi="Arial" w:cs="Arial"/>
          <w:b/>
          <w:bCs/>
          <w:kern w:val="0"/>
          <w:sz w:val="22"/>
          <w:szCs w:val="22"/>
          <w14:ligatures w14:val="none"/>
        </w:rPr>
        <w:t>Limitations</w:t>
      </w:r>
    </w:p>
    <w:p w14:paraId="1A81887E"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kern w:val="0"/>
          <w:sz w:val="22"/>
          <w:szCs w:val="22"/>
          <w14:ligatures w14:val="none"/>
        </w:rPr>
        <w:t xml:space="preserve">Person-centered care is an approach that places the individual at the center of all care planning and delivery, treating them as an active participant rather than a passive recipient. </w:t>
      </w:r>
      <w:r>
        <w:rPr>
          <w:rFonts w:ascii="Arial" w:eastAsia="Times New Roman" w:hAnsi="Arial" w:cs="Arial"/>
          <w:kern w:val="0"/>
          <w:sz w:val="22"/>
          <w:szCs w:val="22"/>
          <w14:ligatures w14:val="none"/>
        </w:rPr>
        <w:t xml:space="preserve">Person-centered care is divined as a </w:t>
      </w:r>
      <w:r w:rsidRPr="00627A8A">
        <w:rPr>
          <w:rFonts w:ascii="Arial" w:eastAsia="Times New Roman" w:hAnsi="Arial" w:cs="Arial"/>
          <w:kern w:val="0"/>
          <w:sz w:val="22"/>
          <w:szCs w:val="22"/>
          <w14:ligatures w14:val="none"/>
        </w:rPr>
        <w:t>care that is respectful of and responsive to individual preferences, needs</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values, ensuring that those values guide all clinical and social decisions</w:t>
      </w:r>
      <w:r>
        <w:rPr>
          <w:rFonts w:ascii="Arial" w:eastAsia="Times New Roman" w:hAnsi="Arial" w:cs="Arial"/>
          <w:kern w:val="0"/>
          <w:sz w:val="22"/>
          <w:szCs w:val="22"/>
          <w14:ligatures w14:val="none"/>
        </w:rPr>
        <w:t xml:space="preserve"> (</w:t>
      </w:r>
      <w:r w:rsidRPr="008725C0">
        <w:rPr>
          <w:rFonts w:ascii="Arial" w:eastAsia="Times New Roman" w:hAnsi="Arial" w:cs="Arial"/>
          <w:kern w:val="0"/>
          <w:sz w:val="22"/>
          <w:szCs w:val="22"/>
          <w14:ligatures w14:val="none"/>
        </w:rPr>
        <w:t>Foundation (2016</w:t>
      </w:r>
      <w:r>
        <w:rPr>
          <w:rFonts w:ascii="Arial" w:eastAsia="Times New Roman" w:hAnsi="Arial" w:cs="Arial"/>
          <w:kern w:val="0"/>
          <w:sz w:val="22"/>
          <w:szCs w:val="22"/>
          <w14:ligatures w14:val="none"/>
        </w:rPr>
        <w:t>)</w:t>
      </w:r>
      <w:r w:rsidRPr="00627A8A">
        <w:rPr>
          <w:rFonts w:ascii="Arial" w:eastAsia="Times New Roman" w:hAnsi="Arial" w:cs="Arial"/>
          <w:kern w:val="0"/>
          <w:sz w:val="22"/>
          <w:szCs w:val="22"/>
          <w14:ligatures w14:val="none"/>
        </w:rPr>
        <w:t>. Rather than focusing exclusively on diagnosis and treatment, PCC considers the whole person</w:t>
      </w:r>
      <w:r>
        <w:rPr>
          <w:rFonts w:ascii="Arial" w:eastAsia="Times New Roman" w:hAnsi="Arial" w:cs="Arial"/>
          <w:kern w:val="0"/>
          <w:sz w:val="22"/>
          <w:szCs w:val="22"/>
          <w14:ligatures w14:val="none"/>
        </w:rPr>
        <w:t>,</w:t>
      </w:r>
      <w:r w:rsidRPr="00627A8A">
        <w:rPr>
          <w:rFonts w:ascii="Arial" w:eastAsia="Times New Roman" w:hAnsi="Arial" w:cs="Arial"/>
          <w:kern w:val="0"/>
          <w:sz w:val="22"/>
          <w:szCs w:val="22"/>
          <w14:ligatures w14:val="none"/>
        </w:rPr>
        <w:t xml:space="preserve"> their life circumstances, emotional state, cultural background</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personal goals.</w:t>
      </w:r>
    </w:p>
    <w:p w14:paraId="765E0D6E"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kern w:val="0"/>
          <w:sz w:val="22"/>
          <w:szCs w:val="22"/>
          <w14:ligatures w14:val="none"/>
        </w:rPr>
        <w:t xml:space="preserve">The benefits of PCC are well documented. </w:t>
      </w:r>
      <w:r>
        <w:rPr>
          <w:rFonts w:ascii="Arial" w:eastAsia="Times New Roman" w:hAnsi="Arial" w:cs="Arial"/>
          <w:kern w:val="0"/>
          <w:sz w:val="22"/>
          <w:szCs w:val="22"/>
          <w14:ligatures w14:val="none"/>
        </w:rPr>
        <w:t>P</w:t>
      </w:r>
      <w:r w:rsidRPr="00627A8A">
        <w:rPr>
          <w:rFonts w:ascii="Arial" w:eastAsia="Times New Roman" w:hAnsi="Arial" w:cs="Arial"/>
          <w:kern w:val="0"/>
          <w:sz w:val="22"/>
          <w:szCs w:val="22"/>
          <w14:ligatures w14:val="none"/>
        </w:rPr>
        <w:t>erson-centered approaches improve patient satisfaction, increase treatment adherence</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lead to better health outcomes</w:t>
      </w:r>
      <w:r>
        <w:rPr>
          <w:rFonts w:ascii="Arial" w:eastAsia="Times New Roman" w:hAnsi="Arial" w:cs="Arial"/>
          <w:kern w:val="0"/>
          <w:sz w:val="22"/>
          <w:szCs w:val="22"/>
          <w14:ligatures w14:val="none"/>
        </w:rPr>
        <w:t xml:space="preserve"> (</w:t>
      </w:r>
      <w:r w:rsidRPr="008725C0">
        <w:rPr>
          <w:rFonts w:ascii="Arial" w:eastAsia="Times New Roman" w:hAnsi="Arial" w:cs="Arial"/>
          <w:kern w:val="0"/>
          <w:sz w:val="22"/>
          <w:szCs w:val="22"/>
          <w14:ligatures w14:val="none"/>
        </w:rPr>
        <w:t>Coulter and Ellins</w:t>
      </w:r>
      <w:r>
        <w:rPr>
          <w:rFonts w:ascii="Arial" w:eastAsia="Times New Roman" w:hAnsi="Arial" w:cs="Arial"/>
          <w:kern w:val="0"/>
          <w:sz w:val="22"/>
          <w:szCs w:val="22"/>
          <w14:ligatures w14:val="none"/>
        </w:rPr>
        <w:t xml:space="preserve">, </w:t>
      </w:r>
      <w:r w:rsidRPr="008725C0">
        <w:rPr>
          <w:rFonts w:ascii="Arial" w:eastAsia="Times New Roman" w:hAnsi="Arial" w:cs="Arial"/>
          <w:kern w:val="0"/>
          <w:sz w:val="22"/>
          <w:szCs w:val="22"/>
          <w14:ligatures w14:val="none"/>
        </w:rPr>
        <w:t>2007</w:t>
      </w:r>
      <w:r>
        <w:rPr>
          <w:rFonts w:ascii="Arial" w:eastAsia="Times New Roman" w:hAnsi="Arial" w:cs="Arial"/>
          <w:kern w:val="0"/>
          <w:sz w:val="22"/>
          <w:szCs w:val="22"/>
          <w14:ligatures w14:val="none"/>
        </w:rPr>
        <w:t>)</w:t>
      </w:r>
      <w:r w:rsidRPr="00627A8A">
        <w:rPr>
          <w:rFonts w:ascii="Arial" w:eastAsia="Times New Roman" w:hAnsi="Arial" w:cs="Arial"/>
          <w:kern w:val="0"/>
          <w:sz w:val="22"/>
          <w:szCs w:val="22"/>
          <w14:ligatures w14:val="none"/>
        </w:rPr>
        <w:t>. When individuals feel genuinely heard and involved in decisions about their care, they are more likely to engage positively with recommended interventions. PCC also supports dignity and autonomy, values that are central to the Care Act 2014.</w:t>
      </w:r>
    </w:p>
    <w:p w14:paraId="113635FE"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kern w:val="0"/>
          <w:sz w:val="22"/>
          <w:szCs w:val="22"/>
          <w14:ligatures w14:val="none"/>
        </w:rPr>
        <w:t>However, PCC is not without limitations. Implementing it consistently within resource-constrained NHS settings is a persistent challenge. Time pressures, high caseloads</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 xml:space="preserve">organizational cultures that remain task-oriented can undermine even the most well-intentioned practitioners (Edvardsson </w:t>
      </w:r>
      <w:r w:rsidRPr="00225E6C">
        <w:rPr>
          <w:rFonts w:ascii="Arial" w:eastAsia="Times New Roman" w:hAnsi="Arial" w:cs="Arial"/>
          <w:i/>
          <w:iCs/>
          <w:kern w:val="0"/>
          <w:sz w:val="22"/>
          <w:szCs w:val="22"/>
          <w14:ligatures w14:val="none"/>
        </w:rPr>
        <w:t>et al</w:t>
      </w:r>
      <w:r w:rsidRPr="00627A8A">
        <w:rPr>
          <w:rFonts w:ascii="Arial" w:eastAsia="Times New Roman" w:hAnsi="Arial" w:cs="Arial"/>
          <w:kern w:val="0"/>
          <w:sz w:val="22"/>
          <w:szCs w:val="22"/>
          <w14:ligatures w14:val="none"/>
        </w:rPr>
        <w:t>., 20</w:t>
      </w:r>
      <w:r>
        <w:rPr>
          <w:rFonts w:ascii="Arial" w:eastAsia="Times New Roman" w:hAnsi="Arial" w:cs="Arial"/>
          <w:kern w:val="0"/>
          <w:sz w:val="22"/>
          <w:szCs w:val="22"/>
          <w14:ligatures w14:val="none"/>
        </w:rPr>
        <w:t>08</w:t>
      </w:r>
      <w:r w:rsidRPr="00627A8A">
        <w:rPr>
          <w:rFonts w:ascii="Arial" w:eastAsia="Times New Roman" w:hAnsi="Arial" w:cs="Arial"/>
          <w:kern w:val="0"/>
          <w:sz w:val="22"/>
          <w:szCs w:val="22"/>
          <w14:ligatures w14:val="none"/>
        </w:rPr>
        <w:t>). There is also a risk that PCC can be interpreted superficially</w:t>
      </w:r>
      <w:r>
        <w:rPr>
          <w:rFonts w:ascii="Arial" w:eastAsia="Times New Roman" w:hAnsi="Arial" w:cs="Arial"/>
          <w:kern w:val="0"/>
          <w:sz w:val="22"/>
          <w:szCs w:val="22"/>
          <w14:ligatures w14:val="none"/>
        </w:rPr>
        <w:t>,</w:t>
      </w:r>
      <w:r w:rsidRPr="00627A8A">
        <w:rPr>
          <w:rFonts w:ascii="Arial" w:eastAsia="Times New Roman" w:hAnsi="Arial" w:cs="Arial"/>
          <w:kern w:val="0"/>
          <w:sz w:val="22"/>
          <w:szCs w:val="22"/>
          <w14:ligatures w14:val="none"/>
        </w:rPr>
        <w:t xml:space="preserve"> reduced to a box-ticking exercise around patient preferences rather than representing a genuine shift in the power dynamic between professional and service user. Furthermore, for individuals with cognitive impairments or limited capacity, operationalizing PCC requires additional safeguards and careful navigation of legal frameworks such as the Mental Capacity Act 2005.</w:t>
      </w:r>
    </w:p>
    <w:p w14:paraId="67C1FCA8"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b/>
          <w:bCs/>
          <w:kern w:val="0"/>
          <w:sz w:val="22"/>
          <w:szCs w:val="22"/>
          <w14:ligatures w14:val="none"/>
        </w:rPr>
        <w:lastRenderedPageBreak/>
        <w:t>Theory Underpinning Person-Centered Care: McCormack and McCance's Person-Centered Practice Framework</w:t>
      </w:r>
    </w:p>
    <w:p w14:paraId="18069964"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kern w:val="0"/>
          <w:sz w:val="22"/>
          <w:szCs w:val="22"/>
          <w14:ligatures w14:val="none"/>
        </w:rPr>
        <w:t>Several theoretical models underpin PCC, but McCormack and McCance's</w:t>
      </w:r>
      <w:r>
        <w:rPr>
          <w:rFonts w:ascii="Arial" w:eastAsia="Times New Roman" w:hAnsi="Arial" w:cs="Arial"/>
          <w:kern w:val="0"/>
          <w:sz w:val="22"/>
          <w:szCs w:val="22"/>
          <w14:ligatures w14:val="none"/>
        </w:rPr>
        <w:t xml:space="preserve"> (2010)</w:t>
      </w:r>
      <w:r w:rsidRPr="00627A8A">
        <w:rPr>
          <w:rFonts w:ascii="Arial" w:eastAsia="Times New Roman" w:hAnsi="Arial" w:cs="Arial"/>
          <w:kern w:val="0"/>
          <w:sz w:val="22"/>
          <w:szCs w:val="22"/>
          <w14:ligatures w14:val="none"/>
        </w:rPr>
        <w:t xml:space="preserve"> Person-Centered Practice Framework is among the most widely applied in UK health and social care. Originally developed in the context of nursing, the framework has since been adopted across a range of care settings and professions.</w:t>
      </w:r>
    </w:p>
    <w:p w14:paraId="50375B6E"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kern w:val="0"/>
          <w:sz w:val="22"/>
          <w:szCs w:val="22"/>
          <w14:ligatures w14:val="none"/>
        </w:rPr>
        <w:t>The framework is structured around four interconnected components. The first concerns the prerequisites</w:t>
      </w:r>
      <w:r>
        <w:rPr>
          <w:rFonts w:ascii="Arial" w:eastAsia="Times New Roman" w:hAnsi="Arial" w:cs="Arial"/>
          <w:kern w:val="0"/>
          <w:sz w:val="22"/>
          <w:szCs w:val="22"/>
          <w14:ligatures w14:val="none"/>
        </w:rPr>
        <w:t xml:space="preserve"> such as</w:t>
      </w:r>
      <w:r w:rsidRPr="00627A8A">
        <w:rPr>
          <w:rFonts w:ascii="Arial" w:eastAsia="Times New Roman" w:hAnsi="Arial" w:cs="Arial"/>
          <w:kern w:val="0"/>
          <w:sz w:val="22"/>
          <w:szCs w:val="22"/>
          <w14:ligatures w14:val="none"/>
        </w:rPr>
        <w:t xml:space="preserve"> the attributes of the practitioner, including professional competence, interpersonal skills, commitment to the job</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 xml:space="preserve">self-awareness. </w:t>
      </w:r>
      <w:r>
        <w:rPr>
          <w:rFonts w:ascii="Arial" w:eastAsia="Times New Roman" w:hAnsi="Arial" w:cs="Arial"/>
          <w:kern w:val="0"/>
          <w:sz w:val="22"/>
          <w:szCs w:val="22"/>
          <w14:ligatures w14:val="none"/>
        </w:rPr>
        <w:t>P</w:t>
      </w:r>
      <w:r w:rsidRPr="00627A8A">
        <w:rPr>
          <w:rFonts w:ascii="Arial" w:eastAsia="Times New Roman" w:hAnsi="Arial" w:cs="Arial"/>
          <w:kern w:val="0"/>
          <w:sz w:val="22"/>
          <w:szCs w:val="22"/>
          <w14:ligatures w14:val="none"/>
        </w:rPr>
        <w:t>erson-centered practice cannot be delivered by a practitioner who lacks self-knowledge, because effective engagement with another person's values and beliefs requires an understanding of one's own</w:t>
      </w:r>
      <w:r>
        <w:rPr>
          <w:rFonts w:ascii="Arial" w:eastAsia="Times New Roman" w:hAnsi="Arial" w:cs="Arial"/>
          <w:kern w:val="0"/>
          <w:sz w:val="22"/>
          <w:szCs w:val="22"/>
          <w14:ligatures w14:val="none"/>
        </w:rPr>
        <w:t xml:space="preserve"> (</w:t>
      </w:r>
      <w:r w:rsidRPr="008725C0">
        <w:rPr>
          <w:rFonts w:ascii="Arial" w:eastAsia="Times New Roman" w:hAnsi="Arial" w:cs="Arial"/>
          <w:kern w:val="0"/>
          <w:sz w:val="22"/>
          <w:szCs w:val="22"/>
          <w14:ligatures w14:val="none"/>
        </w:rPr>
        <w:t>McCormack and McCance</w:t>
      </w:r>
      <w:r>
        <w:rPr>
          <w:rFonts w:ascii="Arial" w:eastAsia="Times New Roman" w:hAnsi="Arial" w:cs="Arial"/>
          <w:kern w:val="0"/>
          <w:sz w:val="22"/>
          <w:szCs w:val="22"/>
          <w14:ligatures w14:val="none"/>
        </w:rPr>
        <w:t xml:space="preserve">, </w:t>
      </w:r>
      <w:r w:rsidRPr="008725C0">
        <w:rPr>
          <w:rFonts w:ascii="Arial" w:eastAsia="Times New Roman" w:hAnsi="Arial" w:cs="Arial"/>
          <w:kern w:val="0"/>
          <w:sz w:val="22"/>
          <w:szCs w:val="22"/>
          <w14:ligatures w14:val="none"/>
        </w:rPr>
        <w:t>2010</w:t>
      </w:r>
      <w:r>
        <w:rPr>
          <w:rFonts w:ascii="Arial" w:eastAsia="Times New Roman" w:hAnsi="Arial" w:cs="Arial"/>
          <w:kern w:val="0"/>
          <w:sz w:val="22"/>
          <w:szCs w:val="22"/>
          <w14:ligatures w14:val="none"/>
        </w:rPr>
        <w:t>)</w:t>
      </w:r>
      <w:r w:rsidRPr="00627A8A">
        <w:rPr>
          <w:rFonts w:ascii="Arial" w:eastAsia="Times New Roman" w:hAnsi="Arial" w:cs="Arial"/>
          <w:kern w:val="0"/>
          <w:sz w:val="22"/>
          <w:szCs w:val="22"/>
          <w14:ligatures w14:val="none"/>
        </w:rPr>
        <w:t>. The second component addresses the care environment, recognizing that organizational culture, skill mix, power dynamics</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 xml:space="preserve">systems for decision-making all shape whether PCC can be genuinely enacted. The third component focuses on person-centered processes </w:t>
      </w:r>
      <w:r>
        <w:rPr>
          <w:rFonts w:ascii="Arial" w:eastAsia="Times New Roman" w:hAnsi="Arial" w:cs="Arial"/>
          <w:kern w:val="0"/>
          <w:sz w:val="22"/>
          <w:szCs w:val="22"/>
          <w14:ligatures w14:val="none"/>
        </w:rPr>
        <w:t>which is</w:t>
      </w:r>
      <w:r w:rsidRPr="00627A8A">
        <w:rPr>
          <w:rFonts w:ascii="Arial" w:eastAsia="Times New Roman" w:hAnsi="Arial" w:cs="Arial"/>
          <w:kern w:val="0"/>
          <w:sz w:val="22"/>
          <w:szCs w:val="22"/>
          <w14:ligatures w14:val="none"/>
        </w:rPr>
        <w:t xml:space="preserve"> the actual practices through which care is delivered, including working with the person's beliefs and values, shared decision-making</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engaging authentically rather than performing care tasks. The fourth component is the expected outcomes: a therapeutic culture, staff satisfaction</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above all, the experience of care that is felt as good by the person receiving it.</w:t>
      </w:r>
    </w:p>
    <w:p w14:paraId="76BB7D73"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kern w:val="0"/>
          <w:sz w:val="22"/>
          <w:szCs w:val="22"/>
          <w14:ligatures w14:val="none"/>
        </w:rPr>
        <w:t>What makes this framework particularly valuable is its honesty about context. Unlike approaches that treat PCC as purely a practitioner skill, McCormack and McCance (2010) acknowledge that the environment in which care is delivered either enables or obstructs person-centered practice. This systems-level thinking is important when evaluating why PCC remains inconsistently applied despite broad policy endorsement</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 xml:space="preserve">it aligns with findings from </w:t>
      </w:r>
      <w:r w:rsidRPr="00225E6C">
        <w:rPr>
          <w:rFonts w:ascii="Arial" w:eastAsia="Times New Roman" w:hAnsi="Arial" w:cs="Arial"/>
          <w:kern w:val="0"/>
          <w:sz w:val="22"/>
          <w:szCs w:val="22"/>
          <w14:ligatures w14:val="none"/>
        </w:rPr>
        <w:t>Niessen</w:t>
      </w:r>
      <w:r w:rsidRPr="00627A8A">
        <w:rPr>
          <w:rFonts w:ascii="Arial" w:eastAsia="Times New Roman" w:hAnsi="Arial" w:cs="Arial"/>
          <w:kern w:val="0"/>
          <w:sz w:val="22"/>
          <w:szCs w:val="22"/>
          <w14:ligatures w14:val="none"/>
        </w:rPr>
        <w:t xml:space="preserve"> (2011), who identified workplace culture as one of the most significant determinants of care quality.</w:t>
      </w:r>
    </w:p>
    <w:p w14:paraId="11C89399"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b/>
          <w:bCs/>
          <w:kern w:val="0"/>
          <w:sz w:val="22"/>
          <w:szCs w:val="22"/>
          <w14:ligatures w14:val="none"/>
        </w:rPr>
        <w:t>Ethical Fundamentals of Health and Social Care</w:t>
      </w:r>
    </w:p>
    <w:p w14:paraId="56D320EF"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kern w:val="0"/>
          <w:sz w:val="22"/>
          <w:szCs w:val="22"/>
          <w14:ligatures w14:val="none"/>
        </w:rPr>
        <w:t>Ethics in health and social care is not a peripheral concern</w:t>
      </w:r>
      <w:r>
        <w:rPr>
          <w:rFonts w:ascii="Arial" w:eastAsia="Times New Roman" w:hAnsi="Arial" w:cs="Arial"/>
          <w:kern w:val="0"/>
          <w:sz w:val="22"/>
          <w:szCs w:val="22"/>
          <w14:ligatures w14:val="none"/>
        </w:rPr>
        <w:t>,</w:t>
      </w:r>
      <w:r w:rsidRPr="00627A8A">
        <w:rPr>
          <w:rFonts w:ascii="Arial" w:eastAsia="Times New Roman" w:hAnsi="Arial" w:cs="Arial"/>
          <w:kern w:val="0"/>
          <w:sz w:val="22"/>
          <w:szCs w:val="22"/>
          <w14:ligatures w14:val="none"/>
        </w:rPr>
        <w:t xml:space="preserve"> it is foundational to every professional interaction, care decision</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policy development. The most widely used ethical framework in health and social care remains the four principles approach</w:t>
      </w:r>
      <w:r>
        <w:rPr>
          <w:rFonts w:ascii="Arial" w:eastAsia="Times New Roman" w:hAnsi="Arial" w:cs="Arial"/>
          <w:kern w:val="0"/>
          <w:sz w:val="22"/>
          <w:szCs w:val="22"/>
          <w14:ligatures w14:val="none"/>
        </w:rPr>
        <w:t xml:space="preserve"> which are</w:t>
      </w:r>
      <w:r w:rsidRPr="00627A8A">
        <w:rPr>
          <w:rFonts w:ascii="Arial" w:eastAsia="Times New Roman" w:hAnsi="Arial" w:cs="Arial"/>
          <w:kern w:val="0"/>
          <w:sz w:val="22"/>
          <w:szCs w:val="22"/>
          <w14:ligatures w14:val="none"/>
        </w:rPr>
        <w:t xml:space="preserve"> autonomy, beneficence, non-maleficence</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justice</w:t>
      </w:r>
      <w:r>
        <w:rPr>
          <w:rFonts w:ascii="Arial" w:eastAsia="Times New Roman" w:hAnsi="Arial" w:cs="Arial"/>
          <w:kern w:val="0"/>
          <w:sz w:val="22"/>
          <w:szCs w:val="22"/>
          <w14:ligatures w14:val="none"/>
        </w:rPr>
        <w:t xml:space="preserve"> (</w:t>
      </w:r>
      <w:r w:rsidRPr="008725C0">
        <w:rPr>
          <w:rFonts w:ascii="Arial" w:eastAsia="Times New Roman" w:hAnsi="Arial" w:cs="Arial"/>
          <w:kern w:val="0"/>
          <w:sz w:val="22"/>
          <w:szCs w:val="22"/>
          <w14:ligatures w14:val="none"/>
        </w:rPr>
        <w:t>Beauchamp and Childress</w:t>
      </w:r>
      <w:r>
        <w:rPr>
          <w:rFonts w:ascii="Arial" w:eastAsia="Times New Roman" w:hAnsi="Arial" w:cs="Arial"/>
          <w:kern w:val="0"/>
          <w:sz w:val="22"/>
          <w:szCs w:val="22"/>
          <w14:ligatures w14:val="none"/>
        </w:rPr>
        <w:t xml:space="preserve">, </w:t>
      </w:r>
      <w:r w:rsidRPr="008725C0">
        <w:rPr>
          <w:rFonts w:ascii="Arial" w:eastAsia="Times New Roman" w:hAnsi="Arial" w:cs="Arial"/>
          <w:kern w:val="0"/>
          <w:sz w:val="22"/>
          <w:szCs w:val="22"/>
          <w14:ligatures w14:val="none"/>
        </w:rPr>
        <w:t>1994</w:t>
      </w:r>
      <w:r>
        <w:rPr>
          <w:rFonts w:ascii="Arial" w:eastAsia="Times New Roman" w:hAnsi="Arial" w:cs="Arial"/>
          <w:kern w:val="0"/>
          <w:sz w:val="22"/>
          <w:szCs w:val="22"/>
          <w14:ligatures w14:val="none"/>
        </w:rPr>
        <w:t>)</w:t>
      </w:r>
      <w:r w:rsidRPr="00627A8A">
        <w:rPr>
          <w:rFonts w:ascii="Arial" w:eastAsia="Times New Roman" w:hAnsi="Arial" w:cs="Arial"/>
          <w:kern w:val="0"/>
          <w:sz w:val="22"/>
          <w:szCs w:val="22"/>
          <w14:ligatures w14:val="none"/>
        </w:rPr>
        <w:t>.</w:t>
      </w:r>
    </w:p>
    <w:p w14:paraId="7CA34E2E"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kern w:val="0"/>
          <w:sz w:val="22"/>
          <w:szCs w:val="22"/>
          <w14:ligatures w14:val="none"/>
        </w:rPr>
        <w:lastRenderedPageBreak/>
        <w:t>Autonomy refers to the individual's right to make informed decisions about their own care. In practice, this means professionals must provide sufficient, accessible information, check understanding</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respect decisions even when they differ from professional recommendations. Beneficence requires that practitioners act in the best interests of the individual, while non-maleficence demands that potential harm is always weighed carefully against anticipated benefit. Justice concerns the fair and equitable distribution of care resources and opportunities.</w:t>
      </w:r>
    </w:p>
    <w:p w14:paraId="1FFB475B"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kern w:val="0"/>
          <w:sz w:val="22"/>
          <w:szCs w:val="22"/>
          <w14:ligatures w14:val="none"/>
        </w:rPr>
        <w:t>These principles do not operate in isolation</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 xml:space="preserve">tensions between them are common. A person's autonomous decision to refuse treatment may conflict with the professional's duty of beneficence. Allocating limited palliative care resources raises questions of justice that no single principle can resolve alone. </w:t>
      </w:r>
      <w:r>
        <w:rPr>
          <w:rFonts w:ascii="Arial" w:eastAsia="Times New Roman" w:hAnsi="Arial" w:cs="Arial"/>
          <w:kern w:val="0"/>
          <w:sz w:val="22"/>
          <w:szCs w:val="22"/>
          <w14:ligatures w14:val="none"/>
        </w:rPr>
        <w:t>N</w:t>
      </w:r>
      <w:r w:rsidRPr="00627A8A">
        <w:rPr>
          <w:rFonts w:ascii="Arial" w:eastAsia="Times New Roman" w:hAnsi="Arial" w:cs="Arial"/>
          <w:kern w:val="0"/>
          <w:sz w:val="22"/>
          <w:szCs w:val="22"/>
          <w14:ligatures w14:val="none"/>
        </w:rPr>
        <w:t>avigating these tensions requires practitioners to develop genuine moral agency</w:t>
      </w:r>
      <w:r>
        <w:rPr>
          <w:rFonts w:ascii="Arial" w:eastAsia="Times New Roman" w:hAnsi="Arial" w:cs="Arial"/>
          <w:kern w:val="0"/>
          <w:sz w:val="22"/>
          <w:szCs w:val="22"/>
          <w14:ligatures w14:val="none"/>
        </w:rPr>
        <w:t>,</w:t>
      </w:r>
      <w:r w:rsidRPr="00627A8A">
        <w:rPr>
          <w:rFonts w:ascii="Arial" w:eastAsia="Times New Roman" w:hAnsi="Arial" w:cs="Arial"/>
          <w:kern w:val="0"/>
          <w:sz w:val="22"/>
          <w:szCs w:val="22"/>
          <w14:ligatures w14:val="none"/>
        </w:rPr>
        <w:t xml:space="preserve"> a reflective, values-driven orientation toward ethical practice that goes beyond procedural compliance</w:t>
      </w:r>
      <w:r>
        <w:rPr>
          <w:rFonts w:ascii="Arial" w:eastAsia="Times New Roman" w:hAnsi="Arial" w:cs="Arial"/>
          <w:kern w:val="0"/>
          <w:sz w:val="22"/>
          <w:szCs w:val="22"/>
          <w14:ligatures w14:val="none"/>
        </w:rPr>
        <w:t xml:space="preserve"> (Banks, 2020)</w:t>
      </w:r>
      <w:r w:rsidRPr="00627A8A">
        <w:rPr>
          <w:rFonts w:ascii="Arial" w:eastAsia="Times New Roman" w:hAnsi="Arial" w:cs="Arial"/>
          <w:kern w:val="0"/>
          <w:sz w:val="22"/>
          <w:szCs w:val="22"/>
          <w14:ligatures w14:val="none"/>
        </w:rPr>
        <w:t>.</w:t>
      </w:r>
    </w:p>
    <w:p w14:paraId="05ED1F4A"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kern w:val="0"/>
          <w:sz w:val="22"/>
          <w:szCs w:val="22"/>
          <w14:ligatures w14:val="none"/>
        </w:rPr>
        <w:t xml:space="preserve">Professional codes of conduct reinforce these principles institutionally. The NMC </w:t>
      </w:r>
      <w:r>
        <w:rPr>
          <w:rFonts w:ascii="Arial" w:eastAsia="Times New Roman" w:hAnsi="Arial" w:cs="Arial"/>
          <w:kern w:val="0"/>
          <w:sz w:val="22"/>
          <w:szCs w:val="22"/>
          <w14:ligatures w14:val="none"/>
        </w:rPr>
        <w:t>(2018) Code</w:t>
      </w:r>
      <w:r w:rsidRPr="00627A8A">
        <w:rPr>
          <w:rFonts w:ascii="Arial" w:eastAsia="Times New Roman" w:hAnsi="Arial" w:cs="Arial"/>
          <w:kern w:val="0"/>
          <w:sz w:val="22"/>
          <w:szCs w:val="22"/>
          <w14:ligatures w14:val="none"/>
        </w:rPr>
        <w:t xml:space="preserve"> and the HCPC </w:t>
      </w:r>
      <w:r>
        <w:rPr>
          <w:rFonts w:ascii="Arial" w:eastAsia="Times New Roman" w:hAnsi="Arial" w:cs="Arial"/>
          <w:kern w:val="0"/>
          <w:sz w:val="22"/>
          <w:szCs w:val="22"/>
          <w14:ligatures w14:val="none"/>
        </w:rPr>
        <w:t xml:space="preserve">(2016) </w:t>
      </w:r>
      <w:r w:rsidRPr="00627A8A">
        <w:rPr>
          <w:rFonts w:ascii="Arial" w:eastAsia="Times New Roman" w:hAnsi="Arial" w:cs="Arial"/>
          <w:kern w:val="0"/>
          <w:sz w:val="22"/>
          <w:szCs w:val="22"/>
          <w14:ligatures w14:val="none"/>
        </w:rPr>
        <w:t>Standards both set clear expectations around honesty, respect for dignity</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the maintenance of professional boundaries. The Human Rights Act 1998 further embeds ethical obligations in a legal framework, protecting individuals' rights to life, dignity</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private and family life within care settings.</w:t>
      </w:r>
    </w:p>
    <w:p w14:paraId="74D61A51"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b/>
          <w:bCs/>
          <w:kern w:val="0"/>
          <w:sz w:val="22"/>
          <w:szCs w:val="22"/>
          <w14:ligatures w14:val="none"/>
        </w:rPr>
        <w:t>Evaluation of Partnership Working in Health and Social Care</w:t>
      </w:r>
    </w:p>
    <w:p w14:paraId="54BC9DB8"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kern w:val="0"/>
          <w:sz w:val="22"/>
          <w:szCs w:val="22"/>
          <w14:ligatures w14:val="none"/>
        </w:rPr>
        <w:t>Partnership working refers to the collaborative practice of different agencies, professionals</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service users working together toward shared goals. In health and social care, this typically involves cooperation between NHS trusts, local authorities, third-sector organizations, informal carers</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the individuals receiving care themselves.</w:t>
      </w:r>
    </w:p>
    <w:p w14:paraId="62FB8544"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kern w:val="0"/>
          <w:sz w:val="22"/>
          <w:szCs w:val="22"/>
          <w14:ligatures w14:val="none"/>
        </w:rPr>
        <w:t xml:space="preserve">The case for partnership working is compelling. </w:t>
      </w:r>
      <w:r>
        <w:rPr>
          <w:rFonts w:ascii="Arial" w:eastAsia="Times New Roman" w:hAnsi="Arial" w:cs="Arial"/>
          <w:kern w:val="0"/>
          <w:sz w:val="22"/>
          <w:szCs w:val="22"/>
          <w14:ligatures w14:val="none"/>
        </w:rPr>
        <w:t>C</w:t>
      </w:r>
      <w:r w:rsidRPr="00627A8A">
        <w:rPr>
          <w:rFonts w:ascii="Arial" w:eastAsia="Times New Roman" w:hAnsi="Arial" w:cs="Arial"/>
          <w:kern w:val="0"/>
          <w:sz w:val="22"/>
          <w:szCs w:val="22"/>
          <w14:ligatures w14:val="none"/>
        </w:rPr>
        <w:t>omplex care needs</w:t>
      </w:r>
      <w:r>
        <w:rPr>
          <w:rFonts w:ascii="Arial" w:eastAsia="Times New Roman" w:hAnsi="Arial" w:cs="Arial"/>
          <w:kern w:val="0"/>
          <w:sz w:val="22"/>
          <w:szCs w:val="22"/>
          <w14:ligatures w14:val="none"/>
        </w:rPr>
        <w:t>,</w:t>
      </w:r>
      <w:r w:rsidRPr="00627A8A">
        <w:rPr>
          <w:rFonts w:ascii="Arial" w:eastAsia="Times New Roman" w:hAnsi="Arial" w:cs="Arial"/>
          <w:kern w:val="0"/>
          <w:sz w:val="22"/>
          <w:szCs w:val="22"/>
          <w14:ligatures w14:val="none"/>
        </w:rPr>
        <w:t xml:space="preserve"> which span health, social, housing</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community domains cannot be adequately addressed by any single organization or profession acting alone. Integrated, collaborative approaches reduce duplication, improve care transitions</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produce better outcomes for individuals with multiple and long-term conditions</w:t>
      </w:r>
      <w:r>
        <w:rPr>
          <w:rFonts w:ascii="Arial" w:eastAsia="Times New Roman" w:hAnsi="Arial" w:cs="Arial"/>
          <w:kern w:val="0"/>
          <w:sz w:val="22"/>
          <w:szCs w:val="22"/>
          <w14:ligatures w14:val="none"/>
        </w:rPr>
        <w:t xml:space="preserve"> (</w:t>
      </w:r>
      <w:r w:rsidRPr="008725C0">
        <w:rPr>
          <w:rFonts w:ascii="Arial" w:eastAsia="Times New Roman" w:hAnsi="Arial" w:cs="Arial"/>
          <w:kern w:val="0"/>
          <w:sz w:val="22"/>
          <w:szCs w:val="22"/>
          <w14:ligatures w14:val="none"/>
        </w:rPr>
        <w:t>Glasby and Dickinson</w:t>
      </w:r>
      <w:r>
        <w:rPr>
          <w:rFonts w:ascii="Arial" w:eastAsia="Times New Roman" w:hAnsi="Arial" w:cs="Arial"/>
          <w:kern w:val="0"/>
          <w:sz w:val="22"/>
          <w:szCs w:val="22"/>
          <w14:ligatures w14:val="none"/>
        </w:rPr>
        <w:t xml:space="preserve">, </w:t>
      </w:r>
      <w:r w:rsidRPr="008725C0">
        <w:rPr>
          <w:rFonts w:ascii="Arial" w:eastAsia="Times New Roman" w:hAnsi="Arial" w:cs="Arial"/>
          <w:kern w:val="0"/>
          <w:sz w:val="22"/>
          <w:szCs w:val="22"/>
          <w14:ligatures w14:val="none"/>
        </w:rPr>
        <w:t>2014</w:t>
      </w:r>
      <w:r>
        <w:rPr>
          <w:rFonts w:ascii="Arial" w:eastAsia="Times New Roman" w:hAnsi="Arial" w:cs="Arial"/>
          <w:kern w:val="0"/>
          <w:sz w:val="22"/>
          <w:szCs w:val="22"/>
          <w14:ligatures w14:val="none"/>
        </w:rPr>
        <w:t>)</w:t>
      </w:r>
      <w:r w:rsidRPr="00627A8A">
        <w:rPr>
          <w:rFonts w:ascii="Arial" w:eastAsia="Times New Roman" w:hAnsi="Arial" w:cs="Arial"/>
          <w:kern w:val="0"/>
          <w:sz w:val="22"/>
          <w:szCs w:val="22"/>
          <w14:ligatures w14:val="none"/>
        </w:rPr>
        <w:t xml:space="preserve">. </w:t>
      </w:r>
      <w:r>
        <w:rPr>
          <w:rFonts w:ascii="Arial" w:eastAsia="Times New Roman" w:hAnsi="Arial" w:cs="Arial"/>
          <w:kern w:val="0"/>
          <w:sz w:val="22"/>
          <w:szCs w:val="22"/>
          <w14:ligatures w14:val="none"/>
        </w:rPr>
        <w:t>A</w:t>
      </w:r>
      <w:r w:rsidRPr="00627A8A">
        <w:rPr>
          <w:rFonts w:ascii="Arial" w:eastAsia="Times New Roman" w:hAnsi="Arial" w:cs="Arial"/>
          <w:kern w:val="0"/>
          <w:sz w:val="22"/>
          <w:szCs w:val="22"/>
          <w14:ligatures w14:val="none"/>
        </w:rPr>
        <w:t>reas where health and social care integration was most advanced demonstrated measurably lower rates of avoidable hospital admissions and better patient experience scores</w:t>
      </w:r>
      <w:r>
        <w:rPr>
          <w:rFonts w:ascii="Arial" w:eastAsia="Times New Roman" w:hAnsi="Arial" w:cs="Arial"/>
          <w:kern w:val="0"/>
          <w:sz w:val="22"/>
          <w:szCs w:val="22"/>
          <w14:ligatures w14:val="none"/>
        </w:rPr>
        <w:t xml:space="preserve"> (</w:t>
      </w:r>
      <w:r w:rsidRPr="008725C0">
        <w:rPr>
          <w:rFonts w:ascii="Arial" w:eastAsia="Times New Roman" w:hAnsi="Arial" w:cs="Arial"/>
          <w:kern w:val="0"/>
          <w:sz w:val="22"/>
          <w:szCs w:val="22"/>
          <w14:ligatures w14:val="none"/>
        </w:rPr>
        <w:t xml:space="preserve">Reed </w:t>
      </w:r>
      <w:r w:rsidRPr="008725C0">
        <w:rPr>
          <w:rFonts w:ascii="Arial" w:eastAsia="Times New Roman" w:hAnsi="Arial" w:cs="Arial"/>
          <w:i/>
          <w:iCs/>
          <w:kern w:val="0"/>
          <w:sz w:val="22"/>
          <w:szCs w:val="22"/>
          <w14:ligatures w14:val="none"/>
        </w:rPr>
        <w:t>et al</w:t>
      </w:r>
      <w:r w:rsidRPr="008725C0">
        <w:rPr>
          <w:rFonts w:ascii="Arial" w:eastAsia="Times New Roman" w:hAnsi="Arial" w:cs="Arial"/>
          <w:kern w:val="0"/>
          <w:sz w:val="22"/>
          <w:szCs w:val="22"/>
          <w14:ligatures w14:val="none"/>
        </w:rPr>
        <w:t>.,</w:t>
      </w:r>
      <w:r>
        <w:rPr>
          <w:rFonts w:ascii="Arial" w:eastAsia="Times New Roman" w:hAnsi="Arial" w:cs="Arial"/>
          <w:kern w:val="0"/>
          <w:sz w:val="22"/>
          <w:szCs w:val="22"/>
          <w14:ligatures w14:val="none"/>
        </w:rPr>
        <w:t xml:space="preserve"> </w:t>
      </w:r>
      <w:r w:rsidRPr="008725C0">
        <w:rPr>
          <w:rFonts w:ascii="Arial" w:eastAsia="Times New Roman" w:hAnsi="Arial" w:cs="Arial"/>
          <w:kern w:val="0"/>
          <w:sz w:val="22"/>
          <w:szCs w:val="22"/>
          <w14:ligatures w14:val="none"/>
        </w:rPr>
        <w:t>2016</w:t>
      </w:r>
      <w:r>
        <w:rPr>
          <w:rFonts w:ascii="Arial" w:eastAsia="Times New Roman" w:hAnsi="Arial" w:cs="Arial"/>
          <w:kern w:val="0"/>
          <w:sz w:val="22"/>
          <w:szCs w:val="22"/>
          <w14:ligatures w14:val="none"/>
        </w:rPr>
        <w:t>)</w:t>
      </w:r>
      <w:r w:rsidRPr="00627A8A">
        <w:rPr>
          <w:rFonts w:ascii="Arial" w:eastAsia="Times New Roman" w:hAnsi="Arial" w:cs="Arial"/>
          <w:kern w:val="0"/>
          <w:sz w:val="22"/>
          <w:szCs w:val="22"/>
          <w14:ligatures w14:val="none"/>
        </w:rPr>
        <w:t>.</w:t>
      </w:r>
    </w:p>
    <w:p w14:paraId="66347158"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kern w:val="0"/>
          <w:sz w:val="22"/>
          <w:szCs w:val="22"/>
          <w14:ligatures w14:val="none"/>
        </w:rPr>
        <w:lastRenderedPageBreak/>
        <w:t>Nevertheless, partnership working faces significant structural and cultural barriers. Differences in organizational culture, professional language, information-sharing protocols</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funding streams can all impede genuine collaboration (</w:t>
      </w:r>
      <w:proofErr w:type="spellStart"/>
      <w:r w:rsidRPr="00627A8A">
        <w:rPr>
          <w:rFonts w:ascii="Arial" w:eastAsia="Times New Roman" w:hAnsi="Arial" w:cs="Arial"/>
          <w:kern w:val="0"/>
          <w:sz w:val="22"/>
          <w:szCs w:val="22"/>
          <w14:ligatures w14:val="none"/>
        </w:rPr>
        <w:t>D'Amour</w:t>
      </w:r>
      <w:proofErr w:type="spellEnd"/>
      <w:r w:rsidRPr="00627A8A">
        <w:rPr>
          <w:rFonts w:ascii="Arial" w:eastAsia="Times New Roman" w:hAnsi="Arial" w:cs="Arial"/>
          <w:kern w:val="0"/>
          <w:sz w:val="22"/>
          <w:szCs w:val="22"/>
          <w14:ligatures w14:val="none"/>
        </w:rPr>
        <w:t xml:space="preserve"> </w:t>
      </w:r>
      <w:r w:rsidRPr="004773A3">
        <w:rPr>
          <w:rFonts w:ascii="Arial" w:eastAsia="Times New Roman" w:hAnsi="Arial" w:cs="Arial"/>
          <w:i/>
          <w:iCs/>
          <w:kern w:val="0"/>
          <w:sz w:val="22"/>
          <w:szCs w:val="22"/>
          <w14:ligatures w14:val="none"/>
        </w:rPr>
        <w:t>et al</w:t>
      </w:r>
      <w:r w:rsidRPr="00627A8A">
        <w:rPr>
          <w:rFonts w:ascii="Arial" w:eastAsia="Times New Roman" w:hAnsi="Arial" w:cs="Arial"/>
          <w:kern w:val="0"/>
          <w:sz w:val="22"/>
          <w:szCs w:val="22"/>
          <w14:ligatures w14:val="none"/>
        </w:rPr>
        <w:t xml:space="preserve">., 2005). </w:t>
      </w:r>
      <w:r>
        <w:rPr>
          <w:rFonts w:ascii="Arial" w:eastAsia="Times New Roman" w:hAnsi="Arial" w:cs="Arial"/>
          <w:kern w:val="0"/>
          <w:sz w:val="22"/>
          <w:szCs w:val="22"/>
          <w14:ligatures w14:val="none"/>
        </w:rPr>
        <w:t>B</w:t>
      </w:r>
      <w:r w:rsidRPr="00627A8A">
        <w:rPr>
          <w:rFonts w:ascii="Arial" w:eastAsia="Times New Roman" w:hAnsi="Arial" w:cs="Arial"/>
          <w:kern w:val="0"/>
          <w:sz w:val="22"/>
          <w:szCs w:val="22"/>
          <w14:ligatures w14:val="none"/>
        </w:rPr>
        <w:t xml:space="preserve">oundary problem </w:t>
      </w:r>
      <w:r>
        <w:rPr>
          <w:rFonts w:ascii="Arial" w:eastAsia="Times New Roman" w:hAnsi="Arial" w:cs="Arial"/>
          <w:kern w:val="0"/>
          <w:sz w:val="22"/>
          <w:szCs w:val="22"/>
          <w14:ligatures w14:val="none"/>
        </w:rPr>
        <w:t>which is</w:t>
      </w:r>
      <w:r w:rsidRPr="00627A8A">
        <w:rPr>
          <w:rFonts w:ascii="Arial" w:eastAsia="Times New Roman" w:hAnsi="Arial" w:cs="Arial"/>
          <w:kern w:val="0"/>
          <w:sz w:val="22"/>
          <w:szCs w:val="22"/>
          <w14:ligatures w14:val="none"/>
        </w:rPr>
        <w:t xml:space="preserve"> the tendency of professional groups to protect their areas of expertise and resist the blurring of roles that effective partnership demands</w:t>
      </w:r>
      <w:r>
        <w:rPr>
          <w:rFonts w:ascii="Arial" w:eastAsia="Times New Roman" w:hAnsi="Arial" w:cs="Arial"/>
          <w:kern w:val="0"/>
          <w:sz w:val="22"/>
          <w:szCs w:val="22"/>
          <w14:ligatures w14:val="none"/>
        </w:rPr>
        <w:t xml:space="preserve"> (Hudson, 2002)</w:t>
      </w:r>
      <w:r w:rsidRPr="00627A8A">
        <w:rPr>
          <w:rFonts w:ascii="Arial" w:eastAsia="Times New Roman" w:hAnsi="Arial" w:cs="Arial"/>
          <w:kern w:val="0"/>
          <w:sz w:val="22"/>
          <w:szCs w:val="22"/>
          <w14:ligatures w14:val="none"/>
        </w:rPr>
        <w:t>. Power imbalances between organizations, particularly between the NHS and local authorities, can further complicate efforts to build truly equitable partnerships.</w:t>
      </w:r>
    </w:p>
    <w:p w14:paraId="04ED2F8A"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b/>
          <w:bCs/>
          <w:kern w:val="0"/>
          <w:sz w:val="22"/>
          <w:szCs w:val="22"/>
          <w14:ligatures w14:val="none"/>
        </w:rPr>
        <w:t>Partnership Working in Practice: Palliative Care Settings</w:t>
      </w:r>
    </w:p>
    <w:p w14:paraId="1A456A32"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kern w:val="0"/>
          <w:sz w:val="22"/>
          <w:szCs w:val="22"/>
          <w14:ligatures w14:val="none"/>
        </w:rPr>
        <w:t>Palliative care offers one of the clearest and most instructive examples of partnership working in a practical health and social care setting. Individuals approaching the end of life typically have needs that are simultaneously medical, psychological, social</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spiritual needs that no single discipline can address comprehensively.</w:t>
      </w:r>
    </w:p>
    <w:p w14:paraId="7407C851"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kern w:val="0"/>
          <w:sz w:val="22"/>
          <w:szCs w:val="22"/>
          <w14:ligatures w14:val="none"/>
        </w:rPr>
        <w:t>In practice, effective palliative care involves multi-disciplinary teams (MDTs) comprising doctors, nurses, social workers, chaplains, physiotherapists, occupational therapists</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community volunteers working in coordinated ways around the individual and their family. NICE (2019) guidance on end-of-life care explicitly recommends MDT working as best practice, emphasizing that care plans should be developed collaboratively and reviewed regularly as the person's condition evolves.</w:t>
      </w:r>
    </w:p>
    <w:p w14:paraId="699CC88E"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kern w:val="0"/>
          <w:sz w:val="22"/>
          <w:szCs w:val="22"/>
          <w14:ligatures w14:val="none"/>
        </w:rPr>
        <w:t>Third-sector organizations such as hospices and charities like Marie Curie play a critical partnership role, providing both direct care and community support that statutory services alone cannot deliver. Integrating these services requires clear communication channels, agreed referral pathways</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shared care records elements that the NHS Long Term Plan (</w:t>
      </w:r>
      <w:proofErr w:type="spellStart"/>
      <w:r w:rsidRPr="00F2119B">
        <w:rPr>
          <w:rFonts w:ascii="Arial" w:eastAsia="Times New Roman" w:hAnsi="Arial" w:cs="Arial"/>
          <w:kern w:val="0"/>
          <w:sz w:val="22"/>
          <w:szCs w:val="22"/>
          <w14:ligatures w14:val="none"/>
        </w:rPr>
        <w:t>Alderwick</w:t>
      </w:r>
      <w:proofErr w:type="spellEnd"/>
      <w:r>
        <w:rPr>
          <w:rFonts w:ascii="Arial" w:eastAsia="Times New Roman" w:hAnsi="Arial" w:cs="Arial"/>
          <w:kern w:val="0"/>
          <w:sz w:val="22"/>
          <w:szCs w:val="22"/>
          <w14:ligatures w14:val="none"/>
        </w:rPr>
        <w:t xml:space="preserve"> </w:t>
      </w:r>
      <w:r w:rsidRPr="00F2119B">
        <w:rPr>
          <w:rFonts w:ascii="Arial" w:eastAsia="Times New Roman" w:hAnsi="Arial" w:cs="Arial"/>
          <w:kern w:val="0"/>
          <w:sz w:val="22"/>
          <w:szCs w:val="22"/>
          <w14:ligatures w14:val="none"/>
        </w:rPr>
        <w:t>and Dixon, 2019</w:t>
      </w:r>
      <w:r w:rsidRPr="00627A8A">
        <w:rPr>
          <w:rFonts w:ascii="Arial" w:eastAsia="Times New Roman" w:hAnsi="Arial" w:cs="Arial"/>
          <w:kern w:val="0"/>
          <w:sz w:val="22"/>
          <w:szCs w:val="22"/>
          <w14:ligatures w14:val="none"/>
        </w:rPr>
        <w:t>) committed to developing through integrated care systems. When partnership working functions well in palliative settings, individuals are more likely to die in their preferred place, families receive adequate support</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 xml:space="preserve">the burden on acute hospital services is reduced (Gomes </w:t>
      </w:r>
      <w:r w:rsidRPr="00F2119B">
        <w:rPr>
          <w:rFonts w:ascii="Arial" w:eastAsia="Times New Roman" w:hAnsi="Arial" w:cs="Arial"/>
          <w:i/>
          <w:iCs/>
          <w:kern w:val="0"/>
          <w:sz w:val="22"/>
          <w:szCs w:val="22"/>
          <w14:ligatures w14:val="none"/>
        </w:rPr>
        <w:t>et al</w:t>
      </w:r>
      <w:r w:rsidRPr="00627A8A">
        <w:rPr>
          <w:rFonts w:ascii="Arial" w:eastAsia="Times New Roman" w:hAnsi="Arial" w:cs="Arial"/>
          <w:kern w:val="0"/>
          <w:sz w:val="22"/>
          <w:szCs w:val="22"/>
          <w14:ligatures w14:val="none"/>
        </w:rPr>
        <w:t>., 2013).</w:t>
      </w:r>
    </w:p>
    <w:p w14:paraId="3EC6D69D"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b/>
          <w:bCs/>
          <w:kern w:val="0"/>
          <w:sz w:val="22"/>
          <w:szCs w:val="22"/>
          <w14:ligatures w14:val="none"/>
        </w:rPr>
        <w:t>Critical Examination of Policy and Legislation in Relation to PCC and Partnership Working</w:t>
      </w:r>
    </w:p>
    <w:p w14:paraId="6D241581"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kern w:val="0"/>
          <w:sz w:val="22"/>
          <w:szCs w:val="22"/>
          <w14:ligatures w14:val="none"/>
        </w:rPr>
        <w:t>The legislative and policy framework surrounding PCC and partnership working in the UK is, on paper, extensive and well-intentioned. However, a critical examination reveals a persistent and troubling gap between what legislation promises and what is consistently delivered in practice.</w:t>
      </w:r>
    </w:p>
    <w:p w14:paraId="1C59F937"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kern w:val="0"/>
          <w:sz w:val="22"/>
          <w:szCs w:val="22"/>
          <w14:ligatures w14:val="none"/>
        </w:rPr>
        <w:lastRenderedPageBreak/>
        <w:t>The Care Act 2014 represented a significant step forward, consolidating adult social care law and placing individual wellbeing at its statutory center. It introduced a duty on local authorities to promote integration with NHS services and established a clearer framework for assessment, eligibility</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 xml:space="preserve">care planning. In theory, this created the conditions for genuine PCC and collaborative working. In practice, however, implementation has been heavily constrained by austerity-driven cuts to local authority budgets. </w:t>
      </w:r>
      <w:r>
        <w:rPr>
          <w:rFonts w:ascii="Arial" w:eastAsia="Times New Roman" w:hAnsi="Arial" w:cs="Arial"/>
          <w:kern w:val="0"/>
          <w:sz w:val="22"/>
          <w:szCs w:val="22"/>
          <w14:ligatures w14:val="none"/>
        </w:rPr>
        <w:t>A</w:t>
      </w:r>
      <w:r w:rsidRPr="00627A8A">
        <w:rPr>
          <w:rFonts w:ascii="Arial" w:eastAsia="Times New Roman" w:hAnsi="Arial" w:cs="Arial"/>
          <w:kern w:val="0"/>
          <w:sz w:val="22"/>
          <w:szCs w:val="22"/>
          <w14:ligatures w14:val="none"/>
        </w:rPr>
        <w:t>dult social care in England faced a funding gap of approximately £1.5 billion by 2023, making it increasingly difficult for local authorities to fulfil their Care Act duties in full</w:t>
      </w:r>
      <w:r>
        <w:rPr>
          <w:rFonts w:ascii="Arial" w:eastAsia="Times New Roman" w:hAnsi="Arial" w:cs="Arial"/>
          <w:kern w:val="0"/>
          <w:sz w:val="22"/>
          <w:szCs w:val="22"/>
          <w14:ligatures w14:val="none"/>
        </w:rPr>
        <w:t xml:space="preserve"> (</w:t>
      </w:r>
      <w:r w:rsidRPr="00E25496">
        <w:rPr>
          <w:rFonts w:ascii="Arial" w:eastAsia="Times New Roman" w:hAnsi="Arial" w:cs="Arial"/>
          <w:kern w:val="0"/>
          <w:sz w:val="22"/>
          <w:szCs w:val="22"/>
          <w14:ligatures w14:val="none"/>
        </w:rPr>
        <w:t>Health Foundation</w:t>
      </w:r>
      <w:r>
        <w:rPr>
          <w:rFonts w:ascii="Arial" w:eastAsia="Times New Roman" w:hAnsi="Arial" w:cs="Arial"/>
          <w:kern w:val="0"/>
          <w:sz w:val="22"/>
          <w:szCs w:val="22"/>
          <w14:ligatures w14:val="none"/>
        </w:rPr>
        <w:t xml:space="preserve">, </w:t>
      </w:r>
      <w:r w:rsidRPr="00E25496">
        <w:rPr>
          <w:rFonts w:ascii="Arial" w:eastAsia="Times New Roman" w:hAnsi="Arial" w:cs="Arial"/>
          <w:kern w:val="0"/>
          <w:sz w:val="22"/>
          <w:szCs w:val="22"/>
          <w14:ligatures w14:val="none"/>
        </w:rPr>
        <w:t>2020</w:t>
      </w:r>
      <w:r>
        <w:rPr>
          <w:rFonts w:ascii="Arial" w:eastAsia="Times New Roman" w:hAnsi="Arial" w:cs="Arial"/>
          <w:kern w:val="0"/>
          <w:sz w:val="22"/>
          <w:szCs w:val="22"/>
          <w14:ligatures w14:val="none"/>
        </w:rPr>
        <w:t>)</w:t>
      </w:r>
      <w:r w:rsidRPr="00627A8A">
        <w:rPr>
          <w:rFonts w:ascii="Arial" w:eastAsia="Times New Roman" w:hAnsi="Arial" w:cs="Arial"/>
          <w:kern w:val="0"/>
          <w:sz w:val="22"/>
          <w:szCs w:val="22"/>
          <w14:ligatures w14:val="none"/>
        </w:rPr>
        <w:t>. Legislation without adequate resourcing</w:t>
      </w:r>
      <w:r>
        <w:rPr>
          <w:rFonts w:ascii="Arial" w:eastAsia="Times New Roman" w:hAnsi="Arial" w:cs="Arial"/>
          <w:kern w:val="0"/>
          <w:sz w:val="22"/>
          <w:szCs w:val="22"/>
          <w14:ligatures w14:val="none"/>
        </w:rPr>
        <w:t xml:space="preserve"> </w:t>
      </w:r>
      <w:r w:rsidRPr="00627A8A">
        <w:rPr>
          <w:rFonts w:ascii="Arial" w:eastAsia="Times New Roman" w:hAnsi="Arial" w:cs="Arial"/>
          <w:kern w:val="0"/>
          <w:sz w:val="22"/>
          <w:szCs w:val="22"/>
          <w14:ligatures w14:val="none"/>
        </w:rPr>
        <w:t>risks becoming aspirational rather than operational</w:t>
      </w:r>
      <w:r>
        <w:rPr>
          <w:rFonts w:ascii="Arial" w:eastAsia="Times New Roman" w:hAnsi="Arial" w:cs="Arial"/>
          <w:kern w:val="0"/>
          <w:sz w:val="22"/>
          <w:szCs w:val="22"/>
          <w14:ligatures w14:val="none"/>
        </w:rPr>
        <w:t>,</w:t>
      </w:r>
      <w:r w:rsidRPr="00627A8A">
        <w:rPr>
          <w:rFonts w:ascii="Arial" w:eastAsia="Times New Roman" w:hAnsi="Arial" w:cs="Arial"/>
          <w:kern w:val="0"/>
          <w:sz w:val="22"/>
          <w:szCs w:val="22"/>
          <w14:ligatures w14:val="none"/>
        </w:rPr>
        <w:t xml:space="preserve"> a framework that describes what good care should look like without creating the conditions in which it can reliably be delivered</w:t>
      </w:r>
      <w:r>
        <w:rPr>
          <w:rFonts w:ascii="Arial" w:eastAsia="Times New Roman" w:hAnsi="Arial" w:cs="Arial"/>
          <w:kern w:val="0"/>
          <w:sz w:val="22"/>
          <w:szCs w:val="22"/>
          <w14:ligatures w14:val="none"/>
        </w:rPr>
        <w:t xml:space="preserve"> (</w:t>
      </w:r>
      <w:r w:rsidRPr="00E25496">
        <w:rPr>
          <w:rFonts w:ascii="Arial" w:eastAsia="Times New Roman" w:hAnsi="Arial" w:cs="Arial"/>
          <w:kern w:val="0"/>
          <w:sz w:val="22"/>
          <w:szCs w:val="22"/>
          <w14:ligatures w14:val="none"/>
        </w:rPr>
        <w:t>Humphries</w:t>
      </w:r>
      <w:r>
        <w:rPr>
          <w:rFonts w:ascii="Arial" w:eastAsia="Times New Roman" w:hAnsi="Arial" w:cs="Arial"/>
          <w:kern w:val="0"/>
          <w:sz w:val="22"/>
          <w:szCs w:val="22"/>
          <w14:ligatures w14:val="none"/>
        </w:rPr>
        <w:t xml:space="preserve">, </w:t>
      </w:r>
      <w:r w:rsidRPr="00E25496">
        <w:rPr>
          <w:rFonts w:ascii="Arial" w:eastAsia="Times New Roman" w:hAnsi="Arial" w:cs="Arial"/>
          <w:kern w:val="0"/>
          <w:sz w:val="22"/>
          <w:szCs w:val="22"/>
          <w14:ligatures w14:val="none"/>
        </w:rPr>
        <w:t>2015</w:t>
      </w:r>
      <w:r>
        <w:rPr>
          <w:rFonts w:ascii="Arial" w:eastAsia="Times New Roman" w:hAnsi="Arial" w:cs="Arial"/>
          <w:kern w:val="0"/>
          <w:sz w:val="22"/>
          <w:szCs w:val="22"/>
          <w14:ligatures w14:val="none"/>
        </w:rPr>
        <w:t>)</w:t>
      </w:r>
      <w:r w:rsidRPr="00627A8A">
        <w:rPr>
          <w:rFonts w:ascii="Arial" w:eastAsia="Times New Roman" w:hAnsi="Arial" w:cs="Arial"/>
          <w:kern w:val="0"/>
          <w:sz w:val="22"/>
          <w:szCs w:val="22"/>
          <w14:ligatures w14:val="none"/>
        </w:rPr>
        <w:t>.</w:t>
      </w:r>
    </w:p>
    <w:p w14:paraId="42BA767E"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kern w:val="0"/>
          <w:sz w:val="22"/>
          <w:szCs w:val="22"/>
          <w14:ligatures w14:val="none"/>
        </w:rPr>
        <w:t>The Mental Capacity Act 2005 similarly represents sound legislative intent. Its emphasis on supported decision-making, the presumption of capacity</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best interest determinations directly underpins PCC. Yet implementation has been uneven. The House of Lords Select Committee (2014) conducted a post-legislative scrutiny of the Act and found that its principles were poorly understood and inconsistently applied across health and social care settings, with many practitioners defaulting to paternalistic decision-making rather than genuinely supporting individuals to exercise their autonomy. This finding is significant because it illustrates that legislative reform, however well-designed, does not automatically translate into changed professional practice without corresponding investment in training, supervision</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organizational culture change.</w:t>
      </w:r>
    </w:p>
    <w:p w14:paraId="06608C81"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kern w:val="0"/>
          <w:sz w:val="22"/>
          <w:szCs w:val="22"/>
          <w14:ligatures w14:val="none"/>
        </w:rPr>
        <w:t xml:space="preserve">The Health and Social Care Act 2012 introduced structural reforms intended to drive integration and patient involvement through clinical commissioning groups. However, the reforms were widely criticized for increasing fragmentation rather than reducing it. </w:t>
      </w:r>
      <w:r>
        <w:rPr>
          <w:rFonts w:ascii="Arial" w:eastAsia="Times New Roman" w:hAnsi="Arial" w:cs="Arial"/>
          <w:kern w:val="0"/>
          <w:sz w:val="22"/>
          <w:szCs w:val="22"/>
          <w14:ligatures w14:val="none"/>
        </w:rPr>
        <w:t>T</w:t>
      </w:r>
      <w:r w:rsidRPr="00627A8A">
        <w:rPr>
          <w:rFonts w:ascii="Arial" w:eastAsia="Times New Roman" w:hAnsi="Arial" w:cs="Arial"/>
          <w:kern w:val="0"/>
          <w:sz w:val="22"/>
          <w:szCs w:val="22"/>
          <w14:ligatures w14:val="none"/>
        </w:rPr>
        <w:t>he marketisation elements of the Act created competitive dynamics between providers that actively undermined the collaborative relationships partnership working requires</w:t>
      </w:r>
      <w:r>
        <w:rPr>
          <w:rFonts w:ascii="Arial" w:eastAsia="Times New Roman" w:hAnsi="Arial" w:cs="Arial"/>
          <w:kern w:val="0"/>
          <w:sz w:val="22"/>
          <w:szCs w:val="22"/>
          <w14:ligatures w14:val="none"/>
        </w:rPr>
        <w:t xml:space="preserve"> (</w:t>
      </w:r>
      <w:proofErr w:type="spellStart"/>
      <w:r>
        <w:rPr>
          <w:rFonts w:ascii="Arial" w:eastAsia="Times New Roman" w:hAnsi="Arial" w:cs="Arial"/>
          <w:kern w:val="0"/>
          <w:sz w:val="22"/>
          <w:szCs w:val="22"/>
          <w14:ligatures w14:val="none"/>
        </w:rPr>
        <w:t>Exworthy</w:t>
      </w:r>
      <w:proofErr w:type="spellEnd"/>
      <w:r>
        <w:rPr>
          <w:rFonts w:ascii="Arial" w:eastAsia="Times New Roman" w:hAnsi="Arial" w:cs="Arial"/>
          <w:kern w:val="0"/>
          <w:sz w:val="22"/>
          <w:szCs w:val="22"/>
          <w14:ligatures w14:val="none"/>
        </w:rPr>
        <w:t xml:space="preserve"> </w:t>
      </w:r>
      <w:r w:rsidRPr="00E25496">
        <w:rPr>
          <w:rFonts w:ascii="Arial" w:eastAsia="Times New Roman" w:hAnsi="Arial" w:cs="Arial"/>
          <w:i/>
          <w:iCs/>
          <w:kern w:val="0"/>
          <w:sz w:val="22"/>
          <w:szCs w:val="22"/>
          <w14:ligatures w14:val="none"/>
        </w:rPr>
        <w:t>et al</w:t>
      </w:r>
      <w:r>
        <w:rPr>
          <w:rFonts w:ascii="Arial" w:eastAsia="Times New Roman" w:hAnsi="Arial" w:cs="Arial"/>
          <w:kern w:val="0"/>
          <w:sz w:val="22"/>
          <w:szCs w:val="22"/>
          <w14:ligatures w14:val="none"/>
        </w:rPr>
        <w:t>., 2016)</w:t>
      </w:r>
      <w:r w:rsidRPr="00627A8A">
        <w:rPr>
          <w:rFonts w:ascii="Arial" w:eastAsia="Times New Roman" w:hAnsi="Arial" w:cs="Arial"/>
          <w:kern w:val="0"/>
          <w:sz w:val="22"/>
          <w:szCs w:val="22"/>
          <w14:ligatures w14:val="none"/>
        </w:rPr>
        <w:t>. The internal market logic embedded in the 2012 Act sat in fundamental tension with the integration agenda it simultaneously promoted</w:t>
      </w:r>
      <w:r>
        <w:rPr>
          <w:rFonts w:ascii="Arial" w:eastAsia="Times New Roman" w:hAnsi="Arial" w:cs="Arial"/>
          <w:kern w:val="0"/>
          <w:sz w:val="22"/>
          <w:szCs w:val="22"/>
          <w14:ligatures w14:val="none"/>
        </w:rPr>
        <w:t>,</w:t>
      </w:r>
      <w:r w:rsidRPr="00627A8A">
        <w:rPr>
          <w:rFonts w:ascii="Arial" w:eastAsia="Times New Roman" w:hAnsi="Arial" w:cs="Arial"/>
          <w:kern w:val="0"/>
          <w:sz w:val="22"/>
          <w:szCs w:val="22"/>
          <w14:ligatures w14:val="none"/>
        </w:rPr>
        <w:t xml:space="preserve"> a contradiction that took a decade and further legislation to begin addressing.</w:t>
      </w:r>
    </w:p>
    <w:p w14:paraId="40FAE457"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kern w:val="0"/>
          <w:sz w:val="22"/>
          <w:szCs w:val="22"/>
          <w14:ligatures w14:val="none"/>
        </w:rPr>
        <w:t xml:space="preserve">The Health and Care Act 2022 attempted to correct this trajectory by establishing Integrated Care Systems (ICSs) as statutory bodies across England, bringing NHS organizations and local authorities into formal partnership structures with shared budgets and joint accountability. This is </w:t>
      </w:r>
      <w:r w:rsidRPr="00627A8A">
        <w:rPr>
          <w:rFonts w:ascii="Arial" w:eastAsia="Times New Roman" w:hAnsi="Arial" w:cs="Arial"/>
          <w:kern w:val="0"/>
          <w:sz w:val="22"/>
          <w:szCs w:val="22"/>
          <w14:ligatures w14:val="none"/>
        </w:rPr>
        <w:lastRenderedPageBreak/>
        <w:t>arguably the most significant structural step toward genuine health and social care integration in a generation. However, early evaluations have raised concerns.</w:t>
      </w:r>
      <w:r>
        <w:rPr>
          <w:rFonts w:ascii="Arial" w:eastAsia="Times New Roman" w:hAnsi="Arial" w:cs="Arial"/>
          <w:kern w:val="0"/>
          <w:sz w:val="22"/>
          <w:szCs w:val="22"/>
          <w14:ligatures w14:val="none"/>
        </w:rPr>
        <w:t xml:space="preserve"> </w:t>
      </w:r>
      <w:r w:rsidRPr="00627A8A">
        <w:rPr>
          <w:rFonts w:ascii="Arial" w:eastAsia="Times New Roman" w:hAnsi="Arial" w:cs="Arial"/>
          <w:kern w:val="0"/>
          <w:sz w:val="22"/>
          <w:szCs w:val="22"/>
          <w14:ligatures w14:val="none"/>
        </w:rPr>
        <w:t>ICSs were launched against a backdrop of severe workforce shortages, pandemic recovery pressures</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inadequate social care funding</w:t>
      </w:r>
      <w:r>
        <w:rPr>
          <w:rFonts w:ascii="Arial" w:eastAsia="Times New Roman" w:hAnsi="Arial" w:cs="Arial"/>
          <w:kern w:val="0"/>
          <w:sz w:val="22"/>
          <w:szCs w:val="22"/>
          <w14:ligatures w14:val="none"/>
        </w:rPr>
        <w:t>,</w:t>
      </w:r>
      <w:r w:rsidRPr="00627A8A">
        <w:rPr>
          <w:rFonts w:ascii="Arial" w:eastAsia="Times New Roman" w:hAnsi="Arial" w:cs="Arial"/>
          <w:kern w:val="0"/>
          <w:sz w:val="22"/>
          <w:szCs w:val="22"/>
          <w14:ligatures w14:val="none"/>
        </w:rPr>
        <w:t xml:space="preserve"> conditions that make meaningful integration exceptionally difficult regardless of structural intent</w:t>
      </w:r>
      <w:r>
        <w:rPr>
          <w:rFonts w:ascii="Arial" w:eastAsia="Times New Roman" w:hAnsi="Arial" w:cs="Arial"/>
          <w:kern w:val="0"/>
          <w:sz w:val="22"/>
          <w:szCs w:val="22"/>
          <w14:ligatures w14:val="none"/>
        </w:rPr>
        <w:t xml:space="preserve"> (Charles, 2022)</w:t>
      </w:r>
      <w:r w:rsidRPr="00627A8A">
        <w:rPr>
          <w:rFonts w:ascii="Arial" w:eastAsia="Times New Roman" w:hAnsi="Arial" w:cs="Arial"/>
          <w:kern w:val="0"/>
          <w:sz w:val="22"/>
          <w:szCs w:val="22"/>
          <w14:ligatures w14:val="none"/>
        </w:rPr>
        <w:t>. The risk, as with previous reforms, is that a well-designed policy architecture is undermined by the realities of under-resourced implementation.</w:t>
      </w:r>
    </w:p>
    <w:p w14:paraId="7416AF46"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kern w:val="0"/>
          <w:sz w:val="22"/>
          <w:szCs w:val="22"/>
          <w14:ligatures w14:val="none"/>
        </w:rPr>
        <w:t>What emerges from this critical examination is a consistent pattern: UK health and social care legislation has progressively embedded PCC and partnership working as statutory expectations, but the translation of those expectations into sustained, equitable practice has repeatedly been compromised by funding constraints, workforce pressures, cultural resistance</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structural contradictions within the policy landscape itself. Effective policy in this area must therefore address not only what services should do but also whether they are sufficiently resourced, culturally supported</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structurally coherent enough to do it.</w:t>
      </w:r>
    </w:p>
    <w:p w14:paraId="254F102F"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b/>
          <w:bCs/>
          <w:kern w:val="0"/>
          <w:sz w:val="22"/>
          <w:szCs w:val="22"/>
          <w14:ligatures w14:val="none"/>
        </w:rPr>
        <w:t>Recommendations for Future Development</w:t>
      </w:r>
    </w:p>
    <w:p w14:paraId="652CA95F"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kern w:val="0"/>
          <w:sz w:val="22"/>
          <w:szCs w:val="22"/>
          <w14:ligatures w14:val="none"/>
        </w:rPr>
        <w:t>Several concrete recommendations emerge from this evaluation.</w:t>
      </w:r>
    </w:p>
    <w:p w14:paraId="7D6A9A98"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kern w:val="0"/>
          <w:sz w:val="22"/>
          <w:szCs w:val="22"/>
          <w14:ligatures w14:val="none"/>
        </w:rPr>
        <w:t>First, investment in workforce development is essential. PCC and effective partnership working require practitioners who are not only clinically skilled but also trained in communication, ethical reasoning</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 xml:space="preserve">interprofessional collaboration. </w:t>
      </w:r>
      <w:r>
        <w:rPr>
          <w:rFonts w:ascii="Arial" w:eastAsia="Times New Roman" w:hAnsi="Arial" w:cs="Arial"/>
          <w:kern w:val="0"/>
          <w:sz w:val="22"/>
          <w:szCs w:val="22"/>
          <w14:ligatures w14:val="none"/>
        </w:rPr>
        <w:t xml:space="preserve">NHS </w:t>
      </w:r>
      <w:r w:rsidRPr="00627A8A">
        <w:rPr>
          <w:rFonts w:ascii="Arial" w:eastAsia="Times New Roman" w:hAnsi="Arial" w:cs="Arial"/>
          <w:kern w:val="0"/>
          <w:sz w:val="22"/>
          <w:szCs w:val="22"/>
          <w14:ligatures w14:val="none"/>
        </w:rPr>
        <w:t>England (2017) has called for these competencies to be embedded more consistently in pre-registration training across all health and social care disciplines.</w:t>
      </w:r>
    </w:p>
    <w:p w14:paraId="7DB9A76F"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kern w:val="0"/>
          <w:sz w:val="22"/>
          <w:szCs w:val="22"/>
          <w14:ligatures w14:val="none"/>
        </w:rPr>
        <w:t>Second, digital infrastructure must be developed to support integrated care. Shared care records, accessible to all relevant professionals and to service users themselves, would significantly reduce the information-sharing barriers that currently fragment care. The NHS Long Term Plan (</w:t>
      </w:r>
      <w:proofErr w:type="spellStart"/>
      <w:r w:rsidRPr="000314BB">
        <w:rPr>
          <w:rFonts w:ascii="Arial" w:eastAsia="Times New Roman" w:hAnsi="Arial" w:cs="Arial"/>
          <w:kern w:val="0"/>
          <w:sz w:val="22"/>
          <w:szCs w:val="22"/>
          <w14:ligatures w14:val="none"/>
        </w:rPr>
        <w:t>Alderwick</w:t>
      </w:r>
      <w:proofErr w:type="spellEnd"/>
      <w:r>
        <w:rPr>
          <w:rFonts w:ascii="Arial" w:eastAsia="Times New Roman" w:hAnsi="Arial" w:cs="Arial"/>
          <w:kern w:val="0"/>
          <w:sz w:val="22"/>
          <w:szCs w:val="22"/>
          <w14:ligatures w14:val="none"/>
        </w:rPr>
        <w:t xml:space="preserve"> </w:t>
      </w:r>
      <w:r w:rsidRPr="000314BB">
        <w:rPr>
          <w:rFonts w:ascii="Arial" w:eastAsia="Times New Roman" w:hAnsi="Arial" w:cs="Arial"/>
          <w:kern w:val="0"/>
          <w:sz w:val="22"/>
          <w:szCs w:val="22"/>
          <w14:ligatures w14:val="none"/>
        </w:rPr>
        <w:t>and Dixon, 2019</w:t>
      </w:r>
      <w:r w:rsidRPr="00627A8A">
        <w:rPr>
          <w:rFonts w:ascii="Arial" w:eastAsia="Times New Roman" w:hAnsi="Arial" w:cs="Arial"/>
          <w:kern w:val="0"/>
          <w:sz w:val="22"/>
          <w:szCs w:val="22"/>
          <w14:ligatures w14:val="none"/>
        </w:rPr>
        <w:t>) identified this as a priority, but progress has been slower than required.</w:t>
      </w:r>
    </w:p>
    <w:p w14:paraId="56595505"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kern w:val="0"/>
          <w:sz w:val="22"/>
          <w:szCs w:val="22"/>
          <w14:ligatures w14:val="none"/>
        </w:rPr>
        <w:t>Third, service user involvement in the design and evaluation of care services needs to move beyond tokenism. Co-production</w:t>
      </w:r>
      <w:r>
        <w:rPr>
          <w:rFonts w:ascii="Arial" w:eastAsia="Times New Roman" w:hAnsi="Arial" w:cs="Arial"/>
          <w:kern w:val="0"/>
          <w:sz w:val="22"/>
          <w:szCs w:val="22"/>
          <w14:ligatures w14:val="none"/>
        </w:rPr>
        <w:t>, a</w:t>
      </w:r>
      <w:r w:rsidRPr="00627A8A">
        <w:rPr>
          <w:rFonts w:ascii="Arial" w:eastAsia="Times New Roman" w:hAnsi="Arial" w:cs="Arial"/>
          <w:kern w:val="0"/>
          <w:sz w:val="22"/>
          <w:szCs w:val="22"/>
          <w14:ligatures w14:val="none"/>
        </w:rPr>
        <w:t xml:space="preserve"> genuine collaboration between professionals and those with lived experience has been shown to produce more effective and acceptable services (Bovaird, 2007)</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should be embedded in commissioning frameworks.</w:t>
      </w:r>
    </w:p>
    <w:p w14:paraId="3C1F78DC"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kern w:val="0"/>
          <w:sz w:val="22"/>
          <w:szCs w:val="22"/>
          <w14:ligatures w14:val="none"/>
        </w:rPr>
        <w:lastRenderedPageBreak/>
        <w:t xml:space="preserve">Fourth, the chronic underfunding of social care must be addressed as a matter of urgency. No amount of legislative or structural reform will deliver person-centered, integrated care if social care services remain financially unsustainable. The Health and Care Act 2022 </w:t>
      </w:r>
      <w:proofErr w:type="gramStart"/>
      <w:r w:rsidRPr="00627A8A">
        <w:rPr>
          <w:rFonts w:ascii="Arial" w:eastAsia="Times New Roman" w:hAnsi="Arial" w:cs="Arial"/>
          <w:kern w:val="0"/>
          <w:sz w:val="22"/>
          <w:szCs w:val="22"/>
          <w14:ligatures w14:val="none"/>
        </w:rPr>
        <w:t>represents</w:t>
      </w:r>
      <w:proofErr w:type="gramEnd"/>
      <w:r w:rsidRPr="00627A8A">
        <w:rPr>
          <w:rFonts w:ascii="Arial" w:eastAsia="Times New Roman" w:hAnsi="Arial" w:cs="Arial"/>
          <w:kern w:val="0"/>
          <w:sz w:val="22"/>
          <w:szCs w:val="22"/>
          <w14:ligatures w14:val="none"/>
        </w:rPr>
        <w:t xml:space="preserve"> a step forward, but long-term, ring-fenced investment is needed to translate its ambitions into consistent reality.</w:t>
      </w:r>
    </w:p>
    <w:p w14:paraId="182AFDC3" w14:textId="612D9CC8" w:rsidR="00097C90"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Lastly, a</w:t>
      </w:r>
      <w:r w:rsidRPr="00627A8A">
        <w:rPr>
          <w:rFonts w:ascii="Arial" w:eastAsia="Times New Roman" w:hAnsi="Arial" w:cs="Arial"/>
          <w:kern w:val="0"/>
          <w:sz w:val="22"/>
          <w:szCs w:val="22"/>
          <w14:ligatures w14:val="none"/>
        </w:rPr>
        <w:t xml:space="preserve"> national programme of cultural change within health and social care organizations is needed</w:t>
      </w:r>
      <w:r>
        <w:rPr>
          <w:rFonts w:ascii="Arial" w:eastAsia="Times New Roman" w:hAnsi="Arial" w:cs="Arial"/>
          <w:kern w:val="0"/>
          <w:sz w:val="22"/>
          <w:szCs w:val="22"/>
          <w14:ligatures w14:val="none"/>
        </w:rPr>
        <w:t xml:space="preserve">, </w:t>
      </w:r>
      <w:r w:rsidRPr="00627A8A">
        <w:rPr>
          <w:rFonts w:ascii="Arial" w:eastAsia="Times New Roman" w:hAnsi="Arial" w:cs="Arial"/>
          <w:kern w:val="0"/>
          <w:sz w:val="22"/>
          <w:szCs w:val="22"/>
          <w14:ligatures w14:val="none"/>
        </w:rPr>
        <w:t>one that moves beyond policy compliance toward embedding PCC and partnership values into professional identity, supervision frameworks</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 xml:space="preserve">organizational leadership. </w:t>
      </w:r>
      <w:r>
        <w:rPr>
          <w:rFonts w:ascii="Arial" w:eastAsia="Times New Roman" w:hAnsi="Arial" w:cs="Arial"/>
          <w:kern w:val="0"/>
          <w:sz w:val="22"/>
          <w:szCs w:val="22"/>
          <w14:ligatures w14:val="none"/>
        </w:rPr>
        <w:t>W</w:t>
      </w:r>
      <w:r w:rsidRPr="00627A8A">
        <w:rPr>
          <w:rFonts w:ascii="Arial" w:eastAsia="Times New Roman" w:hAnsi="Arial" w:cs="Arial"/>
          <w:kern w:val="0"/>
          <w:sz w:val="22"/>
          <w:szCs w:val="22"/>
          <w14:ligatures w14:val="none"/>
        </w:rPr>
        <w:t>orkplace culture is ultimately the medium through which all policy intentions must pass</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without attending to culture, even the best-designed legislative frameworks will fall short</w:t>
      </w:r>
      <w:r>
        <w:rPr>
          <w:rFonts w:ascii="Arial" w:eastAsia="Times New Roman" w:hAnsi="Arial" w:cs="Arial"/>
          <w:kern w:val="0"/>
          <w:sz w:val="22"/>
          <w:szCs w:val="22"/>
          <w14:ligatures w14:val="none"/>
        </w:rPr>
        <w:t xml:space="preserve"> (Niessen, 2011)</w:t>
      </w:r>
      <w:r w:rsidRPr="00627A8A">
        <w:rPr>
          <w:rFonts w:ascii="Arial" w:eastAsia="Times New Roman" w:hAnsi="Arial" w:cs="Arial"/>
          <w:kern w:val="0"/>
          <w:sz w:val="22"/>
          <w:szCs w:val="22"/>
          <w14:ligatures w14:val="none"/>
        </w:rPr>
        <w:t>.</w:t>
      </w:r>
    </w:p>
    <w:p w14:paraId="1A3A00D2" w14:textId="77777777" w:rsidR="004E66E5" w:rsidRDefault="004E66E5" w:rsidP="00540783">
      <w:pPr>
        <w:spacing w:before="100" w:beforeAutospacing="1" w:after="100" w:afterAutospacing="1" w:line="360" w:lineRule="auto"/>
        <w:jc w:val="both"/>
        <w:rPr>
          <w:rFonts w:ascii="Arial" w:eastAsia="Times New Roman" w:hAnsi="Arial" w:cs="Arial"/>
          <w:kern w:val="0"/>
          <w:sz w:val="22"/>
          <w:szCs w:val="22"/>
          <w14:ligatures w14:val="none"/>
        </w:rPr>
      </w:pPr>
    </w:p>
    <w:p w14:paraId="72BA2905" w14:textId="77777777" w:rsidR="004E66E5" w:rsidRDefault="004E66E5" w:rsidP="00540783">
      <w:pPr>
        <w:spacing w:before="100" w:beforeAutospacing="1" w:after="100" w:afterAutospacing="1" w:line="360" w:lineRule="auto"/>
        <w:jc w:val="both"/>
        <w:rPr>
          <w:rFonts w:ascii="Arial" w:eastAsia="Times New Roman" w:hAnsi="Arial" w:cs="Arial"/>
          <w:kern w:val="0"/>
          <w:sz w:val="22"/>
          <w:szCs w:val="22"/>
          <w14:ligatures w14:val="none"/>
        </w:rPr>
      </w:pPr>
    </w:p>
    <w:p w14:paraId="10EDD154" w14:textId="77777777" w:rsidR="004E66E5" w:rsidRDefault="004E66E5" w:rsidP="00540783">
      <w:pPr>
        <w:spacing w:before="100" w:beforeAutospacing="1" w:after="100" w:afterAutospacing="1" w:line="360" w:lineRule="auto"/>
        <w:jc w:val="both"/>
        <w:rPr>
          <w:rFonts w:ascii="Arial" w:eastAsia="Times New Roman" w:hAnsi="Arial" w:cs="Arial"/>
          <w:kern w:val="0"/>
          <w:sz w:val="22"/>
          <w:szCs w:val="22"/>
          <w14:ligatures w14:val="none"/>
        </w:rPr>
      </w:pPr>
    </w:p>
    <w:p w14:paraId="0201F728" w14:textId="77777777" w:rsidR="004E66E5" w:rsidRDefault="004E66E5" w:rsidP="00540783">
      <w:pPr>
        <w:spacing w:before="100" w:beforeAutospacing="1" w:after="100" w:afterAutospacing="1" w:line="360" w:lineRule="auto"/>
        <w:jc w:val="both"/>
        <w:rPr>
          <w:rFonts w:ascii="Arial" w:eastAsia="Times New Roman" w:hAnsi="Arial" w:cs="Arial"/>
          <w:kern w:val="0"/>
          <w:sz w:val="22"/>
          <w:szCs w:val="22"/>
          <w14:ligatures w14:val="none"/>
        </w:rPr>
      </w:pPr>
    </w:p>
    <w:p w14:paraId="05580C5B" w14:textId="77777777" w:rsidR="004E66E5" w:rsidRDefault="004E66E5" w:rsidP="00540783">
      <w:pPr>
        <w:spacing w:before="100" w:beforeAutospacing="1" w:after="100" w:afterAutospacing="1" w:line="360" w:lineRule="auto"/>
        <w:jc w:val="both"/>
        <w:rPr>
          <w:rFonts w:ascii="Arial" w:eastAsia="Times New Roman" w:hAnsi="Arial" w:cs="Arial"/>
          <w:kern w:val="0"/>
          <w:sz w:val="22"/>
          <w:szCs w:val="22"/>
          <w14:ligatures w14:val="none"/>
        </w:rPr>
      </w:pPr>
    </w:p>
    <w:p w14:paraId="0365A418" w14:textId="77777777" w:rsidR="004E66E5" w:rsidRDefault="004E66E5" w:rsidP="00540783">
      <w:pPr>
        <w:spacing w:before="100" w:beforeAutospacing="1" w:after="100" w:afterAutospacing="1" w:line="360" w:lineRule="auto"/>
        <w:jc w:val="both"/>
        <w:rPr>
          <w:rFonts w:ascii="Arial" w:eastAsia="Times New Roman" w:hAnsi="Arial" w:cs="Arial"/>
          <w:kern w:val="0"/>
          <w:sz w:val="22"/>
          <w:szCs w:val="22"/>
          <w14:ligatures w14:val="none"/>
        </w:rPr>
      </w:pPr>
    </w:p>
    <w:p w14:paraId="696F2F43" w14:textId="77777777" w:rsidR="004E66E5" w:rsidRDefault="004E66E5" w:rsidP="00540783">
      <w:pPr>
        <w:spacing w:before="100" w:beforeAutospacing="1" w:after="100" w:afterAutospacing="1" w:line="360" w:lineRule="auto"/>
        <w:jc w:val="both"/>
        <w:rPr>
          <w:rFonts w:ascii="Arial" w:eastAsia="Times New Roman" w:hAnsi="Arial" w:cs="Arial"/>
          <w:kern w:val="0"/>
          <w:sz w:val="22"/>
          <w:szCs w:val="22"/>
          <w14:ligatures w14:val="none"/>
        </w:rPr>
      </w:pPr>
    </w:p>
    <w:p w14:paraId="47C56B2D" w14:textId="77777777" w:rsidR="004E66E5" w:rsidRDefault="004E66E5" w:rsidP="00540783">
      <w:pPr>
        <w:spacing w:before="100" w:beforeAutospacing="1" w:after="100" w:afterAutospacing="1" w:line="360" w:lineRule="auto"/>
        <w:jc w:val="both"/>
        <w:rPr>
          <w:rFonts w:ascii="Arial" w:eastAsia="Times New Roman" w:hAnsi="Arial" w:cs="Arial"/>
          <w:kern w:val="0"/>
          <w:sz w:val="22"/>
          <w:szCs w:val="22"/>
          <w14:ligatures w14:val="none"/>
        </w:rPr>
      </w:pPr>
    </w:p>
    <w:p w14:paraId="47CB093B" w14:textId="77777777" w:rsidR="004E66E5" w:rsidRDefault="004E66E5" w:rsidP="00540783">
      <w:pPr>
        <w:spacing w:before="100" w:beforeAutospacing="1" w:after="100" w:afterAutospacing="1" w:line="360" w:lineRule="auto"/>
        <w:jc w:val="both"/>
        <w:rPr>
          <w:rFonts w:ascii="Arial" w:eastAsia="Times New Roman" w:hAnsi="Arial" w:cs="Arial"/>
          <w:kern w:val="0"/>
          <w:sz w:val="22"/>
          <w:szCs w:val="22"/>
          <w14:ligatures w14:val="none"/>
        </w:rPr>
      </w:pPr>
    </w:p>
    <w:p w14:paraId="269B1E1A" w14:textId="77777777" w:rsidR="004E66E5" w:rsidRDefault="004E66E5" w:rsidP="00540783">
      <w:pPr>
        <w:spacing w:before="100" w:beforeAutospacing="1" w:after="100" w:afterAutospacing="1" w:line="360" w:lineRule="auto"/>
        <w:jc w:val="both"/>
        <w:rPr>
          <w:rFonts w:ascii="Arial" w:eastAsia="Times New Roman" w:hAnsi="Arial" w:cs="Arial"/>
          <w:kern w:val="0"/>
          <w:sz w:val="22"/>
          <w:szCs w:val="22"/>
          <w14:ligatures w14:val="none"/>
        </w:rPr>
      </w:pPr>
    </w:p>
    <w:p w14:paraId="20C0127E" w14:textId="77777777" w:rsidR="004E66E5" w:rsidRDefault="004E66E5" w:rsidP="00540783">
      <w:pPr>
        <w:spacing w:before="100" w:beforeAutospacing="1" w:after="100" w:afterAutospacing="1" w:line="360" w:lineRule="auto"/>
        <w:jc w:val="both"/>
        <w:rPr>
          <w:rFonts w:ascii="Arial" w:eastAsia="Times New Roman" w:hAnsi="Arial" w:cs="Arial"/>
          <w:kern w:val="0"/>
          <w:sz w:val="22"/>
          <w:szCs w:val="22"/>
          <w14:ligatures w14:val="none"/>
        </w:rPr>
      </w:pPr>
    </w:p>
    <w:p w14:paraId="17AEACF6" w14:textId="77777777" w:rsidR="004E66E5" w:rsidRDefault="004E66E5" w:rsidP="00540783">
      <w:pPr>
        <w:spacing w:before="100" w:beforeAutospacing="1" w:after="100" w:afterAutospacing="1" w:line="360" w:lineRule="auto"/>
        <w:jc w:val="both"/>
        <w:rPr>
          <w:rFonts w:ascii="Arial" w:eastAsia="Times New Roman" w:hAnsi="Arial" w:cs="Arial"/>
          <w:kern w:val="0"/>
          <w:sz w:val="22"/>
          <w:szCs w:val="22"/>
          <w14:ligatures w14:val="none"/>
        </w:rPr>
      </w:pPr>
    </w:p>
    <w:p w14:paraId="37CF563B" w14:textId="77777777" w:rsidR="004E66E5" w:rsidRDefault="004E66E5" w:rsidP="00540783">
      <w:pPr>
        <w:spacing w:before="100" w:beforeAutospacing="1" w:after="100" w:afterAutospacing="1" w:line="360" w:lineRule="auto"/>
        <w:jc w:val="both"/>
        <w:rPr>
          <w:rFonts w:ascii="Arial" w:eastAsia="Times New Roman" w:hAnsi="Arial" w:cs="Arial"/>
          <w:kern w:val="0"/>
          <w:sz w:val="22"/>
          <w:szCs w:val="22"/>
          <w14:ligatures w14:val="none"/>
        </w:rPr>
      </w:pPr>
    </w:p>
    <w:p w14:paraId="08EDCD4D" w14:textId="232E0700" w:rsidR="00540783" w:rsidRDefault="00540783" w:rsidP="00540783">
      <w:pPr>
        <w:spacing w:before="100" w:beforeAutospacing="1" w:after="100" w:afterAutospacing="1" w:line="360" w:lineRule="auto"/>
        <w:jc w:val="both"/>
        <w:rPr>
          <w:rFonts w:ascii="Arial" w:eastAsia="Times New Roman" w:hAnsi="Arial" w:cs="Arial"/>
          <w:b/>
          <w:bCs/>
          <w:kern w:val="0"/>
          <w:sz w:val="22"/>
          <w:szCs w:val="22"/>
          <w14:ligatures w14:val="none"/>
        </w:rPr>
      </w:pPr>
      <w:r w:rsidRPr="00540783">
        <w:rPr>
          <w:rFonts w:ascii="Arial" w:eastAsia="Times New Roman" w:hAnsi="Arial" w:cs="Arial"/>
          <w:b/>
          <w:bCs/>
          <w:kern w:val="0"/>
          <w:sz w:val="22"/>
          <w:szCs w:val="22"/>
          <w14:ligatures w14:val="none"/>
        </w:rPr>
        <w:lastRenderedPageBreak/>
        <w:t>References</w:t>
      </w:r>
    </w:p>
    <w:p w14:paraId="7D995152" w14:textId="77777777" w:rsidR="00540783" w:rsidRDefault="00540783" w:rsidP="00540783">
      <w:pPr>
        <w:spacing w:line="360" w:lineRule="auto"/>
        <w:jc w:val="both"/>
        <w:rPr>
          <w:rFonts w:ascii="Arial" w:hAnsi="Arial" w:cs="Arial"/>
          <w:color w:val="222222"/>
          <w:sz w:val="22"/>
          <w:szCs w:val="22"/>
          <w:shd w:val="clear" w:color="auto" w:fill="FFFFFF"/>
        </w:rPr>
      </w:pPr>
      <w:proofErr w:type="spellStart"/>
      <w:r w:rsidRPr="00F74813">
        <w:rPr>
          <w:rFonts w:ascii="Arial" w:hAnsi="Arial" w:cs="Arial"/>
          <w:color w:val="222222"/>
          <w:sz w:val="22"/>
          <w:szCs w:val="22"/>
          <w:shd w:val="clear" w:color="auto" w:fill="FFFFFF"/>
        </w:rPr>
        <w:t>Alderwick</w:t>
      </w:r>
      <w:proofErr w:type="spellEnd"/>
      <w:r w:rsidRPr="00F74813">
        <w:rPr>
          <w:rFonts w:ascii="Arial" w:hAnsi="Arial" w:cs="Arial"/>
          <w:color w:val="222222"/>
          <w:sz w:val="22"/>
          <w:szCs w:val="22"/>
          <w:shd w:val="clear" w:color="auto" w:fill="FFFFFF"/>
        </w:rPr>
        <w:t>, H. and Dixon, J., 2019. The NHS long term plan. </w:t>
      </w:r>
      <w:proofErr w:type="spellStart"/>
      <w:r w:rsidRPr="00F74813">
        <w:rPr>
          <w:rFonts w:ascii="Arial" w:hAnsi="Arial" w:cs="Arial"/>
          <w:i/>
          <w:iCs/>
          <w:color w:val="222222"/>
          <w:sz w:val="22"/>
          <w:szCs w:val="22"/>
          <w:shd w:val="clear" w:color="auto" w:fill="FFFFFF"/>
        </w:rPr>
        <w:t>bmj</w:t>
      </w:r>
      <w:proofErr w:type="spellEnd"/>
      <w:r w:rsidRPr="00F74813">
        <w:rPr>
          <w:rFonts w:ascii="Arial" w:hAnsi="Arial" w:cs="Arial"/>
          <w:color w:val="222222"/>
          <w:sz w:val="22"/>
          <w:szCs w:val="22"/>
          <w:shd w:val="clear" w:color="auto" w:fill="FFFFFF"/>
        </w:rPr>
        <w:t>, </w:t>
      </w:r>
      <w:r w:rsidRPr="00F74813">
        <w:rPr>
          <w:rFonts w:ascii="Arial" w:hAnsi="Arial" w:cs="Arial"/>
          <w:i/>
          <w:iCs/>
          <w:color w:val="222222"/>
          <w:sz w:val="22"/>
          <w:szCs w:val="22"/>
          <w:shd w:val="clear" w:color="auto" w:fill="FFFFFF"/>
        </w:rPr>
        <w:t>364</w:t>
      </w:r>
      <w:r w:rsidRPr="00F74813">
        <w:rPr>
          <w:rFonts w:ascii="Arial" w:hAnsi="Arial" w:cs="Arial"/>
          <w:color w:val="222222"/>
          <w:sz w:val="22"/>
          <w:szCs w:val="22"/>
          <w:shd w:val="clear" w:color="auto" w:fill="FFFFFF"/>
        </w:rPr>
        <w:t>.</w:t>
      </w:r>
    </w:p>
    <w:p w14:paraId="7DD1B69D" w14:textId="77777777" w:rsidR="00540783" w:rsidRDefault="00540783" w:rsidP="00540783">
      <w:pPr>
        <w:spacing w:line="360" w:lineRule="auto"/>
        <w:jc w:val="both"/>
        <w:rPr>
          <w:rFonts w:ascii="Arial" w:hAnsi="Arial" w:cs="Arial"/>
          <w:color w:val="222222"/>
          <w:sz w:val="22"/>
          <w:szCs w:val="22"/>
          <w:shd w:val="clear" w:color="auto" w:fill="FFFFFF"/>
        </w:rPr>
      </w:pPr>
      <w:r w:rsidRPr="00DE1844">
        <w:rPr>
          <w:rFonts w:ascii="Arial" w:hAnsi="Arial" w:cs="Arial"/>
          <w:color w:val="222222"/>
          <w:sz w:val="22"/>
          <w:szCs w:val="22"/>
          <w:shd w:val="clear" w:color="auto" w:fill="FFFFFF"/>
        </w:rPr>
        <w:t>Banks, S., 2020. </w:t>
      </w:r>
      <w:r w:rsidRPr="00DE1844">
        <w:rPr>
          <w:rFonts w:ascii="Arial" w:hAnsi="Arial" w:cs="Arial"/>
          <w:i/>
          <w:iCs/>
          <w:color w:val="222222"/>
          <w:sz w:val="22"/>
          <w:szCs w:val="22"/>
          <w:shd w:val="clear" w:color="auto" w:fill="FFFFFF"/>
        </w:rPr>
        <w:t>Ethics and values in social work</w:t>
      </w:r>
      <w:r w:rsidRPr="00DE1844">
        <w:rPr>
          <w:rFonts w:ascii="Arial" w:hAnsi="Arial" w:cs="Arial"/>
          <w:color w:val="222222"/>
          <w:sz w:val="22"/>
          <w:szCs w:val="22"/>
          <w:shd w:val="clear" w:color="auto" w:fill="FFFFFF"/>
        </w:rPr>
        <w:t>. Bloomsbury Publishing.</w:t>
      </w:r>
    </w:p>
    <w:p w14:paraId="7157A0BD" w14:textId="77777777" w:rsidR="00540783" w:rsidRDefault="00540783" w:rsidP="00540783">
      <w:pPr>
        <w:spacing w:line="360" w:lineRule="auto"/>
        <w:jc w:val="both"/>
        <w:rPr>
          <w:rFonts w:ascii="Arial" w:hAnsi="Arial" w:cs="Arial"/>
          <w:color w:val="222222"/>
          <w:sz w:val="22"/>
          <w:szCs w:val="22"/>
          <w:shd w:val="clear" w:color="auto" w:fill="FFFFFF"/>
        </w:rPr>
      </w:pPr>
      <w:r w:rsidRPr="00DE1844">
        <w:rPr>
          <w:rFonts w:ascii="Arial" w:hAnsi="Arial" w:cs="Arial"/>
          <w:color w:val="222222"/>
          <w:sz w:val="22"/>
          <w:szCs w:val="22"/>
          <w:shd w:val="clear" w:color="auto" w:fill="FFFFFF"/>
        </w:rPr>
        <w:t>Beauchamp, T.L. and Childress, J.F., 1994. </w:t>
      </w:r>
      <w:r w:rsidRPr="00DE1844">
        <w:rPr>
          <w:rFonts w:ascii="Arial" w:hAnsi="Arial" w:cs="Arial"/>
          <w:i/>
          <w:iCs/>
          <w:color w:val="222222"/>
          <w:sz w:val="22"/>
          <w:szCs w:val="22"/>
          <w:shd w:val="clear" w:color="auto" w:fill="FFFFFF"/>
        </w:rPr>
        <w:t>Principles of biomedical ethics</w:t>
      </w:r>
      <w:r w:rsidRPr="00DE1844">
        <w:rPr>
          <w:rFonts w:ascii="Arial" w:hAnsi="Arial" w:cs="Arial"/>
          <w:color w:val="222222"/>
          <w:sz w:val="22"/>
          <w:szCs w:val="22"/>
          <w:shd w:val="clear" w:color="auto" w:fill="FFFFFF"/>
        </w:rPr>
        <w:t xml:space="preserve">. </w:t>
      </w:r>
      <w:proofErr w:type="spellStart"/>
      <w:r w:rsidRPr="00DE1844">
        <w:rPr>
          <w:rFonts w:ascii="Arial" w:hAnsi="Arial" w:cs="Arial"/>
          <w:color w:val="222222"/>
          <w:sz w:val="22"/>
          <w:szCs w:val="22"/>
          <w:shd w:val="clear" w:color="auto" w:fill="FFFFFF"/>
        </w:rPr>
        <w:t>Edicoes</w:t>
      </w:r>
      <w:proofErr w:type="spellEnd"/>
      <w:r w:rsidRPr="00DE1844">
        <w:rPr>
          <w:rFonts w:ascii="Arial" w:hAnsi="Arial" w:cs="Arial"/>
          <w:color w:val="222222"/>
          <w:sz w:val="22"/>
          <w:szCs w:val="22"/>
          <w:shd w:val="clear" w:color="auto" w:fill="FFFFFF"/>
        </w:rPr>
        <w:t xml:space="preserve"> Loyola.</w:t>
      </w:r>
    </w:p>
    <w:p w14:paraId="49BE6EAB" w14:textId="77777777" w:rsidR="00540783" w:rsidRPr="00476F07" w:rsidRDefault="00540783" w:rsidP="00540783">
      <w:pPr>
        <w:spacing w:line="360" w:lineRule="auto"/>
        <w:jc w:val="both"/>
        <w:rPr>
          <w:rFonts w:ascii="Arial" w:hAnsi="Arial" w:cs="Arial"/>
          <w:color w:val="222222"/>
          <w:sz w:val="22"/>
          <w:szCs w:val="22"/>
          <w:shd w:val="clear" w:color="auto" w:fill="FFFFFF"/>
        </w:rPr>
      </w:pPr>
      <w:r w:rsidRPr="00120A2E">
        <w:rPr>
          <w:rFonts w:ascii="Arial" w:hAnsi="Arial" w:cs="Arial"/>
          <w:color w:val="222222"/>
          <w:sz w:val="22"/>
          <w:szCs w:val="22"/>
          <w:shd w:val="clear" w:color="auto" w:fill="FFFFFF"/>
        </w:rPr>
        <w:t>Bovaird, T., 2007. Beyond engagement and participation: User and community coproduction of public services. </w:t>
      </w:r>
      <w:r w:rsidRPr="00120A2E">
        <w:rPr>
          <w:rFonts w:ascii="Arial" w:hAnsi="Arial" w:cs="Arial"/>
          <w:i/>
          <w:iCs/>
          <w:color w:val="222222"/>
          <w:sz w:val="22"/>
          <w:szCs w:val="22"/>
          <w:shd w:val="clear" w:color="auto" w:fill="FFFFFF"/>
        </w:rPr>
        <w:t>Public administration review</w:t>
      </w:r>
      <w:r w:rsidRPr="00120A2E">
        <w:rPr>
          <w:rFonts w:ascii="Arial" w:hAnsi="Arial" w:cs="Arial"/>
          <w:color w:val="222222"/>
          <w:sz w:val="22"/>
          <w:szCs w:val="22"/>
          <w:shd w:val="clear" w:color="auto" w:fill="FFFFFF"/>
        </w:rPr>
        <w:t>, </w:t>
      </w:r>
      <w:r w:rsidRPr="00120A2E">
        <w:rPr>
          <w:rFonts w:ascii="Arial" w:hAnsi="Arial" w:cs="Arial"/>
          <w:i/>
          <w:iCs/>
          <w:color w:val="222222"/>
          <w:sz w:val="22"/>
          <w:szCs w:val="22"/>
          <w:shd w:val="clear" w:color="auto" w:fill="FFFFFF"/>
        </w:rPr>
        <w:t>67</w:t>
      </w:r>
      <w:r w:rsidRPr="00120A2E">
        <w:rPr>
          <w:rFonts w:ascii="Arial" w:hAnsi="Arial" w:cs="Arial"/>
          <w:color w:val="222222"/>
          <w:sz w:val="22"/>
          <w:szCs w:val="22"/>
          <w:shd w:val="clear" w:color="auto" w:fill="FFFFFF"/>
        </w:rPr>
        <w:t>(5), pp.846-860.</w:t>
      </w:r>
    </w:p>
    <w:p w14:paraId="29A86147" w14:textId="77777777" w:rsidR="00540783" w:rsidRDefault="00540783" w:rsidP="00540783">
      <w:pPr>
        <w:spacing w:line="360" w:lineRule="auto"/>
        <w:jc w:val="both"/>
        <w:rPr>
          <w:rFonts w:ascii="Arial" w:hAnsi="Arial" w:cs="Arial"/>
          <w:color w:val="222222"/>
          <w:sz w:val="22"/>
          <w:szCs w:val="22"/>
          <w:shd w:val="clear" w:color="auto" w:fill="FFFFFF"/>
        </w:rPr>
      </w:pPr>
      <w:r w:rsidRPr="005A462C">
        <w:rPr>
          <w:rFonts w:ascii="Arial" w:hAnsi="Arial" w:cs="Arial"/>
          <w:color w:val="222222"/>
          <w:sz w:val="22"/>
          <w:szCs w:val="22"/>
          <w:shd w:val="clear" w:color="auto" w:fill="FFFFFF"/>
        </w:rPr>
        <w:t xml:space="preserve">Charles, A. (2022) </w:t>
      </w:r>
      <w:r w:rsidRPr="005A462C">
        <w:rPr>
          <w:rFonts w:ascii="Arial" w:hAnsi="Arial" w:cs="Arial"/>
          <w:i/>
          <w:iCs/>
          <w:color w:val="222222"/>
          <w:sz w:val="22"/>
          <w:szCs w:val="22"/>
          <w:shd w:val="clear" w:color="auto" w:fill="FFFFFF"/>
        </w:rPr>
        <w:t>Integrated care systems explained</w:t>
      </w:r>
      <w:r w:rsidRPr="005A462C">
        <w:rPr>
          <w:rFonts w:ascii="Arial" w:hAnsi="Arial" w:cs="Arial"/>
          <w:color w:val="222222"/>
          <w:sz w:val="22"/>
          <w:szCs w:val="22"/>
          <w:shd w:val="clear" w:color="auto" w:fill="FFFFFF"/>
        </w:rPr>
        <w:t xml:space="preserve">. The King's Fund. Available at: </w:t>
      </w:r>
      <w:hyperlink r:id="rId4" w:tgtFrame="_new" w:history="1">
        <w:r w:rsidRPr="005A462C">
          <w:rPr>
            <w:rStyle w:val="Hyperlink"/>
            <w:rFonts w:ascii="Arial" w:hAnsi="Arial" w:cs="Arial"/>
            <w:sz w:val="22"/>
            <w:szCs w:val="22"/>
            <w:shd w:val="clear" w:color="auto" w:fill="FFFFFF"/>
          </w:rPr>
          <w:t>https://www.kingsfund.org.uk/insight-and-analysis/long-reads/integrated-care-systems-explained</w:t>
        </w:r>
      </w:hyperlink>
      <w:r w:rsidRPr="005A462C">
        <w:rPr>
          <w:rFonts w:ascii="Arial" w:hAnsi="Arial" w:cs="Arial"/>
          <w:color w:val="222222"/>
          <w:sz w:val="22"/>
          <w:szCs w:val="22"/>
          <w:shd w:val="clear" w:color="auto" w:fill="FFFFFF"/>
        </w:rPr>
        <w:t xml:space="preserve"> (Accessed: 11 June 2026).</w:t>
      </w:r>
    </w:p>
    <w:p w14:paraId="3BA89B63" w14:textId="77777777" w:rsidR="00540783" w:rsidRDefault="00540783" w:rsidP="00540783">
      <w:pPr>
        <w:spacing w:line="360" w:lineRule="auto"/>
        <w:jc w:val="both"/>
        <w:rPr>
          <w:rFonts w:ascii="Arial" w:hAnsi="Arial" w:cs="Arial"/>
          <w:color w:val="222222"/>
          <w:sz w:val="22"/>
          <w:szCs w:val="22"/>
          <w:shd w:val="clear" w:color="auto" w:fill="FFFFFF"/>
        </w:rPr>
      </w:pPr>
      <w:r w:rsidRPr="00476F07">
        <w:rPr>
          <w:rFonts w:ascii="Arial" w:hAnsi="Arial" w:cs="Arial"/>
          <w:color w:val="222222"/>
          <w:sz w:val="22"/>
          <w:szCs w:val="22"/>
          <w:shd w:val="clear" w:color="auto" w:fill="FFFFFF"/>
        </w:rPr>
        <w:t>Coulter, A. and Ellins, J., 2007. Effectiveness of strategies for informing, educating, and involving patients. </w:t>
      </w:r>
      <w:proofErr w:type="spellStart"/>
      <w:r w:rsidRPr="00476F07">
        <w:rPr>
          <w:rFonts w:ascii="Arial" w:hAnsi="Arial" w:cs="Arial"/>
          <w:i/>
          <w:iCs/>
          <w:color w:val="222222"/>
          <w:sz w:val="22"/>
          <w:szCs w:val="22"/>
          <w:shd w:val="clear" w:color="auto" w:fill="FFFFFF"/>
        </w:rPr>
        <w:t>Bmj</w:t>
      </w:r>
      <w:proofErr w:type="spellEnd"/>
      <w:r w:rsidRPr="00476F07">
        <w:rPr>
          <w:rFonts w:ascii="Arial" w:hAnsi="Arial" w:cs="Arial"/>
          <w:color w:val="222222"/>
          <w:sz w:val="22"/>
          <w:szCs w:val="22"/>
          <w:shd w:val="clear" w:color="auto" w:fill="FFFFFF"/>
        </w:rPr>
        <w:t>, </w:t>
      </w:r>
      <w:r w:rsidRPr="00476F07">
        <w:rPr>
          <w:rFonts w:ascii="Arial" w:hAnsi="Arial" w:cs="Arial"/>
          <w:i/>
          <w:iCs/>
          <w:color w:val="222222"/>
          <w:sz w:val="22"/>
          <w:szCs w:val="22"/>
          <w:shd w:val="clear" w:color="auto" w:fill="FFFFFF"/>
        </w:rPr>
        <w:t>335</w:t>
      </w:r>
      <w:r w:rsidRPr="00476F07">
        <w:rPr>
          <w:rFonts w:ascii="Arial" w:hAnsi="Arial" w:cs="Arial"/>
          <w:color w:val="222222"/>
          <w:sz w:val="22"/>
          <w:szCs w:val="22"/>
          <w:shd w:val="clear" w:color="auto" w:fill="FFFFFF"/>
        </w:rPr>
        <w:t>(7609), pp.24-27.</w:t>
      </w:r>
    </w:p>
    <w:p w14:paraId="4E5E0074" w14:textId="77777777" w:rsidR="00540783" w:rsidRDefault="00540783" w:rsidP="00540783">
      <w:pPr>
        <w:spacing w:line="360" w:lineRule="auto"/>
        <w:jc w:val="both"/>
        <w:rPr>
          <w:rFonts w:ascii="Arial" w:hAnsi="Arial" w:cs="Arial"/>
          <w:color w:val="222222"/>
          <w:sz w:val="22"/>
          <w:szCs w:val="22"/>
          <w:shd w:val="clear" w:color="auto" w:fill="FFFFFF"/>
        </w:rPr>
      </w:pPr>
      <w:r w:rsidRPr="00DE1844">
        <w:rPr>
          <w:rFonts w:ascii="Arial" w:hAnsi="Arial" w:cs="Arial"/>
          <w:color w:val="222222"/>
          <w:sz w:val="22"/>
          <w:szCs w:val="22"/>
          <w:shd w:val="clear" w:color="auto" w:fill="FFFFFF"/>
        </w:rPr>
        <w:t>D'amour, D., Ferrada-Videla, M., San Martin Rodriguez, L. and Beaulieu, M.D., 2005. The conceptual basis for interprofessional collaboration: Core concepts and theoretical frameworks. </w:t>
      </w:r>
      <w:r w:rsidRPr="00DE1844">
        <w:rPr>
          <w:rFonts w:ascii="Arial" w:hAnsi="Arial" w:cs="Arial"/>
          <w:i/>
          <w:iCs/>
          <w:color w:val="222222"/>
          <w:sz w:val="22"/>
          <w:szCs w:val="22"/>
          <w:shd w:val="clear" w:color="auto" w:fill="FFFFFF"/>
        </w:rPr>
        <w:t>Journal of interprofessional care</w:t>
      </w:r>
      <w:r w:rsidRPr="00DE1844">
        <w:rPr>
          <w:rFonts w:ascii="Arial" w:hAnsi="Arial" w:cs="Arial"/>
          <w:color w:val="222222"/>
          <w:sz w:val="22"/>
          <w:szCs w:val="22"/>
          <w:shd w:val="clear" w:color="auto" w:fill="FFFFFF"/>
        </w:rPr>
        <w:t>, </w:t>
      </w:r>
      <w:r w:rsidRPr="00DE1844">
        <w:rPr>
          <w:rFonts w:ascii="Arial" w:hAnsi="Arial" w:cs="Arial"/>
          <w:i/>
          <w:iCs/>
          <w:color w:val="222222"/>
          <w:sz w:val="22"/>
          <w:szCs w:val="22"/>
          <w:shd w:val="clear" w:color="auto" w:fill="FFFFFF"/>
        </w:rPr>
        <w:t>19</w:t>
      </w:r>
      <w:r w:rsidRPr="00DE1844">
        <w:rPr>
          <w:rFonts w:ascii="Arial" w:hAnsi="Arial" w:cs="Arial"/>
          <w:color w:val="222222"/>
          <w:sz w:val="22"/>
          <w:szCs w:val="22"/>
          <w:shd w:val="clear" w:color="auto" w:fill="FFFFFF"/>
        </w:rPr>
        <w:t>(sup1), pp.116-131.</w:t>
      </w:r>
    </w:p>
    <w:p w14:paraId="074433AB" w14:textId="77777777" w:rsidR="00540783" w:rsidRDefault="00540783" w:rsidP="00540783">
      <w:pPr>
        <w:spacing w:line="360" w:lineRule="auto"/>
        <w:jc w:val="both"/>
        <w:rPr>
          <w:rFonts w:ascii="Arial" w:hAnsi="Arial" w:cs="Arial"/>
          <w:color w:val="222222"/>
          <w:sz w:val="22"/>
          <w:szCs w:val="22"/>
          <w:shd w:val="clear" w:color="auto" w:fill="FFFFFF"/>
        </w:rPr>
      </w:pPr>
      <w:r w:rsidRPr="00476F07">
        <w:rPr>
          <w:rFonts w:ascii="Arial" w:hAnsi="Arial" w:cs="Arial"/>
          <w:color w:val="222222"/>
          <w:sz w:val="22"/>
          <w:szCs w:val="22"/>
          <w:shd w:val="clear" w:color="auto" w:fill="FFFFFF"/>
        </w:rPr>
        <w:t>Edvardsson, D., Winblad, B. and Sandman, P.O., 2008. Person-</w:t>
      </w:r>
      <w:proofErr w:type="spellStart"/>
      <w:r w:rsidRPr="00476F07">
        <w:rPr>
          <w:rFonts w:ascii="Arial" w:hAnsi="Arial" w:cs="Arial"/>
          <w:color w:val="222222"/>
          <w:sz w:val="22"/>
          <w:szCs w:val="22"/>
          <w:shd w:val="clear" w:color="auto" w:fill="FFFFFF"/>
        </w:rPr>
        <w:t>centred</w:t>
      </w:r>
      <w:proofErr w:type="spellEnd"/>
      <w:r w:rsidRPr="00476F07">
        <w:rPr>
          <w:rFonts w:ascii="Arial" w:hAnsi="Arial" w:cs="Arial"/>
          <w:color w:val="222222"/>
          <w:sz w:val="22"/>
          <w:szCs w:val="22"/>
          <w:shd w:val="clear" w:color="auto" w:fill="FFFFFF"/>
        </w:rPr>
        <w:t xml:space="preserve"> care of people with severe Alzheimer's disease: current status and ways forward. </w:t>
      </w:r>
      <w:r w:rsidRPr="00476F07">
        <w:rPr>
          <w:rFonts w:ascii="Arial" w:hAnsi="Arial" w:cs="Arial"/>
          <w:i/>
          <w:iCs/>
          <w:color w:val="222222"/>
          <w:sz w:val="22"/>
          <w:szCs w:val="22"/>
          <w:shd w:val="clear" w:color="auto" w:fill="FFFFFF"/>
        </w:rPr>
        <w:t>the Lancet neurology</w:t>
      </w:r>
      <w:r w:rsidRPr="00476F07">
        <w:rPr>
          <w:rFonts w:ascii="Arial" w:hAnsi="Arial" w:cs="Arial"/>
          <w:color w:val="222222"/>
          <w:sz w:val="22"/>
          <w:szCs w:val="22"/>
          <w:shd w:val="clear" w:color="auto" w:fill="FFFFFF"/>
        </w:rPr>
        <w:t>, </w:t>
      </w:r>
      <w:r w:rsidRPr="00476F07">
        <w:rPr>
          <w:rFonts w:ascii="Arial" w:hAnsi="Arial" w:cs="Arial"/>
          <w:i/>
          <w:iCs/>
          <w:color w:val="222222"/>
          <w:sz w:val="22"/>
          <w:szCs w:val="22"/>
          <w:shd w:val="clear" w:color="auto" w:fill="FFFFFF"/>
        </w:rPr>
        <w:t>7</w:t>
      </w:r>
      <w:r w:rsidRPr="00476F07">
        <w:rPr>
          <w:rFonts w:ascii="Arial" w:hAnsi="Arial" w:cs="Arial"/>
          <w:color w:val="222222"/>
          <w:sz w:val="22"/>
          <w:szCs w:val="22"/>
          <w:shd w:val="clear" w:color="auto" w:fill="FFFFFF"/>
        </w:rPr>
        <w:t>(4), pp.362-367.</w:t>
      </w:r>
    </w:p>
    <w:p w14:paraId="5E7ECC36" w14:textId="77777777" w:rsidR="00540783" w:rsidRDefault="00540783" w:rsidP="00540783">
      <w:pPr>
        <w:spacing w:line="360" w:lineRule="auto"/>
        <w:jc w:val="both"/>
        <w:rPr>
          <w:rFonts w:ascii="Arial" w:hAnsi="Arial" w:cs="Arial"/>
          <w:color w:val="222222"/>
          <w:sz w:val="22"/>
          <w:szCs w:val="22"/>
          <w:shd w:val="clear" w:color="auto" w:fill="FFFFFF"/>
        </w:rPr>
      </w:pPr>
      <w:r w:rsidRPr="005A462C">
        <w:rPr>
          <w:rFonts w:ascii="Arial" w:hAnsi="Arial" w:cs="Arial"/>
          <w:color w:val="222222"/>
          <w:sz w:val="22"/>
          <w:szCs w:val="22"/>
          <w:shd w:val="clear" w:color="auto" w:fill="FFFFFF"/>
        </w:rPr>
        <w:t>England, N.H.S., 2017. Multi-professional framework for advanced clinical practice in England. </w:t>
      </w:r>
      <w:r w:rsidRPr="005A462C">
        <w:rPr>
          <w:rFonts w:ascii="Arial" w:hAnsi="Arial" w:cs="Arial"/>
          <w:i/>
          <w:iCs/>
          <w:color w:val="222222"/>
          <w:sz w:val="22"/>
          <w:szCs w:val="22"/>
          <w:shd w:val="clear" w:color="auto" w:fill="FFFFFF"/>
        </w:rPr>
        <w:t>London: Health Education England</w:t>
      </w:r>
      <w:r w:rsidRPr="005A462C">
        <w:rPr>
          <w:rFonts w:ascii="Arial" w:hAnsi="Arial" w:cs="Arial"/>
          <w:color w:val="222222"/>
          <w:sz w:val="22"/>
          <w:szCs w:val="22"/>
          <w:shd w:val="clear" w:color="auto" w:fill="FFFFFF"/>
        </w:rPr>
        <w:t>, </w:t>
      </w:r>
      <w:r w:rsidRPr="005A462C">
        <w:rPr>
          <w:rFonts w:ascii="Arial" w:hAnsi="Arial" w:cs="Arial"/>
          <w:i/>
          <w:iCs/>
          <w:color w:val="222222"/>
          <w:sz w:val="22"/>
          <w:szCs w:val="22"/>
          <w:shd w:val="clear" w:color="auto" w:fill="FFFFFF"/>
        </w:rPr>
        <w:t>12</w:t>
      </w:r>
      <w:r w:rsidRPr="005A462C">
        <w:rPr>
          <w:rFonts w:ascii="Arial" w:hAnsi="Arial" w:cs="Arial"/>
          <w:color w:val="222222"/>
          <w:sz w:val="22"/>
          <w:szCs w:val="22"/>
          <w:shd w:val="clear" w:color="auto" w:fill="FFFFFF"/>
        </w:rPr>
        <w:t>.</w:t>
      </w:r>
    </w:p>
    <w:p w14:paraId="416D0A16" w14:textId="77777777" w:rsidR="00540783" w:rsidRDefault="00540783" w:rsidP="00540783">
      <w:pPr>
        <w:spacing w:line="360" w:lineRule="auto"/>
        <w:jc w:val="both"/>
        <w:rPr>
          <w:rFonts w:ascii="Arial" w:hAnsi="Arial" w:cs="Arial"/>
          <w:color w:val="222222"/>
          <w:sz w:val="22"/>
          <w:szCs w:val="22"/>
          <w:shd w:val="clear" w:color="auto" w:fill="FFFFFF"/>
        </w:rPr>
      </w:pPr>
      <w:proofErr w:type="spellStart"/>
      <w:r w:rsidRPr="00F74813">
        <w:rPr>
          <w:rFonts w:ascii="Arial" w:hAnsi="Arial" w:cs="Arial"/>
          <w:color w:val="222222"/>
          <w:sz w:val="22"/>
          <w:szCs w:val="22"/>
          <w:shd w:val="clear" w:color="auto" w:fill="FFFFFF"/>
        </w:rPr>
        <w:t>Exworthy</w:t>
      </w:r>
      <w:proofErr w:type="spellEnd"/>
      <w:r w:rsidRPr="00F74813">
        <w:rPr>
          <w:rFonts w:ascii="Arial" w:hAnsi="Arial" w:cs="Arial"/>
          <w:color w:val="222222"/>
          <w:sz w:val="22"/>
          <w:szCs w:val="22"/>
          <w:shd w:val="clear" w:color="auto" w:fill="FFFFFF"/>
        </w:rPr>
        <w:t>, M. and Mannion, R., 2016. Evaluating the impact of NHS reforms–policy, process and power. In </w:t>
      </w:r>
      <w:r w:rsidRPr="00F74813">
        <w:rPr>
          <w:rFonts w:ascii="Arial" w:hAnsi="Arial" w:cs="Arial"/>
          <w:i/>
          <w:iCs/>
          <w:color w:val="222222"/>
          <w:sz w:val="22"/>
          <w:szCs w:val="22"/>
          <w:shd w:val="clear" w:color="auto" w:fill="FFFFFF"/>
        </w:rPr>
        <w:t>Dismantling the NHS?</w:t>
      </w:r>
      <w:r w:rsidRPr="00F74813">
        <w:rPr>
          <w:rFonts w:ascii="Arial" w:hAnsi="Arial" w:cs="Arial"/>
          <w:color w:val="222222"/>
          <w:sz w:val="22"/>
          <w:szCs w:val="22"/>
          <w:shd w:val="clear" w:color="auto" w:fill="FFFFFF"/>
        </w:rPr>
        <w:t> (pp. 3-16). Policy Press.</w:t>
      </w:r>
    </w:p>
    <w:p w14:paraId="0F28B900" w14:textId="77777777" w:rsidR="00540783" w:rsidRPr="00476F07" w:rsidRDefault="00540783" w:rsidP="00540783">
      <w:pPr>
        <w:spacing w:line="360" w:lineRule="auto"/>
        <w:jc w:val="both"/>
        <w:rPr>
          <w:rFonts w:ascii="Arial" w:hAnsi="Arial" w:cs="Arial"/>
          <w:color w:val="222222"/>
          <w:sz w:val="22"/>
          <w:szCs w:val="22"/>
          <w:shd w:val="clear" w:color="auto" w:fill="FFFFFF"/>
        </w:rPr>
      </w:pPr>
      <w:r w:rsidRPr="00476F07">
        <w:rPr>
          <w:rFonts w:ascii="Arial" w:hAnsi="Arial" w:cs="Arial"/>
          <w:color w:val="222222"/>
          <w:sz w:val="22"/>
          <w:szCs w:val="22"/>
          <w:shd w:val="clear" w:color="auto" w:fill="FFFFFF"/>
        </w:rPr>
        <w:t>Foundation, H., 2016. Person-</w:t>
      </w:r>
      <w:proofErr w:type="spellStart"/>
      <w:r w:rsidRPr="00476F07">
        <w:rPr>
          <w:rFonts w:ascii="Arial" w:hAnsi="Arial" w:cs="Arial"/>
          <w:color w:val="222222"/>
          <w:sz w:val="22"/>
          <w:szCs w:val="22"/>
          <w:shd w:val="clear" w:color="auto" w:fill="FFFFFF"/>
        </w:rPr>
        <w:t>Centred</w:t>
      </w:r>
      <w:proofErr w:type="spellEnd"/>
      <w:r w:rsidRPr="00476F07">
        <w:rPr>
          <w:rFonts w:ascii="Arial" w:hAnsi="Arial" w:cs="Arial"/>
          <w:color w:val="222222"/>
          <w:sz w:val="22"/>
          <w:szCs w:val="22"/>
          <w:shd w:val="clear" w:color="auto" w:fill="FFFFFF"/>
        </w:rPr>
        <w:t xml:space="preserve"> Care Made Simple: What Everyone should Know about Person-</w:t>
      </w:r>
      <w:proofErr w:type="spellStart"/>
      <w:r w:rsidRPr="00476F07">
        <w:rPr>
          <w:rFonts w:ascii="Arial" w:hAnsi="Arial" w:cs="Arial"/>
          <w:color w:val="222222"/>
          <w:sz w:val="22"/>
          <w:szCs w:val="22"/>
          <w:shd w:val="clear" w:color="auto" w:fill="FFFFFF"/>
        </w:rPr>
        <w:t>Centred</w:t>
      </w:r>
      <w:proofErr w:type="spellEnd"/>
      <w:r w:rsidRPr="00476F07">
        <w:rPr>
          <w:rFonts w:ascii="Arial" w:hAnsi="Arial" w:cs="Arial"/>
          <w:color w:val="222222"/>
          <w:sz w:val="22"/>
          <w:szCs w:val="22"/>
          <w:shd w:val="clear" w:color="auto" w:fill="FFFFFF"/>
        </w:rPr>
        <w:t xml:space="preserve"> Care.</w:t>
      </w:r>
    </w:p>
    <w:p w14:paraId="284DE1A9" w14:textId="77777777" w:rsidR="00540783" w:rsidRDefault="00540783" w:rsidP="00540783">
      <w:pPr>
        <w:spacing w:line="360" w:lineRule="auto"/>
        <w:jc w:val="both"/>
        <w:rPr>
          <w:rFonts w:ascii="Arial" w:hAnsi="Arial" w:cs="Arial"/>
          <w:color w:val="222222"/>
          <w:sz w:val="22"/>
          <w:szCs w:val="22"/>
          <w:shd w:val="clear" w:color="auto" w:fill="FFFFFF"/>
        </w:rPr>
      </w:pPr>
      <w:r w:rsidRPr="00DE1844">
        <w:rPr>
          <w:rFonts w:ascii="Arial" w:hAnsi="Arial" w:cs="Arial"/>
          <w:color w:val="222222"/>
          <w:sz w:val="22"/>
          <w:szCs w:val="22"/>
          <w:shd w:val="clear" w:color="auto" w:fill="FFFFFF"/>
        </w:rPr>
        <w:t>Glasby, J. and Dickinson, H., 2014. </w:t>
      </w:r>
      <w:r w:rsidRPr="00DE1844">
        <w:rPr>
          <w:rFonts w:ascii="Arial" w:hAnsi="Arial" w:cs="Arial"/>
          <w:i/>
          <w:iCs/>
          <w:color w:val="222222"/>
          <w:sz w:val="22"/>
          <w:szCs w:val="22"/>
          <w:shd w:val="clear" w:color="auto" w:fill="FFFFFF"/>
        </w:rPr>
        <w:t xml:space="preserve">Partnership working in health and social care: what is integrated care and how can we deliver </w:t>
      </w:r>
      <w:proofErr w:type="gramStart"/>
      <w:r w:rsidRPr="00DE1844">
        <w:rPr>
          <w:rFonts w:ascii="Arial" w:hAnsi="Arial" w:cs="Arial"/>
          <w:i/>
          <w:iCs/>
          <w:color w:val="222222"/>
          <w:sz w:val="22"/>
          <w:szCs w:val="22"/>
          <w:shd w:val="clear" w:color="auto" w:fill="FFFFFF"/>
        </w:rPr>
        <w:t>it?</w:t>
      </w:r>
      <w:r w:rsidRPr="00DE1844">
        <w:rPr>
          <w:rFonts w:ascii="Arial" w:hAnsi="Arial" w:cs="Arial"/>
          <w:color w:val="222222"/>
          <w:sz w:val="22"/>
          <w:szCs w:val="22"/>
          <w:shd w:val="clear" w:color="auto" w:fill="FFFFFF"/>
        </w:rPr>
        <w:t>.</w:t>
      </w:r>
      <w:proofErr w:type="gramEnd"/>
      <w:r w:rsidRPr="00DE1844">
        <w:rPr>
          <w:rFonts w:ascii="Arial" w:hAnsi="Arial" w:cs="Arial"/>
          <w:color w:val="222222"/>
          <w:sz w:val="22"/>
          <w:szCs w:val="22"/>
          <w:shd w:val="clear" w:color="auto" w:fill="FFFFFF"/>
        </w:rPr>
        <w:t xml:space="preserve"> Policy Press.</w:t>
      </w:r>
    </w:p>
    <w:p w14:paraId="4ED6CDC3" w14:textId="77777777" w:rsidR="00540783" w:rsidRDefault="00540783" w:rsidP="00540783">
      <w:pPr>
        <w:spacing w:line="360" w:lineRule="auto"/>
        <w:jc w:val="both"/>
        <w:rPr>
          <w:rFonts w:ascii="Arial" w:hAnsi="Arial" w:cs="Arial"/>
          <w:color w:val="222222"/>
          <w:sz w:val="22"/>
          <w:szCs w:val="22"/>
          <w:shd w:val="clear" w:color="auto" w:fill="FFFFFF"/>
        </w:rPr>
      </w:pPr>
      <w:r w:rsidRPr="00F74813">
        <w:rPr>
          <w:rFonts w:ascii="Arial" w:hAnsi="Arial" w:cs="Arial"/>
          <w:color w:val="222222"/>
          <w:sz w:val="22"/>
          <w:szCs w:val="22"/>
          <w:shd w:val="clear" w:color="auto" w:fill="FFFFFF"/>
        </w:rPr>
        <w:t xml:space="preserve">Gomes, B., </w:t>
      </w:r>
      <w:proofErr w:type="spellStart"/>
      <w:r w:rsidRPr="00F74813">
        <w:rPr>
          <w:rFonts w:ascii="Arial" w:hAnsi="Arial" w:cs="Arial"/>
          <w:color w:val="222222"/>
          <w:sz w:val="22"/>
          <w:szCs w:val="22"/>
          <w:shd w:val="clear" w:color="auto" w:fill="FFFFFF"/>
        </w:rPr>
        <w:t>Calanzani</w:t>
      </w:r>
      <w:proofErr w:type="spellEnd"/>
      <w:r w:rsidRPr="00F74813">
        <w:rPr>
          <w:rFonts w:ascii="Arial" w:hAnsi="Arial" w:cs="Arial"/>
          <w:color w:val="222222"/>
          <w:sz w:val="22"/>
          <w:szCs w:val="22"/>
          <w:shd w:val="clear" w:color="auto" w:fill="FFFFFF"/>
        </w:rPr>
        <w:t>, N., Gysels, M., Hall, S. and Higginson, I.J., 2013. Heterogeneity and changes in preferences for dying at home: a systematic review. </w:t>
      </w:r>
      <w:r w:rsidRPr="00F74813">
        <w:rPr>
          <w:rFonts w:ascii="Arial" w:hAnsi="Arial" w:cs="Arial"/>
          <w:i/>
          <w:iCs/>
          <w:color w:val="222222"/>
          <w:sz w:val="22"/>
          <w:szCs w:val="22"/>
          <w:shd w:val="clear" w:color="auto" w:fill="FFFFFF"/>
        </w:rPr>
        <w:t>BMC palliative care</w:t>
      </w:r>
      <w:r w:rsidRPr="00F74813">
        <w:rPr>
          <w:rFonts w:ascii="Arial" w:hAnsi="Arial" w:cs="Arial"/>
          <w:color w:val="222222"/>
          <w:sz w:val="22"/>
          <w:szCs w:val="22"/>
          <w:shd w:val="clear" w:color="auto" w:fill="FFFFFF"/>
        </w:rPr>
        <w:t>, </w:t>
      </w:r>
      <w:r w:rsidRPr="00F74813">
        <w:rPr>
          <w:rFonts w:ascii="Arial" w:hAnsi="Arial" w:cs="Arial"/>
          <w:i/>
          <w:iCs/>
          <w:color w:val="222222"/>
          <w:sz w:val="22"/>
          <w:szCs w:val="22"/>
          <w:shd w:val="clear" w:color="auto" w:fill="FFFFFF"/>
        </w:rPr>
        <w:t>12</w:t>
      </w:r>
      <w:r w:rsidRPr="00F74813">
        <w:rPr>
          <w:rFonts w:ascii="Arial" w:hAnsi="Arial" w:cs="Arial"/>
          <w:color w:val="222222"/>
          <w:sz w:val="22"/>
          <w:szCs w:val="22"/>
          <w:shd w:val="clear" w:color="auto" w:fill="FFFFFF"/>
        </w:rPr>
        <w:t>(1), p.7.</w:t>
      </w:r>
    </w:p>
    <w:p w14:paraId="21A0829D" w14:textId="77777777" w:rsidR="00540783" w:rsidRDefault="00540783" w:rsidP="00540783">
      <w:pPr>
        <w:spacing w:line="360" w:lineRule="auto"/>
        <w:jc w:val="both"/>
        <w:rPr>
          <w:rFonts w:ascii="Arial" w:hAnsi="Arial" w:cs="Arial"/>
          <w:color w:val="222222"/>
          <w:sz w:val="22"/>
          <w:szCs w:val="22"/>
          <w:shd w:val="clear" w:color="auto" w:fill="FFFFFF"/>
        </w:rPr>
      </w:pPr>
      <w:r w:rsidRPr="00DE1844">
        <w:rPr>
          <w:rFonts w:ascii="Arial" w:hAnsi="Arial" w:cs="Arial"/>
          <w:color w:val="222222"/>
          <w:sz w:val="22"/>
          <w:szCs w:val="22"/>
          <w:shd w:val="clear" w:color="auto" w:fill="FFFFFF"/>
        </w:rPr>
        <w:lastRenderedPageBreak/>
        <w:t>Health &amp; Care Professions Council</w:t>
      </w:r>
      <w:r>
        <w:rPr>
          <w:rFonts w:ascii="Arial" w:hAnsi="Arial" w:cs="Arial"/>
          <w:color w:val="222222"/>
          <w:sz w:val="22"/>
          <w:szCs w:val="22"/>
          <w:shd w:val="clear" w:color="auto" w:fill="FFFFFF"/>
        </w:rPr>
        <w:t xml:space="preserve"> (HCPC)</w:t>
      </w:r>
      <w:r w:rsidRPr="00DE1844">
        <w:rPr>
          <w:rFonts w:ascii="Arial" w:hAnsi="Arial" w:cs="Arial"/>
          <w:color w:val="222222"/>
          <w:sz w:val="22"/>
          <w:szCs w:val="22"/>
          <w:shd w:val="clear" w:color="auto" w:fill="FFFFFF"/>
        </w:rPr>
        <w:t>, 2012. </w:t>
      </w:r>
      <w:r w:rsidRPr="00DE1844">
        <w:rPr>
          <w:rFonts w:ascii="Arial" w:hAnsi="Arial" w:cs="Arial"/>
          <w:i/>
          <w:iCs/>
          <w:color w:val="222222"/>
          <w:sz w:val="22"/>
          <w:szCs w:val="22"/>
          <w:shd w:val="clear" w:color="auto" w:fill="FFFFFF"/>
        </w:rPr>
        <w:t>Standards of conduct, performance and ethics</w:t>
      </w:r>
      <w:r w:rsidRPr="00DE1844">
        <w:rPr>
          <w:rFonts w:ascii="Arial" w:hAnsi="Arial" w:cs="Arial"/>
          <w:color w:val="222222"/>
          <w:sz w:val="22"/>
          <w:szCs w:val="22"/>
          <w:shd w:val="clear" w:color="auto" w:fill="FFFFFF"/>
        </w:rPr>
        <w:t>. Health &amp; Care Professions Council.</w:t>
      </w:r>
    </w:p>
    <w:p w14:paraId="25BF9388" w14:textId="77777777" w:rsidR="00540783" w:rsidRDefault="00540783" w:rsidP="00540783">
      <w:pPr>
        <w:spacing w:line="360" w:lineRule="auto"/>
        <w:jc w:val="both"/>
        <w:rPr>
          <w:rFonts w:ascii="Arial" w:hAnsi="Arial" w:cs="Arial"/>
          <w:color w:val="222222"/>
          <w:sz w:val="22"/>
          <w:szCs w:val="22"/>
          <w:shd w:val="clear" w:color="auto" w:fill="FFFFFF"/>
        </w:rPr>
      </w:pPr>
      <w:r w:rsidRPr="00F74813">
        <w:rPr>
          <w:rFonts w:ascii="Arial" w:hAnsi="Arial" w:cs="Arial"/>
          <w:color w:val="222222"/>
          <w:sz w:val="22"/>
          <w:szCs w:val="22"/>
          <w:shd w:val="clear" w:color="auto" w:fill="FFFFFF"/>
        </w:rPr>
        <w:t>House of Lords Select Committee, 2014. Mental Capacity Act 2005: post-legislative scrutiny. </w:t>
      </w:r>
      <w:r w:rsidRPr="00F74813">
        <w:rPr>
          <w:rFonts w:ascii="Arial" w:hAnsi="Arial" w:cs="Arial"/>
          <w:i/>
          <w:iCs/>
          <w:color w:val="222222"/>
          <w:sz w:val="22"/>
          <w:szCs w:val="22"/>
          <w:shd w:val="clear" w:color="auto" w:fill="FFFFFF"/>
        </w:rPr>
        <w:t>London: The Stationery Office</w:t>
      </w:r>
      <w:r w:rsidRPr="00F74813">
        <w:rPr>
          <w:rFonts w:ascii="Arial" w:hAnsi="Arial" w:cs="Arial"/>
          <w:color w:val="222222"/>
          <w:sz w:val="22"/>
          <w:szCs w:val="22"/>
          <w:shd w:val="clear" w:color="auto" w:fill="FFFFFF"/>
        </w:rPr>
        <w:t>.</w:t>
      </w:r>
    </w:p>
    <w:p w14:paraId="418BA1B9" w14:textId="77777777" w:rsidR="00540783" w:rsidRDefault="00540783" w:rsidP="00540783">
      <w:pPr>
        <w:spacing w:line="360" w:lineRule="auto"/>
        <w:jc w:val="both"/>
        <w:rPr>
          <w:rFonts w:ascii="Arial" w:hAnsi="Arial" w:cs="Arial"/>
          <w:color w:val="222222"/>
          <w:sz w:val="22"/>
          <w:szCs w:val="22"/>
          <w:shd w:val="clear" w:color="auto" w:fill="FFFFFF"/>
        </w:rPr>
      </w:pPr>
      <w:r w:rsidRPr="00DE1844">
        <w:rPr>
          <w:rFonts w:ascii="Arial" w:hAnsi="Arial" w:cs="Arial"/>
          <w:color w:val="222222"/>
          <w:sz w:val="22"/>
          <w:szCs w:val="22"/>
          <w:shd w:val="clear" w:color="auto" w:fill="FFFFFF"/>
        </w:rPr>
        <w:t xml:space="preserve">Hudson, B., 2002. </w:t>
      </w:r>
      <w:proofErr w:type="spellStart"/>
      <w:r w:rsidRPr="00DE1844">
        <w:rPr>
          <w:rFonts w:ascii="Arial" w:hAnsi="Arial" w:cs="Arial"/>
          <w:color w:val="222222"/>
          <w:sz w:val="22"/>
          <w:szCs w:val="22"/>
          <w:shd w:val="clear" w:color="auto" w:fill="FFFFFF"/>
        </w:rPr>
        <w:t>Interprofessionality</w:t>
      </w:r>
      <w:proofErr w:type="spellEnd"/>
      <w:r w:rsidRPr="00DE1844">
        <w:rPr>
          <w:rFonts w:ascii="Arial" w:hAnsi="Arial" w:cs="Arial"/>
          <w:color w:val="222222"/>
          <w:sz w:val="22"/>
          <w:szCs w:val="22"/>
          <w:shd w:val="clear" w:color="auto" w:fill="FFFFFF"/>
        </w:rPr>
        <w:t xml:space="preserve"> in health and social care: the Achilles' heel of </w:t>
      </w:r>
      <w:proofErr w:type="gramStart"/>
      <w:r w:rsidRPr="00DE1844">
        <w:rPr>
          <w:rFonts w:ascii="Arial" w:hAnsi="Arial" w:cs="Arial"/>
          <w:color w:val="222222"/>
          <w:sz w:val="22"/>
          <w:szCs w:val="22"/>
          <w:shd w:val="clear" w:color="auto" w:fill="FFFFFF"/>
        </w:rPr>
        <w:t>partnership?.</w:t>
      </w:r>
      <w:proofErr w:type="gramEnd"/>
      <w:r w:rsidRPr="00DE1844">
        <w:rPr>
          <w:rFonts w:ascii="Arial" w:hAnsi="Arial" w:cs="Arial"/>
          <w:color w:val="222222"/>
          <w:sz w:val="22"/>
          <w:szCs w:val="22"/>
          <w:shd w:val="clear" w:color="auto" w:fill="FFFFFF"/>
        </w:rPr>
        <w:t> </w:t>
      </w:r>
      <w:r w:rsidRPr="00DE1844">
        <w:rPr>
          <w:rFonts w:ascii="Arial" w:hAnsi="Arial" w:cs="Arial"/>
          <w:i/>
          <w:iCs/>
          <w:color w:val="222222"/>
          <w:sz w:val="22"/>
          <w:szCs w:val="22"/>
          <w:shd w:val="clear" w:color="auto" w:fill="FFFFFF"/>
        </w:rPr>
        <w:t>Journal of interprofessional care</w:t>
      </w:r>
      <w:r w:rsidRPr="00DE1844">
        <w:rPr>
          <w:rFonts w:ascii="Arial" w:hAnsi="Arial" w:cs="Arial"/>
          <w:color w:val="222222"/>
          <w:sz w:val="22"/>
          <w:szCs w:val="22"/>
          <w:shd w:val="clear" w:color="auto" w:fill="FFFFFF"/>
        </w:rPr>
        <w:t>, </w:t>
      </w:r>
      <w:r w:rsidRPr="00DE1844">
        <w:rPr>
          <w:rFonts w:ascii="Arial" w:hAnsi="Arial" w:cs="Arial"/>
          <w:i/>
          <w:iCs/>
          <w:color w:val="222222"/>
          <w:sz w:val="22"/>
          <w:szCs w:val="22"/>
          <w:shd w:val="clear" w:color="auto" w:fill="FFFFFF"/>
        </w:rPr>
        <w:t>16</w:t>
      </w:r>
      <w:r w:rsidRPr="00DE1844">
        <w:rPr>
          <w:rFonts w:ascii="Arial" w:hAnsi="Arial" w:cs="Arial"/>
          <w:color w:val="222222"/>
          <w:sz w:val="22"/>
          <w:szCs w:val="22"/>
          <w:shd w:val="clear" w:color="auto" w:fill="FFFFFF"/>
        </w:rPr>
        <w:t>(1), pp.7-17.</w:t>
      </w:r>
    </w:p>
    <w:p w14:paraId="24C7FD77" w14:textId="77777777" w:rsidR="00540783" w:rsidRDefault="00540783" w:rsidP="00540783">
      <w:pPr>
        <w:spacing w:line="360" w:lineRule="auto"/>
        <w:jc w:val="both"/>
        <w:rPr>
          <w:rFonts w:ascii="Arial" w:hAnsi="Arial" w:cs="Arial"/>
          <w:color w:val="222222"/>
          <w:sz w:val="22"/>
          <w:szCs w:val="22"/>
          <w:shd w:val="clear" w:color="auto" w:fill="FFFFFF"/>
        </w:rPr>
      </w:pPr>
      <w:r w:rsidRPr="00F74813">
        <w:rPr>
          <w:rFonts w:ascii="Arial" w:hAnsi="Arial" w:cs="Arial"/>
          <w:color w:val="222222"/>
          <w:sz w:val="22"/>
          <w:szCs w:val="22"/>
          <w:shd w:val="clear" w:color="auto" w:fill="FFFFFF"/>
        </w:rPr>
        <w:t>Humphries, R., 2015. Integrated health and social care in England–Progress and prospects. </w:t>
      </w:r>
      <w:r w:rsidRPr="00F74813">
        <w:rPr>
          <w:rFonts w:ascii="Arial" w:hAnsi="Arial" w:cs="Arial"/>
          <w:i/>
          <w:iCs/>
          <w:color w:val="222222"/>
          <w:sz w:val="22"/>
          <w:szCs w:val="22"/>
          <w:shd w:val="clear" w:color="auto" w:fill="FFFFFF"/>
        </w:rPr>
        <w:t>Health policy</w:t>
      </w:r>
      <w:r w:rsidRPr="00F74813">
        <w:rPr>
          <w:rFonts w:ascii="Arial" w:hAnsi="Arial" w:cs="Arial"/>
          <w:color w:val="222222"/>
          <w:sz w:val="22"/>
          <w:szCs w:val="22"/>
          <w:shd w:val="clear" w:color="auto" w:fill="FFFFFF"/>
        </w:rPr>
        <w:t>, </w:t>
      </w:r>
      <w:r w:rsidRPr="00F74813">
        <w:rPr>
          <w:rFonts w:ascii="Arial" w:hAnsi="Arial" w:cs="Arial"/>
          <w:i/>
          <w:iCs/>
          <w:color w:val="222222"/>
          <w:sz w:val="22"/>
          <w:szCs w:val="22"/>
          <w:shd w:val="clear" w:color="auto" w:fill="FFFFFF"/>
        </w:rPr>
        <w:t>119</w:t>
      </w:r>
      <w:r w:rsidRPr="00F74813">
        <w:rPr>
          <w:rFonts w:ascii="Arial" w:hAnsi="Arial" w:cs="Arial"/>
          <w:color w:val="222222"/>
          <w:sz w:val="22"/>
          <w:szCs w:val="22"/>
          <w:shd w:val="clear" w:color="auto" w:fill="FFFFFF"/>
        </w:rPr>
        <w:t>(7), pp.856-859.</w:t>
      </w:r>
    </w:p>
    <w:p w14:paraId="27538E1B" w14:textId="77777777" w:rsidR="00540783" w:rsidRDefault="00540783" w:rsidP="00540783">
      <w:pPr>
        <w:spacing w:line="360" w:lineRule="auto"/>
        <w:jc w:val="both"/>
        <w:rPr>
          <w:rFonts w:ascii="Arial" w:hAnsi="Arial" w:cs="Arial"/>
          <w:color w:val="222222"/>
          <w:sz w:val="22"/>
          <w:szCs w:val="22"/>
          <w:shd w:val="clear" w:color="auto" w:fill="FFFFFF"/>
        </w:rPr>
      </w:pPr>
      <w:r w:rsidRPr="00476F07">
        <w:rPr>
          <w:rFonts w:ascii="Arial" w:hAnsi="Arial" w:cs="Arial"/>
          <w:color w:val="222222"/>
          <w:sz w:val="22"/>
          <w:szCs w:val="22"/>
          <w:shd w:val="clear" w:color="auto" w:fill="FFFFFF"/>
        </w:rPr>
        <w:t>McCormack, B. and McCance, T., 2010. Person-</w:t>
      </w:r>
      <w:proofErr w:type="spellStart"/>
      <w:r w:rsidRPr="00476F07">
        <w:rPr>
          <w:rFonts w:ascii="Arial" w:hAnsi="Arial" w:cs="Arial"/>
          <w:color w:val="222222"/>
          <w:sz w:val="22"/>
          <w:szCs w:val="22"/>
          <w:shd w:val="clear" w:color="auto" w:fill="FFFFFF"/>
        </w:rPr>
        <w:t>centred</w:t>
      </w:r>
      <w:proofErr w:type="spellEnd"/>
      <w:r w:rsidRPr="00476F07">
        <w:rPr>
          <w:rFonts w:ascii="Arial" w:hAnsi="Arial" w:cs="Arial"/>
          <w:color w:val="222222"/>
          <w:sz w:val="22"/>
          <w:szCs w:val="22"/>
          <w:shd w:val="clear" w:color="auto" w:fill="FFFFFF"/>
        </w:rPr>
        <w:t xml:space="preserve"> nursing. </w:t>
      </w:r>
      <w:r w:rsidRPr="00476F07">
        <w:rPr>
          <w:rFonts w:ascii="Arial" w:hAnsi="Arial" w:cs="Arial"/>
          <w:i/>
          <w:iCs/>
          <w:color w:val="222222"/>
          <w:sz w:val="22"/>
          <w:szCs w:val="22"/>
          <w:shd w:val="clear" w:color="auto" w:fill="FFFFFF"/>
        </w:rPr>
        <w:t>Theory and practice</w:t>
      </w:r>
      <w:r w:rsidRPr="00476F07">
        <w:rPr>
          <w:rFonts w:ascii="Arial" w:hAnsi="Arial" w:cs="Arial"/>
          <w:color w:val="222222"/>
          <w:sz w:val="22"/>
          <w:szCs w:val="22"/>
          <w:shd w:val="clear" w:color="auto" w:fill="FFFFFF"/>
        </w:rPr>
        <w:t>, p.2010.</w:t>
      </w:r>
    </w:p>
    <w:p w14:paraId="4B7F6D69" w14:textId="77777777" w:rsidR="00540783" w:rsidRDefault="00540783" w:rsidP="00540783">
      <w:pPr>
        <w:spacing w:line="360" w:lineRule="auto"/>
        <w:jc w:val="both"/>
        <w:rPr>
          <w:rFonts w:ascii="Arial" w:hAnsi="Arial" w:cs="Arial"/>
          <w:color w:val="222222"/>
          <w:sz w:val="22"/>
          <w:szCs w:val="22"/>
          <w:shd w:val="clear" w:color="auto" w:fill="FFFFFF"/>
        </w:rPr>
      </w:pPr>
      <w:r w:rsidRPr="00F74813">
        <w:rPr>
          <w:rFonts w:ascii="Arial" w:hAnsi="Arial" w:cs="Arial"/>
          <w:color w:val="222222"/>
          <w:sz w:val="22"/>
          <w:szCs w:val="22"/>
          <w:shd w:val="clear" w:color="auto" w:fill="FFFFFF"/>
        </w:rPr>
        <w:t>National Institute for Health and Care Excellence (N.I.C.E), 2019. End of life care for adults: service delivery. </w:t>
      </w:r>
      <w:r w:rsidRPr="00F74813">
        <w:rPr>
          <w:rFonts w:ascii="Arial" w:hAnsi="Arial" w:cs="Arial"/>
          <w:i/>
          <w:iCs/>
          <w:color w:val="222222"/>
          <w:sz w:val="22"/>
          <w:szCs w:val="22"/>
          <w:shd w:val="clear" w:color="auto" w:fill="FFFFFF"/>
        </w:rPr>
        <w:t>Methods</w:t>
      </w:r>
      <w:r w:rsidRPr="00F74813">
        <w:rPr>
          <w:rFonts w:ascii="Arial" w:hAnsi="Arial" w:cs="Arial"/>
          <w:color w:val="222222"/>
          <w:sz w:val="22"/>
          <w:szCs w:val="22"/>
          <w:shd w:val="clear" w:color="auto" w:fill="FFFFFF"/>
        </w:rPr>
        <w:t>.</w:t>
      </w:r>
    </w:p>
    <w:p w14:paraId="7295398C" w14:textId="77777777" w:rsidR="00540783" w:rsidRDefault="00540783" w:rsidP="00540783">
      <w:pPr>
        <w:spacing w:line="360" w:lineRule="auto"/>
        <w:jc w:val="both"/>
        <w:rPr>
          <w:rFonts w:ascii="Arial" w:hAnsi="Arial" w:cs="Arial"/>
          <w:color w:val="222222"/>
          <w:sz w:val="22"/>
          <w:szCs w:val="22"/>
          <w:shd w:val="clear" w:color="auto" w:fill="FFFFFF"/>
        </w:rPr>
      </w:pPr>
      <w:r w:rsidRPr="00476F07">
        <w:rPr>
          <w:rFonts w:ascii="Arial" w:hAnsi="Arial" w:cs="Arial"/>
          <w:color w:val="222222"/>
          <w:sz w:val="22"/>
          <w:szCs w:val="22"/>
          <w:shd w:val="clear" w:color="auto" w:fill="FFFFFF"/>
        </w:rPr>
        <w:t>Niessen, T., 2011. Effective workplace culture: the attributes, enabling factors and consequences of a new concept ‘Towards a complexified notion of workplace culture’.</w:t>
      </w:r>
    </w:p>
    <w:p w14:paraId="61CD98FB" w14:textId="77777777" w:rsidR="00540783" w:rsidRDefault="00540783" w:rsidP="00540783">
      <w:pPr>
        <w:spacing w:line="360" w:lineRule="auto"/>
        <w:jc w:val="both"/>
        <w:rPr>
          <w:rFonts w:ascii="Arial" w:hAnsi="Arial" w:cs="Arial"/>
          <w:color w:val="222222"/>
          <w:sz w:val="22"/>
          <w:szCs w:val="22"/>
          <w:shd w:val="clear" w:color="auto" w:fill="FFFFFF"/>
        </w:rPr>
      </w:pPr>
      <w:r w:rsidRPr="00DE1844">
        <w:rPr>
          <w:rFonts w:ascii="Arial" w:hAnsi="Arial" w:cs="Arial"/>
          <w:color w:val="222222"/>
          <w:sz w:val="22"/>
          <w:szCs w:val="22"/>
          <w:shd w:val="clear" w:color="auto" w:fill="FFFFFF"/>
        </w:rPr>
        <w:t>Nursing and Midwifery Council (Great Britain), 2018. </w:t>
      </w:r>
      <w:r w:rsidRPr="00DE1844">
        <w:rPr>
          <w:rFonts w:ascii="Arial" w:hAnsi="Arial" w:cs="Arial"/>
          <w:i/>
          <w:iCs/>
          <w:color w:val="222222"/>
          <w:sz w:val="22"/>
          <w:szCs w:val="22"/>
          <w:shd w:val="clear" w:color="auto" w:fill="FFFFFF"/>
        </w:rPr>
        <w:t xml:space="preserve">The code: professional standards of practice and </w:t>
      </w:r>
      <w:proofErr w:type="spellStart"/>
      <w:r w:rsidRPr="00DE1844">
        <w:rPr>
          <w:rFonts w:ascii="Arial" w:hAnsi="Arial" w:cs="Arial"/>
          <w:i/>
          <w:iCs/>
          <w:color w:val="222222"/>
          <w:sz w:val="22"/>
          <w:szCs w:val="22"/>
          <w:shd w:val="clear" w:color="auto" w:fill="FFFFFF"/>
        </w:rPr>
        <w:t>behaviour</w:t>
      </w:r>
      <w:proofErr w:type="spellEnd"/>
      <w:r w:rsidRPr="00DE1844">
        <w:rPr>
          <w:rFonts w:ascii="Arial" w:hAnsi="Arial" w:cs="Arial"/>
          <w:i/>
          <w:iCs/>
          <w:color w:val="222222"/>
          <w:sz w:val="22"/>
          <w:szCs w:val="22"/>
          <w:shd w:val="clear" w:color="auto" w:fill="FFFFFF"/>
        </w:rPr>
        <w:t xml:space="preserve"> for nurses, midwives and nursing associates</w:t>
      </w:r>
      <w:r w:rsidRPr="00DE1844">
        <w:rPr>
          <w:rFonts w:ascii="Arial" w:hAnsi="Arial" w:cs="Arial"/>
          <w:color w:val="222222"/>
          <w:sz w:val="22"/>
          <w:szCs w:val="22"/>
          <w:shd w:val="clear" w:color="auto" w:fill="FFFFFF"/>
        </w:rPr>
        <w:t>. NMC.</w:t>
      </w:r>
    </w:p>
    <w:p w14:paraId="2772CF65" w14:textId="77777777" w:rsidR="00540783" w:rsidRDefault="00540783" w:rsidP="00540783">
      <w:pPr>
        <w:spacing w:line="360" w:lineRule="auto"/>
        <w:jc w:val="both"/>
        <w:rPr>
          <w:rFonts w:ascii="Arial" w:hAnsi="Arial" w:cs="Arial"/>
          <w:color w:val="222222"/>
          <w:sz w:val="22"/>
          <w:szCs w:val="22"/>
          <w:shd w:val="clear" w:color="auto" w:fill="FFFFFF"/>
        </w:rPr>
      </w:pPr>
      <w:r w:rsidRPr="00DE1844">
        <w:rPr>
          <w:rFonts w:ascii="Arial" w:hAnsi="Arial" w:cs="Arial"/>
          <w:color w:val="222222"/>
          <w:sz w:val="22"/>
          <w:szCs w:val="22"/>
          <w:shd w:val="clear" w:color="auto" w:fill="FFFFFF"/>
        </w:rPr>
        <w:t>Reed, S., Oung, C., Davies, J., Dayan, M. and Scobie, S., 2021. </w:t>
      </w:r>
      <w:r w:rsidRPr="00DE1844">
        <w:rPr>
          <w:rFonts w:ascii="Arial" w:hAnsi="Arial" w:cs="Arial"/>
          <w:i/>
          <w:iCs/>
          <w:color w:val="222222"/>
          <w:sz w:val="22"/>
          <w:szCs w:val="22"/>
          <w:shd w:val="clear" w:color="auto" w:fill="FFFFFF"/>
        </w:rPr>
        <w:t>Integrating health and social care: A comparison of policy and progress across the four countries of the UK, London: Nuffield Trust</w:t>
      </w:r>
      <w:r w:rsidRPr="00DE1844">
        <w:rPr>
          <w:rFonts w:ascii="Arial" w:hAnsi="Arial" w:cs="Arial"/>
          <w:color w:val="222222"/>
          <w:sz w:val="22"/>
          <w:szCs w:val="22"/>
          <w:shd w:val="clear" w:color="auto" w:fill="FFFFFF"/>
        </w:rPr>
        <w:t> [online]</w:t>
      </w:r>
    </w:p>
    <w:p w14:paraId="7ECC1F6F" w14:textId="20A992C3" w:rsidR="00540783" w:rsidRPr="00540783" w:rsidRDefault="00540783" w:rsidP="00540783">
      <w:pPr>
        <w:spacing w:line="360" w:lineRule="auto"/>
        <w:jc w:val="both"/>
        <w:rPr>
          <w:rFonts w:ascii="Arial" w:hAnsi="Arial" w:cs="Arial"/>
          <w:color w:val="222222"/>
          <w:sz w:val="22"/>
          <w:szCs w:val="22"/>
          <w:shd w:val="clear" w:color="auto" w:fill="FFFFFF"/>
        </w:rPr>
      </w:pPr>
      <w:r w:rsidRPr="00F74813">
        <w:rPr>
          <w:rFonts w:ascii="Arial" w:hAnsi="Arial" w:cs="Arial"/>
          <w:color w:val="222222"/>
          <w:sz w:val="22"/>
          <w:szCs w:val="22"/>
          <w:shd w:val="clear" w:color="auto" w:fill="FFFFFF"/>
        </w:rPr>
        <w:t xml:space="preserve">The Health Foundation (2020) </w:t>
      </w:r>
      <w:r w:rsidRPr="00F74813">
        <w:rPr>
          <w:rFonts w:ascii="Arial" w:hAnsi="Arial" w:cs="Arial"/>
          <w:i/>
          <w:iCs/>
          <w:color w:val="222222"/>
          <w:sz w:val="22"/>
          <w:szCs w:val="22"/>
          <w:shd w:val="clear" w:color="auto" w:fill="FFFFFF"/>
        </w:rPr>
        <w:t>Spending Review 2020</w:t>
      </w:r>
      <w:r w:rsidRPr="00F74813">
        <w:rPr>
          <w:rFonts w:ascii="Arial" w:hAnsi="Arial" w:cs="Arial"/>
          <w:color w:val="222222"/>
          <w:sz w:val="22"/>
          <w:szCs w:val="22"/>
          <w:shd w:val="clear" w:color="auto" w:fill="FFFFFF"/>
        </w:rPr>
        <w:t xml:space="preserve">. London: The Health Foundation. Available at: </w:t>
      </w:r>
      <w:hyperlink r:id="rId5" w:tgtFrame="_new" w:history="1">
        <w:r w:rsidRPr="00F74813">
          <w:rPr>
            <w:rStyle w:val="Hyperlink"/>
            <w:rFonts w:ascii="Arial" w:hAnsi="Arial" w:cs="Arial"/>
            <w:sz w:val="22"/>
            <w:szCs w:val="22"/>
            <w:shd w:val="clear" w:color="auto" w:fill="FFFFFF"/>
          </w:rPr>
          <w:t>https://www.health.org.uk/reports-and-analysis/briefings/spending-review-2020</w:t>
        </w:r>
      </w:hyperlink>
      <w:r w:rsidRPr="00F74813">
        <w:rPr>
          <w:rFonts w:ascii="Arial" w:hAnsi="Arial" w:cs="Arial"/>
          <w:color w:val="222222"/>
          <w:sz w:val="22"/>
          <w:szCs w:val="22"/>
          <w:shd w:val="clear" w:color="auto" w:fill="FFFFFF"/>
        </w:rPr>
        <w:t xml:space="preserve"> (Accessed: 11 June 2026).</w:t>
      </w:r>
    </w:p>
    <w:p w14:paraId="00579D34" w14:textId="77777777" w:rsidR="00C0139B" w:rsidRPr="00C0139B" w:rsidRDefault="00C0139B" w:rsidP="00C0139B">
      <w:pPr>
        <w:jc w:val="center"/>
        <w:rPr>
          <w:rFonts w:ascii="Arial" w:hAnsi="Arial" w:cs="Arial"/>
          <w:b/>
          <w:bCs/>
          <w:sz w:val="22"/>
          <w:szCs w:val="22"/>
        </w:rPr>
      </w:pPr>
    </w:p>
    <w:sectPr w:rsidR="00C0139B" w:rsidRPr="00C0139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jUzNTE1NbYwMzAzMzdT0lEKTi0uzszPAykwrAUA5lNuQywAAAA="/>
  </w:docVars>
  <w:rsids>
    <w:rsidRoot w:val="009E44BE"/>
    <w:rsid w:val="000314BB"/>
    <w:rsid w:val="00065E04"/>
    <w:rsid w:val="00097C90"/>
    <w:rsid w:val="00225E6C"/>
    <w:rsid w:val="002E5450"/>
    <w:rsid w:val="00372FB3"/>
    <w:rsid w:val="00375A7E"/>
    <w:rsid w:val="0048715D"/>
    <w:rsid w:val="004B68CA"/>
    <w:rsid w:val="004E66E5"/>
    <w:rsid w:val="00540783"/>
    <w:rsid w:val="0083102B"/>
    <w:rsid w:val="008611FD"/>
    <w:rsid w:val="008B4F65"/>
    <w:rsid w:val="00926295"/>
    <w:rsid w:val="00984E73"/>
    <w:rsid w:val="009C124F"/>
    <w:rsid w:val="009E44BE"/>
    <w:rsid w:val="00AF422D"/>
    <w:rsid w:val="00C0139B"/>
    <w:rsid w:val="00F211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A126A"/>
  <w15:chartTrackingRefBased/>
  <w15:docId w15:val="{0D64FF42-1F8A-45C6-B844-886D42AA21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139B"/>
  </w:style>
  <w:style w:type="paragraph" w:styleId="Heading1">
    <w:name w:val="heading 1"/>
    <w:basedOn w:val="Normal"/>
    <w:next w:val="Normal"/>
    <w:link w:val="Heading1Char"/>
    <w:uiPriority w:val="9"/>
    <w:qFormat/>
    <w:rsid w:val="009E44B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E44B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E44B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E44B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E44B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E44B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44B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44B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44B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44B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E44B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E44B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E44B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E44B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E44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44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44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44BE"/>
    <w:rPr>
      <w:rFonts w:eastAsiaTheme="majorEastAsia" w:cstheme="majorBidi"/>
      <w:color w:val="272727" w:themeColor="text1" w:themeTint="D8"/>
    </w:rPr>
  </w:style>
  <w:style w:type="paragraph" w:styleId="Title">
    <w:name w:val="Title"/>
    <w:basedOn w:val="Normal"/>
    <w:next w:val="Normal"/>
    <w:link w:val="TitleChar"/>
    <w:uiPriority w:val="10"/>
    <w:qFormat/>
    <w:rsid w:val="009E44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44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44B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44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44BE"/>
    <w:pPr>
      <w:spacing w:before="160"/>
      <w:jc w:val="center"/>
    </w:pPr>
    <w:rPr>
      <w:i/>
      <w:iCs/>
      <w:color w:val="404040" w:themeColor="text1" w:themeTint="BF"/>
    </w:rPr>
  </w:style>
  <w:style w:type="character" w:customStyle="1" w:styleId="QuoteChar">
    <w:name w:val="Quote Char"/>
    <w:basedOn w:val="DefaultParagraphFont"/>
    <w:link w:val="Quote"/>
    <w:uiPriority w:val="29"/>
    <w:rsid w:val="009E44BE"/>
    <w:rPr>
      <w:i/>
      <w:iCs/>
      <w:color w:val="404040" w:themeColor="text1" w:themeTint="BF"/>
    </w:rPr>
  </w:style>
  <w:style w:type="paragraph" w:styleId="ListParagraph">
    <w:name w:val="List Paragraph"/>
    <w:basedOn w:val="Normal"/>
    <w:uiPriority w:val="34"/>
    <w:qFormat/>
    <w:rsid w:val="009E44BE"/>
    <w:pPr>
      <w:ind w:left="720"/>
      <w:contextualSpacing/>
    </w:pPr>
  </w:style>
  <w:style w:type="character" w:styleId="IntenseEmphasis">
    <w:name w:val="Intense Emphasis"/>
    <w:basedOn w:val="DefaultParagraphFont"/>
    <w:uiPriority w:val="21"/>
    <w:qFormat/>
    <w:rsid w:val="009E44BE"/>
    <w:rPr>
      <w:i/>
      <w:iCs/>
      <w:color w:val="2F5496" w:themeColor="accent1" w:themeShade="BF"/>
    </w:rPr>
  </w:style>
  <w:style w:type="paragraph" w:styleId="IntenseQuote">
    <w:name w:val="Intense Quote"/>
    <w:basedOn w:val="Normal"/>
    <w:next w:val="Normal"/>
    <w:link w:val="IntenseQuoteChar"/>
    <w:uiPriority w:val="30"/>
    <w:qFormat/>
    <w:rsid w:val="009E44B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E44BE"/>
    <w:rPr>
      <w:i/>
      <w:iCs/>
      <w:color w:val="2F5496" w:themeColor="accent1" w:themeShade="BF"/>
    </w:rPr>
  </w:style>
  <w:style w:type="character" w:styleId="IntenseReference">
    <w:name w:val="Intense Reference"/>
    <w:basedOn w:val="DefaultParagraphFont"/>
    <w:uiPriority w:val="32"/>
    <w:qFormat/>
    <w:rsid w:val="009E44BE"/>
    <w:rPr>
      <w:b/>
      <w:bCs/>
      <w:smallCaps/>
      <w:color w:val="2F5496" w:themeColor="accent1" w:themeShade="BF"/>
      <w:spacing w:val="5"/>
    </w:rPr>
  </w:style>
  <w:style w:type="character" w:styleId="Hyperlink">
    <w:name w:val="Hyperlink"/>
    <w:basedOn w:val="DefaultParagraphFont"/>
    <w:uiPriority w:val="99"/>
    <w:unhideWhenUsed/>
    <w:rsid w:val="0054078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health.org.uk/reports-and-analysis/briefings/spending-review-2020" TargetMode="External"/><Relationship Id="rId4" Type="http://schemas.openxmlformats.org/officeDocument/2006/relationships/hyperlink" Target="https://www.kingsfund.org.uk/insight-and-analysis/long-reads/integrated-care-systems-explain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TotalTime>
  <Pages>10</Pages>
  <Words>2941</Words>
  <Characters>16768</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vivian Bioh</cp:lastModifiedBy>
  <cp:revision>10</cp:revision>
  <dcterms:created xsi:type="dcterms:W3CDTF">2026-06-11T12:29:00Z</dcterms:created>
  <dcterms:modified xsi:type="dcterms:W3CDTF">2026-07-20T16:10:00Z</dcterms:modified>
</cp:coreProperties>
</file>