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A4D2C" w14:textId="77777777" w:rsidR="00D97FFE" w:rsidRPr="00711C4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711C42">
        <w:rPr>
          <w:rFonts w:eastAsia="Times New Roman" w:cs="Calibri"/>
          <w:color w:val="000000" w:themeColor="text1"/>
          <w:sz w:val="24"/>
          <w:szCs w:val="24"/>
        </w:rPr>
        <w:t>References</w:t>
      </w:r>
    </w:p>
    <w:p w14:paraId="46FF5D69" w14:textId="77777777" w:rsidR="00D97FFE" w:rsidRPr="00711C4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4DAF6979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711C42">
        <w:rPr>
          <w:rFonts w:eastAsia="Times New Roman" w:cs="Calibri"/>
          <w:color w:val="000000" w:themeColor="text1"/>
          <w:sz w:val="24"/>
          <w:szCs w:val="24"/>
        </w:rPr>
        <w:t xml:space="preserve">Batty, D. (24 September 2001) Timeline for the </w:t>
      </w:r>
      <w:proofErr w:type="spellStart"/>
      <w:r w:rsidRPr="00711C42">
        <w:rPr>
          <w:rFonts w:eastAsia="Times New Roman" w:cs="Calibri"/>
          <w:color w:val="000000" w:themeColor="text1"/>
          <w:sz w:val="24"/>
          <w:szCs w:val="24"/>
        </w:rPr>
        <w:t>Climbe</w:t>
      </w:r>
      <w:proofErr w:type="spellEnd"/>
      <w:r w:rsidRPr="00711C42">
        <w:rPr>
          <w:rFonts w:eastAsia="Times New Roman" w:cs="Calibri"/>
          <w:color w:val="000000" w:themeColor="text1"/>
          <w:sz w:val="24"/>
          <w:szCs w:val="24"/>
        </w:rPr>
        <w:t xml:space="preserve"> Case.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The Guardian.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Available from: </w:t>
      </w:r>
      <w:hyperlink r:id="rId4" w:history="1">
        <w:r w:rsidRPr="00281FA2">
          <w:rPr>
            <w:rStyle w:val="Hyperlink"/>
            <w:rFonts w:eastAsia="Times New Roman" w:cs="Calibri"/>
            <w:color w:val="000000" w:themeColor="text1"/>
            <w:sz w:val="24"/>
            <w:szCs w:val="24"/>
          </w:rPr>
          <w:t>https://www.theguardian.com/society/2001/sep/24/childrensservices</w:t>
        </w:r>
      </w:hyperlink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 (Accessed 28 March 2021).</w:t>
      </w:r>
    </w:p>
    <w:p w14:paraId="5D6E291D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662C156D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Family Rights Group. (2012)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Anne and Terry’s story (Part 2).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(Video) Available from: </w:t>
      </w:r>
      <w:hyperlink r:id="rId5" w:tgtFrame="_blank" w:history="1">
        <w:r w:rsidRPr="00281FA2">
          <w:rPr>
            <w:rFonts w:eastAsia="Times New Roman"/>
            <w:color w:val="000000" w:themeColor="text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Anne and Terry's story (Part 2) - child protection conference - YouTube</w:t>
        </w:r>
      </w:hyperlink>
      <w:r w:rsidRPr="00281FA2">
        <w:rPr>
          <w:rFonts w:eastAsia="Times New Roman"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</w:p>
    <w:p w14:paraId="443ED2E9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281FA2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(Accessed 26 March 2021). </w:t>
      </w:r>
    </w:p>
    <w:p w14:paraId="392E0618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14:paraId="35AC8B34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281FA2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General Data Protection Regulations</w:t>
      </w:r>
    </w:p>
    <w:p w14:paraId="3765247B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3E354D50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1DE3CC9B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HM Government. (2018)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>Working together to safeguard children 2018. Available from: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 </w:t>
      </w:r>
      <w:hyperlink r:id="rId6" w:history="1">
        <w:r w:rsidRPr="00281FA2">
          <w:rPr>
            <w:rStyle w:val="Hyperlink"/>
            <w:rFonts w:eastAsia="Times New Roman" w:cs="Calibri"/>
            <w:color w:val="000000" w:themeColor="text1"/>
            <w:sz w:val="24"/>
            <w:szCs w:val="24"/>
          </w:rPr>
          <w:t>https://www.gov.uk/government/publications/working-together-to-safeguard-children--2</w:t>
        </w:r>
      </w:hyperlink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  (Accessed 01 </w:t>
      </w:r>
      <w:proofErr w:type="gramStart"/>
      <w:r w:rsidRPr="00281FA2">
        <w:rPr>
          <w:rFonts w:eastAsia="Times New Roman" w:cs="Calibri"/>
          <w:color w:val="000000" w:themeColor="text1"/>
          <w:sz w:val="24"/>
          <w:szCs w:val="24"/>
        </w:rPr>
        <w:t>April,</w:t>
      </w:r>
      <w:proofErr w:type="gramEnd"/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 2021).</w:t>
      </w:r>
    </w:p>
    <w:p w14:paraId="472D2848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2A6F210F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Horwath, J. &amp; Morrison, T. (2011) Effective inter-agency collaboration to safeguard children. Rising to the challenge through collective development.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Children and Youth Services Reviews,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33 (2), 368-375. Available from </w:t>
      </w:r>
      <w:hyperlink r:id="rId7" w:history="1">
        <w:r w:rsidRPr="00281FA2">
          <w:rPr>
            <w:rStyle w:val="Hyperlink"/>
            <w:color w:val="000000" w:themeColor="text1"/>
            <w:sz w:val="24"/>
            <w:szCs w:val="24"/>
          </w:rPr>
          <w:t>https://www.sciencedirect.com/science/article/pii/S0190740910003361</w:t>
        </w:r>
      </w:hyperlink>
    </w:p>
    <w:p w14:paraId="0453FA32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24B1F70E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Laws, C. (2019)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What is an initial child protection case conference (ICPCC)?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Available from: </w:t>
      </w:r>
      <w:hyperlink r:id="rId8" w:history="1">
        <w:r w:rsidRPr="00281FA2">
          <w:rPr>
            <w:rStyle w:val="Hyperlink"/>
            <w:color w:val="000000" w:themeColor="text1"/>
            <w:sz w:val="24"/>
            <w:szCs w:val="24"/>
          </w:rPr>
          <w:t>https://www.thefamilylawco.co.uk/blog/children-law-and-social-services-intervention/what-is-an-initial-child-protection-case-conference-icpcc/</w:t>
        </w:r>
      </w:hyperlink>
      <w:r w:rsidRPr="00281FA2">
        <w:rPr>
          <w:rStyle w:val="Hyperlink"/>
          <w:color w:val="000000" w:themeColor="text1"/>
          <w:sz w:val="24"/>
          <w:szCs w:val="24"/>
        </w:rPr>
        <w:t xml:space="preserve"> (Accessed 02 April 2021).</w:t>
      </w:r>
    </w:p>
    <w:p w14:paraId="5A5F91FA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1F6FFF03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NSPCC. (2020)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>Safeguarding concerns. Practice examples. Available from: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 </w:t>
      </w:r>
      <w:hyperlink r:id="rId9" w:anchor="article-top" w:history="1">
        <w:r w:rsidRPr="00281FA2">
          <w:rPr>
            <w:rStyle w:val="Hyperlink"/>
            <w:color w:val="000000" w:themeColor="text1"/>
            <w:sz w:val="24"/>
            <w:szCs w:val="24"/>
          </w:rPr>
          <w:t>https://learning.nspcc.org.uk/safeguarding-child-protection/safeguarding-examples-issues-concerns#article-top</w:t>
        </w:r>
      </w:hyperlink>
      <w:r w:rsidRPr="00281FA2">
        <w:rPr>
          <w:rStyle w:val="Hyperlink"/>
          <w:color w:val="000000" w:themeColor="text1"/>
          <w:sz w:val="24"/>
          <w:szCs w:val="24"/>
        </w:rPr>
        <w:t xml:space="preserve"> (Accessed 25 March 2021).</w:t>
      </w:r>
    </w:p>
    <w:p w14:paraId="2696CBBE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0212ED9A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NSPCC. (2021)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Child Protection System in Wales.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Available from:  </w:t>
      </w:r>
      <w:hyperlink r:id="rId10" w:history="1">
        <w:r w:rsidRPr="00281FA2">
          <w:rPr>
            <w:rStyle w:val="Hyperlink"/>
            <w:color w:val="000000" w:themeColor="text1"/>
            <w:sz w:val="24"/>
            <w:szCs w:val="24"/>
          </w:rPr>
          <w:t>https://learning.nspcc.org.uk/child-protection-system/wales</w:t>
        </w:r>
      </w:hyperlink>
      <w:r w:rsidRPr="00281FA2">
        <w:rPr>
          <w:rStyle w:val="Hyperlink"/>
          <w:color w:val="000000" w:themeColor="text1"/>
          <w:sz w:val="24"/>
          <w:szCs w:val="24"/>
        </w:rPr>
        <w:t xml:space="preserve"> (Accessed 07 April 2021).</w:t>
      </w:r>
    </w:p>
    <w:p w14:paraId="2B31DB8D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</w:p>
    <w:p w14:paraId="32C08951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  <w:r w:rsidRPr="00281FA2">
        <w:rPr>
          <w:rStyle w:val="Hyperlink"/>
          <w:color w:val="000000" w:themeColor="text1"/>
          <w:sz w:val="24"/>
          <w:szCs w:val="24"/>
        </w:rPr>
        <w:t>Social Services and Well-being (Wales) Act 2014</w:t>
      </w:r>
    </w:p>
    <w:p w14:paraId="1F60B1C8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</w:p>
    <w:p w14:paraId="5B9118D3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  <w:r w:rsidRPr="00281FA2">
        <w:rPr>
          <w:rStyle w:val="Hyperlink"/>
          <w:color w:val="000000" w:themeColor="text1"/>
          <w:sz w:val="24"/>
          <w:szCs w:val="24"/>
        </w:rPr>
        <w:t>The Children Act 1989</w:t>
      </w:r>
    </w:p>
    <w:p w14:paraId="68724851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</w:p>
    <w:p w14:paraId="034D3A53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  <w:r w:rsidRPr="00281FA2">
        <w:rPr>
          <w:rStyle w:val="Hyperlink"/>
          <w:color w:val="000000" w:themeColor="text1"/>
          <w:sz w:val="24"/>
          <w:szCs w:val="24"/>
        </w:rPr>
        <w:t>The Children Act 2004</w:t>
      </w:r>
    </w:p>
    <w:p w14:paraId="44C32F09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</w:p>
    <w:p w14:paraId="0EF03E8C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  <w:r w:rsidRPr="00281FA2">
        <w:rPr>
          <w:rStyle w:val="Hyperlink"/>
          <w:color w:val="000000" w:themeColor="text1"/>
          <w:sz w:val="24"/>
          <w:szCs w:val="24"/>
        </w:rPr>
        <w:t>The Children and Social Work Act 2017</w:t>
      </w:r>
    </w:p>
    <w:p w14:paraId="319C35E9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</w:p>
    <w:p w14:paraId="50CCF633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  <w:r w:rsidRPr="00281FA2">
        <w:rPr>
          <w:rStyle w:val="Hyperlink"/>
          <w:color w:val="000000" w:themeColor="text1"/>
          <w:sz w:val="24"/>
          <w:szCs w:val="24"/>
        </w:rPr>
        <w:t>The Data Protection Act 2018</w:t>
      </w:r>
    </w:p>
    <w:p w14:paraId="620DD219" w14:textId="77777777" w:rsidR="00D97FFE" w:rsidRPr="00281FA2" w:rsidRDefault="00D97FFE" w:rsidP="00D97FFE">
      <w:pPr>
        <w:spacing w:after="0" w:line="240" w:lineRule="auto"/>
        <w:textAlignment w:val="baseline"/>
        <w:rPr>
          <w:rStyle w:val="Hyperlink"/>
          <w:color w:val="000000" w:themeColor="text1"/>
          <w:sz w:val="24"/>
          <w:szCs w:val="24"/>
        </w:rPr>
      </w:pPr>
    </w:p>
    <w:p w14:paraId="4742058A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Style w:val="Hyperlink"/>
          <w:color w:val="000000" w:themeColor="text1"/>
          <w:sz w:val="24"/>
          <w:szCs w:val="24"/>
        </w:rPr>
        <w:t>United Nations Convention on the Rights of the Child 1989</w:t>
      </w:r>
    </w:p>
    <w:p w14:paraId="4ADB4DA8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5A3F0DA8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lastRenderedPageBreak/>
        <w:t xml:space="preserve">Walker, G. (2018) </w:t>
      </w:r>
      <w:r w:rsidRPr="00281FA2">
        <w:rPr>
          <w:i/>
          <w:iCs/>
          <w:color w:val="000000" w:themeColor="text1"/>
          <w:sz w:val="24"/>
          <w:szCs w:val="24"/>
          <w:lang w:bidi="en-GB"/>
        </w:rPr>
        <w:t>Working Together for Children, a critical introduction to multi-agency working</w:t>
      </w:r>
      <w:r w:rsidRPr="00281FA2">
        <w:rPr>
          <w:color w:val="000000" w:themeColor="text1"/>
          <w:sz w:val="24"/>
          <w:szCs w:val="24"/>
          <w:lang w:bidi="en-GB"/>
        </w:rPr>
        <w:t xml:space="preserve"> (2</w:t>
      </w:r>
      <w:r w:rsidRPr="00281FA2">
        <w:rPr>
          <w:color w:val="000000" w:themeColor="text1"/>
          <w:sz w:val="24"/>
          <w:szCs w:val="24"/>
          <w:vertAlign w:val="superscript"/>
          <w:lang w:bidi="en-GB"/>
        </w:rPr>
        <w:t>nd</w:t>
      </w:r>
      <w:r w:rsidRPr="00281FA2">
        <w:rPr>
          <w:color w:val="000000" w:themeColor="text1"/>
          <w:sz w:val="24"/>
          <w:szCs w:val="24"/>
          <w:lang w:bidi="en-GB"/>
        </w:rPr>
        <w:t xml:space="preserve"> edition). London, Bloomsbury. Available from </w:t>
      </w:r>
      <w:hyperlink r:id="rId11" w:anchor="v=onepage&amp;q=benefits%20multi%20agency%20working%20safeguarding%20children&amp;f=false" w:history="1">
        <w:r w:rsidRPr="00281FA2">
          <w:rPr>
            <w:rStyle w:val="Hyperlink"/>
            <w:color w:val="000000" w:themeColor="text1"/>
            <w:sz w:val="24"/>
            <w:szCs w:val="24"/>
            <w:lang w:bidi="en-GB"/>
          </w:rPr>
          <w:t>https://books.google.co.uk/books?hl=en&amp;lr&amp;id=-T4_DwAAQBAJ&amp;oi=fnd&amp;pg=PP1&amp;dq=benefits+multi+agency+working+safeguarding+children&amp;ots=CwYbbDmTA-&amp;sig=WHcGsu53r08k16EBrpw8KWoJJgI&amp;redir_esc=y&amp;pli=1#v=onepage&amp;q=benefits%20multi%20agency%20working%20safeguarding%20children&amp;f=false</w:t>
        </w:r>
      </w:hyperlink>
      <w:r w:rsidRPr="00281FA2">
        <w:rPr>
          <w:rStyle w:val="Hyperlink"/>
          <w:color w:val="000000" w:themeColor="text1"/>
          <w:sz w:val="24"/>
          <w:szCs w:val="24"/>
          <w:lang w:bidi="en-GB"/>
        </w:rPr>
        <w:t xml:space="preserve"> (Accessed 30 March 2021)</w:t>
      </w:r>
    </w:p>
    <w:p w14:paraId="3FFBC7E3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393031D9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Welsh Assembly Government. (2006)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Safeguarding children: Working together under the Children Act 2004.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Available from: </w:t>
      </w:r>
      <w:hyperlink r:id="rId12" w:history="1">
        <w:r w:rsidRPr="00281FA2">
          <w:rPr>
            <w:rStyle w:val="Hyperlink"/>
            <w:rFonts w:cs="Arial"/>
            <w:color w:val="000000" w:themeColor="text1"/>
            <w:sz w:val="24"/>
            <w:szCs w:val="24"/>
          </w:rPr>
          <w:t>https://www.basw.co.uk/resources/safeguarding-children-working-together-under-children-act-2004</w:t>
        </w:r>
      </w:hyperlink>
      <w:r w:rsidRPr="00281FA2">
        <w:rPr>
          <w:rStyle w:val="Hyperlink"/>
          <w:rFonts w:cs="Arial"/>
          <w:color w:val="000000" w:themeColor="text1"/>
          <w:sz w:val="24"/>
          <w:szCs w:val="24"/>
        </w:rPr>
        <w:t xml:space="preserve"> (Accessed 01 April 2021).</w:t>
      </w:r>
    </w:p>
    <w:p w14:paraId="08F51845" w14:textId="77777777" w:rsidR="00D97FFE" w:rsidRPr="00281FA2" w:rsidRDefault="00D97FFE" w:rsidP="00D97FFE">
      <w:pPr>
        <w:spacing w:after="0" w:line="240" w:lineRule="auto"/>
        <w:textAlignment w:val="baseline"/>
        <w:rPr>
          <w:rFonts w:eastAsia="Times New Roman" w:cs="Calibri"/>
          <w:color w:val="000000" w:themeColor="text1"/>
          <w:sz w:val="24"/>
          <w:szCs w:val="24"/>
        </w:rPr>
      </w:pPr>
    </w:p>
    <w:p w14:paraId="2854A869" w14:textId="3DB0B8A7" w:rsidR="007A223C" w:rsidRDefault="00D97FFE" w:rsidP="00D97FFE">
      <w:r w:rsidRPr="00281FA2">
        <w:rPr>
          <w:rFonts w:eastAsia="Times New Roman" w:cs="Calibri"/>
          <w:color w:val="000000" w:themeColor="text1"/>
          <w:sz w:val="24"/>
          <w:szCs w:val="24"/>
        </w:rPr>
        <w:t xml:space="preserve">Welsh Government. (2021) </w:t>
      </w:r>
      <w:r w:rsidRPr="00281FA2">
        <w:rPr>
          <w:rFonts w:eastAsia="Times New Roman" w:cs="Calibri"/>
          <w:i/>
          <w:iCs/>
          <w:color w:val="000000" w:themeColor="text1"/>
          <w:sz w:val="24"/>
          <w:szCs w:val="24"/>
        </w:rPr>
        <w:t xml:space="preserve">Wales Safeguarding Procedures. </w:t>
      </w:r>
      <w:r w:rsidRPr="00281FA2">
        <w:rPr>
          <w:rFonts w:eastAsia="Times New Roman" w:cs="Calibri"/>
          <w:color w:val="000000" w:themeColor="text1"/>
          <w:sz w:val="24"/>
          <w:szCs w:val="24"/>
        </w:rPr>
        <w:t>(Version 1.08) (Mobile App).</w:t>
      </w:r>
    </w:p>
    <w:sectPr w:rsidR="007A2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FFE"/>
    <w:rsid w:val="00047845"/>
    <w:rsid w:val="00841487"/>
    <w:rsid w:val="00B06A2B"/>
    <w:rsid w:val="00D9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18A81"/>
  <w15:chartTrackingRefBased/>
  <w15:docId w15:val="{9514429E-52C0-47B3-BA96-5EF66432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FFE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7F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familylawco.co.uk/blog/children-law-and-social-services-intervention/what-is-an-initial-child-protection-case-conference-icpcc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ciencedirect.com/science/article/pii/S0190740910003361" TargetMode="External"/><Relationship Id="rId12" Type="http://schemas.openxmlformats.org/officeDocument/2006/relationships/hyperlink" Target="https://www.basw.co.uk/resources/safeguarding-children-working-together-under-children-act-20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working-together-to-safeguard-children--2" TargetMode="External"/><Relationship Id="rId11" Type="http://schemas.openxmlformats.org/officeDocument/2006/relationships/hyperlink" Target="https://books.google.co.uk/books?hl=en&amp;lr&amp;id=-T4_DwAAQBAJ&amp;oi=fnd&amp;pg=PP1&amp;dq=benefits+multi+agency+working+safeguarding+children&amp;ots=CwYbbDmTA-&amp;sig=WHcGsu53r08k16EBrpw8KWoJJgI&amp;redir_esc=y&amp;pli=1" TargetMode="External"/><Relationship Id="rId5" Type="http://schemas.openxmlformats.org/officeDocument/2006/relationships/hyperlink" Target="https://www.youtube.com/watch?v=3Q11zm-L-hQ" TargetMode="External"/><Relationship Id="rId10" Type="http://schemas.openxmlformats.org/officeDocument/2006/relationships/hyperlink" Target="https://learning.nspcc.org.uk/child-protection-system/wales" TargetMode="External"/><Relationship Id="rId4" Type="http://schemas.openxmlformats.org/officeDocument/2006/relationships/hyperlink" Target="https://www.theguardian.com/society/2001/sep/24/childrensservices" TargetMode="External"/><Relationship Id="rId9" Type="http://schemas.openxmlformats.org/officeDocument/2006/relationships/hyperlink" Target="https://learning.nspcc.org.uk/safeguarding-child-protection/safeguarding-examples-issues-concern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Sian Caffery (1902454)</dc:creator>
  <cp:keywords/>
  <dc:description/>
  <cp:lastModifiedBy>Chelsey Sian Caffery (1902454)</cp:lastModifiedBy>
  <cp:revision>1</cp:revision>
  <dcterms:created xsi:type="dcterms:W3CDTF">2021-04-28T14:51:00Z</dcterms:created>
  <dcterms:modified xsi:type="dcterms:W3CDTF">2021-04-28T14:53:00Z</dcterms:modified>
</cp:coreProperties>
</file>