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69858" w14:textId="283139CA" w:rsidR="00FC4CEE" w:rsidRDefault="00FC4CEE" w:rsidP="00FC4CEE">
      <w:pPr>
        <w:spacing w:line="360" w:lineRule="auto"/>
        <w:rPr>
          <w:b/>
          <w:bCs/>
        </w:rPr>
      </w:pPr>
    </w:p>
    <w:p w14:paraId="17DF5AD7" w14:textId="020AEDC4" w:rsidR="00FC4CEE" w:rsidRDefault="00FC4CEE" w:rsidP="00FC4CEE">
      <w:pPr>
        <w:spacing w:line="360" w:lineRule="auto"/>
        <w:rPr>
          <w:b/>
          <w:bCs/>
        </w:rPr>
      </w:pPr>
      <w:r>
        <w:rPr>
          <w:noProof/>
        </w:rPr>
        <w:drawing>
          <wp:anchor distT="0" distB="0" distL="114300" distR="114300" simplePos="0" relativeHeight="251659264" behindDoc="1" locked="0" layoutInCell="1" allowOverlap="1" wp14:anchorId="722264BC" wp14:editId="693F2E3D">
            <wp:simplePos x="0" y="0"/>
            <wp:positionH relativeFrom="margin">
              <wp:posOffset>1026795</wp:posOffset>
            </wp:positionH>
            <wp:positionV relativeFrom="margin">
              <wp:posOffset>427189</wp:posOffset>
            </wp:positionV>
            <wp:extent cx="3514725" cy="1400175"/>
            <wp:effectExtent l="0" t="0" r="3175"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6">
                      <a:extLst>
                        <a:ext uri="{28A0092B-C50C-407E-A947-70E740481C1C}">
                          <a14:useLocalDpi xmlns:a14="http://schemas.microsoft.com/office/drawing/2010/main" val="0"/>
                        </a:ext>
                      </a:extLst>
                    </a:blip>
                    <a:stretch>
                      <a:fillRect/>
                    </a:stretch>
                  </pic:blipFill>
                  <pic:spPr>
                    <a:xfrm>
                      <a:off x="0" y="0"/>
                      <a:ext cx="3514725" cy="1400175"/>
                    </a:xfrm>
                    <a:prstGeom prst="rect">
                      <a:avLst/>
                    </a:prstGeom>
                  </pic:spPr>
                </pic:pic>
              </a:graphicData>
            </a:graphic>
          </wp:anchor>
        </w:drawing>
      </w:r>
    </w:p>
    <w:p w14:paraId="6EAC9FAD" w14:textId="0A1D612B" w:rsidR="00FC4CEE" w:rsidRDefault="00FC4CEE" w:rsidP="00FC4CEE">
      <w:pPr>
        <w:spacing w:line="360" w:lineRule="auto"/>
        <w:rPr>
          <w:b/>
          <w:bCs/>
        </w:rPr>
      </w:pPr>
    </w:p>
    <w:p w14:paraId="292B9952" w14:textId="56EDD58A" w:rsidR="00FC4CEE" w:rsidRDefault="00FC4CEE" w:rsidP="00FC4CEE">
      <w:pPr>
        <w:spacing w:line="360" w:lineRule="auto"/>
        <w:rPr>
          <w:b/>
          <w:bCs/>
        </w:rPr>
      </w:pPr>
    </w:p>
    <w:p w14:paraId="54675B2C" w14:textId="77777777" w:rsidR="00FC4CEE" w:rsidRDefault="00FC4CEE" w:rsidP="00FC4CEE">
      <w:pPr>
        <w:spacing w:line="360" w:lineRule="auto"/>
        <w:rPr>
          <w:b/>
          <w:bCs/>
        </w:rPr>
      </w:pPr>
    </w:p>
    <w:p w14:paraId="6F76AB2D" w14:textId="3647F83C" w:rsidR="00FC4CEE" w:rsidRDefault="00FC4CEE" w:rsidP="00FC4CEE">
      <w:pPr>
        <w:spacing w:line="360" w:lineRule="auto"/>
        <w:rPr>
          <w:b/>
          <w:bCs/>
        </w:rPr>
      </w:pPr>
    </w:p>
    <w:p w14:paraId="3691DCF4" w14:textId="77777777" w:rsidR="00FC4CEE" w:rsidRDefault="00FC4CEE" w:rsidP="00FC4CEE">
      <w:pPr>
        <w:spacing w:line="360" w:lineRule="auto"/>
        <w:rPr>
          <w:b/>
          <w:bCs/>
        </w:rPr>
      </w:pPr>
    </w:p>
    <w:p w14:paraId="14D63D02" w14:textId="77777777" w:rsidR="00FC4CEE" w:rsidRDefault="00FC4CEE" w:rsidP="00FC4CEE">
      <w:pPr>
        <w:spacing w:line="360" w:lineRule="auto"/>
        <w:rPr>
          <w:b/>
          <w:bCs/>
        </w:rPr>
      </w:pPr>
    </w:p>
    <w:p w14:paraId="79EF2A53" w14:textId="77777777" w:rsidR="00FC4CEE" w:rsidRDefault="00FC4CEE" w:rsidP="00FC4CEE">
      <w:pPr>
        <w:jc w:val="center"/>
      </w:pPr>
      <w:r w:rsidRPr="00DD58A5">
        <w:rPr>
          <w:rFonts w:ascii="Times New Roman" w:hAnsi="Times New Roman" w:cs="Times New Roman"/>
          <w:u w:val="single"/>
        </w:rPr>
        <w:t>Module Code</w:t>
      </w:r>
      <w:r>
        <w:t>: ECEY4003</w:t>
      </w:r>
    </w:p>
    <w:p w14:paraId="67379F9F" w14:textId="77777777" w:rsidR="00FC4CEE" w:rsidRDefault="00FC4CEE" w:rsidP="00FC4CEE">
      <w:pPr>
        <w:jc w:val="center"/>
      </w:pPr>
      <w:r w:rsidRPr="00DD58A5">
        <w:rPr>
          <w:rFonts w:ascii="Times New Roman" w:hAnsi="Times New Roman" w:cs="Times New Roman"/>
          <w:u w:val="single"/>
        </w:rPr>
        <w:t>Assignment title</w:t>
      </w:r>
      <w:r>
        <w:t>: Child Play</w:t>
      </w:r>
    </w:p>
    <w:p w14:paraId="5BF37F23" w14:textId="77777777" w:rsidR="00FC4CEE" w:rsidRDefault="00FC4CEE" w:rsidP="00FC4CEE">
      <w:pPr>
        <w:jc w:val="center"/>
      </w:pPr>
      <w:r w:rsidRPr="00DD58A5">
        <w:rPr>
          <w:rFonts w:ascii="Times New Roman" w:hAnsi="Times New Roman" w:cs="Times New Roman"/>
          <w:u w:val="single"/>
        </w:rPr>
        <w:t>Student Number</w:t>
      </w:r>
      <w:r>
        <w:t>: 2501895</w:t>
      </w:r>
    </w:p>
    <w:p w14:paraId="27613C88" w14:textId="77777777" w:rsidR="00FC4CEE" w:rsidRDefault="00FC4CEE" w:rsidP="00FC4CEE">
      <w:pPr>
        <w:jc w:val="center"/>
      </w:pPr>
      <w:r w:rsidRPr="00DD58A5">
        <w:rPr>
          <w:rFonts w:ascii="Times New Roman" w:hAnsi="Times New Roman" w:cs="Times New Roman"/>
          <w:u w:val="single"/>
        </w:rPr>
        <w:t>AI Acknowledgement</w:t>
      </w:r>
      <w:r>
        <w:t>: I confirm that I gave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85BE693" w14:textId="77777777" w:rsidR="00FC4CEE" w:rsidRDefault="00FC4CEE" w:rsidP="00FC4CEE">
      <w:pPr>
        <w:spacing w:line="360" w:lineRule="auto"/>
        <w:rPr>
          <w:b/>
          <w:bCs/>
        </w:rPr>
      </w:pPr>
    </w:p>
    <w:p w14:paraId="58A985F2" w14:textId="77777777" w:rsidR="00FC4CEE" w:rsidRDefault="00FC4CEE" w:rsidP="00FC4CEE">
      <w:pPr>
        <w:spacing w:line="360" w:lineRule="auto"/>
        <w:rPr>
          <w:b/>
          <w:bCs/>
        </w:rPr>
      </w:pPr>
    </w:p>
    <w:p w14:paraId="7A846802" w14:textId="77777777" w:rsidR="00FC4CEE" w:rsidRDefault="00FC4CEE" w:rsidP="00FC4CEE">
      <w:pPr>
        <w:spacing w:line="360" w:lineRule="auto"/>
        <w:rPr>
          <w:b/>
          <w:bCs/>
        </w:rPr>
      </w:pPr>
    </w:p>
    <w:p w14:paraId="4496FF6D" w14:textId="77777777" w:rsidR="00FC4CEE" w:rsidRDefault="00FC4CEE" w:rsidP="00FC4CEE">
      <w:pPr>
        <w:spacing w:line="360" w:lineRule="auto"/>
        <w:rPr>
          <w:b/>
          <w:bCs/>
        </w:rPr>
      </w:pPr>
    </w:p>
    <w:p w14:paraId="6FD1C53F" w14:textId="77777777" w:rsidR="00FC4CEE" w:rsidRDefault="00FC4CEE" w:rsidP="00FC4CEE">
      <w:pPr>
        <w:spacing w:line="360" w:lineRule="auto"/>
        <w:rPr>
          <w:b/>
          <w:bCs/>
        </w:rPr>
      </w:pPr>
    </w:p>
    <w:p w14:paraId="5D88FB1F" w14:textId="77777777" w:rsidR="00FC4CEE" w:rsidRDefault="00FC4CEE" w:rsidP="00FC4CEE">
      <w:pPr>
        <w:spacing w:line="360" w:lineRule="auto"/>
        <w:rPr>
          <w:b/>
          <w:bCs/>
        </w:rPr>
      </w:pPr>
    </w:p>
    <w:p w14:paraId="6B16AA34" w14:textId="77777777" w:rsidR="00FC4CEE" w:rsidRDefault="00FC4CEE" w:rsidP="00FC4CEE">
      <w:pPr>
        <w:spacing w:line="360" w:lineRule="auto"/>
        <w:rPr>
          <w:b/>
          <w:bCs/>
        </w:rPr>
      </w:pPr>
    </w:p>
    <w:p w14:paraId="5F8C73D7" w14:textId="77777777" w:rsidR="00FC4CEE" w:rsidRDefault="00FC4CEE" w:rsidP="00FC4CEE">
      <w:pPr>
        <w:spacing w:line="360" w:lineRule="auto"/>
        <w:rPr>
          <w:b/>
          <w:bCs/>
        </w:rPr>
      </w:pPr>
    </w:p>
    <w:p w14:paraId="2A44EF20" w14:textId="77777777" w:rsidR="00FC4CEE" w:rsidRDefault="00FC4CEE" w:rsidP="00FC4CEE">
      <w:pPr>
        <w:spacing w:line="360" w:lineRule="auto"/>
        <w:rPr>
          <w:b/>
          <w:bCs/>
        </w:rPr>
      </w:pPr>
    </w:p>
    <w:p w14:paraId="3196674F" w14:textId="77777777" w:rsidR="00FC4CEE" w:rsidRDefault="00FC4CEE" w:rsidP="00FC4CEE">
      <w:pPr>
        <w:spacing w:line="360" w:lineRule="auto"/>
        <w:rPr>
          <w:b/>
          <w:bCs/>
        </w:rPr>
      </w:pPr>
    </w:p>
    <w:p w14:paraId="7205FC84" w14:textId="77777777" w:rsidR="00FC4CEE" w:rsidRDefault="00FC4CEE" w:rsidP="00FC4CEE">
      <w:pPr>
        <w:spacing w:line="360" w:lineRule="auto"/>
        <w:rPr>
          <w:b/>
          <w:bCs/>
        </w:rPr>
      </w:pPr>
    </w:p>
    <w:p w14:paraId="6AB54458" w14:textId="77777777" w:rsidR="00FC4CEE" w:rsidRDefault="00FC4CEE" w:rsidP="00FC4CEE">
      <w:pPr>
        <w:spacing w:line="360" w:lineRule="auto"/>
        <w:rPr>
          <w:b/>
          <w:bCs/>
        </w:rPr>
      </w:pPr>
    </w:p>
    <w:p w14:paraId="470BCF7E" w14:textId="77777777" w:rsidR="00FC4CEE" w:rsidRDefault="00FC4CEE" w:rsidP="00FC4CEE">
      <w:pPr>
        <w:spacing w:line="360" w:lineRule="auto"/>
        <w:rPr>
          <w:b/>
          <w:bCs/>
        </w:rPr>
      </w:pPr>
    </w:p>
    <w:p w14:paraId="2B23E15A" w14:textId="77777777" w:rsidR="00FC4CEE" w:rsidRDefault="00FC4CEE" w:rsidP="00FC4CEE">
      <w:pPr>
        <w:spacing w:line="360" w:lineRule="auto"/>
        <w:rPr>
          <w:b/>
          <w:bCs/>
        </w:rPr>
      </w:pPr>
    </w:p>
    <w:p w14:paraId="1A89059A" w14:textId="77777777" w:rsidR="00FC4CEE" w:rsidRDefault="00FC4CEE" w:rsidP="00FC4CEE">
      <w:pPr>
        <w:spacing w:line="360" w:lineRule="auto"/>
        <w:rPr>
          <w:b/>
          <w:bCs/>
        </w:rPr>
      </w:pPr>
    </w:p>
    <w:p w14:paraId="15A89880" w14:textId="77777777" w:rsidR="00FC4CEE" w:rsidRDefault="00FC4CEE" w:rsidP="00FC4CEE">
      <w:pPr>
        <w:spacing w:line="360" w:lineRule="auto"/>
        <w:rPr>
          <w:b/>
          <w:bCs/>
        </w:rPr>
      </w:pPr>
    </w:p>
    <w:p w14:paraId="7FEF18C6" w14:textId="77777777" w:rsidR="00FC4CEE" w:rsidRDefault="00FC4CEE" w:rsidP="00FC4CEE">
      <w:pPr>
        <w:spacing w:line="360" w:lineRule="auto"/>
        <w:rPr>
          <w:b/>
          <w:bCs/>
        </w:rPr>
      </w:pPr>
    </w:p>
    <w:p w14:paraId="12965F91" w14:textId="77777777" w:rsidR="00FC4CEE" w:rsidRDefault="00FC4CEE" w:rsidP="00FC4CEE">
      <w:pPr>
        <w:spacing w:line="360" w:lineRule="auto"/>
        <w:rPr>
          <w:b/>
          <w:bCs/>
        </w:rPr>
      </w:pPr>
    </w:p>
    <w:p w14:paraId="2DDCE610" w14:textId="77777777" w:rsidR="00FC4CEE" w:rsidRDefault="00FC4CEE" w:rsidP="00FC4CEE">
      <w:pPr>
        <w:spacing w:line="360" w:lineRule="auto"/>
        <w:rPr>
          <w:rFonts w:ascii="Times New Roman" w:hAnsi="Times New Roman" w:cs="Times New Roman"/>
          <w:b/>
          <w:bCs/>
        </w:rPr>
      </w:pPr>
    </w:p>
    <w:p w14:paraId="0E72C9FC" w14:textId="77777777" w:rsidR="00FC4CEE" w:rsidRDefault="00FC4CEE" w:rsidP="00FC4CEE">
      <w:pPr>
        <w:spacing w:line="360" w:lineRule="auto"/>
        <w:rPr>
          <w:rFonts w:ascii="Times New Roman" w:hAnsi="Times New Roman" w:cs="Times New Roman"/>
          <w:b/>
          <w:bCs/>
        </w:rPr>
      </w:pPr>
    </w:p>
    <w:p w14:paraId="64BB77AD"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b/>
          <w:bCs/>
        </w:rPr>
        <w:t>Section 1</w:t>
      </w:r>
    </w:p>
    <w:p w14:paraId="06EB0B5B" w14:textId="77777777" w:rsidR="00FC4CEE" w:rsidRPr="002A1F00" w:rsidRDefault="00FC4CEE" w:rsidP="00FC4CEE">
      <w:pPr>
        <w:spacing w:line="360" w:lineRule="auto"/>
        <w:rPr>
          <w:rFonts w:ascii="Times New Roman" w:hAnsi="Times New Roman" w:cs="Times New Roman"/>
        </w:rPr>
      </w:pPr>
    </w:p>
    <w:p w14:paraId="021F5DEE"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Play is an important part of childhood the UNCRC (1990)</w:t>
      </w:r>
      <w:r>
        <w:rPr>
          <w:rFonts w:ascii="Times New Roman" w:hAnsi="Times New Roman" w:cs="Times New Roman"/>
        </w:rPr>
        <w:t xml:space="preserve"> </w:t>
      </w:r>
      <w:r w:rsidRPr="002A1F00">
        <w:rPr>
          <w:rFonts w:ascii="Times New Roman" w:hAnsi="Times New Roman" w:cs="Times New Roman"/>
        </w:rPr>
        <w:t>“as a behaviour, activity or process initiated, controlled and structured by children. Play takes place whenever and wherever opportunities arise”. Howard (2020) refers to child play as a child leading and initiating the play, he believes it’s when children learn to choose what they want to play with and choose their own activities. Child play is when they play without the instruction of an adult. Child led play is about using imagination and exploring what they find interesting. When it is child led play, it should be less rigid and more role</w:t>
      </w:r>
      <w:r>
        <w:rPr>
          <w:rFonts w:ascii="Times New Roman" w:hAnsi="Times New Roman" w:cs="Times New Roman"/>
        </w:rPr>
        <w:t>-</w:t>
      </w:r>
      <w:r w:rsidRPr="002A1F00">
        <w:rPr>
          <w:rFonts w:ascii="Times New Roman" w:hAnsi="Times New Roman" w:cs="Times New Roman"/>
        </w:rPr>
        <w:t>play and creativity</w:t>
      </w:r>
      <w:r>
        <w:rPr>
          <w:rFonts w:ascii="Times New Roman" w:hAnsi="Times New Roman" w:cs="Times New Roman"/>
        </w:rPr>
        <w:t>-based activities</w:t>
      </w:r>
      <w:r w:rsidRPr="002A1F00">
        <w:rPr>
          <w:rFonts w:ascii="Times New Roman" w:hAnsi="Times New Roman" w:cs="Times New Roman"/>
        </w:rPr>
        <w:t>. The UNCRC (1990) state that an adult’s role is to protect the child and to engage when a child engages with the adult. The adult in child led play is observing asking questions on what the child is doing to see if they are engaged the adult should also make sure they are safe. Lamont (2021) believes that an adult should be observing from the child’s perspective understand the play fully.</w:t>
      </w:r>
    </w:p>
    <w:p w14:paraId="08632BF6" w14:textId="77777777" w:rsidR="00FC4CEE" w:rsidRPr="002A1F00" w:rsidRDefault="00FC4CEE" w:rsidP="00FC4CEE">
      <w:pPr>
        <w:spacing w:line="360" w:lineRule="auto"/>
        <w:rPr>
          <w:rFonts w:ascii="Times New Roman" w:hAnsi="Times New Roman" w:cs="Times New Roman"/>
        </w:rPr>
      </w:pPr>
    </w:p>
    <w:p w14:paraId="5F9A2E32"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The first play is role play, role play is a type of play which children take it in turns to act out real life scenarios or fictional. Anon (2022) states that role play is when children may pretend that they are teachers, hairdressers, parents or even animals and superhero</w:t>
      </w:r>
      <w:r>
        <w:rPr>
          <w:rFonts w:ascii="Times New Roman" w:hAnsi="Times New Roman" w:cs="Times New Roman"/>
        </w:rPr>
        <w:t>e</w:t>
      </w:r>
      <w:r w:rsidRPr="002A1F00">
        <w:rPr>
          <w:rFonts w:ascii="Times New Roman" w:hAnsi="Times New Roman" w:cs="Times New Roman"/>
        </w:rPr>
        <w:t xml:space="preserve">s. Role play can happen in </w:t>
      </w:r>
      <w:r>
        <w:rPr>
          <w:rFonts w:ascii="Times New Roman" w:hAnsi="Times New Roman" w:cs="Times New Roman"/>
        </w:rPr>
        <w:t xml:space="preserve">a </w:t>
      </w:r>
      <w:r w:rsidRPr="002A1F00">
        <w:rPr>
          <w:rFonts w:ascii="Times New Roman" w:hAnsi="Times New Roman" w:cs="Times New Roman"/>
        </w:rPr>
        <w:t>structure</w:t>
      </w:r>
      <w:r>
        <w:rPr>
          <w:rFonts w:ascii="Times New Roman" w:hAnsi="Times New Roman" w:cs="Times New Roman"/>
        </w:rPr>
        <w:t>d</w:t>
      </w:r>
      <w:r w:rsidRPr="002A1F00">
        <w:rPr>
          <w:rFonts w:ascii="Times New Roman" w:hAnsi="Times New Roman" w:cs="Times New Roman"/>
        </w:rPr>
        <w:t xml:space="preserve"> play area like a home corner </w:t>
      </w:r>
      <w:r>
        <w:rPr>
          <w:rFonts w:ascii="Times New Roman" w:hAnsi="Times New Roman" w:cs="Times New Roman"/>
        </w:rPr>
        <w:t>hop,</w:t>
      </w:r>
      <w:r w:rsidRPr="002A1F00">
        <w:rPr>
          <w:rFonts w:ascii="Times New Roman" w:hAnsi="Times New Roman" w:cs="Times New Roman"/>
        </w:rPr>
        <w:t xml:space="preserve"> a doctor surgery or can come from the imagination of </w:t>
      </w:r>
      <w:r>
        <w:rPr>
          <w:rFonts w:ascii="Times New Roman" w:hAnsi="Times New Roman" w:cs="Times New Roman"/>
        </w:rPr>
        <w:t xml:space="preserve">the </w:t>
      </w:r>
      <w:r w:rsidRPr="002A1F00">
        <w:rPr>
          <w:rFonts w:ascii="Times New Roman" w:hAnsi="Times New Roman" w:cs="Times New Roman"/>
        </w:rPr>
        <w:t xml:space="preserve">child. Role play is vital for children’s use of imagination and emotion. Role play supports holistic development as it covers language this can be seen when children are taking turns having conversations. </w:t>
      </w:r>
    </w:p>
    <w:p w14:paraId="38EB1CFB" w14:textId="77777777" w:rsidR="00FC4CEE" w:rsidRPr="002A1F00" w:rsidRDefault="00FC4CEE" w:rsidP="00FC4CEE">
      <w:pPr>
        <w:spacing w:line="360" w:lineRule="auto"/>
        <w:rPr>
          <w:rFonts w:ascii="Times New Roman" w:hAnsi="Times New Roman" w:cs="Times New Roman"/>
        </w:rPr>
      </w:pPr>
    </w:p>
    <w:p w14:paraId="2EC39829"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 xml:space="preserve">EY Works (2024) state that role play helps with a child’s sensory and motor skills as well as their cognitive development. Role play encourages children to develop their social skills by </w:t>
      </w:r>
      <w:r>
        <w:rPr>
          <w:rFonts w:ascii="Times New Roman" w:hAnsi="Times New Roman" w:cs="Times New Roman"/>
        </w:rPr>
        <w:t>communicating</w:t>
      </w:r>
      <w:r w:rsidRPr="002A1F00">
        <w:rPr>
          <w:rFonts w:ascii="Times New Roman" w:hAnsi="Times New Roman" w:cs="Times New Roman"/>
        </w:rPr>
        <w:t xml:space="preserve"> </w:t>
      </w:r>
      <w:r>
        <w:rPr>
          <w:rFonts w:ascii="Times New Roman" w:hAnsi="Times New Roman" w:cs="Times New Roman"/>
        </w:rPr>
        <w:t>with</w:t>
      </w:r>
      <w:r w:rsidRPr="002A1F00">
        <w:rPr>
          <w:rFonts w:ascii="Times New Roman" w:hAnsi="Times New Roman" w:cs="Times New Roman"/>
        </w:rPr>
        <w:t xml:space="preserve"> friends as well as developing empathy for </w:t>
      </w:r>
      <w:r>
        <w:rPr>
          <w:rFonts w:ascii="Times New Roman" w:hAnsi="Times New Roman" w:cs="Times New Roman"/>
        </w:rPr>
        <w:t>peers</w:t>
      </w:r>
      <w:r w:rsidRPr="002A1F00">
        <w:rPr>
          <w:rFonts w:ascii="Times New Roman" w:hAnsi="Times New Roman" w:cs="Times New Roman"/>
        </w:rPr>
        <w:t>. EY Works (2024) also state</w:t>
      </w:r>
      <w:r>
        <w:rPr>
          <w:rFonts w:ascii="Times New Roman" w:hAnsi="Times New Roman" w:cs="Times New Roman"/>
        </w:rPr>
        <w:t>s</w:t>
      </w:r>
      <w:r w:rsidRPr="002A1F00">
        <w:rPr>
          <w:rFonts w:ascii="Times New Roman" w:hAnsi="Times New Roman" w:cs="Times New Roman"/>
        </w:rPr>
        <w:t xml:space="preserve"> that role play helps with children’s physical skills as it makes the child active by jumping and running and crawling for different roles children’s language skills are also developed this is done by children having a conversation with one and other also experimenting with their tone it also helps with listening skills and how to communicate with peers.</w:t>
      </w:r>
    </w:p>
    <w:p w14:paraId="20B1219B"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lastRenderedPageBreak/>
        <w:t>Role play is vital as it encourages children to explore the real world and to imagine what they think it is like to make scenarios up but also how to hold a conversation with a peer</w:t>
      </w:r>
      <w:r>
        <w:rPr>
          <w:rFonts w:ascii="Times New Roman" w:hAnsi="Times New Roman" w:cs="Times New Roman"/>
        </w:rPr>
        <w:t>. R</w:t>
      </w:r>
      <w:r w:rsidRPr="002A1F00">
        <w:rPr>
          <w:rFonts w:ascii="Times New Roman" w:hAnsi="Times New Roman" w:cs="Times New Roman"/>
        </w:rPr>
        <w:t>ole play encourages to question what is going on and interpret it in the way the see.</w:t>
      </w:r>
    </w:p>
    <w:p w14:paraId="46630070" w14:textId="77777777" w:rsidR="00FC4CEE" w:rsidRPr="002A1F00" w:rsidRDefault="00FC4CEE" w:rsidP="00FC4CEE">
      <w:pPr>
        <w:spacing w:line="360" w:lineRule="auto"/>
        <w:rPr>
          <w:rFonts w:ascii="Times New Roman" w:hAnsi="Times New Roman" w:cs="Times New Roman"/>
        </w:rPr>
      </w:pPr>
    </w:p>
    <w:p w14:paraId="5F14AD51"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Another</w:t>
      </w:r>
      <w:r>
        <w:rPr>
          <w:rFonts w:ascii="Times New Roman" w:hAnsi="Times New Roman" w:cs="Times New Roman"/>
        </w:rPr>
        <w:t xml:space="preserve"> format of</w:t>
      </w:r>
      <w:r w:rsidRPr="002A1F00">
        <w:rPr>
          <w:rFonts w:ascii="Times New Roman" w:hAnsi="Times New Roman" w:cs="Times New Roman"/>
        </w:rPr>
        <w:t xml:space="preserve"> play that is important to children’s development is creative play</w:t>
      </w:r>
      <w:r>
        <w:rPr>
          <w:rFonts w:ascii="Times New Roman" w:hAnsi="Times New Roman" w:cs="Times New Roman"/>
        </w:rPr>
        <w:t>. T</w:t>
      </w:r>
      <w:r w:rsidRPr="002A1F00">
        <w:rPr>
          <w:rFonts w:ascii="Times New Roman" w:hAnsi="Times New Roman" w:cs="Times New Roman"/>
        </w:rPr>
        <w:t>his helps children use their imagination to express their ideas and thoughts. Creative play can be done by painting, modelling, drawing, dancing, and singing. Creative play helps children experiment and trialling things because art can be perceived as anything. Creative play allows a child to use their emotion as an outlet this can be done by the child expressing how they feel on a piece of paper or building a model. Creative play helps a child build confidence and helps with decision making a</w:t>
      </w:r>
      <w:r>
        <w:rPr>
          <w:rFonts w:ascii="Times New Roman" w:hAnsi="Times New Roman" w:cs="Times New Roman"/>
        </w:rPr>
        <w:t>nd</w:t>
      </w:r>
      <w:r w:rsidRPr="002A1F00">
        <w:rPr>
          <w:rFonts w:ascii="Times New Roman" w:hAnsi="Times New Roman" w:cs="Times New Roman"/>
        </w:rPr>
        <w:t xml:space="preserve"> they are the one in control of what they want to create. With creative play the child can never be seen as doing something wrong as they are the one in control. Creative play allows the child to express themselves and describe their emotions and ideas this can help the child’s language development as they can describe to an adult what they are doing and for the enabling adult to extend questioning. Creative play can also help with children’s problem-solving skills</w:t>
      </w:r>
      <w:r>
        <w:rPr>
          <w:rFonts w:ascii="Times New Roman" w:hAnsi="Times New Roman" w:cs="Times New Roman"/>
        </w:rPr>
        <w:t>,</w:t>
      </w:r>
      <w:r w:rsidRPr="002A1F00">
        <w:rPr>
          <w:rFonts w:ascii="Times New Roman" w:hAnsi="Times New Roman" w:cs="Times New Roman"/>
        </w:rPr>
        <w:t xml:space="preserve"> some of these can be seen by mixing different colour paints to see what colour will come out</w:t>
      </w:r>
      <w:r>
        <w:rPr>
          <w:rFonts w:ascii="Times New Roman" w:hAnsi="Times New Roman" w:cs="Times New Roman"/>
        </w:rPr>
        <w:t xml:space="preserve">, </w:t>
      </w:r>
      <w:r w:rsidRPr="002A1F00">
        <w:rPr>
          <w:rFonts w:ascii="Times New Roman" w:hAnsi="Times New Roman" w:cs="Times New Roman"/>
        </w:rPr>
        <w:t xml:space="preserve">making patterns in </w:t>
      </w:r>
      <w:proofErr w:type="gramStart"/>
      <w:r w:rsidRPr="002A1F00">
        <w:rPr>
          <w:rFonts w:ascii="Times New Roman" w:hAnsi="Times New Roman" w:cs="Times New Roman"/>
        </w:rPr>
        <w:t>art</w:t>
      </w:r>
      <w:proofErr w:type="gramEnd"/>
      <w:r w:rsidRPr="002A1F00">
        <w:rPr>
          <w:rFonts w:ascii="Times New Roman" w:hAnsi="Times New Roman" w:cs="Times New Roman"/>
        </w:rPr>
        <w:t xml:space="preserve"> or building models and seeing if they will stand or will they have to change the structure. Creative play can help with fine motor skills by using scissors children can focus on cutting small pieces of paper as well as holding paintbrushes they can also work on their hand eye coordination; these skills develop into essential skills later in life how to hold a pen correctly.</w:t>
      </w:r>
    </w:p>
    <w:p w14:paraId="3749D418" w14:textId="77777777" w:rsidR="00FC4CEE" w:rsidRPr="002A1F00" w:rsidRDefault="00FC4CEE" w:rsidP="00FC4CEE">
      <w:pPr>
        <w:spacing w:line="360" w:lineRule="auto"/>
        <w:rPr>
          <w:rFonts w:ascii="Times New Roman" w:hAnsi="Times New Roman" w:cs="Times New Roman"/>
        </w:rPr>
      </w:pPr>
    </w:p>
    <w:p w14:paraId="265A6421"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Creative play is important for holistic development such as cognitive skills, physical skills, and social skills. Allowing children to be creative in early childhood helps with their imagination and how they can express theme self, not only does it help them develop its and enjoyable way to play and connect with friends. Vygotsky believed that a social interaction with other children benefited the child in development</w:t>
      </w:r>
      <w:r>
        <w:rPr>
          <w:rFonts w:ascii="Times New Roman" w:hAnsi="Times New Roman" w:cs="Times New Roman"/>
        </w:rPr>
        <w:t xml:space="preserve">. </w:t>
      </w:r>
      <w:r w:rsidRPr="002A1F00">
        <w:rPr>
          <w:rFonts w:ascii="Times New Roman" w:hAnsi="Times New Roman" w:cs="Times New Roman"/>
        </w:rPr>
        <w:t>Vygotsky believed that children should try their best alone rather than having support and creative play helps Vygotsky theory as it’s what the child interprets but adults can also help by offering ideas and questioning.</w:t>
      </w:r>
    </w:p>
    <w:p w14:paraId="74BFFD6F" w14:textId="77777777" w:rsidR="00FC4CEE" w:rsidRPr="002A1F00" w:rsidRDefault="00FC4CEE" w:rsidP="00FC4CEE">
      <w:pPr>
        <w:spacing w:line="360" w:lineRule="auto"/>
        <w:rPr>
          <w:rFonts w:ascii="Times New Roman" w:hAnsi="Times New Roman" w:cs="Times New Roman"/>
        </w:rPr>
      </w:pPr>
    </w:p>
    <w:p w14:paraId="046A750D" w14:textId="77777777" w:rsidR="00FC4CEE" w:rsidRDefault="00FC4CEE" w:rsidP="00FC4CEE">
      <w:pPr>
        <w:spacing w:line="360" w:lineRule="auto"/>
        <w:rPr>
          <w:rFonts w:ascii="Times New Roman" w:hAnsi="Times New Roman" w:cs="Times New Roman"/>
          <w:b/>
          <w:bCs/>
        </w:rPr>
      </w:pPr>
    </w:p>
    <w:p w14:paraId="03193297" w14:textId="77777777" w:rsidR="00FC4CEE" w:rsidRDefault="00FC4CEE" w:rsidP="00FC4CEE">
      <w:pPr>
        <w:spacing w:line="360" w:lineRule="auto"/>
        <w:rPr>
          <w:rFonts w:ascii="Times New Roman" w:hAnsi="Times New Roman" w:cs="Times New Roman"/>
          <w:b/>
          <w:bCs/>
        </w:rPr>
      </w:pPr>
    </w:p>
    <w:p w14:paraId="78B68D8A" w14:textId="77777777" w:rsidR="00FC4CEE" w:rsidRDefault="00FC4CEE" w:rsidP="00FC4CEE">
      <w:pPr>
        <w:spacing w:line="360" w:lineRule="auto"/>
        <w:rPr>
          <w:rFonts w:ascii="Times New Roman" w:hAnsi="Times New Roman" w:cs="Times New Roman"/>
          <w:b/>
          <w:bCs/>
        </w:rPr>
      </w:pPr>
    </w:p>
    <w:p w14:paraId="0E60DA4E"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b/>
          <w:bCs/>
        </w:rPr>
        <w:lastRenderedPageBreak/>
        <w:t>Section 2</w:t>
      </w:r>
    </w:p>
    <w:p w14:paraId="34A38D6C" w14:textId="77777777" w:rsidR="00FC4CEE" w:rsidRPr="002A1F00" w:rsidRDefault="00FC4CEE" w:rsidP="00FC4CEE">
      <w:pPr>
        <w:spacing w:line="360" w:lineRule="auto"/>
        <w:rPr>
          <w:rFonts w:ascii="Times New Roman" w:hAnsi="Times New Roman" w:cs="Times New Roman"/>
        </w:rPr>
      </w:pPr>
    </w:p>
    <w:p w14:paraId="01752CB9"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Self-directed play is when a child initiated the play, the way the child wats to play who they want to play with and for how long. Self-directed play does not come from an adult and should not be rigid</w:t>
      </w:r>
      <w:r>
        <w:rPr>
          <w:rFonts w:ascii="Times New Roman" w:hAnsi="Times New Roman" w:cs="Times New Roman"/>
        </w:rPr>
        <w:t>,</w:t>
      </w:r>
      <w:r w:rsidRPr="002A1F00">
        <w:rPr>
          <w:rFonts w:ascii="Times New Roman" w:hAnsi="Times New Roman" w:cs="Times New Roman"/>
        </w:rPr>
        <w:t xml:space="preserve"> it’s all from the child’s interest and imagination. (</w:t>
      </w:r>
      <w:r>
        <w:rPr>
          <w:rFonts w:ascii="Times New Roman" w:hAnsi="Times New Roman" w:cs="Times New Roman"/>
        </w:rPr>
        <w:t>Frobel</w:t>
      </w:r>
      <w:r w:rsidRPr="002A1F00">
        <w:rPr>
          <w:rFonts w:ascii="Times New Roman" w:hAnsi="Times New Roman" w:cs="Times New Roman"/>
        </w:rPr>
        <w:t xml:space="preserve">) believes that play is the most important tool for a child to learn it helps them become independent and it helps them to build knowledge through play. Play can come in many forms from imaginative role play, creative arts, physical play, small world play and many more. But it’s important that the adult is not to direct the play. </w:t>
      </w:r>
      <w:proofErr w:type="spellStart"/>
      <w:r w:rsidRPr="002A1F00">
        <w:rPr>
          <w:rFonts w:ascii="Times New Roman" w:hAnsi="Times New Roman" w:cs="Times New Roman"/>
        </w:rPr>
        <w:t>Adejokun</w:t>
      </w:r>
      <w:proofErr w:type="spellEnd"/>
      <w:r w:rsidRPr="002A1F00">
        <w:rPr>
          <w:rFonts w:ascii="Times New Roman" w:hAnsi="Times New Roman" w:cs="Times New Roman"/>
        </w:rPr>
        <w:t xml:space="preserve"> (2020) believes that child directed play develops the child’s creative and imaginative learning</w:t>
      </w:r>
    </w:p>
    <w:p w14:paraId="07416970" w14:textId="77777777" w:rsidR="00FC4CEE" w:rsidRPr="002A1F00" w:rsidRDefault="00FC4CEE" w:rsidP="00FC4CEE">
      <w:pPr>
        <w:spacing w:line="360" w:lineRule="auto"/>
        <w:rPr>
          <w:rFonts w:ascii="Times New Roman" w:hAnsi="Times New Roman" w:cs="Times New Roman"/>
        </w:rPr>
      </w:pPr>
    </w:p>
    <w:p w14:paraId="737691F3" w14:textId="77777777" w:rsidR="00FC4CEE" w:rsidRPr="002A1F00" w:rsidRDefault="00FC4CEE" w:rsidP="00FC4CEE">
      <w:pPr>
        <w:spacing w:line="360" w:lineRule="auto"/>
        <w:rPr>
          <w:rFonts w:ascii="Times New Roman" w:hAnsi="Times New Roman" w:cs="Times New Roman"/>
        </w:rPr>
      </w:pPr>
      <w:proofErr w:type="spellStart"/>
      <w:r w:rsidRPr="002A1F00">
        <w:rPr>
          <w:rFonts w:ascii="Times New Roman" w:hAnsi="Times New Roman" w:cs="Times New Roman"/>
        </w:rPr>
        <w:t>Adejokun</w:t>
      </w:r>
      <w:proofErr w:type="spellEnd"/>
      <w:r w:rsidRPr="002A1F00">
        <w:rPr>
          <w:rFonts w:ascii="Times New Roman" w:hAnsi="Times New Roman" w:cs="Times New Roman"/>
        </w:rPr>
        <w:t xml:space="preserve"> (2020) states that adults still play a crucial role in self-directed play as they can create a safe environment for the child by putting out objects such as art material and blocks and role play costumes this can help with the child’s play by leading them onto using their imagination. The enabling adult can also observe during this time by watching and listening to the child’s play and gain understanding on the child’s interests and their relationship with other children. The enabling adult should only step in if the child is at risk or has hurt themselves. The enabling adult can also help the child to expand their knowledge by asking questions, these questions can be ones where a child can move on from such as “what will happen next”. Wandsworth (2024) believes that questioning in an early year’s setting is crucial for helping children to extend their language sand to also think outside of the box. Asking open ended questions encourages children to describe what they are playing with to reflect on what creation they may have made, Wandsworth (2024) states that asking open ended questions develop a child’s curiosity. FROBEL </w:t>
      </w:r>
    </w:p>
    <w:p w14:paraId="26CA1FB0" w14:textId="77777777" w:rsidR="00FC4CEE" w:rsidRPr="002A1F00" w:rsidRDefault="00FC4CEE" w:rsidP="00FC4CEE">
      <w:pPr>
        <w:spacing w:line="360" w:lineRule="auto"/>
        <w:rPr>
          <w:rFonts w:ascii="Times New Roman" w:hAnsi="Times New Roman" w:cs="Times New Roman"/>
        </w:rPr>
      </w:pPr>
    </w:p>
    <w:p w14:paraId="332E5D4F"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 xml:space="preserve">When a child chooses to </w:t>
      </w:r>
      <w:r>
        <w:rPr>
          <w:rFonts w:ascii="Times New Roman" w:hAnsi="Times New Roman" w:cs="Times New Roman"/>
        </w:rPr>
        <w:t xml:space="preserve">partake in </w:t>
      </w:r>
      <w:r w:rsidRPr="002A1F00">
        <w:rPr>
          <w:rFonts w:ascii="Times New Roman" w:hAnsi="Times New Roman" w:cs="Times New Roman"/>
        </w:rPr>
        <w:t>self-directed play, it allows them to be independent develop their confidence it allows a child to make decision and to also problem solve. It helps children with their social development taking in turn who’s going to play which role as well as developing empathy and understanding social queue.</w:t>
      </w:r>
    </w:p>
    <w:p w14:paraId="14BE6649" w14:textId="77777777" w:rsidR="00FC4CEE" w:rsidRPr="002A1F00" w:rsidRDefault="00FC4CEE" w:rsidP="00FC4CEE">
      <w:pPr>
        <w:spacing w:line="360" w:lineRule="auto"/>
        <w:rPr>
          <w:rFonts w:ascii="Times New Roman" w:hAnsi="Times New Roman" w:cs="Times New Roman"/>
        </w:rPr>
      </w:pPr>
    </w:p>
    <w:p w14:paraId="6766B60A" w14:textId="77777777" w:rsidR="00FC4CEE" w:rsidRPr="002A1F00" w:rsidRDefault="00FC4CEE" w:rsidP="00FC4CEE">
      <w:pPr>
        <w:spacing w:line="360" w:lineRule="auto"/>
        <w:rPr>
          <w:rFonts w:ascii="Times New Roman" w:hAnsi="Times New Roman" w:cs="Times New Roman"/>
        </w:rPr>
      </w:pPr>
      <w:proofErr w:type="spellStart"/>
      <w:r w:rsidRPr="002A1F00">
        <w:rPr>
          <w:rFonts w:ascii="Times New Roman" w:hAnsi="Times New Roman" w:cs="Times New Roman"/>
        </w:rPr>
        <w:t>DeWolfe</w:t>
      </w:r>
      <w:proofErr w:type="spellEnd"/>
      <w:r w:rsidRPr="002A1F00">
        <w:rPr>
          <w:rFonts w:ascii="Times New Roman" w:hAnsi="Times New Roman" w:cs="Times New Roman"/>
        </w:rPr>
        <w:t xml:space="preserve"> and Thomas (2024) stated that Piaget believed that self-directed </w:t>
      </w:r>
      <w:r>
        <w:rPr>
          <w:rFonts w:ascii="Times New Roman" w:hAnsi="Times New Roman" w:cs="Times New Roman"/>
        </w:rPr>
        <w:t xml:space="preserve">play </w:t>
      </w:r>
      <w:r w:rsidRPr="002A1F00">
        <w:rPr>
          <w:rFonts w:ascii="Times New Roman" w:hAnsi="Times New Roman" w:cs="Times New Roman"/>
        </w:rPr>
        <w:t xml:space="preserve">was fundamental for a child’s development </w:t>
      </w:r>
      <w:proofErr w:type="gramStart"/>
      <w:r w:rsidRPr="002A1F00">
        <w:rPr>
          <w:rFonts w:ascii="Times New Roman" w:hAnsi="Times New Roman" w:cs="Times New Roman"/>
        </w:rPr>
        <w:t>as  play</w:t>
      </w:r>
      <w:proofErr w:type="gramEnd"/>
      <w:r w:rsidRPr="002A1F00">
        <w:rPr>
          <w:rFonts w:ascii="Times New Roman" w:hAnsi="Times New Roman" w:cs="Times New Roman"/>
        </w:rPr>
        <w:t xml:space="preserve"> gives the child a freedom to control the environment they play in and help with the child’s self-belief. </w:t>
      </w:r>
      <w:proofErr w:type="spellStart"/>
      <w:r w:rsidRPr="002A1F00">
        <w:rPr>
          <w:rFonts w:ascii="Times New Roman" w:hAnsi="Times New Roman" w:cs="Times New Roman"/>
        </w:rPr>
        <w:t>DeWolfe</w:t>
      </w:r>
      <w:proofErr w:type="spellEnd"/>
      <w:r w:rsidRPr="002A1F00">
        <w:rPr>
          <w:rFonts w:ascii="Times New Roman" w:hAnsi="Times New Roman" w:cs="Times New Roman"/>
        </w:rPr>
        <w:t xml:space="preserve"> and Thomas (2024) </w:t>
      </w:r>
      <w:r w:rsidRPr="002A1F00">
        <w:rPr>
          <w:rFonts w:ascii="Times New Roman" w:hAnsi="Times New Roman" w:cs="Times New Roman"/>
        </w:rPr>
        <w:lastRenderedPageBreak/>
        <w:t>state that Piaget believed that when the child grew the environment and play should enhance further language and development. Self-directed play helps children to express themselves in ways they didn’t know by exploring new role play ideas taking in turn being a doctor or a nurse as well as playing princess and dragons</w:t>
      </w:r>
      <w:r>
        <w:rPr>
          <w:rFonts w:ascii="Times New Roman" w:hAnsi="Times New Roman" w:cs="Times New Roman"/>
        </w:rPr>
        <w:t>,</w:t>
      </w:r>
      <w:r w:rsidRPr="002A1F00">
        <w:rPr>
          <w:rFonts w:ascii="Times New Roman" w:hAnsi="Times New Roman" w:cs="Times New Roman"/>
        </w:rPr>
        <w:t xml:space="preserve"> it allows the child to use their imagination and creation to be the true child. Baskale and Bahar (2011) mentions Piaget called children “little scientist</w:t>
      </w:r>
      <w:r>
        <w:rPr>
          <w:rFonts w:ascii="Times New Roman" w:hAnsi="Times New Roman" w:cs="Times New Roman"/>
        </w:rPr>
        <w:t>s</w:t>
      </w:r>
      <w:r w:rsidRPr="002A1F00">
        <w:rPr>
          <w:rFonts w:ascii="Times New Roman" w:hAnsi="Times New Roman" w:cs="Times New Roman"/>
        </w:rPr>
        <w:t>” and that children developed better through self-directed play. Piaget theory had a few steps</w:t>
      </w:r>
      <w:r>
        <w:rPr>
          <w:rFonts w:ascii="Times New Roman" w:hAnsi="Times New Roman" w:cs="Times New Roman"/>
        </w:rPr>
        <w:t>. T</w:t>
      </w:r>
      <w:r w:rsidRPr="002A1F00">
        <w:rPr>
          <w:rFonts w:ascii="Times New Roman" w:hAnsi="Times New Roman" w:cs="Times New Roman"/>
        </w:rPr>
        <w:t>he first step for his self-directed</w:t>
      </w:r>
      <w:r>
        <w:rPr>
          <w:rFonts w:ascii="Times New Roman" w:hAnsi="Times New Roman" w:cs="Times New Roman"/>
        </w:rPr>
        <w:t xml:space="preserve"> theory</w:t>
      </w:r>
      <w:r w:rsidRPr="002A1F00">
        <w:rPr>
          <w:rFonts w:ascii="Times New Roman" w:hAnsi="Times New Roman" w:cs="Times New Roman"/>
        </w:rPr>
        <w:t xml:space="preserve"> is the sensorimotor stage</w:t>
      </w:r>
      <w:r>
        <w:rPr>
          <w:rFonts w:ascii="Times New Roman" w:hAnsi="Times New Roman" w:cs="Times New Roman"/>
        </w:rPr>
        <w:t>. T</w:t>
      </w:r>
      <w:r w:rsidRPr="002A1F00">
        <w:rPr>
          <w:rFonts w:ascii="Times New Roman" w:hAnsi="Times New Roman" w:cs="Times New Roman"/>
        </w:rPr>
        <w:t>his is the stage from birth to two years old this is when a child uses an object for repetitive actions. Phillips (1981) states that Piaget second step is the preoperational stage, and this is the stage from two years old to seven years old</w:t>
      </w:r>
      <w:r>
        <w:rPr>
          <w:rFonts w:ascii="Times New Roman" w:hAnsi="Times New Roman" w:cs="Times New Roman"/>
        </w:rPr>
        <w:t>. T</w:t>
      </w:r>
      <w:r w:rsidRPr="002A1F00">
        <w:rPr>
          <w:rFonts w:ascii="Times New Roman" w:hAnsi="Times New Roman" w:cs="Times New Roman"/>
        </w:rPr>
        <w:t>his is when play allows children to use object or roles when they start developing socially and emotionally. The final stage in Piaget theory is the concrete operational stage</w:t>
      </w:r>
      <w:r>
        <w:rPr>
          <w:rFonts w:ascii="Times New Roman" w:hAnsi="Times New Roman" w:cs="Times New Roman"/>
        </w:rPr>
        <w:t>,</w:t>
      </w:r>
      <w:r w:rsidRPr="002A1F00">
        <w:rPr>
          <w:rFonts w:ascii="Times New Roman" w:hAnsi="Times New Roman" w:cs="Times New Roman"/>
        </w:rPr>
        <w:t xml:space="preserve"> this from seven years to eleven years, this is when children use self-directed play with rules and order as well as social interaction.  Piaget theory is important into children growing holistically, Piaget theory allows teachers to tailor curriculum around the needs of the learner. </w:t>
      </w:r>
    </w:p>
    <w:p w14:paraId="6A628E53" w14:textId="77777777" w:rsidR="00FC4CEE" w:rsidRPr="002A1F00" w:rsidRDefault="00FC4CEE" w:rsidP="00FC4CEE">
      <w:pPr>
        <w:spacing w:line="360" w:lineRule="auto"/>
        <w:rPr>
          <w:rFonts w:ascii="Times New Roman" w:hAnsi="Times New Roman" w:cs="Times New Roman"/>
        </w:rPr>
      </w:pPr>
    </w:p>
    <w:p w14:paraId="61FAE72F"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 xml:space="preserve">Self- directed play motivates the child to engage as it is the child decisions not the adult, the child will often stay more focused and for a longer period than when and adult is trying to direct them what to do. </w:t>
      </w:r>
    </w:p>
    <w:p w14:paraId="7183D887" w14:textId="77777777" w:rsidR="00FC4CEE" w:rsidRPr="002A1F00" w:rsidRDefault="00FC4CEE" w:rsidP="00FC4CEE">
      <w:pPr>
        <w:spacing w:line="360" w:lineRule="auto"/>
        <w:rPr>
          <w:rFonts w:ascii="Times New Roman" w:hAnsi="Times New Roman" w:cs="Times New Roman"/>
          <w:b/>
          <w:bCs/>
        </w:rPr>
      </w:pPr>
    </w:p>
    <w:p w14:paraId="12DCD395" w14:textId="77777777" w:rsidR="00FC4CEE" w:rsidRDefault="00FC4CEE" w:rsidP="00FC4CEE">
      <w:pPr>
        <w:spacing w:line="360" w:lineRule="auto"/>
        <w:rPr>
          <w:rFonts w:ascii="Times New Roman" w:hAnsi="Times New Roman" w:cs="Times New Roman"/>
          <w:b/>
          <w:bCs/>
        </w:rPr>
      </w:pPr>
    </w:p>
    <w:p w14:paraId="6A16A6CE" w14:textId="0D52F60D" w:rsidR="00FC4CEE" w:rsidRPr="002A1F00" w:rsidRDefault="00FC4CEE" w:rsidP="00FC4CEE">
      <w:pPr>
        <w:spacing w:line="360" w:lineRule="auto"/>
        <w:rPr>
          <w:rFonts w:ascii="Times New Roman" w:hAnsi="Times New Roman" w:cs="Times New Roman"/>
          <w:b/>
          <w:bCs/>
        </w:rPr>
      </w:pPr>
      <w:r w:rsidRPr="002A1F00">
        <w:rPr>
          <w:rFonts w:ascii="Times New Roman" w:hAnsi="Times New Roman" w:cs="Times New Roman"/>
          <w:b/>
          <w:bCs/>
        </w:rPr>
        <w:t>Section 3</w:t>
      </w:r>
    </w:p>
    <w:p w14:paraId="020A1F1B" w14:textId="77777777" w:rsidR="00FC4CEE" w:rsidRPr="002A1F00" w:rsidRDefault="00FC4CEE" w:rsidP="00FC4CEE">
      <w:pPr>
        <w:spacing w:line="360" w:lineRule="auto"/>
        <w:rPr>
          <w:rFonts w:ascii="Times New Roman" w:hAnsi="Times New Roman" w:cs="Times New Roman"/>
        </w:rPr>
      </w:pPr>
    </w:p>
    <w:p w14:paraId="5958025C"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Smidt (2015) believes that observation in education is an important tool to early childhood development observing is a process of listening, watching, and documenting a child’s behaviour and how they learn. Observations allows teachers and specialists to understand a child’s interests needs and how they develop. This can be done whilst they play or during a focus task.  Observing helps experts to plan how they are going to help that child learn and help their relationship with the child and the family, it makes sure that the child is the one being focused on. Observing can also help by seeing where a child struggles and what additional support they may need.</w:t>
      </w:r>
    </w:p>
    <w:p w14:paraId="205F5C11" w14:textId="77777777" w:rsidR="00FC4CEE" w:rsidRPr="002A1F00" w:rsidRDefault="00FC4CEE" w:rsidP="00FC4CEE">
      <w:pPr>
        <w:spacing w:line="360" w:lineRule="auto"/>
        <w:rPr>
          <w:rFonts w:ascii="Times New Roman" w:hAnsi="Times New Roman" w:cs="Times New Roman"/>
        </w:rPr>
      </w:pPr>
    </w:p>
    <w:p w14:paraId="055BBE16"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lastRenderedPageBreak/>
        <w:t xml:space="preserve">MacRae and Jones (2023) state that the Leuven Scale is a 5-point observation tool developed in Belgium. The Leuven Scale is mainly used in an early childhood setting such as a nursery or a school. The Leuven scale </w:t>
      </w:r>
      <w:proofErr w:type="spellStart"/>
      <w:r w:rsidRPr="002A1F00">
        <w:rPr>
          <w:rFonts w:ascii="Times New Roman" w:hAnsi="Times New Roman" w:cs="Times New Roman"/>
        </w:rPr>
        <w:t>asses</w:t>
      </w:r>
      <w:r>
        <w:rPr>
          <w:rFonts w:ascii="Times New Roman" w:hAnsi="Times New Roman" w:cs="Times New Roman"/>
        </w:rPr>
        <w:t>es</w:t>
      </w:r>
      <w:proofErr w:type="spellEnd"/>
      <w:r w:rsidRPr="002A1F00">
        <w:rPr>
          <w:rFonts w:ascii="Times New Roman" w:hAnsi="Times New Roman" w:cs="Times New Roman"/>
        </w:rPr>
        <w:t xml:space="preserve"> the child’s well-being and their involvement in early years setting. The Leuven scale focuses on the quality of a child’s experience during their learning environment instead of how academic they are or what developmental targets they are reaching. The Leuven scale has a five-point scale which helps practioners measure the child’s well-being and involvement. REFERENCE the first part of the Leuven scale is the scale for wellbeing and first point on that scale is when the child is extremely low this can be if the child is uncomfortable or is showing that are stressed or they seem upset and that they don’t respond to the environment they are in. The second point on the scale is the low step this is when they show signs that they feel uneasy, or their facial expressions and actions show that they aren’t comfortable. The third step is moderate this is when the child is showing no signs of sadness or enjoyment the child may just feel comfortable. The fourth step is high this is when the child shows they are satisfied with what they are doing and final step on the scale is the fifth step this is extremely high, this </w:t>
      </w:r>
      <w:r>
        <w:rPr>
          <w:rFonts w:ascii="Times New Roman" w:hAnsi="Times New Roman" w:cs="Times New Roman"/>
        </w:rPr>
        <w:t xml:space="preserve">is </w:t>
      </w:r>
      <w:r w:rsidRPr="002A1F00">
        <w:rPr>
          <w:rFonts w:ascii="Times New Roman" w:hAnsi="Times New Roman" w:cs="Times New Roman"/>
        </w:rPr>
        <w:t xml:space="preserve">when a child is very happy and confident, the child I </w:t>
      </w:r>
      <w:proofErr w:type="gramStart"/>
      <w:r w:rsidRPr="002A1F00">
        <w:rPr>
          <w:rFonts w:ascii="Times New Roman" w:hAnsi="Times New Roman" w:cs="Times New Roman"/>
        </w:rPr>
        <w:t>showing</w:t>
      </w:r>
      <w:proofErr w:type="gramEnd"/>
      <w:r w:rsidRPr="002A1F00">
        <w:rPr>
          <w:rFonts w:ascii="Times New Roman" w:hAnsi="Times New Roman" w:cs="Times New Roman"/>
        </w:rPr>
        <w:t xml:space="preserve"> they full of energy by smiling and being cheerful and that they feel safe in the environment around them. Practioners can use these steps in well-being to show how comfortable or happy the child is and then in the child’s involvement if they are focused on a task. When an expert is observing they will set a time where they will watch that child for a few minutes and then score off the scale if a </w:t>
      </w:r>
      <w:proofErr w:type="gramStart"/>
      <w:r w:rsidRPr="002A1F00">
        <w:rPr>
          <w:rFonts w:ascii="Times New Roman" w:hAnsi="Times New Roman" w:cs="Times New Roman"/>
        </w:rPr>
        <w:t>child scores</w:t>
      </w:r>
      <w:proofErr w:type="gramEnd"/>
      <w:r w:rsidRPr="002A1F00">
        <w:rPr>
          <w:rFonts w:ascii="Times New Roman" w:hAnsi="Times New Roman" w:cs="Times New Roman"/>
        </w:rPr>
        <w:t xml:space="preserve"> low it can help the practioner to see if that child may need intervention or any extra help. If a child scores high on the scale it shows the child is enjoying learning and for the child to carry on. EY Works (2025) states that the Leuven scale is an easy observation tool and can be compared to scanning. The time it takes to use the Leuven scale is two minutes.</w:t>
      </w:r>
    </w:p>
    <w:p w14:paraId="2B981787" w14:textId="77777777" w:rsidR="00FC4CEE" w:rsidRPr="002A1F00" w:rsidRDefault="00FC4CEE" w:rsidP="00FC4CEE">
      <w:pPr>
        <w:spacing w:line="360" w:lineRule="auto"/>
        <w:rPr>
          <w:rFonts w:ascii="Times New Roman" w:hAnsi="Times New Roman" w:cs="Times New Roman"/>
        </w:rPr>
      </w:pPr>
    </w:p>
    <w:p w14:paraId="04CB5F1A"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 xml:space="preserve">Some benefits are that it focuses on the process of how the child learns instead of the outcomes. Cheqdin (2019) states that the Leuven scale focuses on the whole child and how the child emotionally feels as well as if they as their concentration. The Leuven scale is an easy scale to follow, and it doesn’t take a long time to be done, as well the Leuven scale can be carried out anywhere it can be done inside the classroom or outside and it can all be done without disturbing the child. The Leuven scale doesn’t require a lot of paperwork it’s the method of scanning instead of lots of written paragraphs it can be tracked on a sheet that has </w:t>
      </w:r>
      <w:r w:rsidRPr="002A1F00">
        <w:rPr>
          <w:rFonts w:ascii="Times New Roman" w:hAnsi="Times New Roman" w:cs="Times New Roman"/>
        </w:rPr>
        <w:lastRenderedPageBreak/>
        <w:t>the five-point scale and for those children who need regular screen their notes could be written down on apps like insight after the scan has been completed.</w:t>
      </w:r>
    </w:p>
    <w:p w14:paraId="090C1FBF" w14:textId="77777777" w:rsidR="00FC4CEE" w:rsidRPr="002A1F00" w:rsidRDefault="00FC4CEE" w:rsidP="00FC4CEE">
      <w:pPr>
        <w:spacing w:line="360" w:lineRule="auto"/>
        <w:rPr>
          <w:rFonts w:ascii="Times New Roman" w:hAnsi="Times New Roman" w:cs="Times New Roman"/>
        </w:rPr>
      </w:pPr>
    </w:p>
    <w:p w14:paraId="312A97D0"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Some limitation of the Leuven scale is that if different practioners are doing it they may see a different perspective to their college who is doing the scale and may see behaviours differently. MacRae and Jones (2023) state that those children who have disabilities the Leuven scale w</w:t>
      </w:r>
      <w:r>
        <w:rPr>
          <w:rFonts w:ascii="Times New Roman" w:hAnsi="Times New Roman" w:cs="Times New Roman"/>
        </w:rPr>
        <w:t xml:space="preserve">ill not </w:t>
      </w:r>
      <w:r w:rsidRPr="002A1F00">
        <w:rPr>
          <w:rFonts w:ascii="Times New Roman" w:hAnsi="Times New Roman" w:cs="Times New Roman"/>
        </w:rPr>
        <w:t xml:space="preserve">work for observing them.  The Leuven scale can be criticised that it’s only a short amount of time that the child is being looked at. And that short observation isn’t always reflecting the child’s whole behaviour, therefore a few observations should be carried out to get an accurate picture. The Leuven scale doesn’t assess all areas of a child’s development it only focuses on two areas however it does show a whole picture of the child how they are feeling and their experience doing tasks. </w:t>
      </w:r>
    </w:p>
    <w:p w14:paraId="4A0ECD98" w14:textId="77777777" w:rsidR="00FC4CEE" w:rsidRPr="002A1F00" w:rsidRDefault="00FC4CEE" w:rsidP="00FC4CEE">
      <w:pPr>
        <w:spacing w:line="360" w:lineRule="auto"/>
        <w:rPr>
          <w:rFonts w:ascii="Times New Roman" w:hAnsi="Times New Roman" w:cs="Times New Roman"/>
        </w:rPr>
      </w:pPr>
    </w:p>
    <w:p w14:paraId="34F2218D" w14:textId="77777777" w:rsidR="00FC4CEE" w:rsidRPr="002A1F00" w:rsidRDefault="00FC4CEE" w:rsidP="00FC4CEE">
      <w:pPr>
        <w:spacing w:line="360" w:lineRule="auto"/>
        <w:rPr>
          <w:rFonts w:ascii="Times New Roman" w:hAnsi="Times New Roman" w:cs="Times New Roman"/>
        </w:rPr>
      </w:pPr>
    </w:p>
    <w:p w14:paraId="47FDF630" w14:textId="77777777" w:rsidR="00FC4CEE" w:rsidRPr="002A1F00" w:rsidRDefault="00FC4CEE" w:rsidP="00FC4CEE">
      <w:pPr>
        <w:spacing w:line="360" w:lineRule="auto"/>
        <w:rPr>
          <w:rFonts w:ascii="Times New Roman" w:hAnsi="Times New Roman" w:cs="Times New Roman"/>
        </w:rPr>
      </w:pPr>
    </w:p>
    <w:p w14:paraId="74DA72B7" w14:textId="77777777" w:rsidR="00FC4CEE" w:rsidRPr="002A1F00" w:rsidRDefault="00FC4CEE" w:rsidP="00FC4CEE">
      <w:pPr>
        <w:spacing w:line="360" w:lineRule="auto"/>
        <w:rPr>
          <w:rFonts w:ascii="Times New Roman" w:hAnsi="Times New Roman" w:cs="Times New Roman"/>
        </w:rPr>
      </w:pPr>
    </w:p>
    <w:p w14:paraId="7B6FCA2B" w14:textId="77777777" w:rsidR="00FC4CEE" w:rsidRPr="002A1F00" w:rsidRDefault="00FC4CEE" w:rsidP="00FC4CEE">
      <w:pPr>
        <w:spacing w:line="360" w:lineRule="auto"/>
        <w:rPr>
          <w:rFonts w:ascii="Times New Roman" w:hAnsi="Times New Roman" w:cs="Times New Roman"/>
          <w:b/>
          <w:bCs/>
        </w:rPr>
      </w:pPr>
    </w:p>
    <w:p w14:paraId="0AABBED9"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b/>
          <w:bCs/>
        </w:rPr>
        <w:t>Section 4</w:t>
      </w:r>
      <w:r w:rsidRPr="002A1F00">
        <w:rPr>
          <w:rFonts w:ascii="Times New Roman" w:hAnsi="Times New Roman" w:cs="Times New Roman"/>
        </w:rPr>
        <w:t xml:space="preserve"> </w:t>
      </w:r>
    </w:p>
    <w:p w14:paraId="79C53B9B"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 xml:space="preserve">Cambridge (1995) state that observation is “the act of watching something or someone carefully. Observation is crucial during play, King and Sturrock (2020) state that monitoring a child’s interest and how they learn help teachers and experts to tailor effective activities.  Play is essential to a child’s development and their learning journey; play should be self-chosen and enjoyable it should be child led and engaging </w:t>
      </w:r>
      <w:proofErr w:type="gramStart"/>
      <w:r w:rsidRPr="002A1F00">
        <w:rPr>
          <w:rFonts w:ascii="Times New Roman" w:hAnsi="Times New Roman" w:cs="Times New Roman"/>
        </w:rPr>
        <w:t>a it</w:t>
      </w:r>
      <w:proofErr w:type="gramEnd"/>
      <w:r w:rsidRPr="002A1F00">
        <w:rPr>
          <w:rFonts w:ascii="Times New Roman" w:hAnsi="Times New Roman" w:cs="Times New Roman"/>
        </w:rPr>
        <w:t xml:space="preserve"> allows children to become independent and think for themselves. Play should be a child focusing on what they are doing it can be messy, quiet, imaginative there are so many different types of play that a child should do alone and with friends it should be imaginative and safe space for them to explore.</w:t>
      </w:r>
    </w:p>
    <w:p w14:paraId="1E8CB307" w14:textId="77777777" w:rsidR="00FC4CEE" w:rsidRPr="002A1F00" w:rsidRDefault="00FC4CEE" w:rsidP="00FC4CEE">
      <w:pPr>
        <w:spacing w:line="360" w:lineRule="auto"/>
        <w:rPr>
          <w:rFonts w:ascii="Times New Roman" w:hAnsi="Times New Roman" w:cs="Times New Roman"/>
        </w:rPr>
      </w:pPr>
    </w:p>
    <w:p w14:paraId="16BCE7FD"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 xml:space="preserve">When an adult observes a child in play, they should be looking at the cognitive skills their physical and social skills.  When a child plays, they need to explore roles and practice skills. Observing allows experts to see the child </w:t>
      </w:r>
      <w:proofErr w:type="gramStart"/>
      <w:r w:rsidRPr="002A1F00">
        <w:rPr>
          <w:rFonts w:ascii="Times New Roman" w:hAnsi="Times New Roman" w:cs="Times New Roman"/>
        </w:rPr>
        <w:t>as a whole rather</w:t>
      </w:r>
      <w:proofErr w:type="gramEnd"/>
      <w:r w:rsidRPr="002A1F00">
        <w:rPr>
          <w:rFonts w:ascii="Times New Roman" w:hAnsi="Times New Roman" w:cs="Times New Roman"/>
        </w:rPr>
        <w:t xml:space="preserve"> than in certain parts like literacy and numeracy. By observing play they can watch children to develop their language their social skills as well as how they emotionally respond to their friends as well as other adults. Children tend to be happier during play than when doing a job with an adult they are more </w:t>
      </w:r>
      <w:r w:rsidRPr="002A1F00">
        <w:rPr>
          <w:rFonts w:ascii="Times New Roman" w:hAnsi="Times New Roman" w:cs="Times New Roman"/>
        </w:rPr>
        <w:lastRenderedPageBreak/>
        <w:t>relaxed and tend to be happier. Otsuka and Jay (2017) state that during observation the adult should be focusing on the environment of the child if they are safe and have enough resources as well as the child’s intentions what does that child want to do. The observer should look for the child’s engagement in what they are doing if the child I comfortable with the activity.</w:t>
      </w:r>
    </w:p>
    <w:p w14:paraId="681CA395" w14:textId="77777777" w:rsidR="00FC4CEE" w:rsidRPr="002A1F00" w:rsidRDefault="00FC4CEE" w:rsidP="00FC4CEE">
      <w:pPr>
        <w:spacing w:line="360" w:lineRule="auto"/>
        <w:rPr>
          <w:rFonts w:ascii="Times New Roman" w:hAnsi="Times New Roman" w:cs="Times New Roman"/>
        </w:rPr>
      </w:pPr>
    </w:p>
    <w:p w14:paraId="2DBC80B1"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 xml:space="preserve">Observing children can give an expert a </w:t>
      </w:r>
      <w:r>
        <w:rPr>
          <w:rFonts w:ascii="Times New Roman" w:hAnsi="Times New Roman" w:cs="Times New Roman"/>
        </w:rPr>
        <w:t>true</w:t>
      </w:r>
      <w:r w:rsidRPr="002A1F00">
        <w:rPr>
          <w:rFonts w:ascii="Times New Roman" w:hAnsi="Times New Roman" w:cs="Times New Roman"/>
        </w:rPr>
        <w:t xml:space="preserve"> insight into a child’s development as it allows experts to identify children’s specific needs this could be language issues and then the experts can work on how to tailor that child’s learning experience. As well as observing experts can change their ways of teaching to suit the child by planning activities that the child will be happy to undertake this can be pairing children who are similar together, so they feel comfortable on working on their weaknesses. Children are happier during play but by using observation it helps children to learn the most they can. Howard and Sheridan (2017) state that observing children help teachers to develop positive connections with the children as they understand how the child is.</w:t>
      </w:r>
    </w:p>
    <w:p w14:paraId="33A1DFEB" w14:textId="77777777" w:rsidR="00FC4CEE" w:rsidRPr="002A1F00" w:rsidRDefault="00FC4CEE" w:rsidP="00FC4CEE">
      <w:pPr>
        <w:spacing w:line="360" w:lineRule="auto"/>
        <w:rPr>
          <w:rFonts w:ascii="Times New Roman" w:hAnsi="Times New Roman" w:cs="Times New Roman"/>
        </w:rPr>
      </w:pPr>
    </w:p>
    <w:p w14:paraId="6417F723"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Hamilton (2018) believes that when the enabling adult observes its important, they stand back rather than intervene as observing should show what the child can independently rather than the child asking and promting. Sometimes children would rather play discreetly in their natural environment than rather under pressure. So, it’s important that the adult doesn’t intervene and let the children get along with their play by giving them space and seeing how well they work independently. When watching children, you can see how well they problem solve and interact with their friends, this allows the observer to see the child’s true capabilities.</w:t>
      </w:r>
    </w:p>
    <w:p w14:paraId="0670DF79" w14:textId="77777777" w:rsidR="00FC4CEE" w:rsidRPr="002A1F00" w:rsidRDefault="00FC4CEE" w:rsidP="00FC4CEE">
      <w:pPr>
        <w:spacing w:line="360" w:lineRule="auto"/>
        <w:rPr>
          <w:rFonts w:ascii="Times New Roman" w:hAnsi="Times New Roman" w:cs="Times New Roman"/>
        </w:rPr>
      </w:pPr>
    </w:p>
    <w:p w14:paraId="3339CBB2"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 xml:space="preserve">When an expert observes it’s important that they understand child development this can be seen in communication and language as well as physical development and the child's emotional development. Making sure the observer understand child development is key so they don’t mistake certain behaviour, as well the observer should know developmental milestones to identify if a child needs extra help. Observing is a key aspect as children may come across as shy during large groups but when in a smaller group in play, they can show their actual personality and their confidence, these factors help show their capabilities. Understanding the child as a whole help’s observers recognise their emotional states because this can affect showing the child’s full ability. The observer should also join in where </w:t>
      </w:r>
      <w:r w:rsidRPr="002A1F00">
        <w:rPr>
          <w:rFonts w:ascii="Times New Roman" w:hAnsi="Times New Roman" w:cs="Times New Roman"/>
        </w:rPr>
        <w:lastRenderedPageBreak/>
        <w:t>possible its key for questioning and modelling language. Howard and McInnes (2013) believe that children are best at problem solving during play and that when activity are more playful that child tend to be more engaged in the task.</w:t>
      </w:r>
    </w:p>
    <w:p w14:paraId="4B4841FB" w14:textId="77777777" w:rsidR="00FC4CEE" w:rsidRPr="002A1F00" w:rsidRDefault="00FC4CEE" w:rsidP="00FC4CEE">
      <w:pPr>
        <w:spacing w:line="360" w:lineRule="auto"/>
        <w:rPr>
          <w:rFonts w:ascii="Times New Roman" w:hAnsi="Times New Roman" w:cs="Times New Roman"/>
        </w:rPr>
      </w:pPr>
    </w:p>
    <w:p w14:paraId="2E181D9D" w14:textId="77777777" w:rsidR="00FC4CEE" w:rsidRPr="002A1F00" w:rsidRDefault="00FC4CEE" w:rsidP="00FC4CEE">
      <w:pPr>
        <w:spacing w:line="360" w:lineRule="auto"/>
        <w:rPr>
          <w:rFonts w:ascii="Times New Roman" w:hAnsi="Times New Roman" w:cs="Times New Roman"/>
        </w:rPr>
      </w:pPr>
      <w:r w:rsidRPr="002A1F00">
        <w:rPr>
          <w:rFonts w:ascii="Times New Roman" w:hAnsi="Times New Roman" w:cs="Times New Roman"/>
        </w:rPr>
        <w:t xml:space="preserve">Play helps observers see children in their most authentic moment, play helps see a child’s true capabilities. Doing play-based observation it allows experts to understand children accurately. </w:t>
      </w:r>
    </w:p>
    <w:p w14:paraId="6E34EB4C" w14:textId="77777777" w:rsidR="00FC4CEE" w:rsidRDefault="00FC4CEE" w:rsidP="00FC4CEE">
      <w:pPr>
        <w:spacing w:line="360" w:lineRule="auto"/>
      </w:pPr>
    </w:p>
    <w:p w14:paraId="7F33A596" w14:textId="77777777" w:rsidR="00FC4CEE" w:rsidRDefault="00FC4CEE" w:rsidP="00FC4CEE">
      <w:pPr>
        <w:spacing w:line="360" w:lineRule="auto"/>
      </w:pPr>
    </w:p>
    <w:p w14:paraId="7B6469BE" w14:textId="77777777" w:rsidR="00FC4CEE" w:rsidRDefault="00FC4CEE" w:rsidP="00FC4CEE">
      <w:pPr>
        <w:spacing w:line="360" w:lineRule="auto"/>
      </w:pPr>
    </w:p>
    <w:p w14:paraId="5639A0C6" w14:textId="77777777" w:rsidR="00FC4CEE" w:rsidRDefault="00FC4CEE" w:rsidP="00FC4CEE">
      <w:pPr>
        <w:spacing w:line="360" w:lineRule="auto"/>
      </w:pPr>
    </w:p>
    <w:p w14:paraId="7BD9A46B" w14:textId="77777777" w:rsidR="00FC4CEE" w:rsidRDefault="00FC4CEE" w:rsidP="00FC4CEE">
      <w:pPr>
        <w:spacing w:line="360" w:lineRule="auto"/>
      </w:pPr>
    </w:p>
    <w:p w14:paraId="67858A90" w14:textId="77777777" w:rsidR="00FC4CEE" w:rsidRDefault="00FC4CEE" w:rsidP="00FC4CEE">
      <w:pPr>
        <w:spacing w:line="360" w:lineRule="auto"/>
      </w:pPr>
    </w:p>
    <w:p w14:paraId="0921B385" w14:textId="77777777" w:rsidR="00FC4CEE" w:rsidRDefault="00FC4CEE" w:rsidP="00FC4CEE">
      <w:pPr>
        <w:spacing w:line="360" w:lineRule="auto"/>
      </w:pPr>
    </w:p>
    <w:p w14:paraId="6CF0BCCC" w14:textId="77777777" w:rsidR="00FC4CEE" w:rsidRDefault="00FC4CEE" w:rsidP="00FC4CEE">
      <w:pPr>
        <w:spacing w:line="360" w:lineRule="auto"/>
      </w:pPr>
    </w:p>
    <w:p w14:paraId="6A87C2E3" w14:textId="77777777" w:rsidR="00FC4CEE" w:rsidRDefault="00FC4CEE" w:rsidP="00FC4CEE">
      <w:pPr>
        <w:spacing w:line="360" w:lineRule="auto"/>
      </w:pPr>
    </w:p>
    <w:p w14:paraId="754C6424" w14:textId="77777777" w:rsidR="00FC4CEE" w:rsidRDefault="00FC4CEE" w:rsidP="00FC4CEE">
      <w:pPr>
        <w:spacing w:line="360" w:lineRule="auto"/>
      </w:pPr>
    </w:p>
    <w:p w14:paraId="0EAAA594" w14:textId="77777777" w:rsidR="00FC4CEE" w:rsidRDefault="00FC4CEE" w:rsidP="00FC4CEE">
      <w:pPr>
        <w:spacing w:line="360" w:lineRule="auto"/>
        <w:rPr>
          <w:u w:val="single"/>
        </w:rPr>
      </w:pPr>
    </w:p>
    <w:p w14:paraId="439ED2D7" w14:textId="77777777" w:rsidR="00FC4CEE" w:rsidRDefault="00FC4CEE" w:rsidP="00FC4CEE">
      <w:pPr>
        <w:spacing w:line="360" w:lineRule="auto"/>
        <w:rPr>
          <w:u w:val="single"/>
        </w:rPr>
      </w:pPr>
    </w:p>
    <w:p w14:paraId="3F0B6529" w14:textId="77777777" w:rsidR="00FC4CEE" w:rsidRDefault="00FC4CEE" w:rsidP="00FC4CEE">
      <w:pPr>
        <w:spacing w:line="360" w:lineRule="auto"/>
        <w:rPr>
          <w:u w:val="single"/>
        </w:rPr>
      </w:pPr>
    </w:p>
    <w:p w14:paraId="3334B4AE" w14:textId="77777777" w:rsidR="00FC4CEE" w:rsidRDefault="00FC4CEE" w:rsidP="00FC4CEE">
      <w:pPr>
        <w:spacing w:line="360" w:lineRule="auto"/>
        <w:rPr>
          <w:u w:val="single"/>
        </w:rPr>
      </w:pPr>
    </w:p>
    <w:p w14:paraId="08044870" w14:textId="77777777" w:rsidR="00FC4CEE" w:rsidRDefault="00FC4CEE" w:rsidP="00FC4CEE">
      <w:pPr>
        <w:spacing w:line="360" w:lineRule="auto"/>
        <w:rPr>
          <w:u w:val="single"/>
        </w:rPr>
      </w:pPr>
    </w:p>
    <w:p w14:paraId="275BA045" w14:textId="77777777" w:rsidR="00FC4CEE" w:rsidRDefault="00FC4CEE" w:rsidP="00FC4CEE">
      <w:pPr>
        <w:spacing w:line="360" w:lineRule="auto"/>
        <w:rPr>
          <w:u w:val="single"/>
        </w:rPr>
      </w:pPr>
    </w:p>
    <w:p w14:paraId="012037A9" w14:textId="77777777" w:rsidR="00FC4CEE" w:rsidRDefault="00FC4CEE" w:rsidP="00FC4CEE">
      <w:pPr>
        <w:spacing w:line="360" w:lineRule="auto"/>
        <w:rPr>
          <w:u w:val="single"/>
        </w:rPr>
      </w:pPr>
    </w:p>
    <w:p w14:paraId="4C03F189" w14:textId="77777777" w:rsidR="00FC4CEE" w:rsidRDefault="00FC4CEE" w:rsidP="00FC4CEE">
      <w:pPr>
        <w:spacing w:line="360" w:lineRule="auto"/>
        <w:rPr>
          <w:u w:val="single"/>
        </w:rPr>
      </w:pPr>
    </w:p>
    <w:p w14:paraId="4E55F5E1" w14:textId="77777777" w:rsidR="00FC4CEE" w:rsidRDefault="00FC4CEE" w:rsidP="00FC4CEE">
      <w:pPr>
        <w:spacing w:line="360" w:lineRule="auto"/>
        <w:rPr>
          <w:u w:val="single"/>
        </w:rPr>
      </w:pPr>
    </w:p>
    <w:p w14:paraId="52C68743" w14:textId="77777777" w:rsidR="00FC4CEE" w:rsidRDefault="00FC4CEE" w:rsidP="00FC4CEE">
      <w:pPr>
        <w:spacing w:line="360" w:lineRule="auto"/>
        <w:rPr>
          <w:u w:val="single"/>
        </w:rPr>
      </w:pPr>
    </w:p>
    <w:p w14:paraId="253FFCF8" w14:textId="77777777" w:rsidR="00FC4CEE" w:rsidRDefault="00FC4CEE" w:rsidP="00FC4CEE">
      <w:pPr>
        <w:spacing w:line="360" w:lineRule="auto"/>
        <w:rPr>
          <w:u w:val="single"/>
        </w:rPr>
      </w:pPr>
    </w:p>
    <w:p w14:paraId="22D87197" w14:textId="77777777" w:rsidR="00FC4CEE" w:rsidRDefault="00FC4CEE" w:rsidP="00FC4CEE">
      <w:pPr>
        <w:spacing w:line="360" w:lineRule="auto"/>
        <w:rPr>
          <w:u w:val="single"/>
        </w:rPr>
      </w:pPr>
    </w:p>
    <w:p w14:paraId="648A69DF" w14:textId="77777777" w:rsidR="00FC4CEE" w:rsidRDefault="00FC4CEE" w:rsidP="00FC4CEE">
      <w:pPr>
        <w:spacing w:line="360" w:lineRule="auto"/>
        <w:rPr>
          <w:u w:val="single"/>
        </w:rPr>
      </w:pPr>
    </w:p>
    <w:p w14:paraId="2D0C7CCF" w14:textId="77777777" w:rsidR="00FC4CEE" w:rsidRDefault="00FC4CEE" w:rsidP="00FC4CEE">
      <w:pPr>
        <w:spacing w:line="360" w:lineRule="auto"/>
        <w:rPr>
          <w:u w:val="single"/>
        </w:rPr>
      </w:pPr>
    </w:p>
    <w:p w14:paraId="531CE126" w14:textId="77777777" w:rsidR="00FC4CEE" w:rsidRDefault="00FC4CEE" w:rsidP="00FC4CEE">
      <w:pPr>
        <w:spacing w:line="360" w:lineRule="auto"/>
        <w:rPr>
          <w:u w:val="single"/>
        </w:rPr>
      </w:pPr>
    </w:p>
    <w:p w14:paraId="15F64161" w14:textId="77777777" w:rsidR="00FC4CEE" w:rsidRDefault="00FC4CEE" w:rsidP="00FC4CEE">
      <w:pPr>
        <w:spacing w:line="360" w:lineRule="auto"/>
        <w:rPr>
          <w:u w:val="single"/>
        </w:rPr>
      </w:pPr>
    </w:p>
    <w:p w14:paraId="2336E029" w14:textId="77777777" w:rsidR="00FC4CEE" w:rsidRDefault="00FC4CEE" w:rsidP="00FC4CEE">
      <w:pPr>
        <w:spacing w:line="360" w:lineRule="auto"/>
        <w:rPr>
          <w:u w:val="single"/>
        </w:rPr>
      </w:pPr>
      <w:r w:rsidRPr="00DA1BCB">
        <w:rPr>
          <w:u w:val="single"/>
        </w:rPr>
        <w:t>Reference</w:t>
      </w:r>
      <w:r>
        <w:rPr>
          <w:u w:val="single"/>
        </w:rPr>
        <w:t xml:space="preserve"> List </w:t>
      </w:r>
    </w:p>
    <w:p w14:paraId="0B424809" w14:textId="77777777" w:rsidR="00FC4CEE" w:rsidRPr="00DA1BCB" w:rsidRDefault="00FC4CEE" w:rsidP="00FC4CEE">
      <w:pPr>
        <w:rPr>
          <w:rFonts w:eastAsia="Times New Roman" w:cstheme="minorHAnsi"/>
          <w:color w:val="000000" w:themeColor="text1"/>
          <w:lang w:eastAsia="en-GB"/>
        </w:rPr>
      </w:pPr>
      <w:r w:rsidRPr="00DA1BCB">
        <w:rPr>
          <w:rFonts w:eastAsia="Times New Roman" w:cstheme="minorHAnsi"/>
          <w:color w:val="000000" w:themeColor="text1"/>
          <w:shd w:val="clear" w:color="auto" w:fill="FAFAFA"/>
          <w:lang w:eastAsia="en-GB"/>
        </w:rPr>
        <w:t>Anon (2022) What is Play? Types of Play. In: </w:t>
      </w:r>
      <w:r w:rsidRPr="00DA1BCB">
        <w:rPr>
          <w:rFonts w:eastAsia="Times New Roman" w:cstheme="minorHAnsi"/>
          <w:i/>
          <w:iCs/>
          <w:color w:val="000000" w:themeColor="text1"/>
          <w:shd w:val="clear" w:color="auto" w:fill="FAFAFA"/>
          <w:lang w:eastAsia="en-GB"/>
        </w:rPr>
        <w:t>Introduction to play /</w:t>
      </w:r>
      <w:r w:rsidRPr="00DA1BCB">
        <w:rPr>
          <w:rFonts w:eastAsia="Times New Roman" w:cstheme="minorHAnsi"/>
          <w:color w:val="000000" w:themeColor="text1"/>
          <w:shd w:val="clear" w:color="auto" w:fill="FAFAFA"/>
          <w:lang w:eastAsia="en-GB"/>
        </w:rPr>
        <w:t xml:space="preserve">. London, SAGE Publications </w:t>
      </w:r>
      <w:proofErr w:type="gramStart"/>
      <w:r w:rsidRPr="00DA1BCB">
        <w:rPr>
          <w:rFonts w:eastAsia="Times New Roman" w:cstheme="minorHAnsi"/>
          <w:color w:val="000000" w:themeColor="text1"/>
          <w:shd w:val="clear" w:color="auto" w:fill="FAFAFA"/>
          <w:lang w:eastAsia="en-GB"/>
        </w:rPr>
        <w:t>Ltd,.</w:t>
      </w:r>
      <w:proofErr w:type="gramEnd"/>
      <w:r w:rsidRPr="00DA1BCB">
        <w:rPr>
          <w:rFonts w:eastAsia="Times New Roman" w:cstheme="minorHAnsi"/>
          <w:color w:val="000000" w:themeColor="text1"/>
          <w:shd w:val="clear" w:color="auto" w:fill="FAFAFA"/>
          <w:lang w:eastAsia="en-GB"/>
        </w:rPr>
        <w:t xml:space="preserve"> p.</w:t>
      </w:r>
    </w:p>
    <w:p w14:paraId="08D22B28" w14:textId="77777777" w:rsidR="00FC4CEE" w:rsidRDefault="00FC4CEE" w:rsidP="00FC4CEE">
      <w:pPr>
        <w:spacing w:line="360" w:lineRule="auto"/>
        <w:rPr>
          <w:u w:val="single"/>
        </w:rPr>
      </w:pPr>
    </w:p>
    <w:p w14:paraId="01CE659E" w14:textId="77777777" w:rsidR="00FC4CEE" w:rsidRDefault="00FC4CEE" w:rsidP="00FC4CEE">
      <w:pPr>
        <w:rPr>
          <w:rFonts w:eastAsia="Times New Roman" w:cstheme="minorHAnsi"/>
          <w:color w:val="000000" w:themeColor="text1"/>
          <w:shd w:val="clear" w:color="auto" w:fill="FFFFFF"/>
          <w:lang w:eastAsia="en-GB"/>
        </w:rPr>
      </w:pPr>
      <w:proofErr w:type="spellStart"/>
      <w:r w:rsidRPr="00F91A22">
        <w:rPr>
          <w:rFonts w:eastAsia="Times New Roman" w:cstheme="minorHAnsi"/>
          <w:color w:val="000000" w:themeColor="text1"/>
          <w:shd w:val="clear" w:color="auto" w:fill="FFFFFF"/>
          <w:lang w:eastAsia="en-GB"/>
        </w:rPr>
        <w:t>Başkale</w:t>
      </w:r>
      <w:proofErr w:type="spellEnd"/>
      <w:r w:rsidRPr="00F91A22">
        <w:rPr>
          <w:rFonts w:eastAsia="Times New Roman" w:cstheme="minorHAnsi"/>
          <w:color w:val="000000" w:themeColor="text1"/>
          <w:shd w:val="clear" w:color="auto" w:fill="FFFFFF"/>
          <w:lang w:eastAsia="en-GB"/>
        </w:rPr>
        <w:t>, H. and Bahar, Z. (2011) “Outcomes of nutrition knowledge and healthy food choices in 5- to 6-year-old children who received a nutrition intervention based on Piaget’s theory,” </w:t>
      </w:r>
      <w:r w:rsidRPr="00F91A22">
        <w:rPr>
          <w:rFonts w:eastAsia="Times New Roman" w:cstheme="minorHAnsi"/>
          <w:i/>
          <w:iCs/>
          <w:color w:val="000000" w:themeColor="text1"/>
          <w:shd w:val="clear" w:color="auto" w:fill="FFFFFF"/>
          <w:lang w:eastAsia="en-GB"/>
        </w:rPr>
        <w:t xml:space="preserve">Journal for specialists in </w:t>
      </w:r>
      <w:proofErr w:type="spellStart"/>
      <w:r w:rsidRPr="00F91A22">
        <w:rPr>
          <w:rFonts w:eastAsia="Times New Roman" w:cstheme="minorHAnsi"/>
          <w:i/>
          <w:iCs/>
          <w:color w:val="000000" w:themeColor="text1"/>
          <w:shd w:val="clear" w:color="auto" w:fill="FFFFFF"/>
          <w:lang w:eastAsia="en-GB"/>
        </w:rPr>
        <w:t>pediatric</w:t>
      </w:r>
      <w:proofErr w:type="spellEnd"/>
      <w:r w:rsidRPr="00F91A22">
        <w:rPr>
          <w:rFonts w:eastAsia="Times New Roman" w:cstheme="minorHAnsi"/>
          <w:i/>
          <w:iCs/>
          <w:color w:val="000000" w:themeColor="text1"/>
          <w:shd w:val="clear" w:color="auto" w:fill="FFFFFF"/>
          <w:lang w:eastAsia="en-GB"/>
        </w:rPr>
        <w:t xml:space="preserve"> nursing</w:t>
      </w:r>
      <w:r w:rsidRPr="00F91A22">
        <w:rPr>
          <w:rFonts w:eastAsia="Times New Roman" w:cstheme="minorHAnsi"/>
          <w:color w:val="000000" w:themeColor="text1"/>
          <w:shd w:val="clear" w:color="auto" w:fill="FFFFFF"/>
          <w:lang w:eastAsia="en-GB"/>
        </w:rPr>
        <w:t xml:space="preserve">, 16(4), pp. 263–279. Available at: </w:t>
      </w:r>
      <w:hyperlink r:id="rId7" w:history="1">
        <w:r w:rsidRPr="00F91A22">
          <w:rPr>
            <w:rStyle w:val="Hyperlink"/>
            <w:rFonts w:eastAsia="Times New Roman" w:cstheme="minorHAnsi"/>
            <w:shd w:val="clear" w:color="auto" w:fill="FFFFFF"/>
            <w:lang w:eastAsia="en-GB"/>
          </w:rPr>
          <w:t>https://doi.org/10.1111/j.1744-6155.2011.00300.x</w:t>
        </w:r>
      </w:hyperlink>
      <w:r w:rsidRPr="00F91A22">
        <w:rPr>
          <w:rFonts w:eastAsia="Times New Roman" w:cstheme="minorHAnsi"/>
          <w:color w:val="000000" w:themeColor="text1"/>
          <w:shd w:val="clear" w:color="auto" w:fill="FFFFFF"/>
          <w:lang w:eastAsia="en-GB"/>
        </w:rPr>
        <w:t>.</w:t>
      </w:r>
    </w:p>
    <w:p w14:paraId="661D07D5" w14:textId="77777777" w:rsidR="00FC4CEE" w:rsidRDefault="00FC4CEE" w:rsidP="00FC4CEE">
      <w:pPr>
        <w:rPr>
          <w:rFonts w:eastAsia="Times New Roman" w:cstheme="minorHAnsi"/>
          <w:color w:val="000000" w:themeColor="text1"/>
          <w:shd w:val="clear" w:color="auto" w:fill="FFFFFF"/>
          <w:lang w:eastAsia="en-GB"/>
        </w:rPr>
      </w:pPr>
    </w:p>
    <w:p w14:paraId="02C26162" w14:textId="77777777" w:rsidR="00FC4CEE" w:rsidRPr="00F91A22" w:rsidRDefault="00FC4CEE" w:rsidP="00FC4CEE">
      <w:pPr>
        <w:rPr>
          <w:rFonts w:eastAsia="Times New Roman" w:cstheme="minorHAnsi"/>
          <w:color w:val="000000" w:themeColor="text1"/>
          <w:shd w:val="clear" w:color="auto" w:fill="FFFFFF"/>
          <w:lang w:eastAsia="en-GB"/>
        </w:rPr>
      </w:pPr>
      <w:r w:rsidRPr="00DA1BCB">
        <w:rPr>
          <w:rFonts w:eastAsia="Times New Roman" w:cstheme="minorHAnsi"/>
          <w:color w:val="000000" w:themeColor="text1"/>
          <w:shd w:val="clear" w:color="auto" w:fill="FFFFFF"/>
          <w:lang w:eastAsia="en-GB"/>
        </w:rPr>
        <w:t>Beverley Lamont. (2021). </w:t>
      </w:r>
      <w:r w:rsidRPr="00DA1BCB">
        <w:rPr>
          <w:rFonts w:eastAsia="Times New Roman" w:cstheme="minorHAnsi"/>
          <w:i/>
          <w:iCs/>
          <w:color w:val="000000" w:themeColor="text1"/>
          <w:lang w:eastAsia="en-GB"/>
        </w:rPr>
        <w:t xml:space="preserve">Beginning Our Play Journey: A comparison of adult-led and </w:t>
      </w:r>
      <w:proofErr w:type="spellStart"/>
      <w:r w:rsidRPr="00DA1BCB">
        <w:rPr>
          <w:rFonts w:eastAsia="Times New Roman" w:cstheme="minorHAnsi"/>
          <w:i/>
          <w:iCs/>
          <w:color w:val="000000" w:themeColor="text1"/>
          <w:lang w:eastAsia="en-GB"/>
        </w:rPr>
        <w:t>childinitiated</w:t>
      </w:r>
      <w:proofErr w:type="spellEnd"/>
      <w:r w:rsidRPr="00DA1BCB">
        <w:rPr>
          <w:rFonts w:eastAsia="Times New Roman" w:cstheme="minorHAnsi"/>
          <w:i/>
          <w:iCs/>
          <w:color w:val="000000" w:themeColor="text1"/>
          <w:lang w:eastAsia="en-GB"/>
        </w:rPr>
        <w:t xml:space="preserve"> learning in the Primary One </w:t>
      </w:r>
      <w:proofErr w:type="gramStart"/>
      <w:r w:rsidRPr="00DA1BCB">
        <w:rPr>
          <w:rFonts w:eastAsia="Times New Roman" w:cstheme="minorHAnsi"/>
          <w:i/>
          <w:iCs/>
          <w:color w:val="000000" w:themeColor="text1"/>
          <w:lang w:eastAsia="en-GB"/>
        </w:rPr>
        <w:t>classroom.</w:t>
      </w:r>
      <w:r w:rsidRPr="00DA1BCB">
        <w:rPr>
          <w:rFonts w:eastAsia="Times New Roman" w:cstheme="minorHAnsi"/>
          <w:color w:val="000000" w:themeColor="text1"/>
          <w:shd w:val="clear" w:color="auto" w:fill="FFFFFF"/>
          <w:lang w:eastAsia="en-GB"/>
        </w:rPr>
        <w:t>.</w:t>
      </w:r>
      <w:proofErr w:type="gramEnd"/>
      <w:r w:rsidRPr="00DA1BCB">
        <w:rPr>
          <w:rFonts w:eastAsia="Times New Roman" w:cstheme="minorHAnsi"/>
          <w:color w:val="000000" w:themeColor="text1"/>
          <w:shd w:val="clear" w:color="auto" w:fill="FFFFFF"/>
          <w:lang w:eastAsia="en-GB"/>
        </w:rPr>
        <w:t xml:space="preserve"> [Online]. Educational Institute of Scotland. Last Updated: July 2021. Available at: https://www.eis.org.uk/Content/images/cpd/Action%20Research%20Grants/Beverley%20Lamont%20Moray%20Pri [Accessed 26 February 2026].</w:t>
      </w:r>
    </w:p>
    <w:p w14:paraId="761E9F66" w14:textId="77777777" w:rsidR="00FC4CEE" w:rsidRDefault="00FC4CEE" w:rsidP="00FC4CEE">
      <w:pPr>
        <w:rPr>
          <w:rFonts w:eastAsia="Times New Roman" w:cstheme="minorHAnsi"/>
          <w:color w:val="000000" w:themeColor="text1"/>
          <w:shd w:val="clear" w:color="auto" w:fill="FFFFFF"/>
          <w:lang w:eastAsia="en-GB"/>
        </w:rPr>
      </w:pPr>
    </w:p>
    <w:p w14:paraId="0FD6121B" w14:textId="77777777" w:rsidR="00FC4CEE" w:rsidRDefault="00FC4CEE" w:rsidP="00FC4CEE">
      <w:pPr>
        <w:rPr>
          <w:rFonts w:eastAsia="Times New Roman" w:cstheme="minorHAnsi"/>
          <w:color w:val="000000" w:themeColor="text1"/>
          <w:shd w:val="clear" w:color="auto" w:fill="FFFFFF"/>
          <w:lang w:eastAsia="en-GB"/>
        </w:rPr>
      </w:pPr>
    </w:p>
    <w:p w14:paraId="22815E91" w14:textId="77777777" w:rsidR="00FC4CEE" w:rsidRDefault="00FC4CEE" w:rsidP="00FC4CEE">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Cambridge. (1995). </w:t>
      </w:r>
      <w:r w:rsidRPr="00F91A22">
        <w:rPr>
          <w:rFonts w:eastAsia="Times New Roman" w:cstheme="minorHAnsi"/>
          <w:i/>
          <w:iCs/>
          <w:color w:val="000000" w:themeColor="text1"/>
          <w:lang w:eastAsia="en-GB"/>
        </w:rPr>
        <w:t>Cambridge Dictionary</w:t>
      </w:r>
      <w:r w:rsidRPr="00F91A22">
        <w:rPr>
          <w:rFonts w:eastAsia="Times New Roman" w:cstheme="minorHAnsi"/>
          <w:color w:val="000000" w:themeColor="text1"/>
          <w:shd w:val="clear" w:color="auto" w:fill="FFFFFF"/>
          <w:lang w:eastAsia="en-GB"/>
        </w:rPr>
        <w:t>. [Online]. Cambridge Dictionary. Available at: https://dictionary.cambridge.org/dictionary/english/observation [Accessed 26 February 2026].</w:t>
      </w:r>
    </w:p>
    <w:p w14:paraId="5815A276" w14:textId="77777777" w:rsidR="00FC4CEE" w:rsidRDefault="00FC4CEE" w:rsidP="00FC4CEE">
      <w:pPr>
        <w:rPr>
          <w:rFonts w:eastAsia="Times New Roman" w:cstheme="minorHAnsi"/>
          <w:color w:val="000000" w:themeColor="text1"/>
          <w:shd w:val="clear" w:color="auto" w:fill="FFFFFF"/>
          <w:lang w:eastAsia="en-GB"/>
        </w:rPr>
      </w:pPr>
    </w:p>
    <w:p w14:paraId="51067523" w14:textId="77777777" w:rsidR="00FC4CEE" w:rsidRDefault="00FC4CEE" w:rsidP="00FC4CEE">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Cheqdin. (2019). </w:t>
      </w:r>
      <w:r w:rsidRPr="00F91A22">
        <w:rPr>
          <w:rFonts w:eastAsia="Times New Roman" w:cstheme="minorHAnsi"/>
          <w:i/>
          <w:iCs/>
          <w:color w:val="000000" w:themeColor="text1"/>
          <w:lang w:eastAsia="en-GB"/>
        </w:rPr>
        <w:t xml:space="preserve">What You Should Know About the Leuven Scale for Early </w:t>
      </w:r>
      <w:proofErr w:type="gramStart"/>
      <w:r w:rsidRPr="00F91A22">
        <w:rPr>
          <w:rFonts w:eastAsia="Times New Roman" w:cstheme="minorHAnsi"/>
          <w:i/>
          <w:iCs/>
          <w:color w:val="000000" w:themeColor="text1"/>
          <w:lang w:eastAsia="en-GB"/>
        </w:rPr>
        <w:t>Years?</w:t>
      </w:r>
      <w:r w:rsidRPr="00F91A22">
        <w:rPr>
          <w:rFonts w:eastAsia="Times New Roman" w:cstheme="minorHAnsi"/>
          <w:color w:val="000000" w:themeColor="text1"/>
          <w:shd w:val="clear" w:color="auto" w:fill="FFFFFF"/>
          <w:lang w:eastAsia="en-GB"/>
        </w:rPr>
        <w:t>.</w:t>
      </w:r>
      <w:proofErr w:type="gramEnd"/>
      <w:r w:rsidRPr="00F91A22">
        <w:rPr>
          <w:rFonts w:eastAsia="Times New Roman" w:cstheme="minorHAnsi"/>
          <w:color w:val="000000" w:themeColor="text1"/>
          <w:shd w:val="clear" w:color="auto" w:fill="FFFFFF"/>
          <w:lang w:eastAsia="en-GB"/>
        </w:rPr>
        <w:t xml:space="preserve"> [Online]. Cheqdin. Last Updated: 23 September. Available at: https://cheqdin.com/leuven-scale-for-early-years [Accessed 26 February 2026].</w:t>
      </w:r>
    </w:p>
    <w:p w14:paraId="7FC8AB9C" w14:textId="77777777" w:rsidR="00FC4CEE" w:rsidRDefault="00FC4CEE" w:rsidP="00FC4CEE">
      <w:pPr>
        <w:rPr>
          <w:rFonts w:eastAsia="Times New Roman" w:cstheme="minorHAnsi"/>
          <w:color w:val="000000" w:themeColor="text1"/>
          <w:shd w:val="clear" w:color="auto" w:fill="FFFFFF"/>
          <w:lang w:eastAsia="en-GB"/>
        </w:rPr>
      </w:pPr>
    </w:p>
    <w:p w14:paraId="506C6F17" w14:textId="77777777" w:rsidR="00FC4CEE" w:rsidRPr="00F91A22" w:rsidRDefault="00FC4CEE" w:rsidP="00FC4CEE">
      <w:pPr>
        <w:rPr>
          <w:rFonts w:eastAsia="Times New Roman" w:cstheme="minorHAnsi"/>
          <w:color w:val="000000" w:themeColor="text1"/>
          <w:shd w:val="clear" w:color="auto" w:fill="FFFFFF"/>
          <w:lang w:eastAsia="en-GB"/>
        </w:rPr>
      </w:pPr>
      <w:proofErr w:type="spellStart"/>
      <w:r w:rsidRPr="00F91A22">
        <w:rPr>
          <w:rFonts w:eastAsia="Times New Roman" w:cstheme="minorHAnsi"/>
          <w:color w:val="000000" w:themeColor="text1"/>
          <w:shd w:val="clear" w:color="auto" w:fill="FFFFFF"/>
          <w:lang w:eastAsia="en-GB"/>
        </w:rPr>
        <w:t>DeWolfe</w:t>
      </w:r>
      <w:proofErr w:type="spellEnd"/>
      <w:r w:rsidRPr="00F91A22">
        <w:rPr>
          <w:rFonts w:eastAsia="Times New Roman" w:cstheme="minorHAnsi"/>
          <w:color w:val="000000" w:themeColor="text1"/>
          <w:shd w:val="clear" w:color="auto" w:fill="FFFFFF"/>
          <w:lang w:eastAsia="en-GB"/>
        </w:rPr>
        <w:t>, Thomas E. (2024). </w:t>
      </w:r>
      <w:r w:rsidRPr="00F91A22">
        <w:rPr>
          <w:rFonts w:eastAsia="Times New Roman" w:cstheme="minorHAnsi"/>
          <w:i/>
          <w:iCs/>
          <w:color w:val="000000" w:themeColor="text1"/>
          <w:lang w:eastAsia="en-GB"/>
        </w:rPr>
        <w:t>Jean Piaget's theory of cognitive development</w:t>
      </w:r>
      <w:r w:rsidRPr="00F91A22">
        <w:rPr>
          <w:rFonts w:eastAsia="Times New Roman" w:cstheme="minorHAnsi"/>
          <w:color w:val="000000" w:themeColor="text1"/>
          <w:shd w:val="clear" w:color="auto" w:fill="FFFFFF"/>
          <w:lang w:eastAsia="en-GB"/>
        </w:rPr>
        <w:t>. [Online]. EBSCO. Available at: https://www.ebsco.com/research-starters/history/jean-piagets-theory-cognitive-development [Accessed 26 February 2026].</w:t>
      </w:r>
    </w:p>
    <w:p w14:paraId="6AEEA317" w14:textId="77777777" w:rsidR="00FC4CEE" w:rsidRDefault="00FC4CEE" w:rsidP="00FC4CEE">
      <w:pPr>
        <w:rPr>
          <w:rFonts w:eastAsia="Times New Roman" w:cstheme="minorHAnsi"/>
          <w:color w:val="000000" w:themeColor="text1"/>
          <w:shd w:val="clear" w:color="auto" w:fill="FFFFFF"/>
          <w:lang w:eastAsia="en-GB"/>
        </w:rPr>
      </w:pPr>
    </w:p>
    <w:p w14:paraId="5FF38C1C" w14:textId="77777777" w:rsidR="00FC4CEE" w:rsidRDefault="00FC4CEE" w:rsidP="00FC4CEE">
      <w:pPr>
        <w:rPr>
          <w:rFonts w:eastAsia="Times New Roman" w:cstheme="minorHAnsi"/>
          <w:color w:val="000000" w:themeColor="text1"/>
          <w:shd w:val="clear" w:color="auto" w:fill="FFFFFF"/>
          <w:lang w:eastAsia="en-GB"/>
        </w:rPr>
      </w:pPr>
      <w:proofErr w:type="spellStart"/>
      <w:r w:rsidRPr="00DA1BCB">
        <w:rPr>
          <w:rFonts w:eastAsia="Times New Roman" w:cstheme="minorHAnsi"/>
          <w:color w:val="000000" w:themeColor="text1"/>
          <w:shd w:val="clear" w:color="auto" w:fill="FFFFFF"/>
          <w:lang w:eastAsia="en-GB"/>
        </w:rPr>
        <w:t>Ey</w:t>
      </w:r>
      <w:proofErr w:type="spellEnd"/>
      <w:r w:rsidRPr="00DA1BCB">
        <w:rPr>
          <w:rFonts w:eastAsia="Times New Roman" w:cstheme="minorHAnsi"/>
          <w:color w:val="000000" w:themeColor="text1"/>
          <w:shd w:val="clear" w:color="auto" w:fill="FFFFFF"/>
          <w:lang w:eastAsia="en-GB"/>
        </w:rPr>
        <w:t xml:space="preserve"> Work. (2024). </w:t>
      </w:r>
      <w:r w:rsidRPr="00DA1BCB">
        <w:rPr>
          <w:rFonts w:eastAsia="Times New Roman" w:cstheme="minorHAnsi"/>
          <w:i/>
          <w:iCs/>
          <w:color w:val="000000" w:themeColor="text1"/>
          <w:lang w:eastAsia="en-GB"/>
        </w:rPr>
        <w:t>The Importance of Role-Play in the Early Years</w:t>
      </w:r>
      <w:r w:rsidRPr="00DA1BCB">
        <w:rPr>
          <w:rFonts w:eastAsia="Times New Roman" w:cstheme="minorHAnsi"/>
          <w:color w:val="000000" w:themeColor="text1"/>
          <w:shd w:val="clear" w:color="auto" w:fill="FFFFFF"/>
          <w:lang w:eastAsia="en-GB"/>
        </w:rPr>
        <w:t xml:space="preserve">. [Online]. </w:t>
      </w:r>
      <w:proofErr w:type="spellStart"/>
      <w:r w:rsidRPr="00DA1BCB">
        <w:rPr>
          <w:rFonts w:eastAsia="Times New Roman" w:cstheme="minorHAnsi"/>
          <w:color w:val="000000" w:themeColor="text1"/>
          <w:shd w:val="clear" w:color="auto" w:fill="FFFFFF"/>
          <w:lang w:eastAsia="en-GB"/>
        </w:rPr>
        <w:t>Ey</w:t>
      </w:r>
      <w:proofErr w:type="spellEnd"/>
      <w:r w:rsidRPr="00DA1BCB">
        <w:rPr>
          <w:rFonts w:eastAsia="Times New Roman" w:cstheme="minorHAnsi"/>
          <w:color w:val="000000" w:themeColor="text1"/>
          <w:shd w:val="clear" w:color="auto" w:fill="FFFFFF"/>
          <w:lang w:eastAsia="en-GB"/>
        </w:rPr>
        <w:t xml:space="preserve"> Work. Last Updated: May 10. Available at: https://www.eyworks.co.uk/blog/the-importance-of-role-play-in-the-early-years/ [Accessed 26 February 2026].</w:t>
      </w:r>
    </w:p>
    <w:p w14:paraId="1D52F799" w14:textId="77777777" w:rsidR="00FC4CEE" w:rsidRDefault="00FC4CEE" w:rsidP="00FC4CEE">
      <w:pPr>
        <w:rPr>
          <w:rFonts w:eastAsia="Times New Roman" w:cstheme="minorHAnsi"/>
          <w:color w:val="000000" w:themeColor="text1"/>
          <w:shd w:val="clear" w:color="auto" w:fill="FFFFFF"/>
          <w:lang w:eastAsia="en-GB"/>
        </w:rPr>
      </w:pPr>
    </w:p>
    <w:p w14:paraId="12F171DD" w14:textId="77777777" w:rsidR="00FC4CEE" w:rsidRDefault="00FC4CEE" w:rsidP="00FC4CEE">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EY Works. (2025). </w:t>
      </w:r>
      <w:r w:rsidRPr="00F91A22">
        <w:rPr>
          <w:rFonts w:eastAsia="Times New Roman" w:cstheme="minorHAnsi"/>
          <w:i/>
          <w:iCs/>
          <w:color w:val="000000" w:themeColor="text1"/>
          <w:lang w:eastAsia="en-GB"/>
        </w:rPr>
        <w:t>The Leuven Scale of Emotional Well-being and Involvement framework</w:t>
      </w:r>
      <w:r w:rsidRPr="00F91A22">
        <w:rPr>
          <w:rFonts w:eastAsia="Times New Roman" w:cstheme="minorHAnsi"/>
          <w:color w:val="000000" w:themeColor="text1"/>
          <w:shd w:val="clear" w:color="auto" w:fill="FFFFFF"/>
          <w:lang w:eastAsia="en-GB"/>
        </w:rPr>
        <w:t>. [Online]. EY Works. Last Updated: 11th June. Available at: https://www.eyworks.co.uk/blog/eyworks-and-the-leuven-scale-of-emotional-well-being-and-involvement- [Accessed 26 February 2026].</w:t>
      </w:r>
    </w:p>
    <w:p w14:paraId="53A9F77D" w14:textId="77777777" w:rsidR="00FC4CEE" w:rsidRDefault="00FC4CEE" w:rsidP="00FC4CEE">
      <w:pPr>
        <w:rPr>
          <w:rFonts w:eastAsia="Times New Roman" w:cstheme="minorHAnsi"/>
          <w:color w:val="000000" w:themeColor="text1"/>
          <w:shd w:val="clear" w:color="auto" w:fill="FFFFFF"/>
          <w:lang w:eastAsia="en-GB"/>
        </w:rPr>
      </w:pPr>
    </w:p>
    <w:p w14:paraId="3A8845D6" w14:textId="77777777" w:rsidR="00FC4CEE" w:rsidRPr="00F91A22" w:rsidRDefault="00FC4CEE" w:rsidP="00FC4CEE">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Howard, J. and Sheridan, M.D. (2017) </w:t>
      </w:r>
      <w:r w:rsidRPr="00F91A22">
        <w:rPr>
          <w:rFonts w:eastAsia="Times New Roman" w:cstheme="minorHAnsi"/>
          <w:i/>
          <w:iCs/>
          <w:color w:val="000000" w:themeColor="text1"/>
          <w:shd w:val="clear" w:color="auto" w:fill="FFFFFF"/>
          <w:lang w:eastAsia="en-GB"/>
        </w:rPr>
        <w:t xml:space="preserve">Mary D. Sheridan’s play in early </w:t>
      </w:r>
      <w:proofErr w:type="gramStart"/>
      <w:r w:rsidRPr="00F91A22">
        <w:rPr>
          <w:rFonts w:eastAsia="Times New Roman" w:cstheme="minorHAnsi"/>
          <w:i/>
          <w:iCs/>
          <w:color w:val="000000" w:themeColor="text1"/>
          <w:shd w:val="clear" w:color="auto" w:fill="FFFFFF"/>
          <w:lang w:eastAsia="en-GB"/>
        </w:rPr>
        <w:t>childhood :</w:t>
      </w:r>
      <w:proofErr w:type="gramEnd"/>
      <w:r w:rsidRPr="00F91A22">
        <w:rPr>
          <w:rFonts w:eastAsia="Times New Roman" w:cstheme="minorHAnsi"/>
          <w:i/>
          <w:iCs/>
          <w:color w:val="000000" w:themeColor="text1"/>
          <w:shd w:val="clear" w:color="auto" w:fill="FFFFFF"/>
          <w:lang w:eastAsia="en-GB"/>
        </w:rPr>
        <w:t xml:space="preserve"> from birth to six years</w:t>
      </w:r>
      <w:r w:rsidRPr="00F91A22">
        <w:rPr>
          <w:rFonts w:eastAsia="Times New Roman" w:cstheme="minorHAnsi"/>
          <w:color w:val="000000" w:themeColor="text1"/>
          <w:shd w:val="clear" w:color="auto" w:fill="FFFFFF"/>
          <w:lang w:eastAsia="en-GB"/>
        </w:rPr>
        <w:t xml:space="preserve">. Fourth edition. </w:t>
      </w:r>
      <w:proofErr w:type="gramStart"/>
      <w:r w:rsidRPr="00F91A22">
        <w:rPr>
          <w:rFonts w:eastAsia="Times New Roman" w:cstheme="minorHAnsi"/>
          <w:color w:val="000000" w:themeColor="text1"/>
          <w:shd w:val="clear" w:color="auto" w:fill="FFFFFF"/>
          <w:lang w:eastAsia="en-GB"/>
        </w:rPr>
        <w:t>Abingdon ;</w:t>
      </w:r>
      <w:proofErr w:type="gramEnd"/>
      <w:r w:rsidRPr="00F91A22">
        <w:rPr>
          <w:rFonts w:eastAsia="Times New Roman" w:cstheme="minorHAnsi"/>
          <w:color w:val="000000" w:themeColor="text1"/>
          <w:shd w:val="clear" w:color="auto" w:fill="FFFFFF"/>
          <w:lang w:eastAsia="en-GB"/>
        </w:rPr>
        <w:t xml:space="preserve"> Routledge.</w:t>
      </w:r>
    </w:p>
    <w:p w14:paraId="18EBEAE7" w14:textId="77777777" w:rsidR="00FC4CEE" w:rsidRDefault="00FC4CEE" w:rsidP="00FC4CEE">
      <w:pPr>
        <w:rPr>
          <w:rFonts w:eastAsia="Times New Roman" w:cstheme="minorHAnsi"/>
          <w:color w:val="000000" w:themeColor="text1"/>
          <w:shd w:val="clear" w:color="auto" w:fill="FFFFFF"/>
          <w:lang w:eastAsia="en-GB"/>
        </w:rPr>
      </w:pPr>
    </w:p>
    <w:p w14:paraId="2D9F5053" w14:textId="77777777" w:rsidR="00FC4CEE" w:rsidRDefault="00FC4CEE" w:rsidP="00FC4CEE">
      <w:pPr>
        <w:rPr>
          <w:rFonts w:eastAsia="Times New Roman" w:cstheme="minorHAnsi"/>
          <w:color w:val="000000" w:themeColor="text1"/>
          <w:shd w:val="clear" w:color="auto" w:fill="FAFAFA"/>
          <w:lang w:eastAsia="en-GB"/>
        </w:rPr>
      </w:pPr>
      <w:r w:rsidRPr="00DA1BCB">
        <w:rPr>
          <w:rFonts w:eastAsia="Times New Roman" w:cstheme="minorHAnsi"/>
          <w:color w:val="000000" w:themeColor="text1"/>
          <w:shd w:val="clear" w:color="auto" w:fill="FAFAFA"/>
          <w:lang w:eastAsia="en-GB"/>
        </w:rPr>
        <w:t>Howard, J. (2020) The power of play. </w:t>
      </w:r>
      <w:r w:rsidRPr="00DA1BCB">
        <w:rPr>
          <w:rFonts w:eastAsia="Times New Roman" w:cstheme="minorHAnsi"/>
          <w:i/>
          <w:iCs/>
          <w:color w:val="000000" w:themeColor="text1"/>
          <w:shd w:val="clear" w:color="auto" w:fill="FAFAFA"/>
          <w:lang w:eastAsia="en-GB"/>
        </w:rPr>
        <w:t>The Lancet</w:t>
      </w:r>
      <w:r w:rsidRPr="00DA1BCB">
        <w:rPr>
          <w:rFonts w:eastAsia="Times New Roman" w:cstheme="minorHAnsi"/>
          <w:color w:val="000000" w:themeColor="text1"/>
          <w:shd w:val="clear" w:color="auto" w:fill="FAFAFA"/>
          <w:lang w:eastAsia="en-GB"/>
        </w:rPr>
        <w:t>. 395 (10220), 261–262. doi:10.1016/S0140-6736(20)30101-X.</w:t>
      </w:r>
    </w:p>
    <w:p w14:paraId="53D940AA" w14:textId="77777777" w:rsidR="00FC4CEE" w:rsidRDefault="00FC4CEE" w:rsidP="00FC4CEE">
      <w:pPr>
        <w:rPr>
          <w:rFonts w:eastAsia="Times New Roman" w:cstheme="minorHAnsi"/>
          <w:color w:val="000000" w:themeColor="text1"/>
          <w:shd w:val="clear" w:color="auto" w:fill="FAFAFA"/>
          <w:lang w:eastAsia="en-GB"/>
        </w:rPr>
      </w:pPr>
    </w:p>
    <w:p w14:paraId="5092A2A8" w14:textId="77777777" w:rsidR="00FC4CEE" w:rsidRPr="00C40FE8" w:rsidRDefault="00FC4CEE" w:rsidP="00FC4CEE">
      <w:pPr>
        <w:rPr>
          <w:rFonts w:eastAsia="Times New Roman" w:cstheme="minorHAnsi"/>
          <w:color w:val="000000" w:themeColor="text1"/>
          <w:lang w:eastAsia="en-GB"/>
        </w:rPr>
      </w:pPr>
      <w:r w:rsidRPr="00C40FE8">
        <w:rPr>
          <w:rFonts w:eastAsia="Times New Roman" w:cstheme="minorHAnsi"/>
          <w:color w:val="000000" w:themeColor="text1"/>
          <w:shd w:val="clear" w:color="auto" w:fill="FFFFFF"/>
          <w:lang w:eastAsia="en-GB"/>
        </w:rPr>
        <w:lastRenderedPageBreak/>
        <w:t>Howard, J. and McInnes, K. (2013) </w:t>
      </w:r>
      <w:r w:rsidRPr="00C40FE8">
        <w:rPr>
          <w:rFonts w:eastAsia="Times New Roman" w:cstheme="minorHAnsi"/>
          <w:i/>
          <w:iCs/>
          <w:color w:val="000000" w:themeColor="text1"/>
          <w:shd w:val="clear" w:color="auto" w:fill="FFFFFF"/>
          <w:lang w:eastAsia="en-GB"/>
        </w:rPr>
        <w:t xml:space="preserve">The essence of </w:t>
      </w:r>
      <w:proofErr w:type="gramStart"/>
      <w:r w:rsidRPr="00C40FE8">
        <w:rPr>
          <w:rFonts w:eastAsia="Times New Roman" w:cstheme="minorHAnsi"/>
          <w:i/>
          <w:iCs/>
          <w:color w:val="000000" w:themeColor="text1"/>
          <w:shd w:val="clear" w:color="auto" w:fill="FFFFFF"/>
          <w:lang w:eastAsia="en-GB"/>
        </w:rPr>
        <w:t>play :</w:t>
      </w:r>
      <w:proofErr w:type="gramEnd"/>
      <w:r w:rsidRPr="00C40FE8">
        <w:rPr>
          <w:rFonts w:eastAsia="Times New Roman" w:cstheme="minorHAnsi"/>
          <w:i/>
          <w:iCs/>
          <w:color w:val="000000" w:themeColor="text1"/>
          <w:shd w:val="clear" w:color="auto" w:fill="FFFFFF"/>
          <w:lang w:eastAsia="en-GB"/>
        </w:rPr>
        <w:t xml:space="preserve"> a practice companion for professionals working with children and young people</w:t>
      </w:r>
      <w:r w:rsidRPr="00C40FE8">
        <w:rPr>
          <w:rFonts w:eastAsia="Times New Roman" w:cstheme="minorHAnsi"/>
          <w:color w:val="000000" w:themeColor="text1"/>
          <w:shd w:val="clear" w:color="auto" w:fill="FFFFFF"/>
          <w:lang w:eastAsia="en-GB"/>
        </w:rPr>
        <w:t>. Abingdon, Oxon: Routledge.</w:t>
      </w:r>
    </w:p>
    <w:p w14:paraId="2476EC43" w14:textId="77777777" w:rsidR="00FC4CEE" w:rsidRPr="00DA1BCB" w:rsidRDefault="00FC4CEE" w:rsidP="00FC4CEE">
      <w:pPr>
        <w:rPr>
          <w:rFonts w:eastAsia="Times New Roman" w:cstheme="minorHAnsi"/>
          <w:color w:val="000000" w:themeColor="text1"/>
          <w:lang w:eastAsia="en-GB"/>
        </w:rPr>
      </w:pPr>
    </w:p>
    <w:p w14:paraId="01528908" w14:textId="77777777" w:rsidR="00FC4CEE" w:rsidRDefault="00FC4CEE" w:rsidP="00FC4CEE">
      <w:pPr>
        <w:rPr>
          <w:rFonts w:eastAsia="Times New Roman" w:cstheme="minorHAnsi"/>
          <w:color w:val="000000" w:themeColor="text1"/>
          <w:shd w:val="clear" w:color="auto" w:fill="FFFFFF"/>
          <w:lang w:eastAsia="en-GB"/>
        </w:rPr>
      </w:pPr>
    </w:p>
    <w:p w14:paraId="565F9E58" w14:textId="77777777" w:rsidR="00FC4CEE" w:rsidRPr="00F91A22" w:rsidRDefault="00FC4CEE" w:rsidP="00FC4CEE">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King, P. and Sturrock, G. (2020) </w:t>
      </w:r>
      <w:r w:rsidRPr="00F91A22">
        <w:rPr>
          <w:rFonts w:eastAsia="Times New Roman" w:cstheme="minorHAnsi"/>
          <w:i/>
          <w:iCs/>
          <w:color w:val="000000" w:themeColor="text1"/>
          <w:shd w:val="clear" w:color="auto" w:fill="FFFFFF"/>
          <w:lang w:eastAsia="en-GB"/>
        </w:rPr>
        <w:t xml:space="preserve">Play </w:t>
      </w:r>
      <w:proofErr w:type="gramStart"/>
      <w:r w:rsidRPr="00F91A22">
        <w:rPr>
          <w:rFonts w:eastAsia="Times New Roman" w:cstheme="minorHAnsi"/>
          <w:i/>
          <w:iCs/>
          <w:color w:val="000000" w:themeColor="text1"/>
          <w:shd w:val="clear" w:color="auto" w:fill="FFFFFF"/>
          <w:lang w:eastAsia="en-GB"/>
        </w:rPr>
        <w:t>cycle :</w:t>
      </w:r>
      <w:proofErr w:type="gramEnd"/>
      <w:r w:rsidRPr="00F91A22">
        <w:rPr>
          <w:rFonts w:eastAsia="Times New Roman" w:cstheme="minorHAnsi"/>
          <w:i/>
          <w:iCs/>
          <w:color w:val="000000" w:themeColor="text1"/>
          <w:shd w:val="clear" w:color="auto" w:fill="FFFFFF"/>
          <w:lang w:eastAsia="en-GB"/>
        </w:rPr>
        <w:t xml:space="preserve"> theory, research and application</w:t>
      </w:r>
      <w:r w:rsidRPr="00F91A22">
        <w:rPr>
          <w:rFonts w:eastAsia="Times New Roman" w:cstheme="minorHAnsi"/>
          <w:color w:val="000000" w:themeColor="text1"/>
          <w:shd w:val="clear" w:color="auto" w:fill="FFFFFF"/>
          <w:lang w:eastAsia="en-GB"/>
        </w:rPr>
        <w:t xml:space="preserve">. 1st ed. Abingdon, </w:t>
      </w:r>
      <w:proofErr w:type="gramStart"/>
      <w:r w:rsidRPr="00F91A22">
        <w:rPr>
          <w:rFonts w:eastAsia="Times New Roman" w:cstheme="minorHAnsi"/>
          <w:color w:val="000000" w:themeColor="text1"/>
          <w:shd w:val="clear" w:color="auto" w:fill="FFFFFF"/>
          <w:lang w:eastAsia="en-GB"/>
        </w:rPr>
        <w:t>Oxon ;</w:t>
      </w:r>
      <w:proofErr w:type="gramEnd"/>
      <w:r w:rsidRPr="00F91A22">
        <w:rPr>
          <w:rFonts w:eastAsia="Times New Roman" w:cstheme="minorHAnsi"/>
          <w:color w:val="000000" w:themeColor="text1"/>
          <w:shd w:val="clear" w:color="auto" w:fill="FFFFFF"/>
          <w:lang w:eastAsia="en-GB"/>
        </w:rPr>
        <w:t xml:space="preserve"> Routledge.</w:t>
      </w:r>
    </w:p>
    <w:p w14:paraId="2D4A76C7" w14:textId="77777777" w:rsidR="00FC4CEE" w:rsidRDefault="00FC4CEE" w:rsidP="00FC4CEE">
      <w:pPr>
        <w:rPr>
          <w:rFonts w:eastAsia="Times New Roman" w:cstheme="minorHAnsi"/>
          <w:color w:val="000000" w:themeColor="text1"/>
          <w:shd w:val="clear" w:color="auto" w:fill="FFFFFF"/>
          <w:lang w:eastAsia="en-GB"/>
        </w:rPr>
      </w:pPr>
    </w:p>
    <w:p w14:paraId="1CBB894F" w14:textId="77777777" w:rsidR="00FC4CEE" w:rsidRPr="00F91A22" w:rsidRDefault="00FC4CEE" w:rsidP="00FC4CEE">
      <w:pPr>
        <w:rPr>
          <w:rFonts w:eastAsia="Times New Roman" w:cstheme="minorHAnsi"/>
          <w:color w:val="000000" w:themeColor="text1"/>
          <w:shd w:val="clear" w:color="auto" w:fill="FFFFFF"/>
          <w:lang w:eastAsia="en-GB"/>
        </w:rPr>
      </w:pPr>
    </w:p>
    <w:p w14:paraId="618F6D72" w14:textId="77777777" w:rsidR="00FC4CEE" w:rsidRDefault="00FC4CEE" w:rsidP="00FC4CEE">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Lucie Hamilton. (2018). </w:t>
      </w:r>
      <w:r w:rsidRPr="00F91A22">
        <w:rPr>
          <w:rFonts w:eastAsia="Times New Roman" w:cstheme="minorHAnsi"/>
          <w:i/>
          <w:iCs/>
          <w:color w:val="000000" w:themeColor="text1"/>
          <w:lang w:eastAsia="en-GB"/>
        </w:rPr>
        <w:t>Stand back and let children play</w:t>
      </w:r>
      <w:r w:rsidRPr="00F91A22">
        <w:rPr>
          <w:rFonts w:eastAsia="Times New Roman" w:cstheme="minorHAnsi"/>
          <w:color w:val="000000" w:themeColor="text1"/>
          <w:shd w:val="clear" w:color="auto" w:fill="FFFFFF"/>
          <w:lang w:eastAsia="en-GB"/>
        </w:rPr>
        <w:t>. [Online]. MAG Online Library. Last Updated: 30th July. Available at: https://www.magonlinelibrary.com/doi/abs/10.12968/eyed.2018.20.5.7 [Accessed 26 February 2026].</w:t>
      </w:r>
    </w:p>
    <w:p w14:paraId="56668EC5" w14:textId="77777777" w:rsidR="00FC4CEE" w:rsidRDefault="00FC4CEE" w:rsidP="00FC4CEE">
      <w:pPr>
        <w:rPr>
          <w:rFonts w:eastAsia="Times New Roman" w:cstheme="minorHAnsi"/>
          <w:color w:val="000000" w:themeColor="text1"/>
          <w:shd w:val="clear" w:color="auto" w:fill="FFFFFF"/>
          <w:lang w:eastAsia="en-GB"/>
        </w:rPr>
      </w:pPr>
    </w:p>
    <w:p w14:paraId="37800C09" w14:textId="77777777" w:rsidR="00FC4CEE" w:rsidRDefault="00FC4CEE" w:rsidP="00FC4CEE">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 xml:space="preserve">Marian </w:t>
      </w:r>
      <w:proofErr w:type="spellStart"/>
      <w:r w:rsidRPr="00F91A22">
        <w:rPr>
          <w:rFonts w:eastAsia="Times New Roman" w:cstheme="minorHAnsi"/>
          <w:color w:val="000000" w:themeColor="text1"/>
          <w:shd w:val="clear" w:color="auto" w:fill="FFFFFF"/>
          <w:lang w:eastAsia="en-GB"/>
        </w:rPr>
        <w:t>Adejokun</w:t>
      </w:r>
      <w:proofErr w:type="spellEnd"/>
      <w:r w:rsidRPr="00F91A22">
        <w:rPr>
          <w:rFonts w:eastAsia="Times New Roman" w:cstheme="minorHAnsi"/>
          <w:color w:val="000000" w:themeColor="text1"/>
          <w:shd w:val="clear" w:color="auto" w:fill="FFFFFF"/>
          <w:lang w:eastAsia="en-GB"/>
        </w:rPr>
        <w:t>. (2020). </w:t>
      </w:r>
      <w:r w:rsidRPr="00F91A22">
        <w:rPr>
          <w:rFonts w:eastAsia="Times New Roman" w:cstheme="minorHAnsi"/>
          <w:i/>
          <w:iCs/>
          <w:color w:val="000000" w:themeColor="text1"/>
          <w:lang w:eastAsia="en-GB"/>
        </w:rPr>
        <w:t xml:space="preserve">Why is Child Initiated Play Important for Children’s </w:t>
      </w:r>
      <w:proofErr w:type="gramStart"/>
      <w:r w:rsidRPr="00F91A22">
        <w:rPr>
          <w:rFonts w:eastAsia="Times New Roman" w:cstheme="minorHAnsi"/>
          <w:i/>
          <w:iCs/>
          <w:color w:val="000000" w:themeColor="text1"/>
          <w:lang w:eastAsia="en-GB"/>
        </w:rPr>
        <w:t>Learning?</w:t>
      </w:r>
      <w:r w:rsidRPr="00F91A22">
        <w:rPr>
          <w:rFonts w:eastAsia="Times New Roman" w:cstheme="minorHAnsi"/>
          <w:color w:val="000000" w:themeColor="text1"/>
          <w:shd w:val="clear" w:color="auto" w:fill="FFFFFF"/>
          <w:lang w:eastAsia="en-GB"/>
        </w:rPr>
        <w:t>.</w:t>
      </w:r>
      <w:proofErr w:type="gramEnd"/>
      <w:r w:rsidRPr="00F91A22">
        <w:rPr>
          <w:rFonts w:eastAsia="Times New Roman" w:cstheme="minorHAnsi"/>
          <w:color w:val="000000" w:themeColor="text1"/>
          <w:shd w:val="clear" w:color="auto" w:fill="FFFFFF"/>
          <w:lang w:eastAsia="en-GB"/>
        </w:rPr>
        <w:t xml:space="preserve"> [Online]. Childcare and Education Expo. Last Updated: 14th August. Available at: https://www.childcareeducationexpo.co.uk/news-article/why-is-child-initiated-play-important-for-chil [Accessed 26 February 2026].</w:t>
      </w:r>
    </w:p>
    <w:p w14:paraId="465A8166" w14:textId="77777777" w:rsidR="00FC4CEE" w:rsidRDefault="00FC4CEE" w:rsidP="00FC4CEE">
      <w:pPr>
        <w:rPr>
          <w:rFonts w:eastAsia="Times New Roman" w:cstheme="minorHAnsi"/>
          <w:color w:val="000000" w:themeColor="text1"/>
          <w:shd w:val="clear" w:color="auto" w:fill="FFFFFF"/>
          <w:lang w:eastAsia="en-GB"/>
        </w:rPr>
      </w:pPr>
    </w:p>
    <w:p w14:paraId="1922EE83" w14:textId="77777777" w:rsidR="00FC4CEE" w:rsidRPr="00F91A22" w:rsidRDefault="00FC4CEE" w:rsidP="00FC4CEE">
      <w:pPr>
        <w:rPr>
          <w:rFonts w:eastAsia="Times New Roman" w:cstheme="minorHAnsi"/>
          <w:color w:val="000000" w:themeColor="text1"/>
          <w:lang w:eastAsia="en-GB"/>
        </w:rPr>
      </w:pPr>
      <w:r w:rsidRPr="00F91A22">
        <w:rPr>
          <w:rFonts w:eastAsia="Times New Roman" w:cstheme="minorHAnsi"/>
          <w:color w:val="000000" w:themeColor="text1"/>
          <w:shd w:val="clear" w:color="auto" w:fill="FFFFFF"/>
          <w:lang w:eastAsia="en-GB"/>
        </w:rPr>
        <w:t>MacRae, C. and Jones, L. (2023) “A philosophical reflection on the ‘Leuven Scale’ and young children’s expressions of involvement,” </w:t>
      </w:r>
      <w:r w:rsidRPr="00F91A22">
        <w:rPr>
          <w:rFonts w:eastAsia="Times New Roman" w:cstheme="minorHAnsi"/>
          <w:i/>
          <w:iCs/>
          <w:color w:val="000000" w:themeColor="text1"/>
          <w:shd w:val="clear" w:color="auto" w:fill="FFFFFF"/>
          <w:lang w:eastAsia="en-GB"/>
        </w:rPr>
        <w:t>International journal of qualitative studies in education</w:t>
      </w:r>
      <w:r w:rsidRPr="00F91A22">
        <w:rPr>
          <w:rFonts w:eastAsia="Times New Roman" w:cstheme="minorHAnsi"/>
          <w:color w:val="000000" w:themeColor="text1"/>
          <w:shd w:val="clear" w:color="auto" w:fill="FFFFFF"/>
          <w:lang w:eastAsia="en-GB"/>
        </w:rPr>
        <w:t>, 36(2), pp. 234–246. Available at: https://doi.org/10.1080/09518398.2020.1828650.</w:t>
      </w:r>
    </w:p>
    <w:p w14:paraId="6C24E3DD" w14:textId="77777777" w:rsidR="00FC4CEE" w:rsidRDefault="00FC4CEE" w:rsidP="00FC4CEE">
      <w:pPr>
        <w:rPr>
          <w:rFonts w:eastAsia="Times New Roman" w:cstheme="minorHAnsi"/>
          <w:color w:val="000000" w:themeColor="text1"/>
          <w:shd w:val="clear" w:color="auto" w:fill="FFFFFF"/>
          <w:lang w:eastAsia="en-GB"/>
        </w:rPr>
      </w:pPr>
    </w:p>
    <w:p w14:paraId="5E46920A" w14:textId="77777777" w:rsidR="00FC4CEE" w:rsidRDefault="00FC4CEE" w:rsidP="00FC4CEE">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Phillips, J.L. (1981) </w:t>
      </w:r>
      <w:r w:rsidRPr="00F91A22">
        <w:rPr>
          <w:rFonts w:eastAsia="Times New Roman" w:cstheme="minorHAnsi"/>
          <w:i/>
          <w:iCs/>
          <w:color w:val="000000" w:themeColor="text1"/>
          <w:shd w:val="clear" w:color="auto" w:fill="FFFFFF"/>
          <w:lang w:eastAsia="en-GB"/>
        </w:rPr>
        <w:t xml:space="preserve">Piaget’s </w:t>
      </w:r>
      <w:proofErr w:type="gramStart"/>
      <w:r w:rsidRPr="00F91A22">
        <w:rPr>
          <w:rFonts w:eastAsia="Times New Roman" w:cstheme="minorHAnsi"/>
          <w:i/>
          <w:iCs/>
          <w:color w:val="000000" w:themeColor="text1"/>
          <w:shd w:val="clear" w:color="auto" w:fill="FFFFFF"/>
          <w:lang w:eastAsia="en-GB"/>
        </w:rPr>
        <w:t>theory :</w:t>
      </w:r>
      <w:proofErr w:type="gramEnd"/>
      <w:r w:rsidRPr="00F91A22">
        <w:rPr>
          <w:rFonts w:eastAsia="Times New Roman" w:cstheme="minorHAnsi"/>
          <w:i/>
          <w:iCs/>
          <w:color w:val="000000" w:themeColor="text1"/>
          <w:shd w:val="clear" w:color="auto" w:fill="FFFFFF"/>
          <w:lang w:eastAsia="en-GB"/>
        </w:rPr>
        <w:t xml:space="preserve"> a primer.</w:t>
      </w:r>
      <w:r w:rsidRPr="00F91A22">
        <w:rPr>
          <w:rFonts w:eastAsia="Times New Roman" w:cstheme="minorHAnsi"/>
          <w:color w:val="000000" w:themeColor="text1"/>
          <w:shd w:val="clear" w:color="auto" w:fill="FFFFFF"/>
          <w:lang w:eastAsia="en-GB"/>
        </w:rPr>
        <w:t> San Francisco: W.H. Freeman.</w:t>
      </w:r>
    </w:p>
    <w:p w14:paraId="545D741B" w14:textId="77777777" w:rsidR="00FC4CEE" w:rsidRDefault="00FC4CEE" w:rsidP="00FC4CEE">
      <w:pPr>
        <w:rPr>
          <w:rFonts w:eastAsia="Times New Roman" w:cstheme="minorHAnsi"/>
          <w:color w:val="000000" w:themeColor="text1"/>
          <w:shd w:val="clear" w:color="auto" w:fill="FFFFFF"/>
          <w:lang w:eastAsia="en-GB"/>
        </w:rPr>
      </w:pPr>
    </w:p>
    <w:p w14:paraId="203C0DEC" w14:textId="77777777" w:rsidR="00FC4CEE" w:rsidRPr="00F91A22" w:rsidRDefault="00FC4CEE" w:rsidP="00FC4CEE">
      <w:pPr>
        <w:rPr>
          <w:rFonts w:eastAsia="Times New Roman" w:cstheme="minorHAnsi"/>
          <w:color w:val="000000" w:themeColor="text1"/>
          <w:lang w:eastAsia="en-GB"/>
        </w:rPr>
      </w:pPr>
      <w:r w:rsidRPr="00F91A22">
        <w:rPr>
          <w:rFonts w:eastAsia="Times New Roman" w:cstheme="minorHAnsi"/>
          <w:color w:val="000000" w:themeColor="text1"/>
          <w:shd w:val="clear" w:color="auto" w:fill="FAFAFA"/>
          <w:lang w:eastAsia="en-GB"/>
        </w:rPr>
        <w:t>Smidt, S. (2015) </w:t>
      </w:r>
      <w:r w:rsidRPr="00F91A22">
        <w:rPr>
          <w:rFonts w:eastAsia="Times New Roman" w:cstheme="minorHAnsi"/>
          <w:i/>
          <w:iCs/>
          <w:color w:val="000000" w:themeColor="text1"/>
          <w:shd w:val="clear" w:color="auto" w:fill="FAFAFA"/>
          <w:lang w:eastAsia="en-GB"/>
        </w:rPr>
        <w:t xml:space="preserve">Observing young </w:t>
      </w:r>
      <w:proofErr w:type="gramStart"/>
      <w:r w:rsidRPr="00F91A22">
        <w:rPr>
          <w:rFonts w:eastAsia="Times New Roman" w:cstheme="minorHAnsi"/>
          <w:i/>
          <w:iCs/>
          <w:color w:val="000000" w:themeColor="text1"/>
          <w:shd w:val="clear" w:color="auto" w:fill="FAFAFA"/>
          <w:lang w:eastAsia="en-GB"/>
        </w:rPr>
        <w:t>children :</w:t>
      </w:r>
      <w:proofErr w:type="gramEnd"/>
      <w:r w:rsidRPr="00F91A22">
        <w:rPr>
          <w:rFonts w:eastAsia="Times New Roman" w:cstheme="minorHAnsi"/>
          <w:i/>
          <w:iCs/>
          <w:color w:val="000000" w:themeColor="text1"/>
          <w:shd w:val="clear" w:color="auto" w:fill="FAFAFA"/>
          <w:lang w:eastAsia="en-GB"/>
        </w:rPr>
        <w:t xml:space="preserve"> the role of observation and assessment in early childhood settings </w:t>
      </w:r>
      <w:r w:rsidRPr="00F91A22">
        <w:rPr>
          <w:rFonts w:eastAsia="Times New Roman" w:cstheme="minorHAnsi"/>
          <w:color w:val="000000" w:themeColor="text1"/>
          <w:shd w:val="clear" w:color="auto" w:fill="FAFAFA"/>
          <w:lang w:eastAsia="en-GB"/>
        </w:rPr>
        <w:t xml:space="preserve">. Second edition. </w:t>
      </w:r>
      <w:proofErr w:type="gramStart"/>
      <w:r w:rsidRPr="00F91A22">
        <w:rPr>
          <w:rFonts w:eastAsia="Times New Roman" w:cstheme="minorHAnsi"/>
          <w:color w:val="000000" w:themeColor="text1"/>
          <w:shd w:val="clear" w:color="auto" w:fill="FAFAFA"/>
          <w:lang w:eastAsia="en-GB"/>
        </w:rPr>
        <w:t>London ;</w:t>
      </w:r>
      <w:proofErr w:type="gramEnd"/>
      <w:r w:rsidRPr="00F91A22">
        <w:rPr>
          <w:rFonts w:eastAsia="Times New Roman" w:cstheme="minorHAnsi"/>
          <w:color w:val="000000" w:themeColor="text1"/>
          <w:shd w:val="clear" w:color="auto" w:fill="FAFAFA"/>
          <w:lang w:eastAsia="en-GB"/>
        </w:rPr>
        <w:t xml:space="preserve"> New York :; London ; New York :, Routledge.</w:t>
      </w:r>
    </w:p>
    <w:p w14:paraId="3AEECF9B" w14:textId="77777777" w:rsidR="00FC4CEE" w:rsidRDefault="00FC4CEE" w:rsidP="00FC4CEE">
      <w:pPr>
        <w:rPr>
          <w:rFonts w:eastAsia="Times New Roman" w:cstheme="minorHAnsi"/>
          <w:color w:val="000000" w:themeColor="text1"/>
          <w:lang w:eastAsia="en-GB"/>
        </w:rPr>
      </w:pPr>
    </w:p>
    <w:p w14:paraId="769F41F9" w14:textId="77777777" w:rsidR="00FC4CEE" w:rsidRPr="00F91A22" w:rsidRDefault="00FC4CEE" w:rsidP="00FC4CEE">
      <w:pPr>
        <w:rPr>
          <w:rFonts w:eastAsia="Times New Roman" w:cstheme="minorHAnsi"/>
          <w:color w:val="000000" w:themeColor="text1"/>
          <w:shd w:val="clear" w:color="auto" w:fill="FFFFFF"/>
          <w:lang w:eastAsia="en-GB"/>
        </w:rPr>
      </w:pPr>
      <w:r w:rsidRPr="00DA1BCB">
        <w:rPr>
          <w:rFonts w:eastAsia="Times New Roman" w:cstheme="minorHAnsi"/>
          <w:color w:val="000000" w:themeColor="text1"/>
          <w:shd w:val="clear" w:color="auto" w:fill="FFFFFF"/>
          <w:lang w:eastAsia="en-GB"/>
        </w:rPr>
        <w:t>UNCRC. (2026). </w:t>
      </w:r>
      <w:r w:rsidRPr="00DA1BCB">
        <w:rPr>
          <w:rFonts w:eastAsia="Times New Roman" w:cstheme="minorHAnsi"/>
          <w:i/>
          <w:iCs/>
          <w:color w:val="000000" w:themeColor="text1"/>
          <w:lang w:eastAsia="en-GB"/>
        </w:rPr>
        <w:t>UNCRC Article 31</w:t>
      </w:r>
      <w:r w:rsidRPr="00DA1BCB">
        <w:rPr>
          <w:rFonts w:eastAsia="Times New Roman" w:cstheme="minorHAnsi"/>
          <w:color w:val="000000" w:themeColor="text1"/>
          <w:shd w:val="clear" w:color="auto" w:fill="FFFFFF"/>
          <w:lang w:eastAsia="en-GB"/>
        </w:rPr>
        <w:t>. [Online]. Play Wales. Available at: https://www.cypcs.org.uk/rights/uncrc/articles/article-31/ [Accessed 26 February 2026].</w:t>
      </w:r>
    </w:p>
    <w:p w14:paraId="56B2F766" w14:textId="77777777" w:rsidR="00FC4CEE" w:rsidRPr="00F91A22" w:rsidRDefault="00FC4CEE" w:rsidP="00FC4CEE">
      <w:pPr>
        <w:rPr>
          <w:rFonts w:eastAsia="Times New Roman" w:cstheme="minorHAnsi"/>
          <w:color w:val="000000" w:themeColor="text1"/>
          <w:shd w:val="clear" w:color="auto" w:fill="FFFFFF"/>
          <w:lang w:eastAsia="en-GB"/>
        </w:rPr>
      </w:pPr>
    </w:p>
    <w:p w14:paraId="2AC9ED55" w14:textId="77777777" w:rsidR="00FC4CEE" w:rsidRPr="00F91A22" w:rsidRDefault="00FC4CEE" w:rsidP="00FC4CEE">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Wandsworth Early Years. (2024). </w:t>
      </w:r>
      <w:r w:rsidRPr="00F91A22">
        <w:rPr>
          <w:rFonts w:eastAsia="Times New Roman" w:cstheme="minorHAnsi"/>
          <w:i/>
          <w:iCs/>
          <w:color w:val="000000" w:themeColor="text1"/>
          <w:lang w:eastAsia="en-GB"/>
        </w:rPr>
        <w:t>Using Open-Ended Questions with Children</w:t>
      </w:r>
      <w:r w:rsidRPr="00F91A22">
        <w:rPr>
          <w:rFonts w:eastAsia="Times New Roman" w:cstheme="minorHAnsi"/>
          <w:color w:val="000000" w:themeColor="text1"/>
          <w:shd w:val="clear" w:color="auto" w:fill="FFFFFF"/>
          <w:lang w:eastAsia="en-GB"/>
        </w:rPr>
        <w:t>. [Online]. Wandsworth Early Years. Last Updated: 17th May. Available at: https://earlyyears.wandsworth.gov.uk/Article/158560#:~:text=Open%2Dended%20questions%20are%20a%20gre [Accessed 26 February 2026].</w:t>
      </w:r>
    </w:p>
    <w:p w14:paraId="7D34EFFB" w14:textId="77777777" w:rsidR="00FC4CEE" w:rsidRDefault="00FC4CEE"/>
    <w:sectPr w:rsidR="00FC4CE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3B596" w14:textId="77777777" w:rsidR="00AF6A96" w:rsidRDefault="00AF6A96" w:rsidP="00FC4CEE">
      <w:r>
        <w:separator/>
      </w:r>
    </w:p>
  </w:endnote>
  <w:endnote w:type="continuationSeparator" w:id="0">
    <w:p w14:paraId="3EACBB57" w14:textId="77777777" w:rsidR="00AF6A96" w:rsidRDefault="00AF6A96" w:rsidP="00FC4C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E6B5C" w14:textId="77777777" w:rsidR="00AF6A96" w:rsidRDefault="00AF6A96" w:rsidP="00FC4CEE">
      <w:r>
        <w:separator/>
      </w:r>
    </w:p>
  </w:footnote>
  <w:footnote w:type="continuationSeparator" w:id="0">
    <w:p w14:paraId="0B02DBF7" w14:textId="77777777" w:rsidR="00AF6A96" w:rsidRDefault="00AF6A96" w:rsidP="00FC4C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89E33" w14:textId="12ACA77F" w:rsidR="00FC4CEE" w:rsidRDefault="00FC4CEE">
    <w:pPr>
      <w:pStyle w:val="Header"/>
    </w:pPr>
    <w:r>
      <w:t>Student Number: 2501895</w:t>
    </w:r>
  </w:p>
  <w:p w14:paraId="04A27261" w14:textId="526D2A46" w:rsidR="00FC4CEE" w:rsidRDefault="00FC4CEE">
    <w:pPr>
      <w:pStyle w:val="Header"/>
    </w:pPr>
    <w:r>
      <w:t>Word Count: 2,962</w:t>
    </w:r>
  </w:p>
  <w:p w14:paraId="5D6034E2" w14:textId="39BD179C" w:rsidR="00FC4CEE" w:rsidRDefault="00FC4CEE">
    <w:pPr>
      <w:pStyle w:val="Header"/>
    </w:pPr>
    <w:r>
      <w:t>Module Code: ECEY4003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CEE"/>
    <w:rsid w:val="00AF6A96"/>
    <w:rsid w:val="00FC4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DB02C8"/>
  <w15:chartTrackingRefBased/>
  <w15:docId w15:val="{464BA7BF-D45F-9741-AF66-91ADF3C40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C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4CEE"/>
    <w:rPr>
      <w:color w:val="0563C1" w:themeColor="hyperlink"/>
      <w:u w:val="single"/>
    </w:rPr>
  </w:style>
  <w:style w:type="paragraph" w:styleId="Header">
    <w:name w:val="header"/>
    <w:basedOn w:val="Normal"/>
    <w:link w:val="HeaderChar"/>
    <w:uiPriority w:val="99"/>
    <w:unhideWhenUsed/>
    <w:rsid w:val="00FC4CEE"/>
    <w:pPr>
      <w:tabs>
        <w:tab w:val="center" w:pos="4513"/>
        <w:tab w:val="right" w:pos="9026"/>
      </w:tabs>
    </w:pPr>
  </w:style>
  <w:style w:type="character" w:customStyle="1" w:styleId="HeaderChar">
    <w:name w:val="Header Char"/>
    <w:basedOn w:val="DefaultParagraphFont"/>
    <w:link w:val="Header"/>
    <w:uiPriority w:val="99"/>
    <w:rsid w:val="00FC4CEE"/>
  </w:style>
  <w:style w:type="paragraph" w:styleId="Footer">
    <w:name w:val="footer"/>
    <w:basedOn w:val="Normal"/>
    <w:link w:val="FooterChar"/>
    <w:uiPriority w:val="99"/>
    <w:unhideWhenUsed/>
    <w:rsid w:val="00FC4CEE"/>
    <w:pPr>
      <w:tabs>
        <w:tab w:val="center" w:pos="4513"/>
        <w:tab w:val="right" w:pos="9026"/>
      </w:tabs>
    </w:pPr>
  </w:style>
  <w:style w:type="character" w:customStyle="1" w:styleId="FooterChar">
    <w:name w:val="Footer Char"/>
    <w:basedOn w:val="DefaultParagraphFont"/>
    <w:link w:val="Footer"/>
    <w:uiPriority w:val="99"/>
    <w:rsid w:val="00FC4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111/j.1744-6155.2011.00300.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3290</Words>
  <Characters>18756</Characters>
  <Application>Microsoft Office Word</Application>
  <DocSecurity>0</DocSecurity>
  <Lines>156</Lines>
  <Paragraphs>44</Paragraphs>
  <ScaleCrop>false</ScaleCrop>
  <Company/>
  <LinksUpToDate>false</LinksUpToDate>
  <CharactersWithSpaces>22002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1</cp:revision>
  <dcterms:created xsi:type="dcterms:W3CDTF">2026-03-01T12:48:00Z</dcterms:created>
  <dcterms:modified xsi:type="dcterms:W3CDTF">2026-03-01T12:52:00Z</dcterms:modified>
</cp:coreProperties>
</file>