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EBF73" w14:textId="77777777" w:rsidR="00431CA6" w:rsidRDefault="00431CA6" w:rsidP="00B27652">
      <w:pPr>
        <w:pStyle w:val="Heading1"/>
      </w:pPr>
    </w:p>
    <w:p w14:paraId="0FF36596" w14:textId="77777777" w:rsidR="00431CA6" w:rsidRDefault="00431CA6" w:rsidP="00431CA6">
      <w:pPr>
        <w:spacing w:after="0" w:line="480" w:lineRule="auto"/>
        <w:contextualSpacing/>
        <w:jc w:val="center"/>
        <w:rPr>
          <w:rFonts w:ascii="Times New Roman" w:hAnsi="Times New Roman" w:cs="Times New Roman"/>
          <w:b/>
          <w:sz w:val="24"/>
          <w:szCs w:val="24"/>
        </w:rPr>
      </w:pPr>
    </w:p>
    <w:p w14:paraId="078CF7EC" w14:textId="77777777" w:rsidR="00431CA6" w:rsidRDefault="00431CA6" w:rsidP="00431CA6">
      <w:pPr>
        <w:spacing w:after="0" w:line="480" w:lineRule="auto"/>
        <w:contextualSpacing/>
        <w:jc w:val="center"/>
        <w:rPr>
          <w:rFonts w:ascii="Times New Roman" w:hAnsi="Times New Roman" w:cs="Times New Roman"/>
          <w:b/>
          <w:sz w:val="24"/>
          <w:szCs w:val="24"/>
        </w:rPr>
      </w:pPr>
    </w:p>
    <w:p w14:paraId="460FD6B3" w14:textId="77777777" w:rsidR="00431CA6" w:rsidRDefault="00431CA6" w:rsidP="00431CA6">
      <w:pPr>
        <w:spacing w:after="0" w:line="480" w:lineRule="auto"/>
        <w:contextualSpacing/>
        <w:jc w:val="center"/>
        <w:rPr>
          <w:rFonts w:ascii="Times New Roman" w:hAnsi="Times New Roman" w:cs="Times New Roman"/>
          <w:b/>
          <w:sz w:val="24"/>
          <w:szCs w:val="24"/>
        </w:rPr>
      </w:pPr>
    </w:p>
    <w:p w14:paraId="68AC732E" w14:textId="77777777" w:rsidR="00431CA6" w:rsidRDefault="00431CA6" w:rsidP="00431CA6">
      <w:pPr>
        <w:spacing w:after="0" w:line="480" w:lineRule="auto"/>
        <w:contextualSpacing/>
        <w:jc w:val="center"/>
        <w:rPr>
          <w:rFonts w:ascii="Times New Roman" w:hAnsi="Times New Roman" w:cs="Times New Roman"/>
          <w:b/>
          <w:sz w:val="24"/>
          <w:szCs w:val="24"/>
        </w:rPr>
      </w:pPr>
    </w:p>
    <w:p w14:paraId="3ACBA9F7" w14:textId="77777777" w:rsidR="00431CA6" w:rsidRDefault="00431CA6" w:rsidP="00431CA6">
      <w:pPr>
        <w:spacing w:after="0" w:line="480" w:lineRule="auto"/>
        <w:contextualSpacing/>
        <w:jc w:val="center"/>
        <w:rPr>
          <w:rFonts w:ascii="Times New Roman" w:hAnsi="Times New Roman" w:cs="Times New Roman"/>
          <w:b/>
          <w:sz w:val="24"/>
          <w:szCs w:val="24"/>
        </w:rPr>
      </w:pPr>
    </w:p>
    <w:p w14:paraId="3244450B" w14:textId="77777777" w:rsidR="00431CA6" w:rsidRDefault="00431CA6" w:rsidP="00431CA6">
      <w:pPr>
        <w:spacing w:after="0" w:line="480" w:lineRule="auto"/>
        <w:contextualSpacing/>
        <w:jc w:val="center"/>
        <w:rPr>
          <w:rFonts w:ascii="Times New Roman" w:hAnsi="Times New Roman" w:cs="Times New Roman"/>
          <w:b/>
          <w:sz w:val="24"/>
          <w:szCs w:val="24"/>
        </w:rPr>
      </w:pPr>
    </w:p>
    <w:p w14:paraId="00198873" w14:textId="77777777" w:rsidR="00431CA6" w:rsidRPr="00431CA6" w:rsidRDefault="00332DD3" w:rsidP="00431CA6">
      <w:pPr>
        <w:spacing w:after="0" w:line="480" w:lineRule="auto"/>
        <w:contextualSpacing/>
        <w:jc w:val="center"/>
        <w:rPr>
          <w:rFonts w:ascii="Times New Roman" w:hAnsi="Times New Roman" w:cs="Times New Roman"/>
          <w:b/>
          <w:sz w:val="24"/>
          <w:szCs w:val="24"/>
        </w:rPr>
      </w:pPr>
      <w:r w:rsidRPr="00431CA6">
        <w:rPr>
          <w:rFonts w:ascii="Times New Roman" w:hAnsi="Times New Roman" w:cs="Times New Roman"/>
          <w:b/>
          <w:sz w:val="24"/>
          <w:szCs w:val="24"/>
        </w:rPr>
        <w:t xml:space="preserve">Module Title: </w:t>
      </w:r>
      <w:bookmarkStart w:id="0" w:name="_Hlk92124151"/>
      <w:r w:rsidRPr="00431CA6">
        <w:rPr>
          <w:rFonts w:ascii="Times New Roman" w:hAnsi="Times New Roman" w:cs="Times New Roman"/>
          <w:b/>
          <w:sz w:val="24"/>
          <w:szCs w:val="24"/>
        </w:rPr>
        <w:t>Academic and Employability Skills</w:t>
      </w:r>
      <w:bookmarkEnd w:id="0"/>
    </w:p>
    <w:p w14:paraId="6E9441E5" w14:textId="77777777" w:rsidR="00431CA6" w:rsidRDefault="00431CA6" w:rsidP="00431CA6">
      <w:pPr>
        <w:spacing w:after="0" w:line="480" w:lineRule="auto"/>
        <w:contextualSpacing/>
        <w:jc w:val="center"/>
        <w:rPr>
          <w:rFonts w:ascii="Times New Roman" w:hAnsi="Times New Roman" w:cs="Times New Roman"/>
          <w:b/>
          <w:sz w:val="24"/>
          <w:szCs w:val="24"/>
        </w:rPr>
      </w:pPr>
    </w:p>
    <w:p w14:paraId="48B0EF25" w14:textId="77777777" w:rsidR="00431CA6" w:rsidRDefault="00431CA6" w:rsidP="00431CA6">
      <w:pPr>
        <w:spacing w:after="0" w:line="480" w:lineRule="auto"/>
        <w:contextualSpacing/>
        <w:jc w:val="center"/>
        <w:rPr>
          <w:rFonts w:ascii="Times New Roman" w:hAnsi="Times New Roman" w:cs="Times New Roman"/>
          <w:b/>
          <w:sz w:val="24"/>
          <w:szCs w:val="24"/>
        </w:rPr>
      </w:pPr>
    </w:p>
    <w:p w14:paraId="46D336C8" w14:textId="77777777" w:rsidR="00431CA6" w:rsidRDefault="00431CA6" w:rsidP="00431CA6">
      <w:pPr>
        <w:spacing w:after="0" w:line="480" w:lineRule="auto"/>
        <w:contextualSpacing/>
        <w:jc w:val="center"/>
        <w:rPr>
          <w:rFonts w:ascii="Times New Roman" w:hAnsi="Times New Roman" w:cs="Times New Roman"/>
          <w:b/>
          <w:sz w:val="24"/>
          <w:szCs w:val="24"/>
        </w:rPr>
      </w:pPr>
    </w:p>
    <w:p w14:paraId="2FE9766A" w14:textId="77777777" w:rsidR="00431CA6" w:rsidRPr="00431CA6" w:rsidRDefault="00332DD3" w:rsidP="00431CA6">
      <w:pPr>
        <w:spacing w:after="0" w:line="480" w:lineRule="auto"/>
        <w:contextualSpacing/>
        <w:jc w:val="center"/>
        <w:rPr>
          <w:rFonts w:ascii="Times New Roman" w:hAnsi="Times New Roman" w:cs="Times New Roman"/>
          <w:sz w:val="24"/>
          <w:szCs w:val="24"/>
        </w:rPr>
      </w:pPr>
      <w:r w:rsidRPr="00431CA6">
        <w:rPr>
          <w:rFonts w:ascii="Times New Roman" w:hAnsi="Times New Roman" w:cs="Times New Roman"/>
          <w:sz w:val="24"/>
          <w:szCs w:val="24"/>
        </w:rPr>
        <w:t>Module Code: BMSW4001</w:t>
      </w:r>
    </w:p>
    <w:p w14:paraId="2A709F98" w14:textId="77777777" w:rsidR="00431CA6" w:rsidRPr="00431CA6" w:rsidRDefault="00332DD3" w:rsidP="00431CA6">
      <w:pPr>
        <w:spacing w:after="0" w:line="480" w:lineRule="auto"/>
        <w:contextualSpacing/>
        <w:jc w:val="center"/>
        <w:rPr>
          <w:rFonts w:ascii="Times New Roman" w:hAnsi="Times New Roman" w:cs="Times New Roman"/>
          <w:sz w:val="24"/>
          <w:szCs w:val="24"/>
        </w:rPr>
      </w:pPr>
      <w:r w:rsidRPr="00431CA6">
        <w:rPr>
          <w:rFonts w:ascii="Times New Roman" w:hAnsi="Times New Roman" w:cs="Times New Roman"/>
          <w:sz w:val="24"/>
          <w:szCs w:val="24"/>
        </w:rPr>
        <w:t xml:space="preserve">Module Leader: </w:t>
      </w:r>
    </w:p>
    <w:p w14:paraId="3DA750F4" w14:textId="77777777" w:rsidR="00431CA6" w:rsidRPr="00431CA6" w:rsidRDefault="00332DD3" w:rsidP="00431CA6">
      <w:pPr>
        <w:spacing w:after="0" w:line="480" w:lineRule="auto"/>
        <w:contextualSpacing/>
        <w:jc w:val="center"/>
        <w:rPr>
          <w:rFonts w:ascii="Times New Roman" w:hAnsi="Times New Roman" w:cs="Times New Roman"/>
          <w:sz w:val="24"/>
          <w:szCs w:val="24"/>
        </w:rPr>
      </w:pPr>
      <w:r w:rsidRPr="00431CA6">
        <w:rPr>
          <w:rFonts w:ascii="Times New Roman" w:hAnsi="Times New Roman" w:cs="Times New Roman"/>
          <w:sz w:val="24"/>
          <w:szCs w:val="24"/>
        </w:rPr>
        <w:t>Assignment Title: (Task 2)</w:t>
      </w:r>
    </w:p>
    <w:p w14:paraId="56D96619" w14:textId="713E341A" w:rsidR="00431CA6" w:rsidRPr="006F268F" w:rsidRDefault="00332DD3" w:rsidP="00431CA6">
      <w:pPr>
        <w:spacing w:after="0" w:line="480" w:lineRule="auto"/>
        <w:contextualSpacing/>
        <w:jc w:val="center"/>
        <w:rPr>
          <w:rFonts w:ascii="Times New Roman" w:hAnsi="Times New Roman" w:cs="Times New Roman"/>
          <w:sz w:val="24"/>
          <w:szCs w:val="24"/>
          <w:lang w:val="en-GB"/>
        </w:rPr>
      </w:pPr>
      <w:r w:rsidRPr="00431CA6">
        <w:rPr>
          <w:rFonts w:ascii="Times New Roman" w:hAnsi="Times New Roman" w:cs="Times New Roman"/>
          <w:sz w:val="24"/>
          <w:szCs w:val="24"/>
        </w:rPr>
        <w:t xml:space="preserve">Student Name: </w:t>
      </w:r>
      <w:proofErr w:type="spellStart"/>
      <w:r w:rsidR="006F268F">
        <w:rPr>
          <w:rFonts w:ascii="Times New Roman" w:hAnsi="Times New Roman" w:cs="Times New Roman"/>
          <w:sz w:val="24"/>
          <w:szCs w:val="24"/>
          <w:lang w:val="en-GB"/>
        </w:rPr>
        <w:t>Maha</w:t>
      </w:r>
      <w:proofErr w:type="spellEnd"/>
      <w:r w:rsidR="006F268F">
        <w:rPr>
          <w:rFonts w:ascii="Times New Roman" w:hAnsi="Times New Roman" w:cs="Times New Roman"/>
          <w:sz w:val="24"/>
          <w:szCs w:val="24"/>
          <w:lang w:val="en-GB"/>
        </w:rPr>
        <w:t xml:space="preserve"> </w:t>
      </w:r>
      <w:proofErr w:type="spellStart"/>
      <w:r w:rsidR="006F268F">
        <w:rPr>
          <w:rFonts w:ascii="Times New Roman" w:hAnsi="Times New Roman" w:cs="Times New Roman"/>
          <w:sz w:val="24"/>
          <w:szCs w:val="24"/>
          <w:lang w:val="en-GB"/>
        </w:rPr>
        <w:t>Daoto</w:t>
      </w:r>
      <w:proofErr w:type="spellEnd"/>
    </w:p>
    <w:p w14:paraId="6D2EB588" w14:textId="77777777" w:rsidR="00431CA6" w:rsidRPr="00431CA6" w:rsidRDefault="00332DD3" w:rsidP="00431CA6">
      <w:pPr>
        <w:spacing w:after="0" w:line="480" w:lineRule="auto"/>
        <w:contextualSpacing/>
        <w:jc w:val="center"/>
        <w:rPr>
          <w:rFonts w:ascii="Times New Roman" w:hAnsi="Times New Roman" w:cs="Times New Roman"/>
          <w:sz w:val="24"/>
          <w:szCs w:val="24"/>
        </w:rPr>
      </w:pPr>
      <w:r w:rsidRPr="00431CA6">
        <w:rPr>
          <w:rFonts w:ascii="Times New Roman" w:hAnsi="Times New Roman" w:cs="Times New Roman"/>
          <w:sz w:val="24"/>
          <w:szCs w:val="24"/>
        </w:rPr>
        <w:t>Student ID:</w:t>
      </w:r>
    </w:p>
    <w:p w14:paraId="33F70430" w14:textId="77777777" w:rsidR="00431CA6" w:rsidRPr="00431CA6" w:rsidRDefault="00431CA6" w:rsidP="00431CA6">
      <w:pPr>
        <w:spacing w:after="0" w:line="480" w:lineRule="auto"/>
        <w:contextualSpacing/>
        <w:jc w:val="both"/>
        <w:rPr>
          <w:rFonts w:ascii="Times New Roman" w:hAnsi="Times New Roman" w:cs="Times New Roman"/>
          <w:sz w:val="24"/>
          <w:szCs w:val="24"/>
        </w:rPr>
      </w:pPr>
    </w:p>
    <w:p w14:paraId="266880ED" w14:textId="77777777" w:rsidR="00431CA6" w:rsidRDefault="00431CA6" w:rsidP="00431CA6">
      <w:pPr>
        <w:spacing w:after="0" w:line="480" w:lineRule="auto"/>
        <w:contextualSpacing/>
        <w:jc w:val="both"/>
        <w:rPr>
          <w:rFonts w:ascii="Times New Roman" w:hAnsi="Times New Roman" w:cs="Times New Roman"/>
          <w:b/>
          <w:sz w:val="24"/>
          <w:szCs w:val="24"/>
        </w:rPr>
      </w:pPr>
    </w:p>
    <w:p w14:paraId="1226D59F" w14:textId="77777777" w:rsidR="00431CA6" w:rsidRDefault="00431CA6" w:rsidP="00431CA6">
      <w:pPr>
        <w:spacing w:after="0" w:line="480" w:lineRule="auto"/>
        <w:contextualSpacing/>
        <w:jc w:val="both"/>
        <w:rPr>
          <w:rFonts w:ascii="Times New Roman" w:hAnsi="Times New Roman" w:cs="Times New Roman"/>
          <w:b/>
          <w:sz w:val="24"/>
          <w:szCs w:val="24"/>
        </w:rPr>
      </w:pPr>
    </w:p>
    <w:p w14:paraId="76DE0036" w14:textId="77777777" w:rsidR="00431CA6" w:rsidRDefault="00431CA6" w:rsidP="00431CA6">
      <w:pPr>
        <w:spacing w:after="0" w:line="480" w:lineRule="auto"/>
        <w:contextualSpacing/>
        <w:jc w:val="both"/>
        <w:rPr>
          <w:rFonts w:ascii="Times New Roman" w:hAnsi="Times New Roman" w:cs="Times New Roman"/>
          <w:b/>
          <w:sz w:val="24"/>
          <w:szCs w:val="24"/>
        </w:rPr>
      </w:pPr>
    </w:p>
    <w:p w14:paraId="3DBB1473" w14:textId="77777777" w:rsidR="00431CA6" w:rsidRDefault="00431CA6" w:rsidP="00431CA6">
      <w:pPr>
        <w:spacing w:after="0" w:line="480" w:lineRule="auto"/>
        <w:contextualSpacing/>
        <w:jc w:val="both"/>
        <w:rPr>
          <w:rFonts w:ascii="Times New Roman" w:hAnsi="Times New Roman" w:cs="Times New Roman"/>
          <w:b/>
          <w:sz w:val="24"/>
          <w:szCs w:val="24"/>
        </w:rPr>
      </w:pPr>
    </w:p>
    <w:p w14:paraId="4D0C4AEE" w14:textId="77777777" w:rsidR="00431CA6" w:rsidRDefault="00431CA6" w:rsidP="00431CA6">
      <w:pPr>
        <w:spacing w:after="0" w:line="480" w:lineRule="auto"/>
        <w:contextualSpacing/>
        <w:jc w:val="both"/>
        <w:rPr>
          <w:rFonts w:ascii="Times New Roman" w:hAnsi="Times New Roman" w:cs="Times New Roman"/>
          <w:b/>
          <w:sz w:val="24"/>
          <w:szCs w:val="24"/>
        </w:rPr>
      </w:pPr>
    </w:p>
    <w:p w14:paraId="6BA36D6A" w14:textId="77777777" w:rsidR="00431CA6" w:rsidRDefault="00431CA6" w:rsidP="00431CA6">
      <w:pPr>
        <w:spacing w:after="0" w:line="480" w:lineRule="auto"/>
        <w:contextualSpacing/>
        <w:jc w:val="both"/>
        <w:rPr>
          <w:rFonts w:ascii="Times New Roman" w:hAnsi="Times New Roman" w:cs="Times New Roman"/>
          <w:b/>
          <w:sz w:val="24"/>
          <w:szCs w:val="24"/>
        </w:rPr>
      </w:pPr>
    </w:p>
    <w:p w14:paraId="77A97D5B" w14:textId="77777777" w:rsidR="00431CA6" w:rsidRDefault="00431CA6" w:rsidP="00431CA6">
      <w:pPr>
        <w:spacing w:after="0" w:line="480" w:lineRule="auto"/>
        <w:contextualSpacing/>
        <w:jc w:val="both"/>
        <w:rPr>
          <w:rFonts w:ascii="Times New Roman" w:hAnsi="Times New Roman" w:cs="Times New Roman"/>
          <w:b/>
          <w:sz w:val="24"/>
          <w:szCs w:val="24"/>
        </w:rPr>
      </w:pPr>
    </w:p>
    <w:p w14:paraId="3C3B0405" w14:textId="77777777" w:rsidR="00431CA6" w:rsidRDefault="00431CA6" w:rsidP="00431CA6">
      <w:pPr>
        <w:spacing w:after="0" w:line="480" w:lineRule="auto"/>
        <w:contextualSpacing/>
        <w:jc w:val="both"/>
        <w:rPr>
          <w:rFonts w:ascii="Times New Roman" w:hAnsi="Times New Roman" w:cs="Times New Roman"/>
          <w:b/>
          <w:sz w:val="24"/>
          <w:szCs w:val="24"/>
        </w:rPr>
      </w:pPr>
    </w:p>
    <w:p w14:paraId="3F160650" w14:textId="77777777" w:rsidR="00431CA6" w:rsidRDefault="00332DD3" w:rsidP="00431CA6">
      <w:pPr>
        <w:spacing w:after="0" w:line="480" w:lineRule="auto"/>
        <w:contextualSpacing/>
        <w:jc w:val="center"/>
        <w:rPr>
          <w:rFonts w:ascii="Times New Roman" w:hAnsi="Times New Roman" w:cs="Times New Roman"/>
          <w:b/>
          <w:sz w:val="24"/>
          <w:szCs w:val="24"/>
        </w:rPr>
      </w:pPr>
      <w:r w:rsidRPr="00431CA6">
        <w:rPr>
          <w:rFonts w:ascii="Times New Roman" w:hAnsi="Times New Roman" w:cs="Times New Roman"/>
          <w:b/>
          <w:sz w:val="24"/>
          <w:szCs w:val="24"/>
        </w:rPr>
        <w:lastRenderedPageBreak/>
        <w:t>Academic and Employability Skills</w:t>
      </w:r>
    </w:p>
    <w:p w14:paraId="4AFD0460" w14:textId="77777777" w:rsidR="001573D7" w:rsidRPr="001573D7" w:rsidRDefault="00332DD3" w:rsidP="00431CA6">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Introduction</w:t>
      </w:r>
    </w:p>
    <w:p w14:paraId="679DC47E"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This academic </w:t>
      </w:r>
      <w:r w:rsidRPr="001573D7">
        <w:rPr>
          <w:rFonts w:ascii="Times New Roman" w:hAnsi="Times New Roman" w:cs="Times New Roman"/>
          <w:sz w:val="24"/>
          <w:szCs w:val="24"/>
          <w:lang w:val="en-US"/>
        </w:rPr>
        <w:t>essay</w:t>
      </w:r>
      <w:r w:rsidRPr="001573D7">
        <w:rPr>
          <w:rFonts w:ascii="Times New Roman" w:hAnsi="Times New Roman" w:cs="Times New Roman"/>
          <w:sz w:val="24"/>
          <w:szCs w:val="24"/>
        </w:rPr>
        <w:t>'s objective is to provide a high-level overview of the module's influence on our training. While this is true for all students, it is particularly true for someone in my age bracket since I am a young guy in his twenties who may benefit from analyzing my academic and professional abilities. It's beneficial to consider the means through which we could obtain meaning in our educational, professional, and personal activities, as well as in our future personal lives. This part will summarize my current job abilities and how I've applied them. Additionally, I want to explain how these qualities have influenced my present and future actions and choices in the areas of education, career, and overall well-being, as well as all three. The project's timeline is three months behind schedule.</w:t>
      </w:r>
    </w:p>
    <w:p w14:paraId="2A880C03"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The most crucial part will go through great detail through academic writing, time management, and meditation methods. The Gibbs reflective model is more accurate than other accessible models in reflecting my ideas and views of what I've witnessed, and it can be used in a more realistic atmosphere than the others. I'll use this information to inspire myself, and better grasp how I've learned relates to my growth. The term "employment skills" refers to a person's experiences and abilities that may be used to keep their individuality while also being useful in various situations. A person's job skills may be used in several situations. Talents are personal and intellectual qualities that enable us to interact more successfully with our superiors and, as a consequence, accomplish our responsibilities more efficiently. In his 1988 book Learning by Doing: A Guide to Teaching and Learning Practices, Oxford University professor Graham Gibbs articulated his cycle of contemplation for the first time. In terms of the type of their work as a consequence of reflective thinking and learning, the practitioner will get an understanding of how the system or its behavior may be reinforced in such a situation. a summary of the events that occurred After the accident, my emotions were all over the place.</w:t>
      </w:r>
    </w:p>
    <w:p w14:paraId="40419AB1" w14:textId="77777777" w:rsidR="001573D7" w:rsidRPr="001573D7" w:rsidRDefault="00332DD3" w:rsidP="001573D7">
      <w:pPr>
        <w:spacing w:after="0" w:line="480" w:lineRule="auto"/>
        <w:contextualSpacing/>
        <w:jc w:val="both"/>
        <w:rPr>
          <w:rFonts w:ascii="Times New Roman" w:hAnsi="Times New Roman" w:cs="Times New Roman"/>
          <w:sz w:val="24"/>
          <w:szCs w:val="24"/>
        </w:rPr>
      </w:pPr>
      <w:r w:rsidRPr="001573D7">
        <w:rPr>
          <w:rFonts w:ascii="Times New Roman" w:hAnsi="Times New Roman" w:cs="Times New Roman"/>
          <w:sz w:val="24"/>
          <w:szCs w:val="24"/>
        </w:rPr>
        <w:lastRenderedPageBreak/>
        <w:t>I will do the review below:</w:t>
      </w:r>
    </w:p>
    <w:p w14:paraId="2FD85CB5"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In Part 1: Description of the event and feeling during the event.</w:t>
      </w:r>
    </w:p>
    <w:p w14:paraId="1A694E85"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In Part 2: Evaluate your case analysis and overall and personal conclusion. </w:t>
      </w:r>
    </w:p>
    <w:p w14:paraId="54F5F1B9"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In Part 3: Action Plan. </w:t>
      </w:r>
    </w:p>
    <w:p w14:paraId="7A4722E4" w14:textId="77777777" w:rsidR="001573D7" w:rsidRPr="001573D7" w:rsidRDefault="00332DD3" w:rsidP="001573D7">
      <w:pPr>
        <w:spacing w:after="0" w:line="480" w:lineRule="auto"/>
        <w:contextualSpacing/>
        <w:jc w:val="center"/>
        <w:rPr>
          <w:rFonts w:ascii="Times New Roman" w:hAnsi="Times New Roman" w:cs="Times New Roman"/>
          <w:b/>
          <w:sz w:val="24"/>
          <w:szCs w:val="24"/>
        </w:rPr>
      </w:pPr>
      <w:r w:rsidRPr="001573D7">
        <w:rPr>
          <w:rFonts w:ascii="Times New Roman" w:hAnsi="Times New Roman" w:cs="Times New Roman"/>
          <w:b/>
          <w:sz w:val="24"/>
          <w:szCs w:val="24"/>
        </w:rPr>
        <w:t>Reflection</w:t>
      </w:r>
    </w:p>
    <w:p w14:paraId="1612791F"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I'll discuss my personal experience of academic skill development and how the Gibbs reflection paradigm reflects how this experience has influenced my view and future practice. I strengthened my writing talents and developed my academic style by publishing critical articles, essays, and other academic media. Now that I'm a college student, I have the freedom to do my research and write papers whenever I choose. This is one of the most beneficial seminars I've ever done to hon my whole voice for writing and public speaking.</w:t>
      </w:r>
    </w:p>
    <w:p w14:paraId="5DBD4A24"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Description and Evaluation of Reflection</w:t>
      </w:r>
    </w:p>
    <w:p w14:paraId="41D2238A"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Students have mastered one of the most critical employability skills this semester: the ability to reflect on one's work. We're constantly debating and discussing the same issues: what worked well? I'm not sure what went wrong. Everything that has not yet transpired is a problem in and of itself. Who or what is causing the problem, and how can it be resolved? What am I referring to in this case, and how do I know? Allowing ourselves room and time to dwell on an incident or a particularly challenging day may allow us to work through our emotions and thoughts about it. For Anne, constructivist metacognitive education is tied to Piaget's idea of juvenile self-centeredness in the context of logical thinking. That goal references Brown's work and instructs the reader to engage in random mental activity. When confronted with a difficult or frightening situation, the capacity to think clearly and logically has proven highly useful. </w:t>
      </w:r>
    </w:p>
    <w:p w14:paraId="35AA4484" w14:textId="77777777" w:rsidR="001573D7" w:rsidRPr="001573D7" w:rsidRDefault="00332DD3" w:rsidP="001573D7">
      <w:pPr>
        <w:spacing w:after="0" w:line="480" w:lineRule="auto"/>
        <w:contextualSpacing/>
        <w:jc w:val="both"/>
        <w:rPr>
          <w:rFonts w:ascii="Times New Roman" w:hAnsi="Times New Roman" w:cs="Times New Roman"/>
          <w:b/>
          <w:sz w:val="24"/>
          <w:szCs w:val="24"/>
          <w:lang w:val="en-US"/>
        </w:rPr>
      </w:pPr>
      <w:r w:rsidRPr="001573D7">
        <w:rPr>
          <w:rFonts w:ascii="Times New Roman" w:hAnsi="Times New Roman" w:cs="Times New Roman"/>
          <w:b/>
          <w:sz w:val="24"/>
          <w:szCs w:val="24"/>
        </w:rPr>
        <w:t>Analysis of Reflection</w:t>
      </w:r>
    </w:p>
    <w:p w14:paraId="60135E8F"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Critical thinking and clear writing are two of the most valuable abilities I've developed throughout my life and profession. When I inquire about the systems and environment in which </w:t>
      </w:r>
      <w:r w:rsidRPr="001573D7">
        <w:rPr>
          <w:rFonts w:ascii="Times New Roman" w:hAnsi="Times New Roman" w:cs="Times New Roman"/>
          <w:sz w:val="24"/>
          <w:szCs w:val="24"/>
        </w:rPr>
        <w:lastRenderedPageBreak/>
        <w:t>I operate, he goes to great length regarding the implications for my job and the outcomes I create. I must rapidly acquire the critical and reflective thinking qualities essential for success in my future job.</w:t>
      </w:r>
    </w:p>
    <w:p w14:paraId="621F6F49"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According to psychological and pedagogical research and educational practice, children's critical thinking skills should be a significant component of the current instruction. However, there are several reasons to maintain this approach, including developing logical reasoning, promoting intellectual growth and capacities, and developing critical thinking skills.</w:t>
      </w:r>
    </w:p>
    <w:p w14:paraId="6AFD2D77"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These are the articles that, despite appearances, are difficult to finish. You do not have to be a literary genius to write a reflective essay if you follow a few easy criteria. Reflective essays and journals have a lot in common in that they both need a high degree of consistency and a solid structure that is understandable to all readers. As a result, a retrospective essay is similar to any other essay.</w:t>
      </w:r>
    </w:p>
    <w:p w14:paraId="0DC6284B"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The word "reflective" was used to describe an essay in which the author focuses primarily on their personal experiences. As stated earlier, written reflections allow the author to relate a particular life experience while simultaneously engaging in critical thinking of how they have developed and grown due to the connection. Reflective writing may take many forms but is most often seen in a study notebook or a daily activity diary. Diaries are used to demonstrate how a poet's sentiments have altered over time due to their poetry.</w:t>
      </w:r>
    </w:p>
    <w:p w14:paraId="060474AE"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General and specific conclusions and Personal action plans of Reflection</w:t>
      </w:r>
    </w:p>
    <w:p w14:paraId="73FCE9DC" w14:textId="77777777" w:rsidR="001573D7" w:rsidRPr="001573D7" w:rsidRDefault="001573D7" w:rsidP="001573D7">
      <w:pPr>
        <w:spacing w:after="0" w:line="480" w:lineRule="auto"/>
        <w:ind w:firstLine="720"/>
        <w:contextualSpacing/>
        <w:jc w:val="both"/>
        <w:rPr>
          <w:rFonts w:ascii="Times New Roman" w:hAnsi="Times New Roman" w:cs="Times New Roman"/>
          <w:sz w:val="24"/>
          <w:szCs w:val="24"/>
        </w:rPr>
      </w:pPr>
    </w:p>
    <w:p w14:paraId="48A49508"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While in the classroom and listening to job-skills lectures, I realized how to comprehend the larger picture and result in more innovative ideas. Eventually, I learned that concentrated thinking tends to clear the mind of internal clutter and distraction, enabling it to operate at its maximum capacity. To generate new ideas and progress on the project, I needed to expand my creative horizons. </w:t>
      </w:r>
    </w:p>
    <w:p w14:paraId="6CF63456" w14:textId="77777777" w:rsidR="001573D7" w:rsidRPr="001573D7" w:rsidRDefault="00332DD3" w:rsidP="001573D7">
      <w:pPr>
        <w:spacing w:after="0" w:line="480" w:lineRule="auto"/>
        <w:ind w:firstLine="720"/>
        <w:contextualSpacing/>
        <w:jc w:val="center"/>
        <w:rPr>
          <w:rFonts w:ascii="Times New Roman" w:hAnsi="Times New Roman" w:cs="Times New Roman"/>
          <w:b/>
          <w:sz w:val="24"/>
          <w:szCs w:val="24"/>
        </w:rPr>
      </w:pPr>
      <w:r w:rsidRPr="001573D7">
        <w:rPr>
          <w:rFonts w:ascii="Times New Roman" w:hAnsi="Times New Roman" w:cs="Times New Roman"/>
          <w:sz w:val="24"/>
          <w:szCs w:val="24"/>
        </w:rPr>
        <w:lastRenderedPageBreak/>
        <w:tab/>
      </w:r>
      <w:r w:rsidRPr="001573D7">
        <w:rPr>
          <w:rFonts w:ascii="Times New Roman" w:hAnsi="Times New Roman" w:cs="Times New Roman"/>
          <w:b/>
          <w:sz w:val="24"/>
          <w:szCs w:val="24"/>
        </w:rPr>
        <w:t>Public speaking and giving presentations</w:t>
      </w:r>
    </w:p>
    <w:p w14:paraId="3C42BEAE"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Giving presentations to co-workers is a critical component of connecting with co-workers and creating professional connections in the workplace. When you meet with customers or co-workers, you'll probably update them on the latest company achievements or introduce them to a new product or service.</w:t>
      </w:r>
    </w:p>
    <w:p w14:paraId="6799E15D"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Description and Evaluation of Public speaking and giving presentations</w:t>
      </w:r>
    </w:p>
    <w:p w14:paraId="1567A9EB"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A conference speaker may function as a source of information and express the company's beliefs and character. Workers will confront significant barriers in their attempts to overcome their anxiety due to their fear of public speaking. According to the World Health Organization, public appearance anxiety affects 75% of the worldwide population (Lucas and Stob, 2020). Self-conscious employees who lack confidence in their public speaking talents will have low morale and not advance in their professions.</w:t>
      </w:r>
    </w:p>
    <w:p w14:paraId="44EE5CE2"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Analysis of Public speaking and giving presentations</w:t>
      </w:r>
    </w:p>
    <w:p w14:paraId="076E3301"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It's natural for individuals to have anxiety before presenting a presentation. Under pressure, my breathing gets quicker and more intense, and I lose control of my words. By focussing on my breathing, I'd want to resolve this issue. For the great majority of public presenters, changing the speed of a presentation is challenging. I'm interested in your opinions on the best course of action in light of this situation. When I'm stressed, I tend not to take deep breaths, resulting in rushed speaking. When a speaker's facial expressions and body posture are acceptable, the audience is more receptive to their point of view. Additionally, I have a lot of unreasonable expectations about delivering a presentation, which I am just beginning to do. To grow professionally and personally, I must see my presentations as a combination of good and bad experiences (Billingham, 2003).</w:t>
      </w:r>
    </w:p>
    <w:p w14:paraId="29A76C3B"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If I follow these guidelines, I'll increase my public speaking abilities. As I go through my school and career, I want to be engaged in projects that allow me to put these talents to </w:t>
      </w:r>
      <w:r w:rsidRPr="001573D7">
        <w:rPr>
          <w:rFonts w:ascii="Times New Roman" w:hAnsi="Times New Roman" w:cs="Times New Roman"/>
          <w:sz w:val="24"/>
          <w:szCs w:val="24"/>
        </w:rPr>
        <w:lastRenderedPageBreak/>
        <w:t>work, engage an audience, and respond to tough questions. Additional presentation ideas and advice on how to arrange PowerPoint slides may be beneficial in the future. I'd want to improve my comprehension of the language and communication skills required to develop my views, explain current events, and sketch complicated models.</w:t>
      </w:r>
    </w:p>
    <w:p w14:paraId="16EFD61F"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General and specific conclusions and Personal action plans of Public speaking and giving presentations</w:t>
      </w:r>
    </w:p>
    <w:p w14:paraId="09F63011"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Speaking in front of a big group demands much practice and commitment. Additionally, a high degree of devotion is required. Even the most naturally composed speakers must practice and prepare for a lecture or public speaking engagement. No matter how many times I rehearse, my worry over the performance builds, increasing the possibility of disappointment. I will not be requested to submit any more work in the weeks coming up to my presentation to ensure its success. Until I am sure that I can express myself without fear of being evaluated, I will create as many duplicates of my words and actions as required. As a result of this experience, you will acquire an aversion to reading anything printed on paper or electronically recorded. It is possible to use keyword support cards to augment my writing. </w:t>
      </w:r>
    </w:p>
    <w:p w14:paraId="449EB69F" w14:textId="77777777" w:rsidR="001573D7" w:rsidRPr="001573D7" w:rsidRDefault="00332DD3" w:rsidP="001573D7">
      <w:pPr>
        <w:spacing w:after="0" w:line="480" w:lineRule="auto"/>
        <w:contextualSpacing/>
        <w:jc w:val="center"/>
        <w:rPr>
          <w:rFonts w:ascii="Times New Roman" w:hAnsi="Times New Roman" w:cs="Times New Roman"/>
          <w:b/>
          <w:sz w:val="24"/>
          <w:szCs w:val="24"/>
        </w:rPr>
      </w:pPr>
      <w:r w:rsidRPr="001573D7">
        <w:rPr>
          <w:rFonts w:ascii="Times New Roman" w:hAnsi="Times New Roman" w:cs="Times New Roman"/>
          <w:b/>
          <w:sz w:val="24"/>
          <w:szCs w:val="24"/>
        </w:rPr>
        <w:t>Analytical and critical thinking skills</w:t>
      </w:r>
    </w:p>
    <w:p w14:paraId="17D0BF51"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I and others interchangeably use "logic" and "reasoning" to refer to logical and analytical reasoning. If that is the case, the phrase "creative thinking" has undoubtedly been bandied around quite a bit lately. These two words are often used interchangeably in a sentence. While they share specific characteristics, they also have substantial differences.</w:t>
      </w:r>
    </w:p>
    <w:p w14:paraId="3E4839D4"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Description and Evaluation of Analytical and critical thinking skills</w:t>
      </w:r>
    </w:p>
    <w:p w14:paraId="73DF44B7"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According to some, analytical thinking is a necessary skill for all employees, regardless of level or position within a company. There is a significant worry as a consequence of the fact that some individuals either do not understand or misunderstand the notion. As is the case with new concepts, every business's success is contingent upon having someone on its staff which </w:t>
      </w:r>
      <w:r w:rsidRPr="001573D7">
        <w:rPr>
          <w:rFonts w:ascii="Times New Roman" w:hAnsi="Times New Roman" w:cs="Times New Roman"/>
          <w:sz w:val="24"/>
          <w:szCs w:val="24"/>
        </w:rPr>
        <w:lastRenderedPageBreak/>
        <w:t>is incredibly imaginative in their approach. "Creative thinking" may once again be misconstrued, yet it is achievable.</w:t>
      </w:r>
    </w:p>
    <w:p w14:paraId="575C245A"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When discussing critical thinking, we refer to the capacity to reason clearly and rationally while also discovering connections between apparently different concepts. Logical thinking originated with Plato and Socrates and has sparked considerable debate and conflict. As seen by the capacity to tell the difference between actual and false news pieces, it remains a contentious subject. In any environment, the willingness to engage in analytical and independent reasoning to solve problems is referred to as critical thinking.</w:t>
      </w:r>
    </w:p>
    <w:p w14:paraId="04EB84EA"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Analysis of Analytical and critical thinking skills</w:t>
      </w:r>
    </w:p>
    <w:p w14:paraId="5A56ADEB"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Deconstruction is a phrase used in analytical thinking to refer to the process of distilling massive volumes of data into more understandable notions. It is required to delete information systematically to draw conclusions or construct evidence-based theories. Independent judgments are only possible after a comprehensive analysis of all relevant data and perspectives. Reasoning processes reach these results. This is circular, which means that to establish an opinion, strengthen one's faith, or determine if something is factual or logical, one must analyze evidence. A novel approach to problem-solving is to consider integrating something new into one's life. It is necessary to have information and sensory impressions and the capacity to extrapolate and critically assess what does not occur.</w:t>
      </w:r>
    </w:p>
    <w:p w14:paraId="4A5AF0F4"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General and specific conclusions and Personal action plans of Analytical and critical thinking skills</w:t>
      </w:r>
    </w:p>
    <w:p w14:paraId="1DDA9FA7"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Remembering: students using their memories to develop, regurgitate, or reconstruct meanings of material or facts or lists; when students utilize their memories to recollect information or receive information Whenever pupils utilize their memories to obtain, recall, or receive information from their memories Understanding: Creating a context, whether textual or graphical, from a range of various sorts of functions is essential to understanding.</w:t>
      </w:r>
    </w:p>
    <w:p w14:paraId="672B896E"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lastRenderedPageBreak/>
        <w:t>Application: Through several approaches, including templates, examples, interviews, and simulations, examples of learners who have utilized research information on them have been given. Students have benefited from research-based information on various topics via templates, demonstrations, interviews, and simulations.</w:t>
      </w:r>
    </w:p>
    <w:p w14:paraId="0C4430E8"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Analysis: The capacity to conduct mental processes such as identification, grouping, and attribution demonstrate a person's ability to distinguish between components. Formalizing a component breakdown of material or ideas to analyze their contributions or links to one another and a more prominent structure or goal is referred to as formalization. </w:t>
      </w:r>
    </w:p>
    <w:p w14:paraId="2F14F5FF" w14:textId="77777777" w:rsidR="001573D7" w:rsidRPr="001573D7" w:rsidRDefault="00332DD3" w:rsidP="001573D7">
      <w:pPr>
        <w:spacing w:after="0" w:line="480" w:lineRule="auto"/>
        <w:contextualSpacing/>
        <w:jc w:val="both"/>
        <w:rPr>
          <w:rFonts w:ascii="Times New Roman" w:hAnsi="Times New Roman" w:cs="Times New Roman"/>
          <w:b/>
          <w:sz w:val="24"/>
          <w:szCs w:val="24"/>
        </w:rPr>
      </w:pPr>
      <w:r w:rsidRPr="001573D7">
        <w:rPr>
          <w:rFonts w:ascii="Times New Roman" w:hAnsi="Times New Roman" w:cs="Times New Roman"/>
          <w:b/>
          <w:sz w:val="24"/>
          <w:szCs w:val="24"/>
        </w:rPr>
        <w:t>Conclusion</w:t>
      </w:r>
    </w:p>
    <w:p w14:paraId="522DF693"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This presentation will emphasize the importance of academic writing, effective time management, and mindfulness meditation. The purpose of this academic paper is to provide an overview of how our training affects the module under discussion. This project will offer an overview of the many occupational skills I've acquired and my interpretation of those abilities over the current trimester. Graham Gibbs, an Oxford University professor, outlined this cycle of contemplation in 1988 in his book Learning by Practice: A Guide to Teaching and Learning in the Workplace: A Handbook for Teachers. Another of his books is Learning by Practice: A Guide to Teaching and Learning in the Workplace. Gibbs' cycle of thinking and Reflection is well-known.</w:t>
      </w:r>
    </w:p>
    <w:p w14:paraId="4859556C" w14:textId="77777777" w:rsidR="001573D7" w:rsidRPr="001573D7" w:rsidRDefault="00332DD3" w:rsidP="001573D7">
      <w:pPr>
        <w:spacing w:after="0" w:line="480" w:lineRule="auto"/>
        <w:ind w:firstLine="720"/>
        <w:contextualSpacing/>
        <w:jc w:val="both"/>
        <w:rPr>
          <w:rFonts w:ascii="Times New Roman" w:hAnsi="Times New Roman" w:cs="Times New Roman"/>
          <w:sz w:val="24"/>
          <w:szCs w:val="24"/>
        </w:rPr>
      </w:pPr>
      <w:r w:rsidRPr="001573D7">
        <w:rPr>
          <w:rFonts w:ascii="Times New Roman" w:hAnsi="Times New Roman" w:cs="Times New Roman"/>
          <w:sz w:val="24"/>
          <w:szCs w:val="24"/>
        </w:rPr>
        <w:t xml:space="preserve">Reflective writing may take many forms but is most often seen in a study notebook or a daily activity diary. I gained the capacity to see the broad picture and think critically in various settings via academic and work-skills training. Learning to think more clearly has taught me that doing so liberates the mind from internal clutter and distraction, allowing it to operate at its optimal capacity. It's natural for individuals to have anxiety before presenting a presentation. When confronted with an emotionally charged situation, one of the first things is that my breathing gets relatively rapid. As a temporary fix, I'd want to focus just on my breathing. The </w:t>
      </w:r>
      <w:r w:rsidRPr="001573D7">
        <w:rPr>
          <w:rFonts w:ascii="Times New Roman" w:hAnsi="Times New Roman" w:cs="Times New Roman"/>
          <w:sz w:val="24"/>
          <w:szCs w:val="24"/>
        </w:rPr>
        <w:lastRenderedPageBreak/>
        <w:t xml:space="preserve">capacity to reason logically and recognize the conceptual relationship between two or more ideas is criterion-based reasoning. Initially addressed among early Greek intellectuals such as Plato and Socrates, it sparked much controversy and debate. Reasonable conclusions may only be formed after an exhaustive examination of all relevant facts and perspectives. </w:t>
      </w:r>
    </w:p>
    <w:p w14:paraId="262ED8EB" w14:textId="77777777" w:rsidR="001573D7" w:rsidRPr="001573D7" w:rsidRDefault="001573D7" w:rsidP="001573D7">
      <w:pPr>
        <w:spacing w:after="0" w:line="480" w:lineRule="auto"/>
        <w:ind w:firstLine="720"/>
        <w:contextualSpacing/>
        <w:jc w:val="both"/>
        <w:rPr>
          <w:rFonts w:ascii="Times New Roman" w:hAnsi="Times New Roman" w:cs="Times New Roman"/>
          <w:sz w:val="24"/>
          <w:szCs w:val="24"/>
        </w:rPr>
      </w:pPr>
    </w:p>
    <w:p w14:paraId="6E446A30" w14:textId="77777777" w:rsidR="001573D7" w:rsidRPr="001573D7" w:rsidRDefault="001573D7" w:rsidP="001573D7">
      <w:pPr>
        <w:spacing w:after="0" w:line="480" w:lineRule="auto"/>
        <w:ind w:firstLine="720"/>
        <w:contextualSpacing/>
        <w:jc w:val="both"/>
        <w:rPr>
          <w:rFonts w:ascii="Times New Roman" w:hAnsi="Times New Roman" w:cs="Times New Roman"/>
          <w:sz w:val="24"/>
          <w:szCs w:val="24"/>
        </w:rPr>
      </w:pPr>
    </w:p>
    <w:p w14:paraId="51AAA3D4"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1A5BE78A"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52CE65B5"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5320C305"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2AE670BB"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657F8E92" w14:textId="77777777" w:rsidR="008E0B0E" w:rsidRDefault="008E0B0E" w:rsidP="001573D7">
      <w:pPr>
        <w:spacing w:after="0" w:line="480" w:lineRule="auto"/>
        <w:ind w:firstLine="720"/>
        <w:contextualSpacing/>
        <w:jc w:val="both"/>
        <w:rPr>
          <w:rFonts w:ascii="Times New Roman" w:hAnsi="Times New Roman" w:cs="Times New Roman"/>
          <w:sz w:val="24"/>
          <w:szCs w:val="24"/>
        </w:rPr>
      </w:pPr>
    </w:p>
    <w:p w14:paraId="698D72AB" w14:textId="77777777" w:rsidR="00671AE7" w:rsidRDefault="00671AE7" w:rsidP="001573D7">
      <w:pPr>
        <w:spacing w:after="0" w:line="480" w:lineRule="auto"/>
        <w:ind w:firstLine="720"/>
        <w:contextualSpacing/>
        <w:jc w:val="both"/>
        <w:rPr>
          <w:rFonts w:ascii="Times New Roman" w:hAnsi="Times New Roman" w:cs="Times New Roman"/>
          <w:sz w:val="24"/>
          <w:szCs w:val="24"/>
        </w:rPr>
      </w:pPr>
    </w:p>
    <w:p w14:paraId="7274FF15"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0D6AB73A"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5203E371"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7A3948CE"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02AAF01D"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72CA43F3"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549DC30E"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4350D1B8"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0E8A4D53"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6AC51595"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25D9EA52"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33FF0290" w14:textId="77777777" w:rsidR="00B27652" w:rsidRDefault="00B27652" w:rsidP="00671AE7">
      <w:pPr>
        <w:spacing w:after="0" w:line="480" w:lineRule="auto"/>
        <w:ind w:firstLine="720"/>
        <w:contextualSpacing/>
        <w:jc w:val="center"/>
        <w:rPr>
          <w:rFonts w:ascii="Times New Roman" w:hAnsi="Times New Roman" w:cs="Times New Roman"/>
          <w:sz w:val="24"/>
          <w:szCs w:val="24"/>
        </w:rPr>
      </w:pPr>
    </w:p>
    <w:p w14:paraId="59121FAF" w14:textId="77777777" w:rsidR="001573D7" w:rsidRPr="00671AE7" w:rsidRDefault="00332DD3" w:rsidP="00671AE7">
      <w:pPr>
        <w:spacing w:after="0" w:line="480" w:lineRule="auto"/>
        <w:ind w:firstLine="720"/>
        <w:contextualSpacing/>
        <w:jc w:val="center"/>
        <w:rPr>
          <w:rFonts w:ascii="Times New Roman" w:hAnsi="Times New Roman" w:cs="Times New Roman"/>
          <w:sz w:val="24"/>
          <w:szCs w:val="24"/>
          <w:lang w:val="en-US"/>
        </w:rPr>
      </w:pPr>
      <w:r w:rsidRPr="001573D7">
        <w:rPr>
          <w:rFonts w:ascii="Times New Roman" w:hAnsi="Times New Roman" w:cs="Times New Roman"/>
          <w:sz w:val="24"/>
          <w:szCs w:val="24"/>
        </w:rPr>
        <w:lastRenderedPageBreak/>
        <w:t>Reference</w:t>
      </w:r>
      <w:r w:rsidR="00671AE7">
        <w:rPr>
          <w:rFonts w:ascii="Times New Roman" w:hAnsi="Times New Roman" w:cs="Times New Roman"/>
          <w:sz w:val="24"/>
          <w:szCs w:val="24"/>
          <w:lang w:val="en-US"/>
        </w:rPr>
        <w:t>s</w:t>
      </w:r>
    </w:p>
    <w:p w14:paraId="27566075" w14:textId="77777777" w:rsidR="001573D7"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Assenmacher, K. (201</w:t>
      </w:r>
      <w:r w:rsidR="00A70DE1">
        <w:rPr>
          <w:rFonts w:ascii="Times New Roman" w:hAnsi="Times New Roman" w:cs="Times New Roman"/>
          <w:sz w:val="24"/>
          <w:szCs w:val="24"/>
          <w:lang w:val="en-US"/>
        </w:rPr>
        <w:t>7</w:t>
      </w:r>
      <w:r w:rsidRPr="001573D7">
        <w:rPr>
          <w:rFonts w:ascii="Times New Roman" w:hAnsi="Times New Roman" w:cs="Times New Roman"/>
          <w:sz w:val="24"/>
          <w:szCs w:val="24"/>
        </w:rPr>
        <w:t>). Reflective writing. Grin Verlag Ohg.</w:t>
      </w:r>
    </w:p>
    <w:p w14:paraId="37BF20DA" w14:textId="77777777" w:rsidR="00671AE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Billingham, J. (20</w:t>
      </w:r>
      <w:r w:rsidR="00A70DE1">
        <w:rPr>
          <w:rFonts w:ascii="Times New Roman" w:hAnsi="Times New Roman" w:cs="Times New Roman"/>
          <w:sz w:val="24"/>
          <w:szCs w:val="24"/>
          <w:lang w:val="en-US"/>
        </w:rPr>
        <w:t>1</w:t>
      </w:r>
      <w:r w:rsidRPr="001573D7">
        <w:rPr>
          <w:rFonts w:ascii="Times New Roman" w:hAnsi="Times New Roman" w:cs="Times New Roman"/>
          <w:sz w:val="24"/>
          <w:szCs w:val="24"/>
        </w:rPr>
        <w:t xml:space="preserve">3). Giving presentations. </w:t>
      </w:r>
      <w:r w:rsidR="00A70DE1" w:rsidRPr="001573D7">
        <w:rPr>
          <w:rFonts w:ascii="Times New Roman" w:hAnsi="Times New Roman" w:cs="Times New Roman"/>
          <w:sz w:val="24"/>
          <w:szCs w:val="24"/>
        </w:rPr>
        <w:t>Oxford;</w:t>
      </w:r>
      <w:r w:rsidRPr="001573D7">
        <w:rPr>
          <w:rFonts w:ascii="Times New Roman" w:hAnsi="Times New Roman" w:cs="Times New Roman"/>
          <w:sz w:val="24"/>
          <w:szCs w:val="24"/>
        </w:rPr>
        <w:t xml:space="preserve"> New York: Oxford University Press.</w:t>
      </w:r>
    </w:p>
    <w:p w14:paraId="3A5C1573" w14:textId="77777777" w:rsidR="00671AE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Brooke Noel Moore and Parker, R. (2017). Critical thinking. New York: Mcgraw- Hill Education.</w:t>
      </w:r>
    </w:p>
    <w:p w14:paraId="79AFB6D7" w14:textId="77777777" w:rsidR="001573D7"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Chamberlain, D. (2014). Reflection. London: Macmillan.</w:t>
      </w:r>
    </w:p>
    <w:p w14:paraId="65063CAE" w14:textId="77777777" w:rsidR="001573D7"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ECKERT, A. (2008). Reflecting colonialism. Social Anthropology, 16(3), pp.356– 359.</w:t>
      </w:r>
    </w:p>
    <w:p w14:paraId="3B52D2AD" w14:textId="77777777" w:rsidR="00671AE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 xml:space="preserve">Gibbs, J.C., Basinger, K.S. and Fuller, D. (2015). Moral </w:t>
      </w:r>
      <w:r w:rsidR="00A70DE1" w:rsidRPr="001573D7">
        <w:rPr>
          <w:rFonts w:ascii="Times New Roman" w:hAnsi="Times New Roman" w:cs="Times New Roman"/>
          <w:sz w:val="24"/>
          <w:szCs w:val="24"/>
        </w:rPr>
        <w:t>maturity:</w:t>
      </w:r>
      <w:r w:rsidRPr="001573D7">
        <w:rPr>
          <w:rFonts w:ascii="Times New Roman" w:hAnsi="Times New Roman" w:cs="Times New Roman"/>
          <w:sz w:val="24"/>
          <w:szCs w:val="24"/>
        </w:rPr>
        <w:t xml:space="preserve"> measuring the development of sociomoral Reflection. London: Routledge, Taylor &amp; Francis Group.</w:t>
      </w:r>
    </w:p>
    <w:p w14:paraId="73690D2A" w14:textId="77777777" w:rsidR="001573D7"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Lucas, S. and Stob, P. (2020). The art of public speaking. New York, Ny: Mcgraw- Hill Education.</w:t>
      </w:r>
    </w:p>
    <w:p w14:paraId="202AE7B1" w14:textId="77777777" w:rsidR="001573D7"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Miller, G.A. (1960). Plans and the structure of behavior. New York, Holt.</w:t>
      </w:r>
    </w:p>
    <w:p w14:paraId="29072647" w14:textId="77777777" w:rsidR="0081760F" w:rsidRPr="001573D7" w:rsidRDefault="00332DD3" w:rsidP="00A70DE1">
      <w:pPr>
        <w:spacing w:after="0" w:line="480" w:lineRule="auto"/>
        <w:ind w:left="720" w:hanging="720"/>
        <w:contextualSpacing/>
        <w:rPr>
          <w:rFonts w:ascii="Times New Roman" w:hAnsi="Times New Roman" w:cs="Times New Roman"/>
          <w:sz w:val="24"/>
          <w:szCs w:val="24"/>
        </w:rPr>
      </w:pPr>
      <w:r w:rsidRPr="001573D7">
        <w:rPr>
          <w:rFonts w:ascii="Times New Roman" w:hAnsi="Times New Roman" w:cs="Times New Roman"/>
          <w:sz w:val="24"/>
          <w:szCs w:val="24"/>
        </w:rPr>
        <w:t>Williams, K., Woolliams, M. and Spiro, J. (201</w:t>
      </w:r>
      <w:r w:rsidR="00A70DE1">
        <w:rPr>
          <w:rFonts w:ascii="Times New Roman" w:hAnsi="Times New Roman" w:cs="Times New Roman"/>
          <w:sz w:val="24"/>
          <w:szCs w:val="24"/>
          <w:lang w:val="en-US"/>
        </w:rPr>
        <w:t>9</w:t>
      </w:r>
      <w:r w:rsidRPr="001573D7">
        <w:rPr>
          <w:rFonts w:ascii="Times New Roman" w:hAnsi="Times New Roman" w:cs="Times New Roman"/>
          <w:sz w:val="24"/>
          <w:szCs w:val="24"/>
        </w:rPr>
        <w:t>). Reflective writing. Houndmills, Basingstoke, Hampshire; New York: Palgrave Macmillan.</w:t>
      </w:r>
    </w:p>
    <w:sectPr w:rsidR="0081760F" w:rsidRPr="001573D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D369B" w14:textId="77777777" w:rsidR="00156317" w:rsidRDefault="00156317">
      <w:pPr>
        <w:spacing w:after="0" w:line="240" w:lineRule="auto"/>
      </w:pPr>
      <w:r>
        <w:separator/>
      </w:r>
    </w:p>
  </w:endnote>
  <w:endnote w:type="continuationSeparator" w:id="0">
    <w:p w14:paraId="5F05B83A" w14:textId="77777777" w:rsidR="00156317" w:rsidRDefault="00156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53DEE" w14:textId="77777777" w:rsidR="00156317" w:rsidRDefault="00156317">
      <w:pPr>
        <w:spacing w:after="0" w:line="240" w:lineRule="auto"/>
      </w:pPr>
      <w:r>
        <w:separator/>
      </w:r>
    </w:p>
  </w:footnote>
  <w:footnote w:type="continuationSeparator" w:id="0">
    <w:p w14:paraId="2A7C518F" w14:textId="77777777" w:rsidR="00156317" w:rsidRDefault="00156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A6B5A" w14:textId="77777777" w:rsidR="00431CA6" w:rsidRPr="00431CA6" w:rsidRDefault="00332DD3" w:rsidP="00431CA6">
    <w:pPr>
      <w:pStyle w:val="Header"/>
      <w:jc w:val="right"/>
      <w:rPr>
        <w:rFonts w:ascii="Times New Roman" w:hAnsi="Times New Roman" w:cs="Times New Roman"/>
        <w:sz w:val="24"/>
        <w:szCs w:val="24"/>
      </w:rPr>
    </w:pPr>
    <w:r w:rsidRPr="00431CA6">
      <w:rPr>
        <w:rFonts w:ascii="Times New Roman" w:hAnsi="Times New Roman" w:cs="Times New Roman"/>
        <w:sz w:val="24"/>
        <w:szCs w:val="24"/>
      </w:rPr>
      <w:fldChar w:fldCharType="begin"/>
    </w:r>
    <w:r w:rsidRPr="00431CA6">
      <w:rPr>
        <w:rFonts w:ascii="Times New Roman" w:hAnsi="Times New Roman" w:cs="Times New Roman"/>
        <w:sz w:val="24"/>
        <w:szCs w:val="24"/>
      </w:rPr>
      <w:instrText xml:space="preserve"> PAGE   \* MERGEFORMAT </w:instrText>
    </w:r>
    <w:r w:rsidRPr="00431CA6">
      <w:rPr>
        <w:rFonts w:ascii="Times New Roman" w:hAnsi="Times New Roman" w:cs="Times New Roman"/>
        <w:sz w:val="24"/>
        <w:szCs w:val="24"/>
      </w:rPr>
      <w:fldChar w:fldCharType="separate"/>
    </w:r>
    <w:r w:rsidRPr="00431CA6">
      <w:rPr>
        <w:rFonts w:ascii="Times New Roman" w:hAnsi="Times New Roman" w:cs="Times New Roman"/>
        <w:noProof/>
        <w:sz w:val="24"/>
        <w:szCs w:val="24"/>
      </w:rPr>
      <w:t>1</w:t>
    </w:r>
    <w:r w:rsidRPr="00431CA6">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3D7"/>
    <w:rsid w:val="00156317"/>
    <w:rsid w:val="001573D7"/>
    <w:rsid w:val="00332DD3"/>
    <w:rsid w:val="00431CA6"/>
    <w:rsid w:val="00671AE7"/>
    <w:rsid w:val="006F268F"/>
    <w:rsid w:val="007A2837"/>
    <w:rsid w:val="0081760F"/>
    <w:rsid w:val="008E0B0E"/>
    <w:rsid w:val="00A201A7"/>
    <w:rsid w:val="00A70DE1"/>
    <w:rsid w:val="00B27652"/>
    <w:rsid w:val="00BB3A9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E3A3A"/>
  <w15:chartTrackingRefBased/>
  <w15:docId w15:val="{3696D0EF-98E4-4B2B-985F-1487052E1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6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1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CA6"/>
  </w:style>
  <w:style w:type="paragraph" w:styleId="Footer">
    <w:name w:val="footer"/>
    <w:basedOn w:val="Normal"/>
    <w:link w:val="FooterChar"/>
    <w:uiPriority w:val="99"/>
    <w:unhideWhenUsed/>
    <w:rsid w:val="00431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CA6"/>
  </w:style>
  <w:style w:type="character" w:customStyle="1" w:styleId="Heading1Char">
    <w:name w:val="Heading 1 Char"/>
    <w:basedOn w:val="DefaultParagraphFont"/>
    <w:link w:val="Heading1"/>
    <w:uiPriority w:val="9"/>
    <w:rsid w:val="00B2765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2351</Words>
  <Characters>13406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justus savali</dc:creator>
  <cp:lastModifiedBy>BULOBA MUKWAKANI BULOBA MUKWAKANI</cp:lastModifiedBy>
  <cp:revision>2</cp:revision>
  <dcterms:created xsi:type="dcterms:W3CDTF">2022-01-04T14:14:00Z</dcterms:created>
  <dcterms:modified xsi:type="dcterms:W3CDTF">2022-01-04T14:14:00Z</dcterms:modified>
</cp:coreProperties>
</file>