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36786" w14:textId="26C41A64" w:rsidR="0049315D" w:rsidRDefault="00EF3862" w:rsidP="00EF3862">
      <w:pPr>
        <w:jc w:val="center"/>
        <w:rPr>
          <w:u w:val="single"/>
        </w:rPr>
      </w:pPr>
      <w:r w:rsidRPr="00EF3862">
        <w:rPr>
          <w:u w:val="single"/>
        </w:rPr>
        <w:t xml:space="preserve">Chapter 5 </w:t>
      </w:r>
      <w:r>
        <w:rPr>
          <w:u w:val="single"/>
        </w:rPr>
        <w:t>–</w:t>
      </w:r>
      <w:r w:rsidRPr="00EF3862">
        <w:rPr>
          <w:u w:val="single"/>
        </w:rPr>
        <w:t xml:space="preserve"> Conclusion</w:t>
      </w:r>
    </w:p>
    <w:p w14:paraId="3BF3F4CC" w14:textId="4B84FDE2" w:rsidR="00EF3862" w:rsidRDefault="00F3033E" w:rsidP="00EF3862">
      <w:pPr>
        <w:rPr>
          <w:u w:val="single"/>
        </w:rPr>
      </w:pPr>
      <w:r>
        <w:rPr>
          <w:u w:val="single"/>
        </w:rPr>
        <w:t>5.1 – Introduction</w:t>
      </w:r>
    </w:p>
    <w:p w14:paraId="572AB408" w14:textId="2C7CFD05" w:rsidR="00F3033E" w:rsidRDefault="00F3033E" w:rsidP="00EF3862">
      <w:r>
        <w:t>The objectives of this re</w:t>
      </w:r>
      <w:r w:rsidR="00A161C9">
        <w:t xml:space="preserve">search dissertation were </w:t>
      </w:r>
      <w:r w:rsidR="002A5115">
        <w:t>three-fold</w:t>
      </w:r>
      <w:r w:rsidR="00A161C9">
        <w:t>, to e</w:t>
      </w:r>
      <w:r w:rsidR="00EA59B8">
        <w:t xml:space="preserve">xplore the effectiveness of multi-agency working, to </w:t>
      </w:r>
      <w:r w:rsidR="009B0D77">
        <w:t xml:space="preserve">explore the benefits of multi-agency working to police resources when attending </w:t>
      </w:r>
      <w:r w:rsidR="00850D32">
        <w:t>calls for service relating to persons experiencing mental ill health</w:t>
      </w:r>
      <w:r w:rsidR="0024479D">
        <w:t xml:space="preserve">, and to explore the effectiveness of the “Right Care, Right Person” model. </w:t>
      </w:r>
    </w:p>
    <w:p w14:paraId="6970B2F4" w14:textId="26F55EB7" w:rsidR="002A5115" w:rsidRDefault="00386BA7" w:rsidP="00EF3862">
      <w:r>
        <w:t xml:space="preserve">In conducting a review of the </w:t>
      </w:r>
      <w:r w:rsidR="00E83AFA">
        <w:t>available</w:t>
      </w:r>
      <w:r>
        <w:t xml:space="preserve"> literature it was established that the police and other agencies have </w:t>
      </w:r>
      <w:r w:rsidR="008C6D09">
        <w:t xml:space="preserve">obligations, founded in law that they must ensure that they engage with each other in a purposeful manner </w:t>
      </w:r>
      <w:r w:rsidR="00F97163">
        <w:t>to share resources</w:t>
      </w:r>
      <w:r w:rsidR="001B5067">
        <w:t xml:space="preserve"> and knowledge</w:t>
      </w:r>
      <w:r w:rsidR="001864A3">
        <w:t>, and</w:t>
      </w:r>
      <w:r w:rsidR="001B5067">
        <w:t xml:space="preserve"> to</w:t>
      </w:r>
      <w:r w:rsidR="00334B7F">
        <w:t xml:space="preserve"> ensure that </w:t>
      </w:r>
      <w:r w:rsidR="00AB186C">
        <w:t xml:space="preserve">service users are adequately managed by the correct agency </w:t>
      </w:r>
      <w:sdt>
        <w:sdtPr>
          <w:id w:val="1498454645"/>
          <w:citation/>
        </w:sdtPr>
        <w:sdtContent>
          <w:r w:rsidR="00946066">
            <w:fldChar w:fldCharType="begin"/>
          </w:r>
          <w:r w:rsidR="00946066">
            <w:instrText xml:space="preserve"> CITATION Leg24 \l 2057  \m Leg11</w:instrText>
          </w:r>
          <w:r w:rsidR="00946066">
            <w:fldChar w:fldCharType="separate"/>
          </w:r>
          <w:r w:rsidR="00946066" w:rsidRPr="00946066">
            <w:rPr>
              <w:noProof/>
            </w:rPr>
            <w:t>(Legislation.gov.uk, n.d.; Legislation.gov.uk, 2011)</w:t>
          </w:r>
          <w:r w:rsidR="00946066">
            <w:fldChar w:fldCharType="end"/>
          </w:r>
        </w:sdtContent>
      </w:sdt>
      <w:r w:rsidR="00946066">
        <w:t xml:space="preserve">. </w:t>
      </w:r>
    </w:p>
    <w:p w14:paraId="45EADAAB" w14:textId="2418D023" w:rsidR="00B87325" w:rsidRDefault="00504007" w:rsidP="00EF3862">
      <w:r>
        <w:t xml:space="preserve">Literature was found that established that the demand that </w:t>
      </w:r>
      <w:r w:rsidR="001864A3">
        <w:t>PMIH has on the police service</w:t>
      </w:r>
      <w:r w:rsidR="00FE75EE">
        <w:t xml:space="preserve"> alone</w:t>
      </w:r>
      <w:r w:rsidR="001864A3">
        <w:t xml:space="preserve"> could be as high as 19.5% of </w:t>
      </w:r>
      <w:r w:rsidR="00F11B40">
        <w:t>officers time being spent dealing with incidents arising from PMIH</w:t>
      </w:r>
      <w:r w:rsidR="00FE75EE">
        <w:t xml:space="preserve"> </w:t>
      </w:r>
      <w:sdt>
        <w:sdtPr>
          <w:id w:val="1461998447"/>
          <w:citation/>
        </w:sdtPr>
        <w:sdtContent>
          <w:r w:rsidR="00FE75EE">
            <w:fldChar w:fldCharType="begin"/>
          </w:r>
          <w:r w:rsidR="00FE75EE">
            <w:instrText xml:space="preserve"> CITATION Lan21 \l 2057 </w:instrText>
          </w:r>
          <w:r w:rsidR="00FE75EE">
            <w:fldChar w:fldCharType="separate"/>
          </w:r>
          <w:r w:rsidR="00FE75EE" w:rsidRPr="00FE75EE">
            <w:rPr>
              <w:noProof/>
            </w:rPr>
            <w:t>(Langton, et al., 2021)</w:t>
          </w:r>
          <w:r w:rsidR="00FE75EE">
            <w:fldChar w:fldCharType="end"/>
          </w:r>
        </w:sdtContent>
      </w:sdt>
    </w:p>
    <w:p w14:paraId="07EFEEF8" w14:textId="0B8FE2DB" w:rsidR="00EC667B" w:rsidRDefault="00EA77C3" w:rsidP="00EF3862">
      <w:r>
        <w:t xml:space="preserve">In terms of the “Right Care, Right Person” </w:t>
      </w:r>
      <w:r w:rsidR="00B913C1">
        <w:t>model,</w:t>
      </w:r>
      <w:r>
        <w:t xml:space="preserve"> which is still in its infancy</w:t>
      </w:r>
      <w:r w:rsidR="005A114F">
        <w:t>,</w:t>
      </w:r>
      <w:r>
        <w:t xml:space="preserve"> having only been rolled out nationally </w:t>
      </w:r>
      <w:r w:rsidR="009032EC">
        <w:t>in</w:t>
      </w:r>
      <w:r w:rsidR="00FC56B2">
        <w:t xml:space="preserve"> 2024 </w:t>
      </w:r>
      <w:sdt>
        <w:sdtPr>
          <w:id w:val="-2136635589"/>
          <w:citation/>
        </w:sdtPr>
        <w:sdtContent>
          <w:r w:rsidR="001D2B0C">
            <w:fldChar w:fldCharType="begin"/>
          </w:r>
          <w:r w:rsidR="001D2B0C">
            <w:instrText xml:space="preserve"> CITATION Col24 \l 2057 </w:instrText>
          </w:r>
          <w:r w:rsidR="001D2B0C">
            <w:fldChar w:fldCharType="separate"/>
          </w:r>
          <w:r w:rsidR="001D2B0C" w:rsidRPr="001D2B0C">
            <w:rPr>
              <w:noProof/>
            </w:rPr>
            <w:t>(College of Policing, 2024)</w:t>
          </w:r>
          <w:r w:rsidR="001D2B0C">
            <w:fldChar w:fldCharType="end"/>
          </w:r>
        </w:sdtContent>
      </w:sdt>
      <w:r w:rsidR="001D2B0C">
        <w:t>. The aim</w:t>
      </w:r>
      <w:r w:rsidR="005A114F">
        <w:t xml:space="preserve"> of this scheme is to reduce the demand on the police </w:t>
      </w:r>
      <w:r w:rsidR="00B913C1">
        <w:t>service and</w:t>
      </w:r>
      <w:r w:rsidR="005A114F">
        <w:t xml:space="preserve"> ensuring that service users are being supported by the most appropriate agency</w:t>
      </w:r>
      <w:r w:rsidR="001B2D83">
        <w:t xml:space="preserve">. Due to this scheme having only been launched in 2024, there </w:t>
      </w:r>
      <w:r w:rsidR="00DD25DD">
        <w:t>was no literature available at the time of writing that measured the effectiveness of RCRP</w:t>
      </w:r>
      <w:r w:rsidR="00873838">
        <w:t xml:space="preserve"> on a national level, and this research paper aimed to address this. </w:t>
      </w:r>
    </w:p>
    <w:p w14:paraId="434F8307" w14:textId="5121E859" w:rsidR="00873838" w:rsidRDefault="008874DB" w:rsidP="00EF3862">
      <w:r>
        <w:t xml:space="preserve">In order to address these objectives, a mixed methods research approach was </w:t>
      </w:r>
      <w:r w:rsidR="00B913C1">
        <w:t>applied,</w:t>
      </w:r>
      <w:r w:rsidR="00C17B02">
        <w:t xml:space="preserve"> and a survey was devised </w:t>
      </w:r>
      <w:r w:rsidR="00D97763">
        <w:t>and disseminated to serving police officers</w:t>
      </w:r>
      <w:r w:rsidR="009022E4">
        <w:t xml:space="preserve"> and staff</w:t>
      </w:r>
      <w:r w:rsidR="00D97763">
        <w:t xml:space="preserve"> across three forces</w:t>
      </w:r>
      <w:r w:rsidR="009B1B96">
        <w:t xml:space="preserve"> (Gwent, Kent and Avon and Somerset)</w:t>
      </w:r>
      <w:r w:rsidR="00A858EE">
        <w:t xml:space="preserve">. The survey gathered both quantitative and qualitative data </w:t>
      </w:r>
      <w:r w:rsidR="00076F9E">
        <w:t>in order</w:t>
      </w:r>
      <w:r w:rsidR="00FC3F31">
        <w:t xml:space="preserve"> to</w:t>
      </w:r>
      <w:r w:rsidR="00A808BB">
        <w:t xml:space="preserve"> </w:t>
      </w:r>
      <w:r w:rsidR="006B783E">
        <w:t xml:space="preserve">establish the respondents viewpoints in relation to the objectives. </w:t>
      </w:r>
    </w:p>
    <w:p w14:paraId="599C927B" w14:textId="7871CDFC" w:rsidR="00427B55" w:rsidRDefault="00427B55" w:rsidP="00EF3862"/>
    <w:p w14:paraId="440F3CA5" w14:textId="6A91F869" w:rsidR="00427B55" w:rsidRDefault="00427B55" w:rsidP="00EF3862">
      <w:pPr>
        <w:rPr>
          <w:u w:val="single"/>
        </w:rPr>
      </w:pPr>
      <w:r>
        <w:rPr>
          <w:u w:val="single"/>
        </w:rPr>
        <w:t>5.2 – The effectiveness of multi-agency working.</w:t>
      </w:r>
    </w:p>
    <w:p w14:paraId="2F40CE43" w14:textId="6235EF25" w:rsidR="006F5EAA" w:rsidRDefault="009022E4" w:rsidP="00EF3862">
      <w:r>
        <w:t xml:space="preserve">The results from the survey highlighted that </w:t>
      </w:r>
      <w:r w:rsidR="00BE4C1F">
        <w:t>92</w:t>
      </w:r>
      <w:r w:rsidR="00C71636">
        <w:t xml:space="preserve">% of the respondents felt that the effectiveness of multi-agency relationships </w:t>
      </w:r>
      <w:r w:rsidR="00B071E6">
        <w:t>had a</w:t>
      </w:r>
      <w:r w:rsidR="00BE4C1F">
        <w:t>n impact on their ability to perform their role</w:t>
      </w:r>
      <w:r w:rsidR="00DE1ADE">
        <w:t xml:space="preserve">. </w:t>
      </w:r>
    </w:p>
    <w:p w14:paraId="20C3FDA0" w14:textId="46B47238" w:rsidR="00B913C1" w:rsidRPr="009022E4" w:rsidRDefault="00B913C1" w:rsidP="00EF3862">
      <w:r>
        <w:t xml:space="preserve">Respondents </w:t>
      </w:r>
      <w:r w:rsidR="008A1BD7">
        <w:t xml:space="preserve">identified that </w:t>
      </w:r>
      <w:r w:rsidR="00BC013C">
        <w:t>a lack of quality communication between agencies was a contributor in the success or lack thereof in multi-agency relationships</w:t>
      </w:r>
      <w:r w:rsidR="002F7EAF">
        <w:t>.</w:t>
      </w:r>
    </w:p>
    <w:p w14:paraId="64D48F93" w14:textId="6D3C9591" w:rsidR="0024479D" w:rsidRDefault="00C76A22" w:rsidP="00EF3862">
      <w:r>
        <w:t>Respondents also identified that a larger proportion of their time was spent engaged in activities that</w:t>
      </w:r>
      <w:r w:rsidR="00C171C1">
        <w:t xml:space="preserve"> were within the remit of ambulance and mental health services than other agencies</w:t>
      </w:r>
      <w:r w:rsidR="0061587B">
        <w:t>.</w:t>
      </w:r>
      <w:r w:rsidR="00B47BA6">
        <w:t xml:space="preserve"> </w:t>
      </w:r>
    </w:p>
    <w:p w14:paraId="3C1FD209" w14:textId="37EAF646" w:rsidR="00D54FB6" w:rsidRDefault="00372FB6" w:rsidP="00EF3862">
      <w:r>
        <w:t>With the responses provided in this research,</w:t>
      </w:r>
      <w:r w:rsidR="00C62A7A">
        <w:t xml:space="preserve"> the importance of effective multi-agency relationships is highlighted, however</w:t>
      </w:r>
      <w:r>
        <w:t xml:space="preserve"> it would appear that there is </w:t>
      </w:r>
      <w:r w:rsidR="0089227A">
        <w:t xml:space="preserve">currently a deficit in communication between agencies that is having a detrimental impact on the effectiveness of multi-agency partnerships. </w:t>
      </w:r>
    </w:p>
    <w:p w14:paraId="62E4F529" w14:textId="77777777" w:rsidR="009015A2" w:rsidRDefault="009015A2" w:rsidP="00EF3862"/>
    <w:p w14:paraId="2892F7B3" w14:textId="06665A61" w:rsidR="00643A13" w:rsidRDefault="00643A13" w:rsidP="00EF3862">
      <w:pPr>
        <w:rPr>
          <w:u w:val="single"/>
        </w:rPr>
      </w:pPr>
      <w:r>
        <w:rPr>
          <w:u w:val="single"/>
        </w:rPr>
        <w:t xml:space="preserve">5.3 – The </w:t>
      </w:r>
      <w:r w:rsidR="003A1BD7">
        <w:rPr>
          <w:u w:val="single"/>
        </w:rPr>
        <w:t>effect</w:t>
      </w:r>
      <w:r w:rsidR="00016CEC">
        <w:rPr>
          <w:u w:val="single"/>
        </w:rPr>
        <w:t>iveness</w:t>
      </w:r>
      <w:r w:rsidR="003A1BD7">
        <w:rPr>
          <w:u w:val="single"/>
        </w:rPr>
        <w:t xml:space="preserve"> of multi-agency working when attending mental health calls.</w:t>
      </w:r>
    </w:p>
    <w:p w14:paraId="28AAD71C" w14:textId="789E5073" w:rsidR="003A1BD7" w:rsidRDefault="003A1BD7" w:rsidP="00EF3862">
      <w:r>
        <w:t xml:space="preserve">As mentioned previously, respondents </w:t>
      </w:r>
      <w:r w:rsidR="002A6CB4">
        <w:t>identified that they spent a larger portion of their time engaged in activities that were within the remit of mental health services than any of the other agencies identified</w:t>
      </w:r>
      <w:r w:rsidR="001D323B">
        <w:t>, which correlates with the study identified by</w:t>
      </w:r>
      <w:r w:rsidR="00695CE9">
        <w:t xml:space="preserve"> Langton</w:t>
      </w:r>
      <w:r w:rsidR="00C90D36">
        <w:t>,</w:t>
      </w:r>
      <w:r w:rsidR="00695CE9">
        <w:t xml:space="preserve"> et al </w:t>
      </w:r>
      <w:sdt>
        <w:sdtPr>
          <w:id w:val="1517728685"/>
          <w:citation/>
        </w:sdtPr>
        <w:sdtContent>
          <w:r w:rsidR="00695CE9">
            <w:fldChar w:fldCharType="begin"/>
          </w:r>
          <w:r w:rsidR="00695CE9">
            <w:instrText xml:space="preserve">CITATION Lan21 \n  \l 2057 </w:instrText>
          </w:r>
          <w:r w:rsidR="00695CE9">
            <w:fldChar w:fldCharType="separate"/>
          </w:r>
          <w:r w:rsidR="00695CE9" w:rsidRPr="00695CE9">
            <w:rPr>
              <w:noProof/>
            </w:rPr>
            <w:t>(2021)</w:t>
          </w:r>
          <w:r w:rsidR="00695CE9">
            <w:fldChar w:fldCharType="end"/>
          </w:r>
        </w:sdtContent>
      </w:sdt>
      <w:r w:rsidR="002A6CB4">
        <w:t xml:space="preserve">. </w:t>
      </w:r>
      <w:r w:rsidR="0042530C">
        <w:t xml:space="preserve">In addition to </w:t>
      </w:r>
      <w:r w:rsidR="0042530C">
        <w:lastRenderedPageBreak/>
        <w:t>this</w:t>
      </w:r>
      <w:r w:rsidR="00695CE9">
        <w:t>,</w:t>
      </w:r>
      <w:r w:rsidR="0042530C">
        <w:t xml:space="preserve"> respondents also identified that their engagements with mental health services were the least effec</w:t>
      </w:r>
      <w:r w:rsidR="00A12AA5">
        <w:t>tive compared to the other agencies identified.</w:t>
      </w:r>
      <w:r w:rsidR="00695CE9">
        <w:t xml:space="preserve"> </w:t>
      </w:r>
      <w:r w:rsidR="00C54DE4">
        <w:t xml:space="preserve">Respondents also felt that other agencies rely heavily on the police to </w:t>
      </w:r>
      <w:r w:rsidR="001540F8">
        <w:t>cover their inability to respond to or manage the needs of their service users.</w:t>
      </w:r>
    </w:p>
    <w:p w14:paraId="30D0DA46" w14:textId="5AF7B648" w:rsidR="001540F8" w:rsidRDefault="001540F8" w:rsidP="00EF3862">
      <w:r>
        <w:t xml:space="preserve">This data </w:t>
      </w:r>
      <w:r w:rsidR="00C90D36">
        <w:t xml:space="preserve">when combined with the Langton study </w:t>
      </w:r>
      <w:r w:rsidR="00DF1C0D">
        <w:t>would suggest that the current model of managing PMIH is ineffective in terms of the draw on reso</w:t>
      </w:r>
      <w:r w:rsidR="0078103E">
        <w:t>urces on the police. It also indicates that the multi-agency relationship between the police and mental health services is ineffective.</w:t>
      </w:r>
    </w:p>
    <w:p w14:paraId="30C4C820" w14:textId="77777777" w:rsidR="004405B9" w:rsidRDefault="004405B9" w:rsidP="00EF3862"/>
    <w:p w14:paraId="572EF6EC" w14:textId="564CB6AE" w:rsidR="004405B9" w:rsidRDefault="004405B9" w:rsidP="00EF3862">
      <w:pPr>
        <w:rPr>
          <w:u w:val="single"/>
        </w:rPr>
      </w:pPr>
      <w:r>
        <w:rPr>
          <w:u w:val="single"/>
        </w:rPr>
        <w:t xml:space="preserve">5.4 – Is the </w:t>
      </w:r>
      <w:r w:rsidR="00DF6CF5">
        <w:rPr>
          <w:u w:val="single"/>
        </w:rPr>
        <w:t>current Right Care, Right Person</w:t>
      </w:r>
      <w:r w:rsidR="004534DE">
        <w:rPr>
          <w:u w:val="single"/>
        </w:rPr>
        <w:t xml:space="preserve"> (RCRP)</w:t>
      </w:r>
      <w:r w:rsidR="00DF6CF5">
        <w:rPr>
          <w:u w:val="single"/>
        </w:rPr>
        <w:t xml:space="preserve"> model effective.</w:t>
      </w:r>
    </w:p>
    <w:p w14:paraId="26712D5E" w14:textId="56B368C4" w:rsidR="00DF6CF5" w:rsidRDefault="004534DE" w:rsidP="00EF3862">
      <w:r>
        <w:t xml:space="preserve">Given the infancy of RCRP, it is perhaps surprising that 84% of respondents were aware of the model, however only </w:t>
      </w:r>
      <w:r w:rsidR="00C50430">
        <w:t>36% of respondents had received any form of training into its application</w:t>
      </w:r>
      <w:r w:rsidR="00A04683">
        <w:t xml:space="preserve">. </w:t>
      </w:r>
    </w:p>
    <w:p w14:paraId="763DC01A" w14:textId="36168A96" w:rsidR="00147E38" w:rsidRDefault="00147E38" w:rsidP="00EF3862">
      <w:r>
        <w:t xml:space="preserve">Ineffective communication between agencies </w:t>
      </w:r>
      <w:r w:rsidR="007744A9">
        <w:t xml:space="preserve">was highlighted by respondents as </w:t>
      </w:r>
      <w:r w:rsidR="005A05B2">
        <w:t>being detrimental to</w:t>
      </w:r>
      <w:r w:rsidR="007744A9">
        <w:t xml:space="preserve"> this model. Respondents felt that other agencies were not aware of </w:t>
      </w:r>
      <w:r w:rsidR="00E35EAF">
        <w:t>the model or that they would still not accept responsibility for calls for service with</w:t>
      </w:r>
      <w:r w:rsidR="007D6E9B">
        <w:t xml:space="preserve">in their remit when the police implement RCRP. </w:t>
      </w:r>
    </w:p>
    <w:p w14:paraId="0CA91E67" w14:textId="3BAAF7BA" w:rsidR="00D542BA" w:rsidRDefault="00D542BA" w:rsidP="00EF3862">
      <w:r>
        <w:t>One respondent suggests that multi-agency</w:t>
      </w:r>
      <w:r w:rsidR="008D54CB">
        <w:t xml:space="preserve"> meetings should be convened to ensure that other services are aware of the polices remit and the expectation on their services when police </w:t>
      </w:r>
      <w:r w:rsidR="00B848A4">
        <w:t>do implement RCRP.</w:t>
      </w:r>
    </w:p>
    <w:p w14:paraId="5E3CBA17" w14:textId="2FE1D43C" w:rsidR="00B848A4" w:rsidRDefault="00B848A4" w:rsidP="00EF3862">
      <w:r>
        <w:t>This study suggests th</w:t>
      </w:r>
      <w:r w:rsidR="005C207B">
        <w:t>at in its current guise that</w:t>
      </w:r>
      <w:r w:rsidR="0072258B">
        <w:t xml:space="preserve"> the effectiveness of</w:t>
      </w:r>
      <w:r w:rsidR="005C207B">
        <w:t xml:space="preserve"> RCRP is limited by </w:t>
      </w:r>
      <w:r w:rsidR="009B7636">
        <w:t xml:space="preserve">the willingness of other agencies to accept responsibility </w:t>
      </w:r>
      <w:r w:rsidR="00981C67">
        <w:t>when police do not attend.</w:t>
      </w:r>
      <w:r w:rsidR="0072258B">
        <w:t xml:space="preserve"> </w:t>
      </w:r>
    </w:p>
    <w:p w14:paraId="2A3157A9" w14:textId="77777777" w:rsidR="0072258B" w:rsidRDefault="0072258B" w:rsidP="00EF3862"/>
    <w:p w14:paraId="17CBAC4B" w14:textId="265BFF5F" w:rsidR="0072258B" w:rsidRDefault="0072258B" w:rsidP="00EF3862">
      <w:pPr>
        <w:rPr>
          <w:u w:val="single"/>
        </w:rPr>
      </w:pPr>
      <w:r>
        <w:rPr>
          <w:u w:val="single"/>
        </w:rPr>
        <w:t xml:space="preserve">5.5 </w:t>
      </w:r>
      <w:r w:rsidR="00CB04CB">
        <w:rPr>
          <w:u w:val="single"/>
        </w:rPr>
        <w:t>–</w:t>
      </w:r>
      <w:r>
        <w:rPr>
          <w:u w:val="single"/>
        </w:rPr>
        <w:t xml:space="preserve"> </w:t>
      </w:r>
      <w:r w:rsidR="00CB04CB">
        <w:rPr>
          <w:u w:val="single"/>
        </w:rPr>
        <w:t>Recommendations.</w:t>
      </w:r>
    </w:p>
    <w:p w14:paraId="4C46AE92" w14:textId="77777777" w:rsidR="00BB2F5C" w:rsidRDefault="00CB04CB" w:rsidP="00EF3862">
      <w:r>
        <w:t>A recurring theme among respondents throughout the research survey was th</w:t>
      </w:r>
      <w:r w:rsidR="00715E42">
        <w:t xml:space="preserve">at ineffective communication has a detrimental impact on multi-agency working. This could be addressed through the formation of </w:t>
      </w:r>
      <w:r w:rsidR="000F50E3">
        <w:t xml:space="preserve">multi-agency panels </w:t>
      </w:r>
      <w:r w:rsidR="00A4599B">
        <w:t xml:space="preserve">where policy makers from each agency </w:t>
      </w:r>
      <w:r w:rsidR="001D1386">
        <w:t xml:space="preserve">convene to share information and in terms of RCRP, establish the remit of each agency when </w:t>
      </w:r>
      <w:r w:rsidR="000D1CFD">
        <w:t xml:space="preserve">RCRP is implemented and establish an agreed framework for how each agency should respond to this. </w:t>
      </w:r>
    </w:p>
    <w:p w14:paraId="41F037AC" w14:textId="0D1A7D54" w:rsidR="00CB04CB" w:rsidRDefault="000D1CFD" w:rsidP="00EF3862">
      <w:r>
        <w:t xml:space="preserve">These panels could be formed at national and local levels to ensure that all interested parties are </w:t>
      </w:r>
      <w:r w:rsidR="005A4847">
        <w:t>working towards the same goals and expectations. At a local level, direct lines of communication between control room operatives</w:t>
      </w:r>
      <w:r w:rsidR="00672FD1">
        <w:t>/managers would enable real time communication</w:t>
      </w:r>
      <w:r w:rsidR="006763AD">
        <w:t xml:space="preserve">, specific to each relevant call for service. </w:t>
      </w:r>
    </w:p>
    <w:p w14:paraId="33CA1971" w14:textId="5A489792" w:rsidR="006763AD" w:rsidRDefault="002442F7" w:rsidP="00EF3862">
      <w:r>
        <w:t xml:space="preserve">Additional training needs to be rolled out to those involved in the implementation of RCRP, this would ensure that there is an awareness of individual and agency responsibility when implementing the RCRP model. </w:t>
      </w:r>
    </w:p>
    <w:p w14:paraId="1BC91263" w14:textId="0FBCDF83" w:rsidR="00287FBD" w:rsidRDefault="00287FBD" w:rsidP="00EF3862"/>
    <w:p w14:paraId="6F06F998" w14:textId="21D71E0A" w:rsidR="00277167" w:rsidRDefault="00277167" w:rsidP="00EF3862">
      <w:pPr>
        <w:rPr>
          <w:u w:val="single"/>
        </w:rPr>
      </w:pPr>
      <w:r>
        <w:rPr>
          <w:u w:val="single"/>
        </w:rPr>
        <w:t>5.6 – Limitations.</w:t>
      </w:r>
    </w:p>
    <w:p w14:paraId="14CF8B80" w14:textId="40DAA25A" w:rsidR="004306C9" w:rsidRDefault="00277167" w:rsidP="00EF3862">
      <w:r>
        <w:t xml:space="preserve">The original research within this </w:t>
      </w:r>
      <w:r w:rsidR="00EB50B6">
        <w:t xml:space="preserve">paper was limited in that it only attracted respondents from 3 of the 43 territorial police forces in England and Wales. This could be expanded to </w:t>
      </w:r>
      <w:r w:rsidR="008A1789">
        <w:t>gather data from additional police</w:t>
      </w:r>
      <w:r w:rsidR="00D5146C">
        <w:t xml:space="preserve"> forces as well as</w:t>
      </w:r>
      <w:r w:rsidR="00A61AAC">
        <w:t xml:space="preserve"> to other agencies. </w:t>
      </w:r>
      <w:r w:rsidR="004813A2">
        <w:t>This would enable</w:t>
      </w:r>
      <w:r w:rsidR="00E51A6B">
        <w:t xml:space="preserve"> the data provided to be compared and establish commonalities between </w:t>
      </w:r>
      <w:r w:rsidR="002E6085">
        <w:t>services and</w:t>
      </w:r>
      <w:r w:rsidR="007B30E8">
        <w:t xml:space="preserve"> make further recommendations as to improvements that can be made to multi-agency working. </w:t>
      </w:r>
    </w:p>
    <w:p w14:paraId="2D39DC9D" w14:textId="651FB5CD" w:rsidR="007B30E8" w:rsidRDefault="007B30E8" w:rsidP="00EF3862">
      <w:r>
        <w:lastRenderedPageBreak/>
        <w:t>As mentioned, the RCRP model is relatively new and as such further research could be conducted as this model is established</w:t>
      </w:r>
      <w:r w:rsidR="008A5F3A">
        <w:t xml:space="preserve">. Periodical reviews of the effectiveness of this model would enable a baseline to be established and </w:t>
      </w:r>
      <w:r w:rsidR="008D7F7A">
        <w:t>the benefits and drawbacks to be effectively monit</w:t>
      </w:r>
      <w:r w:rsidR="00184A47">
        <w:t>ored.</w:t>
      </w:r>
    </w:p>
    <w:p w14:paraId="7BC95F40" w14:textId="77777777" w:rsidR="0066754A" w:rsidRDefault="0066754A" w:rsidP="00EF3862"/>
    <w:p w14:paraId="18D28D96" w14:textId="742C3CE9" w:rsidR="00756B15" w:rsidRDefault="00756B15" w:rsidP="00EF3862">
      <w:pPr>
        <w:rPr>
          <w:u w:val="single"/>
        </w:rPr>
      </w:pPr>
      <w:r>
        <w:rPr>
          <w:u w:val="single"/>
        </w:rPr>
        <w:t>5.7 – Finishing Statement</w:t>
      </w:r>
    </w:p>
    <w:p w14:paraId="3BF68D8B" w14:textId="26BD3E39" w:rsidR="00756B15" w:rsidRDefault="00756B15" w:rsidP="00EF3862">
      <w:r>
        <w:t xml:space="preserve">This research paper has set out to establish the effectiveness of multi-agency working between the police and other relevant agencies. It has successfully shown </w:t>
      </w:r>
      <w:r w:rsidR="002F36BD">
        <w:t xml:space="preserve">that the current models of inter-service collaboration are highly reliant on effective communication and to ensure ongoing success and improvements in </w:t>
      </w:r>
      <w:r w:rsidR="00FB2326">
        <w:t>multi-agency working that</w:t>
      </w:r>
      <w:r w:rsidR="0026430F">
        <w:t xml:space="preserve"> current</w:t>
      </w:r>
      <w:r w:rsidR="00FB2326">
        <w:t xml:space="preserve"> communication methods need to be addressed. New models </w:t>
      </w:r>
      <w:r w:rsidR="00E43150">
        <w:t xml:space="preserve">that are implemented require involvement from all agencies in order to </w:t>
      </w:r>
      <w:r w:rsidR="003E20DC">
        <w:t xml:space="preserve">establish the parameters that each agency should work towards to ensure that service users needs are managed effectively, and that the model works to the benefit of all parties. </w:t>
      </w:r>
    </w:p>
    <w:p w14:paraId="00B75599" w14:textId="081763D1" w:rsidR="0026430F" w:rsidRDefault="0026430F" w:rsidP="00EF3862">
      <w:r>
        <w:t>(Word Count – 1089)</w:t>
      </w:r>
    </w:p>
    <w:p w14:paraId="7DE1FF27" w14:textId="77777777" w:rsidR="0026430F" w:rsidRDefault="0026430F" w:rsidP="00EF3862"/>
    <w:sdt>
      <w:sdtPr>
        <w:id w:val="-175442396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73832B9" w14:textId="76F2626F" w:rsidR="0026430F" w:rsidRDefault="0026430F">
          <w:pPr>
            <w:pStyle w:val="Heading1"/>
          </w:pPr>
          <w:r>
            <w:t>Bibliography</w:t>
          </w:r>
        </w:p>
        <w:sdt>
          <w:sdtPr>
            <w:id w:val="111145805"/>
            <w:bibliography/>
          </w:sdtPr>
          <w:sdtContent>
            <w:p w14:paraId="457F2BA3" w14:textId="77777777" w:rsidR="0026430F" w:rsidRDefault="0026430F" w:rsidP="0026430F">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College of Policing, 2024. </w:t>
              </w:r>
              <w:r>
                <w:rPr>
                  <w:i/>
                  <w:iCs/>
                  <w:noProof/>
                  <w:lang w:val="en-US"/>
                </w:rPr>
                <w:t xml:space="preserve">Right Care Right Person toolkit. </w:t>
              </w:r>
              <w:r>
                <w:rPr>
                  <w:noProof/>
                  <w:lang w:val="en-US"/>
                </w:rPr>
                <w:t xml:space="preserve">[Online] </w:t>
              </w:r>
              <w:r>
                <w:rPr>
                  <w:noProof/>
                  <w:lang w:val="en-US"/>
                </w:rPr>
                <w:br/>
                <w:t xml:space="preserve">Available at: </w:t>
              </w:r>
              <w:r>
                <w:rPr>
                  <w:noProof/>
                  <w:u w:val="single"/>
                  <w:lang w:val="en-US"/>
                </w:rPr>
                <w:t>https://www.college.police.uk/guidance/right-care-right-person-toolkit</w:t>
              </w:r>
              <w:r>
                <w:rPr>
                  <w:noProof/>
                  <w:lang w:val="en-US"/>
                </w:rPr>
                <w:br/>
                <w:t>[Accessed 05 05 2024].</w:t>
              </w:r>
            </w:p>
            <w:p w14:paraId="3AB9E36F" w14:textId="77777777" w:rsidR="0026430F" w:rsidRDefault="0026430F" w:rsidP="0026430F">
              <w:pPr>
                <w:pStyle w:val="Bibliography"/>
                <w:rPr>
                  <w:noProof/>
                  <w:lang w:val="en-US"/>
                </w:rPr>
              </w:pPr>
              <w:r>
                <w:rPr>
                  <w:noProof/>
                  <w:lang w:val="en-US"/>
                </w:rPr>
                <w:t xml:space="preserve">Home Office, 2023. </w:t>
              </w:r>
              <w:r>
                <w:rPr>
                  <w:i/>
                  <w:iCs/>
                  <w:noProof/>
                  <w:lang w:val="en-US"/>
                </w:rPr>
                <w:t xml:space="preserve">Police Officer Uplift, final position as at March 2023. </w:t>
              </w:r>
              <w:r>
                <w:rPr>
                  <w:noProof/>
                  <w:lang w:val="en-US"/>
                </w:rPr>
                <w:t xml:space="preserve">[Online] </w:t>
              </w:r>
              <w:r>
                <w:rPr>
                  <w:noProof/>
                  <w:lang w:val="en-US"/>
                </w:rPr>
                <w:br/>
                <w:t xml:space="preserve">Available at: </w:t>
              </w:r>
              <w:r>
                <w:rPr>
                  <w:noProof/>
                  <w:u w:val="single"/>
                  <w:lang w:val="en-US"/>
                </w:rPr>
                <w:t>https://www.gov.uk/government/statistics/police-officer-uplift-final-position-as-at-march-2023/police-officer-uplift-final-position-as-at-march-2023</w:t>
              </w:r>
              <w:r>
                <w:rPr>
                  <w:noProof/>
                  <w:lang w:val="en-US"/>
                </w:rPr>
                <w:br/>
                <w:t>[Accessed 29 04 2023].</w:t>
              </w:r>
            </w:p>
            <w:p w14:paraId="0856F44A" w14:textId="77777777" w:rsidR="0026430F" w:rsidRDefault="0026430F" w:rsidP="0026430F">
              <w:pPr>
                <w:pStyle w:val="Bibliography"/>
                <w:rPr>
                  <w:noProof/>
                  <w:lang w:val="en-US"/>
                </w:rPr>
              </w:pPr>
              <w:r>
                <w:rPr>
                  <w:noProof/>
                  <w:lang w:val="en-US"/>
                </w:rPr>
                <w:t xml:space="preserve">Langton, S. et al., 2021. Policing and Mental ill-health: Using Big Data to Assess the Scale and Severity of, and the Frontline Resources Committed to, mental ill-health-related calls-for-service. </w:t>
              </w:r>
              <w:r>
                <w:rPr>
                  <w:i/>
                  <w:iCs/>
                  <w:noProof/>
                  <w:lang w:val="en-US"/>
                </w:rPr>
                <w:t xml:space="preserve">Policing: A Journal of Policy and Practice, </w:t>
              </w:r>
              <w:r>
                <w:rPr>
                  <w:noProof/>
                  <w:lang w:val="en-US"/>
                </w:rPr>
                <w:t>15(3), pp. 1963-1976.</w:t>
              </w:r>
            </w:p>
            <w:p w14:paraId="0AE681FE" w14:textId="77777777" w:rsidR="0026430F" w:rsidRDefault="0026430F" w:rsidP="0026430F">
              <w:pPr>
                <w:pStyle w:val="Bibliography"/>
                <w:rPr>
                  <w:noProof/>
                  <w:lang w:val="en-US"/>
                </w:rPr>
              </w:pPr>
              <w:r>
                <w:rPr>
                  <w:noProof/>
                  <w:lang w:val="en-US"/>
                </w:rPr>
                <w:t xml:space="preserve">Legislation.gov.uk, 2011. </w:t>
              </w:r>
              <w:r>
                <w:rPr>
                  <w:i/>
                  <w:iCs/>
                  <w:noProof/>
                  <w:lang w:val="en-US"/>
                </w:rPr>
                <w:t xml:space="preserve">The Police Reform and Social Responsibility Act 2011. </w:t>
              </w:r>
              <w:r>
                <w:rPr>
                  <w:noProof/>
                  <w:lang w:val="en-US"/>
                </w:rPr>
                <w:t xml:space="preserve">[Online] </w:t>
              </w:r>
              <w:r>
                <w:rPr>
                  <w:noProof/>
                  <w:lang w:val="en-US"/>
                </w:rPr>
                <w:br/>
                <w:t xml:space="preserve">Available at: </w:t>
              </w:r>
              <w:r>
                <w:rPr>
                  <w:noProof/>
                  <w:u w:val="single"/>
                  <w:lang w:val="en-US"/>
                </w:rPr>
                <w:t>https://www.legislation.gov.uk/ukpga/2011/13/section/10/enacted</w:t>
              </w:r>
              <w:r>
                <w:rPr>
                  <w:noProof/>
                  <w:lang w:val="en-US"/>
                </w:rPr>
                <w:br/>
                <w:t>[Accessed 27 04 2024].</w:t>
              </w:r>
            </w:p>
            <w:p w14:paraId="4815AF36" w14:textId="77777777" w:rsidR="0026430F" w:rsidRDefault="0026430F" w:rsidP="0026430F">
              <w:pPr>
                <w:pStyle w:val="Bibliography"/>
                <w:rPr>
                  <w:noProof/>
                  <w:lang w:val="en-US"/>
                </w:rPr>
              </w:pPr>
              <w:r>
                <w:rPr>
                  <w:noProof/>
                  <w:lang w:val="en-US"/>
                </w:rPr>
                <w:t xml:space="preserve">Legislation.gov.uk, n.d. </w:t>
              </w:r>
              <w:r>
                <w:rPr>
                  <w:i/>
                  <w:iCs/>
                  <w:noProof/>
                  <w:lang w:val="en-US"/>
                </w:rPr>
                <w:t xml:space="preserve">Children Act 2004. </w:t>
              </w:r>
              <w:r>
                <w:rPr>
                  <w:noProof/>
                  <w:lang w:val="en-US"/>
                </w:rPr>
                <w:t xml:space="preserve">[Online] </w:t>
              </w:r>
              <w:r>
                <w:rPr>
                  <w:noProof/>
                  <w:lang w:val="en-US"/>
                </w:rPr>
                <w:br/>
                <w:t xml:space="preserve">Available at: </w:t>
              </w:r>
              <w:r>
                <w:rPr>
                  <w:noProof/>
                  <w:u w:val="single"/>
                  <w:lang w:val="en-US"/>
                </w:rPr>
                <w:t>https://www.legislation.gov.uk/ukpga/2004/31/section/11</w:t>
              </w:r>
              <w:r>
                <w:rPr>
                  <w:noProof/>
                  <w:lang w:val="en-US"/>
                </w:rPr>
                <w:br/>
                <w:t>[Accessed 27 04 2024].</w:t>
              </w:r>
            </w:p>
            <w:p w14:paraId="02EF7E77" w14:textId="77777777" w:rsidR="0026430F" w:rsidRDefault="0026430F" w:rsidP="0026430F">
              <w:pPr>
                <w:pStyle w:val="Bibliography"/>
                <w:rPr>
                  <w:noProof/>
                  <w:lang w:val="en-US"/>
                </w:rPr>
              </w:pPr>
              <w:r>
                <w:rPr>
                  <w:noProof/>
                  <w:lang w:val="en-US"/>
                </w:rPr>
                <w:t xml:space="preserve">Legislation.gov.uk, n.d. </w:t>
              </w:r>
              <w:r>
                <w:rPr>
                  <w:i/>
                  <w:iCs/>
                  <w:noProof/>
                  <w:lang w:val="en-US"/>
                </w:rPr>
                <w:t xml:space="preserve">Crime and Disorder Act 1998. </w:t>
              </w:r>
              <w:r>
                <w:rPr>
                  <w:noProof/>
                  <w:lang w:val="en-US"/>
                </w:rPr>
                <w:t xml:space="preserve">[Online] </w:t>
              </w:r>
              <w:r>
                <w:rPr>
                  <w:noProof/>
                  <w:lang w:val="en-US"/>
                </w:rPr>
                <w:br/>
                <w:t xml:space="preserve">Available at: </w:t>
              </w:r>
              <w:r>
                <w:rPr>
                  <w:noProof/>
                  <w:u w:val="single"/>
                  <w:lang w:val="en-US"/>
                </w:rPr>
                <w:t>https://www.legislation.gov.uk/ukpga/1998/37/section/17A</w:t>
              </w:r>
              <w:r>
                <w:rPr>
                  <w:noProof/>
                  <w:lang w:val="en-US"/>
                </w:rPr>
                <w:br/>
                <w:t>[Accessed 27 04 2024].</w:t>
              </w:r>
            </w:p>
            <w:p w14:paraId="38D35886" w14:textId="77777777" w:rsidR="0026430F" w:rsidRDefault="0026430F" w:rsidP="0026430F">
              <w:pPr>
                <w:pStyle w:val="Bibliography"/>
                <w:rPr>
                  <w:noProof/>
                  <w:lang w:val="en-US"/>
                </w:rPr>
              </w:pPr>
              <w:r>
                <w:rPr>
                  <w:noProof/>
                  <w:lang w:val="en-US"/>
                </w:rPr>
                <w:t xml:space="preserve">Millie, A., 2013. What are the Police for? Re-thinking policing post-austerity. In: </w:t>
              </w:r>
              <w:r>
                <w:rPr>
                  <w:i/>
                  <w:iCs/>
                  <w:noProof/>
                  <w:lang w:val="en-US"/>
                </w:rPr>
                <w:t xml:space="preserve">The future of policing. </w:t>
              </w:r>
              <w:r>
                <w:rPr>
                  <w:noProof/>
                  <w:lang w:val="en-US"/>
                </w:rPr>
                <w:t>1st ed. s.l.:Routledge.</w:t>
              </w:r>
            </w:p>
            <w:p w14:paraId="1EF7D67D" w14:textId="77777777" w:rsidR="0026430F" w:rsidRDefault="0026430F" w:rsidP="0026430F">
              <w:pPr>
                <w:pStyle w:val="Bibliography"/>
                <w:rPr>
                  <w:noProof/>
                  <w:lang w:val="en-US"/>
                </w:rPr>
              </w:pPr>
              <w:r>
                <w:rPr>
                  <w:noProof/>
                  <w:lang w:val="en-US"/>
                </w:rPr>
                <w:t xml:space="preserve">Office of National Statistics, 2024. </w:t>
              </w:r>
              <w:r>
                <w:rPr>
                  <w:i/>
                  <w:iCs/>
                  <w:noProof/>
                  <w:lang w:val="en-US"/>
                </w:rPr>
                <w:t xml:space="preserve">Population estimates for the UK, England, Wales, Scotland, and Northern Ireland: mid-2022.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w:t>
              </w:r>
              <w:r>
                <w:rPr>
                  <w:noProof/>
                  <w:u w:val="single"/>
                  <w:lang w:val="en-US"/>
                </w:rPr>
                <w:lastRenderedPageBreak/>
                <w:t>ates/bulletins/annualmidyearpopulationestimates/mid2022</w:t>
              </w:r>
              <w:r>
                <w:rPr>
                  <w:noProof/>
                  <w:lang w:val="en-US"/>
                </w:rPr>
                <w:br/>
                <w:t>[Accessed 29 04 2024].</w:t>
              </w:r>
            </w:p>
            <w:p w14:paraId="24EC40AB" w14:textId="77777777" w:rsidR="0026430F" w:rsidRDefault="0026430F" w:rsidP="0026430F">
              <w:pPr>
                <w:pStyle w:val="Bibliography"/>
                <w:rPr>
                  <w:noProof/>
                  <w:lang w:val="en-US"/>
                </w:rPr>
              </w:pPr>
              <w:r>
                <w:rPr>
                  <w:noProof/>
                  <w:lang w:val="en-US"/>
                </w:rPr>
                <w:t xml:space="preserve">Puntis, S. et al., 2018. A systematic review of co-responder models of police mental health 'street' triage. </w:t>
              </w:r>
              <w:r>
                <w:rPr>
                  <w:i/>
                  <w:iCs/>
                  <w:noProof/>
                  <w:lang w:val="en-US"/>
                </w:rPr>
                <w:t>BMC Psychiatry</w:t>
              </w:r>
              <w:r>
                <w:rPr>
                  <w:noProof/>
                  <w:lang w:val="en-US"/>
                </w:rPr>
                <w:t xml:space="preserve">. </w:t>
              </w:r>
            </w:p>
            <w:p w14:paraId="51FEC284" w14:textId="1BA72991" w:rsidR="0026430F" w:rsidRDefault="0026430F" w:rsidP="0026430F">
              <w:r>
                <w:rPr>
                  <w:b/>
                  <w:bCs/>
                  <w:noProof/>
                </w:rPr>
                <w:fldChar w:fldCharType="end"/>
              </w:r>
            </w:p>
          </w:sdtContent>
        </w:sdt>
      </w:sdtContent>
    </w:sdt>
    <w:p w14:paraId="2FE5642C" w14:textId="77777777" w:rsidR="0026430F" w:rsidRPr="00756B15" w:rsidRDefault="0026430F" w:rsidP="00EF3862"/>
    <w:p w14:paraId="4112B3B9" w14:textId="77777777" w:rsidR="002442F7" w:rsidRPr="00CB04CB" w:rsidRDefault="002442F7" w:rsidP="00EF3862"/>
    <w:sectPr w:rsidR="002442F7" w:rsidRPr="00CB0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15D"/>
    <w:rsid w:val="00016CEC"/>
    <w:rsid w:val="00076F9E"/>
    <w:rsid w:val="00086E65"/>
    <w:rsid w:val="000D1CFD"/>
    <w:rsid w:val="000F50E3"/>
    <w:rsid w:val="00102300"/>
    <w:rsid w:val="00144D4C"/>
    <w:rsid w:val="00147E38"/>
    <w:rsid w:val="001540F8"/>
    <w:rsid w:val="001567AB"/>
    <w:rsid w:val="00184A47"/>
    <w:rsid w:val="001864A3"/>
    <w:rsid w:val="001B2D83"/>
    <w:rsid w:val="001B5067"/>
    <w:rsid w:val="001D1386"/>
    <w:rsid w:val="001D2B0C"/>
    <w:rsid w:val="001D323B"/>
    <w:rsid w:val="002442F7"/>
    <w:rsid w:val="0024479D"/>
    <w:rsid w:val="0026430F"/>
    <w:rsid w:val="00277167"/>
    <w:rsid w:val="00287FBD"/>
    <w:rsid w:val="00293441"/>
    <w:rsid w:val="002A5115"/>
    <w:rsid w:val="002A6CB4"/>
    <w:rsid w:val="002E6085"/>
    <w:rsid w:val="002F36BD"/>
    <w:rsid w:val="002F7EAF"/>
    <w:rsid w:val="00334B7F"/>
    <w:rsid w:val="003668EE"/>
    <w:rsid w:val="00372FB6"/>
    <w:rsid w:val="00386BA7"/>
    <w:rsid w:val="0039380B"/>
    <w:rsid w:val="003A1BD7"/>
    <w:rsid w:val="003A2887"/>
    <w:rsid w:val="003A4A1C"/>
    <w:rsid w:val="003E20DC"/>
    <w:rsid w:val="0042530C"/>
    <w:rsid w:val="00427B55"/>
    <w:rsid w:val="004306C9"/>
    <w:rsid w:val="004405B9"/>
    <w:rsid w:val="004534DE"/>
    <w:rsid w:val="004813A2"/>
    <w:rsid w:val="0049315D"/>
    <w:rsid w:val="00504007"/>
    <w:rsid w:val="00580557"/>
    <w:rsid w:val="005A05B2"/>
    <w:rsid w:val="005A114F"/>
    <w:rsid w:val="005A4847"/>
    <w:rsid w:val="005C207B"/>
    <w:rsid w:val="005C50C4"/>
    <w:rsid w:val="005D2285"/>
    <w:rsid w:val="005F05E0"/>
    <w:rsid w:val="0061587B"/>
    <w:rsid w:val="00643A13"/>
    <w:rsid w:val="0066754A"/>
    <w:rsid w:val="00672FD1"/>
    <w:rsid w:val="006763AD"/>
    <w:rsid w:val="00695CE9"/>
    <w:rsid w:val="006B783E"/>
    <w:rsid w:val="006F5EAA"/>
    <w:rsid w:val="00715E42"/>
    <w:rsid w:val="0072258B"/>
    <w:rsid w:val="00756B15"/>
    <w:rsid w:val="007744A9"/>
    <w:rsid w:val="0078103E"/>
    <w:rsid w:val="007B30E8"/>
    <w:rsid w:val="007D6E9B"/>
    <w:rsid w:val="007E1D8A"/>
    <w:rsid w:val="00812638"/>
    <w:rsid w:val="00850D32"/>
    <w:rsid w:val="00873838"/>
    <w:rsid w:val="008874DB"/>
    <w:rsid w:val="00891A34"/>
    <w:rsid w:val="0089227A"/>
    <w:rsid w:val="008A1789"/>
    <w:rsid w:val="008A1BD7"/>
    <w:rsid w:val="008A5F3A"/>
    <w:rsid w:val="008C6D09"/>
    <w:rsid w:val="008D54CB"/>
    <w:rsid w:val="008D7F7A"/>
    <w:rsid w:val="009015A2"/>
    <w:rsid w:val="009022E4"/>
    <w:rsid w:val="009032EC"/>
    <w:rsid w:val="00946066"/>
    <w:rsid w:val="00981C67"/>
    <w:rsid w:val="009B0D77"/>
    <w:rsid w:val="009B1B96"/>
    <w:rsid w:val="009B7636"/>
    <w:rsid w:val="00A04683"/>
    <w:rsid w:val="00A12AA5"/>
    <w:rsid w:val="00A161C9"/>
    <w:rsid w:val="00A4599B"/>
    <w:rsid w:val="00A61AAC"/>
    <w:rsid w:val="00A808BB"/>
    <w:rsid w:val="00A858EE"/>
    <w:rsid w:val="00AB186C"/>
    <w:rsid w:val="00B071E6"/>
    <w:rsid w:val="00B36049"/>
    <w:rsid w:val="00B47BA6"/>
    <w:rsid w:val="00B67762"/>
    <w:rsid w:val="00B848A4"/>
    <w:rsid w:val="00B87325"/>
    <w:rsid w:val="00B913C1"/>
    <w:rsid w:val="00BB1DA4"/>
    <w:rsid w:val="00BB2F5C"/>
    <w:rsid w:val="00BC013C"/>
    <w:rsid w:val="00BE4C1F"/>
    <w:rsid w:val="00C171C1"/>
    <w:rsid w:val="00C17B02"/>
    <w:rsid w:val="00C33071"/>
    <w:rsid w:val="00C50430"/>
    <w:rsid w:val="00C54DE4"/>
    <w:rsid w:val="00C62A7A"/>
    <w:rsid w:val="00C71636"/>
    <w:rsid w:val="00C76A22"/>
    <w:rsid w:val="00C90D36"/>
    <w:rsid w:val="00CB04CB"/>
    <w:rsid w:val="00D263BB"/>
    <w:rsid w:val="00D5146C"/>
    <w:rsid w:val="00D542BA"/>
    <w:rsid w:val="00D54FB6"/>
    <w:rsid w:val="00D75E3B"/>
    <w:rsid w:val="00D90074"/>
    <w:rsid w:val="00D97763"/>
    <w:rsid w:val="00DB7E1D"/>
    <w:rsid w:val="00DC7E06"/>
    <w:rsid w:val="00DD25DD"/>
    <w:rsid w:val="00DE1ADE"/>
    <w:rsid w:val="00DF1C0D"/>
    <w:rsid w:val="00DF6CF5"/>
    <w:rsid w:val="00E35EAF"/>
    <w:rsid w:val="00E43150"/>
    <w:rsid w:val="00E51A6B"/>
    <w:rsid w:val="00E83AFA"/>
    <w:rsid w:val="00E84E36"/>
    <w:rsid w:val="00E91D14"/>
    <w:rsid w:val="00EA59B8"/>
    <w:rsid w:val="00EA773E"/>
    <w:rsid w:val="00EA77C3"/>
    <w:rsid w:val="00EB50B6"/>
    <w:rsid w:val="00EC667B"/>
    <w:rsid w:val="00EF3862"/>
    <w:rsid w:val="00F11B40"/>
    <w:rsid w:val="00F3033E"/>
    <w:rsid w:val="00F97163"/>
    <w:rsid w:val="00FB2326"/>
    <w:rsid w:val="00FC3F31"/>
    <w:rsid w:val="00FC56B2"/>
    <w:rsid w:val="00FD0D7E"/>
    <w:rsid w:val="00FE7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9EB9A"/>
  <w15:chartTrackingRefBased/>
  <w15:docId w15:val="{9C5A0B95-3BFD-4941-BCBF-748F89491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30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30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64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8426">
      <w:bodyDiv w:val="1"/>
      <w:marLeft w:val="0"/>
      <w:marRight w:val="0"/>
      <w:marTop w:val="0"/>
      <w:marBottom w:val="0"/>
      <w:divBdr>
        <w:top w:val="none" w:sz="0" w:space="0" w:color="auto"/>
        <w:left w:val="none" w:sz="0" w:space="0" w:color="auto"/>
        <w:bottom w:val="none" w:sz="0" w:space="0" w:color="auto"/>
        <w:right w:val="none" w:sz="0" w:space="0" w:color="auto"/>
      </w:divBdr>
    </w:div>
    <w:div w:id="210457044">
      <w:bodyDiv w:val="1"/>
      <w:marLeft w:val="0"/>
      <w:marRight w:val="0"/>
      <w:marTop w:val="0"/>
      <w:marBottom w:val="0"/>
      <w:divBdr>
        <w:top w:val="none" w:sz="0" w:space="0" w:color="auto"/>
        <w:left w:val="none" w:sz="0" w:space="0" w:color="auto"/>
        <w:bottom w:val="none" w:sz="0" w:space="0" w:color="auto"/>
        <w:right w:val="none" w:sz="0" w:space="0" w:color="auto"/>
      </w:divBdr>
    </w:div>
    <w:div w:id="285821637">
      <w:bodyDiv w:val="1"/>
      <w:marLeft w:val="0"/>
      <w:marRight w:val="0"/>
      <w:marTop w:val="0"/>
      <w:marBottom w:val="0"/>
      <w:divBdr>
        <w:top w:val="none" w:sz="0" w:space="0" w:color="auto"/>
        <w:left w:val="none" w:sz="0" w:space="0" w:color="auto"/>
        <w:bottom w:val="none" w:sz="0" w:space="0" w:color="auto"/>
        <w:right w:val="none" w:sz="0" w:space="0" w:color="auto"/>
      </w:divBdr>
    </w:div>
    <w:div w:id="537202014">
      <w:bodyDiv w:val="1"/>
      <w:marLeft w:val="0"/>
      <w:marRight w:val="0"/>
      <w:marTop w:val="0"/>
      <w:marBottom w:val="0"/>
      <w:divBdr>
        <w:top w:val="none" w:sz="0" w:space="0" w:color="auto"/>
        <w:left w:val="none" w:sz="0" w:space="0" w:color="auto"/>
        <w:bottom w:val="none" w:sz="0" w:space="0" w:color="auto"/>
        <w:right w:val="none" w:sz="0" w:space="0" w:color="auto"/>
      </w:divBdr>
    </w:div>
    <w:div w:id="543565922">
      <w:bodyDiv w:val="1"/>
      <w:marLeft w:val="0"/>
      <w:marRight w:val="0"/>
      <w:marTop w:val="0"/>
      <w:marBottom w:val="0"/>
      <w:divBdr>
        <w:top w:val="none" w:sz="0" w:space="0" w:color="auto"/>
        <w:left w:val="none" w:sz="0" w:space="0" w:color="auto"/>
        <w:bottom w:val="none" w:sz="0" w:space="0" w:color="auto"/>
        <w:right w:val="none" w:sz="0" w:space="0" w:color="auto"/>
      </w:divBdr>
    </w:div>
    <w:div w:id="598828911">
      <w:bodyDiv w:val="1"/>
      <w:marLeft w:val="0"/>
      <w:marRight w:val="0"/>
      <w:marTop w:val="0"/>
      <w:marBottom w:val="0"/>
      <w:divBdr>
        <w:top w:val="none" w:sz="0" w:space="0" w:color="auto"/>
        <w:left w:val="none" w:sz="0" w:space="0" w:color="auto"/>
        <w:bottom w:val="none" w:sz="0" w:space="0" w:color="auto"/>
        <w:right w:val="none" w:sz="0" w:space="0" w:color="auto"/>
      </w:divBdr>
    </w:div>
    <w:div w:id="624434310">
      <w:bodyDiv w:val="1"/>
      <w:marLeft w:val="0"/>
      <w:marRight w:val="0"/>
      <w:marTop w:val="0"/>
      <w:marBottom w:val="0"/>
      <w:divBdr>
        <w:top w:val="none" w:sz="0" w:space="0" w:color="auto"/>
        <w:left w:val="none" w:sz="0" w:space="0" w:color="auto"/>
        <w:bottom w:val="none" w:sz="0" w:space="0" w:color="auto"/>
        <w:right w:val="none" w:sz="0" w:space="0" w:color="auto"/>
      </w:divBdr>
    </w:div>
    <w:div w:id="671758608">
      <w:bodyDiv w:val="1"/>
      <w:marLeft w:val="0"/>
      <w:marRight w:val="0"/>
      <w:marTop w:val="0"/>
      <w:marBottom w:val="0"/>
      <w:divBdr>
        <w:top w:val="none" w:sz="0" w:space="0" w:color="auto"/>
        <w:left w:val="none" w:sz="0" w:space="0" w:color="auto"/>
        <w:bottom w:val="none" w:sz="0" w:space="0" w:color="auto"/>
        <w:right w:val="none" w:sz="0" w:space="0" w:color="auto"/>
      </w:divBdr>
    </w:div>
    <w:div w:id="897057394">
      <w:bodyDiv w:val="1"/>
      <w:marLeft w:val="0"/>
      <w:marRight w:val="0"/>
      <w:marTop w:val="0"/>
      <w:marBottom w:val="0"/>
      <w:divBdr>
        <w:top w:val="none" w:sz="0" w:space="0" w:color="auto"/>
        <w:left w:val="none" w:sz="0" w:space="0" w:color="auto"/>
        <w:bottom w:val="none" w:sz="0" w:space="0" w:color="auto"/>
        <w:right w:val="none" w:sz="0" w:space="0" w:color="auto"/>
      </w:divBdr>
    </w:div>
    <w:div w:id="918907082">
      <w:bodyDiv w:val="1"/>
      <w:marLeft w:val="0"/>
      <w:marRight w:val="0"/>
      <w:marTop w:val="0"/>
      <w:marBottom w:val="0"/>
      <w:divBdr>
        <w:top w:val="none" w:sz="0" w:space="0" w:color="auto"/>
        <w:left w:val="none" w:sz="0" w:space="0" w:color="auto"/>
        <w:bottom w:val="none" w:sz="0" w:space="0" w:color="auto"/>
        <w:right w:val="none" w:sz="0" w:space="0" w:color="auto"/>
      </w:divBdr>
    </w:div>
    <w:div w:id="1100832168">
      <w:bodyDiv w:val="1"/>
      <w:marLeft w:val="0"/>
      <w:marRight w:val="0"/>
      <w:marTop w:val="0"/>
      <w:marBottom w:val="0"/>
      <w:divBdr>
        <w:top w:val="none" w:sz="0" w:space="0" w:color="auto"/>
        <w:left w:val="none" w:sz="0" w:space="0" w:color="auto"/>
        <w:bottom w:val="none" w:sz="0" w:space="0" w:color="auto"/>
        <w:right w:val="none" w:sz="0" w:space="0" w:color="auto"/>
      </w:divBdr>
    </w:div>
    <w:div w:id="1145469484">
      <w:bodyDiv w:val="1"/>
      <w:marLeft w:val="0"/>
      <w:marRight w:val="0"/>
      <w:marTop w:val="0"/>
      <w:marBottom w:val="0"/>
      <w:divBdr>
        <w:top w:val="none" w:sz="0" w:space="0" w:color="auto"/>
        <w:left w:val="none" w:sz="0" w:space="0" w:color="auto"/>
        <w:bottom w:val="none" w:sz="0" w:space="0" w:color="auto"/>
        <w:right w:val="none" w:sz="0" w:space="0" w:color="auto"/>
      </w:divBdr>
    </w:div>
    <w:div w:id="1343583258">
      <w:bodyDiv w:val="1"/>
      <w:marLeft w:val="0"/>
      <w:marRight w:val="0"/>
      <w:marTop w:val="0"/>
      <w:marBottom w:val="0"/>
      <w:divBdr>
        <w:top w:val="none" w:sz="0" w:space="0" w:color="auto"/>
        <w:left w:val="none" w:sz="0" w:space="0" w:color="auto"/>
        <w:bottom w:val="none" w:sz="0" w:space="0" w:color="auto"/>
        <w:right w:val="none" w:sz="0" w:space="0" w:color="auto"/>
      </w:divBdr>
    </w:div>
    <w:div w:id="1595437966">
      <w:bodyDiv w:val="1"/>
      <w:marLeft w:val="0"/>
      <w:marRight w:val="0"/>
      <w:marTop w:val="0"/>
      <w:marBottom w:val="0"/>
      <w:divBdr>
        <w:top w:val="none" w:sz="0" w:space="0" w:color="auto"/>
        <w:left w:val="none" w:sz="0" w:space="0" w:color="auto"/>
        <w:bottom w:val="none" w:sz="0" w:space="0" w:color="auto"/>
        <w:right w:val="none" w:sz="0" w:space="0" w:color="auto"/>
      </w:divBdr>
    </w:div>
    <w:div w:id="1737164714">
      <w:bodyDiv w:val="1"/>
      <w:marLeft w:val="0"/>
      <w:marRight w:val="0"/>
      <w:marTop w:val="0"/>
      <w:marBottom w:val="0"/>
      <w:divBdr>
        <w:top w:val="none" w:sz="0" w:space="0" w:color="auto"/>
        <w:left w:val="none" w:sz="0" w:space="0" w:color="auto"/>
        <w:bottom w:val="none" w:sz="0" w:space="0" w:color="auto"/>
        <w:right w:val="none" w:sz="0" w:space="0" w:color="auto"/>
      </w:divBdr>
    </w:div>
    <w:div w:id="2055616238">
      <w:bodyDiv w:val="1"/>
      <w:marLeft w:val="0"/>
      <w:marRight w:val="0"/>
      <w:marTop w:val="0"/>
      <w:marBottom w:val="0"/>
      <w:divBdr>
        <w:top w:val="none" w:sz="0" w:space="0" w:color="auto"/>
        <w:left w:val="none" w:sz="0" w:space="0" w:color="auto"/>
        <w:bottom w:val="none" w:sz="0" w:space="0" w:color="auto"/>
        <w:right w:val="none" w:sz="0" w:space="0" w:color="auto"/>
      </w:divBdr>
    </w:div>
    <w:div w:id="212784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Leg241</b:Tag>
    <b:SourceType>InternetSite</b:SourceType>
    <b:Guid>{D73C74AB-F982-4067-A3EA-AF9FFBCF62C2}</b:Guid>
    <b:Author>
      <b:Author>
        <b:Corporate>Legislation.gov.uk</b:Corporate>
      </b:Author>
    </b:Author>
    <b:Title>Crime and Disorder Act 1998</b:Title>
    <b:YearAccessed>2024</b:YearAccessed>
    <b:MonthAccessed>04</b:MonthAccessed>
    <b:DayAccessed>27</b:DayAccessed>
    <b:URL>https://www.legislation.gov.uk/ukpga/1998/37/section/17A</b:URL>
    <b:RefOrder>5</b:RefOrder>
  </b:Source>
  <b:Source>
    <b:Tag>Leg11</b:Tag>
    <b:SourceType>InternetSite</b:SourceType>
    <b:Guid>{632A0483-85EA-46C9-8BF8-6385582C0F54}</b:Guid>
    <b:Title>The Police Reform and Social Responsibility Act 2011</b:Title>
    <b:Year>2011</b:Year>
    <b:Author>
      <b:Author>
        <b:NameList>
          <b:Person>
            <b:Last>Legislation.gov.uk</b:Last>
          </b:Person>
        </b:NameList>
      </b:Author>
    </b:Author>
    <b:YearAccessed>2024</b:YearAccessed>
    <b:MonthAccessed>04</b:MonthAccessed>
    <b:DayAccessed>27</b:DayAccessed>
    <b:URL>https://www.legislation.gov.uk/ukpga/2011/13/section/10/enacted</b:URL>
    <b:RefOrder>2</b:RefOrder>
  </b:Source>
  <b:Source>
    <b:Tag>Leg24</b:Tag>
    <b:SourceType>InternetSite</b:SourceType>
    <b:Guid>{6493DF40-857A-4A96-843E-5B20076E74C4}</b:Guid>
    <b:Title>Children Act 2004</b:Title>
    <b:Author>
      <b:Author>
        <b:Corporate>Legislation.gov.uk</b:Corporate>
      </b:Author>
    </b:Author>
    <b:YearAccessed>2024</b:YearAccessed>
    <b:MonthAccessed>04</b:MonthAccessed>
    <b:DayAccessed>27</b:DayAccessed>
    <b:URL>https://www.legislation.gov.uk/ukpga/2004/31/section/11</b:URL>
    <b:RefOrder>1</b:RefOrder>
  </b:Source>
  <b:Source>
    <b:Tag>Mil13</b:Tag>
    <b:SourceType>BookSection</b:SourceType>
    <b:Guid>{9DECB588-4E62-4066-AD55-642124F7FF97}</b:Guid>
    <b:Title>What are the Police for? Re-thinking policing post-austerity</b:Title>
    <b:Year>2013</b:Year>
    <b:YearAccessed>2024</b:YearAccessed>
    <b:MonthAccessed>04</b:MonthAccessed>
    <b:DayAccessed>29</b:DayAccessed>
    <b:URL>https://www.taylorfrancis.com/chapters/edit/10.4324/9780203435946-6/police-andrew-millie</b:URL>
    <b:Author>
      <b:Author>
        <b:NameList>
          <b:Person>
            <b:Last>Millie</b:Last>
            <b:First>Andrew</b:First>
          </b:Person>
        </b:NameList>
      </b:Author>
    </b:Author>
    <b:BookTitle>The future of policing</b:BookTitle>
    <b:Publisher>Routledge</b:Publisher>
    <b:Edition>1st</b:Edition>
    <b:RefOrder>6</b:RefOrder>
  </b:Source>
  <b:Source>
    <b:Tag>Hom23</b:Tag>
    <b:SourceType>DocumentFromInternetSite</b:SourceType>
    <b:Guid>{CA451107-FBB1-463C-8984-E1F7FE911BE7}</b:Guid>
    <b:Title>Police Officer Uplift, final position as at March 2023</b:Title>
    <b:Year>2023</b:Year>
    <b:Author>
      <b:Author>
        <b:Corporate>Home Office</b:Corporate>
      </b:Author>
    </b:Author>
    <b:Month>07</b:Month>
    <b:Day>26</b:Day>
    <b:YearAccessed>2023</b:YearAccessed>
    <b:MonthAccessed>04</b:MonthAccessed>
    <b:DayAccessed>29</b:DayAccessed>
    <b:URL>https://www.gov.uk/government/statistics/police-officer-uplift-final-position-as-at-march-2023/police-officer-uplift-final-position-as-at-march-2023</b:URL>
    <b:RefOrder>7</b:RefOrder>
  </b:Source>
  <b:Source>
    <b:Tag>Off24</b:Tag>
    <b:SourceType>InternetSite</b:SourceType>
    <b:Guid>{31402169-49E7-4728-8C31-EDE43FF6C6D6}</b:Guid>
    <b:Title>Population estimates for the UK, England, Wales, Scotland, and Northern Ireland: mid-2022</b:Title>
    <b:Year>2024</b:Year>
    <b:YearAccessed>2024</b:YearAccessed>
    <b:MonthAccessed>04</b:MonthAccessed>
    <b:DayAccessed>29</b:DayAccessed>
    <b:URL>https://www.ons.gov.uk/peoplepopulationandcommunity/populationandmigration/populationestimates/bulletins/annualmidyearpopulationestimates/mid2022</b:URL>
    <b:Author>
      <b:Author>
        <b:Corporate>Office of National Statistics</b:Corporate>
      </b:Author>
    </b:Author>
    <b:RefOrder>8</b:RefOrder>
  </b:Source>
  <b:Source>
    <b:Tag>Lan21</b:Tag>
    <b:SourceType>JournalArticle</b:SourceType>
    <b:Guid>{0151EDBD-DECA-41EB-A36F-C6EAF710336B}</b:Guid>
    <b:Title>Policing and Mental ill-health: Using Big Data to Assess the Scale and Severity of, and the Frontline Resources Committed to, mental ill-health-related calls-for-service</b:Title>
    <b:Year>2021</b:Year>
    <b:YearAccessed>2024</b:YearAccessed>
    <b:MonthAccessed>04</b:MonthAccessed>
    <b:DayAccessed>29</b:DayAccessed>
    <b:URL>https://academic.oup.com/policing/article/15/3/1963/6332599</b:URL>
    <b:Author>
      <b:Author>
        <b:NameList>
          <b:Person>
            <b:Last>Langton</b:Last>
            <b:First>Samuel</b:First>
          </b:Person>
          <b:Person>
            <b:Last>Bannister</b:Last>
            <b:First>Jon</b:First>
          </b:Person>
          <b:Person>
            <b:Last>Ellison</b:Last>
            <b:First>Mark</b:First>
          </b:Person>
          <b:Person>
            <b:Last>Haleem</b:Last>
            <b:First>Muhammad</b:First>
          </b:Person>
          <b:Person>
            <b:Last>Karolina</b:Last>
            <b:First>Krzemieniewska-Nandwani</b:First>
          </b:Person>
        </b:NameList>
      </b:Author>
    </b:Author>
    <b:JournalName>Policing: A Journal of Policy and Practice</b:JournalName>
    <b:Pages>1963-1976</b:Pages>
    <b:Volume>15</b:Volume>
    <b:Issue>3</b:Issue>
    <b:RefOrder>3</b:RefOrder>
  </b:Source>
  <b:Source>
    <b:Tag>Pun181</b:Tag>
    <b:SourceType>ArticleInAPeriodical</b:SourceType>
    <b:Guid>{94B550F4-1825-4981-AC70-BD129A7749F3}</b:Guid>
    <b:Author>
      <b:Author>
        <b:NameList>
          <b:Person>
            <b:Last>Puntis</b:Last>
            <b:First>Stephen</b:First>
          </b:Person>
          <b:Person>
            <b:Last>Perfect</b:Last>
            <b:First>Devon</b:First>
          </b:Person>
          <b:Person>
            <b:Last>Kirubarajan</b:Last>
            <b:First>Abirami</b:First>
          </b:Person>
          <b:Person>
            <b:Last>Bolton</b:Last>
            <b:First>Sorcha</b:First>
          </b:Person>
          <b:Person>
            <b:Last>Davies</b:Last>
            <b:First>Fay</b:First>
          </b:Person>
          <b:Person>
            <b:Last>Hayes</b:Last>
            <b:First>Aimee</b:First>
          </b:Person>
          <b:Person>
            <b:Last>Harriss</b:Last>
            <b:First>Eli</b:First>
          </b:Person>
          <b:Person>
            <b:Last>Molodynski</b:Last>
            <b:First>Andrew</b:First>
          </b:Person>
        </b:NameList>
      </b:Author>
    </b:Author>
    <b:Title>A systematic review of co-responder models of police mental health 'street' triage</b:Title>
    <b:Year>2018</b:Year>
    <b:PeriodicalTitle>BMC Psychiatry</b:PeriodicalTitle>
    <b:YearAccessed>2024</b:YearAccessed>
    <b:MonthAccessed>05</b:MonthAccessed>
    <b:DayAccessed>05</b:DayAccessed>
    <b:URL>https://bmcpsychiatry.biomedcentral.com/counter/pdf/10.1186/s12888-018-1836-2.pdf</b:URL>
    <b:RefOrder>9</b:RefOrder>
  </b:Source>
  <b:Source>
    <b:Tag>Col24</b:Tag>
    <b:SourceType>InternetSite</b:SourceType>
    <b:Guid>{AEFD461F-A3A3-400F-A526-6EE185DC23F7}</b:Guid>
    <b:Author>
      <b:Author>
        <b:Corporate>College of Policing</b:Corporate>
      </b:Author>
    </b:Author>
    <b:Title>Right Care Right Person toolkit</b:Title>
    <b:Year>2024</b:Year>
    <b:YearAccessed>2024</b:YearAccessed>
    <b:MonthAccessed>05</b:MonthAccessed>
    <b:DayAccessed>05</b:DayAccessed>
    <b:URL>https://www.college.police.uk/guidance/right-care-right-person-toolkit</b:URL>
    <b:RefOrder>4</b:RefOrder>
  </b:Source>
</b:Sources>
</file>

<file path=customXml/itemProps1.xml><?xml version="1.0" encoding="utf-8"?>
<ds:datastoreItem xmlns:ds="http://schemas.openxmlformats.org/officeDocument/2006/customXml" ds:itemID="{906B18FD-9A47-4B07-9E80-053C063DA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4</Pages>
  <Words>1351</Words>
  <Characters>7705</Characters>
  <Application>Microsoft Office Word</Application>
  <DocSecurity>0</DocSecurity>
  <Lines>64</Lines>
  <Paragraphs>18</Paragraphs>
  <ScaleCrop>false</ScaleCrop>
  <Company/>
  <LinksUpToDate>false</LinksUpToDate>
  <CharactersWithSpaces>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Blair-Baggs</dc:creator>
  <cp:keywords/>
  <dc:description/>
  <cp:lastModifiedBy>Ryan Blair-Baggs</cp:lastModifiedBy>
  <cp:revision>151</cp:revision>
  <dcterms:created xsi:type="dcterms:W3CDTF">2024-09-04T09:00:00Z</dcterms:created>
  <dcterms:modified xsi:type="dcterms:W3CDTF">2024-09-04T13:01:00Z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2024-09-04T09:00:29Z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ec0f54f8-6406-4c1e-95c7-e88ca8f54ad1</vt:lpwstr>
  </property>
  <property fmtid="{D5CDD505-2E9C-101B-9397-08002B2CF9AE}" pid="8" name="MSIP_Label_f2acd28b-79a3-4a0f-b0ff-4b75658b1549_ContentBits">
    <vt:lpwstr>0</vt:lpwstr>
  </property>
</Properties>
</file>