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81ABB" w14:textId="50AB74C4" w:rsidR="0068399E" w:rsidRPr="00ED05AB" w:rsidRDefault="00ED05AB" w:rsidP="00ED05AB">
      <w:pPr>
        <w:spacing w:line="276" w:lineRule="auto"/>
        <w:rPr>
          <w:rFonts w:ascii="Arial" w:hAnsi="Arial" w:cs="Arial"/>
          <w:sz w:val="24"/>
          <w:szCs w:val="24"/>
        </w:rPr>
      </w:pPr>
      <w:r w:rsidRPr="00ED05AB">
        <w:rPr>
          <w:rFonts w:ascii="Arial" w:hAnsi="Arial" w:cs="Arial"/>
          <w:sz w:val="24"/>
          <w:szCs w:val="24"/>
        </w:rPr>
        <w:t>Abbi Crocker                                                                                                      Student No. 1901489</w:t>
      </w:r>
    </w:p>
    <w:p w14:paraId="37F0B2D8" w14:textId="77777777" w:rsidR="007D6FA3" w:rsidRDefault="00ED05AB" w:rsidP="007D6FA3">
      <w:pPr>
        <w:spacing w:line="276" w:lineRule="auto"/>
        <w:jc w:val="center"/>
        <w:rPr>
          <w:rFonts w:ascii="Arial" w:hAnsi="Arial" w:cs="Arial"/>
          <w:sz w:val="24"/>
          <w:szCs w:val="24"/>
        </w:rPr>
      </w:pPr>
      <w:r w:rsidRPr="00ED05AB">
        <w:rPr>
          <w:rFonts w:ascii="Arial" w:hAnsi="Arial" w:cs="Arial"/>
          <w:sz w:val="24"/>
          <w:szCs w:val="24"/>
        </w:rPr>
        <w:t>Police Legitimacy – Evaluate the success and limitations of the Police and Criminal Evidence Act 1984 in preventing miscarriages of justice.</w:t>
      </w:r>
    </w:p>
    <w:p w14:paraId="3815F7BD" w14:textId="73ED408B" w:rsidR="007D6FA3" w:rsidRPr="007D6FA3" w:rsidRDefault="007D6FA3" w:rsidP="007D6FA3">
      <w:pPr>
        <w:spacing w:line="480" w:lineRule="auto"/>
        <w:rPr>
          <w:rFonts w:ascii="Arial" w:hAnsi="Arial" w:cs="Arial"/>
          <w:sz w:val="24"/>
          <w:szCs w:val="24"/>
        </w:rPr>
      </w:pPr>
      <w:r>
        <w:rPr>
          <w:rFonts w:ascii="Arial" w:hAnsi="Arial" w:cs="Arial"/>
          <w:sz w:val="24"/>
          <w:szCs w:val="24"/>
        </w:rPr>
        <w:t xml:space="preserve">          </w:t>
      </w:r>
      <w:r w:rsidRPr="007D6FA3">
        <w:rPr>
          <w:rFonts w:ascii="Arial" w:hAnsi="Arial" w:cs="Arial"/>
          <w:sz w:val="24"/>
          <w:szCs w:val="24"/>
        </w:rPr>
        <w:t>The Police and Criminal Evidence Act 1984 is a legislation that covers the powers held by the police have but considers and protects the human rights of the public at the same time. It was introduced in acknowledgment of the public perception of the police in the 1970s. The Police and Criminal Evidence Act 1984, or PACE, provides key legislation in areas such as “criminal investigation procedures in England and Wales, applying the principles of justice, honesty and workability in the investigate process, protection of the rights of all individuals and police powers for stop and search”, as pursuant to (Blackstone’s, p 68, 2021). In order to do so, PACE is structured into eight codes of practice, Code A to Code G and each code covers a particular area of practice. These practices include “stop and search, arrest, detention, investigation, identification, and interviewing detainees” (GOV.UK, 2020). PACE justifies the powers police have and the way in which they are entitled to use them, as well as providing cover and protection to public human rights.</w:t>
      </w:r>
    </w:p>
    <w:p w14:paraId="3DCDE58D" w14:textId="181228B5"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The Police and Criminal Evidence Act 1984 was upmost aimed at the police as a way of defeating the unfair use of police power and authority in the 1970s which stimulated beliefs that the force could not be trusted in law. However, PACE has multiple aims. One of the aims is to give regulation of power to the police as well as ensuring the rights of the public. The main purpose of PACE is to preserve balance between police powers and public freedom. PACE also aims to prohibit the incorrect appliance of police powers and unfair practice as well as being a prevention method for complaints made against the police and how to deal with them professionally should there be any made. In order to prevent the misuse of statutory powers, PACE outlines certain grounds that must be satisfied when dealing with suspects and detainees. For example under Section 2 (3) (a) of PACE, in order to use stop and search powers the officer must have reasonable grounds for doing so (Legislation.gov.uk, 2018), aiming to prevent stop and searches being conducted without genuine suspicion, which can lead to miscarriages of justice. Being fair and cooperative when dealing with suspects is one of the main ways in which the guilty plea can </w:t>
      </w:r>
      <w:r w:rsidR="007D6FA3" w:rsidRPr="007D6FA3">
        <w:rPr>
          <w:rFonts w:ascii="Arial" w:hAnsi="Arial" w:cs="Arial"/>
          <w:sz w:val="24"/>
          <w:szCs w:val="24"/>
        </w:rPr>
        <w:lastRenderedPageBreak/>
        <w:t xml:space="preserve">be obtained if there is one. There is evidence from (Cape and Young, 2008) that PACE was not fundamentally introduced to monitor policing as such, but to provide better strategies for criminal investigation, supported by their explanation, “PACE itself did not attempt to regulate policing in general but rather concerned itself with police powers to investigate crime”. </w:t>
      </w:r>
    </w:p>
    <w:p w14:paraId="1EEC2E89" w14:textId="5959CF03" w:rsid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Miscarriages of justice occur when an improper decision is allocated to a suspect by a court. This can include being charged guilty when defendant is not guilty or being given a more severe sentence than what is normally imposed for that particular crime. Miscarriages of justice can be a result of inadmissible evidence from the police and can include other factors such as “fabrication of evidence, poor identification, overestimation of the evidential value of expert testimony, unreliable confessions due to police pressure or psychological instability and misdirection by a judge during trial”, as explained by (BBC, 2001). The Police and Criminal Evidence Act 1984 was introduced as an attempt to prevent the police being the cause for a miscarriage of justice, but other legislations are used alongside PACE to prevent miscarriages of justice, which include the Criminal Appeal Act 1995 and the Criminal Justice Act 1988. </w:t>
      </w:r>
    </w:p>
    <w:p w14:paraId="58354658" w14:textId="77777777" w:rsidR="007D6FA3" w:rsidRPr="007D6FA3" w:rsidRDefault="007D6FA3" w:rsidP="007D6FA3">
      <w:pPr>
        <w:spacing w:line="480" w:lineRule="auto"/>
        <w:rPr>
          <w:rFonts w:ascii="Arial" w:hAnsi="Arial" w:cs="Arial"/>
          <w:sz w:val="24"/>
          <w:szCs w:val="24"/>
        </w:rPr>
      </w:pPr>
    </w:p>
    <w:p w14:paraId="65C20F37" w14:textId="509981A9"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Since the establishment of the police force in the 19</w:t>
      </w:r>
      <w:r w:rsidR="007D6FA3" w:rsidRPr="007D6FA3">
        <w:rPr>
          <w:rFonts w:ascii="Arial" w:hAnsi="Arial" w:cs="Arial"/>
          <w:sz w:val="24"/>
          <w:szCs w:val="24"/>
          <w:vertAlign w:val="superscript"/>
        </w:rPr>
        <w:t>th</w:t>
      </w:r>
      <w:r w:rsidR="007D6FA3" w:rsidRPr="007D6FA3">
        <w:rPr>
          <w:rFonts w:ascii="Arial" w:hAnsi="Arial" w:cs="Arial"/>
          <w:sz w:val="24"/>
          <w:szCs w:val="24"/>
        </w:rPr>
        <w:t xml:space="preserve"> century, they have been evolving and developing to improve the way in which they deliver their services. The objectives for which they are intended for has changed over time as (Brooke, p 3, 1999) specifies “the origins and initial purposes of the police lay not in the need for a crime detection and investigation organisation but rather in the need for a trained non-military body committed to the maintenance of public order”. </w:t>
      </w:r>
    </w:p>
    <w:p w14:paraId="60CE9BD4"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Although the police are very much a required service, complaints and queries involving police legitimacy have arose since the establishment of the force. The perception of the police has evolved overtime and has not always been positive as the force would desire. The public perception of police in the 19</w:t>
      </w:r>
      <w:r w:rsidRPr="007D6FA3">
        <w:rPr>
          <w:rFonts w:ascii="Arial" w:hAnsi="Arial" w:cs="Arial"/>
          <w:sz w:val="24"/>
          <w:szCs w:val="24"/>
          <w:vertAlign w:val="superscript"/>
        </w:rPr>
        <w:t>th</w:t>
      </w:r>
      <w:r w:rsidRPr="007D6FA3">
        <w:rPr>
          <w:rFonts w:ascii="Arial" w:hAnsi="Arial" w:cs="Arial"/>
          <w:sz w:val="24"/>
          <w:szCs w:val="24"/>
        </w:rPr>
        <w:t xml:space="preserve"> Century was very much negative due to the follow on from anti-police politics from the 1830s and 40s. (Churchill, 2018) implies that public perception of the police in the 19</w:t>
      </w:r>
      <w:r w:rsidRPr="007D6FA3">
        <w:rPr>
          <w:rFonts w:ascii="Arial" w:hAnsi="Arial" w:cs="Arial"/>
          <w:sz w:val="24"/>
          <w:szCs w:val="24"/>
          <w:vertAlign w:val="superscript"/>
        </w:rPr>
        <w:t>th</w:t>
      </w:r>
      <w:r w:rsidRPr="007D6FA3">
        <w:rPr>
          <w:rFonts w:ascii="Arial" w:hAnsi="Arial" w:cs="Arial"/>
          <w:sz w:val="24"/>
          <w:szCs w:val="24"/>
        </w:rPr>
        <w:t xml:space="preserve"> Century was primarily pessimistic as he declares “conflict and antagonism were ubiquitous in police encounters with the urban working class”. One of the main reasons for which </w:t>
      </w:r>
      <w:r w:rsidRPr="007D6FA3">
        <w:rPr>
          <w:rFonts w:ascii="Arial" w:hAnsi="Arial" w:cs="Arial"/>
          <w:sz w:val="24"/>
          <w:szCs w:val="24"/>
        </w:rPr>
        <w:lastRenderedPageBreak/>
        <w:t xml:space="preserve">the public perception of police was negative was due to the cases in which justice was miscarried. These negative perceptions were also directed at the Court of Appeal, as (BBC News, 2001) states, “the biggest problem seems to be the Court of Appeal and its lack of willingness to recognise and correct errors”. This comment was given by a brother of a victim of a miscarriage of justice as he was charged for a murder he portrayed he did not commit. </w:t>
      </w:r>
    </w:p>
    <w:p w14:paraId="713CEE9A" w14:textId="58F1FE17"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Prior to the introduction of the Police and Criminal Evidence Act 1984, in 1972 the murder of Maxwell </w:t>
      </w:r>
      <w:proofErr w:type="spellStart"/>
      <w:r w:rsidR="007D6FA3" w:rsidRPr="007D6FA3">
        <w:rPr>
          <w:rFonts w:ascii="Arial" w:hAnsi="Arial" w:cs="Arial"/>
          <w:sz w:val="24"/>
          <w:szCs w:val="24"/>
        </w:rPr>
        <w:t>Confait</w:t>
      </w:r>
      <w:proofErr w:type="spellEnd"/>
      <w:r w:rsidR="007D6FA3" w:rsidRPr="007D6FA3">
        <w:rPr>
          <w:rFonts w:ascii="Arial" w:hAnsi="Arial" w:cs="Arial"/>
          <w:sz w:val="24"/>
          <w:szCs w:val="24"/>
        </w:rPr>
        <w:t xml:space="preserve"> resulted to three innocent males, Colin Lattimore, Ronnie Leighton, and Ahmed Salih being sentenced for the murder. This case study is one of which suggesting that interviews prior to PACE were oppressive and unthoughtful to the vulnerability of suspects. As the body of victim Maxwell </w:t>
      </w:r>
      <w:proofErr w:type="spellStart"/>
      <w:r w:rsidR="007D6FA3" w:rsidRPr="007D6FA3">
        <w:rPr>
          <w:rFonts w:ascii="Arial" w:hAnsi="Arial" w:cs="Arial"/>
          <w:sz w:val="24"/>
          <w:szCs w:val="24"/>
        </w:rPr>
        <w:t>Confait</w:t>
      </w:r>
      <w:proofErr w:type="spellEnd"/>
      <w:r w:rsidR="007D6FA3" w:rsidRPr="007D6FA3">
        <w:rPr>
          <w:rFonts w:ascii="Arial" w:hAnsi="Arial" w:cs="Arial"/>
          <w:sz w:val="24"/>
          <w:szCs w:val="24"/>
        </w:rPr>
        <w:t xml:space="preserve"> was found in a burnt flat, the allegations for arresting the three males were that they were suspected to have been lighting fires the same night. After the arrest of the three innocent suspects, evidence suggests they were treated unfairly and without consideration. In keeping with (The Justice Gap, 2019) “they were held without a lawyer and without contact with parents. By two in the morning and after many hours of oppressive interrogation, they signed their statements sealing their fates”. When the case was brought for hearing, the suspected time of the incident was changed from between eight o’clock and ten o’clock at night to one o’clock in the morning. The reason for this was that the boys had alibis for the suspected time but not for the later time given at trial which increases the chances of charge (The Justice Gap, 2019). This suggests that the evidence given by the police had been tampered with meaning it was more likely to find the suspects as guilty. In regard to this particular case study, the issues that arose were the detention, treatment and questioning of suspects, contrary to Code C of PACE and the legitimacy of the evidence provided by the police during the interviews, which is contrary to Code E and F of PACE. </w:t>
      </w:r>
    </w:p>
    <w:p w14:paraId="499A7AF0" w14:textId="3C944E05"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The way in which suspects are dealt with in custody is crucial in ensuring they are still being provided with their human rights. Code C of the Police and Criminal Evidence Act 1984 comprehends for the detention, treatment and questioning of suspects. In this case, all three suspects were vulnerable. One of the reasons for this justification is that they were aged eighteen </w:t>
      </w:r>
      <w:r w:rsidR="007D6FA3" w:rsidRPr="007D6FA3">
        <w:rPr>
          <w:rFonts w:ascii="Arial" w:hAnsi="Arial" w:cs="Arial"/>
          <w:sz w:val="24"/>
          <w:szCs w:val="24"/>
        </w:rPr>
        <w:lastRenderedPageBreak/>
        <w:t>and under. Given by (Fisher, 1977) “Leighton and Salih were interviewed by police officers without the presence of a parent or guardian or someone who was not a police officer, although it would have been practical to delay the interviews till their mothers or some other person who was not a police officer could be brought there”. Although it was figured that the interviews were not unfair or oppressive, this was a breach of the Judge’s Rules. Another issue in relation to the vulnerability of the suspects was that Lattimore had learning difficulties, meaning his mental age was around fourteen. This would have also made it more possible for the interview to be oppressive and was concluded to by DCS Jones that it was “unfair to interview him without a parent, guardian or other person that was not a police officer present”, (Fisher, 1977). Under Code C of PACE, all suspects that are juvenile must be provided with an ‘appropriate adult’ (Blackstone’s, p590, 2021). PACE also outlines that suspects with mental disorders, mental health conditions and disabilities are considered as vulnerable and so they are permitted to have an ‘appropriate adult’ present during their interview. This is a way in which PACE attempts to protect the human rights of juvenile suspects by treating them fairly, as well as adapting to the needs and showing them consideration should they suffer with mental disorders and disabilities. The introduction of PACE actively demonstrates that juvenile and vulnerable suspects are now protected, as well as providing detainees with the right to legal advice under section 6 of Code C (Home Office, 2019). Being fair and considerate to the suspects in custody can be beneficial to the police, the court, and the suspect themselves as it can encourage them to plead guilty earlier in time if they are accountable, supported by (</w:t>
      </w:r>
      <w:proofErr w:type="spellStart"/>
      <w:r w:rsidR="007D6FA3" w:rsidRPr="007D6FA3">
        <w:rPr>
          <w:rFonts w:ascii="Arial" w:hAnsi="Arial" w:cs="Arial"/>
          <w:sz w:val="24"/>
          <w:szCs w:val="24"/>
        </w:rPr>
        <w:t>Peay</w:t>
      </w:r>
      <w:proofErr w:type="spellEnd"/>
      <w:r w:rsidR="007D6FA3" w:rsidRPr="007D6FA3">
        <w:rPr>
          <w:rFonts w:ascii="Arial" w:hAnsi="Arial" w:cs="Arial"/>
          <w:sz w:val="24"/>
          <w:szCs w:val="24"/>
        </w:rPr>
        <w:t xml:space="preserve"> and Player, 2018) as they specify “a guilty plea produces greater benefits the earlier the plea is indicated”. </w:t>
      </w:r>
    </w:p>
    <w:p w14:paraId="466B1FBB" w14:textId="5DCC5617" w:rsidR="007D6FA3" w:rsidRPr="007D6FA3" w:rsidRDefault="005E46B6" w:rsidP="007D6FA3">
      <w:pPr>
        <w:spacing w:line="480" w:lineRule="auto"/>
        <w:rPr>
          <w:rFonts w:ascii="Arial" w:hAnsi="Arial" w:cs="Arial"/>
          <w:sz w:val="24"/>
          <w:szCs w:val="24"/>
        </w:rPr>
      </w:pPr>
      <w:bookmarkStart w:id="0" w:name="_Hlk65862288"/>
      <w:r>
        <w:rPr>
          <w:rFonts w:ascii="Arial" w:hAnsi="Arial" w:cs="Arial"/>
          <w:sz w:val="24"/>
          <w:szCs w:val="24"/>
        </w:rPr>
        <w:t xml:space="preserve">          </w:t>
      </w:r>
      <w:r w:rsidR="007D6FA3" w:rsidRPr="007D6FA3">
        <w:rPr>
          <w:rFonts w:ascii="Arial" w:hAnsi="Arial" w:cs="Arial"/>
          <w:sz w:val="24"/>
          <w:szCs w:val="24"/>
        </w:rPr>
        <w:t xml:space="preserve">Interviewing is one of the key methods used to obtain evidence whether it be from suspect or from witnesses and is the most crucial part of a case brought to a court of justice. The evidence given, particularly during an interview needs to be legitimate and reliable.  Prior to the Police and Criminal Evidence Act 1984, interviews between suspects and police officers were not recorded so it was highly possible for a miscarriage of justice to occur as statements could be imprecise and body language and behaviour would not be seen by the judge during the interview. Code E and F of PACE cover the audio and audio-visually recording of interviews with suspects and preserves </w:t>
      </w:r>
      <w:r w:rsidR="007D6FA3" w:rsidRPr="007D6FA3">
        <w:rPr>
          <w:rFonts w:ascii="Arial" w:hAnsi="Arial" w:cs="Arial"/>
          <w:sz w:val="24"/>
          <w:szCs w:val="24"/>
        </w:rPr>
        <w:lastRenderedPageBreak/>
        <w:t xml:space="preserve">the rights of the individual in question (Blackstone’s, p69, 2021). The impact of the recording and video footage of interviews is recognised to be positive as it prevents fabrication of evidence and gives the possibility for the judge to witness body language and facial expression during the interview, as well as having the possibility to question certain points made during the interview. For example, a judge could say ‘in the interview you said the following… what exactly did you mean by this’. The (College of Policing, 2020) explains “highest standards need to be upheld”, which suggests interviews must be professional, explanative, fair, and structured. If at any time there are objections by the suspect to be recorded during the interview, the constable conducting the interview is provided with procedures they must go through to ensure the hearing is as fair as possible. For example, the (Metropolitan Police, 2010) provides one of the procedures for a suspect objecting to be taped as “do not discuss the advantages or otherwise of being interviewed; this could be regarded as an inducement to answer questions, or threats, which could render the evidence inadmissible”. In this case, the constable would then be required to tape the suspect saying they do not want a taped interview, and then conclude the interviewing by outlining that the suspect refuses to be interviewed. This prevents miscarriages of justice as the interviews can be viewed legitimately by the judge in court, the suspects exact words and actions can be heard making it complex for the police to fabricate evidence. </w:t>
      </w:r>
    </w:p>
    <w:bookmarkEnd w:id="0"/>
    <w:p w14:paraId="16AD1AE8" w14:textId="5FD6F138"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The misuse of stop and search powers can be a threat to police legitimacy and can be the starting point for a development of negative public perception towards the force. Before the introduction of the Police and Criminal Evidence Act 1984, there were arising issues in the misuses of stop and search powers by the police resulting in complaints made against them for unfair practice. Code A of the Police and Criminal Evidence Act 1984 covers the statutory stop and search powers that are granted to the police which still governs them with authority but respects the rights of the public at the same time. A summary of Code A of PACE, as given by (College of Policing, 2017) is that stop and search powers must be used “fairly, responsibly, with respect and without unlawful discrimination”. Code A aims to prevent suspects from believing the police can conduct a stop and search without reasonable grounds and provide protection to their human rights. For example, it protects the right to privacy as section (3)(5) of Code A states “There is no </w:t>
      </w:r>
      <w:r w:rsidR="007D6FA3" w:rsidRPr="007D6FA3">
        <w:rPr>
          <w:rFonts w:ascii="Arial" w:hAnsi="Arial" w:cs="Arial"/>
          <w:sz w:val="24"/>
          <w:szCs w:val="24"/>
        </w:rPr>
        <w:lastRenderedPageBreak/>
        <w:t>power to require a person to remove any clothing in public other than an outer coat, jacket or gloves”, and should a more thorough search be required, that must be conducted our of public sight and if for instance the removal of a t-shirt is necessary for the search, it must be “only be made by an officer of the same sex as the person searched and may not be made in the presence of anyone of the opposite sex unless the person being searched specifically requests it”, contrary to section (3)(6), indicated by (Home Office, 2015).</w:t>
      </w:r>
    </w:p>
    <w:p w14:paraId="09EE052F" w14:textId="05615F1C" w:rsidR="007D6FA3" w:rsidRP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 xml:space="preserve">If an officer is to break any of the codes under the Police and Criminal Evidence Act 1984, they are likely to receive a form of punishment for the breach of unfair practice. According to (Blackstone’s, p69, 2021) these punishments can include “disciplinary action for the police officer, depending on the circumstance, evidence being deemed inadmissible or unfair by a court, and/or liability for civil or criminal proceedings”. If the punishment is the evidence being deemed inadmissible or unfair, this would defeat the main objective of PACE which is to provide a balance between police powers and human rights. This could be harmful to the police legitimacy and would most likely trigger adverse public perception and the power of the media could inflict the conspiracy that the police do not protect the public. </w:t>
      </w:r>
    </w:p>
    <w:p w14:paraId="0B4999D2" w14:textId="77777777" w:rsidR="007D6FA3" w:rsidRPr="007D6FA3" w:rsidRDefault="007D6FA3" w:rsidP="007D6FA3">
      <w:pPr>
        <w:spacing w:line="480" w:lineRule="auto"/>
        <w:rPr>
          <w:rFonts w:ascii="Arial" w:hAnsi="Arial" w:cs="Arial"/>
          <w:sz w:val="24"/>
          <w:szCs w:val="24"/>
        </w:rPr>
      </w:pPr>
    </w:p>
    <w:p w14:paraId="1FDBE33E" w14:textId="59AAB9BF" w:rsidR="007D6FA3" w:rsidRDefault="005E46B6" w:rsidP="007D6FA3">
      <w:pPr>
        <w:spacing w:line="480" w:lineRule="auto"/>
        <w:rPr>
          <w:rFonts w:ascii="Arial" w:hAnsi="Arial" w:cs="Arial"/>
          <w:sz w:val="24"/>
          <w:szCs w:val="24"/>
        </w:rPr>
      </w:pPr>
      <w:r>
        <w:rPr>
          <w:rFonts w:ascii="Arial" w:hAnsi="Arial" w:cs="Arial"/>
          <w:sz w:val="24"/>
          <w:szCs w:val="24"/>
        </w:rPr>
        <w:t xml:space="preserve">          </w:t>
      </w:r>
      <w:r w:rsidR="007D6FA3" w:rsidRPr="007D6FA3">
        <w:rPr>
          <w:rFonts w:ascii="Arial" w:hAnsi="Arial" w:cs="Arial"/>
          <w:sz w:val="24"/>
          <w:szCs w:val="24"/>
        </w:rPr>
        <w:t>To summarise everything that has been stated, it can be concluded that the Police and Criminal Evidence Act 1984 was a good attempt in preventing miscarriages of justice. The way in which PACE is designated to protect human rights could also change public perception and model it in a new way, different to what it was in the 19</w:t>
      </w:r>
      <w:r w:rsidR="007D6FA3" w:rsidRPr="007D6FA3">
        <w:rPr>
          <w:rFonts w:ascii="Arial" w:hAnsi="Arial" w:cs="Arial"/>
          <w:sz w:val="24"/>
          <w:szCs w:val="24"/>
          <w:vertAlign w:val="superscript"/>
        </w:rPr>
        <w:t>th</w:t>
      </w:r>
      <w:r w:rsidR="007D6FA3" w:rsidRPr="007D6FA3">
        <w:rPr>
          <w:rFonts w:ascii="Arial" w:hAnsi="Arial" w:cs="Arial"/>
          <w:sz w:val="24"/>
          <w:szCs w:val="24"/>
        </w:rPr>
        <w:t xml:space="preserve"> Century. In a survey, (HMICFR, 2017) “just over half of the people surveyed were satisfied overall with local policing”, which is a transformation in which the police were viewed in previous years. The methodology now used by the police as a result of PACE provides fair practice between police authority and public rights. Since the foundation of PACE, precisely between 1989 and 2002, 23 cases of miscarriages of justice have been quashed (Gudjonsson, 2002). This indicates that PACE is successful in preventing miscarriages of justice as the codes provided the basis for previous miscarriages of justice to be testified and withheld. These include the Guilford Four in 1989 and the Birmingham Six in 1991.  In </w:t>
      </w:r>
      <w:r w:rsidR="007D6FA3" w:rsidRPr="007D6FA3">
        <w:rPr>
          <w:rFonts w:ascii="Arial" w:hAnsi="Arial" w:cs="Arial"/>
          <w:sz w:val="24"/>
          <w:szCs w:val="24"/>
        </w:rPr>
        <w:lastRenderedPageBreak/>
        <w:t>conclusion, the Police and Criminal Evidence Act 1984 could in fact be considered successful in preventing miscarriages of justice due to its general purpose of providing balance between the police and the public.</w:t>
      </w:r>
    </w:p>
    <w:p w14:paraId="05A4C635" w14:textId="1D548F5C" w:rsidR="005E46B6" w:rsidRDefault="005E46B6" w:rsidP="007D6FA3">
      <w:pPr>
        <w:spacing w:line="480" w:lineRule="auto"/>
        <w:rPr>
          <w:rFonts w:ascii="Arial" w:hAnsi="Arial" w:cs="Arial"/>
          <w:sz w:val="24"/>
          <w:szCs w:val="24"/>
        </w:rPr>
      </w:pPr>
    </w:p>
    <w:p w14:paraId="500C876D" w14:textId="77777777" w:rsidR="005E46B6" w:rsidRDefault="005E46B6" w:rsidP="007D6FA3">
      <w:pPr>
        <w:spacing w:line="480" w:lineRule="auto"/>
        <w:rPr>
          <w:rFonts w:ascii="Arial" w:hAnsi="Arial" w:cs="Arial"/>
          <w:sz w:val="24"/>
          <w:szCs w:val="24"/>
        </w:rPr>
      </w:pPr>
    </w:p>
    <w:p w14:paraId="491A0E07" w14:textId="0798F8F0" w:rsidR="007D6FA3" w:rsidRDefault="007D6FA3" w:rsidP="003A0092">
      <w:pPr>
        <w:spacing w:line="480" w:lineRule="auto"/>
        <w:rPr>
          <w:rFonts w:ascii="Arial" w:hAnsi="Arial" w:cs="Arial"/>
          <w:sz w:val="24"/>
          <w:szCs w:val="24"/>
        </w:rPr>
      </w:pPr>
    </w:p>
    <w:p w14:paraId="06665031" w14:textId="6592A5D6" w:rsidR="007D6FA3" w:rsidRDefault="007D6FA3" w:rsidP="003A0092">
      <w:pPr>
        <w:spacing w:line="480" w:lineRule="auto"/>
        <w:rPr>
          <w:rFonts w:ascii="Arial" w:hAnsi="Arial" w:cs="Arial"/>
          <w:sz w:val="24"/>
          <w:szCs w:val="24"/>
        </w:rPr>
      </w:pPr>
      <w:r>
        <w:rPr>
          <w:rFonts w:ascii="Arial" w:hAnsi="Arial" w:cs="Arial"/>
          <w:sz w:val="24"/>
          <w:szCs w:val="24"/>
        </w:rPr>
        <w:t>References</w:t>
      </w:r>
    </w:p>
    <w:p w14:paraId="3208AF20" w14:textId="77777777" w:rsidR="007D6FA3" w:rsidRPr="007D6FA3" w:rsidRDefault="007D6FA3" w:rsidP="007D6FA3">
      <w:pPr>
        <w:spacing w:line="480" w:lineRule="auto"/>
        <w:rPr>
          <w:rFonts w:ascii="Arial" w:hAnsi="Arial" w:cs="Arial"/>
          <w:sz w:val="24"/>
          <w:szCs w:val="24"/>
        </w:rPr>
      </w:pPr>
      <w:r>
        <w:rPr>
          <w:rFonts w:ascii="Arial" w:hAnsi="Arial" w:cs="Arial"/>
          <w:sz w:val="24"/>
          <w:szCs w:val="24"/>
        </w:rPr>
        <w:t xml:space="preserve"> </w:t>
      </w:r>
      <w:r w:rsidRPr="007D6FA3">
        <w:rPr>
          <w:rFonts w:ascii="Arial" w:hAnsi="Arial" w:cs="Arial"/>
          <w:sz w:val="24"/>
          <w:szCs w:val="24"/>
        </w:rPr>
        <w:t>BBC News (2001) ‘</w:t>
      </w:r>
      <w:r w:rsidRPr="007D6FA3">
        <w:rPr>
          <w:rFonts w:ascii="Arial" w:hAnsi="Arial" w:cs="Arial"/>
          <w:i/>
          <w:iCs/>
          <w:sz w:val="24"/>
          <w:szCs w:val="24"/>
        </w:rPr>
        <w:t>Life of Crime’</w:t>
      </w:r>
      <w:r w:rsidRPr="007D6FA3">
        <w:rPr>
          <w:rFonts w:ascii="Arial" w:hAnsi="Arial" w:cs="Arial"/>
          <w:sz w:val="24"/>
          <w:szCs w:val="24"/>
        </w:rPr>
        <w:t xml:space="preserve"> [Online] Available: </w:t>
      </w:r>
      <w:hyperlink r:id="rId4" w:history="1">
        <w:r w:rsidRPr="007D6FA3">
          <w:rPr>
            <w:rStyle w:val="Hyperlink"/>
            <w:rFonts w:ascii="Arial" w:hAnsi="Arial" w:cs="Arial"/>
            <w:sz w:val="24"/>
            <w:szCs w:val="24"/>
          </w:rPr>
          <w:t>http://news.bbc.co.uk/hi/english/static/in_depth/uk/2001/life_of_crime/miscarriages.stm</w:t>
        </w:r>
      </w:hyperlink>
      <w:r w:rsidRPr="007D6FA3">
        <w:rPr>
          <w:rFonts w:ascii="Arial" w:hAnsi="Arial" w:cs="Arial"/>
          <w:sz w:val="24"/>
          <w:szCs w:val="24"/>
        </w:rPr>
        <w:t xml:space="preserve"> [28 February 2021]. </w:t>
      </w:r>
    </w:p>
    <w:p w14:paraId="12332DAD"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Blackstone’s (2021) ‘</w:t>
      </w:r>
      <w:r w:rsidRPr="007D6FA3">
        <w:rPr>
          <w:rFonts w:ascii="Arial" w:hAnsi="Arial" w:cs="Arial"/>
          <w:i/>
          <w:iCs/>
          <w:sz w:val="24"/>
          <w:szCs w:val="24"/>
        </w:rPr>
        <w:t xml:space="preserve">Handbook </w:t>
      </w:r>
      <w:proofErr w:type="gramStart"/>
      <w:r w:rsidRPr="007D6FA3">
        <w:rPr>
          <w:rFonts w:ascii="Arial" w:hAnsi="Arial" w:cs="Arial"/>
          <w:i/>
          <w:iCs/>
          <w:sz w:val="24"/>
          <w:szCs w:val="24"/>
        </w:rPr>
        <w:t>For</w:t>
      </w:r>
      <w:proofErr w:type="gramEnd"/>
      <w:r w:rsidRPr="007D6FA3">
        <w:rPr>
          <w:rFonts w:ascii="Arial" w:hAnsi="Arial" w:cs="Arial"/>
          <w:i/>
          <w:iCs/>
          <w:sz w:val="24"/>
          <w:szCs w:val="24"/>
        </w:rPr>
        <w:t xml:space="preserve"> Policing Students’</w:t>
      </w:r>
      <w:r w:rsidRPr="007D6FA3">
        <w:rPr>
          <w:rFonts w:ascii="Arial" w:hAnsi="Arial" w:cs="Arial"/>
          <w:sz w:val="24"/>
          <w:szCs w:val="24"/>
        </w:rPr>
        <w:t xml:space="preserve">, Fifteenth Edition, Oxford: Oxford University Press. </w:t>
      </w:r>
    </w:p>
    <w:p w14:paraId="506C1186"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Brooke, D (1999) </w:t>
      </w:r>
      <w:r w:rsidRPr="007D6FA3">
        <w:rPr>
          <w:rFonts w:ascii="Arial" w:hAnsi="Arial" w:cs="Arial"/>
          <w:i/>
          <w:iCs/>
          <w:sz w:val="24"/>
          <w:szCs w:val="24"/>
        </w:rPr>
        <w:t xml:space="preserve">‘Confessions. Illegally/Improperly Obtained Evidence and Entrapment Under the Police and Criminal Evidence Act 1984: Changing Judicial and Public Attitudes to the Police and Criminal Investigations’, </w:t>
      </w:r>
      <w:r w:rsidRPr="007D6FA3">
        <w:rPr>
          <w:rFonts w:ascii="Arial" w:hAnsi="Arial" w:cs="Arial"/>
          <w:sz w:val="24"/>
          <w:szCs w:val="24"/>
        </w:rPr>
        <w:t xml:space="preserve">[Online] Available: </w:t>
      </w:r>
      <w:hyperlink r:id="rId5" w:history="1">
        <w:r w:rsidRPr="007D6FA3">
          <w:rPr>
            <w:rStyle w:val="Hyperlink"/>
            <w:rFonts w:ascii="Arial" w:hAnsi="Arial" w:cs="Arial"/>
            <w:sz w:val="24"/>
            <w:szCs w:val="24"/>
          </w:rPr>
          <w:t>https://whel-primo.hosted.exlibrisgroup.com/primo-explore/fulldisplay?docid=TN_cdi_ucl_eprints_oai_eprints_ucl_ac_uk_OAI2_10108002&amp;context=PC&amp;vid=44WHELF_UWTSD_VU1&amp;lang=en_US&amp;search_scope=CSCOP_EVERYTHING&amp;adaptor=primo_central_multiple_fe&amp;tab=tab1&amp;query=any,contains,police%20and%20criminal%20evidence%20act&amp;offset=0</w:t>
        </w:r>
      </w:hyperlink>
      <w:r w:rsidRPr="007D6FA3">
        <w:rPr>
          <w:rFonts w:ascii="Arial" w:hAnsi="Arial" w:cs="Arial"/>
          <w:sz w:val="24"/>
          <w:szCs w:val="24"/>
        </w:rPr>
        <w:t xml:space="preserve"> [28 February 2021]. </w:t>
      </w:r>
    </w:p>
    <w:p w14:paraId="5CE92D0D"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Cape, E and Young, R (2008) </w:t>
      </w:r>
      <w:r w:rsidRPr="007D6FA3">
        <w:rPr>
          <w:rFonts w:ascii="Arial" w:hAnsi="Arial" w:cs="Arial"/>
          <w:i/>
          <w:sz w:val="24"/>
          <w:szCs w:val="24"/>
        </w:rPr>
        <w:t xml:space="preserve">‘Regulating Policing’, </w:t>
      </w:r>
      <w:r w:rsidRPr="007D6FA3">
        <w:rPr>
          <w:rFonts w:ascii="Arial" w:hAnsi="Arial" w:cs="Arial"/>
          <w:sz w:val="24"/>
          <w:szCs w:val="24"/>
        </w:rPr>
        <w:t>First Edition, North America: Hart Publishing.</w:t>
      </w:r>
    </w:p>
    <w:p w14:paraId="787230B9"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Churchill, D (2018) ‘</w:t>
      </w:r>
      <w:r w:rsidRPr="007D6FA3">
        <w:rPr>
          <w:rFonts w:ascii="Arial" w:hAnsi="Arial" w:cs="Arial"/>
          <w:i/>
          <w:iCs/>
          <w:sz w:val="24"/>
          <w:szCs w:val="24"/>
        </w:rPr>
        <w:t>Police and the Public’. ‘Crime Control and Every Day Life in the Victorian City’</w:t>
      </w:r>
      <w:r w:rsidRPr="007D6FA3">
        <w:rPr>
          <w:rFonts w:ascii="Arial" w:hAnsi="Arial" w:cs="Arial"/>
          <w:sz w:val="24"/>
          <w:szCs w:val="24"/>
        </w:rPr>
        <w:t xml:space="preserve">, [Online] Available: </w:t>
      </w:r>
      <w:hyperlink r:id="rId6" w:history="1">
        <w:r w:rsidRPr="007D6FA3">
          <w:rPr>
            <w:rStyle w:val="Hyperlink"/>
            <w:rFonts w:ascii="Arial" w:hAnsi="Arial" w:cs="Arial"/>
            <w:sz w:val="24"/>
            <w:szCs w:val="24"/>
          </w:rPr>
          <w:t>https://oxford.universitypressscholarship.com/view/10.1093/oso/9780198797845.001.0001/oso-9780198797845-chapter-10?print=pdf</w:t>
        </w:r>
      </w:hyperlink>
      <w:r w:rsidRPr="007D6FA3">
        <w:rPr>
          <w:rFonts w:ascii="Arial" w:hAnsi="Arial" w:cs="Arial"/>
          <w:sz w:val="24"/>
          <w:szCs w:val="24"/>
        </w:rPr>
        <w:t xml:space="preserve"> [2 March 2021]. </w:t>
      </w:r>
    </w:p>
    <w:p w14:paraId="4FC423B7"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lastRenderedPageBreak/>
        <w:t>College of Policing (2017) ‘</w:t>
      </w:r>
      <w:r w:rsidRPr="007D6FA3">
        <w:rPr>
          <w:rFonts w:ascii="Arial" w:hAnsi="Arial" w:cs="Arial"/>
          <w:i/>
          <w:iCs/>
          <w:sz w:val="24"/>
          <w:szCs w:val="24"/>
        </w:rPr>
        <w:t xml:space="preserve">Stop and Search’, </w:t>
      </w:r>
      <w:r w:rsidRPr="007D6FA3">
        <w:rPr>
          <w:rFonts w:ascii="Arial" w:hAnsi="Arial" w:cs="Arial"/>
          <w:sz w:val="24"/>
          <w:szCs w:val="24"/>
        </w:rPr>
        <w:t xml:space="preserve">[Online] Available: </w:t>
      </w:r>
      <w:hyperlink r:id="rId7" w:anchor=":~:text=There%20are%20also%20negative%20implications%20for%20individual%20officers,case%20to%20fail%20due%20to%20unlawfully%20obtained%20evidence" w:history="1">
        <w:r w:rsidRPr="007D6FA3">
          <w:rPr>
            <w:rStyle w:val="Hyperlink"/>
            <w:rFonts w:ascii="Arial" w:hAnsi="Arial" w:cs="Arial"/>
            <w:sz w:val="24"/>
            <w:szCs w:val="24"/>
          </w:rPr>
          <w:t>https://www.app.college.police.uk/app-content/stop-and-search/#:~:text=There%20are%20also%20negative%20implications%20for%20individual%20officers,case%20to%20fail%20due%20to%20unlawfully%20obtained%20evidence</w:t>
        </w:r>
      </w:hyperlink>
      <w:r w:rsidRPr="007D6FA3">
        <w:rPr>
          <w:rFonts w:ascii="Arial" w:hAnsi="Arial" w:cs="Arial"/>
          <w:sz w:val="24"/>
          <w:szCs w:val="24"/>
        </w:rPr>
        <w:t xml:space="preserve"> [28 February 2021].</w:t>
      </w:r>
    </w:p>
    <w:p w14:paraId="329AFCB9"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College of Policing (2020) ‘</w:t>
      </w:r>
      <w:r w:rsidRPr="007D6FA3">
        <w:rPr>
          <w:rFonts w:ascii="Arial" w:hAnsi="Arial" w:cs="Arial"/>
          <w:i/>
          <w:iCs/>
          <w:sz w:val="24"/>
          <w:szCs w:val="24"/>
        </w:rPr>
        <w:t>Investigative Interviewing’</w:t>
      </w:r>
      <w:r w:rsidRPr="007D6FA3">
        <w:rPr>
          <w:rFonts w:ascii="Arial" w:hAnsi="Arial" w:cs="Arial"/>
          <w:sz w:val="24"/>
          <w:szCs w:val="24"/>
        </w:rPr>
        <w:t xml:space="preserve">, [Online] Available: </w:t>
      </w:r>
      <w:hyperlink r:id="rId8" w:anchor=":~:text=Investigative%20interviewing%20Investigation%20is%20a%20core%20duty%20of,maintain%20the%20valuable%20resource%20of%20a%20skilled%20interviewer" w:history="1">
        <w:r w:rsidRPr="007D6FA3">
          <w:rPr>
            <w:rStyle w:val="Hyperlink"/>
            <w:rFonts w:ascii="Arial" w:hAnsi="Arial" w:cs="Arial"/>
            <w:sz w:val="24"/>
            <w:szCs w:val="24"/>
          </w:rPr>
          <w:t>https://www.app.college.police.uk/app-content/investigations/investigative-interviewing/#:~:text=Investigative%20interviewing%20Investigation%20is%20a%20core%20duty%20of,maintain%20the%20valuable%20resource%20of%20a%20skilled%20interviewer</w:t>
        </w:r>
      </w:hyperlink>
      <w:r w:rsidRPr="007D6FA3">
        <w:rPr>
          <w:rFonts w:ascii="Arial" w:hAnsi="Arial" w:cs="Arial"/>
          <w:sz w:val="24"/>
          <w:szCs w:val="24"/>
        </w:rPr>
        <w:t xml:space="preserve"> [1 March 2021].  </w:t>
      </w:r>
    </w:p>
    <w:p w14:paraId="7EDE057E"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Gudjonsson, G (2002) ‘Unreliable Confessions and Miscarriages of Justice in Britain’, ‘International Journal of Police Science &amp; Management’, Volume 4, Issue 4 , p 334-343 [Online] Available:  </w:t>
      </w:r>
      <w:hyperlink r:id="rId9" w:history="1">
        <w:r w:rsidRPr="007D6FA3">
          <w:rPr>
            <w:rStyle w:val="Hyperlink"/>
            <w:rFonts w:ascii="Arial" w:hAnsi="Arial" w:cs="Arial"/>
            <w:sz w:val="24"/>
            <w:szCs w:val="24"/>
          </w:rPr>
          <w:t>https://journals-sagepub-com.ezproxy.uwtsd.ac.uk/doi/pdf/10.1350/ijps.4.4.332.10880</w:t>
        </w:r>
      </w:hyperlink>
      <w:r w:rsidRPr="007D6FA3">
        <w:rPr>
          <w:rFonts w:ascii="Arial" w:hAnsi="Arial" w:cs="Arial"/>
          <w:sz w:val="24"/>
          <w:szCs w:val="24"/>
        </w:rPr>
        <w:t xml:space="preserve"> [2 March 2021]. </w:t>
      </w:r>
    </w:p>
    <w:p w14:paraId="2685AD22"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GOV.UK (2020) ‘Police and Criminal Evidence Act 1984 (PACE) Codes of Practice’, [Online] Available: </w:t>
      </w:r>
      <w:hyperlink r:id="rId10" w:history="1">
        <w:r w:rsidRPr="007D6FA3">
          <w:rPr>
            <w:rStyle w:val="Hyperlink"/>
            <w:rFonts w:ascii="Arial" w:hAnsi="Arial" w:cs="Arial"/>
            <w:sz w:val="24"/>
            <w:szCs w:val="24"/>
          </w:rPr>
          <w:t>https://www.gov.uk/guidance/police-and-criminal-evidence-act-1984-pace-codes-of-practice</w:t>
        </w:r>
      </w:hyperlink>
      <w:r w:rsidRPr="007D6FA3">
        <w:rPr>
          <w:rFonts w:ascii="Arial" w:hAnsi="Arial" w:cs="Arial"/>
          <w:sz w:val="24"/>
          <w:szCs w:val="24"/>
        </w:rPr>
        <w:t xml:space="preserve"> [27 February 2021].</w:t>
      </w:r>
    </w:p>
    <w:p w14:paraId="714FBCA7"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HMICFRS (2017) </w:t>
      </w:r>
      <w:r w:rsidRPr="007D6FA3">
        <w:rPr>
          <w:rFonts w:ascii="Arial" w:hAnsi="Arial" w:cs="Arial"/>
          <w:i/>
          <w:iCs/>
          <w:sz w:val="24"/>
          <w:szCs w:val="24"/>
        </w:rPr>
        <w:t>‘Public Views of Policing in England and Wales 2017/18’</w:t>
      </w:r>
      <w:r w:rsidRPr="007D6FA3">
        <w:rPr>
          <w:rFonts w:ascii="Arial" w:hAnsi="Arial" w:cs="Arial"/>
          <w:sz w:val="24"/>
          <w:szCs w:val="24"/>
        </w:rPr>
        <w:t xml:space="preserve">, [Online] Available: </w:t>
      </w:r>
      <w:hyperlink r:id="rId11" w:history="1">
        <w:r w:rsidRPr="007D6FA3">
          <w:rPr>
            <w:rStyle w:val="Hyperlink"/>
            <w:rFonts w:ascii="Arial" w:hAnsi="Arial" w:cs="Arial"/>
            <w:sz w:val="24"/>
            <w:szCs w:val="24"/>
          </w:rPr>
          <w:t>https://www.justiceinspectorates.gov.uk/hmicfrs/publications/public-views-of-policing-in-england-and-wales-201718/</w:t>
        </w:r>
      </w:hyperlink>
      <w:r w:rsidRPr="007D6FA3">
        <w:rPr>
          <w:rFonts w:ascii="Arial" w:hAnsi="Arial" w:cs="Arial"/>
          <w:sz w:val="24"/>
          <w:szCs w:val="24"/>
        </w:rPr>
        <w:t xml:space="preserve"> [2 March 2021]. </w:t>
      </w:r>
    </w:p>
    <w:p w14:paraId="1B054190"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Home Office (2015) </w:t>
      </w:r>
      <w:r w:rsidRPr="007D6FA3">
        <w:rPr>
          <w:rFonts w:ascii="Arial" w:hAnsi="Arial" w:cs="Arial"/>
          <w:i/>
          <w:iCs/>
          <w:sz w:val="24"/>
          <w:szCs w:val="24"/>
        </w:rPr>
        <w:t>‘Police and Criminal Evidence Act 1984: Code A’,</w:t>
      </w:r>
      <w:r w:rsidRPr="007D6FA3">
        <w:rPr>
          <w:rFonts w:ascii="Arial" w:hAnsi="Arial" w:cs="Arial"/>
          <w:sz w:val="24"/>
          <w:szCs w:val="24"/>
        </w:rPr>
        <w:t xml:space="preserve"> [Online] Available: </w:t>
      </w:r>
      <w:hyperlink r:id="rId12" w:history="1">
        <w:r w:rsidRPr="007D6FA3">
          <w:rPr>
            <w:rStyle w:val="Hyperlink"/>
            <w:rFonts w:ascii="Arial" w:hAnsi="Arial" w:cs="Arial"/>
            <w:sz w:val="24"/>
            <w:szCs w:val="24"/>
          </w:rPr>
          <w:t>https://assets.publishing.service.gov.uk/government/uploads/system/uploads/attachment_data/file/903810/pace-code-a-2015.pdf</w:t>
        </w:r>
      </w:hyperlink>
      <w:r w:rsidRPr="007D6FA3">
        <w:rPr>
          <w:rFonts w:ascii="Arial" w:hAnsi="Arial" w:cs="Arial"/>
          <w:sz w:val="24"/>
          <w:szCs w:val="24"/>
        </w:rPr>
        <w:t xml:space="preserve"> [2 March 2021]. </w:t>
      </w:r>
    </w:p>
    <w:p w14:paraId="33B1048F"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Home Office (2019) ‘</w:t>
      </w:r>
      <w:r w:rsidRPr="007D6FA3">
        <w:rPr>
          <w:rFonts w:ascii="Arial" w:hAnsi="Arial" w:cs="Arial"/>
          <w:i/>
          <w:iCs/>
          <w:sz w:val="24"/>
          <w:szCs w:val="24"/>
        </w:rPr>
        <w:t xml:space="preserve">Police and Criminal Evidence Act 1984: Code C’, </w:t>
      </w:r>
      <w:r w:rsidRPr="007D6FA3">
        <w:rPr>
          <w:rFonts w:ascii="Arial" w:hAnsi="Arial" w:cs="Arial"/>
          <w:sz w:val="24"/>
          <w:szCs w:val="24"/>
        </w:rPr>
        <w:t xml:space="preserve">[Online] Available: </w:t>
      </w:r>
      <w:hyperlink r:id="rId13" w:history="1">
        <w:r w:rsidRPr="007D6FA3">
          <w:rPr>
            <w:rStyle w:val="Hyperlink"/>
            <w:rFonts w:ascii="Arial" w:hAnsi="Arial" w:cs="Arial"/>
            <w:sz w:val="24"/>
            <w:szCs w:val="24"/>
          </w:rPr>
          <w:t>https://assets.publishing.service.gov.uk/government/uploads/system/uploads/attachment_data/file/903473/pace-code-c-2019.pdf</w:t>
        </w:r>
      </w:hyperlink>
      <w:r w:rsidRPr="007D6FA3">
        <w:rPr>
          <w:rFonts w:ascii="Arial" w:hAnsi="Arial" w:cs="Arial"/>
          <w:sz w:val="24"/>
          <w:szCs w:val="24"/>
        </w:rPr>
        <w:t xml:space="preserve"> [2 March 2021]. </w:t>
      </w:r>
    </w:p>
    <w:p w14:paraId="2908B439" w14:textId="77777777" w:rsidR="007D6FA3" w:rsidRPr="007D6FA3" w:rsidRDefault="007D6FA3" w:rsidP="007D6FA3">
      <w:pPr>
        <w:spacing w:line="480" w:lineRule="auto"/>
        <w:rPr>
          <w:rFonts w:ascii="Arial" w:hAnsi="Arial" w:cs="Arial"/>
          <w:sz w:val="24"/>
          <w:szCs w:val="24"/>
        </w:rPr>
      </w:pPr>
      <w:proofErr w:type="gramStart"/>
      <w:r w:rsidRPr="007D6FA3">
        <w:rPr>
          <w:rFonts w:ascii="Arial" w:hAnsi="Arial" w:cs="Arial"/>
          <w:sz w:val="24"/>
          <w:szCs w:val="24"/>
        </w:rPr>
        <w:lastRenderedPageBreak/>
        <w:t>Legislation.Gov.Uk</w:t>
      </w:r>
      <w:proofErr w:type="gramEnd"/>
      <w:r w:rsidRPr="007D6FA3">
        <w:rPr>
          <w:rFonts w:ascii="Arial" w:hAnsi="Arial" w:cs="Arial"/>
          <w:sz w:val="24"/>
          <w:szCs w:val="24"/>
        </w:rPr>
        <w:t xml:space="preserve"> (2018) ‘</w:t>
      </w:r>
      <w:r w:rsidRPr="007D6FA3">
        <w:rPr>
          <w:rFonts w:ascii="Arial" w:hAnsi="Arial" w:cs="Arial"/>
          <w:i/>
          <w:iCs/>
          <w:sz w:val="24"/>
          <w:szCs w:val="24"/>
        </w:rPr>
        <w:t>Police and Criminal Evidence Act 1984’</w:t>
      </w:r>
      <w:r w:rsidRPr="007D6FA3">
        <w:rPr>
          <w:rFonts w:ascii="Arial" w:hAnsi="Arial" w:cs="Arial"/>
          <w:sz w:val="24"/>
          <w:szCs w:val="24"/>
        </w:rPr>
        <w:t xml:space="preserve">, [Online] Available: </w:t>
      </w:r>
      <w:hyperlink r:id="rId14" w:history="1">
        <w:r w:rsidRPr="007D6FA3">
          <w:rPr>
            <w:rStyle w:val="Hyperlink"/>
            <w:rFonts w:ascii="Arial" w:hAnsi="Arial" w:cs="Arial"/>
            <w:sz w:val="24"/>
            <w:szCs w:val="24"/>
          </w:rPr>
          <w:t>https://www.legislation.gov.uk/ukpga/1984/60/contents</w:t>
        </w:r>
      </w:hyperlink>
      <w:r w:rsidRPr="007D6FA3">
        <w:rPr>
          <w:rFonts w:ascii="Arial" w:hAnsi="Arial" w:cs="Arial"/>
          <w:sz w:val="24"/>
          <w:szCs w:val="24"/>
        </w:rPr>
        <w:t xml:space="preserve"> [28 February 2021]. </w:t>
      </w:r>
    </w:p>
    <w:p w14:paraId="4DF6B31E"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Metropolitan Police Service Directorate of Training and Development (2010) ‘</w:t>
      </w:r>
      <w:r w:rsidRPr="007D6FA3">
        <w:rPr>
          <w:rFonts w:ascii="Arial" w:hAnsi="Arial" w:cs="Arial"/>
          <w:i/>
          <w:iCs/>
          <w:sz w:val="24"/>
          <w:szCs w:val="24"/>
        </w:rPr>
        <w:t>Interviewing Suspects 3 – Tape Recording Interviews’</w:t>
      </w:r>
      <w:r w:rsidRPr="007D6FA3">
        <w:rPr>
          <w:rFonts w:ascii="Arial" w:hAnsi="Arial" w:cs="Arial"/>
          <w:sz w:val="24"/>
          <w:szCs w:val="24"/>
        </w:rPr>
        <w:t xml:space="preserve">, [Online] Available: </w:t>
      </w:r>
      <w:hyperlink r:id="rId15" w:history="1">
        <w:r w:rsidRPr="007D6FA3">
          <w:rPr>
            <w:rStyle w:val="Hyperlink"/>
            <w:rFonts w:ascii="Arial" w:hAnsi="Arial" w:cs="Arial"/>
            <w:sz w:val="24"/>
            <w:szCs w:val="24"/>
          </w:rPr>
          <w:t>https://www.met.police.uk/plc/lesson_notes/100.pdf</w:t>
        </w:r>
      </w:hyperlink>
      <w:r w:rsidRPr="007D6FA3">
        <w:rPr>
          <w:rFonts w:ascii="Arial" w:hAnsi="Arial" w:cs="Arial"/>
          <w:sz w:val="24"/>
          <w:szCs w:val="24"/>
        </w:rPr>
        <w:t xml:space="preserve"> [2 March 2021]. </w:t>
      </w:r>
    </w:p>
    <w:p w14:paraId="0C425986" w14:textId="77777777" w:rsidR="007D6FA3" w:rsidRPr="007D6FA3" w:rsidRDefault="007D6FA3" w:rsidP="007D6FA3">
      <w:pPr>
        <w:spacing w:line="480" w:lineRule="auto"/>
        <w:rPr>
          <w:rFonts w:ascii="Arial" w:hAnsi="Arial" w:cs="Arial"/>
          <w:sz w:val="24"/>
          <w:szCs w:val="24"/>
        </w:rPr>
      </w:pPr>
      <w:proofErr w:type="spellStart"/>
      <w:r w:rsidRPr="007D6FA3">
        <w:rPr>
          <w:rFonts w:ascii="Arial" w:hAnsi="Arial" w:cs="Arial"/>
          <w:sz w:val="24"/>
          <w:szCs w:val="24"/>
        </w:rPr>
        <w:t>Peay</w:t>
      </w:r>
      <w:proofErr w:type="spellEnd"/>
      <w:r w:rsidRPr="007D6FA3">
        <w:rPr>
          <w:rFonts w:ascii="Arial" w:hAnsi="Arial" w:cs="Arial"/>
          <w:sz w:val="24"/>
          <w:szCs w:val="24"/>
        </w:rPr>
        <w:t xml:space="preserve">, J and Player, E (2018) ‘Pleading Guilty: Why Vulnerability Matters’, [Online] Available: </w:t>
      </w:r>
      <w:hyperlink r:id="rId16" w:history="1">
        <w:r w:rsidRPr="007D6FA3">
          <w:rPr>
            <w:rStyle w:val="Hyperlink"/>
            <w:rFonts w:ascii="Arial" w:hAnsi="Arial" w:cs="Arial"/>
            <w:sz w:val="24"/>
            <w:szCs w:val="24"/>
          </w:rPr>
          <w:t>https://web-b-ebscohost-com.ezproxy.uwtsd.ac.uk/ehost/pdfviewer/pdfviewer?vid=1&amp;sid=c11caf86-5d1f-4deb-afb3-4802be4ad35d%40pdc-v-sessmgr01</w:t>
        </w:r>
      </w:hyperlink>
      <w:r w:rsidRPr="007D6FA3">
        <w:rPr>
          <w:rFonts w:ascii="Arial" w:hAnsi="Arial" w:cs="Arial"/>
          <w:sz w:val="24"/>
          <w:szCs w:val="24"/>
        </w:rPr>
        <w:t xml:space="preserve"> [2 March 2021]. </w:t>
      </w:r>
    </w:p>
    <w:p w14:paraId="68711210"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Sir Fisher, H(1977) ‘</w:t>
      </w:r>
      <w:r w:rsidRPr="007D6FA3">
        <w:rPr>
          <w:rFonts w:ascii="Arial" w:hAnsi="Arial" w:cs="Arial"/>
          <w:i/>
          <w:sz w:val="24"/>
          <w:szCs w:val="24"/>
        </w:rPr>
        <w:t xml:space="preserve">Report of an Inquiry By The Hon. Sir Henry Fisher Into The Circumstances Leading To The Trial Of Three Persons On Charges Arising Out Of The Death Of Maxwell </w:t>
      </w:r>
      <w:proofErr w:type="spellStart"/>
      <w:r w:rsidRPr="007D6FA3">
        <w:rPr>
          <w:rFonts w:ascii="Arial" w:hAnsi="Arial" w:cs="Arial"/>
          <w:i/>
          <w:sz w:val="24"/>
          <w:szCs w:val="24"/>
        </w:rPr>
        <w:t>Confait</w:t>
      </w:r>
      <w:proofErr w:type="spellEnd"/>
      <w:r w:rsidRPr="007D6FA3">
        <w:rPr>
          <w:rFonts w:ascii="Arial" w:hAnsi="Arial" w:cs="Arial"/>
          <w:i/>
          <w:sz w:val="24"/>
          <w:szCs w:val="24"/>
        </w:rPr>
        <w:t xml:space="preserve"> And The Fire At 27 Doggett Road, London SE6</w:t>
      </w:r>
      <w:r w:rsidRPr="007D6FA3">
        <w:rPr>
          <w:rFonts w:ascii="Arial" w:hAnsi="Arial" w:cs="Arial"/>
          <w:sz w:val="24"/>
          <w:szCs w:val="24"/>
        </w:rPr>
        <w:t xml:space="preserve">’, [Online] Available: </w:t>
      </w:r>
      <w:hyperlink r:id="rId17" w:history="1">
        <w:r w:rsidRPr="007D6FA3">
          <w:rPr>
            <w:rStyle w:val="Hyperlink"/>
            <w:rFonts w:ascii="Arial" w:hAnsi="Arial" w:cs="Arial"/>
            <w:sz w:val="24"/>
            <w:szCs w:val="24"/>
          </w:rPr>
          <w:t>https://assets.publishing.service.gov.uk/government/uploads/system/uploads/attachment_data/file/228759/0090.pdf</w:t>
        </w:r>
      </w:hyperlink>
      <w:r w:rsidRPr="007D6FA3">
        <w:rPr>
          <w:rFonts w:ascii="Arial" w:hAnsi="Arial" w:cs="Arial"/>
          <w:sz w:val="24"/>
          <w:szCs w:val="24"/>
        </w:rPr>
        <w:t xml:space="preserve"> [1 March 2021]. </w:t>
      </w:r>
    </w:p>
    <w:p w14:paraId="54CEEC58" w14:textId="77777777" w:rsidR="007D6FA3" w:rsidRPr="007D6FA3" w:rsidRDefault="007D6FA3" w:rsidP="007D6FA3">
      <w:pPr>
        <w:spacing w:line="480" w:lineRule="auto"/>
        <w:rPr>
          <w:rFonts w:ascii="Arial" w:hAnsi="Arial" w:cs="Arial"/>
          <w:sz w:val="24"/>
          <w:szCs w:val="24"/>
        </w:rPr>
      </w:pPr>
      <w:r w:rsidRPr="007D6FA3">
        <w:rPr>
          <w:rFonts w:ascii="Arial" w:hAnsi="Arial" w:cs="Arial"/>
          <w:sz w:val="24"/>
          <w:szCs w:val="24"/>
        </w:rPr>
        <w:t xml:space="preserve"> The Justice Gap (2019) ‘</w:t>
      </w:r>
      <w:r w:rsidRPr="007D6FA3">
        <w:rPr>
          <w:rFonts w:ascii="Arial" w:hAnsi="Arial" w:cs="Arial"/>
          <w:i/>
          <w:iCs/>
          <w:sz w:val="24"/>
          <w:szCs w:val="24"/>
        </w:rPr>
        <w:t xml:space="preserve">The Cases That Changed Us: Maxwell </w:t>
      </w:r>
      <w:proofErr w:type="spellStart"/>
      <w:r w:rsidRPr="007D6FA3">
        <w:rPr>
          <w:rFonts w:ascii="Arial" w:hAnsi="Arial" w:cs="Arial"/>
          <w:i/>
          <w:iCs/>
          <w:sz w:val="24"/>
          <w:szCs w:val="24"/>
        </w:rPr>
        <w:t>Confait</w:t>
      </w:r>
      <w:proofErr w:type="spellEnd"/>
      <w:r w:rsidRPr="007D6FA3">
        <w:rPr>
          <w:rFonts w:ascii="Arial" w:hAnsi="Arial" w:cs="Arial"/>
          <w:i/>
          <w:iCs/>
          <w:sz w:val="24"/>
          <w:szCs w:val="24"/>
        </w:rPr>
        <w:t>’</w:t>
      </w:r>
      <w:r w:rsidRPr="007D6FA3">
        <w:rPr>
          <w:rFonts w:ascii="Arial" w:hAnsi="Arial" w:cs="Arial"/>
          <w:sz w:val="24"/>
          <w:szCs w:val="24"/>
        </w:rPr>
        <w:t xml:space="preserve">, [Online] Available: </w:t>
      </w:r>
      <w:hyperlink r:id="rId18" w:history="1">
        <w:r w:rsidRPr="007D6FA3">
          <w:rPr>
            <w:rStyle w:val="Hyperlink"/>
            <w:rFonts w:ascii="Arial" w:hAnsi="Arial" w:cs="Arial"/>
            <w:sz w:val="24"/>
            <w:szCs w:val="24"/>
          </w:rPr>
          <w:t>https://www.thejusticegap.com/cases-the-changed-us-maxwell-confait/</w:t>
        </w:r>
      </w:hyperlink>
      <w:r w:rsidRPr="007D6FA3">
        <w:rPr>
          <w:rFonts w:ascii="Arial" w:hAnsi="Arial" w:cs="Arial"/>
          <w:sz w:val="24"/>
          <w:szCs w:val="24"/>
        </w:rPr>
        <w:t xml:space="preserve"> [28 February 2021]. </w:t>
      </w:r>
    </w:p>
    <w:p w14:paraId="214DC177" w14:textId="77777777" w:rsidR="007D6FA3" w:rsidRPr="007D6FA3" w:rsidRDefault="007D6FA3" w:rsidP="007D6FA3">
      <w:pPr>
        <w:spacing w:line="480" w:lineRule="auto"/>
        <w:rPr>
          <w:rFonts w:ascii="Arial" w:hAnsi="Arial" w:cs="Arial"/>
          <w:sz w:val="24"/>
          <w:szCs w:val="24"/>
        </w:rPr>
      </w:pPr>
      <w:proofErr w:type="spellStart"/>
      <w:r w:rsidRPr="007D6FA3">
        <w:rPr>
          <w:rFonts w:ascii="Arial" w:hAnsi="Arial" w:cs="Arial"/>
          <w:sz w:val="24"/>
          <w:szCs w:val="24"/>
        </w:rPr>
        <w:t>Tankebe</w:t>
      </w:r>
      <w:proofErr w:type="spellEnd"/>
      <w:r w:rsidRPr="007D6FA3">
        <w:rPr>
          <w:rFonts w:ascii="Arial" w:hAnsi="Arial" w:cs="Arial"/>
          <w:sz w:val="24"/>
          <w:szCs w:val="24"/>
        </w:rPr>
        <w:t>, J and Liebling, A (2013) ‘</w:t>
      </w:r>
      <w:r w:rsidRPr="007D6FA3">
        <w:rPr>
          <w:rFonts w:ascii="Arial" w:hAnsi="Arial" w:cs="Arial"/>
          <w:i/>
          <w:iCs/>
          <w:sz w:val="24"/>
          <w:szCs w:val="24"/>
        </w:rPr>
        <w:t>Legitimacy and Criminal Justice’</w:t>
      </w:r>
      <w:r w:rsidRPr="007D6FA3">
        <w:rPr>
          <w:rFonts w:ascii="Arial" w:hAnsi="Arial" w:cs="Arial"/>
          <w:sz w:val="24"/>
          <w:szCs w:val="24"/>
        </w:rPr>
        <w:t>, First Edition, Oxford: Oxford University Press.</w:t>
      </w:r>
    </w:p>
    <w:p w14:paraId="45F0FBC0" w14:textId="3F03AF5F" w:rsidR="007D6FA3" w:rsidRPr="00ED05AB" w:rsidRDefault="007D6FA3" w:rsidP="007D6FA3">
      <w:pPr>
        <w:spacing w:line="480" w:lineRule="auto"/>
        <w:rPr>
          <w:rFonts w:ascii="Arial" w:hAnsi="Arial" w:cs="Arial"/>
          <w:sz w:val="24"/>
          <w:szCs w:val="24"/>
        </w:rPr>
      </w:pPr>
    </w:p>
    <w:sectPr w:rsidR="007D6FA3" w:rsidRPr="00ED05AB" w:rsidSect="00ED05A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5AB"/>
    <w:rsid w:val="003A0092"/>
    <w:rsid w:val="003C7809"/>
    <w:rsid w:val="005E46B6"/>
    <w:rsid w:val="007D6FA3"/>
    <w:rsid w:val="009B4761"/>
    <w:rsid w:val="00E920E4"/>
    <w:rsid w:val="00ED0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B9FE2"/>
  <w15:chartTrackingRefBased/>
  <w15:docId w15:val="{0999EC3B-694B-4771-97FD-1CBA4BC88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6FA3"/>
    <w:rPr>
      <w:color w:val="0563C1" w:themeColor="hyperlink"/>
      <w:u w:val="single"/>
    </w:rPr>
  </w:style>
  <w:style w:type="character" w:styleId="UnresolvedMention">
    <w:name w:val="Unresolved Mention"/>
    <w:basedOn w:val="DefaultParagraphFont"/>
    <w:uiPriority w:val="99"/>
    <w:semiHidden/>
    <w:unhideWhenUsed/>
    <w:rsid w:val="007D6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vestigations/investigative-interviewing/" TargetMode="External"/><Relationship Id="rId13" Type="http://schemas.openxmlformats.org/officeDocument/2006/relationships/hyperlink" Target="https://assets.publishing.service.gov.uk/government/uploads/system/uploads/attachment_data/file/903473/pace-code-c-2019.pdf" TargetMode="External"/><Relationship Id="rId18" Type="http://schemas.openxmlformats.org/officeDocument/2006/relationships/hyperlink" Target="https://www.thejusticegap.com/cases-the-changed-us-maxwell-confait/" TargetMode="External"/><Relationship Id="rId3" Type="http://schemas.openxmlformats.org/officeDocument/2006/relationships/webSettings" Target="webSettings.xml"/><Relationship Id="rId7" Type="http://schemas.openxmlformats.org/officeDocument/2006/relationships/hyperlink" Target="https://www.app.college.police.uk/app-content/stop-and-search/" TargetMode="External"/><Relationship Id="rId12" Type="http://schemas.openxmlformats.org/officeDocument/2006/relationships/hyperlink" Target="https://assets.publishing.service.gov.uk/government/uploads/system/uploads/attachment_data/file/903810/pace-code-a-2015.pdf" TargetMode="External"/><Relationship Id="rId17" Type="http://schemas.openxmlformats.org/officeDocument/2006/relationships/hyperlink" Target="https://assets.publishing.service.gov.uk/government/uploads/system/uploads/attachment_data/file/228759/0090.pdf" TargetMode="External"/><Relationship Id="rId2" Type="http://schemas.openxmlformats.org/officeDocument/2006/relationships/settings" Target="settings.xml"/><Relationship Id="rId16" Type="http://schemas.openxmlformats.org/officeDocument/2006/relationships/hyperlink" Target="https://web-b-ebscohost-com.ezproxy.uwtsd.ac.uk/ehost/pdfviewer/pdfviewer?vid=1&amp;sid=c11caf86-5d1f-4deb-afb3-4802be4ad35d%40pdc-v-sessmgr0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xford.universitypressscholarship.com/view/10.1093/oso/9780198797845.001.0001/oso-9780198797845-chapter-10?print=pdf" TargetMode="External"/><Relationship Id="rId11" Type="http://schemas.openxmlformats.org/officeDocument/2006/relationships/hyperlink" Target="https://www.justiceinspectorates.gov.uk/hmicfrs/publications/public-views-of-policing-in-england-and-wales-201718/" TargetMode="External"/><Relationship Id="rId5" Type="http://schemas.openxmlformats.org/officeDocument/2006/relationships/hyperlink" Target="https://whel-primo.hosted.exlibrisgroup.com/primo-explore/fulldisplay?docid=TN_cdi_ucl_eprints_oai_eprints_ucl_ac_uk_OAI2_10108002&amp;context=PC&amp;vid=44WHELF_UWTSD_VU1&amp;lang=en_US&amp;search_scope=CSCOP_EVERYTHING&amp;adaptor=primo_central_multiple_fe&amp;tab=tab1&amp;query=any,contains,police%20and%20criminal%20evidence%20act&amp;offset=0" TargetMode="External"/><Relationship Id="rId15" Type="http://schemas.openxmlformats.org/officeDocument/2006/relationships/hyperlink" Target="https://www.met.police.uk/plc/lesson_notes/100.pdf" TargetMode="External"/><Relationship Id="rId10" Type="http://schemas.openxmlformats.org/officeDocument/2006/relationships/hyperlink" Target="https://www.gov.uk/guidance/police-and-criminal-evidence-act-1984-pace-codes-of-practice" TargetMode="External"/><Relationship Id="rId19" Type="http://schemas.openxmlformats.org/officeDocument/2006/relationships/fontTable" Target="fontTable.xml"/><Relationship Id="rId4" Type="http://schemas.openxmlformats.org/officeDocument/2006/relationships/hyperlink" Target="http://news.bbc.co.uk/hi/english/static/in_depth/uk/2001/life_of_crime/miscarriages.stm" TargetMode="External"/><Relationship Id="rId9" Type="http://schemas.openxmlformats.org/officeDocument/2006/relationships/hyperlink" Target="https://journals-sagepub-com.ezproxy.uwtsd.ac.uk/doi/pdf/10.1350/ijps.4.4.332.10880" TargetMode="External"/><Relationship Id="rId14" Type="http://schemas.openxmlformats.org/officeDocument/2006/relationships/hyperlink" Target="https://www.legislation.gov.uk/ukpga/1984/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3292</Words>
  <Characters>18767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1</cp:revision>
  <dcterms:created xsi:type="dcterms:W3CDTF">2021-03-05T18:04:00Z</dcterms:created>
  <dcterms:modified xsi:type="dcterms:W3CDTF">2021-03-05T19:08:00Z</dcterms:modified>
</cp:coreProperties>
</file>