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1FA179" w14:textId="53960241" w:rsidR="00735053" w:rsidRDefault="002628E3" w:rsidP="002628E3">
      <w:pPr>
        <w:pStyle w:val="Heading1"/>
      </w:pPr>
      <w:r w:rsidRPr="002628E3">
        <w:t>Demographics Eng</w:t>
      </w:r>
      <w:r>
        <w:t>ineering text only transcript</w:t>
      </w:r>
    </w:p>
    <w:p w14:paraId="2BFC6264" w14:textId="77777777" w:rsidR="002628E3" w:rsidRPr="002628E3" w:rsidRDefault="002628E3" w:rsidP="002628E3">
      <w:r w:rsidRPr="002628E3">
        <w:t>Welcome to this quick presentation of the highlights of demographic metrics for engineering. We will start with the overall demographics of the student body as it is now, and occasionally we will delve into the characteristics of specific cohorts.</w:t>
      </w:r>
    </w:p>
    <w:p w14:paraId="0C576395" w14:textId="77777777" w:rsidR="002628E3" w:rsidRPr="002628E3" w:rsidRDefault="002628E3" w:rsidP="002628E3">
      <w:r w:rsidRPr="002628E3">
        <w:t>There was a 45% fall in students from the high point of 2021-22 to 2024-25, which is mirrored in the number of new starters. We see a 74% fall in new starters over the same period. The overall trend over the last three years has been of decreasing recruitment.</w:t>
      </w:r>
    </w:p>
    <w:p w14:paraId="0F940906" w14:textId="77777777" w:rsidR="002628E3" w:rsidRPr="002628E3" w:rsidRDefault="002628E3" w:rsidP="002628E3">
      <w:r w:rsidRPr="002628E3">
        <w:t>Let us drill into the data. Looking at first degree data, we see a less alarming picture, even if with a downward recruitment trend. Overall numbers have fallen since 2021-22, with a 14% decrease in total undergraduate first degree students, and a more significant fall in terms of new starters, with a 40% decrease between 2021-22 and 2024-25.</w:t>
      </w:r>
    </w:p>
    <w:p w14:paraId="3D2AE001" w14:textId="77777777" w:rsidR="002628E3" w:rsidRPr="002628E3" w:rsidRDefault="002628E3" w:rsidP="002628E3">
      <w:r w:rsidRPr="002628E3">
        <w:t>Turning our gaze to postgraduates, we see a much more acute fall in numbers, with student numbers declining by three quarters between 2021-22 and 2024-25.</w:t>
      </w:r>
    </w:p>
    <w:p w14:paraId="30E06260" w14:textId="77777777" w:rsidR="002628E3" w:rsidRPr="002628E3" w:rsidRDefault="002628E3" w:rsidP="002628E3">
      <w:r w:rsidRPr="002628E3">
        <w:t>Here we see the overall picture for engineering in terms of entry routes and mode of study. The picture changes from year to year, but there seems to be a steady increase in the proportion of applicants coming through UCAS. The picture does not change drastically when considering undergraduate applicants only, as more than a third consistently come through direct entry rather than UCAS. This is consistent with the entry picture of the university as a whole. Interestingly, in 2024-25 we see a reversal of the usual pattern in terms of mode of attendance, with full-time student numbers overtaking that of part-timers.</w:t>
      </w:r>
    </w:p>
    <w:p w14:paraId="2B2AD8D0" w14:textId="77777777" w:rsidR="002628E3" w:rsidRPr="002628E3" w:rsidRDefault="002628E3" w:rsidP="002628E3">
      <w:r w:rsidRPr="002628E3">
        <w:t>If we focus on 2024-25 data, we see that younger students are more likely to apply via UCAS, while students over 21 years of age are more likely to apply directly. Again, for the same year, female students are more likely to apply through direct entry rather than UCAS.</w:t>
      </w:r>
    </w:p>
    <w:p w14:paraId="25CC7888" w14:textId="77777777" w:rsidR="002628E3" w:rsidRPr="002628E3" w:rsidRDefault="002628E3" w:rsidP="002628E3">
      <w:r w:rsidRPr="002628E3">
        <w:t>Considering the undergraduate entry data, we see a fall in the number of entrants with no or unknown qualifications. Focusing on 2024-25, 43% of new entrants had either no qualifications or fewer than 48 UCAS points. Another 35% had UCAS points equivalent to the range between triple E and the BSc.</w:t>
      </w:r>
    </w:p>
    <w:p w14:paraId="3038D27F" w14:textId="77777777" w:rsidR="002628E3" w:rsidRPr="002628E3" w:rsidRDefault="002628E3" w:rsidP="002628E3">
      <w:r w:rsidRPr="002628E3">
        <w:t>When it comes to low participation, the overall percentage appears to be stable over the last five years, with consistently higher recruitment from areas of low participation than either the university average or the university's average. The percentage of students from low participation backgrounds is higher among students over 20 years of age versus those entering at age 18. Interestingly, it is more likely for a female student over the last two years to come from a low participation area than for a male student.</w:t>
      </w:r>
    </w:p>
    <w:p w14:paraId="0EF02ADB" w14:textId="77777777" w:rsidR="002628E3" w:rsidRPr="002628E3" w:rsidRDefault="002628E3" w:rsidP="002628E3">
      <w:r w:rsidRPr="002628E3">
        <w:lastRenderedPageBreak/>
        <w:t>Let us consider age, gender, and ethnicity. In terms of age, we see a movement towards higher numbers of younger students, with the percentage of 18-year-olds climbing over the last three years. Steadily higher percentages are also seen for students of 19 and 20 years. This is different from the university's overall picture, where more than half the students in 2024-25 are over 30 years of age, but very similar to the overall picture for the university in the same period. Although the number of over-30s in engineering is significantly lower than the average.</w:t>
      </w:r>
    </w:p>
    <w:p w14:paraId="2EA8C96F" w14:textId="77777777" w:rsidR="002628E3" w:rsidRPr="002628E3" w:rsidRDefault="002628E3" w:rsidP="002628E3">
      <w:r w:rsidRPr="002628E3">
        <w:t>Gender is overwhelmingly male, although there has been a very slight increase in the percentage of females over the last three years. This is again rather different from the university's average, where the majority of students are female. Engineering is also considerably lower in terms of the percentage of female students in comparison to the university as a whole. In terms of ethnicity, the majority of students are white. Engineering attracts fewer non-white students in comparison to both the university and the university's campuses as a whole.</w:t>
      </w:r>
    </w:p>
    <w:p w14:paraId="1C4471CE" w14:textId="77777777" w:rsidR="002628E3" w:rsidRPr="002628E3" w:rsidRDefault="002628E3" w:rsidP="002628E3">
      <w:r w:rsidRPr="002628E3">
        <w:t>As mentioned, the population is overwhelmingly white, with metrics similar to the overall Wales data in the 2021 census. However, the picture changes a bit if you look at where engineering students come from, primarily from the Swansea local authority. This area has a much higher percentage of ethnic minority residents, which is not quite reflected in engineering students.</w:t>
      </w:r>
    </w:p>
    <w:p w14:paraId="08CEB472" w14:textId="77777777" w:rsidR="002628E3" w:rsidRPr="002628E3" w:rsidRDefault="002628E3" w:rsidP="002628E3">
      <w:r w:rsidRPr="002628E3">
        <w:t>Considering disability, engineering has a small but growing percentage of students with declared disabilities. The percentage is considerably lower than the university's overall. Interestingly, the most common disability disclosed is specific learning difficulties, with a percentage significantly higher than the equivalent in the university.</w:t>
      </w:r>
    </w:p>
    <w:p w14:paraId="7CED2D43" w14:textId="77777777" w:rsidR="002628E3" w:rsidRPr="002628E3" w:rsidRDefault="002628E3" w:rsidP="002628E3">
      <w:r w:rsidRPr="002628E3">
        <w:t>About a third of engineering students are Welsh speakers, although the majority of them do not consider themselves fluent. Engineering students come primarily from South Wales, with a concentration in the Swansea area, with small numbers coming from the M4 corridor, the Midlands, and Northern England.</w:t>
      </w:r>
    </w:p>
    <w:p w14:paraId="31EE57DB" w14:textId="77777777" w:rsidR="002628E3" w:rsidRPr="002628E3" w:rsidRDefault="002628E3" w:rsidP="002628E3">
      <w:r w:rsidRPr="002628E3">
        <w:t>It is worth taking a moment to consider engineering students' accommodation arrangements. Although the numbers have been changing somewhat over the last five years, judging from 2023-24 and 2024-25, more than half the students live at home. Looking at term-time postcodes of engineering students in 2024-25, we see a large number of commuters. The majority of students live five or more miles from campus, with a quarter living more than 20 miles away.</w:t>
      </w:r>
    </w:p>
    <w:p w14:paraId="1FAD316C" w14:textId="77777777" w:rsidR="002628E3" w:rsidRPr="002628E3" w:rsidRDefault="002628E3" w:rsidP="002628E3">
      <w:r w:rsidRPr="002628E3">
        <w:t xml:space="preserve">When considering retention, we see a steady percentage of about 15% of first-year withdrawals, although 2022-23 was a clear exception. Overall cohort completion is climbing steadily over the last five years. The first-year withdrawals from engineering are slightly lower than the university average and marginally higher than the average for the </w:t>
      </w:r>
      <w:r w:rsidRPr="002628E3">
        <w:lastRenderedPageBreak/>
        <w:t>university. Regarding completion rates, engineering is marginally higher than the university average and some 5% lower than the university's average.</w:t>
      </w:r>
    </w:p>
    <w:p w14:paraId="524DACF0" w14:textId="77777777" w:rsidR="002628E3" w:rsidRPr="002628E3" w:rsidRDefault="002628E3" w:rsidP="002628E3">
      <w:r w:rsidRPr="002628E3">
        <w:t>The main reason for withdrawal is academic failure, but percentage-wise and excluding 2022-23, academic failure as the reason is very much lower than the university average and considerably lower than the university's. On the other hand, engineering has a larger percentage of students withdrawing due to finding the university not suited to them in comparison to both the university average and the university's average.</w:t>
      </w:r>
    </w:p>
    <w:p w14:paraId="08F04F94" w14:textId="77777777" w:rsidR="002628E3" w:rsidRPr="002628E3" w:rsidRDefault="002628E3" w:rsidP="002628E3">
      <w:r w:rsidRPr="002628E3">
        <w:t>Good honors metrics are specific to first degree awards, so only count for BSc and BEng. Here we see a downward trajectory over the last five years, with the proportion of first degree students achieving good honors falling every year. Engineering good honors is considerably lower than both the university average and the university's average. Focusing on 2022-23 and 2023-24, the percentage of students graduating with honors is particularly low in automotive engineering and motorcycle engineering.</w:t>
      </w:r>
    </w:p>
    <w:p w14:paraId="062992D2" w14:textId="77777777" w:rsidR="002628E3" w:rsidRPr="002628E3" w:rsidRDefault="002628E3" w:rsidP="002628E3">
      <w:r w:rsidRPr="002628E3">
        <w:t>Looking at attainment gaps, where we are essentially looking at attainment based on protected characteristics, this slide combines data from 2022-23 and 2023-24. Starting with age, there is a definite tendency for younger students to achieve less than older ones. Gender-wise, females do considerably better than males in terms of attainment, which is rather an issue given that males dominate the schedule both in terms of numbers. There appears to be no difference in attainment when it comes to ethnicity. Students from low participation backgrounds appear to do better than those from other backgrounds. The opposite is true of disability. Here, students who have declared a disability appear to do worse than those who have not. Note particularly the low attainment rate of students who have disclosed specific learning difficulties, the overwhelming majority of disclosures in engineering.</w:t>
      </w:r>
    </w:p>
    <w:p w14:paraId="03F242A8" w14:textId="77777777" w:rsidR="002628E3" w:rsidRPr="002628E3" w:rsidRDefault="002628E3" w:rsidP="002628E3">
      <w:r w:rsidRPr="002628E3">
        <w:t>Finally, when considering entry, we see that those who enter without qualifications or with unknown qualifications do overwhelmingly better than those with a low number of UCAS points.</w:t>
      </w:r>
    </w:p>
    <w:p w14:paraId="7FF3DBA1" w14:textId="77777777" w:rsidR="002628E3" w:rsidRPr="002628E3" w:rsidRDefault="002628E3" w:rsidP="002628E3">
      <w:r w:rsidRPr="002628E3">
        <w:t>The next category to consider is other assessment types and the variability of assessment. Overall, for engineering over the last few years, we are seeing a decrease in the percentage of practical assessments and an increase in the percentage of examinations. For postgraduate courses, the assessment pattern is completely different from undergraduate ones, with a focus on coursework and practical assessment and a very limited number of exams. At the undergraduate level, the situation is the opposite, with a decreasing frequency of practical assessment as students move from level four to level six and more than a quarter of assessments being exams through all categories.</w:t>
      </w:r>
    </w:p>
    <w:p w14:paraId="493D9CF5" w14:textId="77777777" w:rsidR="002628E3" w:rsidRPr="002628E3" w:rsidRDefault="002628E3" w:rsidP="002628E3">
      <w:r w:rsidRPr="002628E3">
        <w:t xml:space="preserve">Finally, let us have a look at student satisfaction, taking the NSS as a metric. In NSS 2024, engineering has done better in comparison to 2023 and better than the </w:t>
      </w:r>
      <w:r w:rsidRPr="002628E3">
        <w:lastRenderedPageBreak/>
        <w:t>university's average in a number of metrics, though there are still clear issues in relation to student satisfaction with the Students' Union.</w:t>
      </w:r>
    </w:p>
    <w:p w14:paraId="5BBB4B61" w14:textId="77777777" w:rsidR="002628E3" w:rsidRPr="002628E3" w:rsidRDefault="002628E3" w:rsidP="002628E3">
      <w:r w:rsidRPr="002628E3">
        <w:t>We will also look at the common aggregation hierarchy for subjects in higher education. There are two main areas for engineering: production manufacturing engineering and mechanical engineering. The vast majority of courses and students come under production manufacturing engineering, and that is the sector comparison for the university. Engineering has extremely high student satisfaction both in relation to NSS 2023 and the sector average for other courses in engineering, with the exception of satisfaction with the Students' Union. All other metrics are above the sector average, particularly organization and management, student voice, and assessment and feedback.</w:t>
      </w:r>
    </w:p>
    <w:p w14:paraId="3B47A30D" w14:textId="77777777" w:rsidR="002628E3" w:rsidRPr="002628E3" w:rsidRDefault="002628E3" w:rsidP="002628E3">
      <w:r w:rsidRPr="002628E3">
        <w:t>Thank you.</w:t>
      </w:r>
    </w:p>
    <w:p w14:paraId="2E1DBCDC" w14:textId="77777777" w:rsidR="002628E3" w:rsidRDefault="002628E3"/>
    <w:sectPr w:rsidR="002628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8E3"/>
    <w:rsid w:val="002628E3"/>
    <w:rsid w:val="00735053"/>
    <w:rsid w:val="008579FB"/>
    <w:rsid w:val="00AE00D1"/>
    <w:rsid w:val="00E70F42"/>
    <w:rsid w:val="00FF57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2C93A"/>
  <w15:chartTrackingRefBased/>
  <w15:docId w15:val="{D5E60DDA-BA19-43FD-A329-2E22327CB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28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28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28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28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28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28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28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28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28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28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28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28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28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28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28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28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28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28E3"/>
    <w:rPr>
      <w:rFonts w:eastAsiaTheme="majorEastAsia" w:cstheme="majorBidi"/>
      <w:color w:val="272727" w:themeColor="text1" w:themeTint="D8"/>
    </w:rPr>
  </w:style>
  <w:style w:type="paragraph" w:styleId="Title">
    <w:name w:val="Title"/>
    <w:basedOn w:val="Normal"/>
    <w:next w:val="Normal"/>
    <w:link w:val="TitleChar"/>
    <w:uiPriority w:val="10"/>
    <w:qFormat/>
    <w:rsid w:val="002628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28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28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28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28E3"/>
    <w:pPr>
      <w:spacing w:before="160"/>
      <w:jc w:val="center"/>
    </w:pPr>
    <w:rPr>
      <w:i/>
      <w:iCs/>
      <w:color w:val="404040" w:themeColor="text1" w:themeTint="BF"/>
    </w:rPr>
  </w:style>
  <w:style w:type="character" w:customStyle="1" w:styleId="QuoteChar">
    <w:name w:val="Quote Char"/>
    <w:basedOn w:val="DefaultParagraphFont"/>
    <w:link w:val="Quote"/>
    <w:uiPriority w:val="29"/>
    <w:rsid w:val="002628E3"/>
    <w:rPr>
      <w:i/>
      <w:iCs/>
      <w:color w:val="404040" w:themeColor="text1" w:themeTint="BF"/>
    </w:rPr>
  </w:style>
  <w:style w:type="paragraph" w:styleId="ListParagraph">
    <w:name w:val="List Paragraph"/>
    <w:basedOn w:val="Normal"/>
    <w:uiPriority w:val="34"/>
    <w:qFormat/>
    <w:rsid w:val="002628E3"/>
    <w:pPr>
      <w:ind w:left="720"/>
      <w:contextualSpacing/>
    </w:pPr>
  </w:style>
  <w:style w:type="character" w:styleId="IntenseEmphasis">
    <w:name w:val="Intense Emphasis"/>
    <w:basedOn w:val="DefaultParagraphFont"/>
    <w:uiPriority w:val="21"/>
    <w:qFormat/>
    <w:rsid w:val="002628E3"/>
    <w:rPr>
      <w:i/>
      <w:iCs/>
      <w:color w:val="0F4761" w:themeColor="accent1" w:themeShade="BF"/>
    </w:rPr>
  </w:style>
  <w:style w:type="paragraph" w:styleId="IntenseQuote">
    <w:name w:val="Intense Quote"/>
    <w:basedOn w:val="Normal"/>
    <w:next w:val="Normal"/>
    <w:link w:val="IntenseQuoteChar"/>
    <w:uiPriority w:val="30"/>
    <w:qFormat/>
    <w:rsid w:val="002628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28E3"/>
    <w:rPr>
      <w:i/>
      <w:iCs/>
      <w:color w:val="0F4761" w:themeColor="accent1" w:themeShade="BF"/>
    </w:rPr>
  </w:style>
  <w:style w:type="character" w:styleId="IntenseReference">
    <w:name w:val="Intense Reference"/>
    <w:basedOn w:val="DefaultParagraphFont"/>
    <w:uiPriority w:val="32"/>
    <w:qFormat/>
    <w:rsid w:val="002628E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3415929">
      <w:bodyDiv w:val="1"/>
      <w:marLeft w:val="0"/>
      <w:marRight w:val="0"/>
      <w:marTop w:val="0"/>
      <w:marBottom w:val="0"/>
      <w:divBdr>
        <w:top w:val="none" w:sz="0" w:space="0" w:color="auto"/>
        <w:left w:val="none" w:sz="0" w:space="0" w:color="auto"/>
        <w:bottom w:val="none" w:sz="0" w:space="0" w:color="auto"/>
        <w:right w:val="none" w:sz="0" w:space="0" w:color="auto"/>
      </w:divBdr>
      <w:divsChild>
        <w:div w:id="1694109512">
          <w:marLeft w:val="0"/>
          <w:marRight w:val="0"/>
          <w:marTop w:val="0"/>
          <w:marBottom w:val="0"/>
          <w:divBdr>
            <w:top w:val="none" w:sz="0" w:space="0" w:color="auto"/>
            <w:left w:val="none" w:sz="0" w:space="0" w:color="auto"/>
            <w:bottom w:val="none" w:sz="0" w:space="0" w:color="auto"/>
            <w:right w:val="none" w:sz="0" w:space="0" w:color="auto"/>
          </w:divBdr>
        </w:div>
      </w:divsChild>
    </w:div>
    <w:div w:id="2041011618">
      <w:bodyDiv w:val="1"/>
      <w:marLeft w:val="0"/>
      <w:marRight w:val="0"/>
      <w:marTop w:val="0"/>
      <w:marBottom w:val="0"/>
      <w:divBdr>
        <w:top w:val="none" w:sz="0" w:space="0" w:color="auto"/>
        <w:left w:val="none" w:sz="0" w:space="0" w:color="auto"/>
        <w:bottom w:val="none" w:sz="0" w:space="0" w:color="auto"/>
        <w:right w:val="none" w:sz="0" w:space="0" w:color="auto"/>
      </w:divBdr>
      <w:divsChild>
        <w:div w:id="2685100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1422</Words>
  <Characters>8109</Characters>
  <Application>Microsoft Office Word</Application>
  <DocSecurity>0</DocSecurity>
  <Lines>67</Lines>
  <Paragraphs>19</Paragraphs>
  <ScaleCrop>false</ScaleCrop>
  <Company>University of Wales Trinity Saint David</Company>
  <LinksUpToDate>false</LinksUpToDate>
  <CharactersWithSpaces>9512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Errietta Bissa</cp:lastModifiedBy>
  <cp:revision>1</cp:revision>
  <dcterms:created xsi:type="dcterms:W3CDTF">2024-12-13T11:27:00Z</dcterms:created>
  <dcterms:modified xsi:type="dcterms:W3CDTF">2024-12-13T11:28:00Z</dcterms:modified>
</cp:coreProperties>
</file>