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b/>
          <w:color w:val="000000"/>
          <w:sz w:val="44"/>
          <w:szCs w:val="44"/>
          <w:u w:val="single"/>
        </w:rPr>
      </w:pPr>
    </w:p>
    <w:p>
      <w:pPr>
        <w:jc w:val="center"/>
        <w:outlineLvl w:val="0"/>
        <w:rPr>
          <w:b/>
          <w:color w:val="000000"/>
          <w:sz w:val="44"/>
          <w:szCs w:val="44"/>
          <w:u w:val="single"/>
        </w:rPr>
      </w:pPr>
    </w:p>
    <w:p>
      <w:pPr>
        <w:jc w:val="center"/>
        <w:outlineLvl w:val="0"/>
        <w:rPr>
          <w:b/>
          <w:color w:val="000000"/>
          <w:sz w:val="44"/>
          <w:szCs w:val="44"/>
          <w:u w:val="single"/>
        </w:rPr>
      </w:pPr>
    </w:p>
    <w:p>
      <w:pPr>
        <w:jc w:val="center"/>
        <w:outlineLvl w:val="0"/>
        <w:rPr>
          <w:b/>
          <w:color w:val="000000"/>
          <w:sz w:val="44"/>
          <w:szCs w:val="44"/>
          <w:u w:val="single"/>
        </w:rPr>
      </w:pPr>
    </w:p>
    <w:p>
      <w:pPr>
        <w:jc w:val="center"/>
        <w:outlineLvl w:val="0"/>
        <w:rPr>
          <w:b/>
          <w:color w:val="000000"/>
          <w:sz w:val="52"/>
          <w:szCs w:val="52"/>
        </w:rPr>
      </w:pPr>
    </w:p>
    <w:p>
      <w:pPr>
        <w:jc w:val="center"/>
        <w:outlineLvl w:val="0"/>
        <w:rPr>
          <w:rFonts w:hint="eastAsia"/>
          <w:b/>
          <w:color w:val="000000"/>
          <w:sz w:val="52"/>
          <w:szCs w:val="52"/>
          <w:lang w:val="en-US" w:eastAsia="zh-CN"/>
        </w:rPr>
      </w:pPr>
      <w:r>
        <w:rPr>
          <w:rFonts w:hint="eastAsia"/>
          <w:b/>
          <w:color w:val="000000"/>
          <w:sz w:val="52"/>
          <w:szCs w:val="52"/>
          <w:lang w:val="en-US" w:eastAsia="zh-CN"/>
        </w:rPr>
        <w:t>True English Language Institute（TELI）PID</w:t>
      </w:r>
    </w:p>
    <w:p>
      <w:pPr>
        <w:jc w:val="center"/>
        <w:outlineLvl w:val="0"/>
        <w:rPr>
          <w:b/>
          <w:color w:val="000000"/>
          <w:sz w:val="44"/>
          <w:szCs w:val="44"/>
          <w:u w:val="single"/>
        </w:rPr>
      </w:pPr>
    </w:p>
    <w:p>
      <w:pPr>
        <w:jc w:val="center"/>
        <w:outlineLvl w:val="0"/>
        <w:rPr>
          <w:b/>
          <w:color w:val="000000"/>
          <w:sz w:val="44"/>
          <w:szCs w:val="44"/>
          <w:u w:val="single"/>
        </w:rPr>
      </w:pPr>
    </w:p>
    <w:p>
      <w:pPr>
        <w:jc w:val="center"/>
        <w:outlineLvl w:val="0"/>
        <w:rPr>
          <w:b/>
          <w:color w:val="000000"/>
          <w:sz w:val="44"/>
          <w:szCs w:val="44"/>
          <w:u w:val="single"/>
        </w:rPr>
      </w:pPr>
    </w:p>
    <w:p>
      <w:pPr>
        <w:jc w:val="center"/>
        <w:outlineLvl w:val="0"/>
        <w:rPr>
          <w:b/>
          <w:color w:val="000000"/>
          <w:sz w:val="44"/>
          <w:szCs w:val="44"/>
          <w:u w:val="single"/>
        </w:rPr>
      </w:pPr>
    </w:p>
    <w:p>
      <w:pPr>
        <w:jc w:val="center"/>
        <w:outlineLvl w:val="0"/>
        <w:rPr>
          <w:b/>
          <w:color w:val="000000"/>
          <w:sz w:val="40"/>
          <w:szCs w:val="40"/>
          <w:u w:val="single"/>
        </w:rPr>
      </w:pPr>
    </w:p>
    <w:p>
      <w:pPr>
        <w:jc w:val="right"/>
        <w:outlineLvl w:val="0"/>
        <w:rPr>
          <w:b/>
          <w:color w:val="000000"/>
          <w:sz w:val="32"/>
          <w:szCs w:val="32"/>
        </w:rPr>
      </w:pPr>
    </w:p>
    <w:p>
      <w:pPr>
        <w:jc w:val="right"/>
        <w:outlineLvl w:val="0"/>
        <w:rPr>
          <w:b/>
          <w:color w:val="000000"/>
          <w:sz w:val="32"/>
          <w:szCs w:val="32"/>
        </w:rPr>
      </w:pPr>
    </w:p>
    <w:p>
      <w:pPr>
        <w:jc w:val="right"/>
        <w:outlineLvl w:val="0"/>
        <w:rPr>
          <w:b/>
          <w:color w:val="000000"/>
          <w:sz w:val="32"/>
          <w:szCs w:val="32"/>
        </w:rPr>
      </w:pPr>
    </w:p>
    <w:p>
      <w:pPr>
        <w:jc w:val="right"/>
        <w:outlineLvl w:val="0"/>
        <w:rPr>
          <w:b/>
          <w:color w:val="000000"/>
          <w:sz w:val="32"/>
          <w:szCs w:val="32"/>
        </w:rPr>
      </w:pPr>
    </w:p>
    <w:p>
      <w:pPr>
        <w:jc w:val="right"/>
        <w:outlineLvl w:val="0"/>
        <w:rPr>
          <w:b/>
          <w:color w:val="000000"/>
          <w:sz w:val="32"/>
          <w:szCs w:val="32"/>
        </w:rPr>
      </w:pPr>
      <w:r>
        <w:rPr>
          <w:b/>
          <w:color w:val="000000"/>
          <w:sz w:val="32"/>
          <w:szCs w:val="32"/>
        </w:rPr>
        <w:t>Student name:Hengrun Lu</w:t>
      </w:r>
    </w:p>
    <w:p>
      <w:pPr>
        <w:jc w:val="right"/>
        <w:outlineLvl w:val="0"/>
        <w:rPr>
          <w:b/>
          <w:color w:val="000000"/>
          <w:sz w:val="32"/>
          <w:szCs w:val="32"/>
        </w:rPr>
      </w:pPr>
      <w:r>
        <w:rPr>
          <w:b/>
          <w:color w:val="000000"/>
          <w:sz w:val="32"/>
          <w:szCs w:val="32"/>
        </w:rPr>
        <w:t>Student number:1704344</w:t>
      </w:r>
    </w:p>
    <w:p>
      <w:pPr>
        <w:jc w:val="right"/>
        <w:outlineLvl w:val="0"/>
        <w:rPr>
          <w:rFonts w:hint="eastAsia"/>
          <w:b/>
          <w:color w:val="000000"/>
          <w:sz w:val="32"/>
          <w:szCs w:val="32"/>
          <w:lang w:val="en-US" w:eastAsia="zh-CN"/>
        </w:rPr>
      </w:pPr>
      <w:r>
        <w:rPr>
          <w:b/>
          <w:color w:val="000000"/>
          <w:sz w:val="32"/>
          <w:szCs w:val="32"/>
        </w:rPr>
        <w:t>SBUS612</w:t>
      </w:r>
      <w:r>
        <w:rPr>
          <w:rFonts w:hint="eastAsia"/>
          <w:b/>
          <w:color w:val="000000"/>
          <w:sz w:val="32"/>
          <w:szCs w:val="32"/>
          <w:lang w:val="en-US" w:eastAsia="zh-CN"/>
        </w:rPr>
        <w:t>2</w:t>
      </w:r>
      <w:r>
        <w:rPr>
          <w:b/>
          <w:color w:val="000000"/>
          <w:sz w:val="32"/>
          <w:szCs w:val="32"/>
        </w:rPr>
        <w:t xml:space="preserve"> </w:t>
      </w:r>
      <w:r>
        <w:rPr>
          <w:rFonts w:hint="eastAsia"/>
          <w:b/>
          <w:color w:val="000000"/>
          <w:sz w:val="32"/>
          <w:szCs w:val="32"/>
          <w:lang w:val="en-US" w:eastAsia="zh-CN"/>
        </w:rPr>
        <w:t>Organisational Consultancy</w:t>
      </w:r>
    </w:p>
    <w:p>
      <w:pPr>
        <w:pStyle w:val="9"/>
        <w:numPr>
          <w:ilvl w:val="0"/>
          <w:numId w:val="1"/>
        </w:numPr>
        <w:ind w:firstLineChars="0"/>
        <w:rPr>
          <w:rFonts w:hint="default" w:ascii="Times New Roman" w:hAnsi="Times New Roman" w:cs="Times New Roman"/>
          <w:b/>
          <w:bCs/>
          <w:sz w:val="32"/>
          <w:szCs w:val="32"/>
          <w:lang w:val="en-GB"/>
        </w:rPr>
        <w:sectPr>
          <w:pgSz w:w="11900" w:h="16840"/>
          <w:pgMar w:top="1440" w:right="1800" w:bottom="1440" w:left="1800" w:header="720" w:footer="720" w:gutter="0"/>
          <w:cols w:space="720" w:num="1"/>
          <w:docGrid w:type="lines" w:linePitch="423" w:charSpace="0"/>
        </w:sectPr>
      </w:pPr>
    </w:p>
    <w:p>
      <w:pPr>
        <w:pStyle w:val="9"/>
        <w:numPr>
          <w:numId w:val="0"/>
        </w:numPr>
        <w:ind w:leftChars="0"/>
        <w:rPr>
          <w:rFonts w:hint="eastAsia" w:ascii="Times New Roman" w:hAnsi="Times New Roman" w:cs="Times New Roman"/>
          <w:b/>
          <w:bCs/>
          <w:sz w:val="40"/>
          <w:szCs w:val="40"/>
          <w:lang w:val="en-US" w:eastAsia="zh-CN"/>
        </w:rPr>
      </w:pPr>
      <w:r>
        <w:rPr>
          <w:rFonts w:hint="eastAsia" w:ascii="Times New Roman" w:hAnsi="Times New Roman" w:cs="Times New Roman"/>
          <w:b/>
          <w:bCs/>
          <w:sz w:val="40"/>
          <w:szCs w:val="40"/>
          <w:lang w:val="en-US" w:eastAsia="zh-CN"/>
        </w:rPr>
        <w:t>Content</w:t>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_Toc18297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e289bf31-9358-43f6-94bd-ec609bf4e44a}"/>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1.0 Introduction</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_Toc25483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95f1c43c-718f-48ed-bf48-6f89ff80e4eb}"/>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2.0 Project Justification &amp; Objectives</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2</w:t>
      </w:r>
      <w:r>
        <w:rPr>
          <w:rFonts w:hint="default" w:ascii="Times New Roman" w:hAnsi="Times New Roman" w:cs="Times New Roman"/>
          <w:b/>
          <w:bCs/>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_Toc13567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e89e5c35-fb75-4d75-b2a1-2421d791cdeb}"/>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3.0 Recommendation</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3</w:t>
      </w:r>
      <w:r>
        <w:rPr>
          <w:rFonts w:hint="default" w:ascii="Times New Roman" w:hAnsi="Times New Roman" w:cs="Times New Roman"/>
          <w:b/>
          <w:bCs/>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_Toc8072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5e3f3796-f19e-4105-b8a0-63f309f0e083}"/>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4.0 Business Case and Approach</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5</w:t>
      </w:r>
      <w:r>
        <w:rPr>
          <w:rFonts w:hint="default" w:ascii="Times New Roman" w:hAnsi="Times New Roman" w:cs="Times New Roman"/>
          <w:b/>
          <w:bCs/>
          <w:sz w:val="28"/>
          <w:szCs w:val="28"/>
        </w:rPr>
        <w:fldChar w:fldCharType="end"/>
      </w:r>
    </w:p>
    <w:p>
      <w:pPr>
        <w:pStyle w:val="11"/>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_Toc13295 </w:instrText>
      </w:r>
      <w:r>
        <w:rPr>
          <w:rFonts w:hint="default" w:ascii="Times New Roman" w:hAnsi="Times New Roman" w:cs="Times New Roman"/>
          <w:sz w:val="28"/>
          <w:szCs w:val="28"/>
        </w:rPr>
        <w:fldChar w:fldCharType="separate"/>
      </w:r>
      <w:sdt>
        <w:sdtPr>
          <w:rPr>
            <w:rFonts w:hint="default" w:ascii="Times New Roman" w:hAnsi="Times New Roman" w:cs="Times New Roman" w:eastAsiaTheme="minorEastAsia"/>
            <w:kern w:val="2"/>
            <w:sz w:val="28"/>
            <w:szCs w:val="28"/>
            <w:lang w:val="en-US" w:eastAsia="zh-CN" w:bidi="ar-SA"/>
          </w:rPr>
          <w:id w:val="147467470"/>
          <w:placeholder>
            <w:docPart w:val="{d334489d-b4b3-43e1-b225-84c5e2a26158}"/>
          </w:placeholder>
        </w:sdtPr>
        <w:sdtEndPr>
          <w:rPr>
            <w:rFonts w:hint="default" w:ascii="Times New Roman" w:hAnsi="Times New Roman" w:cs="Times New Roman" w:eastAsiaTheme="minorEastAsia"/>
            <w:kern w:val="2"/>
            <w:sz w:val="28"/>
            <w:szCs w:val="28"/>
            <w:lang w:val="en-US" w:eastAsia="zh-CN" w:bidi="ar-SA"/>
          </w:rPr>
        </w:sdtEndPr>
        <w:sdtContent>
          <w:r>
            <w:rPr>
              <w:rFonts w:hint="default" w:ascii="Times New Roman" w:hAnsi="Times New Roman" w:cs="Times New Roman" w:eastAsiaTheme="minorEastAsia"/>
              <w:sz w:val="28"/>
              <w:szCs w:val="28"/>
            </w:rPr>
            <w:t>4.1 Three Modes of Chain Management in Education</w:t>
          </w:r>
        </w:sdtContent>
      </w:sdt>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5</w:t>
      </w:r>
      <w:r>
        <w:rPr>
          <w:rFonts w:hint="default" w:ascii="Times New Roman" w:hAnsi="Times New Roman" w:cs="Times New Roman"/>
          <w:sz w:val="28"/>
          <w:szCs w:val="28"/>
        </w:rPr>
        <w:fldChar w:fldCharType="end"/>
      </w:r>
    </w:p>
    <w:p>
      <w:pPr>
        <w:pStyle w:val="11"/>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_Toc26786 </w:instrText>
      </w:r>
      <w:r>
        <w:rPr>
          <w:rFonts w:hint="default" w:ascii="Times New Roman" w:hAnsi="Times New Roman" w:cs="Times New Roman"/>
          <w:sz w:val="28"/>
          <w:szCs w:val="28"/>
        </w:rPr>
        <w:fldChar w:fldCharType="separate"/>
      </w:r>
      <w:sdt>
        <w:sdtPr>
          <w:rPr>
            <w:rFonts w:hint="default" w:ascii="Times New Roman" w:hAnsi="Times New Roman" w:cs="Times New Roman" w:eastAsiaTheme="minorEastAsia"/>
            <w:kern w:val="2"/>
            <w:sz w:val="28"/>
            <w:szCs w:val="28"/>
            <w:lang w:val="en-US" w:eastAsia="zh-CN" w:bidi="ar-SA"/>
          </w:rPr>
          <w:id w:val="147467470"/>
          <w:placeholder>
            <w:docPart w:val="{1c7ee2db-5ec9-43e4-a3be-9c30126c58d0}"/>
          </w:placeholder>
        </w:sdtPr>
        <w:sdtEndPr>
          <w:rPr>
            <w:rFonts w:hint="default" w:ascii="Times New Roman" w:hAnsi="Times New Roman" w:cs="Times New Roman" w:eastAsiaTheme="minorEastAsia"/>
            <w:kern w:val="2"/>
            <w:sz w:val="28"/>
            <w:szCs w:val="28"/>
            <w:lang w:val="en-US" w:eastAsia="zh-CN" w:bidi="ar-SA"/>
          </w:rPr>
        </w:sdtEndPr>
        <w:sdtContent>
          <w:r>
            <w:rPr>
              <w:rFonts w:hint="default" w:ascii="Times New Roman" w:hAnsi="Times New Roman" w:cs="Times New Roman" w:eastAsiaTheme="minorEastAsia"/>
              <w:sz w:val="28"/>
              <w:szCs w:val="28"/>
            </w:rPr>
            <w:t>4.2 Benefits</w:t>
          </w:r>
        </w:sdtContent>
      </w:sdt>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5</w:t>
      </w:r>
      <w:r>
        <w:rPr>
          <w:rFonts w:hint="default" w:ascii="Times New Roman" w:hAnsi="Times New Roman" w:cs="Times New Roman"/>
          <w:sz w:val="28"/>
          <w:szCs w:val="28"/>
        </w:rPr>
        <w:fldChar w:fldCharType="end"/>
      </w:r>
    </w:p>
    <w:p>
      <w:pPr>
        <w:pStyle w:val="11"/>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_Toc27393 </w:instrText>
      </w:r>
      <w:r>
        <w:rPr>
          <w:rFonts w:hint="default" w:ascii="Times New Roman" w:hAnsi="Times New Roman" w:cs="Times New Roman"/>
          <w:sz w:val="28"/>
          <w:szCs w:val="28"/>
        </w:rPr>
        <w:fldChar w:fldCharType="separate"/>
      </w:r>
      <w:sdt>
        <w:sdtPr>
          <w:rPr>
            <w:rFonts w:hint="default" w:ascii="Times New Roman" w:hAnsi="Times New Roman" w:cs="Times New Roman" w:eastAsiaTheme="minorEastAsia"/>
            <w:kern w:val="2"/>
            <w:sz w:val="28"/>
            <w:szCs w:val="28"/>
            <w:lang w:val="en-US" w:eastAsia="zh-CN" w:bidi="ar-SA"/>
          </w:rPr>
          <w:id w:val="147467470"/>
          <w:placeholder>
            <w:docPart w:val="{da4b9629-1d46-42eb-a903-d876e53b213a}"/>
          </w:placeholder>
        </w:sdtPr>
        <w:sdtEndPr>
          <w:rPr>
            <w:rFonts w:hint="default" w:ascii="Times New Roman" w:hAnsi="Times New Roman" w:cs="Times New Roman" w:eastAsiaTheme="minorEastAsia"/>
            <w:kern w:val="2"/>
            <w:sz w:val="28"/>
            <w:szCs w:val="28"/>
            <w:lang w:val="en-US" w:eastAsia="zh-CN" w:bidi="ar-SA"/>
          </w:rPr>
        </w:sdtEndPr>
        <w:sdtContent>
          <w:r>
            <w:rPr>
              <w:rFonts w:hint="default" w:ascii="Times New Roman" w:hAnsi="Times New Roman" w:cs="Times New Roman" w:eastAsiaTheme="minorEastAsia"/>
              <w:sz w:val="28"/>
              <w:szCs w:val="28"/>
            </w:rPr>
            <w:t>4.3 Risk Assessment</w:t>
          </w:r>
        </w:sdtContent>
      </w:sdt>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6</w:t>
      </w:r>
      <w:r>
        <w:rPr>
          <w:rFonts w:hint="default" w:ascii="Times New Roman" w:hAnsi="Times New Roman" w:cs="Times New Roman"/>
          <w:sz w:val="28"/>
          <w:szCs w:val="28"/>
        </w:rPr>
        <w:fldChar w:fldCharType="end"/>
      </w:r>
    </w:p>
    <w:p>
      <w:pPr>
        <w:pStyle w:val="11"/>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_Toc24554 </w:instrText>
      </w:r>
      <w:r>
        <w:rPr>
          <w:rFonts w:hint="default" w:ascii="Times New Roman" w:hAnsi="Times New Roman" w:cs="Times New Roman"/>
          <w:sz w:val="28"/>
          <w:szCs w:val="28"/>
        </w:rPr>
        <w:fldChar w:fldCharType="separate"/>
      </w:r>
      <w:sdt>
        <w:sdtPr>
          <w:rPr>
            <w:rFonts w:hint="default" w:ascii="Times New Roman" w:hAnsi="Times New Roman" w:cs="Times New Roman" w:eastAsiaTheme="minorEastAsia"/>
            <w:kern w:val="2"/>
            <w:sz w:val="28"/>
            <w:szCs w:val="28"/>
            <w:lang w:val="en-US" w:eastAsia="zh-CN" w:bidi="ar-SA"/>
          </w:rPr>
          <w:id w:val="147467470"/>
          <w:placeholder>
            <w:docPart w:val="{7088e1e8-3114-4385-b4df-082a30b0b4dc}"/>
          </w:placeholder>
        </w:sdtPr>
        <w:sdtEndPr>
          <w:rPr>
            <w:rFonts w:hint="default" w:ascii="Times New Roman" w:hAnsi="Times New Roman" w:cs="Times New Roman" w:eastAsiaTheme="minorEastAsia"/>
            <w:kern w:val="2"/>
            <w:sz w:val="28"/>
            <w:szCs w:val="28"/>
            <w:lang w:val="en-US" w:eastAsia="zh-CN" w:bidi="ar-SA"/>
          </w:rPr>
        </w:sdtEndPr>
        <w:sdtContent>
          <w:r>
            <w:rPr>
              <w:rFonts w:hint="default" w:ascii="Times New Roman" w:hAnsi="Times New Roman" w:cs="Times New Roman" w:eastAsiaTheme="minorEastAsia"/>
              <w:sz w:val="28"/>
              <w:szCs w:val="28"/>
            </w:rPr>
            <w:t>4.4 Quality Management</w:t>
          </w:r>
        </w:sdtContent>
      </w:sdt>
      <w:r>
        <w:rPr>
          <w:rFonts w:hint="default" w:ascii="Times New Roman" w:hAnsi="Times New Roman" w:cs="Times New Roman"/>
          <w:sz w:val="28"/>
          <w:szCs w:val="28"/>
        </w:rPr>
        <w:tab/>
      </w:r>
      <w:r>
        <w:rPr>
          <w:rFonts w:hint="eastAsia" w:ascii="Times New Roman" w:hAnsi="Times New Roman" w:cs="Times New Roman"/>
          <w:sz w:val="28"/>
          <w:szCs w:val="28"/>
          <w:lang w:val="en-US" w:eastAsia="zh-CN"/>
        </w:rPr>
        <w:t>7</w:t>
      </w:r>
      <w:r>
        <w:rPr>
          <w:rFonts w:hint="default" w:ascii="Times New Roman" w:hAnsi="Times New Roman" w:cs="Times New Roman"/>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_Toc13517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b6ab41d3-f113-4c1a-a641-a5d2d40d5435}"/>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5.0 Planned Communication Strategy</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7</w:t>
      </w:r>
      <w:r>
        <w:rPr>
          <w:rFonts w:hint="default" w:ascii="Times New Roman" w:hAnsi="Times New Roman" w:cs="Times New Roman"/>
          <w:b/>
          <w:bCs/>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_Toc25661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e7fa6c30-e486-42ce-bd94-fc275f86b2db}"/>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6.0 Project Plan</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8</w:t>
      </w:r>
      <w:r>
        <w:rPr>
          <w:rFonts w:hint="default" w:ascii="Times New Roman" w:hAnsi="Times New Roman" w:cs="Times New Roman"/>
          <w:b/>
          <w:bCs/>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_Toc12503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837a202d-ed5d-483c-8dcb-5a5ce91656d2}"/>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7.0 Research Methodology</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9</w:t>
      </w:r>
      <w:r>
        <w:rPr>
          <w:rFonts w:hint="default" w:ascii="Times New Roman" w:hAnsi="Times New Roman" w:cs="Times New Roman"/>
          <w:b/>
          <w:bCs/>
          <w:sz w:val="28"/>
          <w:szCs w:val="28"/>
        </w:rPr>
        <w:fldChar w:fldCharType="end"/>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_Toc19131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7ed55d80-ef16-4fab-9880-a9f5fe0fa69d}"/>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8.0 Project Team</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rPr>
        <w:fldChar w:fldCharType="end"/>
      </w:r>
      <w:r>
        <w:rPr>
          <w:rFonts w:hint="eastAsia" w:ascii="Times New Roman" w:hAnsi="Times New Roman" w:cs="Times New Roman"/>
          <w:b/>
          <w:bCs/>
          <w:sz w:val="28"/>
          <w:szCs w:val="28"/>
          <w:lang w:val="en-US" w:eastAsia="zh-CN"/>
        </w:rPr>
        <w:t>0</w:t>
      </w:r>
    </w:p>
    <w:p>
      <w:pPr>
        <w:pStyle w:val="10"/>
        <w:tabs>
          <w:tab w:val="right" w:leader="dot" w:pos="8306"/>
        </w:tabs>
        <w:rPr>
          <w:rFonts w:hint="default" w:ascii="Times New Roman" w:hAnsi="Times New Roman" w:cs="Times New Roman"/>
          <w:sz w:val="28"/>
          <w:szCs w:val="28"/>
        </w:r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_Toc3235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1a595db0-72bd-4f4e-8ab2-ad23586a3a11}"/>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9.0 Costs</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rPr>
        <w:fldChar w:fldCharType="end"/>
      </w:r>
      <w:r>
        <w:rPr>
          <w:rFonts w:hint="eastAsia" w:ascii="Times New Roman" w:hAnsi="Times New Roman" w:cs="Times New Roman"/>
          <w:b/>
          <w:bCs/>
          <w:sz w:val="28"/>
          <w:szCs w:val="28"/>
          <w:lang w:val="en-US" w:eastAsia="zh-CN"/>
        </w:rPr>
        <w:t>0</w:t>
      </w:r>
    </w:p>
    <w:p>
      <w:pPr>
        <w:pStyle w:val="9"/>
        <w:numPr>
          <w:numId w:val="0"/>
        </w:numPr>
        <w:ind w:leftChars="0"/>
        <w:rPr>
          <w:rFonts w:hint="default" w:ascii="Times New Roman" w:hAnsi="Times New Roman" w:cs="Times New Roman"/>
          <w:b/>
          <w:bCs/>
          <w:sz w:val="28"/>
          <w:szCs w:val="28"/>
          <w:lang w:val="en-US" w:eastAsia="zh-CN"/>
        </w:rPr>
        <w:sectPr>
          <w:pgSz w:w="11900" w:h="16840"/>
          <w:pgMar w:top="1440" w:right="1800" w:bottom="1440" w:left="1800" w:header="720" w:footer="720" w:gutter="0"/>
          <w:cols w:space="720" w:num="1"/>
          <w:docGrid w:type="lines" w:linePitch="423" w:charSpace="0"/>
        </w:sectPr>
      </w:pPr>
      <w:r>
        <w:rPr>
          <w:rFonts w:hint="default" w:ascii="Times New Roman" w:hAnsi="Times New Roman" w:cs="Times New Roman"/>
          <w:b/>
          <w:bCs/>
          <w:sz w:val="28"/>
          <w:szCs w:val="28"/>
        </w:rPr>
        <w:fldChar w:fldCharType="begin"/>
      </w:r>
      <w:r>
        <w:rPr>
          <w:rFonts w:hint="default" w:ascii="Times New Roman" w:hAnsi="Times New Roman" w:cs="Times New Roman"/>
          <w:sz w:val="28"/>
          <w:szCs w:val="28"/>
        </w:rPr>
        <w:instrText xml:space="preserve"> HYPERLINK \l _Toc11294 </w:instrText>
      </w:r>
      <w:r>
        <w:rPr>
          <w:rFonts w:hint="default" w:ascii="Times New Roman" w:hAnsi="Times New Roman" w:cs="Times New Roman"/>
          <w:b/>
          <w:bCs/>
          <w:sz w:val="28"/>
          <w:szCs w:val="28"/>
        </w:rPr>
        <w:fldChar w:fldCharType="separate"/>
      </w:r>
      <w:sdt>
        <w:sdtPr>
          <w:rPr>
            <w:rFonts w:hint="default" w:ascii="Times New Roman" w:hAnsi="Times New Roman" w:cs="Times New Roman" w:eastAsiaTheme="minorEastAsia"/>
            <w:b/>
            <w:bCs/>
            <w:kern w:val="2"/>
            <w:sz w:val="28"/>
            <w:szCs w:val="28"/>
            <w:lang w:val="en-US" w:eastAsia="zh-CN" w:bidi="ar-SA"/>
          </w:rPr>
          <w:id w:val="147467470"/>
          <w:placeholder>
            <w:docPart w:val="{ce390a99-6a9a-48f2-aea4-2a3807bc3937}"/>
          </w:placeholder>
        </w:sdtPr>
        <w:sdtEndPr>
          <w:rPr>
            <w:rFonts w:hint="default" w:ascii="Times New Roman" w:hAnsi="Times New Roman" w:cs="Times New Roman" w:eastAsiaTheme="minorEastAsia"/>
            <w:b/>
            <w:bCs/>
            <w:kern w:val="2"/>
            <w:sz w:val="28"/>
            <w:szCs w:val="28"/>
            <w:lang w:val="en-US" w:eastAsia="zh-CN" w:bidi="ar-SA"/>
          </w:rPr>
        </w:sdtEndPr>
        <w:sdtContent>
          <w:r>
            <w:rPr>
              <w:rFonts w:hint="default" w:ascii="Times New Roman" w:hAnsi="Times New Roman" w:cs="Times New Roman" w:eastAsiaTheme="minorEastAsia"/>
              <w:b/>
              <w:bCs/>
              <w:sz w:val="28"/>
              <w:szCs w:val="28"/>
            </w:rPr>
            <w:t>10.0 Reference &amp; Bibliography</w:t>
          </w:r>
        </w:sdtContent>
      </w:sdt>
      <w:r>
        <w:rPr>
          <w:rFonts w:hint="default" w:ascii="Times New Roman" w:hAnsi="Times New Roman" w:cs="Times New Roman"/>
          <w:b/>
          <w:bCs/>
          <w:sz w:val="28"/>
          <w:szCs w:val="28"/>
        </w:rPr>
        <w:tab/>
      </w:r>
      <w:r>
        <w:rPr>
          <w:rFonts w:hint="eastAsia" w:ascii="Times New Roman" w:hAnsi="Times New Roman" w:cs="Times New Roman"/>
          <w:b/>
          <w:bCs/>
          <w:sz w:val="28"/>
          <w:szCs w:val="28"/>
          <w:lang w:val="en-US" w:eastAsia="zh-CN"/>
        </w:rPr>
        <w:t>............................................................1</w:t>
      </w:r>
      <w:r>
        <w:rPr>
          <w:rFonts w:hint="default" w:ascii="Times New Roman" w:hAnsi="Times New Roman" w:cs="Times New Roman"/>
          <w:b/>
          <w:bCs/>
          <w:sz w:val="28"/>
          <w:szCs w:val="28"/>
        </w:rPr>
        <w:fldChar w:fldCharType="end"/>
      </w:r>
      <w:r>
        <w:rPr>
          <w:rFonts w:hint="eastAsia" w:ascii="Times New Roman" w:hAnsi="Times New Roman" w:cs="Times New Roman"/>
          <w:b/>
          <w:bCs/>
          <w:sz w:val="28"/>
          <w:szCs w:val="28"/>
          <w:lang w:val="en-US" w:eastAsia="zh-CN"/>
        </w:rPr>
        <w:t>1</w:t>
      </w:r>
    </w:p>
    <w:p>
      <w:pPr>
        <w:pStyle w:val="9"/>
        <w:numPr>
          <w:ilvl w:val="0"/>
          <w:numId w:val="1"/>
        </w:numPr>
        <w:ind w:firstLineChars="0"/>
        <w:rPr>
          <w:rFonts w:hint="default" w:ascii="Times New Roman" w:hAnsi="Times New Roman" w:cs="Times New Roman"/>
          <w:b/>
          <w:bCs/>
          <w:sz w:val="32"/>
          <w:szCs w:val="32"/>
          <w:lang w:val="en-GB"/>
        </w:rPr>
      </w:pPr>
      <w:r>
        <w:rPr>
          <w:rFonts w:hint="default" w:ascii="Times New Roman" w:hAnsi="Times New Roman" w:cs="Times New Roman"/>
          <w:b/>
          <w:bCs/>
          <w:sz w:val="32"/>
          <w:szCs w:val="32"/>
          <w:lang w:val="en-GB"/>
        </w:rPr>
        <w:t>Introduction</w:t>
      </w:r>
    </w:p>
    <w:p>
      <w:pPr>
        <w:pStyle w:val="9"/>
        <w:numPr>
          <w:numId w:val="0"/>
        </w:numPr>
        <w:ind w:leftChars="0"/>
        <w:rPr>
          <w:rFonts w:hint="default" w:ascii="Times New Roman" w:hAnsi="Times New Roman" w:cs="Times New Roman"/>
          <w:b/>
          <w:bCs/>
          <w:sz w:val="32"/>
          <w:szCs w:val="32"/>
          <w:lang w:val="en-GB"/>
        </w:rPr>
      </w:pPr>
    </w:p>
    <w:p>
      <w:pPr>
        <w:rPr>
          <w:b/>
          <w:bCs/>
          <w:sz w:val="32"/>
          <w:szCs w:val="32"/>
          <w:lang w:val="en-GB"/>
        </w:rPr>
      </w:pPr>
      <w:r>
        <w:rPr>
          <w:sz w:val="22"/>
          <w:szCs w:val="22"/>
        </w:rPr>
        <w:t xml:space="preserve">“Quality works in education as well as business. It is a revolution. (Jerry Arcaro, 1995)” The educational concept of True English Language </w:t>
      </w:r>
      <w:r>
        <w:rPr>
          <w:rFonts w:hint="eastAsia"/>
          <w:sz w:val="22"/>
          <w:szCs w:val="22"/>
        </w:rPr>
        <w:t>Institute</w:t>
      </w:r>
      <w:r>
        <w:rPr>
          <w:sz w:val="22"/>
          <w:szCs w:val="22"/>
        </w:rPr>
        <w:t xml:space="preserve"> (short from: True English) caters to this view, it is "Improve and focus on quality education"(True English, 2016). Students learn English in True English Language Institute not only for a course, but also for different life concepts. It aims to create a platform for students to show themselves, improve themselves and surpass themselves. True English Language </w:t>
      </w:r>
      <w:r>
        <w:rPr>
          <w:rFonts w:hint="eastAsia"/>
          <w:sz w:val="22"/>
          <w:szCs w:val="22"/>
        </w:rPr>
        <w:t>Institute</w:t>
      </w:r>
      <w:r>
        <w:rPr>
          <w:sz w:val="22"/>
          <w:szCs w:val="22"/>
        </w:rPr>
        <w:t xml:space="preserve"> has successfully held more than 40 </w:t>
      </w:r>
      <w:r>
        <w:rPr>
          <w:rFonts w:hint="eastAsia"/>
          <w:sz w:val="22"/>
          <w:szCs w:val="22"/>
        </w:rPr>
        <w:t>times</w:t>
      </w:r>
      <w:r>
        <w:rPr>
          <w:sz w:val="22"/>
          <w:szCs w:val="22"/>
        </w:rPr>
        <w:t xml:space="preserve"> Oral English Camp, to help more than 6000(True English, 2016) five to fifteen years old students set up the correct pronunciation habits, improve the learning interest and enthusiasm. The structure of the courses are as follows: </w:t>
      </w:r>
      <w:r>
        <w:rPr>
          <w:b/>
          <w:bCs/>
          <w:sz w:val="32"/>
          <w:szCs w:val="32"/>
          <w:lang w:val="en-GB"/>
        </w:rPr>
        <w:tab/>
      </w:r>
    </w:p>
    <w:p>
      <w:pPr>
        <w:rPr>
          <w:b/>
          <w:bCs/>
          <w:sz w:val="32"/>
          <w:szCs w:val="32"/>
          <w:lang w:val="en-GB"/>
        </w:rPr>
      </w:pPr>
      <w:r>
        <w:rPr>
          <w:b/>
          <w:bCs/>
          <w:sz w:val="32"/>
          <w:szCs w:val="32"/>
        </w:rPr>
        <w:drawing>
          <wp:inline distT="0" distB="0" distL="0" distR="0">
            <wp:extent cx="4852035" cy="346583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4875500" cy="3482751"/>
                    </a:xfrm>
                    <a:prstGeom prst="rect">
                      <a:avLst/>
                    </a:prstGeom>
                  </pic:spPr>
                </pic:pic>
              </a:graphicData>
            </a:graphic>
          </wp:inline>
        </w:drawing>
      </w:r>
    </w:p>
    <w:p>
      <w:pPr>
        <w:rPr>
          <w:b/>
          <w:bCs/>
          <w:sz w:val="32"/>
          <w:szCs w:val="32"/>
          <w:lang w:val="en-GB"/>
        </w:rPr>
      </w:pPr>
      <w:r>
        <w:rPr>
          <w:b/>
          <w:bCs/>
          <w:sz w:val="32"/>
          <w:szCs w:val="32"/>
        </w:rPr>
        <w:drawing>
          <wp:inline distT="0" distB="0" distL="0" distR="0">
            <wp:extent cx="4280535" cy="209867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4289652" cy="2103480"/>
                    </a:xfrm>
                    <a:prstGeom prst="rect">
                      <a:avLst/>
                    </a:prstGeom>
                  </pic:spPr>
                </pic:pic>
              </a:graphicData>
            </a:graphic>
          </wp:inline>
        </w:drawing>
      </w:r>
    </w:p>
    <w:p>
      <w:pPr>
        <w:rPr>
          <w:b/>
          <w:bCs/>
          <w:sz w:val="32"/>
          <w:szCs w:val="32"/>
          <w:lang w:val="en-GB"/>
        </w:rPr>
      </w:pPr>
      <w:r>
        <w:rPr>
          <w:bCs/>
          <w:sz w:val="18"/>
          <w:szCs w:val="18"/>
          <w:lang w:val="en-GB"/>
        </w:rPr>
        <w:t>(The chart based by True English Courses introduction, 2016)</w:t>
      </w:r>
      <w:bookmarkStart w:id="0" w:name="_GoBack"/>
      <w:bookmarkEnd w:id="0"/>
    </w:p>
    <w:p>
      <w:pPr>
        <w:rPr>
          <w:b/>
          <w:bCs/>
          <w:sz w:val="32"/>
          <w:szCs w:val="32"/>
          <w:lang w:val="en-GB"/>
        </w:rPr>
      </w:pPr>
      <w:r>
        <w:rPr>
          <w:b/>
          <w:bCs/>
          <w:sz w:val="32"/>
          <w:szCs w:val="32"/>
          <w:lang w:val="en-GB"/>
        </w:rPr>
        <w:t>2.0 Project Justification &amp; Objectives</w:t>
      </w:r>
    </w:p>
    <w:p>
      <w:pPr>
        <w:rPr>
          <w:bCs/>
          <w:sz w:val="22"/>
          <w:szCs w:val="22"/>
        </w:rPr>
      </w:pPr>
    </w:p>
    <w:p>
      <w:pPr>
        <w:rPr>
          <w:bCs/>
          <w:sz w:val="22"/>
          <w:szCs w:val="22"/>
        </w:rPr>
      </w:pPr>
      <w:r>
        <w:rPr>
          <w:bCs/>
          <w:sz w:val="22"/>
          <w:szCs w:val="22"/>
        </w:rPr>
        <w:t>Does such an educational institute responsible for students and education need to change their current business model? The answer must be affirmative. The complex dynamics of globalization produce effects that impinge significantly on how education is conducted, up to and including the transformation of education as a commodity to be exchanged in globalized markets (Peter D. Hershock,</w:t>
      </w:r>
      <w:r>
        <w:t xml:space="preserve"> Mark Mason, John N. Hawkins</w:t>
      </w:r>
      <w:r>
        <w:rPr>
          <w:bCs/>
          <w:sz w:val="22"/>
          <w:szCs w:val="22"/>
        </w:rPr>
        <w:t xml:space="preserve"> 2007). </w:t>
      </w:r>
    </w:p>
    <w:p>
      <w:pPr>
        <w:rPr>
          <w:b/>
          <w:bCs/>
          <w:sz w:val="22"/>
          <w:szCs w:val="22"/>
        </w:rPr>
      </w:pPr>
      <w:r>
        <w:rPr>
          <w:bCs/>
          <w:sz w:val="22"/>
          <w:szCs w:val="22"/>
        </w:rPr>
        <w:t>Therefore, this report</w:t>
      </w:r>
      <w:r>
        <w:rPr>
          <w:rFonts w:hint="eastAsia"/>
          <w:bCs/>
          <w:sz w:val="22"/>
          <w:szCs w:val="22"/>
        </w:rPr>
        <w:t xml:space="preserve"> includes</w:t>
      </w:r>
      <w:r>
        <w:rPr>
          <w:bCs/>
          <w:sz w:val="22"/>
          <w:szCs w:val="22"/>
        </w:rPr>
        <w:t xml:space="preserve"> a five-year plan, operating in Shandong province, China, and aims</w:t>
      </w:r>
      <w:r>
        <w:rPr>
          <w:rFonts w:eastAsia="Times New Roman"/>
          <w:color w:val="000000"/>
          <w:sz w:val="22"/>
          <w:szCs w:val="22"/>
        </w:rPr>
        <w:t xml:space="preserve"> to recognize how the business can realize the benefits of being a chain provider. Based on this aim, the following objectives are formulated:</w:t>
      </w:r>
    </w:p>
    <w:p>
      <w:pPr>
        <w:rPr>
          <w:bCs/>
          <w:sz w:val="22"/>
          <w:szCs w:val="22"/>
        </w:rPr>
      </w:pPr>
    </w:p>
    <w:p>
      <w:pPr>
        <w:rPr>
          <w:bCs/>
          <w:sz w:val="22"/>
          <w:szCs w:val="22"/>
        </w:rPr>
      </w:pPr>
      <w:r>
        <w:rPr>
          <w:bCs/>
          <w:sz w:val="22"/>
          <w:szCs w:val="22"/>
        </w:rPr>
        <w:t>1. Propose a framework that identifies the stages in building a strategy for chain management in three areas of chain management. The term “supply chain management” arose in the late 1980s and came into widespread use in the 1990s. Prior to that time, businesses used terms such as “logistics” and “operations management” instead. Here are some definitions of a supply chain: “A supply chain is the alignment of firms that bring products or services to market” (Lambert, Douglas M James R. Stock. and Lisa M. Ell ram, 1998).</w:t>
      </w:r>
    </w:p>
    <w:p>
      <w:pPr>
        <w:rPr>
          <w:bCs/>
          <w:sz w:val="22"/>
          <w:szCs w:val="22"/>
        </w:rPr>
      </w:pPr>
      <w:r>
        <w:rPr>
          <w:bCs/>
          <w:sz w:val="22"/>
          <w:szCs w:val="22"/>
        </w:rPr>
        <w:t>.</w:t>
      </w:r>
    </w:p>
    <w:p>
      <w:pPr>
        <w:rPr>
          <w:bCs/>
          <w:sz w:val="22"/>
          <w:szCs w:val="22"/>
        </w:rPr>
      </w:pPr>
    </w:p>
    <w:p>
      <w:pPr>
        <w:rPr>
          <w:bCs/>
          <w:sz w:val="22"/>
          <w:szCs w:val="22"/>
        </w:rPr>
      </w:pPr>
      <w:r>
        <w:rPr>
          <w:bCs/>
          <w:sz w:val="22"/>
          <w:szCs w:val="22"/>
        </w:rPr>
        <w:t>2. Propose a strategy to develop the stages of True English Language Institute growth in becoming an education chain provider. The mode of educational chain operation (Xiaohong Si, 2006) is to form a relatively unified consortium under the leadership of the headquarters, the same educational brand, by many of educational branches or schools, to provide the same educational brand service in different regions and places.</w:t>
      </w: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r>
        <w:rPr>
          <w:b/>
          <w:bCs/>
          <w:sz w:val="32"/>
          <w:szCs w:val="32"/>
        </w:rPr>
        <w:t xml:space="preserve">3.0 Recommendation </w:t>
      </w:r>
    </w:p>
    <w:p>
      <w:pPr>
        <w:rPr>
          <w:bCs/>
          <w:sz w:val="22"/>
          <w:szCs w:val="22"/>
        </w:rPr>
      </w:pPr>
    </w:p>
    <w:p>
      <w:pPr>
        <w:rPr>
          <w:bCs/>
          <w:sz w:val="22"/>
          <w:szCs w:val="22"/>
        </w:rPr>
      </w:pPr>
      <w:r>
        <w:rPr>
          <w:bCs/>
          <w:sz w:val="22"/>
          <w:szCs w:val="22"/>
        </w:rPr>
        <w:t>As a successful business model, chain management model is a powerful driving force for the healthy development of the business world (Said Dawlabanl, 2013). It is not only regarded as the best way of development for enterprises to get rich quickly, but also regarded as a long-term strategic plan of enterprises, to achieve the purpose of express and occupy the market and gain considerable market share. Chain was originally a special way of business in catering, service and other business areas (Arjan J. van Weele, 2010). However, in recent years, with the development and improvement of Chinese economic system, chain phenomenon in education has been rising.</w:t>
      </w:r>
    </w:p>
    <w:p>
      <w:pPr>
        <w:rPr>
          <w:bCs/>
          <w:sz w:val="22"/>
          <w:szCs w:val="22"/>
        </w:rPr>
      </w:pPr>
    </w:p>
    <w:p>
      <w:pPr>
        <w:rPr>
          <w:sz w:val="22"/>
          <w:szCs w:val="22"/>
        </w:rPr>
      </w:pPr>
      <w:r>
        <w:rPr>
          <w:bCs/>
          <w:sz w:val="22"/>
          <w:szCs w:val="22"/>
        </w:rPr>
        <w:t xml:space="preserve">Due to the diversity of demand, this report will use the SWOT data model to analyze the strengths, weaknesses, opportunities and threats of </w:t>
      </w:r>
      <w:r>
        <w:rPr>
          <w:sz w:val="22"/>
          <w:szCs w:val="22"/>
        </w:rPr>
        <w:t xml:space="preserve">True English Language </w:t>
      </w:r>
      <w:r>
        <w:rPr>
          <w:rFonts w:hint="eastAsia"/>
          <w:sz w:val="22"/>
          <w:szCs w:val="22"/>
        </w:rPr>
        <w:t>Institute</w:t>
      </w:r>
      <w:r>
        <w:rPr>
          <w:sz w:val="22"/>
          <w:szCs w:val="22"/>
        </w:rPr>
        <w:t>. Through this analysis, a high quality and comprehensive plan can be summed up to make the best development of this institute.</w:t>
      </w:r>
    </w:p>
    <w:p>
      <w:pPr>
        <w:rPr>
          <w:b/>
          <w:bCs/>
        </w:rPr>
      </w:pPr>
    </w:p>
    <w:p>
      <w:pPr>
        <w:rPr>
          <w:bCs/>
          <w:sz w:val="22"/>
          <w:szCs w:val="22"/>
        </w:rPr>
      </w:pPr>
      <w:r>
        <w:rPr>
          <w:bCs/>
          <w:sz w:val="22"/>
          <w:szCs w:val="22"/>
        </w:rPr>
        <w:t>The aim of the SWOT analysis is to evaluate and align a company strengths and weaknesses with the opportunities and threats to generate strategic alternatives (Nadine Pahl, Anne Richter, 2009).</w:t>
      </w:r>
    </w:p>
    <w:p>
      <w:pPr>
        <w:rPr>
          <w:bCs/>
          <w:sz w:val="22"/>
          <w:szCs w:val="22"/>
        </w:rPr>
      </w:pPr>
    </w:p>
    <w:tbl>
      <w:tblPr>
        <w:tblStyle w:val="8"/>
        <w:tblW w:w="8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2"/>
        <w:gridCol w:w="2072"/>
        <w:gridCol w:w="2073"/>
        <w:gridCol w:w="20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72" w:type="dxa"/>
          </w:tcPr>
          <w:p>
            <w:pPr>
              <w:rPr>
                <w:b/>
                <w:bCs/>
              </w:rPr>
            </w:pPr>
            <w:r>
              <w:rPr>
                <w:b/>
                <w:bCs/>
              </w:rPr>
              <w:t>STRENGTH</w:t>
            </w:r>
          </w:p>
        </w:tc>
        <w:tc>
          <w:tcPr>
            <w:tcW w:w="2072" w:type="dxa"/>
          </w:tcPr>
          <w:p>
            <w:pPr>
              <w:rPr>
                <w:b/>
                <w:bCs/>
              </w:rPr>
            </w:pPr>
            <w:r>
              <w:rPr>
                <w:b/>
                <w:bCs/>
              </w:rPr>
              <w:t>WEAKNESS</w:t>
            </w:r>
          </w:p>
        </w:tc>
        <w:tc>
          <w:tcPr>
            <w:tcW w:w="2073" w:type="dxa"/>
          </w:tcPr>
          <w:p>
            <w:pPr>
              <w:rPr>
                <w:b/>
                <w:bCs/>
              </w:rPr>
            </w:pPr>
            <w:r>
              <w:rPr>
                <w:b/>
                <w:bCs/>
              </w:rPr>
              <w:t>OPPORTUNITY</w:t>
            </w:r>
          </w:p>
        </w:tc>
        <w:tc>
          <w:tcPr>
            <w:tcW w:w="2073" w:type="dxa"/>
          </w:tcPr>
          <w:p>
            <w:pPr>
              <w:rPr>
                <w:b/>
                <w:bCs/>
              </w:rPr>
            </w:pPr>
            <w:r>
              <w:rPr>
                <w:b/>
                <w:bCs/>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72" w:type="dxa"/>
          </w:tcPr>
          <w:p>
            <w:pPr>
              <w:rPr>
                <w:bCs/>
                <w:sz w:val="18"/>
                <w:szCs w:val="18"/>
              </w:rPr>
            </w:pPr>
            <w:r>
              <w:rPr>
                <w:bCs/>
                <w:sz w:val="18"/>
                <w:szCs w:val="18"/>
              </w:rPr>
              <w:t>1.Abundant funds</w:t>
            </w:r>
          </w:p>
        </w:tc>
        <w:tc>
          <w:tcPr>
            <w:tcW w:w="2072" w:type="dxa"/>
          </w:tcPr>
          <w:p>
            <w:pPr>
              <w:rPr>
                <w:bCs/>
                <w:sz w:val="18"/>
                <w:szCs w:val="18"/>
              </w:rPr>
            </w:pPr>
            <w:r>
              <w:rPr>
                <w:bCs/>
                <w:sz w:val="18"/>
                <w:szCs w:val="18"/>
              </w:rPr>
              <w:t>No marketing experience</w:t>
            </w:r>
          </w:p>
        </w:tc>
        <w:tc>
          <w:tcPr>
            <w:tcW w:w="2073" w:type="dxa"/>
          </w:tcPr>
          <w:p>
            <w:pPr>
              <w:rPr>
                <w:bCs/>
                <w:sz w:val="18"/>
                <w:szCs w:val="18"/>
              </w:rPr>
            </w:pPr>
            <w:r>
              <w:rPr>
                <w:bCs/>
                <w:sz w:val="18"/>
                <w:szCs w:val="18"/>
              </w:rPr>
              <w:t>The scarcity of chain education</w:t>
            </w:r>
          </w:p>
        </w:tc>
        <w:tc>
          <w:tcPr>
            <w:tcW w:w="2073" w:type="dxa"/>
          </w:tcPr>
          <w:p>
            <w:pPr>
              <w:rPr>
                <w:bCs/>
                <w:sz w:val="18"/>
                <w:szCs w:val="18"/>
              </w:rPr>
            </w:pPr>
            <w:r>
              <w:rPr>
                <w:bCs/>
                <w:sz w:val="18"/>
                <w:szCs w:val="18"/>
              </w:rPr>
              <w:t>Famous brand organization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6" w:hRule="atLeast"/>
        </w:trPr>
        <w:tc>
          <w:tcPr>
            <w:tcW w:w="2072" w:type="dxa"/>
          </w:tcPr>
          <w:p>
            <w:pPr>
              <w:rPr>
                <w:bCs/>
                <w:sz w:val="18"/>
                <w:szCs w:val="18"/>
              </w:rPr>
            </w:pPr>
            <w:r>
              <w:rPr>
                <w:bCs/>
                <w:sz w:val="18"/>
                <w:szCs w:val="18"/>
              </w:rPr>
              <w:t>2.Professional teachers</w:t>
            </w:r>
          </w:p>
        </w:tc>
        <w:tc>
          <w:tcPr>
            <w:tcW w:w="2072" w:type="dxa"/>
          </w:tcPr>
          <w:p>
            <w:pPr>
              <w:rPr>
                <w:bCs/>
                <w:sz w:val="18"/>
                <w:szCs w:val="18"/>
              </w:rPr>
            </w:pPr>
            <w:r>
              <w:rPr>
                <w:bCs/>
                <w:sz w:val="18"/>
                <w:szCs w:val="18"/>
              </w:rPr>
              <w:t>Incomplete management structure</w:t>
            </w:r>
          </w:p>
        </w:tc>
        <w:tc>
          <w:tcPr>
            <w:tcW w:w="2073" w:type="dxa"/>
          </w:tcPr>
          <w:p>
            <w:pPr>
              <w:rPr>
                <w:bCs/>
                <w:sz w:val="18"/>
                <w:szCs w:val="18"/>
              </w:rPr>
            </w:pPr>
            <w:r>
              <w:rPr>
                <w:bCs/>
                <w:sz w:val="18"/>
                <w:szCs w:val="18"/>
              </w:rPr>
              <w:t>The promotion of English status</w:t>
            </w:r>
          </w:p>
        </w:tc>
        <w:tc>
          <w:tcPr>
            <w:tcW w:w="2073" w:type="dxa"/>
          </w:tcPr>
          <w:p>
            <w:pP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72" w:type="dxa"/>
          </w:tcPr>
          <w:p>
            <w:pPr>
              <w:rPr>
                <w:bCs/>
                <w:sz w:val="18"/>
                <w:szCs w:val="18"/>
              </w:rPr>
            </w:pPr>
            <w:r>
              <w:rPr>
                <w:bCs/>
                <w:sz w:val="18"/>
                <w:szCs w:val="18"/>
              </w:rPr>
              <w:t>3.Fashionable concepts</w:t>
            </w:r>
          </w:p>
        </w:tc>
        <w:tc>
          <w:tcPr>
            <w:tcW w:w="2072" w:type="dxa"/>
          </w:tcPr>
          <w:p>
            <w:pPr>
              <w:rPr>
                <w:bCs/>
                <w:sz w:val="18"/>
                <w:szCs w:val="18"/>
              </w:rPr>
            </w:pPr>
            <w:r>
              <w:rPr>
                <w:bCs/>
                <w:sz w:val="18"/>
                <w:szCs w:val="18"/>
              </w:rPr>
              <w:t>Few kinds of courses</w:t>
            </w:r>
          </w:p>
        </w:tc>
        <w:tc>
          <w:tcPr>
            <w:tcW w:w="2073" w:type="dxa"/>
          </w:tcPr>
          <w:p>
            <w:pPr>
              <w:rPr>
                <w:bCs/>
                <w:sz w:val="18"/>
                <w:szCs w:val="18"/>
              </w:rPr>
            </w:pPr>
            <w:r>
              <w:rPr>
                <w:bCs/>
                <w:sz w:val="18"/>
                <w:szCs w:val="18"/>
              </w:rPr>
              <w:t>The attention of parents</w:t>
            </w:r>
          </w:p>
        </w:tc>
        <w:tc>
          <w:tcPr>
            <w:tcW w:w="2073" w:type="dxa"/>
          </w:tcPr>
          <w:p>
            <w:pP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72" w:type="dxa"/>
          </w:tcPr>
          <w:p>
            <w:pPr>
              <w:rPr>
                <w:bCs/>
                <w:sz w:val="18"/>
                <w:szCs w:val="18"/>
              </w:rPr>
            </w:pPr>
            <w:r>
              <w:rPr>
                <w:bCs/>
                <w:sz w:val="18"/>
                <w:szCs w:val="18"/>
              </w:rPr>
              <w:t>4.External impetus</w:t>
            </w:r>
          </w:p>
        </w:tc>
        <w:tc>
          <w:tcPr>
            <w:tcW w:w="2072" w:type="dxa"/>
          </w:tcPr>
          <w:p>
            <w:pPr>
              <w:rPr>
                <w:bCs/>
                <w:sz w:val="18"/>
                <w:szCs w:val="18"/>
              </w:rPr>
            </w:pPr>
            <w:r>
              <w:rPr>
                <w:bCs/>
                <w:sz w:val="18"/>
                <w:szCs w:val="18"/>
              </w:rPr>
              <w:t>Inconspicuous location</w:t>
            </w:r>
          </w:p>
        </w:tc>
        <w:tc>
          <w:tcPr>
            <w:tcW w:w="2073" w:type="dxa"/>
          </w:tcPr>
          <w:p>
            <w:pPr>
              <w:rPr>
                <w:bCs/>
                <w:sz w:val="18"/>
                <w:szCs w:val="18"/>
              </w:rPr>
            </w:pPr>
            <w:r>
              <w:rPr>
                <w:bCs/>
                <w:sz w:val="18"/>
                <w:szCs w:val="18"/>
              </w:rPr>
              <w:t>Government support</w:t>
            </w:r>
          </w:p>
        </w:tc>
        <w:tc>
          <w:tcPr>
            <w:tcW w:w="2073" w:type="dxa"/>
          </w:tcPr>
          <w:p>
            <w:pPr>
              <w:rPr>
                <w:b/>
                <w:bCs/>
              </w:rPr>
            </w:pPr>
          </w:p>
        </w:tc>
      </w:tr>
    </w:tbl>
    <w:p>
      <w:pPr>
        <w:rPr>
          <w:b/>
          <w:bCs/>
        </w:rPr>
      </w:pPr>
    </w:p>
    <w:p>
      <w:pPr>
        <w:rPr>
          <w:b/>
          <w:bCs/>
        </w:rPr>
      </w:pPr>
      <w:r>
        <w:rPr>
          <w:sz w:val="22"/>
          <w:szCs w:val="22"/>
        </w:rPr>
        <w:t xml:space="preserve">True English Language </w:t>
      </w:r>
      <w:r>
        <w:rPr>
          <w:rFonts w:hint="eastAsia"/>
          <w:sz w:val="22"/>
          <w:szCs w:val="22"/>
        </w:rPr>
        <w:t>Institute</w:t>
      </w:r>
      <w:r>
        <w:rPr>
          <w:sz w:val="22"/>
          <w:szCs w:val="22"/>
        </w:rPr>
        <w:t xml:space="preserve"> has strong financial support, professional team and unique corporate culture that attracts students and their parents. These are favorable conditions for chain stores. In addition, the delicious baking workshop next to the company has also created good conditions for recruiting students. True English is often printed booklets before and put in the baking workshop to expand the publicity. But if a company want to open chain, not every educational institution will next to open a bakery to attract passengers flow. Therefore, a mature system of publicity is the most necessary for True English. Unless you can show your story, you will only communicate half your story to the media and target audience (Edward Segal, 2007). Therefore, it is a good way to promote the image of the enterprise through the publicity of the course. On the other hand, location is also important. The choice of location is based on the goal of a company to maximize its profit by taking advantage of specific location advantages. If there is a more obvious geographical disintegration, the problem of coordinating the increase of cost lies in that. (Anne Schafer, 2007).</w:t>
      </w:r>
      <w:r>
        <w:rPr>
          <w:rFonts w:hint="eastAsia"/>
          <w:sz w:val="22"/>
          <w:szCs w:val="22"/>
        </w:rPr>
        <w:t xml:space="preserve"> True</w:t>
      </w:r>
      <w:r>
        <w:rPr>
          <w:sz w:val="22"/>
          <w:szCs w:val="22"/>
        </w:rPr>
        <w:t xml:space="preserve"> English should consider the location of the branch carefully. Though well-known institutions are a threat to the expansion of True English, their mature management model is still worth to learn.</w:t>
      </w: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pPr>
        <w:rPr>
          <w:b/>
          <w:sz w:val="32"/>
          <w:szCs w:val="32"/>
          <w:lang w:val="en-GB"/>
        </w:rPr>
      </w:pPr>
      <w:r>
        <w:rPr>
          <w:b/>
          <w:sz w:val="32"/>
          <w:szCs w:val="32"/>
          <w:lang w:val="en-GB"/>
        </w:rPr>
        <w:t xml:space="preserve">4.0 Business Case and Approach </w:t>
      </w:r>
    </w:p>
    <w:p>
      <w:pPr>
        <w:rPr>
          <w:b/>
          <w:bCs/>
        </w:rPr>
      </w:pPr>
    </w:p>
    <w:p>
      <w:pPr>
        <w:outlineLvl w:val="0"/>
        <w:rPr>
          <w:b/>
        </w:rPr>
      </w:pPr>
      <w:r>
        <w:rPr>
          <w:b/>
        </w:rPr>
        <w:t>4.1 Three Modes of Chain Management in Education</w:t>
      </w:r>
    </w:p>
    <w:p>
      <w:pPr>
        <w:rPr>
          <w:sz w:val="22"/>
          <w:szCs w:val="22"/>
        </w:rPr>
      </w:pPr>
    </w:p>
    <w:p>
      <w:pPr>
        <w:rPr>
          <w:sz w:val="22"/>
          <w:szCs w:val="22"/>
        </w:rPr>
      </w:pPr>
      <w:r>
        <w:rPr>
          <w:sz w:val="22"/>
          <w:szCs w:val="22"/>
        </w:rPr>
        <w:t xml:space="preserve">To sum up, there are three modes of operation of Chinese educational chain organisations (Yufeng Shi, Shuhua Li, 2005): 1. Franchising education chain mode; 2. Extended education chain mode; 3. Voluntary combination educational chain mode. Based on SWOT analysis, True English Language </w:t>
      </w:r>
      <w:r>
        <w:rPr>
          <w:rFonts w:hint="eastAsia"/>
          <w:sz w:val="22"/>
          <w:szCs w:val="22"/>
        </w:rPr>
        <w:t>Institute</w:t>
      </w:r>
      <w:r>
        <w:rPr>
          <w:sz w:val="22"/>
          <w:szCs w:val="22"/>
        </w:rPr>
        <w:t xml:space="preserve"> is most suitable for franchising education chain mode.</w:t>
      </w:r>
    </w:p>
    <w:p>
      <w:pPr>
        <w:rPr>
          <w:sz w:val="22"/>
          <w:szCs w:val="22"/>
        </w:rPr>
      </w:pPr>
    </w:p>
    <w:p>
      <w:pPr>
        <w:rPr>
          <w:sz w:val="22"/>
          <w:szCs w:val="22"/>
        </w:rPr>
      </w:pPr>
      <w:r>
        <w:rPr>
          <w:sz w:val="22"/>
          <w:szCs w:val="22"/>
        </w:rPr>
        <w:t>Franchising chain, also called contract chain, is based on contracts, and establishes mutually beneficial cooperative relationship through contractual agreement to join the rights and obligations of both parties (Yufeng Shi, Shuhua Li, 2005). Franchising chain is a kind of intangible assets, brand chain education teaching materials and curriculum system for the transfer of the headquarters, do not need to put too much money in the way of low cost development chain, achieve the purpose of capital expansion in a short period of time, and quickly occupied the market (Kaisheng Lao, 2003); for the individual who want to join, in terms of advertising and promotional fees do not need too much input into the education market, also with minimal risk, is conducive to the integration of educational resources.</w:t>
      </w:r>
    </w:p>
    <w:p>
      <w:pPr>
        <w:rPr>
          <w:b/>
          <w:bCs/>
        </w:rPr>
      </w:pPr>
    </w:p>
    <w:p>
      <w:pPr>
        <w:outlineLvl w:val="0"/>
        <w:rPr>
          <w:b/>
          <w:bCs/>
        </w:rPr>
      </w:pPr>
      <w:r>
        <w:rPr>
          <w:b/>
          <w:bCs/>
        </w:rPr>
        <w:t>4.2 Benefits</w:t>
      </w:r>
    </w:p>
    <w:p>
      <w:pPr>
        <w:rPr>
          <w:b/>
          <w:bCs/>
        </w:rPr>
      </w:pPr>
    </w:p>
    <w:p>
      <w:pPr>
        <w:rPr>
          <w:bCs/>
          <w:sz w:val="22"/>
          <w:szCs w:val="22"/>
        </w:rPr>
      </w:pPr>
      <w:r>
        <w:rPr>
          <w:bCs/>
          <w:sz w:val="22"/>
          <w:szCs w:val="22"/>
        </w:rPr>
        <w:t>China is a country with a large population, in order to improve the level of education, the state has been vigorously developing the public trading, but the lack of educational resources and regional education development imbalance is still serious (National Center for Educational Research and Development, 2001), the chain business model of private education with its own advantages, transportation of low cost and high quality education resources, the development of homeopathy. The benefits are as follows:</w:t>
      </w:r>
    </w:p>
    <w:p>
      <w:pPr>
        <w:rPr>
          <w:bCs/>
          <w:sz w:val="22"/>
          <w:szCs w:val="22"/>
        </w:rPr>
      </w:pPr>
      <w:r>
        <w:rPr>
          <w:bCs/>
          <w:sz w:val="22"/>
          <w:szCs w:val="22"/>
        </w:rPr>
        <w:t>*High success rate</w:t>
      </w:r>
    </w:p>
    <w:p>
      <w:pPr>
        <w:rPr>
          <w:bCs/>
          <w:sz w:val="22"/>
          <w:szCs w:val="22"/>
        </w:rPr>
      </w:pPr>
      <w:r>
        <w:rPr>
          <w:bCs/>
          <w:sz w:val="22"/>
          <w:szCs w:val="22"/>
        </w:rPr>
        <w:t xml:space="preserve">*Short learning curve </w:t>
      </w:r>
    </w:p>
    <w:p>
      <w:pPr>
        <w:rPr>
          <w:bCs/>
          <w:sz w:val="22"/>
          <w:szCs w:val="22"/>
        </w:rPr>
      </w:pPr>
      <w:r>
        <w:rPr>
          <w:bCs/>
          <w:sz w:val="22"/>
          <w:szCs w:val="22"/>
        </w:rPr>
        <w:t>*Brand advantage</w:t>
      </w:r>
    </w:p>
    <w:p>
      <w:pPr>
        <w:rPr>
          <w:bCs/>
          <w:sz w:val="22"/>
          <w:szCs w:val="22"/>
        </w:rPr>
      </w:pPr>
      <w:r>
        <w:rPr>
          <w:bCs/>
          <w:sz w:val="22"/>
          <w:szCs w:val="22"/>
        </w:rPr>
        <w:t>*Scale purchase</w:t>
      </w:r>
    </w:p>
    <w:p>
      <w:pPr>
        <w:rPr>
          <w:bCs/>
          <w:sz w:val="22"/>
          <w:szCs w:val="22"/>
        </w:rPr>
      </w:pPr>
      <w:r>
        <w:rPr>
          <w:bCs/>
          <w:sz w:val="22"/>
          <w:szCs w:val="22"/>
        </w:rPr>
        <w:t>*Common advertising and promotion</w:t>
      </w:r>
    </w:p>
    <w:p>
      <w:pPr>
        <w:rPr>
          <w:bCs/>
          <w:sz w:val="22"/>
          <w:szCs w:val="22"/>
        </w:rPr>
      </w:pPr>
      <w:r>
        <w:rPr>
          <w:bCs/>
          <w:sz w:val="22"/>
          <w:szCs w:val="22"/>
        </w:rPr>
        <w:t>*Professional management improvement</w:t>
      </w:r>
    </w:p>
    <w:p>
      <w:pPr>
        <w:rPr>
          <w:bCs/>
          <w:sz w:val="22"/>
          <w:szCs w:val="22"/>
        </w:rPr>
      </w:pPr>
      <w:r>
        <w:rPr>
          <w:bCs/>
          <w:sz w:val="22"/>
          <w:szCs w:val="22"/>
        </w:rPr>
        <w:t>*Research and development advantages</w:t>
      </w:r>
    </w:p>
    <w:p>
      <w:pPr>
        <w:rPr>
          <w:bCs/>
          <w:sz w:val="22"/>
          <w:szCs w:val="22"/>
        </w:rPr>
      </w:pPr>
      <w:r>
        <w:rPr>
          <w:bCs/>
          <w:sz w:val="22"/>
          <w:szCs w:val="22"/>
        </w:rPr>
        <w:t>*Service support</w:t>
      </w:r>
    </w:p>
    <w:p>
      <w:pPr>
        <w:rPr>
          <w:bCs/>
          <w:sz w:val="22"/>
          <w:szCs w:val="22"/>
        </w:rPr>
      </w:pPr>
    </w:p>
    <w:p>
      <w:pPr>
        <w:outlineLvl w:val="0"/>
        <w:rPr>
          <w:b/>
          <w:bCs/>
          <w:lang w:val="en-GB"/>
        </w:rPr>
      </w:pPr>
      <w:r>
        <w:rPr>
          <w:b/>
          <w:bCs/>
        </w:rPr>
        <w:t xml:space="preserve">4.3 </w:t>
      </w:r>
      <w:r>
        <w:rPr>
          <w:b/>
          <w:bCs/>
          <w:lang w:val="en-GB"/>
        </w:rPr>
        <w:t>Risk Assessment</w:t>
      </w:r>
    </w:p>
    <w:p>
      <w:pPr>
        <w:rPr>
          <w:b/>
          <w:bCs/>
          <w:lang w:val="en-GB"/>
        </w:rPr>
      </w:pPr>
    </w:p>
    <w:p>
      <w:pPr>
        <w:rPr>
          <w:bCs/>
          <w:sz w:val="22"/>
          <w:szCs w:val="22"/>
          <w:lang w:val="en-GB"/>
        </w:rPr>
      </w:pPr>
      <w:r>
        <w:rPr>
          <w:bCs/>
          <w:sz w:val="22"/>
          <w:szCs w:val="22"/>
          <w:lang w:val="en-GB"/>
        </w:rPr>
        <w:t xml:space="preserve">As 4.2 said, although the chain operation of education has brought various benefits to private education, some chain has encountered many difficulties in the process of running schools, and even a few educational institutions have chosen to give up halfway. “The development crisis and reform trend of the private education chain in the world”, it is pointed out that the long development obstacles of educational institutions, coupled with the imperfect laws of chain operation industry and unclear institutional constraints, will cause more and more conflicts between the two sides (Yingjie Wang, 1999). This is also one of the problems and risks that plagued the chain of education. If there is no strict performance appraisal mechanism and supply chain management means, the chain of education has expanded. The various links in the management cannot be controlled within the effective range, it will also bring unstable factors to the long-term stable development of the chain of education </w:t>
      </w:r>
      <w:r>
        <w:rPr>
          <w:bCs/>
          <w:sz w:val="22"/>
          <w:szCs w:val="22"/>
        </w:rPr>
        <w:t>(National Center for Educational Research and Development, 2001)</w:t>
      </w:r>
      <w:r>
        <w:rPr>
          <w:bCs/>
          <w:sz w:val="22"/>
          <w:szCs w:val="22"/>
          <w:lang w:val="en-GB"/>
        </w:rPr>
        <w:t>. Therefore, there are certain risks and problems in the process of the implementation of the mode of education chain, and the following risks are arranged according to the high to low:</w:t>
      </w:r>
    </w:p>
    <w:p>
      <w:pPr>
        <w:rPr>
          <w:bCs/>
          <w:sz w:val="22"/>
          <w:szCs w:val="22"/>
          <w:lang w:val="en-GB"/>
        </w:rPr>
      </w:pPr>
    </w:p>
    <w:p>
      <w:pPr>
        <w:rPr>
          <w:bCs/>
          <w:sz w:val="22"/>
          <w:szCs w:val="22"/>
          <w:lang w:val="en-GB"/>
        </w:rPr>
      </w:pPr>
      <w:r>
        <w:rPr>
          <w:bCs/>
          <w:sz w:val="22"/>
          <w:szCs w:val="22"/>
          <w:lang w:val="en-GB"/>
        </w:rPr>
        <w:t>*Lack of sound supervision and protection of laws and regulations (High Risk)</w:t>
      </w:r>
    </w:p>
    <w:p>
      <w:pPr>
        <w:rPr>
          <w:bCs/>
          <w:sz w:val="22"/>
          <w:szCs w:val="22"/>
          <w:lang w:val="en-GB"/>
        </w:rPr>
      </w:pPr>
      <w:r>
        <w:rPr>
          <w:bCs/>
          <w:sz w:val="22"/>
          <w:szCs w:val="22"/>
          <w:lang w:val="en-GB"/>
        </w:rPr>
        <w:t>At present, there are no perfect laws and regulations in China to regulate operation of educational chain, and no industry standard that can be referenced. There is no effective monitoring means between the headquarters and franchisees' obligations and rights (Beijing University, 2015).</w:t>
      </w:r>
    </w:p>
    <w:p>
      <w:pPr>
        <w:rPr>
          <w:bCs/>
          <w:sz w:val="22"/>
          <w:szCs w:val="22"/>
          <w:lang w:val="en-GB"/>
        </w:rPr>
      </w:pPr>
    </w:p>
    <w:p>
      <w:pPr>
        <w:rPr>
          <w:bCs/>
          <w:sz w:val="22"/>
          <w:szCs w:val="22"/>
          <w:lang w:val="en-GB"/>
        </w:rPr>
      </w:pPr>
      <w:r>
        <w:rPr>
          <w:bCs/>
          <w:sz w:val="22"/>
          <w:szCs w:val="22"/>
          <w:lang w:val="en-GB"/>
        </w:rPr>
        <w:t>*</w:t>
      </w:r>
      <w:r>
        <w:t xml:space="preserve"> </w:t>
      </w:r>
      <w:r>
        <w:rPr>
          <w:bCs/>
          <w:sz w:val="22"/>
          <w:szCs w:val="22"/>
          <w:lang w:val="en-GB"/>
        </w:rPr>
        <w:t>Cooperation between the two parties in the chain management interest chain (High Risk)</w:t>
      </w:r>
    </w:p>
    <w:p>
      <w:pPr>
        <w:rPr>
          <w:bCs/>
          <w:sz w:val="22"/>
          <w:szCs w:val="22"/>
          <w:lang w:val="en-GB"/>
        </w:rPr>
      </w:pPr>
      <w:r>
        <w:rPr>
          <w:bCs/>
          <w:sz w:val="22"/>
          <w:szCs w:val="22"/>
          <w:lang w:val="en-GB"/>
        </w:rPr>
        <w:t>For the alliance system, the most dangerous situation is: the franchising individuals will operate independently from the chain system in order to improve their strength (Matthew R. Marvel, 2012), which will cause great harm to the stability of the whole chain system.</w:t>
      </w:r>
    </w:p>
    <w:p>
      <w:pPr>
        <w:rPr>
          <w:bCs/>
          <w:sz w:val="22"/>
          <w:szCs w:val="22"/>
          <w:lang w:val="en-GB"/>
        </w:rPr>
      </w:pPr>
    </w:p>
    <w:p>
      <w:pPr>
        <w:rPr>
          <w:bCs/>
          <w:sz w:val="22"/>
          <w:szCs w:val="22"/>
          <w:lang w:val="en-GB"/>
        </w:rPr>
      </w:pPr>
      <w:r>
        <w:rPr>
          <w:bCs/>
          <w:sz w:val="22"/>
          <w:szCs w:val="22"/>
          <w:lang w:val="en-GB"/>
        </w:rPr>
        <w:t>*</w:t>
      </w:r>
      <w:r>
        <w:t xml:space="preserve"> </w:t>
      </w:r>
      <w:r>
        <w:rPr>
          <w:bCs/>
          <w:sz w:val="22"/>
          <w:szCs w:val="22"/>
          <w:lang w:val="en-GB"/>
        </w:rPr>
        <w:t>The influence of the examination economy on the healthy development of the chain of education (Medium Risk)</w:t>
      </w:r>
    </w:p>
    <w:p>
      <w:pPr>
        <w:rPr>
          <w:bCs/>
          <w:sz w:val="22"/>
          <w:szCs w:val="22"/>
          <w:lang w:val="en-GB"/>
        </w:rPr>
      </w:pPr>
      <w:r>
        <w:rPr>
          <w:bCs/>
          <w:sz w:val="22"/>
          <w:szCs w:val="22"/>
          <w:lang w:val="en-GB"/>
        </w:rPr>
        <w:t>The examination economy occupies a large proportion in China's educational chain market, and excellent English is not an educational institution catering to examination training. It is not speculative and does not conform to the market nature of today's education.</w:t>
      </w:r>
    </w:p>
    <w:p>
      <w:pPr>
        <w:rPr>
          <w:bCs/>
          <w:sz w:val="22"/>
          <w:szCs w:val="22"/>
          <w:lang w:val="en-GB"/>
        </w:rPr>
      </w:pPr>
    </w:p>
    <w:p>
      <w:pPr>
        <w:rPr>
          <w:bCs/>
          <w:sz w:val="22"/>
          <w:szCs w:val="22"/>
          <w:lang w:val="en-GB"/>
        </w:rPr>
      </w:pPr>
      <w:r>
        <w:rPr>
          <w:bCs/>
          <w:sz w:val="22"/>
          <w:szCs w:val="22"/>
          <w:lang w:val="en-GB"/>
        </w:rPr>
        <w:t>* Customer loss risk (Low Risk)</w:t>
      </w:r>
    </w:p>
    <w:p>
      <w:pPr>
        <w:rPr>
          <w:bCs/>
          <w:sz w:val="22"/>
          <w:szCs w:val="22"/>
          <w:lang w:val="en-GB"/>
        </w:rPr>
      </w:pPr>
      <w:r>
        <w:rPr>
          <w:bCs/>
          <w:sz w:val="22"/>
          <w:szCs w:val="22"/>
          <w:lang w:val="en-GB"/>
        </w:rPr>
        <w:t>Nowadays, the market of education is vast, and the choice of students and their parents is also diverse. This will lead to the instability of students' choice, resulting in the loss of customers.</w:t>
      </w:r>
    </w:p>
    <w:p>
      <w:pPr>
        <w:rPr>
          <w:b/>
          <w:bCs/>
        </w:rPr>
      </w:pPr>
    </w:p>
    <w:p>
      <w:pPr>
        <w:rPr>
          <w:b/>
          <w:bCs/>
        </w:rPr>
      </w:pPr>
      <w:r>
        <w:rPr>
          <w:b/>
          <w:bCs/>
        </w:rPr>
        <w:t>4.4 Quality Management</w:t>
      </w:r>
    </w:p>
    <w:p>
      <w:pPr>
        <w:rPr>
          <w:b/>
          <w:bCs/>
          <w:sz w:val="32"/>
          <w:szCs w:val="32"/>
        </w:rPr>
      </w:pPr>
    </w:p>
    <w:p>
      <w:pPr>
        <w:rPr>
          <w:bCs/>
          <w:sz w:val="22"/>
          <w:szCs w:val="22"/>
        </w:rPr>
      </w:pPr>
      <w:r>
        <w:rPr>
          <w:bCs/>
          <w:sz w:val="22"/>
          <w:szCs w:val="22"/>
        </w:rPr>
        <w:t>Quality should be managed-it does not just happen (John S Oaklan,2012). Understanding and commitment by senior management, effective leadership, teamwork, and good process management, are fundamental parts of the recipe for success (John S Oaklan,2012). This report will use the researches and consultant experience to assemble a comprehensive and practical work mode, and its return is lower cost, higher efficiency, higher customer loyalty and credibility.</w:t>
      </w:r>
    </w:p>
    <w:p>
      <w:pPr>
        <w:rPr>
          <w:b/>
          <w:bCs/>
          <w:sz w:val="32"/>
          <w:szCs w:val="32"/>
        </w:rPr>
      </w:pPr>
    </w:p>
    <w:p>
      <w:pPr>
        <w:rPr>
          <w:b/>
          <w:sz w:val="32"/>
          <w:szCs w:val="32"/>
          <w:lang w:val="en-GB"/>
        </w:rPr>
      </w:pPr>
      <w:r>
        <w:rPr>
          <w:b/>
          <w:sz w:val="32"/>
          <w:szCs w:val="32"/>
          <w:lang w:val="en-GB"/>
        </w:rPr>
        <w:t>5.0 Planned Communication Strategy</w:t>
      </w:r>
    </w:p>
    <w:p>
      <w:pPr>
        <w:rPr>
          <w:bCs/>
          <w:sz w:val="22"/>
          <w:szCs w:val="22"/>
          <w:lang w:val="en-GB"/>
        </w:rPr>
      </w:pPr>
    </w:p>
    <w:p>
      <w:pPr>
        <w:rPr>
          <w:bCs/>
          <w:sz w:val="22"/>
          <w:szCs w:val="22"/>
          <w:lang w:val="en-GB"/>
        </w:rPr>
      </w:pPr>
      <w:r>
        <w:rPr>
          <w:bCs/>
          <w:sz w:val="22"/>
          <w:szCs w:val="22"/>
          <w:lang w:val="en-GB"/>
        </w:rPr>
        <w:t>1.</w:t>
      </w:r>
      <w:r>
        <w:rPr>
          <w:rFonts w:hint="eastAsia"/>
          <w:bCs/>
          <w:sz w:val="22"/>
          <w:szCs w:val="22"/>
          <w:lang w:val="en-GB"/>
        </w:rPr>
        <w:t>O</w:t>
      </w:r>
      <w:r>
        <w:rPr>
          <w:bCs/>
          <w:sz w:val="22"/>
          <w:szCs w:val="22"/>
          <w:lang w:val="en-GB"/>
        </w:rPr>
        <w:t>nline communication for 2 hours (by using Wechat)</w:t>
      </w:r>
      <w:r>
        <w:rPr>
          <w:rFonts w:hint="eastAsia"/>
          <w:bCs/>
          <w:sz w:val="22"/>
          <w:szCs w:val="22"/>
          <w:lang w:val="en-GB"/>
        </w:rPr>
        <w:t xml:space="preserve"> with manager1-Sally</w:t>
      </w:r>
      <w:r>
        <w:rPr>
          <w:bCs/>
          <w:sz w:val="22"/>
          <w:szCs w:val="22"/>
          <w:lang w:val="en-GB"/>
        </w:rPr>
        <w:t xml:space="preserve"> (12/12/2017)</w:t>
      </w:r>
    </w:p>
    <w:p>
      <w:pPr>
        <w:rPr>
          <w:bCs/>
          <w:sz w:val="22"/>
          <w:szCs w:val="22"/>
          <w:lang w:val="en-GB"/>
        </w:rPr>
      </w:pPr>
      <w:r>
        <w:rPr>
          <w:bCs/>
          <w:sz w:val="22"/>
          <w:szCs w:val="22"/>
          <w:lang w:val="en-GB"/>
        </w:rPr>
        <w:t>2.</w:t>
      </w:r>
      <w:r>
        <w:rPr>
          <w:rFonts w:hint="eastAsia"/>
          <w:bCs/>
          <w:sz w:val="22"/>
          <w:szCs w:val="22"/>
          <w:lang w:val="en-GB"/>
        </w:rPr>
        <w:t>F</w:t>
      </w:r>
      <w:r>
        <w:rPr>
          <w:bCs/>
          <w:sz w:val="22"/>
          <w:szCs w:val="22"/>
          <w:lang w:val="en-GB"/>
        </w:rPr>
        <w:t>ace-to-face communication for 2 hours with manager 2-Allen (28/12/2017)</w:t>
      </w:r>
    </w:p>
    <w:p>
      <w:pPr>
        <w:rPr>
          <w:bCs/>
          <w:sz w:val="22"/>
          <w:szCs w:val="22"/>
        </w:rPr>
      </w:pPr>
      <w:r>
        <w:rPr>
          <w:bCs/>
          <w:sz w:val="22"/>
          <w:szCs w:val="22"/>
          <w:lang w:val="en-GB"/>
        </w:rPr>
        <w:t>3.</w:t>
      </w:r>
      <w:r>
        <w:rPr>
          <w:rFonts w:hint="eastAsia"/>
          <w:bCs/>
          <w:sz w:val="22"/>
          <w:szCs w:val="22"/>
          <w:lang w:val="en-GB"/>
        </w:rPr>
        <w:t>F</w:t>
      </w:r>
      <w:r>
        <w:rPr>
          <w:bCs/>
          <w:sz w:val="22"/>
          <w:szCs w:val="22"/>
          <w:lang w:val="en-GB"/>
        </w:rPr>
        <w:t>ace-to-face communication for 3 hours with manager 1&amp;2-Sally and Allen (29/12/2017)</w:t>
      </w: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bCs/>
          <w:sz w:val="32"/>
          <w:szCs w:val="32"/>
          <w:lang w:val="en-GB"/>
        </w:rPr>
      </w:pPr>
    </w:p>
    <w:p>
      <w:pPr>
        <w:rPr>
          <w:b/>
          <w:sz w:val="32"/>
          <w:szCs w:val="32"/>
          <w:lang w:val="en-GB"/>
        </w:rPr>
      </w:pPr>
      <w:r>
        <w:rPr>
          <w:b/>
          <w:sz w:val="32"/>
          <w:szCs w:val="32"/>
          <w:lang w:val="en-GB"/>
        </w:rPr>
        <w:t xml:space="preserve">6.0 Project Plan </w:t>
      </w:r>
    </w:p>
    <w:p>
      <w:pPr>
        <w:rPr>
          <w:bCs/>
          <w:lang w:val="en-GB"/>
        </w:rPr>
      </w:pPr>
    </w:p>
    <w:p>
      <w:pPr>
        <w:rPr>
          <w:bCs/>
          <w:sz w:val="22"/>
          <w:szCs w:val="22"/>
          <w:lang w:val="en-GB"/>
        </w:rPr>
      </w:pPr>
      <w:r>
        <w:rPr>
          <w:bCs/>
          <w:sz w:val="22"/>
          <w:szCs w:val="22"/>
          <w:lang w:val="en-GB"/>
        </w:rPr>
        <w:t>The project plan will use a PESTLE to analyse the determined macro environment that is the power of the current impact stage, and those that may do it in the future. PESTLE analysis is an analysis of many writers, and sometimes also known as PEST analysis or analytic hierarchy process (Narayanan and Fahey, 1986). It is the abbreviation of political, economic, social and cultural, technical, legislative and ecological aspects of a broader environment (Melanie Allen, 2001).</w:t>
      </w:r>
    </w:p>
    <w:p>
      <w:pPr>
        <w:rPr>
          <w:bCs/>
          <w:sz w:val="22"/>
          <w:szCs w:val="22"/>
          <w:lang w:val="en-GB"/>
        </w:rPr>
      </w:pPr>
    </w:p>
    <w:p>
      <w:pPr>
        <w:rPr>
          <w:bCs/>
          <w:sz w:val="22"/>
          <w:szCs w:val="22"/>
          <w:lang w:val="en-GB"/>
        </w:rPr>
      </w:pPr>
      <w:r>
        <w:rPr>
          <w:bCs/>
          <w:sz w:val="22"/>
          <w:szCs w:val="22"/>
          <w:lang w:val="en-GB"/>
        </w:rPr>
        <w:t xml:space="preserve">The five-year plan of </w:t>
      </w:r>
      <w:r>
        <w:rPr>
          <w:sz w:val="22"/>
          <w:szCs w:val="22"/>
        </w:rPr>
        <w:t xml:space="preserve">True English Language </w:t>
      </w:r>
      <w:r>
        <w:rPr>
          <w:rFonts w:hint="eastAsia"/>
          <w:sz w:val="22"/>
          <w:szCs w:val="22"/>
        </w:rPr>
        <w:t>Institute</w:t>
      </w:r>
      <w:r>
        <w:rPr>
          <w:sz w:val="22"/>
          <w:szCs w:val="22"/>
        </w:rPr>
        <w:t xml:space="preserve"> development chain education model is as follows:</w:t>
      </w:r>
    </w:p>
    <w:p>
      <w:pPr>
        <w:rPr>
          <w:bCs/>
          <w:lang w:val="en-GB"/>
        </w:rPr>
      </w:pPr>
      <w:r>
        <w:drawing>
          <wp:inline distT="0" distB="0" distL="114300" distR="114300">
            <wp:extent cx="4096385" cy="2516505"/>
            <wp:effectExtent l="0" t="0" r="18415" b="171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7"/>
                    <a:stretch>
                      <a:fillRect/>
                    </a:stretch>
                  </pic:blipFill>
                  <pic:spPr>
                    <a:xfrm>
                      <a:off x="0" y="0"/>
                      <a:ext cx="4096385" cy="2516505"/>
                    </a:xfrm>
                    <a:prstGeom prst="rect">
                      <a:avLst/>
                    </a:prstGeom>
                    <a:noFill/>
                    <a:ln w="9525">
                      <a:noFill/>
                    </a:ln>
                  </pic:spPr>
                </pic:pic>
              </a:graphicData>
            </a:graphic>
          </wp:inline>
        </w:drawing>
      </w:r>
    </w:p>
    <w:p>
      <w:pPr>
        <w:rPr>
          <w:bCs/>
          <w:lang w:val="en-GB"/>
        </w:rPr>
      </w:pPr>
    </w:p>
    <w:p>
      <w:pPr>
        <w:rPr>
          <w:bCs/>
          <w:sz w:val="22"/>
          <w:szCs w:val="22"/>
          <w:lang w:val="en-GB"/>
        </w:rPr>
      </w:pPr>
      <w:r>
        <w:rPr>
          <w:bCs/>
          <w:sz w:val="22"/>
          <w:szCs w:val="22"/>
          <w:lang w:val="en-GB"/>
        </w:rPr>
        <w:t>1. 2017-2018, Do research in students and their parents about their curriculum experience, and analyse the need what they want</w:t>
      </w:r>
    </w:p>
    <w:p>
      <w:pPr>
        <w:rPr>
          <w:bCs/>
          <w:sz w:val="22"/>
          <w:szCs w:val="22"/>
          <w:lang w:val="en-GB"/>
        </w:rPr>
      </w:pPr>
      <w:r>
        <w:rPr>
          <w:bCs/>
          <w:sz w:val="22"/>
          <w:szCs w:val="22"/>
          <w:lang w:val="en-GB"/>
        </w:rPr>
        <w:t>2. 2018-2019, Optimization course and use some marketing means to attractive more students in 1 year</w:t>
      </w:r>
    </w:p>
    <w:p>
      <w:pPr>
        <w:rPr>
          <w:bCs/>
          <w:sz w:val="22"/>
          <w:szCs w:val="22"/>
          <w:lang w:val="en-GB"/>
        </w:rPr>
      </w:pPr>
      <w:r>
        <w:rPr>
          <w:bCs/>
          <w:sz w:val="22"/>
          <w:szCs w:val="22"/>
          <w:lang w:val="en-GB"/>
        </w:rPr>
        <w:t>3. 2019-2020, Look for reliable partners</w:t>
      </w:r>
    </w:p>
    <w:p>
      <w:pPr>
        <w:rPr>
          <w:bCs/>
          <w:sz w:val="22"/>
          <w:szCs w:val="22"/>
          <w:lang w:val="en-GB"/>
        </w:rPr>
      </w:pPr>
      <w:r>
        <w:rPr>
          <w:bCs/>
          <w:sz w:val="22"/>
          <w:szCs w:val="22"/>
          <w:lang w:val="en-GB"/>
        </w:rPr>
        <w:t>4. 2019-2020, Choose the best location to open the 2</w:t>
      </w:r>
      <w:r>
        <w:rPr>
          <w:bCs/>
          <w:sz w:val="22"/>
          <w:szCs w:val="22"/>
          <w:vertAlign w:val="superscript"/>
          <w:lang w:val="en-GB"/>
        </w:rPr>
        <w:t>nd</w:t>
      </w:r>
      <w:r>
        <w:rPr>
          <w:bCs/>
          <w:sz w:val="22"/>
          <w:szCs w:val="22"/>
          <w:lang w:val="en-GB"/>
        </w:rPr>
        <w:t xml:space="preserve"> store </w:t>
      </w:r>
    </w:p>
    <w:p>
      <w:pPr>
        <w:outlineLvl w:val="0"/>
        <w:rPr>
          <w:bCs/>
          <w:sz w:val="22"/>
          <w:szCs w:val="22"/>
          <w:lang w:val="en-GB"/>
        </w:rPr>
      </w:pPr>
      <w:r>
        <w:rPr>
          <w:bCs/>
          <w:sz w:val="22"/>
          <w:szCs w:val="22"/>
          <w:lang w:val="en-GB"/>
        </w:rPr>
        <w:t>5. 2020-2022, Open more than 2 stores</w:t>
      </w:r>
    </w:p>
    <w:p>
      <w:pPr>
        <w:rPr>
          <w:bCs/>
          <w:sz w:val="22"/>
          <w:szCs w:val="22"/>
          <w:lang w:val="en-GB"/>
        </w:rPr>
      </w:pPr>
    </w:p>
    <w:p>
      <w:pPr>
        <w:rPr>
          <w:b/>
          <w:bCs/>
          <w:sz w:val="32"/>
          <w:szCs w:val="32"/>
          <w:lang w:val="en-GB"/>
        </w:rPr>
      </w:pPr>
    </w:p>
    <w:p>
      <w:pPr>
        <w:rPr>
          <w:b/>
          <w:bCs/>
          <w:sz w:val="32"/>
          <w:szCs w:val="32"/>
          <w:lang w:val="en-GB"/>
        </w:rPr>
      </w:pPr>
    </w:p>
    <w:p>
      <w:pPr>
        <w:rPr>
          <w:b/>
          <w:bCs/>
          <w:sz w:val="32"/>
          <w:szCs w:val="32"/>
          <w:lang w:val="en-GB"/>
        </w:rPr>
      </w:pPr>
    </w:p>
    <w:p>
      <w:pPr>
        <w:rPr>
          <w:b/>
          <w:sz w:val="32"/>
          <w:szCs w:val="32"/>
          <w:lang w:val="en-GB"/>
        </w:rPr>
      </w:pPr>
      <w:r>
        <w:rPr>
          <w:b/>
          <w:sz w:val="32"/>
          <w:szCs w:val="32"/>
          <w:lang w:val="en-GB"/>
        </w:rPr>
        <w:t xml:space="preserve">7.0 Research Methodology </w:t>
      </w:r>
    </w:p>
    <w:p>
      <w:pPr>
        <w:rPr>
          <w:lang w:val="en-GB"/>
        </w:rPr>
      </w:pPr>
    </w:p>
    <w:p>
      <w:r>
        <w:t>A good research methodology is objective in the sense that it must answer the research questions (D K Bhattacharyya, 2006). This report will use the interview survey and data access to divide research methodology into two parts: preliminary investigation and depth investigation.</w:t>
      </w:r>
    </w:p>
    <w:p>
      <w:pPr>
        <w:rPr>
          <w:b/>
          <w:bCs/>
          <w:lang w:val="en-GB"/>
        </w:rPr>
      </w:pPr>
    </w:p>
    <w:p>
      <w:pPr>
        <w:rPr>
          <w:b/>
          <w:bCs/>
          <w:lang w:val="en-GB"/>
        </w:rPr>
      </w:pPr>
      <w:r>
        <w:rPr>
          <w:rFonts w:hint="eastAsia"/>
          <w:b/>
          <w:bCs/>
          <w:lang w:val="en-GB"/>
        </w:rPr>
        <w:t xml:space="preserve">7.1 </w:t>
      </w:r>
      <w:r>
        <w:rPr>
          <w:b/>
          <w:bCs/>
          <w:lang w:val="en-GB"/>
        </w:rPr>
        <w:t>Preliminary Investigation-</w:t>
      </w:r>
      <w:r>
        <w:rPr>
          <w:rFonts w:hint="eastAsia"/>
          <w:b/>
          <w:bCs/>
          <w:lang w:val="en-GB"/>
        </w:rPr>
        <w:t>Interview</w:t>
      </w:r>
      <w:r>
        <w:rPr>
          <w:b/>
          <w:bCs/>
          <w:lang w:val="en-GB"/>
        </w:rPr>
        <w:t xml:space="preserve"> with students or their parents</w:t>
      </w:r>
    </w:p>
    <w:p>
      <w:pPr>
        <w:rPr>
          <w:b/>
          <w:bCs/>
          <w:lang w:val="en-GB"/>
        </w:rPr>
      </w:pPr>
    </w:p>
    <w:p>
      <w:pPr>
        <w:rPr>
          <w:bCs/>
          <w:sz w:val="22"/>
          <w:szCs w:val="22"/>
        </w:rPr>
      </w:pPr>
      <w:r>
        <w:rPr>
          <w:bCs/>
          <w:sz w:val="22"/>
          <w:szCs w:val="22"/>
          <w:lang w:val="en-GB"/>
        </w:rPr>
        <w:t>Questions for students:</w:t>
      </w:r>
    </w:p>
    <w:p>
      <w:pPr>
        <w:rPr>
          <w:bCs/>
          <w:sz w:val="22"/>
          <w:szCs w:val="22"/>
        </w:rPr>
      </w:pPr>
      <w:r>
        <w:rPr>
          <w:rFonts w:hint="eastAsia"/>
          <w:bCs/>
          <w:sz w:val="22"/>
          <w:szCs w:val="22"/>
        </w:rPr>
        <w:t>1.What</w:t>
      </w:r>
      <w:r>
        <w:rPr>
          <w:bCs/>
          <w:sz w:val="22"/>
          <w:szCs w:val="22"/>
        </w:rPr>
        <w:t xml:space="preserve"> do you think is the biggest difficulty in learning English?</w:t>
      </w:r>
    </w:p>
    <w:p>
      <w:pPr>
        <w:rPr>
          <w:bCs/>
          <w:sz w:val="22"/>
          <w:szCs w:val="22"/>
        </w:rPr>
      </w:pPr>
      <w:r>
        <w:rPr>
          <w:bCs/>
          <w:sz w:val="22"/>
          <w:szCs w:val="22"/>
        </w:rPr>
        <w:t>2.Do you think the class here is the same as the class in the school?</w:t>
      </w:r>
    </w:p>
    <w:p>
      <w:pPr>
        <w:rPr>
          <w:bCs/>
          <w:sz w:val="22"/>
          <w:szCs w:val="22"/>
        </w:rPr>
      </w:pPr>
      <w:r>
        <w:rPr>
          <w:bCs/>
          <w:sz w:val="22"/>
          <w:szCs w:val="22"/>
        </w:rPr>
        <w:t>3.Do you prefer the class here or the class in the school?</w:t>
      </w:r>
    </w:p>
    <w:p>
      <w:pPr>
        <w:rPr>
          <w:bCs/>
          <w:sz w:val="22"/>
          <w:szCs w:val="22"/>
        </w:rPr>
      </w:pPr>
      <w:r>
        <w:rPr>
          <w:bCs/>
          <w:sz w:val="22"/>
          <w:szCs w:val="22"/>
        </w:rPr>
        <w:t>4.Do you enjoy your class here?</w:t>
      </w:r>
    </w:p>
    <w:p>
      <w:pPr>
        <w:rPr>
          <w:bCs/>
          <w:sz w:val="22"/>
          <w:szCs w:val="22"/>
        </w:rPr>
      </w:pPr>
      <w:r>
        <w:rPr>
          <w:bCs/>
          <w:sz w:val="22"/>
          <w:szCs w:val="22"/>
        </w:rPr>
        <w:t>5.How do you think of the teachers here?</w:t>
      </w:r>
    </w:p>
    <w:p>
      <w:pPr>
        <w:rPr>
          <w:bCs/>
          <w:sz w:val="22"/>
          <w:szCs w:val="22"/>
        </w:rPr>
      </w:pPr>
      <w:r>
        <w:rPr>
          <w:bCs/>
          <w:sz w:val="22"/>
          <w:szCs w:val="22"/>
        </w:rPr>
        <w:t>Questions for parents:</w:t>
      </w:r>
    </w:p>
    <w:p>
      <w:pPr>
        <w:rPr>
          <w:bCs/>
          <w:sz w:val="22"/>
          <w:szCs w:val="22"/>
        </w:rPr>
      </w:pPr>
      <w:r>
        <w:rPr>
          <w:bCs/>
          <w:sz w:val="22"/>
          <w:szCs w:val="22"/>
        </w:rPr>
        <w:t>1.Is it convenient for you to shuttle the children here?</w:t>
      </w:r>
    </w:p>
    <w:p>
      <w:pPr>
        <w:rPr>
          <w:bCs/>
          <w:sz w:val="22"/>
          <w:szCs w:val="22"/>
        </w:rPr>
      </w:pPr>
      <w:r>
        <w:rPr>
          <w:bCs/>
          <w:sz w:val="22"/>
          <w:szCs w:val="22"/>
        </w:rPr>
        <w:t>2.Why do you choose True English for your children?</w:t>
      </w:r>
    </w:p>
    <w:p>
      <w:pPr>
        <w:rPr>
          <w:bCs/>
          <w:sz w:val="22"/>
          <w:szCs w:val="22"/>
        </w:rPr>
      </w:pPr>
      <w:r>
        <w:rPr>
          <w:bCs/>
          <w:sz w:val="22"/>
          <w:szCs w:val="22"/>
        </w:rPr>
        <w:t>3.What is the most important reason for your choice of an English training institution?</w:t>
      </w:r>
    </w:p>
    <w:p>
      <w:pPr>
        <w:rPr>
          <w:bCs/>
          <w:sz w:val="22"/>
          <w:szCs w:val="22"/>
        </w:rPr>
      </w:pPr>
      <w:r>
        <w:rPr>
          <w:bCs/>
          <w:sz w:val="22"/>
          <w:szCs w:val="22"/>
        </w:rPr>
        <w:t>4.How do you think of True English to start a branch?</w:t>
      </w:r>
    </w:p>
    <w:p>
      <w:pPr>
        <w:rPr>
          <w:b/>
          <w:bCs/>
        </w:rPr>
      </w:pPr>
    </w:p>
    <w:p>
      <w:pPr>
        <w:rPr>
          <w:b/>
          <w:bCs/>
        </w:rPr>
      </w:pPr>
      <w:r>
        <w:rPr>
          <w:b/>
          <w:bCs/>
        </w:rPr>
        <w:t>7.2 Depth Investigation</w:t>
      </w:r>
    </w:p>
    <w:p>
      <w:pPr>
        <w:rPr>
          <w:b/>
          <w:bCs/>
        </w:rPr>
      </w:pPr>
    </w:p>
    <w:p>
      <w:pPr>
        <w:rPr>
          <w:bCs/>
          <w:sz w:val="22"/>
          <w:szCs w:val="22"/>
          <w:lang w:val="en-GB"/>
        </w:rPr>
      </w:pPr>
      <w:r>
        <w:rPr>
          <w:bCs/>
          <w:sz w:val="22"/>
          <w:szCs w:val="22"/>
          <w:lang w:val="en-GB"/>
        </w:rPr>
        <w:t>Depth investigation by referring the following information:</w:t>
      </w:r>
    </w:p>
    <w:p>
      <w:pPr>
        <w:rPr>
          <w:sz w:val="22"/>
          <w:szCs w:val="22"/>
        </w:rPr>
      </w:pPr>
      <w:r>
        <w:rPr>
          <w:bCs/>
          <w:sz w:val="22"/>
          <w:szCs w:val="22"/>
          <w:lang w:val="en-GB"/>
        </w:rPr>
        <w:t>*</w:t>
      </w:r>
      <w:r>
        <w:rPr>
          <w:sz w:val="22"/>
          <w:szCs w:val="22"/>
        </w:rPr>
        <w:t xml:space="preserve"> True English Language </w:t>
      </w:r>
      <w:r>
        <w:rPr>
          <w:rFonts w:hint="eastAsia"/>
          <w:sz w:val="22"/>
          <w:szCs w:val="22"/>
        </w:rPr>
        <w:t>Institute</w:t>
      </w:r>
      <w:r>
        <w:rPr>
          <w:sz w:val="22"/>
          <w:szCs w:val="22"/>
        </w:rPr>
        <w:t xml:space="preserve"> Wechat Subscription (same as the official website)</w:t>
      </w:r>
    </w:p>
    <w:p>
      <w:pPr>
        <w:rPr>
          <w:sz w:val="22"/>
          <w:szCs w:val="22"/>
        </w:rPr>
      </w:pPr>
      <w:r>
        <w:rPr>
          <w:sz w:val="22"/>
          <w:szCs w:val="22"/>
        </w:rPr>
        <w:t>*Internal construction documents</w:t>
      </w:r>
    </w:p>
    <w:p>
      <w:pPr>
        <w:rPr>
          <w:sz w:val="22"/>
          <w:szCs w:val="22"/>
        </w:rPr>
      </w:pPr>
      <w:r>
        <w:rPr>
          <w:sz w:val="22"/>
          <w:szCs w:val="22"/>
        </w:rPr>
        <w:t>*Academic report</w:t>
      </w:r>
    </w:p>
    <w:p>
      <w:pPr>
        <w:rPr>
          <w:sz w:val="22"/>
          <w:szCs w:val="22"/>
        </w:rPr>
      </w:pPr>
      <w:r>
        <w:rPr>
          <w:sz w:val="22"/>
          <w:szCs w:val="22"/>
        </w:rPr>
        <w:t>*Local Educational Newspaper</w:t>
      </w:r>
    </w:p>
    <w:p>
      <w:pPr>
        <w:rPr>
          <w:bCs/>
          <w:sz w:val="22"/>
          <w:szCs w:val="22"/>
          <w:lang w:val="en-GB"/>
        </w:rPr>
      </w:pPr>
      <w:r>
        <w:rPr>
          <w:sz w:val="22"/>
          <w:szCs w:val="22"/>
        </w:rPr>
        <w:t>*Policies and related documents issued by the Ministry of Educaion</w:t>
      </w:r>
    </w:p>
    <w:p>
      <w:pPr>
        <w:rPr>
          <w:bCs/>
          <w:sz w:val="32"/>
          <w:szCs w:val="32"/>
          <w:lang w:val="en-GB"/>
        </w:rPr>
      </w:pPr>
    </w:p>
    <w:p>
      <w:pPr>
        <w:rPr>
          <w:b/>
          <w:bCs/>
          <w:sz w:val="32"/>
          <w:szCs w:val="32"/>
        </w:rPr>
      </w:pPr>
    </w:p>
    <w:p>
      <w:pPr>
        <w:rPr>
          <w:b/>
          <w:bCs/>
          <w:sz w:val="32"/>
          <w:szCs w:val="32"/>
        </w:rPr>
      </w:pPr>
    </w:p>
    <w:p>
      <w:pPr>
        <w:rPr>
          <w:b/>
          <w:bCs/>
          <w:sz w:val="32"/>
          <w:szCs w:val="32"/>
        </w:rPr>
      </w:pPr>
    </w:p>
    <w:p>
      <w:pPr>
        <w:rPr>
          <w:b/>
          <w:bCs/>
          <w:sz w:val="32"/>
          <w:szCs w:val="32"/>
        </w:rPr>
      </w:pPr>
    </w:p>
    <w:p>
      <w:pPr>
        <w:rPr>
          <w:b/>
          <w:bCs/>
          <w:sz w:val="32"/>
          <w:szCs w:val="32"/>
        </w:rPr>
      </w:pPr>
    </w:p>
    <w:p>
      <w:r>
        <w:rPr>
          <w:b/>
          <w:sz w:val="32"/>
          <w:szCs w:val="32"/>
          <w:lang w:val="en-GB"/>
        </w:rPr>
        <w:t>8.0 Project Team</w:t>
      </w:r>
      <w:r>
        <w:rPr>
          <w:lang w:val="en-GB"/>
        </w:rPr>
        <w:t xml:space="preserve"> (myself)</w:t>
      </w:r>
    </w:p>
    <w:p>
      <w:pPr>
        <w:rPr>
          <w:bCs/>
          <w:sz w:val="22"/>
          <w:szCs w:val="22"/>
        </w:rPr>
      </w:pPr>
    </w:p>
    <w:p>
      <w:pPr>
        <w:rPr>
          <w:bCs/>
          <w:sz w:val="22"/>
          <w:szCs w:val="22"/>
        </w:rPr>
      </w:pPr>
      <w:r>
        <w:rPr>
          <w:sz w:val="22"/>
          <w:szCs w:val="22"/>
        </w:rPr>
        <w:t>A consultant is a person who provides the customer with the professional skills or services that the customer needs but may not have. Frequent customers have the ability to be independent (Henry Rowson, David Wright, 2004). I have been the Deputy Director of the Office of Academic Affairs</w:t>
      </w:r>
      <w:r>
        <w:rPr>
          <w:rFonts w:hint="eastAsia"/>
          <w:sz w:val="22"/>
          <w:szCs w:val="22"/>
        </w:rPr>
        <w:t xml:space="preserve"> in</w:t>
      </w:r>
      <w:r>
        <w:rPr>
          <w:sz w:val="22"/>
          <w:szCs w:val="22"/>
        </w:rPr>
        <w:t xml:space="preserve"> </w:t>
      </w:r>
      <w:r>
        <w:rPr>
          <w:rFonts w:hint="eastAsia"/>
          <w:sz w:val="22"/>
          <w:szCs w:val="22"/>
        </w:rPr>
        <w:t>True English</w:t>
      </w:r>
      <w:r>
        <w:rPr>
          <w:sz w:val="22"/>
          <w:szCs w:val="22"/>
        </w:rPr>
        <w:t xml:space="preserve"> for two years, working as the main lecturer of adult English courses. Not only these experiences have been beneficial for my project team, but also I am taking a professional study in Carmarthen Business School at University of Wales Trinity Saint David. Therefore, I will get the best solution through the understanding of excellent English and the integration of professional knowledge.</w:t>
      </w:r>
    </w:p>
    <w:p>
      <w:pPr>
        <w:rPr>
          <w:b/>
          <w:bCs/>
        </w:rPr>
      </w:pPr>
    </w:p>
    <w:p>
      <w:r>
        <w:rPr>
          <w:b/>
          <w:sz w:val="32"/>
          <w:szCs w:val="32"/>
          <w:lang w:val="en-GB"/>
        </w:rPr>
        <w:t>9.0 Costs</w:t>
      </w:r>
      <w:r>
        <w:rPr>
          <w:lang w:val="en-GB"/>
        </w:rPr>
        <w:t xml:space="preserve"> – which costs is the project likely to incur?</w:t>
      </w:r>
    </w:p>
    <w:p>
      <w:pPr>
        <w:rPr>
          <w:b/>
          <w:bCs/>
        </w:rPr>
      </w:pPr>
    </w:p>
    <w:p>
      <w:pPr>
        <w:rPr>
          <w:bCs/>
          <w:sz w:val="22"/>
          <w:szCs w:val="22"/>
        </w:rPr>
      </w:pPr>
      <w:r>
        <w:rPr>
          <w:rFonts w:hint="eastAsia"/>
          <w:bCs/>
          <w:sz w:val="22"/>
          <w:szCs w:val="22"/>
        </w:rPr>
        <w:t>According</w:t>
      </w:r>
      <w:r>
        <w:rPr>
          <w:bCs/>
          <w:sz w:val="22"/>
          <w:szCs w:val="22"/>
        </w:rPr>
        <w:t xml:space="preserve"> to the PID forecast, the costs mainly includes the following aspects:</w:t>
      </w:r>
    </w:p>
    <w:p>
      <w:pPr>
        <w:pStyle w:val="9"/>
        <w:numPr>
          <w:ilvl w:val="0"/>
          <w:numId w:val="2"/>
        </w:numPr>
        <w:ind w:firstLineChars="0"/>
        <w:rPr>
          <w:rFonts w:eastAsiaTheme="minorHAnsi"/>
          <w:bCs/>
          <w:sz w:val="22"/>
          <w:szCs w:val="22"/>
        </w:rPr>
      </w:pPr>
      <w:r>
        <w:rPr>
          <w:rFonts w:eastAsiaTheme="minorHAnsi"/>
          <w:bCs/>
          <w:sz w:val="22"/>
          <w:szCs w:val="22"/>
        </w:rPr>
        <w:t>Risk prediction fee- 360RMB (about 40GBP)</w:t>
      </w:r>
    </w:p>
    <w:p>
      <w:pPr>
        <w:pStyle w:val="9"/>
        <w:numPr>
          <w:ilvl w:val="0"/>
          <w:numId w:val="2"/>
        </w:numPr>
        <w:ind w:firstLineChars="0"/>
        <w:rPr>
          <w:rFonts w:eastAsiaTheme="minorHAnsi"/>
          <w:bCs/>
          <w:sz w:val="22"/>
          <w:szCs w:val="22"/>
        </w:rPr>
      </w:pPr>
      <w:r>
        <w:rPr>
          <w:rFonts w:eastAsiaTheme="minorHAnsi"/>
          <w:sz w:val="22"/>
          <w:szCs w:val="22"/>
        </w:rPr>
        <w:t>Preliminary investigation fee- 270RMB (about 30GBP)</w:t>
      </w:r>
    </w:p>
    <w:p>
      <w:pPr>
        <w:pStyle w:val="9"/>
        <w:numPr>
          <w:ilvl w:val="0"/>
          <w:numId w:val="2"/>
        </w:numPr>
        <w:ind w:firstLineChars="0"/>
        <w:rPr>
          <w:rFonts w:eastAsiaTheme="minorHAnsi"/>
          <w:bCs/>
          <w:sz w:val="22"/>
          <w:szCs w:val="22"/>
        </w:rPr>
      </w:pPr>
      <w:r>
        <w:rPr>
          <w:rFonts w:eastAsiaTheme="minorHAnsi"/>
          <w:sz w:val="22"/>
          <w:szCs w:val="22"/>
        </w:rPr>
        <w:t>Depth investigation fee- 360RMB (about 40GBP)</w:t>
      </w:r>
    </w:p>
    <w:p>
      <w:pPr>
        <w:pStyle w:val="9"/>
        <w:numPr>
          <w:ilvl w:val="0"/>
          <w:numId w:val="2"/>
        </w:numPr>
        <w:ind w:firstLineChars="0"/>
        <w:rPr>
          <w:rFonts w:eastAsiaTheme="minorHAnsi"/>
          <w:bCs/>
          <w:sz w:val="22"/>
          <w:szCs w:val="22"/>
        </w:rPr>
      </w:pPr>
      <w:r>
        <w:rPr>
          <w:rFonts w:eastAsiaTheme="minorHAnsi"/>
          <w:sz w:val="22"/>
          <w:szCs w:val="22"/>
        </w:rPr>
        <w:t>Three times consulting fee-100/h-700RMB (about 78GBP)</w:t>
      </w:r>
    </w:p>
    <w:p>
      <w:pPr>
        <w:rPr>
          <w:rFonts w:eastAsiaTheme="minorHAnsi"/>
          <w:bCs/>
          <w:sz w:val="22"/>
          <w:szCs w:val="22"/>
        </w:rPr>
      </w:pPr>
      <w:r>
        <w:rPr>
          <w:rFonts w:eastAsiaTheme="minorHAnsi"/>
          <w:bCs/>
          <w:sz w:val="22"/>
          <w:szCs w:val="22"/>
        </w:rPr>
        <w:t>This consultation fee is a total of 1,690 RMB, about 188 GBP.</w:t>
      </w:r>
    </w:p>
    <w:p>
      <w:pPr>
        <w:rPr>
          <w:rFonts w:eastAsiaTheme="minorHAnsi"/>
          <w:bCs/>
          <w:sz w:val="22"/>
          <w:szCs w:val="22"/>
        </w:rPr>
      </w:pPr>
      <w:r>
        <w:rPr>
          <w:rFonts w:eastAsiaTheme="minorHAnsi"/>
          <w:bCs/>
          <w:sz w:val="22"/>
          <w:szCs w:val="22"/>
        </w:rPr>
        <w:t>(Not including the elastic costs)</w:t>
      </w:r>
    </w:p>
    <w:p>
      <w:pPr>
        <w:rPr>
          <w:rFonts w:eastAsiaTheme="minorHAnsi"/>
          <w:bCs/>
          <w:sz w:val="22"/>
          <w:szCs w:val="22"/>
        </w:rPr>
      </w:pPr>
      <w:r>
        <w:rPr>
          <w:rFonts w:eastAsiaTheme="minorHAnsi"/>
          <w:bCs/>
          <w:sz w:val="22"/>
          <w:szCs w:val="22"/>
        </w:rPr>
        <w:t>Elastic costs refer to the excess cost resulting from the changes in the volume of business during the forecast period, which changes as the volume of business changes (Maohua Jie,2006).</w:t>
      </w:r>
    </w:p>
    <w:p/>
    <w:p>
      <w:pPr>
        <w:rPr>
          <w:b/>
          <w:sz w:val="32"/>
          <w:szCs w:val="32"/>
        </w:rPr>
      </w:pPr>
    </w:p>
    <w:p>
      <w:pPr>
        <w:rPr>
          <w:b/>
          <w:sz w:val="32"/>
          <w:szCs w:val="32"/>
        </w:rPr>
      </w:pPr>
    </w:p>
    <w:p>
      <w:pPr>
        <w:rPr>
          <w:b/>
          <w:sz w:val="32"/>
          <w:szCs w:val="32"/>
        </w:rPr>
      </w:pPr>
    </w:p>
    <w:p>
      <w:pPr>
        <w:rPr>
          <w:b/>
          <w:sz w:val="32"/>
          <w:szCs w:val="32"/>
        </w:rPr>
      </w:pPr>
    </w:p>
    <w:p>
      <w:pPr>
        <w:rPr>
          <w:b/>
          <w:sz w:val="32"/>
          <w:szCs w:val="32"/>
        </w:rPr>
      </w:pPr>
    </w:p>
    <w:p>
      <w:pPr>
        <w:rPr>
          <w:b/>
          <w:sz w:val="32"/>
          <w:szCs w:val="32"/>
        </w:rPr>
      </w:pPr>
    </w:p>
    <w:p>
      <w:pPr>
        <w:rPr>
          <w:b/>
          <w:sz w:val="32"/>
          <w:szCs w:val="32"/>
        </w:rPr>
      </w:pPr>
    </w:p>
    <w:p>
      <w:pPr>
        <w:rPr>
          <w:b/>
          <w:sz w:val="32"/>
          <w:szCs w:val="32"/>
        </w:rPr>
      </w:pPr>
    </w:p>
    <w:p>
      <w:pPr>
        <w:rPr>
          <w:b/>
          <w:sz w:val="32"/>
          <w:szCs w:val="32"/>
        </w:rPr>
      </w:pPr>
    </w:p>
    <w:p>
      <w:pPr>
        <w:rPr>
          <w:b/>
          <w:sz w:val="32"/>
          <w:szCs w:val="32"/>
        </w:rPr>
      </w:pPr>
      <w:r>
        <w:rPr>
          <w:b/>
          <w:sz w:val="32"/>
          <w:szCs w:val="32"/>
        </w:rPr>
        <w:t>10.0 Reference &amp; Bibliography</w:t>
      </w:r>
    </w:p>
    <w:p>
      <w:pPr>
        <w:rPr>
          <w:rFonts w:asciiTheme="minorHAnsi" w:hAnsiTheme="minorHAnsi" w:eastAsiaTheme="minorHAnsi"/>
        </w:rPr>
      </w:pPr>
    </w:p>
    <w:p>
      <w:pPr>
        <w:pStyle w:val="9"/>
        <w:numPr>
          <w:ilvl w:val="0"/>
          <w:numId w:val="3"/>
        </w:numPr>
        <w:ind w:firstLineChars="0"/>
        <w:rPr>
          <w:rFonts w:eastAsiaTheme="minorHAnsi"/>
          <w:sz w:val="22"/>
          <w:szCs w:val="22"/>
        </w:rPr>
      </w:pPr>
      <w:r>
        <w:rPr>
          <w:rFonts w:eastAsiaTheme="minorHAnsi"/>
          <w:sz w:val="22"/>
          <w:szCs w:val="22"/>
        </w:rPr>
        <w:t>Jerry Arcaro (1995) Quality in Education: An Implementation Handbook-Pxi</w:t>
      </w:r>
    </w:p>
    <w:p>
      <w:pPr>
        <w:rPr>
          <w:rFonts w:cs="Arial" w:asciiTheme="minorHAnsi" w:hAnsiTheme="minorHAnsi" w:eastAsiaTheme="minorHAnsi"/>
          <w:color w:val="006621"/>
          <w:sz w:val="22"/>
          <w:szCs w:val="22"/>
          <w:u w:val="single"/>
          <w:shd w:val="clear" w:color="auto" w:fill="FFFFFF"/>
        </w:rPr>
      </w:pPr>
      <w:r>
        <w:fldChar w:fldCharType="begin"/>
      </w:r>
      <w:r>
        <w:instrText xml:space="preserve"> HYPERLINK "https://books.google.co.uk/books?isbn=1884015581" </w:instrText>
      </w:r>
      <w:r>
        <w:fldChar w:fldCharType="separate"/>
      </w:r>
      <w:r>
        <w:rPr>
          <w:rStyle w:val="6"/>
          <w:rFonts w:cs="Arial" w:asciiTheme="minorHAnsi" w:hAnsiTheme="minorHAnsi" w:eastAsiaTheme="minorHAnsi"/>
          <w:sz w:val="22"/>
          <w:szCs w:val="22"/>
          <w:shd w:val="clear" w:color="auto" w:fill="FFFFFF"/>
        </w:rPr>
        <w:t>https://books.google.co.uk/books?isbn=1884015581</w:t>
      </w:r>
      <w:r>
        <w:rPr>
          <w:rStyle w:val="6"/>
          <w:rFonts w:cs="Arial" w:asciiTheme="minorHAnsi" w:hAnsiTheme="minorHAnsi" w:eastAsiaTheme="minorHAnsi"/>
          <w:sz w:val="22"/>
          <w:szCs w:val="22"/>
          <w:shd w:val="clear" w:color="auto" w:fill="FFFFFF"/>
        </w:rPr>
        <w:fldChar w:fldCharType="end"/>
      </w:r>
    </w:p>
    <w:p>
      <w:pPr>
        <w:rPr>
          <w:rFonts w:asciiTheme="minorHAnsi" w:hAnsiTheme="minorHAnsi" w:eastAsiaTheme="minorHAnsi"/>
          <w:sz w:val="22"/>
          <w:szCs w:val="22"/>
        </w:rPr>
      </w:pPr>
      <w:r>
        <w:rPr>
          <w:rFonts w:asciiTheme="minorHAnsi" w:hAnsiTheme="minorHAnsi" w:eastAsiaTheme="minorHAnsi"/>
          <w:sz w:val="22"/>
          <w:szCs w:val="22"/>
        </w:rPr>
        <w:t>2  Peter D. Hershock, Mark Mason, John N. Hawkins</w:t>
      </w:r>
      <w:r>
        <w:rPr>
          <w:rFonts w:asciiTheme="minorHAnsi" w:hAnsiTheme="minorHAnsi" w:eastAsiaTheme="minorHAnsi"/>
          <w:color w:val="FFFFFF" w:themeColor="background1"/>
          <w:sz w:val="22"/>
          <w:szCs w:val="22"/>
          <w14:textFill>
            <w14:solidFill>
              <w14:schemeClr w14:val="bg1"/>
            </w14:solidFill>
          </w14:textFill>
        </w:rPr>
        <w:t>s</w:t>
      </w:r>
      <w:r>
        <w:rPr>
          <w:rFonts w:asciiTheme="minorHAnsi" w:hAnsiTheme="minorHAnsi" w:eastAsiaTheme="minorHAnsi"/>
          <w:sz w:val="22"/>
          <w:szCs w:val="22"/>
        </w:rPr>
        <w:t xml:space="preserve"> (2007) Changing Education: Leadership and Development in a Globalizing Asia Pacific-Page 31</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https://books.google.co.uk/books?isbn=1402065833</w:t>
      </w:r>
      <w:r>
        <w:rPr>
          <w:u w:val="single"/>
        </w:rPr>
        <w:t xml:space="preserve"> </w:t>
      </w:r>
    </w:p>
    <w:p>
      <w:pPr>
        <w:pStyle w:val="9"/>
        <w:widowControl/>
        <w:numPr>
          <w:ilvl w:val="0"/>
          <w:numId w:val="4"/>
        </w:numPr>
        <w:ind w:firstLineChars="0"/>
        <w:jc w:val="left"/>
        <w:rPr>
          <w:bCs/>
          <w:sz w:val="22"/>
          <w:szCs w:val="22"/>
        </w:rPr>
      </w:pPr>
      <w:r>
        <w:rPr>
          <w:bCs/>
          <w:sz w:val="22"/>
          <w:szCs w:val="22"/>
        </w:rPr>
        <w:t>Yukio Ohsawa, Yukio Nishihara (2012) Innovators’ Marketplace: Using Games to Activate and Train Innovators-Page 127</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https://books.google.co.uk/books?isbn=3642254802</w:t>
      </w:r>
    </w:p>
    <w:p>
      <w:pPr>
        <w:pStyle w:val="9"/>
        <w:widowControl/>
        <w:numPr>
          <w:ilvl w:val="0"/>
          <w:numId w:val="4"/>
        </w:numPr>
        <w:ind w:firstLineChars="0"/>
        <w:jc w:val="left"/>
        <w:rPr>
          <w:rFonts w:ascii="Times New Roman" w:hAnsi="Times New Roman" w:eastAsia="Times New Roman" w:cs="Times New Roman"/>
          <w:kern w:val="0"/>
        </w:rPr>
      </w:pPr>
      <w:r>
        <w:rPr>
          <w:bCs/>
          <w:sz w:val="22"/>
          <w:szCs w:val="22"/>
        </w:rPr>
        <w:t>Said Dawlabanl (2013) Memeomics: The Next Generation Economic System-Page 109</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https://books.google.co.uk/books?isbn=1590791312</w:t>
      </w:r>
    </w:p>
    <w:p>
      <w:pPr>
        <w:pStyle w:val="9"/>
        <w:numPr>
          <w:ilvl w:val="0"/>
          <w:numId w:val="4"/>
        </w:numPr>
        <w:ind w:firstLineChars="0"/>
        <w:rPr>
          <w:bCs/>
          <w:sz w:val="22"/>
          <w:szCs w:val="22"/>
        </w:rPr>
      </w:pPr>
      <w:r>
        <w:rPr>
          <w:bCs/>
          <w:sz w:val="22"/>
          <w:szCs w:val="22"/>
        </w:rPr>
        <w:t>Arjan J. van Weele</w:t>
      </w:r>
      <w:r>
        <w:rPr>
          <w:bCs/>
          <w:color w:val="FFFFFF" w:themeColor="background1"/>
          <w:sz w:val="22"/>
          <w:szCs w:val="22"/>
          <w14:textFill>
            <w14:solidFill>
              <w14:schemeClr w14:val="bg1"/>
            </w14:solidFill>
          </w14:textFill>
        </w:rPr>
        <w:t>x</w:t>
      </w:r>
      <w:r>
        <w:rPr>
          <w:bCs/>
          <w:sz w:val="22"/>
          <w:szCs w:val="22"/>
        </w:rPr>
        <w:t xml:space="preserve"> (2010) Purchasing &amp; Supply Chain Management: Analysis, Strategy, Planning and Practice</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https://books.google.co.uk/books?isbn=1408018969</w:t>
      </w:r>
    </w:p>
    <w:p>
      <w:pPr>
        <w:pStyle w:val="9"/>
        <w:numPr>
          <w:ilvl w:val="0"/>
          <w:numId w:val="4"/>
        </w:numPr>
        <w:ind w:firstLineChars="0"/>
        <w:rPr>
          <w:bCs/>
          <w:sz w:val="22"/>
          <w:szCs w:val="22"/>
        </w:rPr>
      </w:pPr>
      <w:r>
        <w:rPr>
          <w:bCs/>
          <w:sz w:val="22"/>
          <w:szCs w:val="22"/>
        </w:rPr>
        <w:t>Xiaohong Si (2006) The Observation and Thinking of the Phenomenon of Educational Chain, Shaanxi Normal University</w:t>
      </w:r>
    </w:p>
    <w:p>
      <w:pPr>
        <w:pStyle w:val="9"/>
        <w:numPr>
          <w:ilvl w:val="0"/>
          <w:numId w:val="4"/>
        </w:numPr>
        <w:ind w:firstLineChars="0"/>
        <w:rPr>
          <w:bCs/>
          <w:sz w:val="22"/>
          <w:szCs w:val="22"/>
        </w:rPr>
      </w:pPr>
      <w:r>
        <w:rPr>
          <w:bCs/>
          <w:sz w:val="22"/>
          <w:szCs w:val="22"/>
        </w:rPr>
        <w:t>Nadine Pahl, Anne</w:t>
      </w:r>
      <w:r>
        <w:rPr>
          <w:bCs/>
          <w:color w:val="FFFFFF" w:themeColor="background1"/>
          <w:sz w:val="22"/>
          <w:szCs w:val="22"/>
          <w14:textFill>
            <w14:solidFill>
              <w14:schemeClr w14:val="bg1"/>
            </w14:solidFill>
          </w14:textFill>
        </w:rPr>
        <w:t>e</w:t>
      </w:r>
      <w:r>
        <w:rPr>
          <w:bCs/>
          <w:sz w:val="22"/>
          <w:szCs w:val="22"/>
        </w:rPr>
        <w:t xml:space="preserve"> Richter (2009) Swot Analysis- Idea, Methodology and a Practical Approach</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https://books.google.co.uk/books?isbn=3640303032</w:t>
      </w:r>
    </w:p>
    <w:p>
      <w:pPr>
        <w:pStyle w:val="9"/>
        <w:numPr>
          <w:ilvl w:val="0"/>
          <w:numId w:val="4"/>
        </w:numPr>
        <w:ind w:firstLineChars="0"/>
        <w:rPr>
          <w:sz w:val="22"/>
          <w:szCs w:val="22"/>
        </w:rPr>
      </w:pPr>
      <w:r>
        <w:rPr>
          <w:sz w:val="22"/>
          <w:szCs w:val="22"/>
        </w:rPr>
        <w:t>Edward Segal (2007) Profit by Publicity- Page xiii</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https://books.google.co.uk/books?isbn=0595425097</w:t>
      </w:r>
    </w:p>
    <w:p>
      <w:pPr>
        <w:pStyle w:val="9"/>
        <w:numPr>
          <w:ilvl w:val="0"/>
          <w:numId w:val="4"/>
        </w:numPr>
        <w:ind w:firstLineChars="0"/>
        <w:rPr>
          <w:sz w:val="22"/>
          <w:szCs w:val="22"/>
        </w:rPr>
      </w:pPr>
      <w:r>
        <w:rPr>
          <w:sz w:val="22"/>
          <w:szCs w:val="22"/>
        </w:rPr>
        <w:t>Anne</w:t>
      </w:r>
      <w:r>
        <w:rPr>
          <w:color w:val="FFFFFF" w:themeColor="background1"/>
          <w:sz w:val="22"/>
          <w:szCs w:val="22"/>
          <w14:textFill>
            <w14:solidFill>
              <w14:schemeClr w14:val="bg1"/>
            </w14:solidFill>
          </w14:textFill>
        </w:rPr>
        <w:t>e</w:t>
      </w:r>
      <w:r>
        <w:rPr>
          <w:sz w:val="22"/>
          <w:szCs w:val="22"/>
        </w:rPr>
        <w:t xml:space="preserve"> Schafer (2007) International Company Taxation in the Era of Information and Communication Technologies- Page 14</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https://books.google.co.uk/books?isbn=3835091387</w:t>
      </w:r>
    </w:p>
    <w:p>
      <w:pPr>
        <w:pStyle w:val="9"/>
        <w:numPr>
          <w:ilvl w:val="0"/>
          <w:numId w:val="4"/>
        </w:numPr>
        <w:ind w:firstLineChars="0"/>
        <w:rPr>
          <w:sz w:val="22"/>
          <w:szCs w:val="22"/>
        </w:rPr>
      </w:pPr>
      <w:r>
        <w:rPr>
          <w:sz w:val="22"/>
          <w:szCs w:val="22"/>
        </w:rPr>
        <w:t>Yufeng Shi, Shuhua Lee (2005) Discussion on the management of private education chain organisations</w:t>
      </w:r>
      <w:r>
        <w:rPr>
          <w:color w:val="FFFFFF" w:themeColor="background1"/>
          <w:sz w:val="22"/>
          <w:szCs w:val="22"/>
          <w14:textFill>
            <w14:solidFill>
              <w14:schemeClr w14:val="bg1"/>
            </w14:solidFill>
          </w14:textFill>
        </w:rPr>
        <w:t>s</w:t>
      </w:r>
      <w:r>
        <w:rPr>
          <w:sz w:val="22"/>
          <w:szCs w:val="22"/>
        </w:rPr>
        <w:t>- Page 2: 23-27, Changchun University Newspaper</w:t>
      </w:r>
    </w:p>
    <w:p>
      <w:pPr>
        <w:pStyle w:val="9"/>
        <w:numPr>
          <w:ilvl w:val="0"/>
          <w:numId w:val="4"/>
        </w:numPr>
        <w:ind w:firstLineChars="0"/>
        <w:rPr>
          <w:sz w:val="22"/>
          <w:szCs w:val="22"/>
        </w:rPr>
      </w:pPr>
      <w:r>
        <w:rPr>
          <w:sz w:val="22"/>
          <w:szCs w:val="22"/>
        </w:rPr>
        <w:t>Kaisheng Lao (2003) The Trend of China’s Education Reform: the Relationship between Education and Market-Page 3:10-12</w:t>
      </w:r>
    </w:p>
    <w:p>
      <w:pPr>
        <w:pStyle w:val="9"/>
        <w:numPr>
          <w:ilvl w:val="0"/>
          <w:numId w:val="4"/>
        </w:numPr>
        <w:ind w:firstLineChars="0"/>
        <w:rPr>
          <w:sz w:val="22"/>
          <w:szCs w:val="22"/>
        </w:rPr>
      </w:pPr>
      <w:r>
        <w:rPr>
          <w:bCs/>
          <w:sz w:val="22"/>
          <w:szCs w:val="22"/>
        </w:rPr>
        <w:t>National Center for Educational Research and Development (2001) 2001 Chinese Education Green Book-Page 8:10-11, Beijing Educational Science Press</w:t>
      </w:r>
      <w:r>
        <w:rPr>
          <w:bCs/>
          <w:color w:val="FFFFFF" w:themeColor="background1"/>
          <w:sz w:val="22"/>
          <w:szCs w:val="22"/>
          <w14:textFill>
            <w14:solidFill>
              <w14:schemeClr w14:val="bg1"/>
            </w14:solidFill>
          </w14:textFill>
        </w:rPr>
        <w:t>s</w:t>
      </w:r>
    </w:p>
    <w:p>
      <w:pPr>
        <w:pStyle w:val="9"/>
        <w:numPr>
          <w:ilvl w:val="0"/>
          <w:numId w:val="4"/>
        </w:numPr>
        <w:ind w:firstLineChars="0"/>
        <w:rPr>
          <w:sz w:val="22"/>
          <w:szCs w:val="22"/>
        </w:rPr>
      </w:pPr>
      <w:r>
        <w:rPr>
          <w:bCs/>
          <w:sz w:val="22"/>
          <w:szCs w:val="22"/>
          <w:lang w:val="en-GB"/>
        </w:rPr>
        <w:t>Yingjie Wang (1999) The development crisis and reform trend of the private education chain in the world</w:t>
      </w:r>
    </w:p>
    <w:p>
      <w:pPr>
        <w:rPr>
          <w:rFonts w:asciiTheme="minorHAnsi" w:hAnsiTheme="minorHAnsi" w:eastAsiaTheme="minorHAnsi"/>
          <w:bCs/>
          <w:sz w:val="22"/>
          <w:szCs w:val="22"/>
          <w:lang w:val="en-GB"/>
        </w:rPr>
      </w:pPr>
      <w:r>
        <w:rPr>
          <w:rFonts w:asciiTheme="minorHAnsi" w:hAnsiTheme="minorHAnsi" w:eastAsiaTheme="minorHAnsi"/>
          <w:bCs/>
          <w:sz w:val="22"/>
          <w:szCs w:val="22"/>
        </w:rPr>
        <w:t xml:space="preserve">14   </w:t>
      </w:r>
      <w:r>
        <w:rPr>
          <w:rFonts w:asciiTheme="minorHAnsi" w:hAnsiTheme="minorHAnsi" w:eastAsiaTheme="minorHAnsi"/>
          <w:bCs/>
          <w:sz w:val="22"/>
          <w:szCs w:val="22"/>
          <w:lang w:val="en-GB"/>
        </w:rPr>
        <w:t>Beijing University (2015) China chain business development analysis and investment prospect forecast report-Page 8: 575-576, Beijing University Press</w:t>
      </w:r>
    </w:p>
    <w:p>
      <w:pPr>
        <w:pStyle w:val="9"/>
        <w:numPr>
          <w:ilvl w:val="0"/>
          <w:numId w:val="5"/>
        </w:numPr>
        <w:ind w:firstLineChars="0"/>
        <w:rPr>
          <w:rFonts w:eastAsiaTheme="minorHAnsi"/>
          <w:bCs/>
          <w:sz w:val="22"/>
          <w:szCs w:val="22"/>
          <w:lang w:val="en-GB"/>
        </w:rPr>
      </w:pPr>
      <w:r>
        <w:rPr>
          <w:rFonts w:eastAsiaTheme="minorHAnsi"/>
          <w:bCs/>
          <w:sz w:val="22"/>
          <w:szCs w:val="22"/>
          <w:lang w:val="en-GB"/>
        </w:rPr>
        <w:t xml:space="preserve">  Matthew R. Marvel (2012) Encyclopedia of New Venture Management- Page 206</w:t>
      </w:r>
    </w:p>
    <w:p>
      <w:pPr>
        <w:rPr>
          <w:rFonts w:asciiTheme="minorHAnsi" w:hAnsiTheme="minorHAnsi" w:eastAsiaTheme="minorHAnsi"/>
          <w:sz w:val="22"/>
          <w:szCs w:val="22"/>
          <w:u w:val="single"/>
        </w:rPr>
      </w:pPr>
      <w:r>
        <w:rPr>
          <w:rFonts w:cs="Arial" w:asciiTheme="minorHAnsi" w:hAnsiTheme="minorHAnsi" w:eastAsiaTheme="minorHAnsi"/>
          <w:color w:val="006621"/>
          <w:sz w:val="22"/>
          <w:szCs w:val="22"/>
          <w:u w:val="single"/>
          <w:shd w:val="clear" w:color="auto" w:fill="FFFFFF"/>
        </w:rPr>
        <w:t>https://books.google.co.uk/books?isbn=1412990815</w:t>
      </w:r>
    </w:p>
    <w:p>
      <w:pPr>
        <w:pStyle w:val="9"/>
        <w:numPr>
          <w:ilvl w:val="0"/>
          <w:numId w:val="5"/>
        </w:numPr>
        <w:ind w:firstLineChars="0"/>
        <w:rPr>
          <w:rFonts w:eastAsiaTheme="minorHAnsi"/>
          <w:bCs/>
          <w:sz w:val="22"/>
          <w:szCs w:val="22"/>
        </w:rPr>
      </w:pPr>
      <w:r>
        <w:rPr>
          <w:rFonts w:eastAsiaTheme="minorHAnsi"/>
          <w:bCs/>
          <w:sz w:val="22"/>
          <w:szCs w:val="22"/>
        </w:rPr>
        <w:t>Henry Rowson, David Wright (2004) Consultancy: An Enginner’s Guide to Getting Started- Page 2</w:t>
      </w:r>
    </w:p>
    <w:p>
      <w:pPr>
        <w:rPr>
          <w:rFonts w:asciiTheme="minorHAnsi" w:hAnsiTheme="minorHAnsi" w:eastAsiaTheme="minorHAnsi"/>
          <w:bCs/>
          <w:sz w:val="22"/>
          <w:szCs w:val="22"/>
          <w:u w:val="single"/>
        </w:rPr>
      </w:pPr>
      <w:r>
        <w:rPr>
          <w:rFonts w:asciiTheme="minorHAnsi" w:hAnsiTheme="minorHAnsi" w:eastAsiaTheme="minorHAnsi"/>
          <w:sz w:val="22"/>
          <w:szCs w:val="22"/>
          <w:u w:val="single"/>
        </w:rPr>
        <w:t>https://books.google.co.uk/books?isbn=0852954379</w:t>
      </w:r>
    </w:p>
    <w:p>
      <w:pPr>
        <w:rPr>
          <w:rFonts w:asciiTheme="minorHAnsi" w:hAnsiTheme="minorHAnsi" w:eastAsiaTheme="minorHAnsi"/>
          <w:bCs/>
          <w:sz w:val="22"/>
          <w:szCs w:val="22"/>
        </w:rPr>
      </w:pPr>
      <w:r>
        <w:rPr>
          <w:rFonts w:asciiTheme="minorHAnsi" w:hAnsiTheme="minorHAnsi" w:eastAsiaTheme="minorHAnsi"/>
          <w:bCs/>
          <w:sz w:val="22"/>
          <w:szCs w:val="22"/>
        </w:rPr>
        <w:t xml:space="preserve">17   </w:t>
      </w:r>
      <w:r>
        <w:rPr>
          <w:rFonts w:asciiTheme="minorHAnsi" w:hAnsiTheme="minorHAnsi" w:eastAsiaTheme="minorHAnsi"/>
          <w:sz w:val="22"/>
          <w:szCs w:val="22"/>
        </w:rPr>
        <w:t>D K Bhattacharyya (2006) Research Methodology</w:t>
      </w:r>
    </w:p>
    <w:p>
      <w:pPr>
        <w:rPr>
          <w:rFonts w:asciiTheme="minorHAnsi" w:hAnsiTheme="minorHAnsi" w:eastAsiaTheme="minorHAnsi"/>
          <w:bCs/>
          <w:sz w:val="22"/>
          <w:szCs w:val="22"/>
        </w:rPr>
      </w:pPr>
      <w:r>
        <w:fldChar w:fldCharType="begin"/>
      </w:r>
      <w:r>
        <w:instrText xml:space="preserve"> HYPERLINK "https://books.google.co.uk/books?isbn=8174464972" </w:instrText>
      </w:r>
      <w:r>
        <w:fldChar w:fldCharType="separate"/>
      </w:r>
      <w:r>
        <w:rPr>
          <w:rStyle w:val="6"/>
          <w:rFonts w:cs="Arial" w:asciiTheme="minorHAnsi" w:hAnsiTheme="minorHAnsi" w:eastAsiaTheme="minorHAnsi"/>
          <w:sz w:val="22"/>
          <w:szCs w:val="22"/>
          <w:shd w:val="clear" w:color="auto" w:fill="FFFFFF"/>
        </w:rPr>
        <w:t>https://books.google.co.uk/books?isbn=8174464972</w:t>
      </w:r>
      <w:r>
        <w:rPr>
          <w:rStyle w:val="6"/>
          <w:rFonts w:cs="Arial" w:asciiTheme="minorHAnsi" w:hAnsiTheme="minorHAnsi" w:eastAsiaTheme="minorHAnsi"/>
          <w:sz w:val="22"/>
          <w:szCs w:val="22"/>
          <w:shd w:val="clear" w:color="auto" w:fill="FFFFFF"/>
        </w:rPr>
        <w:fldChar w:fldCharType="end"/>
      </w:r>
    </w:p>
    <w:p>
      <w:pPr>
        <w:pStyle w:val="9"/>
        <w:numPr>
          <w:ilvl w:val="0"/>
          <w:numId w:val="6"/>
        </w:numPr>
        <w:ind w:firstLineChars="0"/>
        <w:rPr>
          <w:rFonts w:eastAsiaTheme="minorHAnsi"/>
          <w:bCs/>
          <w:sz w:val="22"/>
          <w:szCs w:val="22"/>
        </w:rPr>
      </w:pPr>
      <w:r>
        <w:rPr>
          <w:rFonts w:eastAsiaTheme="minorHAnsi"/>
          <w:bCs/>
          <w:sz w:val="22"/>
          <w:szCs w:val="22"/>
        </w:rPr>
        <w:t>Maohua Jie (2006) Planning and Design of Enterprise Finance and Accounting System- Page 325, Tsinghua University press and Beijing Jiaotong University press</w:t>
      </w:r>
    </w:p>
    <w:p>
      <w:pPr>
        <w:pStyle w:val="9"/>
        <w:numPr>
          <w:ilvl w:val="0"/>
          <w:numId w:val="6"/>
        </w:numPr>
        <w:ind w:firstLineChars="0"/>
        <w:rPr>
          <w:rFonts w:eastAsiaTheme="minorHAnsi"/>
          <w:bCs/>
          <w:sz w:val="22"/>
          <w:szCs w:val="22"/>
        </w:rPr>
      </w:pPr>
      <w:r>
        <w:rPr>
          <w:bCs/>
          <w:sz w:val="22"/>
          <w:szCs w:val="22"/>
        </w:rPr>
        <w:t>John S Oakland (2012) Oakland on Quality Management</w:t>
      </w:r>
    </w:p>
    <w:p>
      <w:pPr>
        <w:rPr>
          <w:rFonts w:eastAsia="Times New Roman"/>
          <w:u w:val="single"/>
        </w:rPr>
      </w:pPr>
      <w:r>
        <w:rPr>
          <w:rFonts w:ascii="Arial" w:hAnsi="Arial" w:eastAsia="Times New Roman" w:cs="Arial"/>
          <w:color w:val="006621"/>
          <w:sz w:val="21"/>
          <w:szCs w:val="21"/>
          <w:u w:val="single"/>
          <w:shd w:val="clear" w:color="auto" w:fill="FFFFFF"/>
        </w:rPr>
        <w:t>https://books.google.co.uk/books?isbn=1136376100</w:t>
      </w:r>
    </w:p>
    <w:p>
      <w:pPr>
        <w:pStyle w:val="9"/>
        <w:numPr>
          <w:ilvl w:val="0"/>
          <w:numId w:val="6"/>
        </w:numPr>
        <w:ind w:firstLineChars="0"/>
        <w:rPr>
          <w:rFonts w:eastAsiaTheme="minorHAnsi"/>
          <w:bCs/>
          <w:sz w:val="22"/>
          <w:szCs w:val="22"/>
        </w:rPr>
      </w:pPr>
      <w:r>
        <w:rPr>
          <w:bCs/>
          <w:sz w:val="22"/>
          <w:szCs w:val="22"/>
        </w:rPr>
        <w:t>Lambert, Douglas M James R. Stock. and Lisa M. Ellram</w:t>
      </w:r>
      <w:r>
        <w:rPr>
          <w:bCs/>
          <w:color w:val="FFFFFF" w:themeColor="background1"/>
          <w:sz w:val="22"/>
          <w:szCs w:val="22"/>
          <w14:textFill>
            <w14:solidFill>
              <w14:schemeClr w14:val="bg1"/>
            </w14:solidFill>
          </w14:textFill>
        </w:rPr>
        <w:t>m</w:t>
      </w:r>
      <w:r>
        <w:rPr>
          <w:bCs/>
          <w:sz w:val="22"/>
          <w:szCs w:val="22"/>
        </w:rPr>
        <w:t xml:space="preserve"> (1998) Fundamental</w:t>
      </w:r>
      <w:r>
        <w:rPr>
          <w:bCs/>
          <w:color w:val="FFFFFF" w:themeColor="background1"/>
          <w:sz w:val="22"/>
          <w:szCs w:val="22"/>
          <w14:textFill>
            <w14:solidFill>
              <w14:schemeClr w14:val="bg1"/>
            </w14:solidFill>
          </w14:textFill>
        </w:rPr>
        <w:t>x</w:t>
      </w:r>
      <w:r>
        <w:rPr>
          <w:bCs/>
          <w:sz w:val="22"/>
          <w:szCs w:val="22"/>
        </w:rPr>
        <w:t xml:space="preserve"> of Logistic</w:t>
      </w:r>
      <w:r>
        <w:rPr>
          <w:bCs/>
          <w:color w:val="FFFFFF" w:themeColor="background1"/>
          <w:sz w:val="22"/>
          <w:szCs w:val="22"/>
          <w14:textFill>
            <w14:solidFill>
              <w14:schemeClr w14:val="bg1"/>
            </w14:solidFill>
          </w14:textFill>
        </w:rPr>
        <w:t>s</w:t>
      </w:r>
      <w:r>
        <w:rPr>
          <w:bCs/>
          <w:sz w:val="22"/>
          <w:szCs w:val="22"/>
        </w:rPr>
        <w:t xml:space="preserve"> Management, Boston, MA: Irwi</w:t>
      </w:r>
      <w:r>
        <w:rPr>
          <w:bCs/>
          <w:color w:val="000000" w:themeColor="text1"/>
          <w:sz w:val="22"/>
          <w:szCs w:val="22"/>
          <w14:textFill>
            <w14:solidFill>
              <w14:schemeClr w14:val="tx1"/>
            </w14:solidFill>
          </w14:textFill>
        </w:rPr>
        <w:t>n</w:t>
      </w:r>
      <w:r>
        <w:rPr>
          <w:bCs/>
          <w:color w:val="FFFFFF" w:themeColor="background1"/>
          <w:sz w:val="22"/>
          <w:szCs w:val="22"/>
          <w14:textFill>
            <w14:solidFill>
              <w14:schemeClr w14:val="bg1"/>
            </w14:solidFill>
          </w14:textFill>
        </w:rPr>
        <w:t>n</w:t>
      </w:r>
      <w:r>
        <w:rPr>
          <w:bCs/>
          <w:sz w:val="22"/>
          <w:szCs w:val="22"/>
        </w:rPr>
        <w:t xml:space="preserve"> / McGraw-Hill, Chapter 14</w:t>
      </w:r>
    </w:p>
    <w:p>
      <w:pPr>
        <w:pStyle w:val="9"/>
        <w:numPr>
          <w:ilvl w:val="0"/>
          <w:numId w:val="6"/>
        </w:numPr>
        <w:ind w:firstLineChars="0"/>
        <w:rPr>
          <w:rFonts w:eastAsiaTheme="minorHAnsi"/>
          <w:bCs/>
          <w:sz w:val="22"/>
          <w:szCs w:val="22"/>
        </w:rPr>
      </w:pPr>
      <w:r>
        <w:rPr>
          <w:bCs/>
          <w:sz w:val="22"/>
          <w:szCs w:val="22"/>
          <w:lang w:val="en-GB"/>
        </w:rPr>
        <w:t>Melanie Allen (2001</w:t>
      </w:r>
      <w:r>
        <w:rPr>
          <w:bCs/>
          <w:color w:val="FFFFFF" w:themeColor="background1"/>
          <w:sz w:val="22"/>
          <w:szCs w:val="22"/>
          <w:lang w:val="en-GB"/>
          <w14:textFill>
            <w14:solidFill>
              <w14:schemeClr w14:val="bg1"/>
            </w14:solidFill>
          </w14:textFill>
        </w:rPr>
        <w:t>1</w:t>
      </w:r>
      <w:r>
        <w:rPr>
          <w:bCs/>
          <w:sz w:val="22"/>
          <w:szCs w:val="22"/>
          <w:lang w:val="en-GB"/>
        </w:rPr>
        <w:t>) Analysing the Organisational Environment</w:t>
      </w:r>
    </w:p>
    <w:sectPr>
      <w:footerReference r:id="rId3" w:type="default"/>
      <w:pgSz w:w="11900" w:h="16840"/>
      <w:pgMar w:top="1440" w:right="1800" w:bottom="1440" w:left="1800" w:header="720" w:footer="720" w:gutter="0"/>
      <w:pgNumType w:fmt="decimal" w:start="1"/>
      <w:cols w:space="720"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CF3C50" w:usb2="00000016" w:usb3="00000000" w:csb0="0004001F" w:csb1="00000000"/>
  </w:font>
  <w:font w:name="微软雅黑 Light">
    <w:panose1 w:val="020B0502040204020203"/>
    <w:charset w:val="86"/>
    <w:family w:val="auto"/>
    <w:pitch w:val="default"/>
    <w:sig w:usb0="80000287" w:usb1="28CF0010" w:usb2="00000016" w:usb3="00000000" w:csb0="0004001F" w:csb1="00000000"/>
  </w:font>
  <w:font w:name="新宋体">
    <w:panose1 w:val="02010609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ZWAdobeF">
    <w:panose1 w:val="00000000000000000000"/>
    <w:charset w:val="00"/>
    <w:family w:val="auto"/>
    <w:pitch w:val="default"/>
    <w:sig w:usb0="00000001" w:usb1="00000000" w:usb2="00000000" w:usb3="00000000" w:csb0="400001FF" w:csb1="FFFF0000"/>
  </w:font>
  <w:font w:name="Wingdings">
    <w:panose1 w:val="05000000000000000000"/>
    <w:charset w:val="00"/>
    <w:family w:val="auto"/>
    <w:pitch w:val="default"/>
    <w:sig w:usb0="00000000" w:usb1="00000000" w:usb2="00000000" w:usb3="00000000" w:csb0="80000000" w:csb1="00000000"/>
  </w:font>
  <w:font w:name="Webdings">
    <w:panose1 w:val="05030102010509060703"/>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Trebuchet MS">
    <w:panose1 w:val="020B0603020202020204"/>
    <w:charset w:val="00"/>
    <w:family w:val="auto"/>
    <w:pitch w:val="default"/>
    <w:sig w:usb0="00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dF6DCAgAA1gUAAA4AAABkcnMvZTJvRG9jLnhtbK1UzY7TMBC+I/EO&#10;lu/ZJN20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R0XoM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237C3"/>
    <w:multiLevelType w:val="multilevel"/>
    <w:tmpl w:val="3D9237C3"/>
    <w:lvl w:ilvl="0" w:tentative="0">
      <w:start w:val="15"/>
      <w:numFmt w:val="decimal"/>
      <w:lvlText w:val="%1"/>
      <w:lvlJc w:val="left"/>
      <w:pPr>
        <w:ind w:left="360" w:hanging="360"/>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
    <w:nsid w:val="45D24248"/>
    <w:multiLevelType w:val="multilevel"/>
    <w:tmpl w:val="45D24248"/>
    <w:lvl w:ilvl="0" w:tentative="0">
      <w:start w:val="18"/>
      <w:numFmt w:val="decimal"/>
      <w:lvlText w:val="%1"/>
      <w:lvlJc w:val="left"/>
      <w:pPr>
        <w:ind w:left="360" w:hanging="360"/>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
    <w:nsid w:val="545E5D32"/>
    <w:multiLevelType w:val="multilevel"/>
    <w:tmpl w:val="545E5D32"/>
    <w:lvl w:ilvl="0" w:tentative="0">
      <w:start w:val="1"/>
      <w:numFmt w:val="decimal"/>
      <w:lvlText w:val="%1.0"/>
      <w:lvlJc w:val="left"/>
      <w:pPr>
        <w:ind w:left="720" w:hanging="720"/>
      </w:pPr>
      <w:rPr>
        <w:rFonts w:hint="default"/>
      </w:rPr>
    </w:lvl>
    <w:lvl w:ilvl="1" w:tentative="0">
      <w:start w:val="1"/>
      <w:numFmt w:val="decimal"/>
      <w:lvlText w:val="%1.%2"/>
      <w:lvlJc w:val="left"/>
      <w:pPr>
        <w:ind w:left="1140" w:hanging="720"/>
      </w:pPr>
      <w:rPr>
        <w:rFonts w:hint="default"/>
      </w:rPr>
    </w:lvl>
    <w:lvl w:ilvl="2" w:tentative="0">
      <w:start w:val="1"/>
      <w:numFmt w:val="decimal"/>
      <w:lvlText w:val="%1.%2.%3"/>
      <w:lvlJc w:val="left"/>
      <w:pPr>
        <w:ind w:left="1920" w:hanging="1080"/>
      </w:pPr>
      <w:rPr>
        <w:rFonts w:hint="default"/>
      </w:rPr>
    </w:lvl>
    <w:lvl w:ilvl="3" w:tentative="0">
      <w:start w:val="1"/>
      <w:numFmt w:val="decimal"/>
      <w:lvlText w:val="%1.%2.%3.%4"/>
      <w:lvlJc w:val="left"/>
      <w:pPr>
        <w:ind w:left="2340" w:hanging="1080"/>
      </w:pPr>
      <w:rPr>
        <w:rFonts w:hint="default"/>
      </w:rPr>
    </w:lvl>
    <w:lvl w:ilvl="4" w:tentative="0">
      <w:start w:val="1"/>
      <w:numFmt w:val="decimal"/>
      <w:lvlText w:val="%1.%2.%3.%4.%5"/>
      <w:lvlJc w:val="left"/>
      <w:pPr>
        <w:ind w:left="3120" w:hanging="1440"/>
      </w:pPr>
      <w:rPr>
        <w:rFonts w:hint="default"/>
      </w:rPr>
    </w:lvl>
    <w:lvl w:ilvl="5" w:tentative="0">
      <w:start w:val="1"/>
      <w:numFmt w:val="decimal"/>
      <w:lvlText w:val="%1.%2.%3.%4.%5.%6"/>
      <w:lvlJc w:val="left"/>
      <w:pPr>
        <w:ind w:left="3900" w:hanging="1800"/>
      </w:pPr>
      <w:rPr>
        <w:rFonts w:hint="default"/>
      </w:rPr>
    </w:lvl>
    <w:lvl w:ilvl="6" w:tentative="0">
      <w:start w:val="1"/>
      <w:numFmt w:val="decimal"/>
      <w:lvlText w:val="%1.%2.%3.%4.%5.%6.%7"/>
      <w:lvlJc w:val="left"/>
      <w:pPr>
        <w:ind w:left="4320" w:hanging="1800"/>
      </w:pPr>
      <w:rPr>
        <w:rFonts w:hint="default"/>
      </w:rPr>
    </w:lvl>
    <w:lvl w:ilvl="7" w:tentative="0">
      <w:start w:val="1"/>
      <w:numFmt w:val="decimal"/>
      <w:lvlText w:val="%1.%2.%3.%4.%5.%6.%7.%8"/>
      <w:lvlJc w:val="left"/>
      <w:pPr>
        <w:ind w:left="5100" w:hanging="2160"/>
      </w:pPr>
      <w:rPr>
        <w:rFonts w:hint="default"/>
      </w:rPr>
    </w:lvl>
    <w:lvl w:ilvl="8" w:tentative="0">
      <w:start w:val="1"/>
      <w:numFmt w:val="decimal"/>
      <w:lvlText w:val="%1.%2.%3.%4.%5.%6.%7.%8.%9"/>
      <w:lvlJc w:val="left"/>
      <w:pPr>
        <w:ind w:left="5880" w:hanging="2520"/>
      </w:pPr>
      <w:rPr>
        <w:rFonts w:hint="default"/>
      </w:rPr>
    </w:lvl>
  </w:abstractNum>
  <w:abstractNum w:abstractNumId="3">
    <w:nsid w:val="5D4579D2"/>
    <w:multiLevelType w:val="multilevel"/>
    <w:tmpl w:val="5D4579D2"/>
    <w:lvl w:ilvl="0" w:tentative="0">
      <w:start w:val="1"/>
      <w:numFmt w:val="decimal"/>
      <w:lvlText w:val="%1."/>
      <w:lvlJc w:val="left"/>
      <w:pPr>
        <w:ind w:left="360" w:hanging="360"/>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4">
    <w:nsid w:val="73957DCC"/>
    <w:multiLevelType w:val="multilevel"/>
    <w:tmpl w:val="73957DCC"/>
    <w:lvl w:ilvl="0" w:tentative="0">
      <w:start w:val="3"/>
      <w:numFmt w:val="decimal"/>
      <w:lvlText w:val="%1"/>
      <w:lvlJc w:val="left"/>
      <w:pPr>
        <w:ind w:left="360" w:hanging="360"/>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5">
    <w:nsid w:val="73C065B4"/>
    <w:multiLevelType w:val="multilevel"/>
    <w:tmpl w:val="73C065B4"/>
    <w:lvl w:ilvl="0" w:tentative="0">
      <w:start w:val="1"/>
      <w:numFmt w:val="decimal"/>
      <w:lvlText w:val="%1"/>
      <w:lvlJc w:val="left"/>
      <w:pPr>
        <w:ind w:left="360" w:hanging="360"/>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num w:numId="1">
    <w:abstractNumId w:val="2"/>
  </w:num>
  <w:num w:numId="2">
    <w:abstractNumId w:val="3"/>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B20"/>
    <w:rsid w:val="00025DA5"/>
    <w:rsid w:val="00042D53"/>
    <w:rsid w:val="0005001C"/>
    <w:rsid w:val="00072E56"/>
    <w:rsid w:val="00073779"/>
    <w:rsid w:val="00076887"/>
    <w:rsid w:val="000868FE"/>
    <w:rsid w:val="000A12AE"/>
    <w:rsid w:val="000A53B4"/>
    <w:rsid w:val="000A6C7E"/>
    <w:rsid w:val="000B593B"/>
    <w:rsid w:val="000D1A69"/>
    <w:rsid w:val="000D3163"/>
    <w:rsid w:val="000D47A7"/>
    <w:rsid w:val="000E25E0"/>
    <w:rsid w:val="000F0262"/>
    <w:rsid w:val="00106C7C"/>
    <w:rsid w:val="00115B83"/>
    <w:rsid w:val="0012066A"/>
    <w:rsid w:val="00146C56"/>
    <w:rsid w:val="001709C9"/>
    <w:rsid w:val="001760F8"/>
    <w:rsid w:val="00176F5D"/>
    <w:rsid w:val="00180ADF"/>
    <w:rsid w:val="00183422"/>
    <w:rsid w:val="001A688E"/>
    <w:rsid w:val="001B6BB1"/>
    <w:rsid w:val="001C194B"/>
    <w:rsid w:val="001D0447"/>
    <w:rsid w:val="001D48E3"/>
    <w:rsid w:val="001E1104"/>
    <w:rsid w:val="001E32C9"/>
    <w:rsid w:val="001F3908"/>
    <w:rsid w:val="001F4FAE"/>
    <w:rsid w:val="00222B9D"/>
    <w:rsid w:val="00226F9A"/>
    <w:rsid w:val="0023604F"/>
    <w:rsid w:val="00236601"/>
    <w:rsid w:val="00252599"/>
    <w:rsid w:val="002525BA"/>
    <w:rsid w:val="0026522C"/>
    <w:rsid w:val="00297FC4"/>
    <w:rsid w:val="002A18B8"/>
    <w:rsid w:val="002C00AC"/>
    <w:rsid w:val="002D6DC6"/>
    <w:rsid w:val="002E66BB"/>
    <w:rsid w:val="0030430C"/>
    <w:rsid w:val="003265C5"/>
    <w:rsid w:val="0032670E"/>
    <w:rsid w:val="003375CF"/>
    <w:rsid w:val="00340783"/>
    <w:rsid w:val="003503AF"/>
    <w:rsid w:val="0038525E"/>
    <w:rsid w:val="00387112"/>
    <w:rsid w:val="003935E5"/>
    <w:rsid w:val="003A7692"/>
    <w:rsid w:val="003C7AC7"/>
    <w:rsid w:val="003D6BB1"/>
    <w:rsid w:val="003E05D0"/>
    <w:rsid w:val="00400E8F"/>
    <w:rsid w:val="00411842"/>
    <w:rsid w:val="00417198"/>
    <w:rsid w:val="004178AD"/>
    <w:rsid w:val="00420E06"/>
    <w:rsid w:val="00434944"/>
    <w:rsid w:val="00452936"/>
    <w:rsid w:val="00474102"/>
    <w:rsid w:val="004A6B81"/>
    <w:rsid w:val="004A782B"/>
    <w:rsid w:val="004C4E63"/>
    <w:rsid w:val="004C516C"/>
    <w:rsid w:val="004E7836"/>
    <w:rsid w:val="00512980"/>
    <w:rsid w:val="00526A2A"/>
    <w:rsid w:val="00530B76"/>
    <w:rsid w:val="00536FE3"/>
    <w:rsid w:val="00552FBE"/>
    <w:rsid w:val="00557EA8"/>
    <w:rsid w:val="005652F1"/>
    <w:rsid w:val="005668C4"/>
    <w:rsid w:val="00571C7C"/>
    <w:rsid w:val="00571DA0"/>
    <w:rsid w:val="00571DF0"/>
    <w:rsid w:val="00596023"/>
    <w:rsid w:val="005C23DC"/>
    <w:rsid w:val="005D6481"/>
    <w:rsid w:val="005E61B2"/>
    <w:rsid w:val="005F3031"/>
    <w:rsid w:val="00605BE4"/>
    <w:rsid w:val="00605F2F"/>
    <w:rsid w:val="00621BE1"/>
    <w:rsid w:val="00642699"/>
    <w:rsid w:val="00653B57"/>
    <w:rsid w:val="006648B7"/>
    <w:rsid w:val="00667AF7"/>
    <w:rsid w:val="006769E5"/>
    <w:rsid w:val="00695B8B"/>
    <w:rsid w:val="00697F6D"/>
    <w:rsid w:val="006B3705"/>
    <w:rsid w:val="006B68BE"/>
    <w:rsid w:val="006C3D68"/>
    <w:rsid w:val="006C41D1"/>
    <w:rsid w:val="006C7CAB"/>
    <w:rsid w:val="006D5F4A"/>
    <w:rsid w:val="006E2A25"/>
    <w:rsid w:val="006F3E28"/>
    <w:rsid w:val="00716C25"/>
    <w:rsid w:val="00740E61"/>
    <w:rsid w:val="00757C49"/>
    <w:rsid w:val="00764F3E"/>
    <w:rsid w:val="00772295"/>
    <w:rsid w:val="00776D05"/>
    <w:rsid w:val="00780A5D"/>
    <w:rsid w:val="00780E37"/>
    <w:rsid w:val="007C32FE"/>
    <w:rsid w:val="007D40FF"/>
    <w:rsid w:val="00802BC0"/>
    <w:rsid w:val="00803B8B"/>
    <w:rsid w:val="00806032"/>
    <w:rsid w:val="008111F6"/>
    <w:rsid w:val="0081200B"/>
    <w:rsid w:val="008134E0"/>
    <w:rsid w:val="00814E3D"/>
    <w:rsid w:val="00815ACD"/>
    <w:rsid w:val="0083558B"/>
    <w:rsid w:val="00836B20"/>
    <w:rsid w:val="008443B0"/>
    <w:rsid w:val="00844E69"/>
    <w:rsid w:val="00850F8B"/>
    <w:rsid w:val="00854A12"/>
    <w:rsid w:val="0085523B"/>
    <w:rsid w:val="00866403"/>
    <w:rsid w:val="00867943"/>
    <w:rsid w:val="008818FB"/>
    <w:rsid w:val="00882573"/>
    <w:rsid w:val="008A4439"/>
    <w:rsid w:val="008B384B"/>
    <w:rsid w:val="00910391"/>
    <w:rsid w:val="00915831"/>
    <w:rsid w:val="009170C4"/>
    <w:rsid w:val="00921F61"/>
    <w:rsid w:val="0092768B"/>
    <w:rsid w:val="00940317"/>
    <w:rsid w:val="00962CE5"/>
    <w:rsid w:val="00966759"/>
    <w:rsid w:val="00966FC8"/>
    <w:rsid w:val="00971AC4"/>
    <w:rsid w:val="00974E2F"/>
    <w:rsid w:val="00983995"/>
    <w:rsid w:val="00986873"/>
    <w:rsid w:val="00995249"/>
    <w:rsid w:val="009A0CC5"/>
    <w:rsid w:val="009B6ED8"/>
    <w:rsid w:val="009D18ED"/>
    <w:rsid w:val="009D3FEB"/>
    <w:rsid w:val="009E064D"/>
    <w:rsid w:val="009E5946"/>
    <w:rsid w:val="009F47B9"/>
    <w:rsid w:val="00A042FE"/>
    <w:rsid w:val="00A23DCD"/>
    <w:rsid w:val="00A24B47"/>
    <w:rsid w:val="00A31501"/>
    <w:rsid w:val="00A326AE"/>
    <w:rsid w:val="00A41E35"/>
    <w:rsid w:val="00A633D0"/>
    <w:rsid w:val="00A738E8"/>
    <w:rsid w:val="00A80CC9"/>
    <w:rsid w:val="00A8178F"/>
    <w:rsid w:val="00A83448"/>
    <w:rsid w:val="00A86195"/>
    <w:rsid w:val="00AA38C5"/>
    <w:rsid w:val="00AB06CA"/>
    <w:rsid w:val="00AB76A6"/>
    <w:rsid w:val="00AC307D"/>
    <w:rsid w:val="00AC7ABE"/>
    <w:rsid w:val="00AD47D5"/>
    <w:rsid w:val="00AE4C26"/>
    <w:rsid w:val="00AE7F05"/>
    <w:rsid w:val="00B06A78"/>
    <w:rsid w:val="00B125C4"/>
    <w:rsid w:val="00B12FA2"/>
    <w:rsid w:val="00B13AB5"/>
    <w:rsid w:val="00B23CCD"/>
    <w:rsid w:val="00B2430D"/>
    <w:rsid w:val="00B327B0"/>
    <w:rsid w:val="00B32E9E"/>
    <w:rsid w:val="00B357DE"/>
    <w:rsid w:val="00B35BAC"/>
    <w:rsid w:val="00B35E5C"/>
    <w:rsid w:val="00B457A0"/>
    <w:rsid w:val="00B46068"/>
    <w:rsid w:val="00B634FA"/>
    <w:rsid w:val="00B77E1C"/>
    <w:rsid w:val="00B8095E"/>
    <w:rsid w:val="00B86DA5"/>
    <w:rsid w:val="00B95806"/>
    <w:rsid w:val="00BB27B2"/>
    <w:rsid w:val="00BB3B02"/>
    <w:rsid w:val="00BD7D3E"/>
    <w:rsid w:val="00BF6A7E"/>
    <w:rsid w:val="00C05C77"/>
    <w:rsid w:val="00C05DEC"/>
    <w:rsid w:val="00C06185"/>
    <w:rsid w:val="00C0725B"/>
    <w:rsid w:val="00C07E95"/>
    <w:rsid w:val="00C165B8"/>
    <w:rsid w:val="00C21EE7"/>
    <w:rsid w:val="00C30E31"/>
    <w:rsid w:val="00C340D8"/>
    <w:rsid w:val="00C52F69"/>
    <w:rsid w:val="00C64EAD"/>
    <w:rsid w:val="00C740B1"/>
    <w:rsid w:val="00C90C85"/>
    <w:rsid w:val="00C95DD4"/>
    <w:rsid w:val="00CB1A26"/>
    <w:rsid w:val="00CC267F"/>
    <w:rsid w:val="00CC4C5C"/>
    <w:rsid w:val="00CD3273"/>
    <w:rsid w:val="00CE25D3"/>
    <w:rsid w:val="00D22303"/>
    <w:rsid w:val="00D23D2A"/>
    <w:rsid w:val="00D47E93"/>
    <w:rsid w:val="00D676E2"/>
    <w:rsid w:val="00D7018D"/>
    <w:rsid w:val="00D8018B"/>
    <w:rsid w:val="00D85F99"/>
    <w:rsid w:val="00D91B34"/>
    <w:rsid w:val="00DB75EA"/>
    <w:rsid w:val="00DC1342"/>
    <w:rsid w:val="00DF3C2E"/>
    <w:rsid w:val="00E0262A"/>
    <w:rsid w:val="00E02826"/>
    <w:rsid w:val="00E040BD"/>
    <w:rsid w:val="00E12BFB"/>
    <w:rsid w:val="00E21141"/>
    <w:rsid w:val="00E329D2"/>
    <w:rsid w:val="00E3488F"/>
    <w:rsid w:val="00E359F7"/>
    <w:rsid w:val="00E41E33"/>
    <w:rsid w:val="00E510D4"/>
    <w:rsid w:val="00E52B9F"/>
    <w:rsid w:val="00E5653D"/>
    <w:rsid w:val="00E5724D"/>
    <w:rsid w:val="00E625B9"/>
    <w:rsid w:val="00E92EE2"/>
    <w:rsid w:val="00E97935"/>
    <w:rsid w:val="00EA2A5C"/>
    <w:rsid w:val="00EB2B8E"/>
    <w:rsid w:val="00EC2B28"/>
    <w:rsid w:val="00EE7D19"/>
    <w:rsid w:val="00EF518E"/>
    <w:rsid w:val="00EF5BB5"/>
    <w:rsid w:val="00EF6A3C"/>
    <w:rsid w:val="00F1007C"/>
    <w:rsid w:val="00F438A2"/>
    <w:rsid w:val="00F4430D"/>
    <w:rsid w:val="00F517D4"/>
    <w:rsid w:val="00F80E99"/>
    <w:rsid w:val="00F819AA"/>
    <w:rsid w:val="00F921CB"/>
    <w:rsid w:val="00FA50AD"/>
    <w:rsid w:val="00FB054F"/>
    <w:rsid w:val="00FB3A48"/>
    <w:rsid w:val="00FC08B6"/>
    <w:rsid w:val="00FE22B9"/>
    <w:rsid w:val="00FF078C"/>
    <w:rsid w:val="00FF7D60"/>
    <w:rsid w:val="2B2175F7"/>
    <w:rsid w:val="5908474A"/>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4"/>
      <w:szCs w:val="24"/>
      <w:lang w:val="en-US" w:eastAsia="zh-CN" w:bidi="ar-SA"/>
    </w:rPr>
  </w:style>
  <w:style w:type="character" w:default="1" w:styleId="4">
    <w:name w:val="Default Paragraph Font"/>
    <w:unhideWhenUsed/>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rPr>
  </w:style>
  <w:style w:type="paragraph" w:styleId="3">
    <w:name w:val="header"/>
    <w:basedOn w:val="1"/>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FollowedHyperlink"/>
    <w:basedOn w:val="4"/>
    <w:unhideWhenUsed/>
    <w:uiPriority w:val="99"/>
    <w:rPr>
      <w:color w:val="954F72" w:themeColor="followedHyperlink"/>
      <w:u w:val="single"/>
      <w14:textFill>
        <w14:solidFill>
          <w14:schemeClr w14:val="folHlink"/>
        </w14:solidFill>
      </w14:textFill>
    </w:rPr>
  </w:style>
  <w:style w:type="character" w:styleId="6">
    <w:name w:val="Hyperlink"/>
    <w:basedOn w:val="4"/>
    <w:unhideWhenUsed/>
    <w:uiPriority w:val="99"/>
    <w:rPr>
      <w:color w:val="0563C1" w:themeColor="hyperlink"/>
      <w:u w:val="single"/>
      <w14:textFill>
        <w14:solidFill>
          <w14:schemeClr w14:val="hlink"/>
        </w14:solidFill>
      </w14:textFill>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styleId="9">
    <w:name w:val="List Paragraph"/>
    <w:basedOn w:val="1"/>
    <w:qFormat/>
    <w:uiPriority w:val="34"/>
    <w:pPr>
      <w:widowControl w:val="0"/>
      <w:ind w:firstLine="420" w:firstLineChars="200"/>
      <w:jc w:val="both"/>
    </w:pPr>
    <w:rPr>
      <w:rFonts w:asciiTheme="minorHAnsi" w:hAnsiTheme="minorHAnsi" w:cstheme="minorBidi"/>
      <w:kern w:val="2"/>
    </w:rPr>
  </w:style>
  <w:style w:type="paragraph" w:customStyle="1" w:styleId="10">
    <w:name w:val="WPSOffice手动目录 1"/>
    <w:qFormat/>
    <w:uiPriority w:val="0"/>
    <w:pPr>
      <w:ind w:leftChars="0"/>
    </w:pPr>
    <w:rPr>
      <w:sz w:val="20"/>
      <w:szCs w:val="20"/>
    </w:rPr>
  </w:style>
  <w:style w:type="paragraph" w:customStyle="1" w:styleId="11">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289bf31-9358-43f6-94bd-ec609bf4e44a}"/>
        <w:style w:val=""/>
        <w:category>
          <w:name w:val="常规"/>
          <w:gallery w:val="placeholder"/>
        </w:category>
        <w:types>
          <w:type w:val="bbPlcHdr"/>
        </w:types>
        <w:behaviors>
          <w:behavior w:val="content"/>
        </w:behaviors>
        <w:description w:val=""/>
        <w:guid w:val="{e289bf31-9358-43f6-94bd-ec609bf4e44a}"/>
      </w:docPartPr>
      <w:docPartBody>
        <w:p>
          <w:r>
            <w:rPr>
              <w:color w:val="808080"/>
            </w:rPr>
            <w:t>单击此处输入文字。</w:t>
          </w:r>
        </w:p>
      </w:docPartBody>
    </w:docPart>
    <w:docPart>
      <w:docPartPr>
        <w:name w:val="{95f1c43c-718f-48ed-bf48-6f89ff80e4eb}"/>
        <w:style w:val=""/>
        <w:category>
          <w:name w:val="常规"/>
          <w:gallery w:val="placeholder"/>
        </w:category>
        <w:types>
          <w:type w:val="bbPlcHdr"/>
        </w:types>
        <w:behaviors>
          <w:behavior w:val="content"/>
        </w:behaviors>
        <w:description w:val=""/>
        <w:guid w:val="{95f1c43c-718f-48ed-bf48-6f89ff80e4eb}"/>
      </w:docPartPr>
      <w:docPartBody>
        <w:p>
          <w:r>
            <w:rPr>
              <w:color w:val="808080"/>
            </w:rPr>
            <w:t>单击此处输入文字。</w:t>
          </w:r>
        </w:p>
      </w:docPartBody>
    </w:docPart>
    <w:docPart>
      <w:docPartPr>
        <w:name w:val="{e89e5c35-fb75-4d75-b2a1-2421d791cdeb}"/>
        <w:style w:val=""/>
        <w:category>
          <w:name w:val="常规"/>
          <w:gallery w:val="placeholder"/>
        </w:category>
        <w:types>
          <w:type w:val="bbPlcHdr"/>
        </w:types>
        <w:behaviors>
          <w:behavior w:val="content"/>
        </w:behaviors>
        <w:description w:val=""/>
        <w:guid w:val="{e89e5c35-fb75-4d75-b2a1-2421d791cdeb}"/>
      </w:docPartPr>
      <w:docPartBody>
        <w:p>
          <w:r>
            <w:rPr>
              <w:color w:val="808080"/>
            </w:rPr>
            <w:t>单击此处输入文字。</w:t>
          </w:r>
        </w:p>
      </w:docPartBody>
    </w:docPart>
    <w:docPart>
      <w:docPartPr>
        <w:name w:val="{5e3f3796-f19e-4105-b8a0-63f309f0e083}"/>
        <w:style w:val=""/>
        <w:category>
          <w:name w:val="常规"/>
          <w:gallery w:val="placeholder"/>
        </w:category>
        <w:types>
          <w:type w:val="bbPlcHdr"/>
        </w:types>
        <w:behaviors>
          <w:behavior w:val="content"/>
        </w:behaviors>
        <w:description w:val=""/>
        <w:guid w:val="{5e3f3796-f19e-4105-b8a0-63f309f0e083}"/>
      </w:docPartPr>
      <w:docPartBody>
        <w:p>
          <w:r>
            <w:rPr>
              <w:color w:val="808080"/>
            </w:rPr>
            <w:t>单击此处输入文字。</w:t>
          </w:r>
        </w:p>
      </w:docPartBody>
    </w:docPart>
    <w:docPart>
      <w:docPartPr>
        <w:name w:val="{d334489d-b4b3-43e1-b225-84c5e2a26158}"/>
        <w:style w:val=""/>
        <w:category>
          <w:name w:val="常规"/>
          <w:gallery w:val="placeholder"/>
        </w:category>
        <w:types>
          <w:type w:val="bbPlcHdr"/>
        </w:types>
        <w:behaviors>
          <w:behavior w:val="content"/>
        </w:behaviors>
        <w:description w:val=""/>
        <w:guid w:val="{d334489d-b4b3-43e1-b225-84c5e2a26158}"/>
      </w:docPartPr>
      <w:docPartBody>
        <w:p>
          <w:r>
            <w:rPr>
              <w:color w:val="808080"/>
            </w:rPr>
            <w:t>单击此处输入文字。</w:t>
          </w:r>
        </w:p>
      </w:docPartBody>
    </w:docPart>
    <w:docPart>
      <w:docPartPr>
        <w:name w:val="{1c7ee2db-5ec9-43e4-a3be-9c30126c58d0}"/>
        <w:style w:val=""/>
        <w:category>
          <w:name w:val="常规"/>
          <w:gallery w:val="placeholder"/>
        </w:category>
        <w:types>
          <w:type w:val="bbPlcHdr"/>
        </w:types>
        <w:behaviors>
          <w:behavior w:val="content"/>
        </w:behaviors>
        <w:description w:val=""/>
        <w:guid w:val="{1c7ee2db-5ec9-43e4-a3be-9c30126c58d0}"/>
      </w:docPartPr>
      <w:docPartBody>
        <w:p>
          <w:r>
            <w:rPr>
              <w:color w:val="808080"/>
            </w:rPr>
            <w:t>单击此处输入文字。</w:t>
          </w:r>
        </w:p>
      </w:docPartBody>
    </w:docPart>
    <w:docPart>
      <w:docPartPr>
        <w:name w:val="{da4b9629-1d46-42eb-a903-d876e53b213a}"/>
        <w:style w:val=""/>
        <w:category>
          <w:name w:val="常规"/>
          <w:gallery w:val="placeholder"/>
        </w:category>
        <w:types>
          <w:type w:val="bbPlcHdr"/>
        </w:types>
        <w:behaviors>
          <w:behavior w:val="content"/>
        </w:behaviors>
        <w:description w:val=""/>
        <w:guid w:val="{da4b9629-1d46-42eb-a903-d876e53b213a}"/>
      </w:docPartPr>
      <w:docPartBody>
        <w:p>
          <w:r>
            <w:rPr>
              <w:color w:val="808080"/>
            </w:rPr>
            <w:t>单击此处输入文字。</w:t>
          </w:r>
        </w:p>
      </w:docPartBody>
    </w:docPart>
    <w:docPart>
      <w:docPartPr>
        <w:name w:val="{7088e1e8-3114-4385-b4df-082a30b0b4dc}"/>
        <w:style w:val=""/>
        <w:category>
          <w:name w:val="常规"/>
          <w:gallery w:val="placeholder"/>
        </w:category>
        <w:types>
          <w:type w:val="bbPlcHdr"/>
        </w:types>
        <w:behaviors>
          <w:behavior w:val="content"/>
        </w:behaviors>
        <w:description w:val=""/>
        <w:guid w:val="{7088e1e8-3114-4385-b4df-082a30b0b4dc}"/>
      </w:docPartPr>
      <w:docPartBody>
        <w:p>
          <w:r>
            <w:rPr>
              <w:color w:val="808080"/>
            </w:rPr>
            <w:t>单击此处输入文字。</w:t>
          </w:r>
        </w:p>
      </w:docPartBody>
    </w:docPart>
    <w:docPart>
      <w:docPartPr>
        <w:name w:val="{b6ab41d3-f113-4c1a-a641-a5d2d40d5435}"/>
        <w:style w:val=""/>
        <w:category>
          <w:name w:val="常规"/>
          <w:gallery w:val="placeholder"/>
        </w:category>
        <w:types>
          <w:type w:val="bbPlcHdr"/>
        </w:types>
        <w:behaviors>
          <w:behavior w:val="content"/>
        </w:behaviors>
        <w:description w:val=""/>
        <w:guid w:val="{b6ab41d3-f113-4c1a-a641-a5d2d40d5435}"/>
      </w:docPartPr>
      <w:docPartBody>
        <w:p>
          <w:r>
            <w:rPr>
              <w:color w:val="808080"/>
            </w:rPr>
            <w:t>单击此处输入文字。</w:t>
          </w:r>
        </w:p>
      </w:docPartBody>
    </w:docPart>
    <w:docPart>
      <w:docPartPr>
        <w:name w:val="{e7fa6c30-e486-42ce-bd94-fc275f86b2db}"/>
        <w:style w:val=""/>
        <w:category>
          <w:name w:val="常规"/>
          <w:gallery w:val="placeholder"/>
        </w:category>
        <w:types>
          <w:type w:val="bbPlcHdr"/>
        </w:types>
        <w:behaviors>
          <w:behavior w:val="content"/>
        </w:behaviors>
        <w:description w:val=""/>
        <w:guid w:val="{e7fa6c30-e486-42ce-bd94-fc275f86b2db}"/>
      </w:docPartPr>
      <w:docPartBody>
        <w:p>
          <w:r>
            <w:rPr>
              <w:color w:val="808080"/>
            </w:rPr>
            <w:t>单击此处输入文字。</w:t>
          </w:r>
        </w:p>
      </w:docPartBody>
    </w:docPart>
    <w:docPart>
      <w:docPartPr>
        <w:name w:val="{837a202d-ed5d-483c-8dcb-5a5ce91656d2}"/>
        <w:style w:val=""/>
        <w:category>
          <w:name w:val="常规"/>
          <w:gallery w:val="placeholder"/>
        </w:category>
        <w:types>
          <w:type w:val="bbPlcHdr"/>
        </w:types>
        <w:behaviors>
          <w:behavior w:val="content"/>
        </w:behaviors>
        <w:description w:val=""/>
        <w:guid w:val="{837a202d-ed5d-483c-8dcb-5a5ce91656d2}"/>
      </w:docPartPr>
      <w:docPartBody>
        <w:p>
          <w:r>
            <w:rPr>
              <w:color w:val="808080"/>
            </w:rPr>
            <w:t>单击此处输入文字。</w:t>
          </w:r>
        </w:p>
      </w:docPartBody>
    </w:docPart>
    <w:docPart>
      <w:docPartPr>
        <w:name w:val="{7ed55d80-ef16-4fab-9880-a9f5fe0fa69d}"/>
        <w:style w:val=""/>
        <w:category>
          <w:name w:val="常规"/>
          <w:gallery w:val="placeholder"/>
        </w:category>
        <w:types>
          <w:type w:val="bbPlcHdr"/>
        </w:types>
        <w:behaviors>
          <w:behavior w:val="content"/>
        </w:behaviors>
        <w:description w:val=""/>
        <w:guid w:val="{7ed55d80-ef16-4fab-9880-a9f5fe0fa69d}"/>
      </w:docPartPr>
      <w:docPartBody>
        <w:p>
          <w:r>
            <w:rPr>
              <w:color w:val="808080"/>
            </w:rPr>
            <w:t>单击此处输入文字。</w:t>
          </w:r>
        </w:p>
      </w:docPartBody>
    </w:docPart>
    <w:docPart>
      <w:docPartPr>
        <w:name w:val="{1a595db0-72bd-4f4e-8ab2-ad23586a3a11}"/>
        <w:style w:val=""/>
        <w:category>
          <w:name w:val="常规"/>
          <w:gallery w:val="placeholder"/>
        </w:category>
        <w:types>
          <w:type w:val="bbPlcHdr"/>
        </w:types>
        <w:behaviors>
          <w:behavior w:val="content"/>
        </w:behaviors>
        <w:description w:val=""/>
        <w:guid w:val="{1a595db0-72bd-4f4e-8ab2-ad23586a3a11}"/>
      </w:docPartPr>
      <w:docPartBody>
        <w:p>
          <w:r>
            <w:rPr>
              <w:color w:val="808080"/>
            </w:rPr>
            <w:t>单击此处输入文字。</w:t>
          </w:r>
        </w:p>
      </w:docPartBody>
    </w:docPart>
    <w:docPart>
      <w:docPartPr>
        <w:name w:val="{ce390a99-6a9a-48f2-aea4-2a3807bc3937}"/>
        <w:style w:val=""/>
        <w:category>
          <w:name w:val="常规"/>
          <w:gallery w:val="placeholder"/>
        </w:category>
        <w:types>
          <w:type w:val="bbPlcHdr"/>
        </w:types>
        <w:behaviors>
          <w:behavior w:val="content"/>
        </w:behaviors>
        <w:description w:val=""/>
        <w:guid w:val="{ce390a99-6a9a-48f2-aea4-2a3807bc393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2594</Words>
  <Characters>14786</Characters>
  <Lines>123</Lines>
  <Paragraphs>34</Paragraphs>
  <TotalTime>0</TotalTime>
  <ScaleCrop>false</ScaleCrop>
  <LinksUpToDate>false</LinksUpToDate>
  <CharactersWithSpaces>17346</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2017-12-10T20:53:00Z</dcterms:created>
  <dc:creator>Hengrun Lu (1704344)</dc:creator>
  <cp:lastModifiedBy>信仰</cp:lastModifiedBy>
  <dcterms:modified xsi:type="dcterms:W3CDTF">2018-01-12T11:19:48Z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