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742415" w14:textId="77777777" w:rsidR="00E34EF0" w:rsidRDefault="00000000">
      <w:pPr>
        <w:pStyle w:val="Heading1"/>
        <w:keepNext w:val="0"/>
        <w:keepLines w:val="0"/>
        <w:shd w:val="clear" w:color="auto" w:fill="FFFFFF"/>
        <w:spacing w:before="480" w:after="240" w:line="340" w:lineRule="auto"/>
        <w:rPr>
          <w:rFonts w:ascii="Roboto" w:eastAsia="Roboto" w:hAnsi="Roboto" w:cs="Roboto"/>
          <w:b/>
          <w:bCs/>
          <w:color w:val="0F1115"/>
          <w:sz w:val="36"/>
          <w:szCs w:val="36"/>
        </w:rPr>
      </w:pPr>
      <w:bookmarkStart w:id="0" w:name="_78wfsxr325" w:colFirst="0" w:colLast="0"/>
      <w:bookmarkEnd w:id="0"/>
      <w:r>
        <w:rPr>
          <w:rFonts w:ascii="Roboto" w:eastAsia="Roboto" w:hAnsi="Roboto" w:cs="Roboto"/>
          <w:b/>
          <w:bCs/>
          <w:color w:val="0F1115"/>
          <w:sz w:val="36"/>
          <w:szCs w:val="36"/>
        </w:rPr>
        <w:t>Report: An Examination and Analysis of Early Help System Communication on UK Local Authority Websites</w:t>
      </w:r>
    </w:p>
    <w:p w14:paraId="10993364" w14:textId="4393BA29" w:rsidR="00E34EF0" w:rsidRDefault="00000000">
      <w:pPr>
        <w:rPr>
          <w:rFonts w:ascii="Roboto" w:eastAsia="Roboto" w:hAnsi="Roboto" w:cs="Roboto"/>
          <w:color w:val="0F1115"/>
          <w:sz w:val="24"/>
          <w:szCs w:val="24"/>
          <w:highlight w:val="white"/>
        </w:rPr>
      </w:pPr>
      <w:r>
        <w:rPr>
          <w:rFonts w:ascii="Roboto" w:eastAsia="Roboto" w:hAnsi="Roboto" w:cs="Roboto"/>
          <w:color w:val="0F1115"/>
          <w:sz w:val="24"/>
          <w:szCs w:val="24"/>
          <w:highlight w:val="white"/>
        </w:rPr>
        <w:t>Student Name:</w:t>
      </w:r>
      <w:r w:rsidR="005A6F58">
        <w:rPr>
          <w:rFonts w:ascii="Roboto" w:eastAsia="Roboto" w:hAnsi="Roboto" w:cs="Roboto"/>
          <w:color w:val="0F1115"/>
          <w:sz w:val="24"/>
          <w:szCs w:val="24"/>
          <w:highlight w:val="white"/>
        </w:rPr>
        <w:t xml:space="preserve"> Salma Begum Lipi</w:t>
      </w:r>
    </w:p>
    <w:p w14:paraId="60553D2C" w14:textId="214872D2" w:rsidR="00E34EF0" w:rsidRDefault="00000000">
      <w:pPr>
        <w:rPr>
          <w:rFonts w:ascii="Roboto" w:eastAsia="Roboto" w:hAnsi="Roboto" w:cs="Roboto"/>
          <w:color w:val="0F1115"/>
          <w:sz w:val="24"/>
          <w:szCs w:val="24"/>
          <w:highlight w:val="white"/>
        </w:rPr>
      </w:pPr>
      <w:r>
        <w:rPr>
          <w:rFonts w:ascii="Roboto" w:eastAsia="Roboto" w:hAnsi="Roboto" w:cs="Roboto"/>
          <w:color w:val="0F1115"/>
          <w:sz w:val="24"/>
          <w:szCs w:val="24"/>
          <w:highlight w:val="white"/>
        </w:rPr>
        <w:t xml:space="preserve">Student ID: </w:t>
      </w:r>
      <w:r w:rsidR="005A6F58">
        <w:rPr>
          <w:rFonts w:ascii="Roboto" w:eastAsia="Roboto" w:hAnsi="Roboto" w:cs="Roboto"/>
          <w:color w:val="0F1115"/>
          <w:sz w:val="24"/>
          <w:szCs w:val="24"/>
          <w:highlight w:val="white"/>
        </w:rPr>
        <w:t>2328718</w:t>
      </w:r>
    </w:p>
    <w:p w14:paraId="4118A384" w14:textId="39BC5729" w:rsidR="00E34EF0" w:rsidRDefault="00000000">
      <w:pPr>
        <w:rPr>
          <w:rFonts w:ascii="Roboto" w:eastAsia="Roboto" w:hAnsi="Roboto" w:cs="Roboto"/>
          <w:color w:val="0F1115"/>
          <w:sz w:val="24"/>
          <w:szCs w:val="24"/>
          <w:highlight w:val="white"/>
        </w:rPr>
      </w:pPr>
      <w:r>
        <w:rPr>
          <w:rFonts w:ascii="Roboto" w:eastAsia="Roboto" w:hAnsi="Roboto" w:cs="Roboto"/>
          <w:color w:val="0F1115"/>
          <w:sz w:val="24"/>
          <w:szCs w:val="24"/>
          <w:highlight w:val="white"/>
        </w:rPr>
        <w:t>Module: BMHP5021 – Protecting and Supporting Families in Health and Car</w:t>
      </w:r>
      <w:r w:rsidR="005A6F58">
        <w:rPr>
          <w:rFonts w:ascii="Roboto" w:eastAsia="Roboto" w:hAnsi="Roboto" w:cs="Roboto"/>
          <w:color w:val="0F1115"/>
          <w:sz w:val="24"/>
          <w:szCs w:val="24"/>
          <w:highlight w:val="white"/>
        </w:rPr>
        <w:t>e</w:t>
      </w:r>
    </w:p>
    <w:p w14:paraId="0E20847D" w14:textId="395899A9" w:rsidR="005A6F58" w:rsidRDefault="005A6F58">
      <w:pPr>
        <w:rPr>
          <w:rFonts w:ascii="Roboto" w:eastAsia="Roboto" w:hAnsi="Roboto" w:cs="Roboto"/>
          <w:color w:val="0F1115"/>
          <w:sz w:val="24"/>
          <w:szCs w:val="24"/>
          <w:highlight w:val="white"/>
        </w:rPr>
      </w:pPr>
      <w:r>
        <w:rPr>
          <w:rFonts w:ascii="Roboto" w:eastAsia="Roboto" w:hAnsi="Roboto" w:cs="Roboto"/>
          <w:color w:val="0F1115"/>
          <w:sz w:val="24"/>
          <w:szCs w:val="24"/>
          <w:highlight w:val="white"/>
        </w:rPr>
        <w:t>Lecturer Name: Amanda Jones</w:t>
      </w:r>
    </w:p>
    <w:p w14:paraId="6945D352" w14:textId="77777777" w:rsidR="00E34EF0" w:rsidRDefault="00000000">
      <w:pPr>
        <w:rPr>
          <w:rFonts w:ascii="Roboto" w:eastAsia="Roboto" w:hAnsi="Roboto" w:cs="Roboto"/>
          <w:color w:val="0F1115"/>
          <w:sz w:val="24"/>
          <w:szCs w:val="24"/>
          <w:highlight w:val="white"/>
        </w:rPr>
      </w:pPr>
      <w:r>
        <w:br w:type="page"/>
      </w:r>
    </w:p>
    <w:p w14:paraId="36C8DEDC" w14:textId="77777777" w:rsidR="00E34EF0" w:rsidRDefault="00000000">
      <w:pPr>
        <w:rPr>
          <w:rFonts w:ascii="Comic Sans MS" w:eastAsia="Comic Sans MS" w:hAnsi="Comic Sans MS" w:cs="Comic Sans MS"/>
          <w:b/>
          <w:bCs/>
          <w:color w:val="0F1115"/>
          <w:sz w:val="40"/>
          <w:szCs w:val="40"/>
          <w:highlight w:val="white"/>
        </w:rPr>
      </w:pPr>
      <w:r>
        <w:rPr>
          <w:rFonts w:ascii="Comic Sans MS" w:eastAsia="Comic Sans MS" w:hAnsi="Comic Sans MS" w:cs="Comic Sans MS"/>
          <w:b/>
          <w:bCs/>
          <w:color w:val="0F1115"/>
          <w:sz w:val="40"/>
          <w:szCs w:val="40"/>
          <w:highlight w:val="white"/>
        </w:rPr>
        <w:lastRenderedPageBreak/>
        <w:t>Introduction</w:t>
      </w:r>
    </w:p>
    <w:p w14:paraId="531A713E" w14:textId="77777777" w:rsidR="00E34EF0" w:rsidRDefault="00000000">
      <w:pPr>
        <w:rPr>
          <w:color w:val="0F1115"/>
          <w:highlight w:val="white"/>
        </w:rPr>
      </w:pPr>
      <w:r>
        <w:rPr>
          <w:color w:val="0F1115"/>
          <w:highlight w:val="white"/>
        </w:rPr>
        <w:t xml:space="preserve">A key element of the UK's statutory safeguarding framework, the Early Help system works within a complicated legal framework that requires families and children to get preventative care. The Children Act of 1989, which establishes the principle that local authorities have a duty to protect and promote the welfare of children in need within their area (s.17) and, where possible, to provide support to prevent family breakdown, is where this legal foundation starts (Department of Health, 1991). By establishing Local Safeguarding Children Boards (LSCBs), which have since been renamed Safeguarding Partners in accordance with the Working Together guidelines, the Children Act of 2004 further strengthened this preventative obligation and established the legislative framework for multi-agency collaboration (Department for Education, 2023a). Local authority (LA) websites are the main platforms used in the digital age to operationalize and convey these statutory tasks to the general public. Therefore, their ability to effectively communicate information about Early Help is not just a question of good practice but also a part of meeting legal requirements of public information, transparency, and accessibility. In light of this legislative framework, this paper investigates and evaluates the ways in which information about Early Help is communicated on three LA websites: Tower Hamlets Council, Norfolk County Council, and Staffordshire County Council. In order to determine which platform best enables families to obtain the support they are entitled </w:t>
      </w:r>
      <w:proofErr w:type="gramStart"/>
      <w:r>
        <w:rPr>
          <w:color w:val="0F1115"/>
          <w:highlight w:val="white"/>
        </w:rPr>
        <w:t>to,</w:t>
      </w:r>
      <w:proofErr w:type="gramEnd"/>
      <w:r>
        <w:rPr>
          <w:color w:val="0F1115"/>
          <w:highlight w:val="white"/>
        </w:rPr>
        <w:t xml:space="preserve"> the analysis assesses how well each website converts complicated legal obligations and legislative guidelines into easily available public information.</w:t>
      </w:r>
    </w:p>
    <w:p w14:paraId="387730C4" w14:textId="77777777" w:rsidR="00E34EF0" w:rsidRDefault="00E34EF0">
      <w:pPr>
        <w:rPr>
          <w:color w:val="0F1115"/>
          <w:sz w:val="24"/>
          <w:szCs w:val="24"/>
          <w:highlight w:val="white"/>
        </w:rPr>
      </w:pPr>
    </w:p>
    <w:p w14:paraId="4F968F7E" w14:textId="77777777" w:rsidR="00E34EF0" w:rsidRDefault="00E34EF0">
      <w:pPr>
        <w:rPr>
          <w:color w:val="0F1115"/>
          <w:sz w:val="24"/>
          <w:szCs w:val="24"/>
          <w:highlight w:val="white"/>
        </w:rPr>
      </w:pPr>
    </w:p>
    <w:p w14:paraId="5E0BA8C4" w14:textId="77777777" w:rsidR="00E34EF0" w:rsidRDefault="00000000">
      <w:pPr>
        <w:pStyle w:val="Heading2"/>
        <w:keepNext w:val="0"/>
        <w:keepLines w:val="0"/>
        <w:shd w:val="clear" w:color="auto" w:fill="FFFFFF"/>
        <w:spacing w:before="480" w:after="240" w:line="349" w:lineRule="auto"/>
        <w:rPr>
          <w:rFonts w:ascii="Comic Sans MS" w:eastAsia="Comic Sans MS" w:hAnsi="Comic Sans MS" w:cs="Comic Sans MS"/>
          <w:b/>
          <w:bCs/>
          <w:color w:val="0F1115"/>
          <w:sz w:val="40"/>
          <w:szCs w:val="40"/>
        </w:rPr>
      </w:pPr>
      <w:bookmarkStart w:id="1" w:name="_vvcvwf24be6w" w:colFirst="0" w:colLast="0"/>
      <w:bookmarkEnd w:id="1"/>
      <w:r>
        <w:rPr>
          <w:rFonts w:ascii="Comic Sans MS" w:eastAsia="Comic Sans MS" w:hAnsi="Comic Sans MS" w:cs="Comic Sans MS"/>
          <w:b/>
          <w:bCs/>
          <w:color w:val="0F1115"/>
          <w:sz w:val="40"/>
          <w:szCs w:val="40"/>
        </w:rPr>
        <w:t>2. Explanation of the Early Help System and its legislative basis</w:t>
      </w:r>
    </w:p>
    <w:p w14:paraId="005658CC" w14:textId="77777777" w:rsidR="00E34EF0" w:rsidRDefault="00000000">
      <w:r>
        <w:t>Early Help is the term for putting preventative duties into action under child welfare regulations. The Children Act 1989, Section 17, defines a "child in need" and requires local authorities to provide services to help them grow up in families. This is the basic legal basis for the law (HM Government, 1989). Even though Section 17 replies often have to do with Level 3 (Child in Need) interventions, the whole Early Help continuum is based on a preventative mindset. The Children and Families Act of 2014 further solidified this by stressing the need for integrated assistance for children with special educational needs, which often requires early intervention, and by introducing Education, Health, and Care Plans (EHCPs) (Department for Education, 2014).</w:t>
      </w:r>
    </w:p>
    <w:p w14:paraId="0B994BAD" w14:textId="77777777" w:rsidR="00E34EF0" w:rsidRDefault="00E34EF0"/>
    <w:p w14:paraId="12F8DCDB" w14:textId="77777777" w:rsidR="00E34EF0" w:rsidRDefault="00000000">
      <w:r>
        <w:t xml:space="preserve">Working Together to Safeguard Children (Department for Education, 2023a) is a set of rules that provides the system a real shape. This paper, which was published in accordance with Section 16 of the Children Act 2004, says that police departments, clinical commissioning groups (CCGs), and local governments must work together as Safeguarding Partners to protect and improve the well-being of all children. Finding and offering Early Help services is </w:t>
      </w:r>
      <w:r>
        <w:lastRenderedPageBreak/>
        <w:t>the most crucial part of this. The recommendations make it apparent that "providing early help is more effective in promoting the welfare of children than reacting later" (p. 15). This turns a moral obligation into a legal one.</w:t>
      </w:r>
    </w:p>
    <w:p w14:paraId="703D7777" w14:textId="77777777" w:rsidR="00E34EF0" w:rsidRDefault="00E34EF0"/>
    <w:p w14:paraId="011D10D9" w14:textId="77777777" w:rsidR="00E34EF0" w:rsidRDefault="00E34EF0"/>
    <w:p w14:paraId="531C1365" w14:textId="77777777" w:rsidR="00E34EF0" w:rsidRDefault="00000000">
      <w:r>
        <w:t>Under the Public Sector Equality Duty (s.149) of the Equality Act 2010, LAs must also think carefully about how to get rid of bias, promote equal opportunity, and build positive relationships. This means that people with protected qualities like ethnicity, religion, and disability must be able to get Early Help information. To meet the duty to prevent and possibly avoid more forceful actions under Section 47 of the Children Act 1989 (child protection inquiries) or Section 31 (care proceedings), the tiered model, as shown in the Threshold of Need (see Image 1), puts this law into action.</w:t>
      </w:r>
    </w:p>
    <w:p w14:paraId="7720FD3B" w14:textId="77777777" w:rsidR="00E34EF0" w:rsidRDefault="00E34EF0"/>
    <w:p w14:paraId="479FA92F" w14:textId="77777777" w:rsidR="00E34EF0" w:rsidRDefault="00000000">
      <w:pPr>
        <w:pStyle w:val="Heading2"/>
        <w:keepNext w:val="0"/>
        <w:keepLines w:val="0"/>
        <w:shd w:val="clear" w:color="auto" w:fill="FFFFFF"/>
        <w:spacing w:before="480" w:after="240" w:line="349" w:lineRule="auto"/>
        <w:rPr>
          <w:rFonts w:ascii="Comic Sans MS" w:eastAsia="Comic Sans MS" w:hAnsi="Comic Sans MS" w:cs="Comic Sans MS"/>
          <w:b/>
          <w:bCs/>
          <w:color w:val="0F1115"/>
          <w:sz w:val="33"/>
          <w:szCs w:val="33"/>
        </w:rPr>
      </w:pPr>
      <w:bookmarkStart w:id="2" w:name="_gjxsh8fu1a4n" w:colFirst="0" w:colLast="0"/>
      <w:bookmarkEnd w:id="2"/>
      <w:r>
        <w:rPr>
          <w:rFonts w:ascii="Comic Sans MS" w:eastAsia="Comic Sans MS" w:hAnsi="Comic Sans MS" w:cs="Comic Sans MS"/>
          <w:b/>
          <w:bCs/>
          <w:color w:val="0F1115"/>
          <w:sz w:val="33"/>
          <w:szCs w:val="33"/>
        </w:rPr>
        <w:t>3. Explanation of Multi-Agency Working: Legislative Drivers</w:t>
      </w:r>
    </w:p>
    <w:p w14:paraId="532A4784" w14:textId="77777777" w:rsidR="00E34EF0" w:rsidRDefault="00000000">
      <w:r>
        <w:t>Working with other agencies is not simply a beneficial idea; it is required by law. The Children Act 2004, which was passed in response to the Victoria Climbié report to resolve terrible communication problems between agencies, is the key reason (Laming, 2003). Section 10 of this act says that important groups, like local governments, health organizations, and the police, must cooperate to improve children's well-being, which is defined by the five Every Child Matters outcomes. Section 11 imposes an additional duty on some agencies to make sure that their duties are carried out to protect and promote the welfare of children.</w:t>
      </w:r>
    </w:p>
    <w:p w14:paraId="18066BD2" w14:textId="77777777" w:rsidR="00E34EF0" w:rsidRDefault="00E34EF0"/>
    <w:p w14:paraId="49631B19" w14:textId="77777777" w:rsidR="00E34EF0" w:rsidRDefault="00000000">
      <w:r>
        <w:t>The Working Together guidelines (2023a) confer on these duties the power to act. The guidance says that Safeguarding Partners must publish a strategic plan that explains how early aid will be given in order to show clear accountability. Information sharing, which is the main part of working together with several agencies, is subject to tight restrictions that balance the need to exchange information to safeguard children with the Data Protection Act of 2018 and the UK General Data Protection Regulation (GDPR). According to the rules, a "public task" or "vital interest" basis doesn't always require approval (Department for Education, 2023a, p. 27). The Children and Families Act of 2014 also says that children with SEND must be jointly commissioned. The Crime and Disorder Act of 1998 set up Youth Offending Teams (YOTs) as a legal way for different agencies to work together. These overlapping legal duties make it vital for Early Help programs to have coordinated communication.</w:t>
      </w:r>
    </w:p>
    <w:p w14:paraId="7A1376AE" w14:textId="77777777" w:rsidR="00E34EF0" w:rsidRDefault="00E34EF0"/>
    <w:p w14:paraId="57BCE0EE" w14:textId="77777777" w:rsidR="00E34EF0" w:rsidRDefault="00E34EF0"/>
    <w:p w14:paraId="040DDDB6" w14:textId="77777777" w:rsidR="00E34EF0" w:rsidRDefault="00000000">
      <w:pPr>
        <w:pStyle w:val="Heading2"/>
        <w:keepNext w:val="0"/>
        <w:keepLines w:val="0"/>
        <w:shd w:val="clear" w:color="auto" w:fill="FFFFFF"/>
        <w:spacing w:before="480" w:after="240" w:line="349" w:lineRule="auto"/>
        <w:rPr>
          <w:rFonts w:ascii="Comic Sans MS" w:eastAsia="Comic Sans MS" w:hAnsi="Comic Sans MS" w:cs="Comic Sans MS"/>
          <w:b/>
          <w:bCs/>
          <w:color w:val="0F1115"/>
          <w:sz w:val="40"/>
          <w:szCs w:val="40"/>
        </w:rPr>
      </w:pPr>
      <w:bookmarkStart w:id="3" w:name="_4jgvp053nwo1" w:colFirst="0" w:colLast="0"/>
      <w:bookmarkEnd w:id="3"/>
      <w:r>
        <w:rPr>
          <w:rFonts w:ascii="Comic Sans MS" w:eastAsia="Comic Sans MS" w:hAnsi="Comic Sans MS" w:cs="Comic Sans MS"/>
          <w:b/>
          <w:bCs/>
          <w:color w:val="0F1115"/>
          <w:sz w:val="40"/>
          <w:szCs w:val="40"/>
        </w:rPr>
        <w:lastRenderedPageBreak/>
        <w:t>4. Evaluation of Local Authority Websites: Legislative Translation</w:t>
      </w:r>
    </w:p>
    <w:p w14:paraId="22FF3B07" w14:textId="77777777" w:rsidR="00E34EF0" w:rsidRDefault="00000000">
      <w:pPr>
        <w:pStyle w:val="Heading3"/>
        <w:keepNext w:val="0"/>
        <w:keepLines w:val="0"/>
        <w:shd w:val="clear" w:color="auto" w:fill="FFFFFF"/>
        <w:spacing w:before="480" w:after="240" w:line="360" w:lineRule="auto"/>
        <w:rPr>
          <w:rFonts w:ascii="Comic Sans MS" w:eastAsia="Comic Sans MS" w:hAnsi="Comic Sans MS" w:cs="Comic Sans MS"/>
          <w:b/>
          <w:bCs/>
          <w:color w:val="0F1115"/>
          <w:sz w:val="30"/>
          <w:szCs w:val="30"/>
        </w:rPr>
      </w:pPr>
      <w:bookmarkStart w:id="4" w:name="_s6y9s59053j8" w:colFirst="0" w:colLast="0"/>
      <w:bookmarkEnd w:id="4"/>
      <w:r>
        <w:rPr>
          <w:rFonts w:ascii="Comic Sans MS" w:eastAsia="Comic Sans MS" w:hAnsi="Comic Sans MS" w:cs="Comic Sans MS"/>
          <w:b/>
          <w:bCs/>
          <w:color w:val="0F1115"/>
          <w:sz w:val="30"/>
          <w:szCs w:val="30"/>
        </w:rPr>
        <w:t>4.1 Tower Hamlets Council</w:t>
      </w:r>
    </w:p>
    <w:p w14:paraId="34883FF4" w14:textId="77777777" w:rsidR="00E34EF0" w:rsidRDefault="00000000">
      <w:r>
        <w:t>Tower Hamlets Council's website does a good job of showing that it follows the law by being open and honest.</w:t>
      </w:r>
    </w:p>
    <w:p w14:paraId="6A0A4742" w14:textId="77777777" w:rsidR="00E34EF0" w:rsidRDefault="00E34EF0"/>
    <w:p w14:paraId="275CA417" w14:textId="77777777" w:rsidR="00E34EF0" w:rsidRDefault="00000000">
      <w:pPr>
        <w:numPr>
          <w:ilvl w:val="0"/>
          <w:numId w:val="11"/>
        </w:numPr>
      </w:pPr>
      <w:r>
        <w:t>Explicit Reference to Statutory Duties: The Early Help section makes it clear that local services are based on national law by mentioning the Children Act 1989 and linking to the local Threshold of Need document (Tower Hamlets Council, 2025a). This tells people what their rights are and what the council's duties are.</w:t>
      </w:r>
    </w:p>
    <w:p w14:paraId="280FDC86" w14:textId="77777777" w:rsidR="00E34EF0" w:rsidRDefault="00E34EF0"/>
    <w:p w14:paraId="038BD62D" w14:textId="77777777" w:rsidR="00E34EF0" w:rsidRDefault="00000000">
      <w:pPr>
        <w:numPr>
          <w:ilvl w:val="0"/>
          <w:numId w:val="4"/>
        </w:numPr>
      </w:pPr>
      <w:r>
        <w:t>Making it work Section 17: The Early Help Assessment (EHA) process description shows that it is in line with practice by clearly following a Section 17 assessment framework and explaining how all of a person's requirements are looked at.</w:t>
      </w:r>
    </w:p>
    <w:p w14:paraId="26A4397E" w14:textId="77777777" w:rsidR="00E34EF0" w:rsidRDefault="00E34EF0"/>
    <w:p w14:paraId="053E52A5" w14:textId="77777777" w:rsidR="00E34EF0" w:rsidRDefault="00000000">
      <w:pPr>
        <w:numPr>
          <w:ilvl w:val="0"/>
          <w:numId w:val="5"/>
        </w:numPr>
      </w:pPr>
      <w:r>
        <w:t>The website offers a "</w:t>
      </w:r>
      <w:proofErr w:type="spellStart"/>
      <w:r>
        <w:t>BrowseAloud</w:t>
      </w:r>
      <w:proofErr w:type="spellEnd"/>
      <w:r>
        <w:t>" tool and says that items can be made available in various forms. This shows that it meets the Equality Act 2010's standards for making things accessible to people with disabilities.</w:t>
      </w:r>
    </w:p>
    <w:p w14:paraId="42F53C70" w14:textId="77777777" w:rsidR="00E34EF0" w:rsidRDefault="00E34EF0"/>
    <w:p w14:paraId="551C6CE1" w14:textId="77777777" w:rsidR="00E34EF0" w:rsidRDefault="00000000">
      <w:pPr>
        <w:numPr>
          <w:ilvl w:val="0"/>
          <w:numId w:val="1"/>
        </w:numPr>
      </w:pPr>
      <w:r>
        <w:t>Multi-Agency obligation Transparency: The website shows how it follows Sections 10 and 11 of the Children Act 2004 by naming specific partner agencies (health, police, and schools) and showing how the obligation to work together is carried out in the area.</w:t>
      </w:r>
    </w:p>
    <w:p w14:paraId="3E89C58F" w14:textId="77777777" w:rsidR="00E34EF0" w:rsidRDefault="00E34EF0"/>
    <w:p w14:paraId="466CE646" w14:textId="77777777" w:rsidR="00E34EF0" w:rsidRDefault="00000000">
      <w:r>
        <w:t>Legislative Communication Gap: The Housing Act of 1996 and the Welfare Reform Act of 2012 are two examples of laws that affect families and set key "family and environmental factors." However, there is a less clear link to child welfare law. Direct referrals to information on these legal rights would make the full offer stronger.</w:t>
      </w:r>
    </w:p>
    <w:p w14:paraId="5ACAF7C6" w14:textId="77777777" w:rsidR="00E34EF0" w:rsidRDefault="00E34EF0"/>
    <w:p w14:paraId="379059CC" w14:textId="77777777" w:rsidR="00E34EF0" w:rsidRDefault="00000000">
      <w:r>
        <w:br w:type="page"/>
      </w:r>
    </w:p>
    <w:p w14:paraId="37D1AC0B" w14:textId="77777777" w:rsidR="00E34EF0" w:rsidRDefault="00000000">
      <w:pPr>
        <w:pStyle w:val="Heading3"/>
        <w:keepNext w:val="0"/>
        <w:keepLines w:val="0"/>
        <w:shd w:val="clear" w:color="auto" w:fill="FFFFFF"/>
        <w:spacing w:before="480" w:after="240" w:line="360" w:lineRule="auto"/>
        <w:rPr>
          <w:rFonts w:ascii="Comic Sans MS" w:eastAsia="Comic Sans MS" w:hAnsi="Comic Sans MS" w:cs="Comic Sans MS"/>
          <w:b/>
          <w:bCs/>
          <w:color w:val="0F1115"/>
          <w:sz w:val="30"/>
          <w:szCs w:val="30"/>
        </w:rPr>
      </w:pPr>
      <w:bookmarkStart w:id="5" w:name="_nvruseybfi8b" w:colFirst="0" w:colLast="0"/>
      <w:bookmarkEnd w:id="5"/>
      <w:r>
        <w:rPr>
          <w:rFonts w:ascii="Comic Sans MS" w:eastAsia="Comic Sans MS" w:hAnsi="Comic Sans MS" w:cs="Comic Sans MS"/>
          <w:b/>
          <w:bCs/>
          <w:color w:val="0F1115"/>
          <w:sz w:val="30"/>
          <w:szCs w:val="30"/>
        </w:rPr>
        <w:lastRenderedPageBreak/>
        <w:t>4.2 Norfolk County Council</w:t>
      </w:r>
    </w:p>
    <w:p w14:paraId="01C20009" w14:textId="77777777" w:rsidR="00E34EF0" w:rsidRDefault="00000000">
      <w:r>
        <w:t>The Norfolk website does an impressive job of turning legislative concepts into solutions that help regular people.</w:t>
      </w:r>
    </w:p>
    <w:p w14:paraId="0A880B2D" w14:textId="77777777" w:rsidR="00E34EF0" w:rsidRDefault="00E34EF0"/>
    <w:p w14:paraId="20216FC7" w14:textId="77777777" w:rsidR="00E34EF0" w:rsidRDefault="00000000">
      <w:pPr>
        <w:numPr>
          <w:ilvl w:val="0"/>
          <w:numId w:val="9"/>
        </w:numPr>
      </w:pPr>
      <w:r>
        <w:t>The "Family Early Help Assessment" form, available for download, serves as an excellent illustration of co-production. It goes from being a legal requirement to a public tool. By letting families have a say in the process, it puts the legal necessity for an assessment (Children Act 1989, s.17) into effect, which could lead to better and more involved assessments.</w:t>
      </w:r>
    </w:p>
    <w:p w14:paraId="3DC9F921" w14:textId="77777777" w:rsidR="00E34EF0" w:rsidRDefault="00E34EF0"/>
    <w:p w14:paraId="08673B66" w14:textId="77777777" w:rsidR="00E34EF0" w:rsidRDefault="00000000">
      <w:pPr>
        <w:numPr>
          <w:ilvl w:val="0"/>
          <w:numId w:val="8"/>
        </w:numPr>
      </w:pPr>
      <w:r>
        <w:t>Comprehensive Legal Signposting: The resource site has clear links to services that are supported by specific laws, such as mental health help (Mental Health Act 2007), domestic abuse help (Domestic Abuse Act 2021), and SEND help (Children and Families Act 2014). This puts Early Help in the context of a bigger system for helping people with legal issues.</w:t>
      </w:r>
    </w:p>
    <w:p w14:paraId="7B5E7019" w14:textId="77777777" w:rsidR="00E34EF0" w:rsidRDefault="00E34EF0"/>
    <w:p w14:paraId="70FF6A30" w14:textId="77777777" w:rsidR="00E34EF0" w:rsidRDefault="00000000">
      <w:pPr>
        <w:numPr>
          <w:ilvl w:val="0"/>
          <w:numId w:val="6"/>
        </w:numPr>
      </w:pPr>
      <w:r>
        <w:t>Showing Strategic Compliance: The local "Early Help Strategy" was published online in response to the Working Together (2023a) requirement that Safeguarding Partners make their plans public. This showed strategic compliance and openness.</w:t>
      </w:r>
    </w:p>
    <w:p w14:paraId="11999E10" w14:textId="77777777" w:rsidR="00E34EF0" w:rsidRDefault="00E34EF0"/>
    <w:p w14:paraId="4D519192" w14:textId="77777777" w:rsidR="00E34EF0" w:rsidRDefault="00000000">
      <w:pPr>
        <w:numPr>
          <w:ilvl w:val="0"/>
          <w:numId w:val="10"/>
        </w:numPr>
      </w:pPr>
      <w:r>
        <w:t>Information Sharing Clarity: The website makes it obvious how the Data Protection Act of 2018 and safeguarding duties work together in a complicated way. This helps professionals follow local rules for sharing information and supports legal multi-agency practice.</w:t>
      </w:r>
    </w:p>
    <w:p w14:paraId="4D4A6C00" w14:textId="77777777" w:rsidR="00E34EF0" w:rsidRDefault="00E34EF0"/>
    <w:p w14:paraId="3B1E0D4C" w14:textId="77777777" w:rsidR="00E34EF0" w:rsidRDefault="00000000">
      <w:r>
        <w:t>Legislative Communication Gap: The website's primary landing page might do a better job of explaining the public law basis for Early Help. A simple comment like "Early Help is part of our duty under the Children Act 1989 to support families early" would give inquiring readers immediate legal context.</w:t>
      </w:r>
    </w:p>
    <w:p w14:paraId="0AF0F986" w14:textId="77777777" w:rsidR="00E34EF0" w:rsidRDefault="00E34EF0"/>
    <w:p w14:paraId="59A14625" w14:textId="77777777" w:rsidR="00E34EF0" w:rsidRDefault="00000000">
      <w:pPr>
        <w:pStyle w:val="Heading3"/>
        <w:keepNext w:val="0"/>
        <w:keepLines w:val="0"/>
        <w:shd w:val="clear" w:color="auto" w:fill="FFFFFF"/>
        <w:spacing w:before="480" w:after="240" w:line="360" w:lineRule="auto"/>
        <w:rPr>
          <w:rFonts w:ascii="Comic Sans MS" w:eastAsia="Comic Sans MS" w:hAnsi="Comic Sans MS" w:cs="Comic Sans MS"/>
          <w:b/>
          <w:bCs/>
          <w:color w:val="0F1115"/>
          <w:sz w:val="30"/>
          <w:szCs w:val="30"/>
        </w:rPr>
      </w:pPr>
      <w:bookmarkStart w:id="6" w:name="_h0pqf8x7lom" w:colFirst="0" w:colLast="0"/>
      <w:bookmarkEnd w:id="6"/>
      <w:r>
        <w:rPr>
          <w:rFonts w:ascii="Comic Sans MS" w:eastAsia="Comic Sans MS" w:hAnsi="Comic Sans MS" w:cs="Comic Sans MS"/>
          <w:b/>
          <w:bCs/>
          <w:color w:val="0F1115"/>
          <w:sz w:val="30"/>
          <w:szCs w:val="30"/>
        </w:rPr>
        <w:t>4.3 Staffordshire County Council</w:t>
      </w:r>
    </w:p>
    <w:p w14:paraId="1B0CE9B0" w14:textId="77777777" w:rsidR="00E34EF0" w:rsidRDefault="00000000">
      <w:r>
        <w:t>The Staffordshire website uses a more formal style of communication that refers to the law.</w:t>
      </w:r>
    </w:p>
    <w:p w14:paraId="596DBC29" w14:textId="77777777" w:rsidR="00E34EF0" w:rsidRDefault="00E34EF0"/>
    <w:p w14:paraId="61D845B6" w14:textId="77777777" w:rsidR="00E34EF0" w:rsidRDefault="00000000">
      <w:pPr>
        <w:numPr>
          <w:ilvl w:val="0"/>
          <w:numId w:val="2"/>
        </w:numPr>
      </w:pPr>
      <w:r>
        <w:t>Direct Statutory Citation: The Early Help pages often and directly cite the Working Together (2023a) statutory guideline, making it clear what the policy is. This gives the impression of authority and following the law (Staffordshire County Council, 2025).</w:t>
      </w:r>
    </w:p>
    <w:p w14:paraId="40F748A2" w14:textId="77777777" w:rsidR="00E34EF0" w:rsidRDefault="00E34EF0"/>
    <w:p w14:paraId="69AA4FCE" w14:textId="77777777" w:rsidR="00E34EF0" w:rsidRDefault="00E34EF0"/>
    <w:p w14:paraId="45C493B0" w14:textId="77777777" w:rsidR="00E34EF0" w:rsidRDefault="00000000">
      <w:pPr>
        <w:numPr>
          <w:ilvl w:val="0"/>
          <w:numId w:val="7"/>
        </w:numPr>
      </w:pPr>
      <w:r>
        <w:t xml:space="preserve">Procedural Rigor in Accordance with Legal Frameworks: The detailed explanation of processes, from identification to Team Around the Family (TAF) meetings, shows how important it is to follow the rules to make sure that interventions are legal and </w:t>
      </w:r>
      <w:r>
        <w:lastRenderedPageBreak/>
        <w:t>protect family rights under the Human Rights Act 1998 (especially Article 8: Right to Family Life).</w:t>
      </w:r>
    </w:p>
    <w:p w14:paraId="21629876" w14:textId="77777777" w:rsidR="00E34EF0" w:rsidRDefault="00E34EF0"/>
    <w:p w14:paraId="5E7FB252" w14:textId="77777777" w:rsidR="00E34EF0" w:rsidRDefault="00000000">
      <w:pPr>
        <w:numPr>
          <w:ilvl w:val="0"/>
          <w:numId w:val="3"/>
        </w:numPr>
      </w:pPr>
      <w:r>
        <w:t>By placing Early Help in the "Safeguarding Children" section, the site clearly links it to the responsibilities of the Children Act 2004 and emphasizes that preventing problems is an important part of keeping children safe.</w:t>
      </w:r>
    </w:p>
    <w:p w14:paraId="63E8CA41" w14:textId="77777777" w:rsidR="00E34EF0" w:rsidRDefault="00E34EF0"/>
    <w:p w14:paraId="74A410FA" w14:textId="77777777" w:rsidR="00E34EF0" w:rsidRDefault="00000000">
      <w:r>
        <w:t xml:space="preserve">Legislative Communication Gap: The official, legal tone may make families feel distant. There is a chance to change "duty" to "offer." The language </w:t>
      </w:r>
      <w:proofErr w:type="spellStart"/>
      <w:r>
        <w:t>centers</w:t>
      </w:r>
      <w:proofErr w:type="spellEnd"/>
      <w:r>
        <w:t xml:space="preserve"> on what the authority must do, rather than what the family is entitled to receive, which is a more empowering framing of the same legislation. Also, there isn't much talk about how data protection law makes it possible to share information for safety, rather than just making it harder.</w:t>
      </w:r>
    </w:p>
    <w:p w14:paraId="552C4034" w14:textId="77777777" w:rsidR="00E34EF0" w:rsidRDefault="00E34EF0"/>
    <w:p w14:paraId="1DA7EE9F" w14:textId="77777777" w:rsidR="00E34EF0" w:rsidRDefault="00E34EF0"/>
    <w:p w14:paraId="4E7A1A89" w14:textId="77777777" w:rsidR="00E34EF0" w:rsidRDefault="00000000">
      <w:pPr>
        <w:pStyle w:val="Heading2"/>
        <w:keepNext w:val="0"/>
        <w:keepLines w:val="0"/>
        <w:shd w:val="clear" w:color="auto" w:fill="FFFFFF"/>
        <w:spacing w:before="480" w:after="240" w:line="349" w:lineRule="auto"/>
        <w:rPr>
          <w:rFonts w:ascii="Comic Sans MS" w:eastAsia="Comic Sans MS" w:hAnsi="Comic Sans MS" w:cs="Comic Sans MS"/>
          <w:b/>
          <w:bCs/>
          <w:color w:val="0F1115"/>
          <w:sz w:val="33"/>
          <w:szCs w:val="33"/>
        </w:rPr>
      </w:pPr>
      <w:bookmarkStart w:id="7" w:name="_hgmibhb63xca" w:colFirst="0" w:colLast="0"/>
      <w:bookmarkEnd w:id="7"/>
      <w:r>
        <w:rPr>
          <w:rFonts w:ascii="Comic Sans MS" w:eastAsia="Comic Sans MS" w:hAnsi="Comic Sans MS" w:cs="Comic Sans MS"/>
          <w:b/>
          <w:bCs/>
          <w:color w:val="0F1115"/>
          <w:sz w:val="33"/>
          <w:szCs w:val="33"/>
        </w:rPr>
        <w:t>5. Comparative Analysis: Legislative Translation into Public Communication</w:t>
      </w:r>
    </w:p>
    <w:p w14:paraId="3D58CC44" w14:textId="77777777" w:rsidR="00E34EF0" w:rsidRDefault="00000000">
      <w:r>
        <w:t>When you look at the three sites from the point of view of legislative translation, you can see that they each take a different approach. Tower Hamlets does a great job of making important laws, including the Children Act 1989, easy for the average person to understand without going into too much detail. It shows how the law works in local partnerships.</w:t>
      </w:r>
    </w:p>
    <w:p w14:paraId="12A12605" w14:textId="77777777" w:rsidR="00E34EF0" w:rsidRDefault="00E34EF0"/>
    <w:p w14:paraId="4B3C5513" w14:textId="77777777" w:rsidR="00E34EF0" w:rsidRDefault="00000000">
      <w:r>
        <w:t>Norfolk County Council does a great job of turning laws into empowerment. It doesn't just talk about the law; it also makes tools (like the family-led evaluation) that let people actively interact with the processes that the law makes. It best shows how the responsibility of the Equality Act 2010 is met by a full, easy-to-use information hub.</w:t>
      </w:r>
    </w:p>
    <w:p w14:paraId="649889C6" w14:textId="77777777" w:rsidR="00E34EF0" w:rsidRDefault="00E34EF0"/>
    <w:p w14:paraId="4AEA62E5" w14:textId="77777777" w:rsidR="00E34EF0" w:rsidRDefault="00E34EF0"/>
    <w:p w14:paraId="1CE0CF99" w14:textId="77777777" w:rsidR="00E34EF0" w:rsidRDefault="00000000">
      <w:r>
        <w:t>Staffordshire County Council puts showing that they follow the rules and have the power to do so at the top of their list. Its communication is meant to show stakeholders that its processes are legally sound and follow the rules set by the law. This fits the requirements for accountability, but it could miss the point of making the law feel more like it helps families than just a set of rules.</w:t>
      </w:r>
    </w:p>
    <w:p w14:paraId="7788E357" w14:textId="77777777" w:rsidR="00E34EF0" w:rsidRDefault="00E34EF0"/>
    <w:p w14:paraId="59867ABD" w14:textId="77777777" w:rsidR="00E34EF0" w:rsidRDefault="00000000">
      <w:r>
        <w:t>Norfolk's strategy works best for families who need aid. It shows the spirit of laws like the Children Act 1989, which are mostly good for kids and families. It respects families as active participants in the legal system, not merely people who have to follow the law. It does this by giving them tools and clear directions. This fits with a rights-based approach to family support, which encourages more involvement and earlier action.</w:t>
      </w:r>
      <w:r>
        <w:br w:type="page"/>
      </w:r>
    </w:p>
    <w:p w14:paraId="171F8180" w14:textId="77777777" w:rsidR="00E34EF0" w:rsidRDefault="00000000">
      <w:pPr>
        <w:pStyle w:val="Heading2"/>
        <w:keepNext w:val="0"/>
        <w:keepLines w:val="0"/>
        <w:shd w:val="clear" w:color="auto" w:fill="FFFFFF"/>
        <w:spacing w:before="480" w:after="240" w:line="349" w:lineRule="auto"/>
        <w:rPr>
          <w:rFonts w:ascii="Comic Sans MS" w:eastAsia="Comic Sans MS" w:hAnsi="Comic Sans MS" w:cs="Comic Sans MS"/>
          <w:b/>
          <w:bCs/>
          <w:color w:val="0F1115"/>
          <w:sz w:val="33"/>
          <w:szCs w:val="33"/>
        </w:rPr>
      </w:pPr>
      <w:bookmarkStart w:id="8" w:name="_bf76q3kcqejb" w:colFirst="0" w:colLast="0"/>
      <w:bookmarkEnd w:id="8"/>
      <w:r>
        <w:rPr>
          <w:rFonts w:ascii="Comic Sans MS" w:eastAsia="Comic Sans MS" w:hAnsi="Comic Sans MS" w:cs="Comic Sans MS"/>
          <w:b/>
          <w:bCs/>
          <w:color w:val="0F1115"/>
          <w:sz w:val="33"/>
          <w:szCs w:val="33"/>
        </w:rPr>
        <w:lastRenderedPageBreak/>
        <w:t>6. Conclusion and Recommendations</w:t>
      </w:r>
    </w:p>
    <w:p w14:paraId="2EB7C100" w14:textId="77777777" w:rsidR="00E34EF0" w:rsidRDefault="00000000">
      <w:r>
        <w:t>In conclusion, all three local authority websites show that they know what their legal responsibilities are, but they don't always do a good job of communicating this to the public. The Norfolk County Council website is the best at this translation. It goes from saying that the law is being followed to letting people become involved with the rights and processes that the law gives them. It gives families more influence within the legal system, which is the best way to achieve the law's goal of preventing crime.</w:t>
      </w:r>
    </w:p>
    <w:p w14:paraId="5A73EB00" w14:textId="77777777" w:rsidR="00E34EF0" w:rsidRDefault="00E34EF0"/>
    <w:p w14:paraId="2C0B3C36" w14:textId="77777777" w:rsidR="00E34EF0" w:rsidRDefault="00000000">
      <w:r>
        <w:t>Here are some suggestions for how to improve the communication of the law on all LA Early Help web pages:</w:t>
      </w:r>
    </w:p>
    <w:p w14:paraId="4611BBF5" w14:textId="77777777" w:rsidR="00E34EF0" w:rsidRDefault="00E34EF0"/>
    <w:p w14:paraId="316485C3" w14:textId="77777777" w:rsidR="00E34EF0" w:rsidRDefault="00E34EF0"/>
    <w:p w14:paraId="786C68EC" w14:textId="170BAF94" w:rsidR="00E34EF0" w:rsidRDefault="00000000">
      <w:r>
        <w:t xml:space="preserve">Add a Clear "Your Rights and Our Duties." Section: Every Early Help landing page should have a short, clear box that explains the main legal basis (Children Acts 1989/2004, Working Together) in simple English. This makes things more open and helps families see Early Help as a right, not a </w:t>
      </w:r>
      <w:r w:rsidRPr="005A6F58">
        <w:rPr>
          <w:sz w:val="24"/>
          <w:szCs w:val="24"/>
        </w:rPr>
        <w:t>favo</w:t>
      </w:r>
      <w:r w:rsidR="005A6F58" w:rsidRPr="005A6F58">
        <w:rPr>
          <w:sz w:val="24"/>
          <w:szCs w:val="24"/>
        </w:rPr>
        <w:t>u</w:t>
      </w:r>
      <w:r w:rsidRPr="005A6F58">
        <w:rPr>
          <w:sz w:val="24"/>
          <w:szCs w:val="24"/>
        </w:rPr>
        <w:t>r</w:t>
      </w:r>
      <w:r>
        <w:t xml:space="preserve"> that can be given or taken away.</w:t>
      </w:r>
    </w:p>
    <w:p w14:paraId="720212D4" w14:textId="77777777" w:rsidR="00E34EF0" w:rsidRDefault="00E34EF0"/>
    <w:p w14:paraId="54993AD6" w14:textId="77777777" w:rsidR="00E34EF0" w:rsidRDefault="00000000">
      <w:r>
        <w:t>Integrate a wider range of relevant laws in a holistic way: Pages should explicitly highlight, with explanations, the support that is connected to other important laws. "Are you worried about housing?" "Getting the right benefits is important," or "See our advice on your rights under the Housing Act 1996." See aid with claims under the Welfare Reform Act. This puts Early Help in the context of all the laws that impact family welfare.</w:t>
      </w:r>
    </w:p>
    <w:p w14:paraId="15730C45" w14:textId="77777777" w:rsidR="00E34EF0" w:rsidRDefault="00E34EF0"/>
    <w:p w14:paraId="79AA7573" w14:textId="77777777" w:rsidR="00E34EF0" w:rsidRDefault="00000000">
      <w:r>
        <w:t>Explain the Information Sharing Law to Build Trust: Include a straightforward, comforting explanation for families about how and why professionals exchange information, using the Data Protection Act 2018 and GDPR as examples of legal reasons. This makes multi-agency work less mysterious and can help with a typical worry that keeps people from getting involved.</w:t>
      </w:r>
    </w:p>
    <w:p w14:paraId="1B68BA6F" w14:textId="77777777" w:rsidR="00E34EF0" w:rsidRDefault="00E34EF0"/>
    <w:p w14:paraId="1BC4FF54" w14:textId="77777777" w:rsidR="00E34EF0" w:rsidRDefault="00000000">
      <w:r>
        <w:t>Audit for Compliance with the Equality Act 2010: Do official assessments of content clarity and digital accessibility (WCAG 2.1 requirements) to make sure the Public Sector Equality Duty is completely met. This involves making sure that video content is subtitled and that essential pages are easy to read.</w:t>
      </w:r>
    </w:p>
    <w:p w14:paraId="6F840C89" w14:textId="77777777" w:rsidR="00E34EF0" w:rsidRDefault="00E34EF0"/>
    <w:p w14:paraId="37E1C780" w14:textId="77777777" w:rsidR="00E34EF0" w:rsidRDefault="00000000">
      <w:r>
        <w:t>Utilize Case Law Illustrations (Anonymized): When you can, utilize anonymized examples to show how legal limits (such as those between Level 2 and Level 3 support) are actually used. This helps families see how general legal ideas apply to their lives.</w:t>
      </w:r>
    </w:p>
    <w:p w14:paraId="6BAF4A58" w14:textId="77777777" w:rsidR="00E34EF0" w:rsidRDefault="00E34EF0"/>
    <w:p w14:paraId="3EC411CC" w14:textId="77777777" w:rsidR="00E34EF0" w:rsidRDefault="00000000">
      <w:r>
        <w:t>By following these suggestions, local governments can make sure that their digital communication not only informs the public but also teaches and empowers them within the legal framework set up to help them. This will lead to more effective, earlier, and legally literate use of Early Help services.</w:t>
      </w:r>
    </w:p>
    <w:p w14:paraId="02EB9475" w14:textId="77777777" w:rsidR="00E34EF0" w:rsidRDefault="00000000">
      <w:r>
        <w:br w:type="page"/>
      </w:r>
    </w:p>
    <w:p w14:paraId="22AAFBB6" w14:textId="77777777" w:rsidR="00E34EF0" w:rsidRDefault="00000000">
      <w:pPr>
        <w:pStyle w:val="Heading2"/>
        <w:keepNext w:val="0"/>
        <w:keepLines w:val="0"/>
        <w:shd w:val="clear" w:color="auto" w:fill="FFFFFF"/>
        <w:spacing w:before="480" w:after="240" w:line="349" w:lineRule="auto"/>
        <w:rPr>
          <w:rFonts w:ascii="Roboto" w:eastAsia="Roboto" w:hAnsi="Roboto" w:cs="Roboto"/>
          <w:b/>
          <w:bCs/>
          <w:color w:val="0F1115"/>
          <w:sz w:val="33"/>
          <w:szCs w:val="33"/>
        </w:rPr>
      </w:pPr>
      <w:bookmarkStart w:id="9" w:name="_sd7xwqka7292" w:colFirst="0" w:colLast="0"/>
      <w:bookmarkEnd w:id="9"/>
      <w:r>
        <w:rPr>
          <w:rFonts w:ascii="Roboto" w:eastAsia="Roboto" w:hAnsi="Roboto" w:cs="Roboto"/>
          <w:b/>
          <w:bCs/>
          <w:color w:val="0F1115"/>
          <w:sz w:val="33"/>
          <w:szCs w:val="33"/>
        </w:rPr>
        <w:lastRenderedPageBreak/>
        <w:t>7. Reference List</w:t>
      </w:r>
    </w:p>
    <w:p w14:paraId="1487393B" w14:textId="77777777" w:rsidR="00E34EF0" w:rsidRDefault="00000000">
      <w:pPr>
        <w:shd w:val="clear" w:color="auto" w:fill="FFFFFF"/>
        <w:spacing w:before="240" w:after="240"/>
        <w:rPr>
          <w:rFonts w:ascii="Roboto" w:eastAsia="Roboto" w:hAnsi="Roboto" w:cs="Roboto"/>
          <w:color w:val="0F1115"/>
          <w:sz w:val="24"/>
          <w:szCs w:val="24"/>
        </w:rPr>
      </w:pPr>
      <w:r>
        <w:rPr>
          <w:rFonts w:ascii="Roboto" w:eastAsia="Roboto" w:hAnsi="Roboto" w:cs="Roboto"/>
          <w:color w:val="0F1115"/>
          <w:sz w:val="24"/>
          <w:szCs w:val="24"/>
        </w:rPr>
        <w:t>Brandon, M., Sidebotham, P., Belderson, P., Cleaver, H., Dickens, J., Garstang, J., Harris, J., Sorensen, P. and Wate, R. (2020) *Complexity and challenge: a triennial analysis of SCRs 2014-2017*. London: Department for Education.</w:t>
      </w:r>
    </w:p>
    <w:p w14:paraId="22AB5B2F" w14:textId="77777777" w:rsidR="00E34EF0" w:rsidRDefault="00000000">
      <w:pPr>
        <w:shd w:val="clear" w:color="auto" w:fill="FFFFFF"/>
        <w:spacing w:before="240" w:after="240"/>
        <w:rPr>
          <w:rFonts w:ascii="Roboto" w:eastAsia="Roboto" w:hAnsi="Roboto" w:cs="Roboto"/>
          <w:color w:val="0F1115"/>
          <w:sz w:val="24"/>
          <w:szCs w:val="24"/>
        </w:rPr>
      </w:pPr>
      <w:r>
        <w:rPr>
          <w:rFonts w:ascii="Roboto" w:eastAsia="Roboto" w:hAnsi="Roboto" w:cs="Roboto"/>
          <w:color w:val="0F1115"/>
          <w:sz w:val="24"/>
          <w:szCs w:val="24"/>
        </w:rPr>
        <w:t xml:space="preserve">Department for Education (2014) </w:t>
      </w:r>
      <w:r>
        <w:rPr>
          <w:rFonts w:ascii="Roboto" w:eastAsia="Roboto" w:hAnsi="Roboto" w:cs="Roboto"/>
          <w:i/>
          <w:iCs/>
          <w:color w:val="0F1115"/>
          <w:sz w:val="24"/>
          <w:szCs w:val="24"/>
        </w:rPr>
        <w:t>Children and Families Act 2014: statutory guidance</w:t>
      </w:r>
      <w:r>
        <w:rPr>
          <w:rFonts w:ascii="Roboto" w:eastAsia="Roboto" w:hAnsi="Roboto" w:cs="Roboto"/>
          <w:color w:val="0F1115"/>
          <w:sz w:val="24"/>
          <w:szCs w:val="24"/>
        </w:rPr>
        <w:t>. London: HMSO.</w:t>
      </w:r>
    </w:p>
    <w:p w14:paraId="22D5F03E" w14:textId="77777777" w:rsidR="00E34EF0" w:rsidRDefault="00000000">
      <w:pPr>
        <w:shd w:val="clear" w:color="auto" w:fill="FFFFFF"/>
        <w:spacing w:before="240" w:after="240"/>
        <w:ind w:left="-40" w:right="-40"/>
        <w:rPr>
          <w:rFonts w:ascii="Roboto" w:eastAsia="Roboto" w:hAnsi="Roboto" w:cs="Roboto"/>
          <w:color w:val="0F1115"/>
          <w:sz w:val="24"/>
          <w:szCs w:val="24"/>
        </w:rPr>
      </w:pPr>
      <w:r>
        <w:rPr>
          <w:rFonts w:ascii="Roboto" w:eastAsia="Roboto" w:hAnsi="Roboto" w:cs="Roboto"/>
          <w:color w:val="0F1115"/>
          <w:sz w:val="24"/>
          <w:szCs w:val="24"/>
        </w:rPr>
        <w:t xml:space="preserve">Department for Education (2023a) </w:t>
      </w:r>
      <w:r>
        <w:rPr>
          <w:rFonts w:ascii="Roboto" w:eastAsia="Roboto" w:hAnsi="Roboto" w:cs="Roboto"/>
          <w:i/>
          <w:iCs/>
          <w:color w:val="0F1115"/>
          <w:sz w:val="24"/>
          <w:szCs w:val="24"/>
        </w:rPr>
        <w:t>Working together to safeguard children 2023: statutory guidance</w:t>
      </w:r>
      <w:r>
        <w:rPr>
          <w:rFonts w:ascii="Roboto" w:eastAsia="Roboto" w:hAnsi="Roboto" w:cs="Roboto"/>
          <w:color w:val="0F1115"/>
          <w:sz w:val="24"/>
          <w:szCs w:val="24"/>
        </w:rPr>
        <w:t xml:space="preserve">. London: HMSO. Available at: </w:t>
      </w:r>
      <w:hyperlink r:id="rId5">
        <w:r>
          <w:rPr>
            <w:rFonts w:ascii="Roboto" w:eastAsia="Roboto" w:hAnsi="Roboto" w:cs="Roboto"/>
            <w:color w:val="3964FE"/>
            <w:sz w:val="24"/>
            <w:szCs w:val="24"/>
          </w:rPr>
          <w:t>https://www.gov.uk/government/publications/working-together-to-safeguard-children--2</w:t>
        </w:r>
      </w:hyperlink>
      <w:r>
        <w:rPr>
          <w:rFonts w:ascii="Roboto" w:eastAsia="Roboto" w:hAnsi="Roboto" w:cs="Roboto"/>
          <w:color w:val="0F1115"/>
          <w:sz w:val="24"/>
          <w:szCs w:val="24"/>
        </w:rPr>
        <w:t xml:space="preserve"> (Accessed: 4 December 2025).</w:t>
      </w:r>
    </w:p>
    <w:p w14:paraId="046E5005" w14:textId="77777777" w:rsidR="00E34EF0" w:rsidRDefault="00000000">
      <w:pPr>
        <w:shd w:val="clear" w:color="auto" w:fill="FFFFFF"/>
        <w:spacing w:before="240" w:after="240"/>
        <w:ind w:left="-40" w:right="-40"/>
        <w:rPr>
          <w:rFonts w:ascii="Roboto" w:eastAsia="Roboto" w:hAnsi="Roboto" w:cs="Roboto"/>
          <w:color w:val="0F1115"/>
          <w:sz w:val="24"/>
          <w:szCs w:val="24"/>
        </w:rPr>
      </w:pPr>
      <w:r>
        <w:rPr>
          <w:rFonts w:ascii="Roboto" w:eastAsia="Roboto" w:hAnsi="Roboto" w:cs="Roboto"/>
          <w:color w:val="0F1115"/>
          <w:sz w:val="24"/>
          <w:szCs w:val="24"/>
        </w:rPr>
        <w:t xml:space="preserve">Department for Education (2023b) </w:t>
      </w:r>
      <w:r>
        <w:rPr>
          <w:rFonts w:ascii="Roboto" w:eastAsia="Roboto" w:hAnsi="Roboto" w:cs="Roboto"/>
          <w:i/>
          <w:iCs/>
          <w:color w:val="0F1115"/>
          <w:sz w:val="24"/>
          <w:szCs w:val="24"/>
        </w:rPr>
        <w:t>Early help system guide</w:t>
      </w:r>
      <w:r>
        <w:rPr>
          <w:rFonts w:ascii="Roboto" w:eastAsia="Roboto" w:hAnsi="Roboto" w:cs="Roboto"/>
          <w:color w:val="0F1115"/>
          <w:sz w:val="24"/>
          <w:szCs w:val="24"/>
        </w:rPr>
        <w:t xml:space="preserve">. London: HMSO. Available at: </w:t>
      </w:r>
      <w:hyperlink r:id="rId6">
        <w:r>
          <w:rPr>
            <w:rFonts w:ascii="Roboto" w:eastAsia="Roboto" w:hAnsi="Roboto" w:cs="Roboto"/>
            <w:color w:val="3964FE"/>
            <w:sz w:val="24"/>
            <w:szCs w:val="24"/>
          </w:rPr>
          <w:t>https://www.gov.uk/government/publications/early-help-system-guide</w:t>
        </w:r>
      </w:hyperlink>
      <w:r>
        <w:rPr>
          <w:rFonts w:ascii="Roboto" w:eastAsia="Roboto" w:hAnsi="Roboto" w:cs="Roboto"/>
          <w:color w:val="0F1115"/>
          <w:sz w:val="24"/>
          <w:szCs w:val="24"/>
        </w:rPr>
        <w:t xml:space="preserve"> (Accessed: 4 December 2025).</w:t>
      </w:r>
    </w:p>
    <w:p w14:paraId="17008CF6" w14:textId="77777777" w:rsidR="00E34EF0" w:rsidRDefault="00000000">
      <w:pPr>
        <w:shd w:val="clear" w:color="auto" w:fill="FFFFFF"/>
        <w:spacing w:before="240" w:after="240"/>
        <w:rPr>
          <w:rFonts w:ascii="Roboto" w:eastAsia="Roboto" w:hAnsi="Roboto" w:cs="Roboto"/>
          <w:color w:val="0F1115"/>
          <w:sz w:val="24"/>
          <w:szCs w:val="24"/>
        </w:rPr>
      </w:pPr>
      <w:r>
        <w:rPr>
          <w:rFonts w:ascii="Roboto" w:eastAsia="Roboto" w:hAnsi="Roboto" w:cs="Roboto"/>
          <w:color w:val="0F1115"/>
          <w:sz w:val="24"/>
          <w:szCs w:val="24"/>
        </w:rPr>
        <w:t xml:space="preserve">Department of Health (1991) </w:t>
      </w:r>
      <w:r>
        <w:rPr>
          <w:rFonts w:ascii="Roboto" w:eastAsia="Roboto" w:hAnsi="Roboto" w:cs="Roboto"/>
          <w:i/>
          <w:iCs/>
          <w:color w:val="0F1115"/>
          <w:sz w:val="24"/>
          <w:szCs w:val="24"/>
        </w:rPr>
        <w:t>The Children Act 1989: guidance and regulations</w:t>
      </w:r>
      <w:r>
        <w:rPr>
          <w:rFonts w:ascii="Roboto" w:eastAsia="Roboto" w:hAnsi="Roboto" w:cs="Roboto"/>
          <w:color w:val="0F1115"/>
          <w:sz w:val="24"/>
          <w:szCs w:val="24"/>
        </w:rPr>
        <w:t>. London: HMSO.</w:t>
      </w:r>
    </w:p>
    <w:p w14:paraId="0B2C753D" w14:textId="77777777" w:rsidR="00E34EF0" w:rsidRDefault="00000000">
      <w:pPr>
        <w:shd w:val="clear" w:color="auto" w:fill="FFFFFF"/>
        <w:spacing w:before="240" w:after="240"/>
        <w:rPr>
          <w:rFonts w:ascii="Roboto" w:eastAsia="Roboto" w:hAnsi="Roboto" w:cs="Roboto"/>
          <w:color w:val="0F1115"/>
          <w:sz w:val="24"/>
          <w:szCs w:val="24"/>
        </w:rPr>
      </w:pPr>
      <w:r>
        <w:rPr>
          <w:rFonts w:ascii="Roboto" w:eastAsia="Roboto" w:hAnsi="Roboto" w:cs="Roboto"/>
          <w:color w:val="0F1115"/>
          <w:sz w:val="24"/>
          <w:szCs w:val="24"/>
        </w:rPr>
        <w:t xml:space="preserve">HM Government (1989) </w:t>
      </w:r>
      <w:r>
        <w:rPr>
          <w:rFonts w:ascii="Roboto" w:eastAsia="Roboto" w:hAnsi="Roboto" w:cs="Roboto"/>
          <w:i/>
          <w:iCs/>
          <w:color w:val="0F1115"/>
          <w:sz w:val="24"/>
          <w:szCs w:val="24"/>
        </w:rPr>
        <w:t>Children Act 1989</w:t>
      </w:r>
      <w:r>
        <w:rPr>
          <w:rFonts w:ascii="Roboto" w:eastAsia="Roboto" w:hAnsi="Roboto" w:cs="Roboto"/>
          <w:color w:val="0F1115"/>
          <w:sz w:val="24"/>
          <w:szCs w:val="24"/>
        </w:rPr>
        <w:t>. London: The Stationery Office.</w:t>
      </w:r>
    </w:p>
    <w:p w14:paraId="439A5DA8" w14:textId="77777777" w:rsidR="00E34EF0" w:rsidRDefault="00000000">
      <w:pPr>
        <w:shd w:val="clear" w:color="auto" w:fill="FFFFFF"/>
        <w:spacing w:before="240" w:after="240"/>
        <w:rPr>
          <w:rFonts w:ascii="Roboto" w:eastAsia="Roboto" w:hAnsi="Roboto" w:cs="Roboto"/>
          <w:color w:val="0F1115"/>
          <w:sz w:val="24"/>
          <w:szCs w:val="24"/>
        </w:rPr>
      </w:pPr>
      <w:r>
        <w:rPr>
          <w:rFonts w:ascii="Roboto" w:eastAsia="Roboto" w:hAnsi="Roboto" w:cs="Roboto"/>
          <w:color w:val="0F1115"/>
          <w:sz w:val="24"/>
          <w:szCs w:val="24"/>
        </w:rPr>
        <w:t xml:space="preserve">HM Government (2004) </w:t>
      </w:r>
      <w:r>
        <w:rPr>
          <w:rFonts w:ascii="Roboto" w:eastAsia="Roboto" w:hAnsi="Roboto" w:cs="Roboto"/>
          <w:i/>
          <w:iCs/>
          <w:color w:val="0F1115"/>
          <w:sz w:val="24"/>
          <w:szCs w:val="24"/>
        </w:rPr>
        <w:t>Children Act 2004</w:t>
      </w:r>
      <w:r>
        <w:rPr>
          <w:rFonts w:ascii="Roboto" w:eastAsia="Roboto" w:hAnsi="Roboto" w:cs="Roboto"/>
          <w:color w:val="0F1115"/>
          <w:sz w:val="24"/>
          <w:szCs w:val="24"/>
        </w:rPr>
        <w:t>. London: The Stationery Office.</w:t>
      </w:r>
    </w:p>
    <w:p w14:paraId="1407CE3A" w14:textId="77777777" w:rsidR="00E34EF0" w:rsidRDefault="00000000">
      <w:pPr>
        <w:shd w:val="clear" w:color="auto" w:fill="FFFFFF"/>
        <w:spacing w:before="240" w:after="240"/>
        <w:rPr>
          <w:rFonts w:ascii="Roboto" w:eastAsia="Roboto" w:hAnsi="Roboto" w:cs="Roboto"/>
          <w:color w:val="0F1115"/>
          <w:sz w:val="24"/>
          <w:szCs w:val="24"/>
        </w:rPr>
      </w:pPr>
      <w:r>
        <w:rPr>
          <w:rFonts w:ascii="Roboto" w:eastAsia="Roboto" w:hAnsi="Roboto" w:cs="Roboto"/>
          <w:color w:val="0F1115"/>
          <w:sz w:val="24"/>
          <w:szCs w:val="24"/>
        </w:rPr>
        <w:t xml:space="preserve">HM Government (2010) </w:t>
      </w:r>
      <w:r>
        <w:rPr>
          <w:rFonts w:ascii="Roboto" w:eastAsia="Roboto" w:hAnsi="Roboto" w:cs="Roboto"/>
          <w:i/>
          <w:iCs/>
          <w:color w:val="0F1115"/>
          <w:sz w:val="24"/>
          <w:szCs w:val="24"/>
        </w:rPr>
        <w:t>Equality Act 2010</w:t>
      </w:r>
      <w:r>
        <w:rPr>
          <w:rFonts w:ascii="Roboto" w:eastAsia="Roboto" w:hAnsi="Roboto" w:cs="Roboto"/>
          <w:color w:val="0F1115"/>
          <w:sz w:val="24"/>
          <w:szCs w:val="24"/>
        </w:rPr>
        <w:t>. London: The Stationery Office.</w:t>
      </w:r>
    </w:p>
    <w:p w14:paraId="0A7F3288" w14:textId="77777777" w:rsidR="00E34EF0" w:rsidRDefault="00000000">
      <w:pPr>
        <w:shd w:val="clear" w:color="auto" w:fill="FFFFFF"/>
        <w:spacing w:before="240" w:after="240"/>
        <w:rPr>
          <w:rFonts w:ascii="Roboto" w:eastAsia="Roboto" w:hAnsi="Roboto" w:cs="Roboto"/>
          <w:color w:val="0F1115"/>
          <w:sz w:val="24"/>
          <w:szCs w:val="24"/>
        </w:rPr>
      </w:pPr>
      <w:r>
        <w:rPr>
          <w:rFonts w:ascii="Roboto" w:eastAsia="Roboto" w:hAnsi="Roboto" w:cs="Roboto"/>
          <w:color w:val="0F1115"/>
          <w:sz w:val="24"/>
          <w:szCs w:val="24"/>
        </w:rPr>
        <w:t xml:space="preserve">Laming, Lord (2003) </w:t>
      </w:r>
      <w:r>
        <w:rPr>
          <w:rFonts w:ascii="Roboto" w:eastAsia="Roboto" w:hAnsi="Roboto" w:cs="Roboto"/>
          <w:i/>
          <w:iCs/>
          <w:color w:val="0F1115"/>
          <w:sz w:val="24"/>
          <w:szCs w:val="24"/>
        </w:rPr>
        <w:t>The Victoria Climbié Inquiry: Report of an Inquiry</w:t>
      </w:r>
      <w:r>
        <w:rPr>
          <w:rFonts w:ascii="Roboto" w:eastAsia="Roboto" w:hAnsi="Roboto" w:cs="Roboto"/>
          <w:color w:val="0F1115"/>
          <w:sz w:val="24"/>
          <w:szCs w:val="24"/>
        </w:rPr>
        <w:t>. London: The Stationery Office.</w:t>
      </w:r>
    </w:p>
    <w:p w14:paraId="4CC24C5E" w14:textId="77777777" w:rsidR="00E34EF0" w:rsidRDefault="00000000">
      <w:pPr>
        <w:shd w:val="clear" w:color="auto" w:fill="FFFFFF"/>
        <w:spacing w:before="240" w:after="240"/>
        <w:rPr>
          <w:rFonts w:ascii="Roboto" w:eastAsia="Roboto" w:hAnsi="Roboto" w:cs="Roboto"/>
          <w:color w:val="0F1115"/>
          <w:sz w:val="24"/>
          <w:szCs w:val="24"/>
        </w:rPr>
      </w:pPr>
      <w:r>
        <w:rPr>
          <w:rFonts w:ascii="Roboto" w:eastAsia="Roboto" w:hAnsi="Roboto" w:cs="Roboto"/>
          <w:color w:val="0F1115"/>
          <w:sz w:val="24"/>
          <w:szCs w:val="24"/>
        </w:rPr>
        <w:t xml:space="preserve">Morris, K., Mason, W., Bunn, A., </w:t>
      </w:r>
      <w:proofErr w:type="spellStart"/>
      <w:r>
        <w:rPr>
          <w:rFonts w:ascii="Roboto" w:eastAsia="Roboto" w:hAnsi="Roboto" w:cs="Roboto"/>
          <w:color w:val="0F1115"/>
          <w:sz w:val="24"/>
          <w:szCs w:val="24"/>
        </w:rPr>
        <w:t>Frameworki</w:t>
      </w:r>
      <w:proofErr w:type="spellEnd"/>
      <w:r>
        <w:rPr>
          <w:rFonts w:ascii="Roboto" w:eastAsia="Roboto" w:hAnsi="Roboto" w:cs="Roboto"/>
          <w:color w:val="0F1115"/>
          <w:sz w:val="24"/>
          <w:szCs w:val="24"/>
        </w:rPr>
        <w:t xml:space="preserve">, N., Plaza, K., Mica, A. and Tufail, F. (2021) </w:t>
      </w:r>
      <w:r>
        <w:rPr>
          <w:rFonts w:ascii="Roboto" w:eastAsia="Roboto" w:hAnsi="Roboto" w:cs="Roboto"/>
          <w:i/>
          <w:iCs/>
          <w:color w:val="0F1115"/>
          <w:sz w:val="24"/>
          <w:szCs w:val="24"/>
        </w:rPr>
        <w:t>“It takes a village”: a review of the Early Help Pathfinder final report</w:t>
      </w:r>
      <w:r>
        <w:rPr>
          <w:rFonts w:ascii="Roboto" w:eastAsia="Roboto" w:hAnsi="Roboto" w:cs="Roboto"/>
          <w:color w:val="0F1115"/>
          <w:sz w:val="24"/>
          <w:szCs w:val="24"/>
        </w:rPr>
        <w:t>. London: What Works for Children’s Social Care.</w:t>
      </w:r>
    </w:p>
    <w:p w14:paraId="54F89E7E" w14:textId="77777777" w:rsidR="00E34EF0" w:rsidRDefault="00000000">
      <w:pPr>
        <w:shd w:val="clear" w:color="auto" w:fill="FFFFFF"/>
        <w:spacing w:before="240" w:after="240"/>
        <w:ind w:left="-40" w:right="-40"/>
        <w:rPr>
          <w:rFonts w:ascii="Roboto" w:eastAsia="Roboto" w:hAnsi="Roboto" w:cs="Roboto"/>
          <w:color w:val="0F1115"/>
          <w:sz w:val="24"/>
          <w:szCs w:val="24"/>
        </w:rPr>
      </w:pPr>
      <w:r>
        <w:rPr>
          <w:rFonts w:ascii="Roboto" w:eastAsia="Roboto" w:hAnsi="Roboto" w:cs="Roboto"/>
          <w:color w:val="0F1115"/>
          <w:sz w:val="24"/>
          <w:szCs w:val="24"/>
        </w:rPr>
        <w:t xml:space="preserve">Norfolk County Council (2025a) </w:t>
      </w:r>
      <w:r>
        <w:rPr>
          <w:rFonts w:ascii="Roboto" w:eastAsia="Roboto" w:hAnsi="Roboto" w:cs="Roboto"/>
          <w:i/>
          <w:iCs/>
          <w:color w:val="0F1115"/>
          <w:sz w:val="24"/>
          <w:szCs w:val="24"/>
        </w:rPr>
        <w:t>Early Help and Prevention</w:t>
      </w:r>
      <w:r>
        <w:rPr>
          <w:rFonts w:ascii="Roboto" w:eastAsia="Roboto" w:hAnsi="Roboto" w:cs="Roboto"/>
          <w:color w:val="0F1115"/>
          <w:sz w:val="24"/>
          <w:szCs w:val="24"/>
        </w:rPr>
        <w:t xml:space="preserve">. Available at: </w:t>
      </w:r>
      <w:hyperlink r:id="rId7">
        <w:r>
          <w:rPr>
            <w:rFonts w:ascii="Roboto" w:eastAsia="Roboto" w:hAnsi="Roboto" w:cs="Roboto"/>
            <w:color w:val="3964FE"/>
            <w:sz w:val="24"/>
            <w:szCs w:val="24"/>
          </w:rPr>
          <w:t>https://www.norfolk.gov.uk/children-and-families/early-help-and-prevention</w:t>
        </w:r>
      </w:hyperlink>
      <w:r>
        <w:rPr>
          <w:rFonts w:ascii="Roboto" w:eastAsia="Roboto" w:hAnsi="Roboto" w:cs="Roboto"/>
          <w:color w:val="0F1115"/>
          <w:sz w:val="24"/>
          <w:szCs w:val="24"/>
        </w:rPr>
        <w:t xml:space="preserve"> (Accessed: 4 December 2025).</w:t>
      </w:r>
    </w:p>
    <w:p w14:paraId="60E53AA3" w14:textId="77777777" w:rsidR="00E34EF0" w:rsidRDefault="00000000">
      <w:pPr>
        <w:shd w:val="clear" w:color="auto" w:fill="FFFFFF"/>
        <w:spacing w:before="240" w:after="240"/>
        <w:ind w:left="-40" w:right="-40"/>
        <w:rPr>
          <w:rFonts w:ascii="Roboto" w:eastAsia="Roboto" w:hAnsi="Roboto" w:cs="Roboto"/>
          <w:color w:val="0F1115"/>
          <w:sz w:val="24"/>
          <w:szCs w:val="24"/>
        </w:rPr>
      </w:pPr>
      <w:r>
        <w:rPr>
          <w:rFonts w:ascii="Roboto" w:eastAsia="Roboto" w:hAnsi="Roboto" w:cs="Roboto"/>
          <w:color w:val="0F1115"/>
          <w:sz w:val="24"/>
          <w:szCs w:val="24"/>
        </w:rPr>
        <w:t xml:space="preserve">Norfolk County Council (2025b) </w:t>
      </w:r>
      <w:r>
        <w:rPr>
          <w:rFonts w:ascii="Roboto" w:eastAsia="Roboto" w:hAnsi="Roboto" w:cs="Roboto"/>
          <w:i/>
          <w:iCs/>
          <w:color w:val="0F1115"/>
          <w:sz w:val="24"/>
          <w:szCs w:val="24"/>
        </w:rPr>
        <w:t>Family Early Help Assessment</w:t>
      </w:r>
      <w:r>
        <w:rPr>
          <w:rFonts w:ascii="Roboto" w:eastAsia="Roboto" w:hAnsi="Roboto" w:cs="Roboto"/>
          <w:color w:val="0F1115"/>
          <w:sz w:val="24"/>
          <w:szCs w:val="24"/>
        </w:rPr>
        <w:t xml:space="preserve">. Available at: </w:t>
      </w:r>
      <w:hyperlink r:id="rId8">
        <w:r>
          <w:rPr>
            <w:rFonts w:ascii="Roboto" w:eastAsia="Roboto" w:hAnsi="Roboto" w:cs="Roboto"/>
            <w:color w:val="3964FE"/>
            <w:sz w:val="24"/>
            <w:szCs w:val="24"/>
          </w:rPr>
          <w:t>https://www.norfolk.gov.uk/children-and-families/early-help-and-prevention/family-early-help-assessment</w:t>
        </w:r>
      </w:hyperlink>
      <w:r>
        <w:rPr>
          <w:rFonts w:ascii="Roboto" w:eastAsia="Roboto" w:hAnsi="Roboto" w:cs="Roboto"/>
          <w:color w:val="0F1115"/>
          <w:sz w:val="24"/>
          <w:szCs w:val="24"/>
        </w:rPr>
        <w:t xml:space="preserve"> (Accessed: 4 December 2025).</w:t>
      </w:r>
    </w:p>
    <w:p w14:paraId="55076A83" w14:textId="77777777" w:rsidR="00E34EF0" w:rsidRDefault="00000000">
      <w:pPr>
        <w:shd w:val="clear" w:color="auto" w:fill="FFFFFF"/>
        <w:spacing w:before="240" w:after="240"/>
        <w:ind w:left="-40" w:right="-40"/>
        <w:rPr>
          <w:rFonts w:ascii="Roboto" w:eastAsia="Roboto" w:hAnsi="Roboto" w:cs="Roboto"/>
          <w:color w:val="0F1115"/>
          <w:sz w:val="24"/>
          <w:szCs w:val="24"/>
        </w:rPr>
      </w:pPr>
      <w:r>
        <w:rPr>
          <w:rFonts w:ascii="Roboto" w:eastAsia="Roboto" w:hAnsi="Roboto" w:cs="Roboto"/>
          <w:color w:val="0F1115"/>
          <w:sz w:val="24"/>
          <w:szCs w:val="24"/>
        </w:rPr>
        <w:t xml:space="preserve">Staffordshire County Council (2025) </w:t>
      </w:r>
      <w:r>
        <w:rPr>
          <w:rFonts w:ascii="Roboto" w:eastAsia="Roboto" w:hAnsi="Roboto" w:cs="Roboto"/>
          <w:i/>
          <w:iCs/>
          <w:color w:val="0F1115"/>
          <w:sz w:val="24"/>
          <w:szCs w:val="24"/>
        </w:rPr>
        <w:t>Early Help</w:t>
      </w:r>
      <w:r>
        <w:rPr>
          <w:rFonts w:ascii="Roboto" w:eastAsia="Roboto" w:hAnsi="Roboto" w:cs="Roboto"/>
          <w:color w:val="0F1115"/>
          <w:sz w:val="24"/>
          <w:szCs w:val="24"/>
        </w:rPr>
        <w:t xml:space="preserve">. Available at: </w:t>
      </w:r>
      <w:hyperlink r:id="rId9">
        <w:r>
          <w:rPr>
            <w:rFonts w:ascii="Roboto" w:eastAsia="Roboto" w:hAnsi="Roboto" w:cs="Roboto"/>
            <w:color w:val="3964FE"/>
            <w:sz w:val="24"/>
            <w:szCs w:val="24"/>
          </w:rPr>
          <w:t>https://www.staffordshire.gov.uk/Children-and-families/Early-help/Early-help.aspx</w:t>
        </w:r>
      </w:hyperlink>
      <w:r>
        <w:rPr>
          <w:rFonts w:ascii="Roboto" w:eastAsia="Roboto" w:hAnsi="Roboto" w:cs="Roboto"/>
          <w:color w:val="0F1115"/>
          <w:sz w:val="24"/>
          <w:szCs w:val="24"/>
        </w:rPr>
        <w:t xml:space="preserve"> (Accessed: 4 December 2025).</w:t>
      </w:r>
    </w:p>
    <w:p w14:paraId="188E01A1" w14:textId="77777777" w:rsidR="00E34EF0" w:rsidRDefault="00000000">
      <w:pPr>
        <w:shd w:val="clear" w:color="auto" w:fill="FFFFFF"/>
        <w:spacing w:before="240" w:after="240"/>
        <w:ind w:left="-40" w:right="-40"/>
        <w:rPr>
          <w:rFonts w:ascii="Roboto" w:eastAsia="Roboto" w:hAnsi="Roboto" w:cs="Roboto"/>
          <w:color w:val="0F1115"/>
          <w:sz w:val="24"/>
          <w:szCs w:val="24"/>
        </w:rPr>
      </w:pPr>
      <w:r>
        <w:rPr>
          <w:rFonts w:ascii="Roboto" w:eastAsia="Roboto" w:hAnsi="Roboto" w:cs="Roboto"/>
          <w:color w:val="0F1115"/>
          <w:sz w:val="24"/>
          <w:szCs w:val="24"/>
        </w:rPr>
        <w:lastRenderedPageBreak/>
        <w:t xml:space="preserve">Tower Hamlets Council (2025a) </w:t>
      </w:r>
      <w:r>
        <w:rPr>
          <w:rFonts w:ascii="Roboto" w:eastAsia="Roboto" w:hAnsi="Roboto" w:cs="Roboto"/>
          <w:i/>
          <w:iCs/>
          <w:color w:val="0F1115"/>
          <w:sz w:val="24"/>
          <w:szCs w:val="24"/>
        </w:rPr>
        <w:t>Early Help for families</w:t>
      </w:r>
      <w:r>
        <w:rPr>
          <w:rFonts w:ascii="Roboto" w:eastAsia="Roboto" w:hAnsi="Roboto" w:cs="Roboto"/>
          <w:color w:val="0F1115"/>
          <w:sz w:val="24"/>
          <w:szCs w:val="24"/>
        </w:rPr>
        <w:t xml:space="preserve">. Available at: </w:t>
      </w:r>
      <w:hyperlink r:id="rId10">
        <w:r>
          <w:rPr>
            <w:rFonts w:ascii="Roboto" w:eastAsia="Roboto" w:hAnsi="Roboto" w:cs="Roboto"/>
            <w:color w:val="3964FE"/>
            <w:sz w:val="24"/>
            <w:szCs w:val="24"/>
          </w:rPr>
          <w:t>https://www.towerhamlets.gov.uk/lgnl/health__social_care/Children_and_families/Early_help_for_families.aspx</w:t>
        </w:r>
      </w:hyperlink>
      <w:r>
        <w:rPr>
          <w:rFonts w:ascii="Roboto" w:eastAsia="Roboto" w:hAnsi="Roboto" w:cs="Roboto"/>
          <w:color w:val="0F1115"/>
          <w:sz w:val="24"/>
          <w:szCs w:val="24"/>
        </w:rPr>
        <w:t xml:space="preserve"> (Accessed: 4 December 2025).</w:t>
      </w:r>
    </w:p>
    <w:p w14:paraId="1AE12F65" w14:textId="77777777" w:rsidR="00E34EF0" w:rsidRDefault="00000000">
      <w:pPr>
        <w:shd w:val="clear" w:color="auto" w:fill="FFFFFF"/>
        <w:spacing w:before="240" w:after="240"/>
        <w:ind w:left="-40" w:right="-40"/>
        <w:rPr>
          <w:rFonts w:ascii="Roboto" w:eastAsia="Roboto" w:hAnsi="Roboto" w:cs="Roboto"/>
          <w:color w:val="0F1115"/>
          <w:sz w:val="24"/>
          <w:szCs w:val="24"/>
        </w:rPr>
      </w:pPr>
      <w:r>
        <w:rPr>
          <w:rFonts w:ascii="Roboto" w:eastAsia="Roboto" w:hAnsi="Roboto" w:cs="Roboto"/>
          <w:color w:val="0F1115"/>
          <w:sz w:val="24"/>
          <w:szCs w:val="24"/>
        </w:rPr>
        <w:t xml:space="preserve">Tower Hamlets Council (2025b) </w:t>
      </w:r>
      <w:r>
        <w:rPr>
          <w:rFonts w:ascii="Roboto" w:eastAsia="Roboto" w:hAnsi="Roboto" w:cs="Roboto"/>
          <w:i/>
          <w:iCs/>
          <w:color w:val="0F1115"/>
          <w:sz w:val="24"/>
          <w:szCs w:val="24"/>
        </w:rPr>
        <w:t>Our partners in Early Help</w:t>
      </w:r>
      <w:r>
        <w:rPr>
          <w:rFonts w:ascii="Roboto" w:eastAsia="Roboto" w:hAnsi="Roboto" w:cs="Roboto"/>
          <w:color w:val="0F1115"/>
          <w:sz w:val="24"/>
          <w:szCs w:val="24"/>
        </w:rPr>
        <w:t xml:space="preserve">. Available at: </w:t>
      </w:r>
      <w:hyperlink r:id="rId11">
        <w:r>
          <w:rPr>
            <w:rFonts w:ascii="Roboto" w:eastAsia="Roboto" w:hAnsi="Roboto" w:cs="Roboto"/>
            <w:color w:val="3964FE"/>
            <w:sz w:val="24"/>
            <w:szCs w:val="24"/>
          </w:rPr>
          <w:t>https://www.towerhamlets.gov.uk/lgnl/health__social_care/Children_and_families/Early_help_for_families/Our_partners_in_Early_Help.aspx</w:t>
        </w:r>
      </w:hyperlink>
      <w:r>
        <w:rPr>
          <w:rFonts w:ascii="Roboto" w:eastAsia="Roboto" w:hAnsi="Roboto" w:cs="Roboto"/>
          <w:color w:val="0F1115"/>
          <w:sz w:val="24"/>
          <w:szCs w:val="24"/>
        </w:rPr>
        <w:t xml:space="preserve"> (Accessed: 4 December 2025).</w:t>
      </w:r>
    </w:p>
    <w:p w14:paraId="4BE3E81E" w14:textId="77777777" w:rsidR="00E34EF0" w:rsidRDefault="00000000">
      <w:pPr>
        <w:shd w:val="clear" w:color="auto" w:fill="FFFFFF"/>
        <w:spacing w:before="240" w:after="240"/>
        <w:rPr>
          <w:rFonts w:ascii="Roboto" w:eastAsia="Roboto" w:hAnsi="Roboto" w:cs="Roboto"/>
          <w:color w:val="0F1115"/>
          <w:sz w:val="24"/>
          <w:szCs w:val="24"/>
        </w:rPr>
      </w:pPr>
      <w:r>
        <w:rPr>
          <w:rFonts w:ascii="Roboto" w:eastAsia="Roboto" w:hAnsi="Roboto" w:cs="Roboto"/>
          <w:color w:val="0F1115"/>
          <w:sz w:val="24"/>
          <w:szCs w:val="24"/>
        </w:rPr>
        <w:t xml:space="preserve">Welsh Government (2025) </w:t>
      </w:r>
      <w:r>
        <w:rPr>
          <w:rFonts w:ascii="Roboto" w:eastAsia="Roboto" w:hAnsi="Roboto" w:cs="Roboto"/>
          <w:i/>
          <w:iCs/>
          <w:color w:val="0F1115"/>
          <w:sz w:val="24"/>
          <w:szCs w:val="24"/>
        </w:rPr>
        <w:t>Threshold of Need model</w:t>
      </w:r>
      <w:r>
        <w:rPr>
          <w:rFonts w:ascii="Roboto" w:eastAsia="Roboto" w:hAnsi="Roboto" w:cs="Roboto"/>
          <w:color w:val="0F1115"/>
          <w:sz w:val="24"/>
          <w:szCs w:val="24"/>
        </w:rPr>
        <w:t>. [Diagram]. (Provided in module materials).</w:t>
      </w:r>
    </w:p>
    <w:p w14:paraId="014CAA1C" w14:textId="77777777" w:rsidR="00E34EF0" w:rsidRDefault="00000000">
      <w:pPr>
        <w:shd w:val="clear" w:color="auto" w:fill="FFFFFF"/>
        <w:spacing w:before="240" w:after="240"/>
        <w:rPr>
          <w:rFonts w:ascii="Roboto" w:eastAsia="Roboto" w:hAnsi="Roboto" w:cs="Roboto"/>
          <w:color w:val="0F1115"/>
          <w:sz w:val="24"/>
          <w:szCs w:val="24"/>
        </w:rPr>
      </w:pPr>
      <w:r>
        <w:rPr>
          <w:rFonts w:ascii="Roboto" w:eastAsia="Roboto" w:hAnsi="Roboto" w:cs="Roboto"/>
          <w:color w:val="0F1115"/>
          <w:sz w:val="24"/>
          <w:szCs w:val="24"/>
        </w:rPr>
        <w:t>Legislation Cited:</w:t>
      </w:r>
      <w:r>
        <w:rPr>
          <w:rFonts w:ascii="Roboto" w:eastAsia="Roboto" w:hAnsi="Roboto" w:cs="Roboto"/>
          <w:color w:val="0F1115"/>
          <w:sz w:val="24"/>
          <w:szCs w:val="24"/>
        </w:rPr>
        <w:br/>
        <w:t>Children Act 1989 (c.41)</w:t>
      </w:r>
      <w:r>
        <w:rPr>
          <w:rFonts w:ascii="Roboto" w:eastAsia="Roboto" w:hAnsi="Roboto" w:cs="Roboto"/>
          <w:color w:val="0F1115"/>
          <w:sz w:val="24"/>
          <w:szCs w:val="24"/>
        </w:rPr>
        <w:br/>
        <w:t>Children Act 2004 (c.31)</w:t>
      </w:r>
      <w:r>
        <w:rPr>
          <w:rFonts w:ascii="Roboto" w:eastAsia="Roboto" w:hAnsi="Roboto" w:cs="Roboto"/>
          <w:color w:val="0F1115"/>
          <w:sz w:val="24"/>
          <w:szCs w:val="24"/>
        </w:rPr>
        <w:br/>
        <w:t>Children and Families Act 2014 (c.6)</w:t>
      </w:r>
      <w:r>
        <w:rPr>
          <w:rFonts w:ascii="Roboto" w:eastAsia="Roboto" w:hAnsi="Roboto" w:cs="Roboto"/>
          <w:color w:val="0F1115"/>
          <w:sz w:val="24"/>
          <w:szCs w:val="24"/>
        </w:rPr>
        <w:br/>
        <w:t>Crime and Disorder Act 1998 (c.37)</w:t>
      </w:r>
      <w:r>
        <w:rPr>
          <w:rFonts w:ascii="Roboto" w:eastAsia="Roboto" w:hAnsi="Roboto" w:cs="Roboto"/>
          <w:color w:val="0F1115"/>
          <w:sz w:val="24"/>
          <w:szCs w:val="24"/>
        </w:rPr>
        <w:br/>
        <w:t>Data Protection Act 2018 (c.12)</w:t>
      </w:r>
      <w:r>
        <w:rPr>
          <w:rFonts w:ascii="Roboto" w:eastAsia="Roboto" w:hAnsi="Roboto" w:cs="Roboto"/>
          <w:color w:val="0F1115"/>
          <w:sz w:val="24"/>
          <w:szCs w:val="24"/>
        </w:rPr>
        <w:br/>
        <w:t>Domestic Abuse Act 2021 (c.17)</w:t>
      </w:r>
      <w:r>
        <w:rPr>
          <w:rFonts w:ascii="Roboto" w:eastAsia="Roboto" w:hAnsi="Roboto" w:cs="Roboto"/>
          <w:color w:val="0F1115"/>
          <w:sz w:val="24"/>
          <w:szCs w:val="24"/>
        </w:rPr>
        <w:br/>
        <w:t>Equality Act 2010 (c.15)</w:t>
      </w:r>
      <w:r>
        <w:rPr>
          <w:rFonts w:ascii="Roboto" w:eastAsia="Roboto" w:hAnsi="Roboto" w:cs="Roboto"/>
          <w:color w:val="0F1115"/>
          <w:sz w:val="24"/>
          <w:szCs w:val="24"/>
        </w:rPr>
        <w:br/>
        <w:t>Housing Act 1996 (c.52)</w:t>
      </w:r>
      <w:r>
        <w:rPr>
          <w:rFonts w:ascii="Roboto" w:eastAsia="Roboto" w:hAnsi="Roboto" w:cs="Roboto"/>
          <w:color w:val="0F1115"/>
          <w:sz w:val="24"/>
          <w:szCs w:val="24"/>
        </w:rPr>
        <w:br/>
        <w:t>Human Rights Act 1998 (c.42)</w:t>
      </w:r>
      <w:r>
        <w:rPr>
          <w:rFonts w:ascii="Roboto" w:eastAsia="Roboto" w:hAnsi="Roboto" w:cs="Roboto"/>
          <w:color w:val="0F1115"/>
          <w:sz w:val="24"/>
          <w:szCs w:val="24"/>
        </w:rPr>
        <w:br/>
        <w:t>Mental Health Act 2007 (c.12)</w:t>
      </w:r>
      <w:r>
        <w:rPr>
          <w:rFonts w:ascii="Roboto" w:eastAsia="Roboto" w:hAnsi="Roboto" w:cs="Roboto"/>
          <w:color w:val="0F1115"/>
          <w:sz w:val="24"/>
          <w:szCs w:val="24"/>
        </w:rPr>
        <w:br/>
        <w:t>Welfare Reform Act 2012 (c.5)</w:t>
      </w:r>
    </w:p>
    <w:p w14:paraId="7526942A" w14:textId="77777777" w:rsidR="00E34EF0" w:rsidRDefault="00000000">
      <w:pPr>
        <w:shd w:val="clear" w:color="auto" w:fill="FFFFFF"/>
        <w:spacing w:before="240" w:after="240"/>
        <w:rPr>
          <w:rFonts w:ascii="Roboto" w:eastAsia="Roboto" w:hAnsi="Roboto" w:cs="Roboto"/>
          <w:color w:val="0F1115"/>
          <w:sz w:val="24"/>
          <w:szCs w:val="24"/>
        </w:rPr>
      </w:pPr>
      <w:r>
        <w:rPr>
          <w:rFonts w:ascii="Roboto" w:eastAsia="Roboto" w:hAnsi="Roboto" w:cs="Roboto"/>
          <w:color w:val="0F1115"/>
          <w:sz w:val="24"/>
          <w:szCs w:val="24"/>
        </w:rPr>
        <w:t>Image References (Provided in module materials):</w:t>
      </w:r>
      <w:r>
        <w:rPr>
          <w:rFonts w:ascii="Roboto" w:eastAsia="Roboto" w:hAnsi="Roboto" w:cs="Roboto"/>
          <w:color w:val="0F1115"/>
          <w:sz w:val="24"/>
          <w:szCs w:val="24"/>
        </w:rPr>
        <w:br/>
        <w:t xml:space="preserve">Image 1: </w:t>
      </w:r>
      <w:r>
        <w:rPr>
          <w:rFonts w:ascii="Roboto" w:eastAsia="Roboto" w:hAnsi="Roboto" w:cs="Roboto"/>
          <w:i/>
          <w:iCs/>
          <w:color w:val="0F1115"/>
          <w:sz w:val="24"/>
          <w:szCs w:val="24"/>
        </w:rPr>
        <w:t>Threshold of Need</w:t>
      </w:r>
      <w:r>
        <w:rPr>
          <w:rFonts w:ascii="Roboto" w:eastAsia="Roboto" w:hAnsi="Roboto" w:cs="Roboto"/>
          <w:color w:val="0F1115"/>
          <w:sz w:val="24"/>
          <w:szCs w:val="24"/>
        </w:rPr>
        <w:t xml:space="preserve"> diagram.</w:t>
      </w:r>
      <w:r>
        <w:rPr>
          <w:rFonts w:ascii="Roboto" w:eastAsia="Roboto" w:hAnsi="Roboto" w:cs="Roboto"/>
          <w:color w:val="0F1115"/>
          <w:sz w:val="24"/>
          <w:szCs w:val="24"/>
        </w:rPr>
        <w:br/>
        <w:t xml:space="preserve">Image 2: </w:t>
      </w:r>
      <w:r>
        <w:rPr>
          <w:rFonts w:ascii="Roboto" w:eastAsia="Roboto" w:hAnsi="Roboto" w:cs="Roboto"/>
          <w:i/>
          <w:iCs/>
          <w:color w:val="0F1115"/>
          <w:sz w:val="24"/>
          <w:szCs w:val="24"/>
        </w:rPr>
        <w:t>Multi-agency working</w:t>
      </w:r>
      <w:r>
        <w:rPr>
          <w:rFonts w:ascii="Roboto" w:eastAsia="Roboto" w:hAnsi="Roboto" w:cs="Roboto"/>
          <w:color w:val="0F1115"/>
          <w:sz w:val="24"/>
          <w:szCs w:val="24"/>
        </w:rPr>
        <w:t xml:space="preserve"> diagram</w:t>
      </w:r>
    </w:p>
    <w:p w14:paraId="640EFE9A" w14:textId="77777777" w:rsidR="00E34EF0" w:rsidRDefault="00000000">
      <w:r>
        <w:rPr>
          <w:noProof/>
        </w:rPr>
        <w:drawing>
          <wp:inline distT="114300" distB="114300" distL="114300" distR="114300" wp14:anchorId="4517EE72" wp14:editId="42235D50">
            <wp:extent cx="5731200" cy="26162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731200" cy="2616200"/>
                    </a:xfrm>
                    <a:prstGeom prst="rect">
                      <a:avLst/>
                    </a:prstGeom>
                    <a:ln/>
                  </pic:spPr>
                </pic:pic>
              </a:graphicData>
            </a:graphic>
          </wp:inline>
        </w:drawing>
      </w:r>
    </w:p>
    <w:p w14:paraId="2E4A3C2D" w14:textId="77777777" w:rsidR="00E34EF0" w:rsidRDefault="00E34EF0"/>
    <w:p w14:paraId="70F36934" w14:textId="77777777" w:rsidR="00E34EF0" w:rsidRDefault="00000000">
      <w:r>
        <w:rPr>
          <w:noProof/>
        </w:rPr>
        <w:lastRenderedPageBreak/>
        <w:drawing>
          <wp:inline distT="114300" distB="114300" distL="114300" distR="114300" wp14:anchorId="61BF8DFE" wp14:editId="0CB73181">
            <wp:extent cx="5731200" cy="25781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731200" cy="2578100"/>
                    </a:xfrm>
                    <a:prstGeom prst="rect">
                      <a:avLst/>
                    </a:prstGeom>
                    <a:ln/>
                  </pic:spPr>
                </pic:pic>
              </a:graphicData>
            </a:graphic>
          </wp:inline>
        </w:drawing>
      </w:r>
    </w:p>
    <w:sectPr w:rsidR="00E34EF0">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embedRegular r:id="rId1" w:fontKey="{9D875C6A-6782-4679-8369-2396A975DAC2}"/>
    <w:embedBold r:id="rId2" w:fontKey="{6E6E8B80-5F41-4B60-87EF-81FE462B2E1C}"/>
    <w:embedItalic r:id="rId3" w:fontKey="{D876965F-7A6E-4C9E-A5C0-9B292E5D2E11}"/>
  </w:font>
  <w:font w:name="Comic Sans MS">
    <w:panose1 w:val="030F0702030302020204"/>
    <w:charset w:val="00"/>
    <w:family w:val="script"/>
    <w:pitch w:val="variable"/>
    <w:sig w:usb0="00000687" w:usb1="00000013" w:usb2="00000000" w:usb3="00000000" w:csb0="0000009F" w:csb1="00000000"/>
    <w:embedBold r:id="rId4" w:fontKey="{B83DEEE4-C27F-44B4-A912-DBE646E2FE32}"/>
  </w:font>
  <w:font w:name="Calibri">
    <w:panose1 w:val="020F0502020204030204"/>
    <w:charset w:val="00"/>
    <w:family w:val="swiss"/>
    <w:pitch w:val="variable"/>
    <w:sig w:usb0="E4002EFF" w:usb1="C200247B" w:usb2="00000009" w:usb3="00000000" w:csb0="000001FF" w:csb1="00000000"/>
    <w:embedRegular r:id="rId5" w:fontKey="{BCF64222-040F-4608-9076-8A84DB8EB4AA}"/>
  </w:font>
  <w:font w:name="Cambria">
    <w:panose1 w:val="02040503050406030204"/>
    <w:charset w:val="00"/>
    <w:family w:val="roman"/>
    <w:pitch w:val="variable"/>
    <w:sig w:usb0="E00006FF" w:usb1="420024FF" w:usb2="02000000" w:usb3="00000000" w:csb0="0000019F" w:csb1="00000000"/>
    <w:embedRegular r:id="rId6" w:fontKey="{693EAE95-6F4D-45A1-8A10-6FBA5160642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AA5F9F"/>
    <w:multiLevelType w:val="multilevel"/>
    <w:tmpl w:val="476C76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C1658D9"/>
    <w:multiLevelType w:val="multilevel"/>
    <w:tmpl w:val="6DB42F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F404FE4"/>
    <w:multiLevelType w:val="multilevel"/>
    <w:tmpl w:val="3A342C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F745EA2"/>
    <w:multiLevelType w:val="multilevel"/>
    <w:tmpl w:val="5B2E66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8AC0697"/>
    <w:multiLevelType w:val="multilevel"/>
    <w:tmpl w:val="E6B2CF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FFB7F66"/>
    <w:multiLevelType w:val="multilevel"/>
    <w:tmpl w:val="A60CB0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8320368"/>
    <w:multiLevelType w:val="multilevel"/>
    <w:tmpl w:val="DB443E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75D6B73"/>
    <w:multiLevelType w:val="multilevel"/>
    <w:tmpl w:val="D96A54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8BE6CBB"/>
    <w:multiLevelType w:val="multilevel"/>
    <w:tmpl w:val="333A95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F6717EF"/>
    <w:multiLevelType w:val="multilevel"/>
    <w:tmpl w:val="E182EB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2AC7E35"/>
    <w:multiLevelType w:val="multilevel"/>
    <w:tmpl w:val="0E1C91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22163888">
    <w:abstractNumId w:val="3"/>
  </w:num>
  <w:num w:numId="2" w16cid:durableId="1274509379">
    <w:abstractNumId w:val="4"/>
  </w:num>
  <w:num w:numId="3" w16cid:durableId="688214408">
    <w:abstractNumId w:val="1"/>
  </w:num>
  <w:num w:numId="4" w16cid:durableId="1092243845">
    <w:abstractNumId w:val="2"/>
  </w:num>
  <w:num w:numId="5" w16cid:durableId="1563365034">
    <w:abstractNumId w:val="7"/>
  </w:num>
  <w:num w:numId="6" w16cid:durableId="663122921">
    <w:abstractNumId w:val="10"/>
  </w:num>
  <w:num w:numId="7" w16cid:durableId="499395251">
    <w:abstractNumId w:val="9"/>
  </w:num>
  <w:num w:numId="8" w16cid:durableId="1867719259">
    <w:abstractNumId w:val="0"/>
  </w:num>
  <w:num w:numId="9" w16cid:durableId="933637433">
    <w:abstractNumId w:val="5"/>
  </w:num>
  <w:num w:numId="10" w16cid:durableId="1190335260">
    <w:abstractNumId w:val="6"/>
  </w:num>
  <w:num w:numId="11" w16cid:durableId="113155288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4EF0"/>
    <w:rsid w:val="001D47EE"/>
    <w:rsid w:val="003B0F28"/>
    <w:rsid w:val="005A6F58"/>
    <w:rsid w:val="00E34E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41447B"/>
  <w15:docId w15:val="{D8F21C82-2FA8-4B9F-8A3F-A8FA39653A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norfolk.gov.uk/children-and-families/early-help-and-prevention/family-early-help-assessment" TargetMode="External"/><Relationship Id="rId13"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hyperlink" Target="https://www.norfolk.gov.uk/children-and-families/early-help-and-prevention" TargetMode="External"/><Relationship Id="rId12"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government/publications/early-help-system-guide" TargetMode="External"/><Relationship Id="rId11" Type="http://schemas.openxmlformats.org/officeDocument/2006/relationships/hyperlink" Target="https://www.towerhamlets.gov.uk/lgnl/health__social_care/Children_and_families/Early_help_for_families/Our_partners_in_Early_Help.aspx" TargetMode="External"/><Relationship Id="rId5" Type="http://schemas.openxmlformats.org/officeDocument/2006/relationships/hyperlink" Target="https://www.gov.uk/government/publications/working-together-to-safeguard-children--2" TargetMode="External"/><Relationship Id="rId15" Type="http://schemas.openxmlformats.org/officeDocument/2006/relationships/theme" Target="theme/theme1.xml"/><Relationship Id="rId10" Type="http://schemas.openxmlformats.org/officeDocument/2006/relationships/hyperlink" Target="https://www.towerhamlets.gov.uk/lgnl/health__social_care/Children_and_families/Early_help_for_families.aspx" TargetMode="External"/><Relationship Id="rId4" Type="http://schemas.openxmlformats.org/officeDocument/2006/relationships/webSettings" Target="webSettings.xml"/><Relationship Id="rId9" Type="http://schemas.openxmlformats.org/officeDocument/2006/relationships/hyperlink" Target="https://www.staffordshire.gov.uk/Children-and-families/Early-help/Early-help.aspx" TargetMode="External"/><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10</Pages>
  <Words>2751</Words>
  <Characters>15682</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salma</dc:creator>
  <cp:lastModifiedBy>salma Lipi</cp:lastModifiedBy>
  <cp:revision>2</cp:revision>
  <dcterms:created xsi:type="dcterms:W3CDTF">2025-12-10T00:07:00Z</dcterms:created>
  <dcterms:modified xsi:type="dcterms:W3CDTF">2025-12-10T00:07:00Z</dcterms:modified>
</cp:coreProperties>
</file>