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2C9132" w14:textId="6E4CCF6E" w:rsidR="00332AF5" w:rsidRPr="00AD7F60" w:rsidRDefault="00DE1938">
      <w:pPr>
        <w:rPr>
          <w:rFonts w:ascii="Arial" w:hAnsi="Arial" w:cs="Arial"/>
          <w:b/>
          <w:sz w:val="24"/>
          <w:szCs w:val="24"/>
        </w:rPr>
      </w:pPr>
      <w:r w:rsidRPr="00AD7F60">
        <w:rPr>
          <w:rFonts w:ascii="Arial" w:hAnsi="Arial" w:cs="Arial"/>
          <w:b/>
          <w:sz w:val="24"/>
          <w:szCs w:val="24"/>
        </w:rPr>
        <w:t>Using appropriate theory and empirical evidence, review a recent media story on the importance of activity in the elderly. The article is taken from the Guardian (Tuesday 25 July 2017) and is entitled- ‘it touches their souls’: Opera finds new audience in care homes.</w:t>
      </w:r>
    </w:p>
    <w:p w14:paraId="21C597FF" w14:textId="77777777" w:rsidR="0002174E" w:rsidRPr="0002174E" w:rsidRDefault="00DE1938" w:rsidP="0002174E">
      <w:pPr>
        <w:spacing w:line="360" w:lineRule="auto"/>
        <w:rPr>
          <w:rFonts w:ascii="Arial" w:hAnsi="Arial" w:cs="Arial"/>
          <w:sz w:val="24"/>
          <w:szCs w:val="24"/>
        </w:rPr>
      </w:pPr>
      <w:r w:rsidRPr="0002174E">
        <w:rPr>
          <w:rFonts w:ascii="Arial" w:hAnsi="Arial" w:cs="Arial"/>
          <w:sz w:val="24"/>
          <w:szCs w:val="24"/>
        </w:rPr>
        <w:t xml:space="preserve">This essay aims to discuss the contents of a Guardian article ‘It touches their souls’: Opera finds new audience in care homes (2017), and how the Activity Theory and Social Participation Theory outline the importance of activity in elderly individuals who may also be suffering from dementia. </w:t>
      </w:r>
    </w:p>
    <w:p w14:paraId="3464D2D3" w14:textId="77777777" w:rsidR="0002174E" w:rsidRPr="0002174E" w:rsidRDefault="00DE1938" w:rsidP="0002174E">
      <w:pPr>
        <w:spacing w:line="360" w:lineRule="auto"/>
        <w:rPr>
          <w:rFonts w:ascii="Arial" w:hAnsi="Arial" w:cs="Arial"/>
          <w:color w:val="000000" w:themeColor="text1"/>
          <w:sz w:val="24"/>
          <w:szCs w:val="24"/>
        </w:rPr>
      </w:pPr>
      <w:r w:rsidRPr="0002174E">
        <w:rPr>
          <w:rFonts w:ascii="Arial" w:hAnsi="Arial" w:cs="Arial"/>
          <w:color w:val="000000" w:themeColor="text1"/>
          <w:sz w:val="24"/>
          <w:szCs w:val="24"/>
        </w:rPr>
        <w:t>Dementia can be interpreted in too many ways. According to McKeel, Burns, and Meuser (2007</w:t>
      </w:r>
      <w:r w:rsidRPr="0002174E">
        <w:rPr>
          <w:rFonts w:ascii="Arial" w:hAnsi="Arial" w:cs="Arial"/>
          <w:color w:val="000000" w:themeColor="text1"/>
          <w:sz w:val="20"/>
          <w:szCs w:val="20"/>
        </w:rPr>
        <w:t>)</w:t>
      </w:r>
      <w:r w:rsidRPr="0002174E">
        <w:rPr>
          <w:rFonts w:ascii="Arial" w:hAnsi="Arial" w:cs="Arial"/>
          <w:color w:val="000000" w:themeColor="text1"/>
          <w:sz w:val="24"/>
          <w:szCs w:val="24"/>
        </w:rPr>
        <w:t>,</w:t>
      </w:r>
      <w:r w:rsidRPr="0002174E">
        <w:rPr>
          <w:rFonts w:ascii="Arial" w:hAnsi="Arial" w:cs="Arial"/>
          <w:color w:val="FF0000"/>
          <w:sz w:val="24"/>
          <w:szCs w:val="24"/>
        </w:rPr>
        <w:t xml:space="preserve"> </w:t>
      </w:r>
      <w:r w:rsidRPr="0002174E">
        <w:rPr>
          <w:rFonts w:ascii="Arial" w:hAnsi="Arial" w:cs="Arial"/>
          <w:color w:val="000000" w:themeColor="text1"/>
          <w:sz w:val="24"/>
          <w:szCs w:val="24"/>
        </w:rPr>
        <w:t xml:space="preserve">dementia is a clinical syndrome which is caused by a brain disease that affects the cognitive function, so that daily activities become tough and memory loss plays a major role. </w:t>
      </w:r>
    </w:p>
    <w:p w14:paraId="1AF8C38B" w14:textId="77777777" w:rsidR="0002174E" w:rsidRPr="0002174E" w:rsidRDefault="00DE1938" w:rsidP="0002174E">
      <w:pPr>
        <w:spacing w:line="360" w:lineRule="auto"/>
        <w:rPr>
          <w:rFonts w:ascii="Arial" w:hAnsi="Arial" w:cs="Arial"/>
          <w:color w:val="000000" w:themeColor="text1"/>
          <w:sz w:val="24"/>
          <w:szCs w:val="24"/>
        </w:rPr>
      </w:pPr>
      <w:r w:rsidRPr="0002174E">
        <w:rPr>
          <w:rFonts w:ascii="Arial" w:hAnsi="Arial" w:cs="Arial"/>
          <w:color w:val="000000" w:themeColor="text1"/>
          <w:sz w:val="24"/>
          <w:szCs w:val="24"/>
        </w:rPr>
        <w:t xml:space="preserve">The statistics shown by </w:t>
      </w:r>
      <w:r w:rsidRPr="0002174E">
        <w:rPr>
          <w:rFonts w:ascii="Arial" w:hAnsi="Arial" w:cs="Arial"/>
          <w:color w:val="000000" w:themeColor="text1"/>
          <w:sz w:val="24"/>
          <w:szCs w:val="20"/>
        </w:rPr>
        <w:t>Society (2018),</w:t>
      </w:r>
      <w:r w:rsidRPr="0002174E">
        <w:rPr>
          <w:rFonts w:ascii="Arial" w:hAnsi="Arial" w:cs="Arial"/>
          <w:color w:val="000000" w:themeColor="text1"/>
          <w:sz w:val="32"/>
          <w:szCs w:val="24"/>
        </w:rPr>
        <w:t xml:space="preserve"> </w:t>
      </w:r>
      <w:r w:rsidRPr="0002174E">
        <w:rPr>
          <w:rFonts w:ascii="Arial" w:hAnsi="Arial" w:cs="Arial"/>
          <w:color w:val="000000" w:themeColor="text1"/>
          <w:sz w:val="24"/>
          <w:szCs w:val="24"/>
        </w:rPr>
        <w:t xml:space="preserve">that dementia is a huge issue in the UK.  Figures show that 850,000 people suffer from dementia in the UK. Within care homes, 70 percent of residents suffer from dementia or have severe memory problems. Dementia in the UK is priced at £26 billion a year with an individual levy of £32,250 a year. Unfortunately, this mean that £21, 285 is paid by individuals suffering from dementia and their families. Dementia can also lead to disability, cardiovascular disease and strokes and furthermore can also lead to feelings of isolation and depression. This is supported by </w:t>
      </w:r>
      <w:r w:rsidRPr="0002174E">
        <w:rPr>
          <w:rFonts w:ascii="Arial" w:hAnsi="Arial" w:cs="Arial"/>
          <w:sz w:val="24"/>
          <w:szCs w:val="24"/>
        </w:rPr>
        <w:t>the article ‘It touches their souls': Opera finds new audience in care home' (2017), which can be summarised by its depiction of an operative play called ‘Six Characters in search of an Opera', held within the old vicarage, a care home in Dorset. The care home was a relatively small home with 40 residents including those suffering from dementia.</w:t>
      </w:r>
    </w:p>
    <w:p w14:paraId="54726BA2" w14:textId="77777777" w:rsidR="0002174E" w:rsidRPr="0002174E" w:rsidRDefault="00DE1938" w:rsidP="0002174E">
      <w:pPr>
        <w:spacing w:line="360" w:lineRule="auto"/>
        <w:rPr>
          <w:rFonts w:ascii="Arial" w:hAnsi="Arial" w:cs="Arial"/>
          <w:sz w:val="24"/>
          <w:szCs w:val="24"/>
        </w:rPr>
      </w:pPr>
      <w:r w:rsidRPr="0002174E">
        <w:rPr>
          <w:rFonts w:ascii="Arial" w:hAnsi="Arial" w:cs="Arial"/>
          <w:sz w:val="24"/>
          <w:szCs w:val="24"/>
        </w:rPr>
        <w:t>Activities such as Opera engage the residents with favorite music from the past, this may encourage memories, lift spirits and promote emotional connection with both the music and people involved.</w:t>
      </w:r>
    </w:p>
    <w:p w14:paraId="44981246" w14:textId="77777777" w:rsidR="0002174E" w:rsidRPr="0002174E" w:rsidRDefault="00DE1938" w:rsidP="0002174E">
      <w:pPr>
        <w:spacing w:line="360" w:lineRule="auto"/>
        <w:rPr>
          <w:rFonts w:ascii="Arial" w:hAnsi="Arial" w:cs="Arial"/>
          <w:sz w:val="24"/>
          <w:szCs w:val="24"/>
        </w:rPr>
      </w:pPr>
      <w:r w:rsidRPr="0002174E">
        <w:rPr>
          <w:rFonts w:ascii="Arial" w:hAnsi="Arial" w:cs="Arial"/>
          <w:sz w:val="24"/>
          <w:szCs w:val="24"/>
        </w:rPr>
        <w:t xml:space="preserve">Developing opportunities such as this allows residence to re-engage with the past pleasures by </w:t>
      </w:r>
      <w:proofErr w:type="gramStart"/>
      <w:r w:rsidRPr="0002174E">
        <w:rPr>
          <w:rFonts w:ascii="Arial" w:hAnsi="Arial" w:cs="Arial"/>
          <w:sz w:val="24"/>
          <w:szCs w:val="24"/>
        </w:rPr>
        <w:t>taking into account</w:t>
      </w:r>
      <w:proofErr w:type="gramEnd"/>
      <w:r w:rsidRPr="0002174E">
        <w:rPr>
          <w:rFonts w:ascii="Arial" w:hAnsi="Arial" w:cs="Arial"/>
          <w:sz w:val="24"/>
          <w:szCs w:val="24"/>
        </w:rPr>
        <w:t xml:space="preserve"> that residents have multiple interests and backgrounds rather than generalized activities such as playing bingo and Sudoku all day.</w:t>
      </w:r>
    </w:p>
    <w:p w14:paraId="1901DAE7" w14:textId="77777777" w:rsidR="0002174E" w:rsidRPr="0002174E" w:rsidRDefault="00DE1938" w:rsidP="0002174E">
      <w:pPr>
        <w:spacing w:line="360" w:lineRule="auto"/>
        <w:rPr>
          <w:rFonts w:ascii="Arial" w:hAnsi="Arial" w:cs="Arial"/>
          <w:sz w:val="24"/>
          <w:szCs w:val="24"/>
        </w:rPr>
      </w:pPr>
      <w:r w:rsidRPr="0002174E">
        <w:rPr>
          <w:rFonts w:ascii="Arial" w:hAnsi="Arial" w:cs="Arial"/>
          <w:sz w:val="24"/>
          <w:szCs w:val="24"/>
        </w:rPr>
        <w:lastRenderedPageBreak/>
        <w:t>The operatic play brings individuals together without force, building a connection with the people involved and leads to attentiveness which is recognized by sitting up straight, physically participating by tapping their feet and smiling which shows their interest to the activity.</w:t>
      </w:r>
    </w:p>
    <w:p w14:paraId="773790BA" w14:textId="77777777" w:rsidR="0002174E" w:rsidRPr="0002174E" w:rsidRDefault="00DE1938" w:rsidP="0002174E">
      <w:pPr>
        <w:spacing w:line="360" w:lineRule="auto"/>
        <w:rPr>
          <w:rFonts w:ascii="Arial" w:hAnsi="Arial" w:cs="Arial"/>
          <w:sz w:val="24"/>
          <w:szCs w:val="24"/>
        </w:rPr>
      </w:pPr>
      <w:r w:rsidRPr="0002174E">
        <w:rPr>
          <w:rFonts w:ascii="Arial" w:hAnsi="Arial" w:cs="Arial"/>
          <w:sz w:val="24"/>
          <w:szCs w:val="24"/>
        </w:rPr>
        <w:t>This shows also that care homes need to cater to a wider audience by taking into consideration what residents interests and what they want to do, however, are limited by financial constraints as having only had 8p a day to do activities.</w:t>
      </w:r>
    </w:p>
    <w:p w14:paraId="29B83458" w14:textId="77777777" w:rsidR="0002174E" w:rsidRPr="0002174E" w:rsidRDefault="00DE1938" w:rsidP="0002174E">
      <w:pPr>
        <w:spacing w:line="360" w:lineRule="auto"/>
        <w:rPr>
          <w:rFonts w:ascii="Arial" w:hAnsi="Arial" w:cs="Arial"/>
          <w:sz w:val="24"/>
          <w:szCs w:val="24"/>
        </w:rPr>
      </w:pPr>
      <w:r w:rsidRPr="0002174E">
        <w:rPr>
          <w:rFonts w:ascii="Arial" w:hAnsi="Arial" w:cs="Arial"/>
          <w:sz w:val="24"/>
          <w:szCs w:val="24"/>
        </w:rPr>
        <w:t>Several theories relate to this area such as the Activity Theory and Social Participation Theory to outline the benefits of exercise and socializing.</w:t>
      </w:r>
    </w:p>
    <w:p w14:paraId="1ABCE8B7" w14:textId="77777777" w:rsidR="0002174E" w:rsidRPr="0002174E" w:rsidRDefault="00DE1938" w:rsidP="0002174E">
      <w:pPr>
        <w:spacing w:line="360" w:lineRule="auto"/>
        <w:rPr>
          <w:rFonts w:ascii="Arial" w:hAnsi="Arial" w:cs="Arial"/>
          <w:sz w:val="24"/>
          <w:szCs w:val="24"/>
        </w:rPr>
      </w:pPr>
      <w:r w:rsidRPr="0002174E">
        <w:rPr>
          <w:rFonts w:ascii="Arial" w:hAnsi="Arial" w:cs="Arial"/>
          <w:sz w:val="24"/>
          <w:szCs w:val="24"/>
        </w:rPr>
        <w:t xml:space="preserve">Activity theory proposed by Havinghurst and Alberch (1953), suggests that staying engaged and active means it will lead an individual to have a long happy life.  </w:t>
      </w:r>
    </w:p>
    <w:p w14:paraId="5C3878AA" w14:textId="77777777" w:rsidR="0002174E" w:rsidRPr="0002174E" w:rsidRDefault="00DE1938" w:rsidP="0002174E">
      <w:pPr>
        <w:spacing w:line="360" w:lineRule="auto"/>
        <w:rPr>
          <w:rFonts w:ascii="Arial" w:hAnsi="Arial" w:cs="Arial"/>
          <w:sz w:val="24"/>
          <w:szCs w:val="24"/>
        </w:rPr>
      </w:pPr>
      <w:r w:rsidRPr="0002174E">
        <w:rPr>
          <w:rFonts w:ascii="Arial" w:hAnsi="Arial" w:cs="Arial"/>
          <w:sz w:val="24"/>
          <w:szCs w:val="24"/>
        </w:rPr>
        <w:t xml:space="preserve">Maddox (1963) supports the Activity theory, stating how leisure time can improve community service as individuals may look for new activities to experience as they may have free time. </w:t>
      </w:r>
    </w:p>
    <w:p w14:paraId="7D79F6D5" w14:textId="77777777" w:rsidR="0002174E" w:rsidRPr="0002174E" w:rsidRDefault="00DE1938" w:rsidP="0002174E">
      <w:pPr>
        <w:spacing w:line="360" w:lineRule="auto"/>
        <w:rPr>
          <w:rFonts w:ascii="Arial" w:hAnsi="Arial" w:cs="Arial"/>
          <w:sz w:val="24"/>
          <w:szCs w:val="24"/>
        </w:rPr>
      </w:pPr>
      <w:r w:rsidRPr="0002174E">
        <w:rPr>
          <w:rFonts w:ascii="Arial" w:hAnsi="Arial" w:cs="Arial"/>
          <w:sz w:val="24"/>
          <w:szCs w:val="24"/>
        </w:rPr>
        <w:t>However, on the other hand, there has been criticism stating how no individual activities were outlined to develop a long happy life and how the theory doesn't take into consideration the personal factors that limit access to these activities for example; finance, transport and physical limitations.</w:t>
      </w:r>
    </w:p>
    <w:p w14:paraId="4AFF4ADB" w14:textId="77777777" w:rsidR="0002174E" w:rsidRPr="0002174E" w:rsidRDefault="00DE1938" w:rsidP="0002174E">
      <w:pPr>
        <w:spacing w:line="360" w:lineRule="auto"/>
        <w:rPr>
          <w:rFonts w:ascii="Arial" w:hAnsi="Arial" w:cs="Arial"/>
          <w:sz w:val="24"/>
          <w:szCs w:val="24"/>
        </w:rPr>
      </w:pPr>
      <w:r w:rsidRPr="0002174E">
        <w:rPr>
          <w:rFonts w:ascii="Arial" w:hAnsi="Arial" w:cs="Arial"/>
          <w:sz w:val="24"/>
          <w:szCs w:val="24"/>
        </w:rPr>
        <w:t>Despite the criticism, there have been many case studies to support the theory, which will be outlined further on.</w:t>
      </w:r>
    </w:p>
    <w:p w14:paraId="3EE7889A" w14:textId="77777777" w:rsidR="0002174E" w:rsidRPr="0002174E" w:rsidRDefault="00DE1938" w:rsidP="0002174E">
      <w:pPr>
        <w:spacing w:line="360" w:lineRule="auto"/>
        <w:rPr>
          <w:rFonts w:ascii="Arial" w:hAnsi="Arial" w:cs="Arial"/>
          <w:sz w:val="24"/>
          <w:szCs w:val="24"/>
        </w:rPr>
      </w:pPr>
      <w:r w:rsidRPr="0002174E">
        <w:rPr>
          <w:rFonts w:ascii="Arial" w:hAnsi="Arial" w:cs="Arial"/>
          <w:sz w:val="24"/>
          <w:szCs w:val="24"/>
        </w:rPr>
        <w:t xml:space="preserve">Social Participation Theory is also </w:t>
      </w:r>
      <w:proofErr w:type="gramStart"/>
      <w:r w:rsidRPr="0002174E">
        <w:rPr>
          <w:rFonts w:ascii="Arial" w:hAnsi="Arial" w:cs="Arial"/>
          <w:sz w:val="24"/>
          <w:szCs w:val="24"/>
        </w:rPr>
        <w:t>similar to</w:t>
      </w:r>
      <w:proofErr w:type="gramEnd"/>
      <w:r w:rsidRPr="0002174E">
        <w:rPr>
          <w:rFonts w:ascii="Arial" w:hAnsi="Arial" w:cs="Arial"/>
          <w:sz w:val="24"/>
          <w:szCs w:val="24"/>
        </w:rPr>
        <w:t xml:space="preserve"> Activity Theory in that it encourages the elderly to socialize through activities to keep them engaged in life. Social participation encourages memory and making individuals feel valued. </w:t>
      </w:r>
    </w:p>
    <w:p w14:paraId="53705C01" w14:textId="77777777" w:rsidR="0002174E" w:rsidRPr="0002174E" w:rsidRDefault="00DE1938" w:rsidP="0002174E">
      <w:pPr>
        <w:spacing w:line="360" w:lineRule="auto"/>
        <w:rPr>
          <w:rFonts w:ascii="Arial" w:hAnsi="Arial" w:cs="Arial"/>
          <w:color w:val="000000" w:themeColor="text1"/>
          <w:sz w:val="24"/>
          <w:szCs w:val="24"/>
        </w:rPr>
      </w:pPr>
      <w:r w:rsidRPr="0002174E">
        <w:rPr>
          <w:rFonts w:ascii="Arial" w:hAnsi="Arial" w:cs="Arial"/>
          <w:color w:val="000000" w:themeColor="text1"/>
          <w:sz w:val="24"/>
          <w:szCs w:val="24"/>
        </w:rPr>
        <w:t>Although stated by Levasseur et al. (2010), there is no actual definition of Social Participation Theory it relates to mortality, morbidity, and quality of life" of the elderly. (2010) Public Health and Rehabilitation and participation in many various ways. To help identify what social participation means a taxonomy social activity was introduced. Polatajko et al (2007), states that taxonomy usage is a vague system that allows different ideas from many different levels.</w:t>
      </w:r>
    </w:p>
    <w:p w14:paraId="188666F6" w14:textId="77777777" w:rsidR="0002174E" w:rsidRPr="0002174E" w:rsidRDefault="00DE1938" w:rsidP="0002174E">
      <w:pPr>
        <w:spacing w:line="360" w:lineRule="auto"/>
        <w:rPr>
          <w:rFonts w:ascii="Arial" w:hAnsi="Arial" w:cs="Arial"/>
          <w:color w:val="000000" w:themeColor="text1"/>
          <w:sz w:val="24"/>
          <w:szCs w:val="24"/>
        </w:rPr>
      </w:pPr>
      <w:r w:rsidRPr="0002174E">
        <w:rPr>
          <w:rFonts w:ascii="Arial" w:hAnsi="Arial" w:cs="Arial"/>
          <w:color w:val="000000" w:themeColor="text1"/>
          <w:sz w:val="24"/>
          <w:szCs w:val="24"/>
        </w:rPr>
        <w:lastRenderedPageBreak/>
        <w:t xml:space="preserve">Levasseur, St- Cyr Tribble &amp; Desrosisers (2009), expresses that social participation may leave individuals feeling satisfied and valued. Wuthnow (1991), also states that volunteering is considered as social participation so when the elderly or an individual volunteer they help create a better environment for the community. Statistics from Canada, (2009), expresses how not many elderly individuals volunteer but when they do they give the community much more time than young individuals. </w:t>
      </w:r>
    </w:p>
    <w:p w14:paraId="7728A19D" w14:textId="77777777" w:rsidR="0002174E" w:rsidRPr="0002174E" w:rsidRDefault="00DE1938" w:rsidP="0002174E">
      <w:pPr>
        <w:spacing w:line="360" w:lineRule="auto"/>
        <w:rPr>
          <w:rFonts w:ascii="Arial" w:hAnsi="Arial" w:cs="Arial"/>
          <w:color w:val="000000" w:themeColor="text1"/>
          <w:sz w:val="24"/>
          <w:szCs w:val="24"/>
        </w:rPr>
      </w:pPr>
      <w:r w:rsidRPr="0002174E">
        <w:rPr>
          <w:rFonts w:ascii="Arial" w:hAnsi="Arial" w:cs="Arial"/>
          <w:color w:val="000000" w:themeColor="text1"/>
          <w:sz w:val="24"/>
          <w:szCs w:val="24"/>
        </w:rPr>
        <w:t>Levasseur et al., (2010)</w:t>
      </w:r>
      <w:r w:rsidRPr="0002174E">
        <w:rPr>
          <w:rFonts w:ascii="Arial" w:hAnsi="Arial" w:cs="Arial"/>
          <w:color w:val="000000" w:themeColor="text1"/>
          <w:sz w:val="20"/>
          <w:szCs w:val="20"/>
        </w:rPr>
        <w:t xml:space="preserve"> </w:t>
      </w:r>
      <w:r w:rsidRPr="0002174E">
        <w:rPr>
          <w:rFonts w:ascii="Arial" w:hAnsi="Arial" w:cs="Arial"/>
          <w:sz w:val="24"/>
          <w:szCs w:val="24"/>
        </w:rPr>
        <w:t xml:space="preserve">Used 43 papers from January 1981 to February 2009, to analyze the meaning of social participation. Generally, all the papers focused on elderly individuals and used the term social participation. The findings were that to be classified as social participation you will need to be socially involved with other individuals. This involvement doesn't have to be in the same physical environment as another individual it can be done online. According to Herzog, </w:t>
      </w:r>
      <w:proofErr w:type="spellStart"/>
      <w:r w:rsidRPr="0002174E">
        <w:rPr>
          <w:rFonts w:ascii="Arial" w:hAnsi="Arial" w:cs="Arial"/>
          <w:sz w:val="24"/>
          <w:szCs w:val="24"/>
        </w:rPr>
        <w:t>Ofstedal</w:t>
      </w:r>
      <w:proofErr w:type="spellEnd"/>
      <w:r w:rsidRPr="0002174E">
        <w:rPr>
          <w:rFonts w:ascii="Arial" w:hAnsi="Arial" w:cs="Arial"/>
          <w:sz w:val="24"/>
          <w:szCs w:val="24"/>
        </w:rPr>
        <w:t>, and Wheeler (2004), social participation is having direct interaction with close ones, colleagues etc and participating in social activities in the community. This study showed how social participation can be summarised in many ways.</w:t>
      </w:r>
    </w:p>
    <w:p w14:paraId="6CCCF15A" w14:textId="77777777" w:rsidR="0002174E" w:rsidRPr="0002174E" w:rsidRDefault="00DE1938" w:rsidP="0002174E">
      <w:pPr>
        <w:spacing w:line="360" w:lineRule="auto"/>
        <w:rPr>
          <w:rFonts w:ascii="Arial" w:hAnsi="Arial" w:cs="Arial"/>
          <w:sz w:val="24"/>
          <w:szCs w:val="24"/>
        </w:rPr>
      </w:pPr>
      <w:r w:rsidRPr="0002174E">
        <w:rPr>
          <w:rFonts w:ascii="Arial" w:hAnsi="Arial" w:cs="Arial"/>
          <w:sz w:val="24"/>
          <w:szCs w:val="24"/>
        </w:rPr>
        <w:t>Park (2009), carried out a study to find out ‘the relationship of social engagement to the psychological well-being of older adults in assisted living facilities'. The study included interviewing 82 residents aged 65 and older from 8 different facilities, who were non-dementia sufferers. The interviews included a battery of questionnaires, which looked at urban vs dementia and the mental health of the residents. The findings were that residents enjoyed mealtimes and enjoyed the connection with the carers at facilities. Elderly people showed less depressive symptoms when they had communication with another staff. They also found out that relationship between residents and staff should be encouraged for them to be psychologically well. However, some criticism was made towards the study itself with the small group size in that the study didn't include any adults who were cognitively impaired and socially isolated, so this can be argued does social engagement theory really help with psychological well-being, for example, depression and does socializing really help with dementia sufferers?</w:t>
      </w:r>
    </w:p>
    <w:p w14:paraId="0D540A80" w14:textId="77777777" w:rsidR="0002174E" w:rsidRPr="0002174E" w:rsidRDefault="00DE1938" w:rsidP="0002174E">
      <w:pPr>
        <w:spacing w:line="360" w:lineRule="auto"/>
        <w:rPr>
          <w:rFonts w:ascii="Arial" w:hAnsi="Arial" w:cs="Arial"/>
          <w:sz w:val="24"/>
          <w:szCs w:val="24"/>
        </w:rPr>
      </w:pPr>
      <w:r w:rsidRPr="0002174E">
        <w:rPr>
          <w:rFonts w:ascii="Arial" w:hAnsi="Arial" w:cs="Arial"/>
          <w:sz w:val="24"/>
          <w:szCs w:val="24"/>
        </w:rPr>
        <w:t xml:space="preserve">Laurin, D (2001), carried out a study ‘to explore the association between physical activity and the risk of cognitive impairment and dementia. The participation came from the ‘Canadian study of health and aging', there were 9008 men and women </w:t>
      </w:r>
      <w:r w:rsidRPr="0002174E">
        <w:rPr>
          <w:rFonts w:ascii="Arial" w:hAnsi="Arial" w:cs="Arial"/>
          <w:sz w:val="24"/>
          <w:szCs w:val="24"/>
        </w:rPr>
        <w:lastRenderedPageBreak/>
        <w:t>randomly selected participants, who were 65 years or older. All participants were asked questions about their health, general chronic conditions and their ability to carry out basic activities. They were already observed in a study called ‘Health and Aging (1991-1992)'. Some suffered from dementia, cognitive impairment and some didn't suffer from any sort of dementia and cognitive impairment. The study included screening, interviews and clinical evaluations right throughout the study. Most participation engaged with exercise 3 or more times a week which they logged themselves. The study found out that moderate and high levels of exercise reduced the risks of Alzheimer disease and other sorts of dementia, especially in women. They also observed, higher levels of exercise, reduced the chances of vascular dementia. Overall the study showed how regular exercise reduced or delayed the risk of dementia and Alzheimer disease in elderly people. As a large representative sample was used in this study and other studies this shows that the findings can be trusted. Others may argue how exercise may not protect all individuals from developing dementia, but it can be argued that exercise does lead to having good health and encourages memory.</w:t>
      </w:r>
    </w:p>
    <w:p w14:paraId="6C238D44" w14:textId="20585E64" w:rsidR="0002174E" w:rsidRPr="0002174E" w:rsidRDefault="00C23BB4" w:rsidP="0002174E">
      <w:pPr>
        <w:spacing w:line="360" w:lineRule="auto"/>
        <w:rPr>
          <w:rFonts w:ascii="Arial" w:hAnsi="Arial" w:cs="Arial"/>
          <w:color w:val="000000" w:themeColor="text1"/>
          <w:sz w:val="24"/>
          <w:szCs w:val="24"/>
        </w:rPr>
      </w:pPr>
      <w:r>
        <w:rPr>
          <w:rFonts w:ascii="Arial" w:hAnsi="Arial" w:cs="Arial"/>
          <w:color w:val="000000" w:themeColor="text1"/>
          <w:sz w:val="24"/>
          <w:szCs w:val="24"/>
        </w:rPr>
        <w:t>In conclusion, d</w:t>
      </w:r>
      <w:r w:rsidR="00DE1938" w:rsidRPr="0002174E">
        <w:rPr>
          <w:rFonts w:ascii="Arial" w:hAnsi="Arial" w:cs="Arial"/>
          <w:color w:val="000000" w:themeColor="text1"/>
          <w:sz w:val="24"/>
          <w:szCs w:val="24"/>
        </w:rPr>
        <w:t>espite the high levels of dementia sufferers, there are many activities available for individuals, but this area can still be improved. The evidence presented in this assignment has shown that social participation in elderly people can lead to meeting new people and experiencing new activities when helping in the community, which helps them keep their brain active. Evidence also shows how high levels of exercise, reduces the risk of elderly people developing dementia and Alzheimer's disease and how everything put together helps the memory to work.</w:t>
      </w:r>
    </w:p>
    <w:p w14:paraId="71E2E869" w14:textId="00FE2DF9" w:rsidR="00C51E01" w:rsidRPr="00496C6E" w:rsidRDefault="00DE1938" w:rsidP="003F406E">
      <w:pPr>
        <w:spacing w:line="360" w:lineRule="auto"/>
        <w:rPr>
          <w:rFonts w:ascii="Arial" w:hAnsi="Arial" w:cs="Arial"/>
          <w:color w:val="000000" w:themeColor="text1"/>
          <w:sz w:val="24"/>
          <w:szCs w:val="24"/>
        </w:rPr>
      </w:pPr>
      <w:r w:rsidRPr="0002174E">
        <w:rPr>
          <w:rFonts w:ascii="Arial" w:hAnsi="Arial" w:cs="Arial"/>
          <w:color w:val="000000" w:themeColor="text1"/>
          <w:sz w:val="24"/>
          <w:szCs w:val="24"/>
        </w:rPr>
        <w:t xml:space="preserve">On the other hand, it can be argued that do elderly people really need to socialize to stay happy? When elderly people are surveyed and included in studies, they should be asked questions to see if they are happy with their current situation, if they prefer not to socialize and not asked general questions for example, about their health and their ability to carry out daily activities. Some elderly people may argue that they are happier without the extra tension and stress of relationships and can live a simple stress-free life when they are disengaged from society. Dementia suffers can argue that they may feel less frustrated and angry when not having to stress about explaining how they feel and figuring out how to put a sentence together. In evidence to this, Cumming and Henry (1961), proposed the disengagement theory, they stated </w:t>
      </w:r>
      <w:r w:rsidRPr="0002174E">
        <w:rPr>
          <w:rFonts w:ascii="Arial" w:hAnsi="Arial" w:cs="Arial"/>
          <w:color w:val="000000" w:themeColor="text1"/>
          <w:sz w:val="24"/>
          <w:szCs w:val="24"/>
        </w:rPr>
        <w:lastRenderedPageBreak/>
        <w:t xml:space="preserve">that when you age you automatically disengage from society and how this disengagement is satisfied by individuals and society. They also state that when the elderly </w:t>
      </w:r>
      <w:r w:rsidR="00465B5F" w:rsidRPr="0002174E">
        <w:rPr>
          <w:rFonts w:ascii="Arial" w:hAnsi="Arial" w:cs="Arial"/>
          <w:color w:val="000000" w:themeColor="text1"/>
          <w:sz w:val="24"/>
          <w:szCs w:val="24"/>
        </w:rPr>
        <w:t>is</w:t>
      </w:r>
      <w:r w:rsidRPr="0002174E">
        <w:rPr>
          <w:rFonts w:ascii="Arial" w:hAnsi="Arial" w:cs="Arial"/>
          <w:color w:val="000000" w:themeColor="text1"/>
          <w:sz w:val="24"/>
          <w:szCs w:val="24"/>
        </w:rPr>
        <w:t xml:space="preserve"> disengaged from the society they have more time on their hands to do what they desire to do without worrying about responsibilities.</w:t>
      </w:r>
      <w:bookmarkStart w:id="0" w:name="_GoBack"/>
      <w:bookmarkEnd w:id="0"/>
    </w:p>
    <w:p w14:paraId="3B993764" w14:textId="77777777" w:rsidR="00CB75A0" w:rsidRDefault="00CB75A0"/>
    <w:p w14:paraId="053D6E6E" w14:textId="58E66D08" w:rsidR="000D067D" w:rsidRDefault="000D067D"/>
    <w:p w14:paraId="1AF1AD04" w14:textId="77777777" w:rsidR="000D067D" w:rsidRDefault="00DE1938">
      <w:r>
        <w:br w:type="page"/>
      </w:r>
    </w:p>
    <w:p w14:paraId="1259F9F8" w14:textId="77777777" w:rsidR="0010553D" w:rsidRDefault="0010553D">
      <w:pPr>
        <w:rPr>
          <w:rFonts w:ascii="Arial" w:hAnsi="Arial" w:cs="Arial"/>
          <w:b/>
          <w:sz w:val="24"/>
          <w:szCs w:val="24"/>
          <w:u w:val="single"/>
        </w:rPr>
      </w:pPr>
    </w:p>
    <w:p w14:paraId="2697492B" w14:textId="3B4F961B" w:rsidR="000D067D" w:rsidRDefault="00DE1938">
      <w:pPr>
        <w:rPr>
          <w:rFonts w:ascii="Arial" w:hAnsi="Arial" w:cs="Arial"/>
          <w:b/>
          <w:sz w:val="24"/>
          <w:szCs w:val="24"/>
          <w:u w:val="single"/>
        </w:rPr>
      </w:pPr>
      <w:r>
        <w:rPr>
          <w:rFonts w:ascii="Arial" w:hAnsi="Arial" w:cs="Arial"/>
          <w:b/>
          <w:sz w:val="24"/>
          <w:szCs w:val="24"/>
          <w:u w:val="single"/>
        </w:rPr>
        <w:t xml:space="preserve">References </w:t>
      </w:r>
    </w:p>
    <w:p w14:paraId="79DF5B5D" w14:textId="77777777" w:rsidR="00832E06" w:rsidRPr="007E2F41" w:rsidRDefault="00DE1938" w:rsidP="007E2F41">
      <w:pPr>
        <w:spacing w:line="360" w:lineRule="auto"/>
        <w:rPr>
          <w:rFonts w:ascii="Arial" w:hAnsi="Arial" w:cs="Arial"/>
          <w:color w:val="000000" w:themeColor="text1"/>
          <w:sz w:val="24"/>
          <w:szCs w:val="24"/>
        </w:rPr>
      </w:pPr>
      <w:r w:rsidRPr="007E2F41">
        <w:rPr>
          <w:rFonts w:ascii="Arial" w:hAnsi="Arial" w:cs="Arial"/>
          <w:color w:val="000000" w:themeColor="text1"/>
          <w:sz w:val="24"/>
          <w:szCs w:val="24"/>
        </w:rPr>
        <w:t xml:space="preserve">Laurin, D., Verreault, R., Lindsay, J., MacPherson, K., and Rockwood, K. (2001). Physical Activity and Risk of Cognitive Impairment and Dementia in Elderly Persons. </w:t>
      </w:r>
      <w:r w:rsidRPr="007E2F41">
        <w:rPr>
          <w:rFonts w:ascii="Arial" w:hAnsi="Arial" w:cs="Arial"/>
          <w:i/>
          <w:iCs/>
          <w:color w:val="000000" w:themeColor="text1"/>
          <w:sz w:val="24"/>
          <w:szCs w:val="24"/>
        </w:rPr>
        <w:t>Archives of Neurology</w:t>
      </w:r>
      <w:r w:rsidRPr="007E2F41">
        <w:rPr>
          <w:rFonts w:ascii="Arial" w:hAnsi="Arial" w:cs="Arial"/>
          <w:color w:val="000000" w:themeColor="text1"/>
          <w:sz w:val="24"/>
          <w:szCs w:val="24"/>
        </w:rPr>
        <w:t xml:space="preserve">, 58(3). </w:t>
      </w:r>
    </w:p>
    <w:p w14:paraId="011E24A4" w14:textId="701F94ED" w:rsidR="0031047E" w:rsidRPr="007E2F41" w:rsidRDefault="00DE1938" w:rsidP="007E2F41">
      <w:pPr>
        <w:spacing w:line="360" w:lineRule="auto"/>
        <w:rPr>
          <w:rFonts w:ascii="Arial" w:hAnsi="Arial" w:cs="Arial"/>
          <w:color w:val="000000" w:themeColor="text1"/>
          <w:sz w:val="24"/>
          <w:szCs w:val="24"/>
        </w:rPr>
      </w:pPr>
      <w:r w:rsidRPr="007E2F41">
        <w:rPr>
          <w:rFonts w:ascii="Arial" w:hAnsi="Arial" w:cs="Arial"/>
          <w:color w:val="000000" w:themeColor="text1"/>
          <w:sz w:val="24"/>
          <w:szCs w:val="24"/>
        </w:rPr>
        <w:t xml:space="preserve">Levasseur, M., Richard, L., Gauvin, L. and Raymond, É. (2010). Inventory and analysis of definitions of social participation found in the aging literature: Proposed taxonomy of social activities. </w:t>
      </w:r>
      <w:r w:rsidRPr="007E2F41">
        <w:rPr>
          <w:rFonts w:ascii="Arial" w:hAnsi="Arial" w:cs="Arial"/>
          <w:i/>
          <w:iCs/>
          <w:color w:val="000000" w:themeColor="text1"/>
          <w:sz w:val="24"/>
          <w:szCs w:val="24"/>
        </w:rPr>
        <w:t>Social Science &amp; Medicine</w:t>
      </w:r>
      <w:r w:rsidRPr="007E2F41">
        <w:rPr>
          <w:rFonts w:ascii="Arial" w:hAnsi="Arial" w:cs="Arial"/>
          <w:color w:val="000000" w:themeColor="text1"/>
          <w:sz w:val="24"/>
          <w:szCs w:val="24"/>
        </w:rPr>
        <w:t>, 71(12), pp.2141-2149.</w:t>
      </w:r>
    </w:p>
    <w:p w14:paraId="06A13D70" w14:textId="28F6F797" w:rsidR="00832E06" w:rsidRPr="007E2F41" w:rsidRDefault="00DE1938" w:rsidP="007E2F41">
      <w:pPr>
        <w:spacing w:line="360" w:lineRule="auto"/>
        <w:rPr>
          <w:rFonts w:ascii="Arial" w:hAnsi="Arial" w:cs="Arial"/>
          <w:color w:val="000000" w:themeColor="text1"/>
          <w:sz w:val="24"/>
          <w:szCs w:val="24"/>
        </w:rPr>
      </w:pPr>
      <w:r w:rsidRPr="007E2F41">
        <w:rPr>
          <w:rFonts w:ascii="Arial" w:hAnsi="Arial" w:cs="Arial"/>
          <w:color w:val="000000" w:themeColor="text1"/>
          <w:sz w:val="24"/>
          <w:szCs w:val="24"/>
        </w:rPr>
        <w:t xml:space="preserve">Mauk, K. (2010). </w:t>
      </w:r>
      <w:r w:rsidRPr="007E2F41">
        <w:rPr>
          <w:rFonts w:ascii="Arial" w:hAnsi="Arial" w:cs="Arial"/>
          <w:i/>
          <w:iCs/>
          <w:color w:val="000000" w:themeColor="text1"/>
          <w:sz w:val="24"/>
          <w:szCs w:val="24"/>
        </w:rPr>
        <w:t>Gerontological Nursing Competencies for Care</w:t>
      </w:r>
      <w:r w:rsidRPr="007E2F41">
        <w:rPr>
          <w:rFonts w:ascii="Arial" w:hAnsi="Arial" w:cs="Arial"/>
          <w:color w:val="000000" w:themeColor="text1"/>
          <w:sz w:val="24"/>
          <w:szCs w:val="24"/>
        </w:rPr>
        <w:t xml:space="preserve">. Sudbury: Jones &amp; Bartlett Learning, LLC. (Chapter 3) </w:t>
      </w:r>
    </w:p>
    <w:p w14:paraId="7E8CEBD2" w14:textId="77777777" w:rsidR="00832E06" w:rsidRPr="007E2F41" w:rsidRDefault="00DE1938" w:rsidP="007E2F41">
      <w:pPr>
        <w:spacing w:line="360" w:lineRule="auto"/>
        <w:rPr>
          <w:rFonts w:ascii="Arial" w:hAnsi="Arial" w:cs="Arial"/>
          <w:b/>
          <w:color w:val="000000" w:themeColor="text1"/>
          <w:sz w:val="24"/>
          <w:szCs w:val="24"/>
          <w:u w:val="single"/>
        </w:rPr>
      </w:pPr>
      <w:r w:rsidRPr="007E2F41">
        <w:rPr>
          <w:rFonts w:ascii="Arial" w:hAnsi="Arial" w:cs="Arial"/>
          <w:color w:val="000000" w:themeColor="text1"/>
          <w:sz w:val="24"/>
          <w:szCs w:val="24"/>
        </w:rPr>
        <w:t xml:space="preserve">McKeel, D., Burns, J. and Meuser, T. (2007). </w:t>
      </w:r>
      <w:r w:rsidRPr="007E2F41">
        <w:rPr>
          <w:rFonts w:ascii="Arial" w:hAnsi="Arial" w:cs="Arial"/>
          <w:i/>
          <w:iCs/>
          <w:color w:val="000000" w:themeColor="text1"/>
          <w:sz w:val="24"/>
          <w:szCs w:val="24"/>
        </w:rPr>
        <w:t>Dementia</w:t>
      </w:r>
      <w:r w:rsidRPr="007E2F41">
        <w:rPr>
          <w:rFonts w:ascii="Arial" w:hAnsi="Arial" w:cs="Arial"/>
          <w:color w:val="000000" w:themeColor="text1"/>
          <w:sz w:val="24"/>
          <w:szCs w:val="24"/>
        </w:rPr>
        <w:t xml:space="preserve">. Oxford: Atlas Medical Pub. </w:t>
      </w:r>
    </w:p>
    <w:p w14:paraId="2D6207DF" w14:textId="7AF5EF1D" w:rsidR="00DC496E" w:rsidRPr="007E2F41" w:rsidRDefault="00DE1938" w:rsidP="007E2F41">
      <w:pPr>
        <w:spacing w:line="360" w:lineRule="auto"/>
        <w:rPr>
          <w:rFonts w:ascii="Arial" w:hAnsi="Arial" w:cs="Arial"/>
          <w:color w:val="000000" w:themeColor="text1"/>
          <w:sz w:val="24"/>
          <w:szCs w:val="24"/>
        </w:rPr>
      </w:pPr>
      <w:r w:rsidRPr="007E2F41">
        <w:rPr>
          <w:rFonts w:ascii="Arial" w:hAnsi="Arial" w:cs="Arial"/>
          <w:color w:val="000000" w:themeColor="text1"/>
          <w:sz w:val="24"/>
          <w:szCs w:val="24"/>
        </w:rPr>
        <w:t xml:space="preserve">Park, N. (2009). The Relationship of Social Engagement to Psychological Well-Being of Older Adults in Assisted Living Facilities. </w:t>
      </w:r>
      <w:r w:rsidRPr="007E2F41">
        <w:rPr>
          <w:rFonts w:ascii="Arial" w:hAnsi="Arial" w:cs="Arial"/>
          <w:i/>
          <w:iCs/>
          <w:color w:val="000000" w:themeColor="text1"/>
          <w:sz w:val="24"/>
          <w:szCs w:val="24"/>
        </w:rPr>
        <w:t>Journal of Applied Gerontology</w:t>
      </w:r>
      <w:r w:rsidRPr="007E2F41">
        <w:rPr>
          <w:rFonts w:ascii="Arial" w:hAnsi="Arial" w:cs="Arial"/>
          <w:color w:val="000000" w:themeColor="text1"/>
          <w:sz w:val="24"/>
          <w:szCs w:val="24"/>
        </w:rPr>
        <w:t>, 28(4), pp.461-481.</w:t>
      </w:r>
    </w:p>
    <w:p w14:paraId="47E31542" w14:textId="436D7BDA" w:rsidR="007E2F41" w:rsidRPr="007E2F41" w:rsidRDefault="007E2F41" w:rsidP="007E2F41">
      <w:pPr>
        <w:spacing w:line="360" w:lineRule="auto"/>
        <w:rPr>
          <w:rFonts w:ascii="Arial" w:hAnsi="Arial" w:cs="Arial"/>
          <w:color w:val="000000" w:themeColor="text1"/>
          <w:sz w:val="24"/>
          <w:szCs w:val="24"/>
        </w:rPr>
      </w:pPr>
      <w:proofErr w:type="spellStart"/>
      <w:r w:rsidRPr="007E2F41">
        <w:rPr>
          <w:rFonts w:ascii="Arial" w:hAnsi="Arial" w:cs="Arial"/>
          <w:color w:val="000000" w:themeColor="text1"/>
          <w:sz w:val="24"/>
          <w:szCs w:val="24"/>
        </w:rPr>
        <w:t>Slawson</w:t>
      </w:r>
      <w:proofErr w:type="spellEnd"/>
      <w:r w:rsidRPr="007E2F41">
        <w:rPr>
          <w:rFonts w:ascii="Arial" w:hAnsi="Arial" w:cs="Arial"/>
          <w:color w:val="000000" w:themeColor="text1"/>
          <w:sz w:val="24"/>
          <w:szCs w:val="24"/>
        </w:rPr>
        <w:t xml:space="preserve">, N. (2017). </w:t>
      </w:r>
      <w:r w:rsidRPr="007E2F41">
        <w:rPr>
          <w:rFonts w:ascii="Arial" w:hAnsi="Arial" w:cs="Arial"/>
          <w:i/>
          <w:iCs/>
          <w:color w:val="000000" w:themeColor="text1"/>
          <w:sz w:val="24"/>
          <w:szCs w:val="24"/>
        </w:rPr>
        <w:t>'It touches their souls': Opera finds new audience in care homes</w:t>
      </w:r>
      <w:r w:rsidRPr="007E2F41">
        <w:rPr>
          <w:rFonts w:ascii="Arial" w:hAnsi="Arial" w:cs="Arial"/>
          <w:color w:val="000000" w:themeColor="text1"/>
          <w:sz w:val="24"/>
          <w:szCs w:val="24"/>
        </w:rPr>
        <w:t>. [online] the Guardian. Available at: https://www.theguardian.com/social-care-network/2017/jul/25/music-opera-care-homes [Accessed 18 Apr. 2018].</w:t>
      </w:r>
    </w:p>
    <w:p w14:paraId="42F8C4BD" w14:textId="77777777" w:rsidR="00832E06" w:rsidRPr="007E2F41" w:rsidRDefault="00DE1938" w:rsidP="007E2F41">
      <w:pPr>
        <w:spacing w:line="360" w:lineRule="auto"/>
        <w:rPr>
          <w:rFonts w:ascii="Arial" w:hAnsi="Arial" w:cs="Arial"/>
          <w:color w:val="000000" w:themeColor="text1"/>
          <w:sz w:val="24"/>
          <w:szCs w:val="24"/>
        </w:rPr>
      </w:pPr>
      <w:r w:rsidRPr="007E2F41">
        <w:rPr>
          <w:rFonts w:ascii="Arial" w:hAnsi="Arial" w:cs="Arial"/>
          <w:color w:val="000000" w:themeColor="text1"/>
          <w:sz w:val="24"/>
          <w:szCs w:val="24"/>
        </w:rPr>
        <w:t xml:space="preserve">Society, A. (2018). </w:t>
      </w:r>
      <w:r w:rsidRPr="007E2F41">
        <w:rPr>
          <w:rFonts w:ascii="Arial" w:hAnsi="Arial" w:cs="Arial"/>
          <w:i/>
          <w:iCs/>
          <w:color w:val="000000" w:themeColor="text1"/>
          <w:sz w:val="24"/>
          <w:szCs w:val="24"/>
        </w:rPr>
        <w:t>Facts for the media - Alzheimer's Society</w:t>
      </w:r>
      <w:r w:rsidRPr="007E2F41">
        <w:rPr>
          <w:rFonts w:ascii="Arial" w:hAnsi="Arial" w:cs="Arial"/>
          <w:color w:val="000000" w:themeColor="text1"/>
          <w:sz w:val="24"/>
          <w:szCs w:val="24"/>
        </w:rPr>
        <w:t>. [online] Alzheimer's Society. Available at: https://www.alzheimers.org.uk/info/20027/news_and_media/541/facts_for_the_media [Accessed 9 Apr. 2018].</w:t>
      </w:r>
    </w:p>
    <w:p w14:paraId="31D13C08" w14:textId="77777777" w:rsidR="00832E06" w:rsidRPr="007E2F41" w:rsidRDefault="00832E06" w:rsidP="007E2F41">
      <w:pPr>
        <w:spacing w:line="360" w:lineRule="auto"/>
        <w:rPr>
          <w:rFonts w:ascii="Arial" w:hAnsi="Arial" w:cs="Arial"/>
          <w:color w:val="000000" w:themeColor="text1"/>
          <w:sz w:val="24"/>
          <w:szCs w:val="24"/>
        </w:rPr>
      </w:pPr>
    </w:p>
    <w:sectPr w:rsidR="00832E06" w:rsidRPr="007E2F41">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07FA54" w14:textId="77777777" w:rsidR="00B9100C" w:rsidRDefault="00DE1938">
      <w:pPr>
        <w:spacing w:after="0" w:line="240" w:lineRule="auto"/>
      </w:pPr>
      <w:r>
        <w:separator/>
      </w:r>
    </w:p>
  </w:endnote>
  <w:endnote w:type="continuationSeparator" w:id="0">
    <w:p w14:paraId="08FFB530" w14:textId="77777777" w:rsidR="00B9100C" w:rsidRDefault="00DE19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Grande">
    <w:altName w:val="Segoe UI"/>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4133242"/>
      <w:docPartObj>
        <w:docPartGallery w:val="Page Numbers (Bottom of Page)"/>
        <w:docPartUnique/>
      </w:docPartObj>
    </w:sdtPr>
    <w:sdtEndPr>
      <w:rPr>
        <w:noProof/>
      </w:rPr>
    </w:sdtEndPr>
    <w:sdtContent>
      <w:p w14:paraId="3B040508" w14:textId="0A21C563" w:rsidR="006C1395" w:rsidRDefault="00DE1938">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150B1967" w14:textId="77777777" w:rsidR="006C1395" w:rsidRDefault="006C13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69E987" w14:textId="77777777" w:rsidR="00B9100C" w:rsidRDefault="00DE1938">
      <w:pPr>
        <w:spacing w:after="0" w:line="240" w:lineRule="auto"/>
      </w:pPr>
      <w:r>
        <w:separator/>
      </w:r>
    </w:p>
  </w:footnote>
  <w:footnote w:type="continuationSeparator" w:id="0">
    <w:p w14:paraId="566121A4" w14:textId="77777777" w:rsidR="00B9100C" w:rsidRDefault="00DE19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0BC7F4" w14:textId="2F32630A" w:rsidR="006C1395" w:rsidRDefault="00DE1938">
    <w:pPr>
      <w:pStyle w:val="Header"/>
    </w:pPr>
    <w:r>
      <w:t>Anika Yasmin                                                                                                                                             1703534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7E6"/>
    <w:rsid w:val="00003169"/>
    <w:rsid w:val="00016BC6"/>
    <w:rsid w:val="0002174E"/>
    <w:rsid w:val="000355D5"/>
    <w:rsid w:val="000470BE"/>
    <w:rsid w:val="000517DA"/>
    <w:rsid w:val="00057E40"/>
    <w:rsid w:val="000613CC"/>
    <w:rsid w:val="00062D1D"/>
    <w:rsid w:val="00063C99"/>
    <w:rsid w:val="00071E71"/>
    <w:rsid w:val="000A4E5D"/>
    <w:rsid w:val="000B01E1"/>
    <w:rsid w:val="000C02F1"/>
    <w:rsid w:val="000D067D"/>
    <w:rsid w:val="000E7B38"/>
    <w:rsid w:val="0010553D"/>
    <w:rsid w:val="00110F85"/>
    <w:rsid w:val="00120AE6"/>
    <w:rsid w:val="001240EC"/>
    <w:rsid w:val="00130979"/>
    <w:rsid w:val="00135F35"/>
    <w:rsid w:val="00137CA1"/>
    <w:rsid w:val="001501A8"/>
    <w:rsid w:val="001713BC"/>
    <w:rsid w:val="00183C1C"/>
    <w:rsid w:val="00184901"/>
    <w:rsid w:val="001A3DC0"/>
    <w:rsid w:val="001B140D"/>
    <w:rsid w:val="001C45B0"/>
    <w:rsid w:val="001E1EEA"/>
    <w:rsid w:val="001F2678"/>
    <w:rsid w:val="002071A0"/>
    <w:rsid w:val="0021083C"/>
    <w:rsid w:val="00223B7A"/>
    <w:rsid w:val="00227A3E"/>
    <w:rsid w:val="00237E71"/>
    <w:rsid w:val="00244BEC"/>
    <w:rsid w:val="00257D46"/>
    <w:rsid w:val="00273A32"/>
    <w:rsid w:val="00280EC9"/>
    <w:rsid w:val="00291873"/>
    <w:rsid w:val="00292E2C"/>
    <w:rsid w:val="002A3A07"/>
    <w:rsid w:val="002B5B42"/>
    <w:rsid w:val="002D500A"/>
    <w:rsid w:val="002D5A32"/>
    <w:rsid w:val="002E6183"/>
    <w:rsid w:val="00306E59"/>
    <w:rsid w:val="0031047E"/>
    <w:rsid w:val="003114CC"/>
    <w:rsid w:val="00315A4A"/>
    <w:rsid w:val="00332AF5"/>
    <w:rsid w:val="003341E2"/>
    <w:rsid w:val="003424F9"/>
    <w:rsid w:val="00361677"/>
    <w:rsid w:val="00375BE2"/>
    <w:rsid w:val="00377EAB"/>
    <w:rsid w:val="00386D8E"/>
    <w:rsid w:val="003919C6"/>
    <w:rsid w:val="003C4154"/>
    <w:rsid w:val="003C6884"/>
    <w:rsid w:val="003D3BF2"/>
    <w:rsid w:val="003D425B"/>
    <w:rsid w:val="003F406E"/>
    <w:rsid w:val="003F5778"/>
    <w:rsid w:val="00401A3E"/>
    <w:rsid w:val="0041359C"/>
    <w:rsid w:val="00431E69"/>
    <w:rsid w:val="00443ABC"/>
    <w:rsid w:val="0045333F"/>
    <w:rsid w:val="00453C65"/>
    <w:rsid w:val="00463BAF"/>
    <w:rsid w:val="00465B5F"/>
    <w:rsid w:val="0047079F"/>
    <w:rsid w:val="00493454"/>
    <w:rsid w:val="00496C6E"/>
    <w:rsid w:val="004A0F8C"/>
    <w:rsid w:val="004A4F62"/>
    <w:rsid w:val="004A5616"/>
    <w:rsid w:val="004B37A6"/>
    <w:rsid w:val="004B54BD"/>
    <w:rsid w:val="004C1F05"/>
    <w:rsid w:val="004D4EAD"/>
    <w:rsid w:val="004E21D0"/>
    <w:rsid w:val="004E5B06"/>
    <w:rsid w:val="004F3A7B"/>
    <w:rsid w:val="00510239"/>
    <w:rsid w:val="005177E6"/>
    <w:rsid w:val="00531703"/>
    <w:rsid w:val="005355AA"/>
    <w:rsid w:val="00536AB3"/>
    <w:rsid w:val="00541B4E"/>
    <w:rsid w:val="00561830"/>
    <w:rsid w:val="00565C58"/>
    <w:rsid w:val="0057542C"/>
    <w:rsid w:val="0058319B"/>
    <w:rsid w:val="00590CF9"/>
    <w:rsid w:val="00591C30"/>
    <w:rsid w:val="00596741"/>
    <w:rsid w:val="005B1C04"/>
    <w:rsid w:val="005B6209"/>
    <w:rsid w:val="005C2AE9"/>
    <w:rsid w:val="005C7427"/>
    <w:rsid w:val="005E379D"/>
    <w:rsid w:val="005E525E"/>
    <w:rsid w:val="005F265B"/>
    <w:rsid w:val="005F2932"/>
    <w:rsid w:val="00605A9D"/>
    <w:rsid w:val="00610265"/>
    <w:rsid w:val="00614393"/>
    <w:rsid w:val="00632846"/>
    <w:rsid w:val="006461FC"/>
    <w:rsid w:val="00646611"/>
    <w:rsid w:val="00656B2D"/>
    <w:rsid w:val="00661731"/>
    <w:rsid w:val="00665912"/>
    <w:rsid w:val="00672F83"/>
    <w:rsid w:val="006842FD"/>
    <w:rsid w:val="00692D19"/>
    <w:rsid w:val="006933F5"/>
    <w:rsid w:val="00694393"/>
    <w:rsid w:val="006959C9"/>
    <w:rsid w:val="00696C46"/>
    <w:rsid w:val="006A08F9"/>
    <w:rsid w:val="006A1271"/>
    <w:rsid w:val="006C1395"/>
    <w:rsid w:val="006C2861"/>
    <w:rsid w:val="006C35EF"/>
    <w:rsid w:val="006D113F"/>
    <w:rsid w:val="006D6028"/>
    <w:rsid w:val="006E2C1C"/>
    <w:rsid w:val="00700B5D"/>
    <w:rsid w:val="00701E6D"/>
    <w:rsid w:val="00712298"/>
    <w:rsid w:val="0074198E"/>
    <w:rsid w:val="007477A4"/>
    <w:rsid w:val="00754E6D"/>
    <w:rsid w:val="00756AB6"/>
    <w:rsid w:val="00761B19"/>
    <w:rsid w:val="0076603D"/>
    <w:rsid w:val="00776F68"/>
    <w:rsid w:val="00782A78"/>
    <w:rsid w:val="007872EF"/>
    <w:rsid w:val="007927A0"/>
    <w:rsid w:val="007D2457"/>
    <w:rsid w:val="007D7DEC"/>
    <w:rsid w:val="007E274D"/>
    <w:rsid w:val="007E2F41"/>
    <w:rsid w:val="007E4695"/>
    <w:rsid w:val="007F5CD0"/>
    <w:rsid w:val="007F609A"/>
    <w:rsid w:val="007F6B63"/>
    <w:rsid w:val="00806373"/>
    <w:rsid w:val="008107D0"/>
    <w:rsid w:val="0081774E"/>
    <w:rsid w:val="008225A5"/>
    <w:rsid w:val="00832E06"/>
    <w:rsid w:val="0083492D"/>
    <w:rsid w:val="00835144"/>
    <w:rsid w:val="00850F13"/>
    <w:rsid w:val="0085758F"/>
    <w:rsid w:val="0089626F"/>
    <w:rsid w:val="00897756"/>
    <w:rsid w:val="008B3E97"/>
    <w:rsid w:val="008D2C84"/>
    <w:rsid w:val="008E1897"/>
    <w:rsid w:val="008E2740"/>
    <w:rsid w:val="008E7A71"/>
    <w:rsid w:val="008F2072"/>
    <w:rsid w:val="008F4AEC"/>
    <w:rsid w:val="008F68CF"/>
    <w:rsid w:val="00914813"/>
    <w:rsid w:val="009154F1"/>
    <w:rsid w:val="00925089"/>
    <w:rsid w:val="009259E2"/>
    <w:rsid w:val="0094342C"/>
    <w:rsid w:val="00943C3A"/>
    <w:rsid w:val="00952A50"/>
    <w:rsid w:val="00975C52"/>
    <w:rsid w:val="0098144F"/>
    <w:rsid w:val="009916D5"/>
    <w:rsid w:val="00997FB9"/>
    <w:rsid w:val="009A6D20"/>
    <w:rsid w:val="009B5033"/>
    <w:rsid w:val="009C54AE"/>
    <w:rsid w:val="009C5AA4"/>
    <w:rsid w:val="009C66AB"/>
    <w:rsid w:val="009C6ED4"/>
    <w:rsid w:val="009C742D"/>
    <w:rsid w:val="009E75EE"/>
    <w:rsid w:val="009F6676"/>
    <w:rsid w:val="009F7B40"/>
    <w:rsid w:val="00A15BF3"/>
    <w:rsid w:val="00A34DD9"/>
    <w:rsid w:val="00A504A4"/>
    <w:rsid w:val="00A535AB"/>
    <w:rsid w:val="00A832C1"/>
    <w:rsid w:val="00A91C92"/>
    <w:rsid w:val="00A93621"/>
    <w:rsid w:val="00AB042F"/>
    <w:rsid w:val="00AB4BEF"/>
    <w:rsid w:val="00AC3873"/>
    <w:rsid w:val="00AD17AD"/>
    <w:rsid w:val="00AD26D9"/>
    <w:rsid w:val="00AD6B9E"/>
    <w:rsid w:val="00AD7F60"/>
    <w:rsid w:val="00AE1F43"/>
    <w:rsid w:val="00B03865"/>
    <w:rsid w:val="00B03D69"/>
    <w:rsid w:val="00B118F1"/>
    <w:rsid w:val="00B17AB8"/>
    <w:rsid w:val="00B21333"/>
    <w:rsid w:val="00B2228C"/>
    <w:rsid w:val="00B3536A"/>
    <w:rsid w:val="00B3555B"/>
    <w:rsid w:val="00B40561"/>
    <w:rsid w:val="00B43162"/>
    <w:rsid w:val="00B43D3E"/>
    <w:rsid w:val="00B46558"/>
    <w:rsid w:val="00B5102E"/>
    <w:rsid w:val="00B5377D"/>
    <w:rsid w:val="00B53A82"/>
    <w:rsid w:val="00B56F78"/>
    <w:rsid w:val="00B625C6"/>
    <w:rsid w:val="00B6593B"/>
    <w:rsid w:val="00B80169"/>
    <w:rsid w:val="00B82881"/>
    <w:rsid w:val="00B85011"/>
    <w:rsid w:val="00B852FC"/>
    <w:rsid w:val="00B86231"/>
    <w:rsid w:val="00B9016E"/>
    <w:rsid w:val="00B9100C"/>
    <w:rsid w:val="00B91512"/>
    <w:rsid w:val="00B9276F"/>
    <w:rsid w:val="00B929A3"/>
    <w:rsid w:val="00B9797C"/>
    <w:rsid w:val="00BB6499"/>
    <w:rsid w:val="00BC6F4B"/>
    <w:rsid w:val="00BD5A86"/>
    <w:rsid w:val="00BD6A23"/>
    <w:rsid w:val="00BE0F7C"/>
    <w:rsid w:val="00BE1E71"/>
    <w:rsid w:val="00C146EA"/>
    <w:rsid w:val="00C160F9"/>
    <w:rsid w:val="00C23BB4"/>
    <w:rsid w:val="00C33B69"/>
    <w:rsid w:val="00C51E01"/>
    <w:rsid w:val="00C5591A"/>
    <w:rsid w:val="00C64F55"/>
    <w:rsid w:val="00C74186"/>
    <w:rsid w:val="00C766FD"/>
    <w:rsid w:val="00C81760"/>
    <w:rsid w:val="00C85E0D"/>
    <w:rsid w:val="00C960E3"/>
    <w:rsid w:val="00C96C4F"/>
    <w:rsid w:val="00CA1DD7"/>
    <w:rsid w:val="00CA3A7E"/>
    <w:rsid w:val="00CB75A0"/>
    <w:rsid w:val="00CC3985"/>
    <w:rsid w:val="00CD2867"/>
    <w:rsid w:val="00CD76ED"/>
    <w:rsid w:val="00D0251C"/>
    <w:rsid w:val="00D02BC6"/>
    <w:rsid w:val="00D10665"/>
    <w:rsid w:val="00D21627"/>
    <w:rsid w:val="00D2482F"/>
    <w:rsid w:val="00D262AF"/>
    <w:rsid w:val="00D26D72"/>
    <w:rsid w:val="00D3730B"/>
    <w:rsid w:val="00D51446"/>
    <w:rsid w:val="00D567E4"/>
    <w:rsid w:val="00D627D3"/>
    <w:rsid w:val="00D63ADD"/>
    <w:rsid w:val="00D833A2"/>
    <w:rsid w:val="00D90C76"/>
    <w:rsid w:val="00D97A84"/>
    <w:rsid w:val="00D97B6A"/>
    <w:rsid w:val="00DA1ABF"/>
    <w:rsid w:val="00DA6B8C"/>
    <w:rsid w:val="00DB069B"/>
    <w:rsid w:val="00DB278A"/>
    <w:rsid w:val="00DC496E"/>
    <w:rsid w:val="00DC5321"/>
    <w:rsid w:val="00DC7D45"/>
    <w:rsid w:val="00DD2CCC"/>
    <w:rsid w:val="00DD3B68"/>
    <w:rsid w:val="00DD4B41"/>
    <w:rsid w:val="00DE1938"/>
    <w:rsid w:val="00DE3566"/>
    <w:rsid w:val="00DF2633"/>
    <w:rsid w:val="00E14A5F"/>
    <w:rsid w:val="00E172FC"/>
    <w:rsid w:val="00E2337F"/>
    <w:rsid w:val="00E26174"/>
    <w:rsid w:val="00E31465"/>
    <w:rsid w:val="00E4484F"/>
    <w:rsid w:val="00E550FF"/>
    <w:rsid w:val="00E67ADD"/>
    <w:rsid w:val="00E94F1B"/>
    <w:rsid w:val="00EA44C4"/>
    <w:rsid w:val="00EA5095"/>
    <w:rsid w:val="00EB4314"/>
    <w:rsid w:val="00EB48E8"/>
    <w:rsid w:val="00EB7A63"/>
    <w:rsid w:val="00EC1412"/>
    <w:rsid w:val="00ED3FA9"/>
    <w:rsid w:val="00ED6F6F"/>
    <w:rsid w:val="00EF589A"/>
    <w:rsid w:val="00F00E7E"/>
    <w:rsid w:val="00F1243F"/>
    <w:rsid w:val="00F43FD5"/>
    <w:rsid w:val="00F53B63"/>
    <w:rsid w:val="00F60876"/>
    <w:rsid w:val="00F81A1D"/>
    <w:rsid w:val="00FA4884"/>
    <w:rsid w:val="00FB09C8"/>
    <w:rsid w:val="00FB39A5"/>
    <w:rsid w:val="00FB793D"/>
    <w:rsid w:val="00FD3723"/>
    <w:rsid w:val="00FE0993"/>
    <w:rsid w:val="00FF309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D8BE5A5"/>
  <w15:docId w15:val="{D8A26A91-C84C-4524-A4C6-51BA09F24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77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77E6"/>
  </w:style>
  <w:style w:type="paragraph" w:styleId="Footer">
    <w:name w:val="footer"/>
    <w:basedOn w:val="Normal"/>
    <w:link w:val="FooterChar"/>
    <w:uiPriority w:val="99"/>
    <w:unhideWhenUsed/>
    <w:rsid w:val="005177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77E6"/>
  </w:style>
  <w:style w:type="character" w:styleId="Hyperlink">
    <w:name w:val="Hyperlink"/>
    <w:basedOn w:val="DefaultParagraphFont"/>
    <w:uiPriority w:val="99"/>
    <w:unhideWhenUsed/>
    <w:rsid w:val="008E7A71"/>
    <w:rPr>
      <w:color w:val="0563C1" w:themeColor="hyperlink"/>
      <w:u w:val="single"/>
    </w:rPr>
  </w:style>
  <w:style w:type="character" w:customStyle="1" w:styleId="UnresolvedMention1">
    <w:name w:val="Unresolved Mention1"/>
    <w:basedOn w:val="DefaultParagraphFont"/>
    <w:uiPriority w:val="99"/>
    <w:semiHidden/>
    <w:unhideWhenUsed/>
    <w:rsid w:val="008E7A71"/>
    <w:rPr>
      <w:color w:val="808080"/>
      <w:shd w:val="clear" w:color="auto" w:fill="E6E6E6"/>
    </w:rPr>
  </w:style>
  <w:style w:type="character" w:styleId="FollowedHyperlink">
    <w:name w:val="FollowedHyperlink"/>
    <w:basedOn w:val="DefaultParagraphFont"/>
    <w:uiPriority w:val="99"/>
    <w:semiHidden/>
    <w:unhideWhenUsed/>
    <w:rsid w:val="00D627D3"/>
    <w:rPr>
      <w:color w:val="954F72" w:themeColor="followedHyperlink"/>
      <w:u w:val="single"/>
    </w:rPr>
  </w:style>
  <w:style w:type="character" w:customStyle="1" w:styleId="UnresolvedMention2">
    <w:name w:val="Unresolved Mention2"/>
    <w:basedOn w:val="DefaultParagraphFont"/>
    <w:uiPriority w:val="99"/>
    <w:rsid w:val="00DC496E"/>
    <w:rPr>
      <w:color w:val="808080"/>
      <w:shd w:val="clear" w:color="auto" w:fill="E6E6E6"/>
    </w:rPr>
  </w:style>
  <w:style w:type="character" w:styleId="CommentReference">
    <w:name w:val="annotation reference"/>
    <w:basedOn w:val="DefaultParagraphFont"/>
    <w:uiPriority w:val="99"/>
    <w:semiHidden/>
    <w:unhideWhenUsed/>
    <w:rsid w:val="00F81A1D"/>
    <w:rPr>
      <w:sz w:val="18"/>
      <w:szCs w:val="18"/>
    </w:rPr>
  </w:style>
  <w:style w:type="paragraph" w:styleId="CommentText">
    <w:name w:val="annotation text"/>
    <w:basedOn w:val="Normal"/>
    <w:link w:val="CommentTextChar"/>
    <w:uiPriority w:val="99"/>
    <w:semiHidden/>
    <w:unhideWhenUsed/>
    <w:rsid w:val="00F81A1D"/>
    <w:pPr>
      <w:spacing w:line="240" w:lineRule="auto"/>
    </w:pPr>
    <w:rPr>
      <w:sz w:val="24"/>
      <w:szCs w:val="24"/>
    </w:rPr>
  </w:style>
  <w:style w:type="character" w:customStyle="1" w:styleId="CommentTextChar">
    <w:name w:val="Comment Text Char"/>
    <w:basedOn w:val="DefaultParagraphFont"/>
    <w:link w:val="CommentText"/>
    <w:uiPriority w:val="99"/>
    <w:semiHidden/>
    <w:rsid w:val="00F81A1D"/>
    <w:rPr>
      <w:sz w:val="24"/>
      <w:szCs w:val="24"/>
    </w:rPr>
  </w:style>
  <w:style w:type="paragraph" w:styleId="CommentSubject">
    <w:name w:val="annotation subject"/>
    <w:basedOn w:val="CommentText"/>
    <w:next w:val="CommentText"/>
    <w:link w:val="CommentSubjectChar"/>
    <w:uiPriority w:val="99"/>
    <w:semiHidden/>
    <w:unhideWhenUsed/>
    <w:rsid w:val="00F81A1D"/>
    <w:rPr>
      <w:b/>
      <w:bCs/>
      <w:sz w:val="20"/>
      <w:szCs w:val="20"/>
    </w:rPr>
  </w:style>
  <w:style w:type="character" w:customStyle="1" w:styleId="CommentSubjectChar">
    <w:name w:val="Comment Subject Char"/>
    <w:basedOn w:val="CommentTextChar"/>
    <w:link w:val="CommentSubject"/>
    <w:uiPriority w:val="99"/>
    <w:semiHidden/>
    <w:rsid w:val="00F81A1D"/>
    <w:rPr>
      <w:b/>
      <w:bCs/>
      <w:sz w:val="20"/>
      <w:szCs w:val="20"/>
    </w:rPr>
  </w:style>
  <w:style w:type="paragraph" w:styleId="BalloonText">
    <w:name w:val="Balloon Text"/>
    <w:basedOn w:val="Normal"/>
    <w:link w:val="BalloonTextChar"/>
    <w:uiPriority w:val="99"/>
    <w:semiHidden/>
    <w:unhideWhenUsed/>
    <w:rsid w:val="00F81A1D"/>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81A1D"/>
    <w:rPr>
      <w:rFonts w:ascii="Lucida Grande" w:hAnsi="Lucida Grande" w:cs="Lucida Grande"/>
      <w:sz w:val="18"/>
      <w:szCs w:val="18"/>
    </w:rPr>
  </w:style>
  <w:style w:type="character" w:customStyle="1" w:styleId="UnresolvedMention3">
    <w:name w:val="Unresolved Mention3"/>
    <w:basedOn w:val="DefaultParagraphFont"/>
    <w:uiPriority w:val="99"/>
    <w:semiHidden/>
    <w:unhideWhenUsed/>
    <w:rsid w:val="00565C5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TotalTime>
  <Pages>6</Pages>
  <Words>1669</Words>
  <Characters>9517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Anika Yasmin</dc:creator>
  <cp:lastModifiedBy>Anika Yasmin</cp:lastModifiedBy>
  <cp:revision>58</cp:revision>
  <dcterms:created xsi:type="dcterms:W3CDTF">2018-04-17T12:30:00Z</dcterms:created>
  <dcterms:modified xsi:type="dcterms:W3CDTF">2018-04-18T13:33:00Z</dcterms:modified>
</cp:coreProperties>
</file>