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9F6D4"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noProof/>
          <w:sz w:val="24"/>
          <w:szCs w:val="24"/>
        </w:rPr>
        <w:drawing>
          <wp:inline distT="0" distB="0" distL="0" distR="0" wp14:anchorId="3F0C1B56" wp14:editId="4E818483">
            <wp:extent cx="3025427" cy="127386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5427" cy="1273864"/>
                    </a:xfrm>
                    <a:prstGeom prst="rect">
                      <a:avLst/>
                    </a:prstGeom>
                    <a:ln/>
                  </pic:spPr>
                </pic:pic>
              </a:graphicData>
            </a:graphic>
          </wp:inline>
        </w:drawing>
      </w:r>
    </w:p>
    <w:p w14:paraId="427225E6" w14:textId="77777777" w:rsidR="0035538E" w:rsidRPr="00C34B58" w:rsidRDefault="0035538E" w:rsidP="0021330B">
      <w:pPr>
        <w:spacing w:line="360" w:lineRule="auto"/>
        <w:rPr>
          <w:rFonts w:ascii="Times New Roman" w:eastAsia="Times New Roman" w:hAnsi="Times New Roman" w:cs="Times New Roman"/>
          <w:b/>
          <w:bCs/>
          <w:sz w:val="28"/>
          <w:szCs w:val="28"/>
        </w:rPr>
      </w:pPr>
    </w:p>
    <w:p w14:paraId="3024D188" w14:textId="77777777" w:rsidR="0035538E" w:rsidRPr="00C34B58" w:rsidRDefault="00F17BA4" w:rsidP="0021330B">
      <w:pPr>
        <w:spacing w:line="360" w:lineRule="auto"/>
        <w:jc w:val="center"/>
        <w:rPr>
          <w:rFonts w:ascii="Times New Roman" w:eastAsia="Times New Roman" w:hAnsi="Times New Roman" w:cs="Times New Roman"/>
          <w:b/>
          <w:bCs/>
          <w:sz w:val="28"/>
          <w:szCs w:val="28"/>
        </w:rPr>
      </w:pPr>
      <w:r w:rsidRPr="00C34B58">
        <w:rPr>
          <w:rFonts w:ascii="Times New Roman" w:eastAsia="Times New Roman" w:hAnsi="Times New Roman" w:cs="Times New Roman"/>
          <w:b/>
          <w:bCs/>
          <w:sz w:val="28"/>
          <w:szCs w:val="28"/>
        </w:rPr>
        <w:t>PROGRAMME: MASTER OF BUSINESS ADMINISTRATION</w:t>
      </w:r>
    </w:p>
    <w:p w14:paraId="0F87143E" w14:textId="77777777" w:rsidR="0035538E" w:rsidRPr="00C34B58" w:rsidRDefault="00F17BA4" w:rsidP="0021330B">
      <w:pPr>
        <w:spacing w:line="360" w:lineRule="auto"/>
        <w:jc w:val="center"/>
        <w:rPr>
          <w:rFonts w:ascii="Times New Roman" w:eastAsia="Times New Roman" w:hAnsi="Times New Roman" w:cs="Times New Roman"/>
          <w:b/>
          <w:bCs/>
          <w:sz w:val="28"/>
          <w:szCs w:val="28"/>
        </w:rPr>
      </w:pPr>
      <w:r w:rsidRPr="00C34B58">
        <w:rPr>
          <w:rFonts w:ascii="Times New Roman" w:eastAsia="Times New Roman" w:hAnsi="Times New Roman" w:cs="Times New Roman"/>
          <w:b/>
          <w:bCs/>
          <w:sz w:val="28"/>
          <w:szCs w:val="28"/>
        </w:rPr>
        <w:t>MODULE: MARKETING MANAGEMENT</w:t>
      </w:r>
    </w:p>
    <w:p w14:paraId="4C204D17" w14:textId="77777777" w:rsidR="0035538E" w:rsidRPr="00C34B58" w:rsidRDefault="00F17BA4" w:rsidP="0021330B">
      <w:pPr>
        <w:spacing w:line="360" w:lineRule="auto"/>
        <w:jc w:val="center"/>
        <w:rPr>
          <w:rFonts w:ascii="Times New Roman" w:eastAsia="Times New Roman" w:hAnsi="Times New Roman" w:cs="Times New Roman"/>
          <w:b/>
          <w:bCs/>
          <w:sz w:val="28"/>
          <w:szCs w:val="28"/>
        </w:rPr>
      </w:pPr>
      <w:r w:rsidRPr="00C34B58">
        <w:rPr>
          <w:rFonts w:ascii="Times New Roman" w:eastAsia="Times New Roman" w:hAnsi="Times New Roman" w:cs="Times New Roman"/>
          <w:b/>
          <w:bCs/>
          <w:sz w:val="28"/>
          <w:szCs w:val="28"/>
        </w:rPr>
        <w:t>MODULE CODE: LCMB7024</w:t>
      </w:r>
    </w:p>
    <w:p w14:paraId="0E3A3889" w14:textId="77777777" w:rsidR="0035538E" w:rsidRPr="00C34B58" w:rsidRDefault="0035538E" w:rsidP="0021330B">
      <w:pPr>
        <w:spacing w:line="360" w:lineRule="auto"/>
        <w:jc w:val="center"/>
        <w:rPr>
          <w:rFonts w:ascii="Times New Roman" w:eastAsia="Times New Roman" w:hAnsi="Times New Roman" w:cs="Times New Roman"/>
          <w:b/>
          <w:bCs/>
          <w:sz w:val="28"/>
          <w:szCs w:val="28"/>
        </w:rPr>
      </w:pPr>
    </w:p>
    <w:p w14:paraId="6A9796B1" w14:textId="77777777" w:rsidR="0035538E" w:rsidRPr="00C34B58" w:rsidRDefault="0035538E" w:rsidP="0021330B">
      <w:pPr>
        <w:spacing w:line="360" w:lineRule="auto"/>
        <w:jc w:val="center"/>
        <w:rPr>
          <w:rFonts w:ascii="Times New Roman" w:eastAsia="Times New Roman" w:hAnsi="Times New Roman" w:cs="Times New Roman"/>
          <w:b/>
          <w:bCs/>
          <w:sz w:val="28"/>
          <w:szCs w:val="28"/>
        </w:rPr>
      </w:pPr>
    </w:p>
    <w:p w14:paraId="547CE39C" w14:textId="77777777" w:rsidR="0035538E" w:rsidRPr="00C34B58" w:rsidRDefault="00F17BA4" w:rsidP="0021330B">
      <w:pPr>
        <w:spacing w:line="360" w:lineRule="auto"/>
        <w:jc w:val="center"/>
        <w:rPr>
          <w:rFonts w:ascii="Times New Roman" w:eastAsia="Times New Roman" w:hAnsi="Times New Roman" w:cs="Times New Roman"/>
          <w:b/>
          <w:bCs/>
          <w:sz w:val="28"/>
          <w:szCs w:val="28"/>
        </w:rPr>
      </w:pPr>
      <w:r w:rsidRPr="00C34B58">
        <w:rPr>
          <w:rFonts w:ascii="Times New Roman" w:eastAsia="Times New Roman" w:hAnsi="Times New Roman" w:cs="Times New Roman"/>
          <w:b/>
          <w:bCs/>
          <w:sz w:val="28"/>
          <w:szCs w:val="28"/>
        </w:rPr>
        <w:t>Title: Marketing Environment Analysis of BHP</w:t>
      </w:r>
    </w:p>
    <w:p w14:paraId="5634B34F" w14:textId="77777777" w:rsidR="0035538E" w:rsidRPr="00C34B58" w:rsidRDefault="0035538E" w:rsidP="0021330B">
      <w:pPr>
        <w:spacing w:line="360" w:lineRule="auto"/>
        <w:jc w:val="center"/>
        <w:rPr>
          <w:rFonts w:ascii="Times New Roman" w:eastAsia="Times New Roman" w:hAnsi="Times New Roman" w:cs="Times New Roman"/>
          <w:b/>
          <w:bCs/>
          <w:sz w:val="28"/>
          <w:szCs w:val="28"/>
        </w:rPr>
      </w:pPr>
    </w:p>
    <w:p w14:paraId="3ECFBD29" w14:textId="5C2F0DA6"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Lecturer Name:</w:t>
      </w:r>
      <w:r w:rsidR="004254E9">
        <w:rPr>
          <w:rFonts w:ascii="Times New Roman" w:eastAsia="Times New Roman" w:hAnsi="Times New Roman" w:cs="Times New Roman"/>
          <w:b/>
          <w:bCs/>
          <w:sz w:val="24"/>
          <w:szCs w:val="24"/>
        </w:rPr>
        <w:t xml:space="preserve"> HAORAN LIU </w:t>
      </w:r>
    </w:p>
    <w:p w14:paraId="4298911B" w14:textId="113AEE9D"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 xml:space="preserve">Student Name: </w:t>
      </w:r>
      <w:r w:rsidR="008033FE">
        <w:rPr>
          <w:rFonts w:ascii="Times New Roman" w:eastAsia="Times New Roman" w:hAnsi="Times New Roman" w:cs="Times New Roman"/>
          <w:b/>
          <w:bCs/>
          <w:sz w:val="24"/>
          <w:szCs w:val="24"/>
        </w:rPr>
        <w:t xml:space="preserve">KRISH SNEHALKUMAR PATEL </w:t>
      </w:r>
    </w:p>
    <w:p w14:paraId="72039006" w14:textId="11965A0D"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 xml:space="preserve">Student ID: </w:t>
      </w:r>
      <w:r w:rsidR="008033FE">
        <w:rPr>
          <w:rFonts w:ascii="Times New Roman" w:eastAsia="Times New Roman" w:hAnsi="Times New Roman" w:cs="Times New Roman"/>
          <w:b/>
          <w:bCs/>
          <w:sz w:val="24"/>
          <w:szCs w:val="24"/>
        </w:rPr>
        <w:t>2543699</w:t>
      </w:r>
    </w:p>
    <w:p w14:paraId="0DB92082" w14:textId="1E0D3A68"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Wordcount:</w:t>
      </w:r>
      <w:r w:rsidR="0021330B" w:rsidRPr="00C34B58">
        <w:rPr>
          <w:rFonts w:ascii="Times New Roman" w:eastAsia="Times New Roman" w:hAnsi="Times New Roman" w:cs="Times New Roman"/>
          <w:b/>
          <w:bCs/>
          <w:sz w:val="24"/>
          <w:szCs w:val="24"/>
        </w:rPr>
        <w:t>2625</w:t>
      </w:r>
    </w:p>
    <w:p w14:paraId="48FAA091" w14:textId="77777777" w:rsidR="0021330B" w:rsidRPr="00C34B58" w:rsidRDefault="0021330B" w:rsidP="0021330B">
      <w:pPr>
        <w:spacing w:line="360" w:lineRule="auto"/>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br w:type="page"/>
      </w:r>
    </w:p>
    <w:p w14:paraId="1220C51D" w14:textId="7C865869"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Table of Contents</w:t>
      </w:r>
    </w:p>
    <w:sdt>
      <w:sdtPr>
        <w:rPr>
          <w:rFonts w:ascii="Times New Roman" w:hAnsi="Times New Roman" w:cs="Times New Roman"/>
        </w:rPr>
        <w:id w:val="-893423105"/>
        <w:docPartObj>
          <w:docPartGallery w:val="Table of Contents"/>
          <w:docPartUnique/>
        </w:docPartObj>
      </w:sdtPr>
      <w:sdtEndPr/>
      <w:sdtContent>
        <w:p w14:paraId="0739796C" w14:textId="26E6F304" w:rsidR="00567691" w:rsidRPr="00C34B58" w:rsidRDefault="00F17BA4" w:rsidP="006A755F">
          <w:pPr>
            <w:pStyle w:val="TOC1"/>
            <w:tabs>
              <w:tab w:val="right" w:pos="9350"/>
            </w:tabs>
            <w:spacing w:line="240" w:lineRule="auto"/>
            <w:rPr>
              <w:rFonts w:ascii="Times New Roman" w:hAnsi="Times New Roman" w:cs="Times New Roman"/>
              <w:noProof/>
            </w:rPr>
          </w:pPr>
          <w:r w:rsidRPr="00C34B58">
            <w:rPr>
              <w:rFonts w:ascii="Times New Roman" w:hAnsi="Times New Roman" w:cs="Times New Roman"/>
            </w:rPr>
            <w:fldChar w:fldCharType="begin"/>
          </w:r>
          <w:r w:rsidRPr="00C34B58">
            <w:rPr>
              <w:rFonts w:ascii="Times New Roman" w:hAnsi="Times New Roman" w:cs="Times New Roman"/>
            </w:rPr>
            <w:instrText xml:space="preserve"> TOC \h \u \z \t "Heading 1,1,Heading 2,2,Heading 3,3,Heading 4,4,Heading 5,5,Heading 6,6,"</w:instrText>
          </w:r>
          <w:r w:rsidRPr="00C34B58">
            <w:rPr>
              <w:rFonts w:ascii="Times New Roman" w:hAnsi="Times New Roman" w:cs="Times New Roman"/>
            </w:rPr>
            <w:fldChar w:fldCharType="separate"/>
          </w:r>
          <w:hyperlink w:anchor="_Toc235743565" w:history="1">
            <w:r w:rsidR="00567691" w:rsidRPr="00C34B58">
              <w:rPr>
                <w:rStyle w:val="Hyperlink"/>
                <w:rFonts w:ascii="Times New Roman" w:hAnsi="Times New Roman" w:cs="Times New Roman"/>
                <w:noProof/>
                <w:color w:val="auto"/>
              </w:rPr>
              <w:t>Introduction</w:t>
            </w:r>
            <w:r w:rsidR="00567691" w:rsidRPr="00C34B58">
              <w:rPr>
                <w:rFonts w:ascii="Times New Roman" w:hAnsi="Times New Roman" w:cs="Times New Roman"/>
                <w:noProof/>
                <w:webHidden/>
              </w:rPr>
              <w:tab/>
            </w:r>
            <w:r w:rsidR="00567691" w:rsidRPr="00C34B58">
              <w:rPr>
                <w:rFonts w:ascii="Times New Roman" w:hAnsi="Times New Roman" w:cs="Times New Roman"/>
                <w:noProof/>
                <w:webHidden/>
              </w:rPr>
              <w:fldChar w:fldCharType="begin"/>
            </w:r>
            <w:r w:rsidR="00567691" w:rsidRPr="00C34B58">
              <w:rPr>
                <w:rFonts w:ascii="Times New Roman" w:hAnsi="Times New Roman" w:cs="Times New Roman"/>
                <w:noProof/>
                <w:webHidden/>
              </w:rPr>
              <w:instrText xml:space="preserve"> PAGEREF _Toc235743565 \h </w:instrText>
            </w:r>
            <w:r w:rsidR="00567691" w:rsidRPr="00C34B58">
              <w:rPr>
                <w:rFonts w:ascii="Times New Roman" w:hAnsi="Times New Roman" w:cs="Times New Roman"/>
                <w:noProof/>
                <w:webHidden/>
              </w:rPr>
            </w:r>
            <w:r w:rsidR="00567691" w:rsidRPr="00C34B58">
              <w:rPr>
                <w:rFonts w:ascii="Times New Roman" w:hAnsi="Times New Roman" w:cs="Times New Roman"/>
                <w:noProof/>
                <w:webHidden/>
              </w:rPr>
              <w:fldChar w:fldCharType="separate"/>
            </w:r>
            <w:r w:rsidR="00567691" w:rsidRPr="00C34B58">
              <w:rPr>
                <w:rFonts w:ascii="Times New Roman" w:hAnsi="Times New Roman" w:cs="Times New Roman"/>
                <w:noProof/>
                <w:webHidden/>
              </w:rPr>
              <w:t>4</w:t>
            </w:r>
            <w:r w:rsidR="00567691" w:rsidRPr="00C34B58">
              <w:rPr>
                <w:rFonts w:ascii="Times New Roman" w:hAnsi="Times New Roman" w:cs="Times New Roman"/>
                <w:noProof/>
                <w:webHidden/>
              </w:rPr>
              <w:fldChar w:fldCharType="end"/>
            </w:r>
          </w:hyperlink>
        </w:p>
        <w:p w14:paraId="42F3CD5F" w14:textId="47A62278" w:rsidR="00567691" w:rsidRPr="00C34B58" w:rsidRDefault="00567691" w:rsidP="006A755F">
          <w:pPr>
            <w:pStyle w:val="TOC1"/>
            <w:tabs>
              <w:tab w:val="right" w:pos="9350"/>
            </w:tabs>
            <w:spacing w:line="240" w:lineRule="auto"/>
            <w:rPr>
              <w:rFonts w:ascii="Times New Roman" w:hAnsi="Times New Roman" w:cs="Times New Roman"/>
              <w:noProof/>
            </w:rPr>
          </w:pPr>
          <w:hyperlink w:anchor="_Toc235743566" w:history="1">
            <w:r w:rsidRPr="00C34B58">
              <w:rPr>
                <w:rStyle w:val="Hyperlink"/>
                <w:rFonts w:ascii="Times New Roman" w:hAnsi="Times New Roman" w:cs="Times New Roman"/>
                <w:noProof/>
                <w:color w:val="auto"/>
              </w:rPr>
              <w:t>Task 1: Marketing Environment Analysis</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_Toc235743566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5</w:t>
            </w:r>
            <w:r w:rsidRPr="00C34B58">
              <w:rPr>
                <w:rFonts w:ascii="Times New Roman" w:hAnsi="Times New Roman" w:cs="Times New Roman"/>
                <w:noProof/>
                <w:webHidden/>
              </w:rPr>
              <w:fldChar w:fldCharType="end"/>
            </w:r>
          </w:hyperlink>
        </w:p>
        <w:p w14:paraId="1E1A84A3" w14:textId="5111B4A2"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67" w:history="1">
            <w:r w:rsidRPr="00C34B58">
              <w:rPr>
                <w:rStyle w:val="Hyperlink"/>
                <w:rFonts w:ascii="Times New Roman" w:hAnsi="Times New Roman" w:cs="Times New Roman"/>
                <w:noProof/>
                <w:color w:val="auto"/>
              </w:rPr>
              <w:t>1.1 Importance of the External Marketing Environment</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_Toc235743567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5</w:t>
            </w:r>
            <w:r w:rsidRPr="00C34B58">
              <w:rPr>
                <w:rFonts w:ascii="Times New Roman" w:hAnsi="Times New Roman" w:cs="Times New Roman"/>
                <w:noProof/>
                <w:webHidden/>
              </w:rPr>
              <w:fldChar w:fldCharType="end"/>
            </w:r>
          </w:hyperlink>
        </w:p>
        <w:p w14:paraId="7A5F33DC" w14:textId="7DA75D8F"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68" w:history="1">
            <w:r w:rsidRPr="00C34B58">
              <w:rPr>
                <w:rStyle w:val="Hyperlink"/>
                <w:rFonts w:ascii="Times New Roman" w:hAnsi="Times New Roman" w:cs="Times New Roman"/>
                <w:noProof/>
                <w:color w:val="auto"/>
              </w:rPr>
              <w:t>1.2 Natural Environment</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_Toc235743568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5</w:t>
            </w:r>
            <w:r w:rsidRPr="00C34B58">
              <w:rPr>
                <w:rFonts w:ascii="Times New Roman" w:hAnsi="Times New Roman" w:cs="Times New Roman"/>
                <w:noProof/>
                <w:webHidden/>
              </w:rPr>
              <w:fldChar w:fldCharType="end"/>
            </w:r>
          </w:hyperlink>
        </w:p>
        <w:p w14:paraId="3155662D" w14:textId="2BA97F8F"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69" w:history="1">
            <w:r w:rsidRPr="00C34B58">
              <w:rPr>
                <w:rStyle w:val="Hyperlink"/>
                <w:rFonts w:ascii="Times New Roman" w:hAnsi="Times New Roman" w:cs="Times New Roman"/>
                <w:noProof/>
                <w:color w:val="auto"/>
              </w:rPr>
              <w:t>Climate Change and Operational Sustainability</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_Toc235743569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5</w:t>
            </w:r>
            <w:r w:rsidRPr="00C34B58">
              <w:rPr>
                <w:rFonts w:ascii="Times New Roman" w:hAnsi="Times New Roman" w:cs="Times New Roman"/>
                <w:noProof/>
                <w:webHidden/>
              </w:rPr>
              <w:fldChar w:fldCharType="end"/>
            </w:r>
          </w:hyperlink>
        </w:p>
        <w:p w14:paraId="343D8B83" w14:textId="34F8A77C"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70" w:history="1">
            <w:r w:rsidRPr="00C34B58">
              <w:rPr>
                <w:rStyle w:val="Hyperlink"/>
                <w:rFonts w:ascii="Times New Roman" w:hAnsi="Times New Roman" w:cs="Times New Roman"/>
                <w:noProof/>
                <w:color w:val="auto"/>
              </w:rPr>
              <w:t>Market Opportunities</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_Toc235743570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6</w:t>
            </w:r>
            <w:r w:rsidRPr="00C34B58">
              <w:rPr>
                <w:rFonts w:ascii="Times New Roman" w:hAnsi="Times New Roman" w:cs="Times New Roman"/>
                <w:noProof/>
                <w:webHidden/>
              </w:rPr>
              <w:fldChar w:fldCharType="end"/>
            </w:r>
          </w:hyperlink>
        </w:p>
        <w:p w14:paraId="381DFF26" w14:textId="60E1A8C0"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71" w:history="1">
            <w:r w:rsidRPr="00C34B58">
              <w:rPr>
                <w:rStyle w:val="Hyperlink"/>
                <w:rFonts w:ascii="Times New Roman" w:hAnsi="Times New Roman" w:cs="Times New Roman"/>
                <w:noProof/>
                <w:color w:val="auto"/>
              </w:rPr>
              <w:t>Environmental Challenges</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_Toc235743571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7</w:t>
            </w:r>
            <w:r w:rsidRPr="00C34B58">
              <w:rPr>
                <w:rFonts w:ascii="Times New Roman" w:hAnsi="Times New Roman" w:cs="Times New Roman"/>
                <w:noProof/>
                <w:webHidden/>
              </w:rPr>
              <w:fldChar w:fldCharType="end"/>
            </w:r>
          </w:hyperlink>
        </w:p>
        <w:p w14:paraId="71D2377C" w14:textId="2C72569A"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72" w:history="1">
            <w:r w:rsidRPr="00C34B58">
              <w:rPr>
                <w:rStyle w:val="Hyperlink"/>
                <w:rFonts w:ascii="Times New Roman" w:hAnsi="Times New Roman" w:cs="Times New Roman"/>
                <w:noProof/>
                <w:color w:val="auto"/>
              </w:rPr>
              <w:t>1.3 Political Environment</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_Toc235743572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9</w:t>
            </w:r>
            <w:r w:rsidRPr="00C34B58">
              <w:rPr>
                <w:rFonts w:ascii="Times New Roman" w:hAnsi="Times New Roman" w:cs="Times New Roman"/>
                <w:noProof/>
                <w:webHidden/>
              </w:rPr>
              <w:fldChar w:fldCharType="end"/>
            </w:r>
          </w:hyperlink>
        </w:p>
        <w:p w14:paraId="28A7725B" w14:textId="43ACC695"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73" w:history="1">
            <w:r w:rsidRPr="00C34B58">
              <w:rPr>
                <w:rStyle w:val="Hyperlink"/>
                <w:rFonts w:ascii="Times New Roman" w:hAnsi="Times New Roman" w:cs="Times New Roman"/>
                <w:noProof/>
                <w:color w:val="auto"/>
              </w:rPr>
              <w:t>Government Regulation and Climate Policy</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_Toc235743573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9</w:t>
            </w:r>
            <w:r w:rsidRPr="00C34B58">
              <w:rPr>
                <w:rFonts w:ascii="Times New Roman" w:hAnsi="Times New Roman" w:cs="Times New Roman"/>
                <w:noProof/>
                <w:webHidden/>
              </w:rPr>
              <w:fldChar w:fldCharType="end"/>
            </w:r>
          </w:hyperlink>
        </w:p>
        <w:p w14:paraId="3ADACC86" w14:textId="1A7FAAA4"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74" w:history="1">
            <w:r w:rsidRPr="00C34B58">
              <w:rPr>
                <w:rStyle w:val="Hyperlink"/>
                <w:rFonts w:ascii="Times New Roman" w:hAnsi="Times New Roman" w:cs="Times New Roman"/>
                <w:noProof/>
                <w:color w:val="auto"/>
              </w:rPr>
              <w:t>Stakeholder Confidence and Competitive Advantage</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_Toc235743574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9</w:t>
            </w:r>
            <w:r w:rsidRPr="00C34B58">
              <w:rPr>
                <w:rFonts w:ascii="Times New Roman" w:hAnsi="Times New Roman" w:cs="Times New Roman"/>
                <w:noProof/>
                <w:webHidden/>
              </w:rPr>
              <w:fldChar w:fldCharType="end"/>
            </w:r>
          </w:hyperlink>
        </w:p>
        <w:p w14:paraId="76E504BF" w14:textId="6432D7A5"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75" w:history="1">
            <w:r w:rsidRPr="00C34B58">
              <w:rPr>
                <w:rStyle w:val="Hyperlink"/>
                <w:rFonts w:ascii="Times New Roman" w:hAnsi="Times New Roman" w:cs="Times New Roman"/>
                <w:noProof/>
                <w:color w:val="auto"/>
              </w:rPr>
              <w:t>1.4 Critical Evaluation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_Toc235743575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11</w:t>
            </w:r>
            <w:r w:rsidRPr="00C34B58">
              <w:rPr>
                <w:rFonts w:ascii="Times New Roman" w:hAnsi="Times New Roman" w:cs="Times New Roman"/>
                <w:noProof/>
                <w:webHidden/>
              </w:rPr>
              <w:fldChar w:fldCharType="end"/>
            </w:r>
          </w:hyperlink>
        </w:p>
        <w:p w14:paraId="4AF40BF2" w14:textId="2C653C82"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76" w:history="1">
            <w:r w:rsidRPr="00C34B58">
              <w:rPr>
                <w:rStyle w:val="Hyperlink"/>
                <w:rFonts w:ascii="Times New Roman" w:hAnsi="Times New Roman" w:cs="Times New Roman"/>
                <w:noProof/>
                <w:color w:val="auto"/>
              </w:rPr>
              <w:t>Interaction Between Marketing Environmental Actors</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_Toc235743576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11</w:t>
            </w:r>
            <w:r w:rsidRPr="00C34B58">
              <w:rPr>
                <w:rFonts w:ascii="Times New Roman" w:hAnsi="Times New Roman" w:cs="Times New Roman"/>
                <w:noProof/>
                <w:webHidden/>
              </w:rPr>
              <w:fldChar w:fldCharType="end"/>
            </w:r>
          </w:hyperlink>
        </w:p>
        <w:p w14:paraId="0F7B26CC" w14:textId="1ACAADAD" w:rsidR="00567691" w:rsidRPr="00C34B58" w:rsidRDefault="00567691" w:rsidP="006A755F">
          <w:pPr>
            <w:pStyle w:val="TOC1"/>
            <w:tabs>
              <w:tab w:val="right" w:pos="9350"/>
            </w:tabs>
            <w:spacing w:line="240" w:lineRule="auto"/>
            <w:rPr>
              <w:rFonts w:ascii="Times New Roman" w:hAnsi="Times New Roman" w:cs="Times New Roman"/>
              <w:noProof/>
            </w:rPr>
          </w:pPr>
          <w:hyperlink w:anchor="_Toc235743577" w:history="1">
            <w:r w:rsidRPr="00C34B58">
              <w:rPr>
                <w:rStyle w:val="Hyperlink"/>
                <w:rFonts w:ascii="Times New Roman" w:hAnsi="Times New Roman" w:cs="Times New Roman"/>
                <w:noProof/>
                <w:color w:val="auto"/>
              </w:rPr>
              <w:t>Task 2: Strategic Growth and Competitive Positioning</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_Toc235743577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12</w:t>
            </w:r>
            <w:r w:rsidRPr="00C34B58">
              <w:rPr>
                <w:rFonts w:ascii="Times New Roman" w:hAnsi="Times New Roman" w:cs="Times New Roman"/>
                <w:noProof/>
                <w:webHidden/>
              </w:rPr>
              <w:fldChar w:fldCharType="end"/>
            </w:r>
          </w:hyperlink>
        </w:p>
        <w:p w14:paraId="028C1876" w14:textId="72EA093E"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78" w:history="1">
            <w:r w:rsidRPr="00C34B58">
              <w:rPr>
                <w:rStyle w:val="Hyperlink"/>
                <w:rFonts w:ascii="Times New Roman" w:hAnsi="Times New Roman" w:cs="Times New Roman"/>
                <w:noProof/>
                <w:color w:val="auto"/>
              </w:rPr>
              <w:t>2.1 Strategic Growth Using the Ansoff Matrix</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_Toc235743578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12</w:t>
            </w:r>
            <w:r w:rsidRPr="00C34B58">
              <w:rPr>
                <w:rFonts w:ascii="Times New Roman" w:hAnsi="Times New Roman" w:cs="Times New Roman"/>
                <w:noProof/>
                <w:webHidden/>
              </w:rPr>
              <w:fldChar w:fldCharType="end"/>
            </w:r>
          </w:hyperlink>
        </w:p>
        <w:p w14:paraId="53930AC2" w14:textId="78FA3774" w:rsidR="00567691" w:rsidRPr="00C34B58" w:rsidRDefault="00567691" w:rsidP="006A755F">
          <w:pPr>
            <w:pStyle w:val="TOC3"/>
            <w:tabs>
              <w:tab w:val="left" w:pos="1200"/>
              <w:tab w:val="right" w:pos="9350"/>
            </w:tabs>
            <w:spacing w:line="240" w:lineRule="auto"/>
            <w:rPr>
              <w:rFonts w:ascii="Times New Roman" w:hAnsi="Times New Roman" w:cs="Times New Roman"/>
              <w:noProof/>
            </w:rPr>
          </w:pPr>
          <w:hyperlink w:anchor="_Toc235743579" w:history="1">
            <w:r w:rsidRPr="00C34B58">
              <w:rPr>
                <w:rStyle w:val="Hyperlink"/>
                <w:rFonts w:ascii="Times New Roman" w:hAnsi="Times New Roman" w:cs="Times New Roman"/>
                <w:noProof/>
                <w:color w:val="auto"/>
              </w:rPr>
              <w:t>(a)</w:t>
            </w:r>
            <w:r w:rsidRPr="00C34B58">
              <w:rPr>
                <w:rFonts w:ascii="Times New Roman" w:hAnsi="Times New Roman" w:cs="Times New Roman"/>
                <w:noProof/>
              </w:rPr>
              <w:tab/>
            </w:r>
            <w:r w:rsidRPr="00C34B58">
              <w:rPr>
                <w:rStyle w:val="Hyperlink"/>
                <w:rFonts w:ascii="Times New Roman" w:hAnsi="Times New Roman" w:cs="Times New Roman"/>
                <w:noProof/>
                <w:color w:val="auto"/>
              </w:rPr>
              <w:t>Market Penetration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_Toc235743579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12</w:t>
            </w:r>
            <w:r w:rsidRPr="00C34B58">
              <w:rPr>
                <w:rFonts w:ascii="Times New Roman" w:hAnsi="Times New Roman" w:cs="Times New Roman"/>
                <w:noProof/>
                <w:webHidden/>
              </w:rPr>
              <w:fldChar w:fldCharType="end"/>
            </w:r>
          </w:hyperlink>
        </w:p>
        <w:p w14:paraId="4B108E8B" w14:textId="38246644" w:rsidR="00567691" w:rsidRPr="00C34B58" w:rsidRDefault="00567691" w:rsidP="006A755F">
          <w:pPr>
            <w:pStyle w:val="TOC3"/>
            <w:tabs>
              <w:tab w:val="left" w:pos="1200"/>
              <w:tab w:val="right" w:pos="9350"/>
            </w:tabs>
            <w:spacing w:line="240" w:lineRule="auto"/>
            <w:rPr>
              <w:rFonts w:ascii="Times New Roman" w:hAnsi="Times New Roman" w:cs="Times New Roman"/>
              <w:noProof/>
            </w:rPr>
          </w:pPr>
          <w:hyperlink w:anchor="_Toc235743580" w:history="1">
            <w:r w:rsidRPr="00C34B58">
              <w:rPr>
                <w:rStyle w:val="Hyperlink"/>
                <w:rFonts w:ascii="Times New Roman" w:hAnsi="Times New Roman" w:cs="Times New Roman"/>
                <w:noProof/>
                <w:color w:val="auto"/>
              </w:rPr>
              <w:t>(b)</w:t>
            </w:r>
            <w:r w:rsidRPr="00C34B58">
              <w:rPr>
                <w:rFonts w:ascii="Times New Roman" w:hAnsi="Times New Roman" w:cs="Times New Roman"/>
                <w:noProof/>
              </w:rPr>
              <w:tab/>
            </w:r>
            <w:r w:rsidRPr="00C34B58">
              <w:rPr>
                <w:rStyle w:val="Hyperlink"/>
                <w:rFonts w:ascii="Times New Roman" w:hAnsi="Times New Roman" w:cs="Times New Roman"/>
                <w:noProof/>
                <w:color w:val="auto"/>
              </w:rPr>
              <w:t>Product Development Strategy</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_Toc235743580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13</w:t>
            </w:r>
            <w:r w:rsidRPr="00C34B58">
              <w:rPr>
                <w:rFonts w:ascii="Times New Roman" w:hAnsi="Times New Roman" w:cs="Times New Roman"/>
                <w:noProof/>
                <w:webHidden/>
              </w:rPr>
              <w:fldChar w:fldCharType="end"/>
            </w:r>
          </w:hyperlink>
        </w:p>
        <w:p w14:paraId="553941B6" w14:textId="69859932" w:rsidR="00567691" w:rsidRPr="00C34B58" w:rsidRDefault="00567691" w:rsidP="006A755F">
          <w:pPr>
            <w:pStyle w:val="TOC3"/>
            <w:tabs>
              <w:tab w:val="left" w:pos="1200"/>
              <w:tab w:val="right" w:pos="9350"/>
            </w:tabs>
            <w:spacing w:line="240" w:lineRule="auto"/>
            <w:rPr>
              <w:rFonts w:ascii="Times New Roman" w:hAnsi="Times New Roman" w:cs="Times New Roman"/>
              <w:noProof/>
            </w:rPr>
          </w:pPr>
          <w:hyperlink w:anchor="_Toc235743581" w:history="1">
            <w:r w:rsidRPr="00C34B58">
              <w:rPr>
                <w:rStyle w:val="Hyperlink"/>
                <w:rFonts w:ascii="Times New Roman" w:hAnsi="Times New Roman" w:cs="Times New Roman"/>
                <w:noProof/>
                <w:color w:val="auto"/>
              </w:rPr>
              <w:t>(c)</w:t>
            </w:r>
            <w:r w:rsidRPr="00C34B58">
              <w:rPr>
                <w:rFonts w:ascii="Times New Roman" w:hAnsi="Times New Roman" w:cs="Times New Roman"/>
                <w:noProof/>
              </w:rPr>
              <w:tab/>
            </w:r>
            <w:r w:rsidRPr="00C34B58">
              <w:rPr>
                <w:rStyle w:val="Hyperlink"/>
                <w:rFonts w:ascii="Times New Roman" w:hAnsi="Times New Roman" w:cs="Times New Roman"/>
                <w:noProof/>
                <w:color w:val="auto"/>
              </w:rPr>
              <w:t>Market Development</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_Toc235743581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13</w:t>
            </w:r>
            <w:r w:rsidRPr="00C34B58">
              <w:rPr>
                <w:rFonts w:ascii="Times New Roman" w:hAnsi="Times New Roman" w:cs="Times New Roman"/>
                <w:noProof/>
                <w:webHidden/>
              </w:rPr>
              <w:fldChar w:fldCharType="end"/>
            </w:r>
          </w:hyperlink>
        </w:p>
        <w:p w14:paraId="109ACD72" w14:textId="1BE1D3F0" w:rsidR="00567691" w:rsidRPr="00C34B58" w:rsidRDefault="00567691" w:rsidP="006A755F">
          <w:pPr>
            <w:pStyle w:val="TOC3"/>
            <w:tabs>
              <w:tab w:val="left" w:pos="1200"/>
              <w:tab w:val="right" w:pos="9350"/>
            </w:tabs>
            <w:spacing w:line="240" w:lineRule="auto"/>
            <w:rPr>
              <w:rFonts w:ascii="Times New Roman" w:hAnsi="Times New Roman" w:cs="Times New Roman"/>
              <w:noProof/>
            </w:rPr>
          </w:pPr>
          <w:hyperlink w:anchor="_Toc235743582" w:history="1">
            <w:r w:rsidRPr="00C34B58">
              <w:rPr>
                <w:rStyle w:val="Hyperlink"/>
                <w:rFonts w:ascii="Times New Roman" w:hAnsi="Times New Roman" w:cs="Times New Roman"/>
                <w:noProof/>
                <w:color w:val="auto"/>
              </w:rPr>
              <w:t>(d)</w:t>
            </w:r>
            <w:r w:rsidRPr="00C34B58">
              <w:rPr>
                <w:rFonts w:ascii="Times New Roman" w:hAnsi="Times New Roman" w:cs="Times New Roman"/>
                <w:noProof/>
              </w:rPr>
              <w:tab/>
            </w:r>
            <w:r w:rsidRPr="00C34B58">
              <w:rPr>
                <w:rStyle w:val="Hyperlink"/>
                <w:rFonts w:ascii="Times New Roman" w:hAnsi="Times New Roman" w:cs="Times New Roman"/>
                <w:noProof/>
                <w:color w:val="auto"/>
              </w:rPr>
              <w:t>Diversification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_Toc235743582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13</w:t>
            </w:r>
            <w:r w:rsidRPr="00C34B58">
              <w:rPr>
                <w:rFonts w:ascii="Times New Roman" w:hAnsi="Times New Roman" w:cs="Times New Roman"/>
                <w:noProof/>
                <w:webHidden/>
              </w:rPr>
              <w:fldChar w:fldCharType="end"/>
            </w:r>
          </w:hyperlink>
        </w:p>
        <w:p w14:paraId="1DC8383A" w14:textId="43DA223E"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83" w:history="1">
            <w:r w:rsidRPr="00C34B58">
              <w:rPr>
                <w:rStyle w:val="Hyperlink"/>
                <w:rFonts w:ascii="Times New Roman" w:hAnsi="Times New Roman" w:cs="Times New Roman"/>
                <w:noProof/>
                <w:color w:val="auto"/>
              </w:rPr>
              <w:t>2.2 Competitive Advantage</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_Toc235743583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14</w:t>
            </w:r>
            <w:r w:rsidRPr="00C34B58">
              <w:rPr>
                <w:rFonts w:ascii="Times New Roman" w:hAnsi="Times New Roman" w:cs="Times New Roman"/>
                <w:noProof/>
                <w:webHidden/>
              </w:rPr>
              <w:fldChar w:fldCharType="end"/>
            </w:r>
          </w:hyperlink>
        </w:p>
        <w:p w14:paraId="2521CA2F" w14:textId="6ABCE8E1"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84" w:history="1">
            <w:r w:rsidRPr="00C34B58">
              <w:rPr>
                <w:rStyle w:val="Hyperlink"/>
                <w:rFonts w:ascii="Times New Roman" w:hAnsi="Times New Roman" w:cs="Times New Roman"/>
                <w:noProof/>
                <w:color w:val="auto"/>
              </w:rPr>
              <w:t>Achieving Differentiation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_Toc235743584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14</w:t>
            </w:r>
            <w:r w:rsidRPr="00C34B58">
              <w:rPr>
                <w:rFonts w:ascii="Times New Roman" w:hAnsi="Times New Roman" w:cs="Times New Roman"/>
                <w:noProof/>
                <w:webHidden/>
              </w:rPr>
              <w:fldChar w:fldCharType="end"/>
            </w:r>
          </w:hyperlink>
        </w:p>
        <w:p w14:paraId="1C5640FF" w14:textId="4327E930"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85" w:history="1">
            <w:r w:rsidRPr="00C34B58">
              <w:rPr>
                <w:rStyle w:val="Hyperlink"/>
                <w:rFonts w:ascii="Times New Roman" w:hAnsi="Times New Roman" w:cs="Times New Roman"/>
                <w:noProof/>
                <w:color w:val="auto"/>
              </w:rPr>
              <w:t>Innovation and Technology</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_Toc235743585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14</w:t>
            </w:r>
            <w:r w:rsidRPr="00C34B58">
              <w:rPr>
                <w:rFonts w:ascii="Times New Roman" w:hAnsi="Times New Roman" w:cs="Times New Roman"/>
                <w:noProof/>
                <w:webHidden/>
              </w:rPr>
              <w:fldChar w:fldCharType="end"/>
            </w:r>
          </w:hyperlink>
        </w:p>
        <w:p w14:paraId="34083AE6" w14:textId="71513D00"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86" w:history="1">
            <w:r w:rsidRPr="00C34B58">
              <w:rPr>
                <w:rStyle w:val="Hyperlink"/>
                <w:rFonts w:ascii="Times New Roman" w:hAnsi="Times New Roman" w:cs="Times New Roman"/>
                <w:noProof/>
                <w:color w:val="auto"/>
              </w:rPr>
              <w:t>2.3 Recommendation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_Toc235743586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15</w:t>
            </w:r>
            <w:r w:rsidRPr="00C34B58">
              <w:rPr>
                <w:rFonts w:ascii="Times New Roman" w:hAnsi="Times New Roman" w:cs="Times New Roman"/>
                <w:noProof/>
                <w:webHidden/>
              </w:rPr>
              <w:fldChar w:fldCharType="end"/>
            </w:r>
          </w:hyperlink>
        </w:p>
        <w:p w14:paraId="3AC84F3D" w14:textId="4FF92028"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87" w:history="1">
            <w:r w:rsidRPr="00C34B58">
              <w:rPr>
                <w:rStyle w:val="Hyperlink"/>
                <w:rFonts w:ascii="Times New Roman" w:hAnsi="Times New Roman" w:cs="Times New Roman"/>
                <w:noProof/>
                <w:color w:val="auto"/>
              </w:rPr>
              <w:t>Sustainable Competitive Growth</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_Toc235743587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15</w:t>
            </w:r>
            <w:r w:rsidRPr="00C34B58">
              <w:rPr>
                <w:rFonts w:ascii="Times New Roman" w:hAnsi="Times New Roman" w:cs="Times New Roman"/>
                <w:noProof/>
                <w:webHidden/>
              </w:rPr>
              <w:fldChar w:fldCharType="end"/>
            </w:r>
          </w:hyperlink>
        </w:p>
        <w:p w14:paraId="3194AE27" w14:textId="573D23A7" w:rsidR="00567691" w:rsidRPr="00C34B58" w:rsidRDefault="00567691" w:rsidP="006A755F">
          <w:pPr>
            <w:pStyle w:val="TOC1"/>
            <w:tabs>
              <w:tab w:val="right" w:pos="9350"/>
            </w:tabs>
            <w:spacing w:line="240" w:lineRule="auto"/>
            <w:rPr>
              <w:rFonts w:ascii="Times New Roman" w:hAnsi="Times New Roman" w:cs="Times New Roman"/>
              <w:noProof/>
            </w:rPr>
          </w:pPr>
          <w:hyperlink w:anchor="_Toc235743588" w:history="1">
            <w:r w:rsidRPr="00C34B58">
              <w:rPr>
                <w:rStyle w:val="Hyperlink"/>
                <w:rFonts w:ascii="Times New Roman" w:hAnsi="Times New Roman" w:cs="Times New Roman"/>
                <w:noProof/>
                <w:color w:val="auto"/>
              </w:rPr>
              <w:t>Task 3: Critical Reflection on AI Usage</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_Toc235743588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16</w:t>
            </w:r>
            <w:r w:rsidRPr="00C34B58">
              <w:rPr>
                <w:rFonts w:ascii="Times New Roman" w:hAnsi="Times New Roman" w:cs="Times New Roman"/>
                <w:noProof/>
                <w:webHidden/>
              </w:rPr>
              <w:fldChar w:fldCharType="end"/>
            </w:r>
          </w:hyperlink>
        </w:p>
        <w:p w14:paraId="2FE9E396" w14:textId="57BD7398"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89" w:history="1">
            <w:r w:rsidRPr="00C34B58">
              <w:rPr>
                <w:rStyle w:val="Hyperlink"/>
                <w:rFonts w:ascii="Times New Roman" w:hAnsi="Times New Roman" w:cs="Times New Roman"/>
                <w:noProof/>
                <w:color w:val="auto"/>
              </w:rPr>
              <w:t>3.1 Tool Disclosure</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_Toc235743589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16</w:t>
            </w:r>
            <w:r w:rsidRPr="00C34B58">
              <w:rPr>
                <w:rFonts w:ascii="Times New Roman" w:hAnsi="Times New Roman" w:cs="Times New Roman"/>
                <w:noProof/>
                <w:webHidden/>
              </w:rPr>
              <w:fldChar w:fldCharType="end"/>
            </w:r>
          </w:hyperlink>
        </w:p>
        <w:p w14:paraId="3ACCCE07" w14:textId="5041F0F9"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90" w:history="1">
            <w:r w:rsidRPr="00C34B58">
              <w:rPr>
                <w:rStyle w:val="Hyperlink"/>
                <w:rFonts w:ascii="Times New Roman" w:hAnsi="Times New Roman" w:cs="Times New Roman"/>
                <w:noProof/>
                <w:color w:val="auto"/>
              </w:rPr>
              <w:t>AI Applications</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_Toc235743590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16</w:t>
            </w:r>
            <w:r w:rsidRPr="00C34B58">
              <w:rPr>
                <w:rFonts w:ascii="Times New Roman" w:hAnsi="Times New Roman" w:cs="Times New Roman"/>
                <w:noProof/>
                <w:webHidden/>
              </w:rPr>
              <w:fldChar w:fldCharType="end"/>
            </w:r>
          </w:hyperlink>
        </w:p>
        <w:p w14:paraId="5E08C8E5" w14:textId="31C7B8AB"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91" w:history="1">
            <w:r w:rsidRPr="00C34B58">
              <w:rPr>
                <w:rStyle w:val="Hyperlink"/>
                <w:rFonts w:ascii="Times New Roman" w:hAnsi="Times New Roman" w:cs="Times New Roman"/>
                <w:noProof/>
                <w:color w:val="auto"/>
              </w:rPr>
              <w:t>3.2 Critical Evaluation of AI Output</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_Toc235743591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16</w:t>
            </w:r>
            <w:r w:rsidRPr="00C34B58">
              <w:rPr>
                <w:rFonts w:ascii="Times New Roman" w:hAnsi="Times New Roman" w:cs="Times New Roman"/>
                <w:noProof/>
                <w:webHidden/>
              </w:rPr>
              <w:fldChar w:fldCharType="end"/>
            </w:r>
          </w:hyperlink>
        </w:p>
        <w:p w14:paraId="120FD7AE" w14:textId="7DEBC5FE"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92" w:history="1">
            <w:r w:rsidRPr="00C34B58">
              <w:rPr>
                <w:rStyle w:val="Hyperlink"/>
                <w:rFonts w:ascii="Times New Roman" w:hAnsi="Times New Roman" w:cs="Times New Roman"/>
                <w:noProof/>
                <w:color w:val="auto"/>
              </w:rPr>
              <w:t>Verification and Error Identification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_Toc235743592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16</w:t>
            </w:r>
            <w:r w:rsidRPr="00C34B58">
              <w:rPr>
                <w:rFonts w:ascii="Times New Roman" w:hAnsi="Times New Roman" w:cs="Times New Roman"/>
                <w:noProof/>
                <w:webHidden/>
              </w:rPr>
              <w:fldChar w:fldCharType="end"/>
            </w:r>
          </w:hyperlink>
        </w:p>
        <w:p w14:paraId="04D1E390" w14:textId="7C18E5CA"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93" w:history="1">
            <w:r w:rsidRPr="00C34B58">
              <w:rPr>
                <w:rStyle w:val="Hyperlink"/>
                <w:rFonts w:ascii="Times New Roman" w:hAnsi="Times New Roman" w:cs="Times New Roman"/>
                <w:noProof/>
                <w:color w:val="auto"/>
              </w:rPr>
              <w:t>3.3 Contribution Analysis</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_Toc235743593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16</w:t>
            </w:r>
            <w:r w:rsidRPr="00C34B58">
              <w:rPr>
                <w:rFonts w:ascii="Times New Roman" w:hAnsi="Times New Roman" w:cs="Times New Roman"/>
                <w:noProof/>
                <w:webHidden/>
              </w:rPr>
              <w:fldChar w:fldCharType="end"/>
            </w:r>
          </w:hyperlink>
        </w:p>
        <w:p w14:paraId="0313CB61" w14:textId="0FFE5E1B" w:rsidR="00567691" w:rsidRPr="00C34B58" w:rsidRDefault="00567691" w:rsidP="006A755F">
          <w:pPr>
            <w:pStyle w:val="TOC3"/>
            <w:tabs>
              <w:tab w:val="right" w:pos="9350"/>
            </w:tabs>
            <w:spacing w:line="240" w:lineRule="auto"/>
            <w:rPr>
              <w:rFonts w:ascii="Times New Roman" w:hAnsi="Times New Roman" w:cs="Times New Roman"/>
              <w:noProof/>
            </w:rPr>
          </w:pPr>
          <w:hyperlink w:anchor="_Toc235743594" w:history="1">
            <w:r w:rsidRPr="00C34B58">
              <w:rPr>
                <w:rStyle w:val="Hyperlink"/>
                <w:rFonts w:ascii="Times New Roman" w:hAnsi="Times New Roman" w:cs="Times New Roman"/>
                <w:noProof/>
                <w:color w:val="auto"/>
              </w:rPr>
              <w:t>Original Contribution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_Toc235743594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16</w:t>
            </w:r>
            <w:r w:rsidRPr="00C34B58">
              <w:rPr>
                <w:rFonts w:ascii="Times New Roman" w:hAnsi="Times New Roman" w:cs="Times New Roman"/>
                <w:noProof/>
                <w:webHidden/>
              </w:rPr>
              <w:fldChar w:fldCharType="end"/>
            </w:r>
          </w:hyperlink>
        </w:p>
        <w:p w14:paraId="296E0754" w14:textId="676BA149" w:rsidR="00567691" w:rsidRPr="00C34B58" w:rsidRDefault="00567691" w:rsidP="006A755F">
          <w:pPr>
            <w:pStyle w:val="TOC2"/>
            <w:tabs>
              <w:tab w:val="right" w:pos="9350"/>
            </w:tabs>
            <w:spacing w:line="240" w:lineRule="auto"/>
            <w:rPr>
              <w:rFonts w:ascii="Times New Roman" w:hAnsi="Times New Roman" w:cs="Times New Roman"/>
              <w:noProof/>
            </w:rPr>
          </w:pPr>
          <w:hyperlink w:anchor="_Toc235743595" w:history="1">
            <w:r w:rsidRPr="00C34B58">
              <w:rPr>
                <w:rStyle w:val="Hyperlink"/>
                <w:rFonts w:ascii="Times New Roman" w:hAnsi="Times New Roman" w:cs="Times New Roman"/>
                <w:noProof/>
                <w:color w:val="auto"/>
              </w:rPr>
              <w:t>Ethical and Professional Reflection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_Toc235743595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17</w:t>
            </w:r>
            <w:r w:rsidRPr="00C34B58">
              <w:rPr>
                <w:rFonts w:ascii="Times New Roman" w:hAnsi="Times New Roman" w:cs="Times New Roman"/>
                <w:noProof/>
                <w:webHidden/>
              </w:rPr>
              <w:fldChar w:fldCharType="end"/>
            </w:r>
          </w:hyperlink>
        </w:p>
        <w:p w14:paraId="7D1BF91B" w14:textId="471B97ED" w:rsidR="00567691" w:rsidRPr="00C34B58" w:rsidRDefault="00567691" w:rsidP="006A755F">
          <w:pPr>
            <w:pStyle w:val="TOC1"/>
            <w:tabs>
              <w:tab w:val="right" w:pos="9350"/>
            </w:tabs>
            <w:spacing w:line="240" w:lineRule="auto"/>
            <w:rPr>
              <w:rFonts w:ascii="Times New Roman" w:hAnsi="Times New Roman" w:cs="Times New Roman"/>
              <w:noProof/>
            </w:rPr>
          </w:pPr>
          <w:hyperlink w:anchor="_Toc235743596" w:history="1">
            <w:r w:rsidRPr="00C34B58">
              <w:rPr>
                <w:rStyle w:val="Hyperlink"/>
                <w:rFonts w:ascii="Times New Roman" w:hAnsi="Times New Roman" w:cs="Times New Roman"/>
                <w:noProof/>
                <w:color w:val="auto"/>
              </w:rPr>
              <w:t>Conclusion</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_Toc235743596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17</w:t>
            </w:r>
            <w:r w:rsidRPr="00C34B58">
              <w:rPr>
                <w:rFonts w:ascii="Times New Roman" w:hAnsi="Times New Roman" w:cs="Times New Roman"/>
                <w:noProof/>
                <w:webHidden/>
              </w:rPr>
              <w:fldChar w:fldCharType="end"/>
            </w:r>
          </w:hyperlink>
        </w:p>
        <w:p w14:paraId="35307E9D" w14:textId="03A158CA" w:rsidR="00567691" w:rsidRPr="00C34B58" w:rsidRDefault="00567691" w:rsidP="006A755F">
          <w:pPr>
            <w:pStyle w:val="TOC1"/>
            <w:tabs>
              <w:tab w:val="right" w:pos="9350"/>
            </w:tabs>
            <w:spacing w:line="240" w:lineRule="auto"/>
            <w:rPr>
              <w:rFonts w:ascii="Times New Roman" w:hAnsi="Times New Roman" w:cs="Times New Roman"/>
              <w:noProof/>
            </w:rPr>
          </w:pPr>
          <w:hyperlink w:anchor="_Toc235743597" w:history="1">
            <w:r w:rsidRPr="00C34B58">
              <w:rPr>
                <w:rStyle w:val="Hyperlink"/>
                <w:rFonts w:ascii="Times New Roman" w:hAnsi="Times New Roman" w:cs="Times New Roman"/>
                <w:noProof/>
                <w:color w:val="auto"/>
              </w:rPr>
              <w:t>References</w:t>
            </w:r>
            <w:r w:rsidRPr="00C34B58">
              <w:rPr>
                <w:rFonts w:ascii="Times New Roman" w:hAnsi="Times New Roman" w:cs="Times New Roman"/>
                <w:noProof/>
                <w:webHidden/>
              </w:rPr>
              <w:tab/>
            </w:r>
            <w:r w:rsidRPr="00C34B58">
              <w:rPr>
                <w:rFonts w:ascii="Times New Roman" w:hAnsi="Times New Roman" w:cs="Times New Roman"/>
                <w:noProof/>
                <w:webHidden/>
              </w:rPr>
              <w:fldChar w:fldCharType="begin"/>
            </w:r>
            <w:r w:rsidRPr="00C34B58">
              <w:rPr>
                <w:rFonts w:ascii="Times New Roman" w:hAnsi="Times New Roman" w:cs="Times New Roman"/>
                <w:noProof/>
                <w:webHidden/>
              </w:rPr>
              <w:instrText xml:space="preserve"> PAGEREF _Toc235743597 \h </w:instrText>
            </w:r>
            <w:r w:rsidRPr="00C34B58">
              <w:rPr>
                <w:rFonts w:ascii="Times New Roman" w:hAnsi="Times New Roman" w:cs="Times New Roman"/>
                <w:noProof/>
                <w:webHidden/>
              </w:rPr>
            </w:r>
            <w:r w:rsidRPr="00C34B58">
              <w:rPr>
                <w:rFonts w:ascii="Times New Roman" w:hAnsi="Times New Roman" w:cs="Times New Roman"/>
                <w:noProof/>
                <w:webHidden/>
              </w:rPr>
              <w:fldChar w:fldCharType="separate"/>
            </w:r>
            <w:r w:rsidRPr="00C34B58">
              <w:rPr>
                <w:rFonts w:ascii="Times New Roman" w:hAnsi="Times New Roman" w:cs="Times New Roman"/>
                <w:noProof/>
                <w:webHidden/>
              </w:rPr>
              <w:t>18</w:t>
            </w:r>
            <w:r w:rsidRPr="00C34B58">
              <w:rPr>
                <w:rFonts w:ascii="Times New Roman" w:hAnsi="Times New Roman" w:cs="Times New Roman"/>
                <w:noProof/>
                <w:webHidden/>
              </w:rPr>
              <w:fldChar w:fldCharType="end"/>
            </w:r>
          </w:hyperlink>
        </w:p>
        <w:p w14:paraId="14B355C7" w14:textId="207625FA" w:rsidR="0035538E" w:rsidRPr="00C34B58" w:rsidRDefault="00F17BA4" w:rsidP="006A755F">
          <w:pPr>
            <w:widowControl w:val="0"/>
            <w:tabs>
              <w:tab w:val="right" w:pos="12000"/>
            </w:tabs>
            <w:spacing w:before="60" w:line="240" w:lineRule="auto"/>
            <w:rPr>
              <w:rFonts w:ascii="Times New Roman" w:eastAsia="Times New Roman" w:hAnsi="Times New Roman" w:cs="Times New Roman"/>
              <w:b/>
              <w:bCs/>
              <w:sz w:val="24"/>
              <w:szCs w:val="24"/>
            </w:rPr>
          </w:pPr>
          <w:r w:rsidRPr="00C34B58">
            <w:rPr>
              <w:rFonts w:ascii="Times New Roman" w:hAnsi="Times New Roman" w:cs="Times New Roman"/>
            </w:rPr>
            <w:fldChar w:fldCharType="end"/>
          </w:r>
        </w:p>
      </w:sdtContent>
    </w:sdt>
    <w:p w14:paraId="3EEE6C50" w14:textId="77777777" w:rsidR="0035538E" w:rsidRPr="00C34B58" w:rsidRDefault="00F17BA4" w:rsidP="006A755F">
      <w:pPr>
        <w:spacing w:line="240" w:lineRule="auto"/>
        <w:jc w:val="center"/>
        <w:rPr>
          <w:rFonts w:ascii="Times New Roman" w:eastAsia="Times New Roman" w:hAnsi="Times New Roman" w:cs="Times New Roman"/>
          <w:sz w:val="24"/>
          <w:szCs w:val="24"/>
        </w:rPr>
      </w:pPr>
      <w:r w:rsidRPr="00C34B58">
        <w:rPr>
          <w:rFonts w:ascii="Times New Roman" w:hAnsi="Times New Roman" w:cs="Times New Roman"/>
        </w:rPr>
        <w:br w:type="page"/>
      </w:r>
    </w:p>
    <w:p w14:paraId="5BBE1BAB" w14:textId="77777777" w:rsidR="0035538E" w:rsidRPr="00C34B58" w:rsidRDefault="00F17BA4" w:rsidP="0021330B">
      <w:pPr>
        <w:pStyle w:val="Heading1"/>
        <w:keepNext w:val="0"/>
        <w:keepLines w:val="0"/>
      </w:pPr>
      <w:bookmarkStart w:id="0" w:name="_Toc235743565"/>
      <w:r w:rsidRPr="00C34B58">
        <w:t>Introduction</w:t>
      </w:r>
      <w:bookmarkEnd w:id="0"/>
    </w:p>
    <w:p w14:paraId="27384A76"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The global mining industry is accelerating its transition towards lower-carbon production because environmental expectations, regulatory requirements, and investor pressure increasingly influence long-term competitiveness. Among the largest mining companies globally, BHP is investing in renewable energy and operational </w:t>
      </w:r>
      <w:proofErr w:type="spellStart"/>
      <w:r w:rsidRPr="00C34B58">
        <w:rPr>
          <w:rFonts w:ascii="Times New Roman" w:eastAsia="Times New Roman" w:hAnsi="Times New Roman" w:cs="Times New Roman"/>
          <w:sz w:val="24"/>
          <w:szCs w:val="24"/>
        </w:rPr>
        <w:t>decarbonisation</w:t>
      </w:r>
      <w:proofErr w:type="spellEnd"/>
      <w:r w:rsidRPr="00C34B58">
        <w:rPr>
          <w:rFonts w:ascii="Times New Roman" w:eastAsia="Times New Roman" w:hAnsi="Times New Roman" w:cs="Times New Roman"/>
          <w:sz w:val="24"/>
          <w:szCs w:val="24"/>
        </w:rPr>
        <w:t>, as well as sustainable resource development (BHP, 2025). Demonstrating the increasing strategic significance of sustainability, the company aims to reduce greenhouse gas emissions, which are associated with its operational activities.</w:t>
      </w:r>
    </w:p>
    <w:p w14:paraId="358D5474" w14:textId="77777777" w:rsidR="0035538E" w:rsidRPr="00C34B58" w:rsidRDefault="00F17BA4" w:rsidP="0021330B">
      <w:pPr>
        <w:spacing w:line="360" w:lineRule="auto"/>
        <w:rPr>
          <w:rFonts w:ascii="Times New Roman" w:eastAsia="Times New Roman" w:hAnsi="Times New Roman" w:cs="Times New Roman"/>
          <w:b/>
          <w:bCs/>
          <w:sz w:val="28"/>
          <w:szCs w:val="28"/>
        </w:rPr>
      </w:pPr>
      <w:r w:rsidRPr="00C34B58">
        <w:rPr>
          <w:rFonts w:ascii="Times New Roman" w:hAnsi="Times New Roman" w:cs="Times New Roman"/>
        </w:rPr>
        <w:br w:type="page"/>
      </w:r>
    </w:p>
    <w:p w14:paraId="09EDB9D7" w14:textId="77777777" w:rsidR="0035538E" w:rsidRPr="00C34B58" w:rsidRDefault="00F17BA4" w:rsidP="0021330B">
      <w:pPr>
        <w:pStyle w:val="Heading1"/>
        <w:keepNext w:val="0"/>
        <w:keepLines w:val="0"/>
      </w:pPr>
      <w:bookmarkStart w:id="1" w:name="_Toc235743566"/>
      <w:r w:rsidRPr="00C34B58">
        <w:t>Task 1: Marketing Environment Analysis</w:t>
      </w:r>
      <w:bookmarkEnd w:id="1"/>
    </w:p>
    <w:p w14:paraId="7FFF1C75" w14:textId="77777777" w:rsidR="0035538E" w:rsidRPr="00C34B58" w:rsidRDefault="00F17BA4" w:rsidP="0021330B">
      <w:pPr>
        <w:pStyle w:val="Heading2"/>
        <w:keepNext w:val="0"/>
        <w:keepLines w:val="0"/>
      </w:pPr>
      <w:bookmarkStart w:id="2" w:name="_Toc235743567"/>
      <w:r w:rsidRPr="00C34B58">
        <w:t>1.1 Importance of the External Marketing Environment</w:t>
      </w:r>
      <w:bookmarkEnd w:id="2"/>
    </w:p>
    <w:p w14:paraId="78F3ACE9"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External marketing environment actors significantly influence how mining companies formulate sustainability strategies and maintain competitive advantage (</w:t>
      </w:r>
      <w:proofErr w:type="spellStart"/>
      <w:r w:rsidRPr="00C34B58">
        <w:rPr>
          <w:rFonts w:ascii="Times New Roman" w:eastAsia="Times New Roman" w:hAnsi="Times New Roman" w:cs="Times New Roman"/>
          <w:sz w:val="24"/>
          <w:szCs w:val="24"/>
        </w:rPr>
        <w:t>Amoah</w:t>
      </w:r>
      <w:proofErr w:type="spellEnd"/>
      <w:r w:rsidRPr="00C34B58">
        <w:rPr>
          <w:rFonts w:ascii="Times New Roman" w:eastAsia="Times New Roman" w:hAnsi="Times New Roman" w:cs="Times New Roman"/>
          <w:sz w:val="24"/>
          <w:szCs w:val="24"/>
        </w:rPr>
        <w:t xml:space="preserve"> and </w:t>
      </w:r>
      <w:proofErr w:type="spellStart"/>
      <w:r w:rsidRPr="00C34B58">
        <w:rPr>
          <w:rFonts w:ascii="Times New Roman" w:eastAsia="Times New Roman" w:hAnsi="Times New Roman" w:cs="Times New Roman"/>
          <w:sz w:val="24"/>
          <w:szCs w:val="24"/>
        </w:rPr>
        <w:t>Eweje</w:t>
      </w:r>
      <w:proofErr w:type="spellEnd"/>
      <w:r w:rsidRPr="00C34B58">
        <w:rPr>
          <w:rFonts w:ascii="Times New Roman" w:eastAsia="Times New Roman" w:hAnsi="Times New Roman" w:cs="Times New Roman"/>
          <w:sz w:val="24"/>
          <w:szCs w:val="24"/>
        </w:rPr>
        <w:t xml:space="preserve">, 2023). In the case of BHP, the Natural Environment is the most dominant actor since climate change has a direct impact on operational continuity, stakeholder expectations, and availability of resources. The Political Environment is also a significant complementary factor, with a significant impact on environmental regulations and </w:t>
      </w:r>
      <w:proofErr w:type="spellStart"/>
      <w:r w:rsidRPr="00C34B58">
        <w:rPr>
          <w:rFonts w:ascii="Times New Roman" w:eastAsia="Times New Roman" w:hAnsi="Times New Roman" w:cs="Times New Roman"/>
          <w:sz w:val="24"/>
          <w:szCs w:val="24"/>
        </w:rPr>
        <w:t>decarbonisation</w:t>
      </w:r>
      <w:proofErr w:type="spellEnd"/>
      <w:r w:rsidRPr="00C34B58">
        <w:rPr>
          <w:rFonts w:ascii="Times New Roman" w:eastAsia="Times New Roman" w:hAnsi="Times New Roman" w:cs="Times New Roman"/>
          <w:sz w:val="24"/>
          <w:szCs w:val="24"/>
        </w:rPr>
        <w:t xml:space="preserve"> policies. </w:t>
      </w:r>
    </w:p>
    <w:p w14:paraId="373D62F4"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noProof/>
          <w:sz w:val="24"/>
          <w:szCs w:val="24"/>
        </w:rPr>
        <w:drawing>
          <wp:inline distT="114300" distB="114300" distL="114300" distR="114300" wp14:anchorId="59C5805D" wp14:editId="08DA4369">
            <wp:extent cx="4976366" cy="3309603"/>
            <wp:effectExtent l="25400" t="25400" r="25400" b="2540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4976366" cy="3309603"/>
                    </a:xfrm>
                    <a:prstGeom prst="rect">
                      <a:avLst/>
                    </a:prstGeom>
                    <a:ln w="25400">
                      <a:solidFill>
                        <a:srgbClr val="000000"/>
                      </a:solidFill>
                      <a:prstDash val="solid"/>
                    </a:ln>
                  </pic:spPr>
                </pic:pic>
              </a:graphicData>
            </a:graphic>
          </wp:inline>
        </w:drawing>
      </w:r>
      <w:r w:rsidRPr="00C34B58">
        <w:rPr>
          <w:rFonts w:ascii="Times New Roman" w:eastAsia="Times New Roman" w:hAnsi="Times New Roman" w:cs="Times New Roman"/>
          <w:sz w:val="24"/>
          <w:szCs w:val="24"/>
        </w:rPr>
        <w:br/>
      </w:r>
      <w:r w:rsidRPr="00C34B58">
        <w:rPr>
          <w:rFonts w:ascii="Times New Roman" w:eastAsia="Times New Roman" w:hAnsi="Times New Roman" w:cs="Times New Roman"/>
          <w:b/>
          <w:bCs/>
          <w:sz w:val="24"/>
          <w:szCs w:val="24"/>
        </w:rPr>
        <w:t>Figure 1: BHP’s greenhouse gas emissions</w:t>
      </w:r>
    </w:p>
    <w:p w14:paraId="4909EB4E"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Source: (Statista, 2025) </w:t>
      </w:r>
    </w:p>
    <w:p w14:paraId="1C94DFD0"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The company’s mining activities play a significant role in greenhouse gas emissions, as they contribute 9.2 million metric tons of carbon dioxide once operations and downstream activities are involved (Statista, 2025). All these marketing actors, collectively, guide BHP's shift to lower-carbon products and responsible mining. </w:t>
      </w:r>
    </w:p>
    <w:p w14:paraId="165AE530" w14:textId="77777777" w:rsidR="0035538E" w:rsidRPr="00C34B58" w:rsidRDefault="00F17BA4" w:rsidP="0021330B">
      <w:pPr>
        <w:pStyle w:val="Heading2"/>
        <w:keepNext w:val="0"/>
        <w:keepLines w:val="0"/>
      </w:pPr>
      <w:bookmarkStart w:id="3" w:name="_Toc235743568"/>
      <w:r w:rsidRPr="00C34B58">
        <w:t>1.2 Natural Environment</w:t>
      </w:r>
      <w:bookmarkEnd w:id="3"/>
    </w:p>
    <w:p w14:paraId="381725E0" w14:textId="77777777" w:rsidR="0035538E" w:rsidRPr="00C34B58" w:rsidRDefault="00F17BA4" w:rsidP="0021330B">
      <w:pPr>
        <w:pStyle w:val="Heading3"/>
        <w:rPr>
          <w:color w:val="auto"/>
        </w:rPr>
      </w:pPr>
      <w:bookmarkStart w:id="4" w:name="_Toc235743569"/>
      <w:r w:rsidRPr="00C34B58">
        <w:rPr>
          <w:color w:val="auto"/>
        </w:rPr>
        <w:t>Climate Change and Operational Sustainability</w:t>
      </w:r>
      <w:bookmarkEnd w:id="4"/>
    </w:p>
    <w:p w14:paraId="6B14C822"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The Natural Environment has risen to become the dominant influence on the marketing and operations decisions of BHP. Rising temperatures, unpredictable weather conditions, water </w:t>
      </w:r>
      <w:r w:rsidRPr="00C34B58">
        <w:rPr>
          <w:rFonts w:ascii="Times New Roman" w:eastAsia="Times New Roman" w:hAnsi="Times New Roman" w:cs="Times New Roman"/>
          <w:sz w:val="24"/>
          <w:szCs w:val="24"/>
        </w:rPr>
        <w:t>shortages, and depletion of biodiversity pose a direct challenge to the productivity of mining. Mainly as they are also raising pressure on sustainable operations. Global clean energy investment more than doubled, reaching $2.155 trillion in 2025, as shown in Figure 2 (Stille, 2026). Thus, implying that mining companies have to trade off growth in production and environmental protection.</w:t>
      </w:r>
    </w:p>
    <w:p w14:paraId="174E9E51"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noProof/>
          <w:sz w:val="24"/>
          <w:szCs w:val="24"/>
        </w:rPr>
        <w:drawing>
          <wp:inline distT="114300" distB="114300" distL="114300" distR="114300" wp14:anchorId="3858BB88" wp14:editId="3F1F2693">
            <wp:extent cx="4224282" cy="3764942"/>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l="4567" t="21314" r="12981" b="5091"/>
                    <a:stretch>
                      <a:fillRect/>
                    </a:stretch>
                  </pic:blipFill>
                  <pic:spPr>
                    <a:xfrm>
                      <a:off x="0" y="0"/>
                      <a:ext cx="4224282" cy="3764942"/>
                    </a:xfrm>
                    <a:prstGeom prst="rect">
                      <a:avLst/>
                    </a:prstGeom>
                    <a:ln w="25400">
                      <a:solidFill>
                        <a:srgbClr val="000000"/>
                      </a:solidFill>
                      <a:prstDash val="solid"/>
                    </a:ln>
                  </pic:spPr>
                </pic:pic>
              </a:graphicData>
            </a:graphic>
          </wp:inline>
        </w:drawing>
      </w:r>
    </w:p>
    <w:p w14:paraId="3E1C3483"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Figure 2: Global energy investment</w:t>
      </w:r>
    </w:p>
    <w:p w14:paraId="5B174A13"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Source: (Stille, 2026) </w:t>
      </w:r>
    </w:p>
    <w:p w14:paraId="2781957E"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BHP has reacted through significant investments in renewable power, electrification of its fleets, water recycling and carbon-cutting technologies in its processes. The company invested  $41.5 billion of funds as invested over the past years in climate-related efforts and sustainable activities (BHP, 2024). This has boosted its standing among greener investors and industrial customers. These projects decrease emissions in operations but promote brand positioning as a responsible supplier of necessary transi</w:t>
      </w:r>
      <w:r w:rsidRPr="00C34B58">
        <w:rPr>
          <w:rFonts w:ascii="Times New Roman" w:eastAsia="Times New Roman" w:hAnsi="Times New Roman" w:cs="Times New Roman"/>
          <w:sz w:val="24"/>
          <w:szCs w:val="24"/>
        </w:rPr>
        <w:t xml:space="preserve">tion minerals. </w:t>
      </w:r>
    </w:p>
    <w:p w14:paraId="3150CD67" w14:textId="77777777" w:rsidR="0035538E" w:rsidRPr="00C34B58" w:rsidRDefault="00F17BA4" w:rsidP="0021330B">
      <w:pPr>
        <w:pStyle w:val="Heading3"/>
        <w:rPr>
          <w:color w:val="auto"/>
        </w:rPr>
      </w:pPr>
      <w:bookmarkStart w:id="5" w:name="_Toc235743570"/>
      <w:r w:rsidRPr="00C34B58">
        <w:rPr>
          <w:color w:val="auto"/>
        </w:rPr>
        <w:t>Market Opportunities</w:t>
      </w:r>
      <w:bookmarkEnd w:id="5"/>
    </w:p>
    <w:p w14:paraId="03E4BEF7"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The Natural Environment has brought great market opportunities by creating more demand for commodities, which underpin renewable energy technologies. Indispensable products in electric </w:t>
      </w:r>
      <w:r w:rsidRPr="00C34B58">
        <w:rPr>
          <w:rFonts w:ascii="Times New Roman" w:eastAsia="Times New Roman" w:hAnsi="Times New Roman" w:cs="Times New Roman"/>
          <w:sz w:val="24"/>
          <w:szCs w:val="24"/>
        </w:rPr>
        <w:t>vehicles, battery storage systems and sustainable agriculture are copper, nickel and potash. Clean energy technologies may cover over 40% of the prospective advancements in copper demand by 2040 (IEA, 2025). The graph in Figure 3 below shows that copper demand remains showing only modest index variations.  This will provide BHP with favourable market circumstances in the long term.</w:t>
      </w:r>
    </w:p>
    <w:p w14:paraId="797EB556"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noProof/>
          <w:sz w:val="24"/>
          <w:szCs w:val="24"/>
        </w:rPr>
        <w:drawing>
          <wp:inline distT="114300" distB="114300" distL="114300" distR="114300" wp14:anchorId="2917AAE6" wp14:editId="0C03F6B3">
            <wp:extent cx="5821680" cy="3589020"/>
            <wp:effectExtent l="25400" t="25400" r="25400" b="254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821680" cy="3589020"/>
                    </a:xfrm>
                    <a:prstGeom prst="rect">
                      <a:avLst/>
                    </a:prstGeom>
                    <a:ln w="25400">
                      <a:solidFill>
                        <a:srgbClr val="000000"/>
                      </a:solidFill>
                      <a:prstDash val="solid"/>
                    </a:ln>
                  </pic:spPr>
                </pic:pic>
              </a:graphicData>
            </a:graphic>
          </wp:inline>
        </w:drawing>
      </w:r>
    </w:p>
    <w:p w14:paraId="0CFF9982"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Figure 3: Copper Demand</w:t>
      </w:r>
    </w:p>
    <w:p w14:paraId="44B0CE0B"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Source: (IEA, 2025) </w:t>
      </w:r>
    </w:p>
    <w:p w14:paraId="4DDD5037"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This increasing demand allows BHP to enhance relations with customers who want responsibly sourced minerals with lower carbon bases. Sustainability investments enhance corporate reputation, as well as the value to customers in the long run (</w:t>
      </w:r>
      <w:proofErr w:type="spellStart"/>
      <w:r w:rsidRPr="00C34B58">
        <w:rPr>
          <w:rFonts w:ascii="Times New Roman" w:eastAsia="Times New Roman" w:hAnsi="Times New Roman" w:cs="Times New Roman"/>
          <w:sz w:val="24"/>
          <w:szCs w:val="24"/>
        </w:rPr>
        <w:t>Ardiansyah</w:t>
      </w:r>
      <w:proofErr w:type="spellEnd"/>
      <w:r w:rsidRPr="00C34B58">
        <w:rPr>
          <w:rFonts w:ascii="Times New Roman" w:eastAsia="Times New Roman" w:hAnsi="Times New Roman" w:cs="Times New Roman"/>
          <w:sz w:val="24"/>
          <w:szCs w:val="24"/>
        </w:rPr>
        <w:t xml:space="preserve"> and </w:t>
      </w:r>
      <w:proofErr w:type="spellStart"/>
      <w:r w:rsidRPr="00C34B58">
        <w:rPr>
          <w:rFonts w:ascii="Times New Roman" w:eastAsia="Times New Roman" w:hAnsi="Times New Roman" w:cs="Times New Roman"/>
          <w:sz w:val="24"/>
          <w:szCs w:val="24"/>
        </w:rPr>
        <w:t>Alnoor</w:t>
      </w:r>
      <w:proofErr w:type="spellEnd"/>
      <w:r w:rsidRPr="00C34B58">
        <w:rPr>
          <w:rFonts w:ascii="Times New Roman" w:eastAsia="Times New Roman" w:hAnsi="Times New Roman" w:cs="Times New Roman"/>
          <w:sz w:val="24"/>
          <w:szCs w:val="24"/>
        </w:rPr>
        <w:t xml:space="preserve">, 2024). Environmentally sustainable production is increasingly acting as a marketing advantage since industrial buyers are introducing environmental performance in their purchasing decisions. </w:t>
      </w:r>
    </w:p>
    <w:p w14:paraId="3E5B2E1D" w14:textId="77777777" w:rsidR="0035538E" w:rsidRPr="00C34B58" w:rsidRDefault="00F17BA4" w:rsidP="0021330B">
      <w:pPr>
        <w:pStyle w:val="Heading3"/>
        <w:rPr>
          <w:color w:val="auto"/>
        </w:rPr>
      </w:pPr>
      <w:bookmarkStart w:id="6" w:name="_Toc235743571"/>
      <w:r w:rsidRPr="00C34B58">
        <w:rPr>
          <w:color w:val="auto"/>
        </w:rPr>
        <w:t>Environmental Challenges</w:t>
      </w:r>
      <w:bookmarkEnd w:id="6"/>
    </w:p>
    <w:p w14:paraId="4B04EA19"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Irrespective of all such opportunities, environmental risks are still high. Australian government has put pressure on mining companies to lower their impacts on the environment. As well as making their processes more efficient and resource-saving.</w:t>
      </w:r>
    </w:p>
    <w:p w14:paraId="16959993"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noProof/>
          <w:sz w:val="24"/>
          <w:szCs w:val="24"/>
        </w:rPr>
        <w:drawing>
          <wp:inline distT="114300" distB="114300" distL="114300" distR="114300" wp14:anchorId="0F1BECE6" wp14:editId="3D5BEC0D">
            <wp:extent cx="5303536" cy="3877947"/>
            <wp:effectExtent l="25400" t="25400" r="25400" b="2540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303536" cy="3877947"/>
                    </a:xfrm>
                    <a:prstGeom prst="rect">
                      <a:avLst/>
                    </a:prstGeom>
                    <a:ln w="25400">
                      <a:solidFill>
                        <a:srgbClr val="000000"/>
                      </a:solidFill>
                      <a:prstDash val="solid"/>
                    </a:ln>
                  </pic:spPr>
                </pic:pic>
              </a:graphicData>
            </a:graphic>
          </wp:inline>
        </w:drawing>
      </w:r>
    </w:p>
    <w:p w14:paraId="043163BD"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 xml:space="preserve">Figure 4: Australia mining companies </w:t>
      </w:r>
      <w:proofErr w:type="spellStart"/>
      <w:r w:rsidRPr="00C34B58">
        <w:rPr>
          <w:rFonts w:ascii="Times New Roman" w:eastAsia="Times New Roman" w:hAnsi="Times New Roman" w:cs="Times New Roman"/>
          <w:b/>
          <w:bCs/>
          <w:sz w:val="24"/>
          <w:szCs w:val="24"/>
        </w:rPr>
        <w:t>capitalisation</w:t>
      </w:r>
      <w:proofErr w:type="spellEnd"/>
    </w:p>
    <w:p w14:paraId="75CBFA23"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Source: (Sasu, 2025) </w:t>
      </w:r>
    </w:p>
    <w:p w14:paraId="2D47FE90" w14:textId="77777777" w:rsidR="0035538E" w:rsidRPr="00C34B58" w:rsidRDefault="00F17BA4" w:rsidP="0021330B">
      <w:pPr>
        <w:spacing w:line="360" w:lineRule="auto"/>
        <w:jc w:val="both"/>
        <w:rPr>
          <w:rFonts w:ascii="Times New Roman" w:eastAsia="Times New Roman" w:hAnsi="Times New Roman" w:cs="Times New Roman"/>
          <w:b/>
          <w:bCs/>
          <w:sz w:val="24"/>
          <w:szCs w:val="24"/>
        </w:rPr>
      </w:pPr>
      <w:r w:rsidRPr="00C34B58">
        <w:rPr>
          <w:rFonts w:ascii="Times New Roman" w:eastAsia="Times New Roman" w:hAnsi="Times New Roman" w:cs="Times New Roman"/>
          <w:sz w:val="24"/>
          <w:szCs w:val="24"/>
        </w:rPr>
        <w:t xml:space="preserve">BHP Group is valued at over AUD 216 billion (Sasu, 2025).  Hence, a lack of fulfilling the demands of stakeholders in terms of environmental management may affect the company's image negatively and decrease investor trust (Khalid </w:t>
      </w:r>
      <w:r w:rsidRPr="00C34B58">
        <w:rPr>
          <w:rFonts w:ascii="Times New Roman" w:eastAsia="Times New Roman" w:hAnsi="Times New Roman" w:cs="Times New Roman"/>
          <w:i/>
          <w:iCs/>
          <w:sz w:val="24"/>
          <w:szCs w:val="24"/>
        </w:rPr>
        <w:t>et al.,</w:t>
      </w:r>
      <w:r w:rsidRPr="00C34B58">
        <w:rPr>
          <w:rFonts w:ascii="Times New Roman" w:eastAsia="Times New Roman" w:hAnsi="Times New Roman" w:cs="Times New Roman"/>
          <w:sz w:val="24"/>
          <w:szCs w:val="24"/>
        </w:rPr>
        <w:t xml:space="preserve"> 2023). Moreover, all the physical climate risks like flooding, droughts and heatwaves can interfere with the production schedules and make the operations more expensive. As such, environmental management has now taken shape as a sustainability factor as well as a strategic marketing need. </w:t>
      </w:r>
    </w:p>
    <w:tbl>
      <w:tblPr>
        <w:tblStyle w:val="a"/>
        <w:tblW w:w="92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65"/>
        <w:gridCol w:w="6060"/>
      </w:tblGrid>
      <w:tr w:rsidR="0035538E" w:rsidRPr="00C34B58" w14:paraId="30023A4B" w14:textId="77777777">
        <w:trPr>
          <w:trHeight w:val="770"/>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FD98E1"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b/>
                <w:bCs/>
                <w:sz w:val="24"/>
                <w:szCs w:val="24"/>
              </w:rPr>
              <w:t>Environmental factor</w:t>
            </w:r>
          </w:p>
        </w:tc>
        <w:tc>
          <w:tcPr>
            <w:tcW w:w="6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DEBCEA"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b/>
                <w:bCs/>
                <w:sz w:val="24"/>
                <w:szCs w:val="24"/>
              </w:rPr>
              <w:t>Marketing implication</w:t>
            </w:r>
          </w:p>
        </w:tc>
      </w:tr>
      <w:tr w:rsidR="0035538E" w:rsidRPr="00C34B58" w14:paraId="79A33F2A" w14:textId="77777777">
        <w:trPr>
          <w:trHeight w:val="480"/>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832E8E"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Renewable energy transition</w:t>
            </w:r>
          </w:p>
        </w:tc>
        <w:tc>
          <w:tcPr>
            <w:tcW w:w="6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DD93A"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Supports promotion of responsibly sourced minerals</w:t>
            </w:r>
          </w:p>
        </w:tc>
      </w:tr>
      <w:tr w:rsidR="0035538E" w:rsidRPr="00C34B58" w14:paraId="31151A6A" w14:textId="77777777">
        <w:trPr>
          <w:trHeight w:val="300"/>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BB17D6"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Operational emissions</w:t>
            </w:r>
          </w:p>
        </w:tc>
        <w:tc>
          <w:tcPr>
            <w:tcW w:w="6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8E1DAB"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Enhances sustainability positioning and investor confidence</w:t>
            </w:r>
          </w:p>
        </w:tc>
      </w:tr>
      <w:tr w:rsidR="0035538E" w:rsidRPr="00C34B58" w14:paraId="36F689DF" w14:textId="77777777">
        <w:trPr>
          <w:trHeight w:val="195"/>
        </w:trPr>
        <w:tc>
          <w:tcPr>
            <w:tcW w:w="31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A32090"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Resource efficiency</w:t>
            </w:r>
          </w:p>
        </w:tc>
        <w:tc>
          <w:tcPr>
            <w:tcW w:w="60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24F5CD"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Encourages investment in cleaner production technologies</w:t>
            </w:r>
          </w:p>
        </w:tc>
      </w:tr>
    </w:tbl>
    <w:p w14:paraId="2B140608"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Table 1: Influence of the Natural Environment on BHP</w:t>
      </w:r>
    </w:p>
    <w:p w14:paraId="3A382877" w14:textId="77777777" w:rsidR="0035538E" w:rsidRPr="00C34B58" w:rsidRDefault="00F17BA4" w:rsidP="0021330B">
      <w:pPr>
        <w:pStyle w:val="Heading2"/>
        <w:keepNext w:val="0"/>
        <w:keepLines w:val="0"/>
      </w:pPr>
      <w:bookmarkStart w:id="7" w:name="_Toc235743572"/>
      <w:r w:rsidRPr="00C34B58">
        <w:t>1.3 Political Environment</w:t>
      </w:r>
      <w:bookmarkEnd w:id="7"/>
    </w:p>
    <w:p w14:paraId="1775229E" w14:textId="77777777" w:rsidR="0035538E" w:rsidRPr="00C34B58" w:rsidRDefault="00F17BA4" w:rsidP="0021330B">
      <w:pPr>
        <w:pStyle w:val="Heading3"/>
        <w:rPr>
          <w:color w:val="auto"/>
        </w:rPr>
      </w:pPr>
      <w:bookmarkStart w:id="8" w:name="_Toc235743573"/>
      <w:r w:rsidRPr="00C34B58">
        <w:rPr>
          <w:color w:val="auto"/>
        </w:rPr>
        <w:t>Government Regulation and Climate Policy</w:t>
      </w:r>
      <w:bookmarkEnd w:id="8"/>
    </w:p>
    <w:p w14:paraId="03BDC285"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The Political Environment was selected as the second external actor because government regulation directly shapes environmental compliance, carbon pricing and investment decisions.  Compared with technological or economic factors, political decisions determine the regulatory framework within BHP. Governments are also placing growing demands on mining companies to report on emissions, enhance environmental performance and aid the national </w:t>
      </w:r>
      <w:proofErr w:type="spellStart"/>
      <w:r w:rsidRPr="00C34B58">
        <w:rPr>
          <w:rFonts w:ascii="Times New Roman" w:eastAsia="Times New Roman" w:hAnsi="Times New Roman" w:cs="Times New Roman"/>
          <w:sz w:val="24"/>
          <w:szCs w:val="24"/>
        </w:rPr>
        <w:t>decarbonisation</w:t>
      </w:r>
      <w:proofErr w:type="spellEnd"/>
      <w:r w:rsidRPr="00C34B58">
        <w:rPr>
          <w:rFonts w:ascii="Times New Roman" w:eastAsia="Times New Roman" w:hAnsi="Times New Roman" w:cs="Times New Roman"/>
          <w:sz w:val="24"/>
          <w:szCs w:val="24"/>
        </w:rPr>
        <w:t xml:space="preserve"> goals (Noor, 2026). </w:t>
      </w:r>
    </w:p>
    <w:p w14:paraId="21DC27DC"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Adherence to environmental laws builds the credibility of BHP with governments, investors and industrial customers. At the same time, when the regulation is stricter, it becomes more expensive to operate since a company has to invest in cleaner technologies (Long</w:t>
      </w:r>
      <w:r w:rsidRPr="00C34B58">
        <w:rPr>
          <w:rFonts w:ascii="Times New Roman" w:eastAsia="Times New Roman" w:hAnsi="Times New Roman" w:cs="Times New Roman"/>
          <w:i/>
          <w:iCs/>
          <w:sz w:val="24"/>
          <w:szCs w:val="24"/>
        </w:rPr>
        <w:t xml:space="preserve"> et al.,</w:t>
      </w:r>
      <w:r w:rsidRPr="00C34B58">
        <w:rPr>
          <w:rFonts w:ascii="Times New Roman" w:eastAsia="Times New Roman" w:hAnsi="Times New Roman" w:cs="Times New Roman"/>
          <w:sz w:val="24"/>
          <w:szCs w:val="24"/>
        </w:rPr>
        <w:t xml:space="preserve"> 2022). However, compliance with regulations provides a chance to make BHP stand out from the competitors who have poorer sustainability results. </w:t>
      </w:r>
    </w:p>
    <w:p w14:paraId="15F1D799" w14:textId="77777777" w:rsidR="0035538E" w:rsidRPr="00C34B58" w:rsidRDefault="00F17BA4" w:rsidP="0021330B">
      <w:pPr>
        <w:pStyle w:val="Heading3"/>
        <w:rPr>
          <w:color w:val="auto"/>
        </w:rPr>
      </w:pPr>
      <w:bookmarkStart w:id="9" w:name="_Toc235743574"/>
      <w:r w:rsidRPr="00C34B58">
        <w:rPr>
          <w:color w:val="auto"/>
        </w:rPr>
        <w:t>Stakeholder Confidence and Competitive Advantage</w:t>
      </w:r>
      <w:bookmarkEnd w:id="9"/>
    </w:p>
    <w:p w14:paraId="79E8D6A7"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Infrastructure support for renewable energy by the government also adds to the demand for the minerals extracted by BHP. Electric cars, renewable electricity and battery production are stimulated by public investment </w:t>
      </w:r>
      <w:proofErr w:type="spellStart"/>
      <w:r w:rsidRPr="00C34B58">
        <w:rPr>
          <w:rFonts w:ascii="Times New Roman" w:eastAsia="Times New Roman" w:hAnsi="Times New Roman" w:cs="Times New Roman"/>
          <w:sz w:val="24"/>
          <w:szCs w:val="24"/>
        </w:rPr>
        <w:t>programmes</w:t>
      </w:r>
      <w:proofErr w:type="spellEnd"/>
      <w:r w:rsidRPr="00C34B58">
        <w:rPr>
          <w:rFonts w:ascii="Times New Roman" w:eastAsia="Times New Roman" w:hAnsi="Times New Roman" w:cs="Times New Roman"/>
          <w:sz w:val="24"/>
          <w:szCs w:val="24"/>
        </w:rPr>
        <w:t xml:space="preserve"> and support large amounts of copper and nickel. The estimated energy transition global investment is about more than $2.3 trillion in 2025 (Statista, 2026). This is supporting the market forces' long-term need to produce economic products of low-carbon mining.</w:t>
      </w:r>
    </w:p>
    <w:p w14:paraId="747FCF35"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noProof/>
          <w:sz w:val="24"/>
          <w:szCs w:val="24"/>
        </w:rPr>
        <w:drawing>
          <wp:inline distT="114300" distB="114300" distL="114300" distR="114300" wp14:anchorId="0A7B86EB" wp14:editId="3FF390D4">
            <wp:extent cx="5309392" cy="3655168"/>
            <wp:effectExtent l="25400" t="25400" r="25400" b="2540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5309392" cy="3655168"/>
                    </a:xfrm>
                    <a:prstGeom prst="rect">
                      <a:avLst/>
                    </a:prstGeom>
                    <a:ln w="25400">
                      <a:solidFill>
                        <a:srgbClr val="000000"/>
                      </a:solidFill>
                      <a:prstDash val="solid"/>
                    </a:ln>
                  </pic:spPr>
                </pic:pic>
              </a:graphicData>
            </a:graphic>
          </wp:inline>
        </w:drawing>
      </w:r>
    </w:p>
    <w:p w14:paraId="663D1EE9"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Figure 5: Investments in energy transition</w:t>
      </w:r>
    </w:p>
    <w:p w14:paraId="51D7B7D2"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Source: (Statista, 2026) </w:t>
      </w:r>
    </w:p>
    <w:p w14:paraId="5BB3D1B3" w14:textId="77777777" w:rsidR="0035538E" w:rsidRPr="00C34B58" w:rsidRDefault="00F17BA4" w:rsidP="0021330B">
      <w:pPr>
        <w:spacing w:line="360" w:lineRule="auto"/>
        <w:jc w:val="both"/>
        <w:rPr>
          <w:rFonts w:ascii="Times New Roman" w:eastAsia="Times New Roman" w:hAnsi="Times New Roman" w:cs="Times New Roman"/>
          <w:b/>
          <w:bCs/>
          <w:sz w:val="24"/>
          <w:szCs w:val="24"/>
        </w:rPr>
      </w:pPr>
      <w:r w:rsidRPr="00C34B58">
        <w:rPr>
          <w:rFonts w:ascii="Times New Roman" w:eastAsia="Times New Roman" w:hAnsi="Times New Roman" w:cs="Times New Roman"/>
          <w:sz w:val="24"/>
          <w:szCs w:val="24"/>
        </w:rPr>
        <w:t xml:space="preserve">By adjusting corporate strategy in line with changing government priorities, BHP can reinforce corporate relations with policymakers and </w:t>
      </w:r>
      <w:proofErr w:type="spellStart"/>
      <w:r w:rsidRPr="00C34B58">
        <w:rPr>
          <w:rFonts w:ascii="Times New Roman" w:eastAsia="Times New Roman" w:hAnsi="Times New Roman" w:cs="Times New Roman"/>
          <w:sz w:val="24"/>
          <w:szCs w:val="24"/>
        </w:rPr>
        <w:t>minimise</w:t>
      </w:r>
      <w:proofErr w:type="spellEnd"/>
      <w:r w:rsidRPr="00C34B58">
        <w:rPr>
          <w:rFonts w:ascii="Times New Roman" w:eastAsia="Times New Roman" w:hAnsi="Times New Roman" w:cs="Times New Roman"/>
          <w:sz w:val="24"/>
          <w:szCs w:val="24"/>
        </w:rPr>
        <w:t xml:space="preserve"> regulatory risk. Transparent reporting also enhances trust among stakeholders and improves brand reputation (Sari and Muslim, 2024). Mainly among institutional investors who are integrating more environmental, social and governance parameters in their investment choices. </w:t>
      </w:r>
    </w:p>
    <w:tbl>
      <w:tblPr>
        <w:tblStyle w:val="a0"/>
        <w:tblW w:w="93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6585"/>
      </w:tblGrid>
      <w:tr w:rsidR="0035538E" w:rsidRPr="00C34B58" w14:paraId="0054219E" w14:textId="77777777">
        <w:trPr>
          <w:trHeight w:val="50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8094C6"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b/>
                <w:bCs/>
                <w:sz w:val="24"/>
                <w:szCs w:val="24"/>
              </w:rPr>
              <w:t>Political factor</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D8341E"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b/>
                <w:bCs/>
                <w:sz w:val="24"/>
                <w:szCs w:val="24"/>
              </w:rPr>
              <w:t>Marketing implication</w:t>
            </w:r>
          </w:p>
        </w:tc>
      </w:tr>
      <w:tr w:rsidR="0035538E" w:rsidRPr="00C34B58" w14:paraId="6923B846" w14:textId="77777777">
        <w:trPr>
          <w:trHeight w:val="195"/>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9A5F26"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Net-zero policies</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4109D9"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Increases demand for sustainable mining practices</w:t>
            </w:r>
          </w:p>
        </w:tc>
      </w:tr>
      <w:tr w:rsidR="0035538E" w:rsidRPr="00C34B58" w14:paraId="3D7BF5B9" w14:textId="77777777">
        <w:trPr>
          <w:trHeight w:val="617"/>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614B98"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Energy transition investment</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9DCADB"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Expands markets for copper and nickel</w:t>
            </w:r>
          </w:p>
        </w:tc>
      </w:tr>
      <w:tr w:rsidR="0035538E" w:rsidRPr="00C34B58" w14:paraId="34F02E85" w14:textId="77777777">
        <w:trPr>
          <w:trHeight w:val="420"/>
        </w:trPr>
        <w:tc>
          <w:tcPr>
            <w:tcW w:w="2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8E7C98"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Environmental regulation</w:t>
            </w:r>
          </w:p>
        </w:tc>
        <w:tc>
          <w:tcPr>
            <w:tcW w:w="65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4EAA83"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Encourages continuous sustainability innovation</w:t>
            </w:r>
          </w:p>
        </w:tc>
      </w:tr>
    </w:tbl>
    <w:p w14:paraId="7D35705D"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Table 2: Influence of the Political Environment on BHP</w:t>
      </w:r>
    </w:p>
    <w:p w14:paraId="0624AE01"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Source: (Self-developed)</w:t>
      </w:r>
    </w:p>
    <w:p w14:paraId="4834068C" w14:textId="77777777" w:rsidR="0035538E" w:rsidRPr="00C34B58" w:rsidRDefault="00F17BA4" w:rsidP="0021330B">
      <w:pPr>
        <w:pStyle w:val="Heading2"/>
        <w:keepNext w:val="0"/>
        <w:keepLines w:val="0"/>
      </w:pPr>
      <w:bookmarkStart w:id="10" w:name="_Toc235743575"/>
      <w:r w:rsidRPr="00C34B58">
        <w:t>1.4 Critical Evaluation</w:t>
      </w:r>
      <w:bookmarkEnd w:id="10"/>
    </w:p>
    <w:p w14:paraId="0EEC0CD1" w14:textId="77777777" w:rsidR="0035538E" w:rsidRPr="00C34B58" w:rsidRDefault="00F17BA4" w:rsidP="0021330B">
      <w:pPr>
        <w:pStyle w:val="Heading3"/>
        <w:rPr>
          <w:color w:val="auto"/>
        </w:rPr>
      </w:pPr>
      <w:bookmarkStart w:id="11" w:name="_Toc235743576"/>
      <w:r w:rsidRPr="00C34B58">
        <w:rPr>
          <w:color w:val="auto"/>
        </w:rPr>
        <w:t>Interaction Between Marketing Environmental Actors</w:t>
      </w:r>
      <w:bookmarkEnd w:id="11"/>
    </w:p>
    <w:p w14:paraId="10B46D3E"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Natural and Political environments reinforce each other in accelerating BHP's sustainability transformation. Climate change becomes the subject of increasing societal concern about the performance of society in terms of the environment, with the </w:t>
      </w:r>
      <w:proofErr w:type="spellStart"/>
      <w:r w:rsidRPr="00C34B58">
        <w:rPr>
          <w:rFonts w:ascii="Times New Roman" w:eastAsia="Times New Roman" w:hAnsi="Times New Roman" w:cs="Times New Roman"/>
          <w:sz w:val="24"/>
          <w:szCs w:val="24"/>
        </w:rPr>
        <w:t>increis</w:t>
      </w:r>
      <w:proofErr w:type="spellEnd"/>
      <w:r w:rsidRPr="00C34B58">
        <w:rPr>
          <w:rFonts w:ascii="Times New Roman" w:eastAsia="Times New Roman" w:hAnsi="Times New Roman" w:cs="Times New Roman"/>
          <w:sz w:val="24"/>
          <w:szCs w:val="24"/>
        </w:rPr>
        <w:t xml:space="preserve"> </w:t>
      </w:r>
      <w:proofErr w:type="spellStart"/>
      <w:r w:rsidRPr="00C34B58">
        <w:rPr>
          <w:rFonts w:ascii="Times New Roman" w:eastAsia="Times New Roman" w:hAnsi="Times New Roman" w:cs="Times New Roman"/>
          <w:sz w:val="24"/>
          <w:szCs w:val="24"/>
        </w:rPr>
        <w:t>asing</w:t>
      </w:r>
      <w:proofErr w:type="spellEnd"/>
      <w:r w:rsidRPr="00C34B58">
        <w:rPr>
          <w:rFonts w:ascii="Times New Roman" w:eastAsia="Times New Roman" w:hAnsi="Times New Roman" w:cs="Times New Roman"/>
          <w:sz w:val="24"/>
          <w:szCs w:val="24"/>
        </w:rPr>
        <w:t xml:space="preserve"> regulations and climate policies (Sarfraz </w:t>
      </w:r>
      <w:r w:rsidRPr="00C34B58">
        <w:rPr>
          <w:rFonts w:ascii="Times New Roman" w:eastAsia="Times New Roman" w:hAnsi="Times New Roman" w:cs="Times New Roman"/>
          <w:i/>
          <w:iCs/>
          <w:sz w:val="24"/>
          <w:szCs w:val="24"/>
        </w:rPr>
        <w:t xml:space="preserve">et al., </w:t>
      </w:r>
      <w:r w:rsidRPr="00C34B58">
        <w:rPr>
          <w:rFonts w:ascii="Times New Roman" w:eastAsia="Times New Roman" w:hAnsi="Times New Roman" w:cs="Times New Roman"/>
          <w:sz w:val="24"/>
          <w:szCs w:val="24"/>
        </w:rPr>
        <w:t xml:space="preserve">2023). Therefore, environmental responsibility is a law and an asset of competitive marketing. Thus, aim to detail the regulatory compliance aspects and improve relations with customers and corporate image in BHP. This places the firm in a position to tap into future growth of the externalities in the fast-growing global low-carbon economy. </w:t>
      </w:r>
    </w:p>
    <w:p w14:paraId="74CFA9A7" w14:textId="77777777" w:rsidR="0035538E" w:rsidRPr="00C34B58" w:rsidRDefault="00F17BA4" w:rsidP="0021330B">
      <w:pPr>
        <w:spacing w:line="360" w:lineRule="auto"/>
        <w:rPr>
          <w:rFonts w:ascii="Times New Roman" w:eastAsia="Times New Roman" w:hAnsi="Times New Roman" w:cs="Times New Roman"/>
          <w:b/>
          <w:bCs/>
          <w:sz w:val="28"/>
          <w:szCs w:val="28"/>
        </w:rPr>
      </w:pPr>
      <w:r w:rsidRPr="00C34B58">
        <w:rPr>
          <w:rFonts w:ascii="Times New Roman" w:hAnsi="Times New Roman" w:cs="Times New Roman"/>
        </w:rPr>
        <w:br w:type="page"/>
      </w:r>
    </w:p>
    <w:p w14:paraId="5DAC6C78" w14:textId="77777777" w:rsidR="0035538E" w:rsidRPr="00C34B58" w:rsidRDefault="00F17BA4" w:rsidP="0021330B">
      <w:pPr>
        <w:pStyle w:val="Heading1"/>
        <w:keepNext w:val="0"/>
        <w:keepLines w:val="0"/>
      </w:pPr>
      <w:bookmarkStart w:id="12" w:name="_Toc235743577"/>
      <w:r w:rsidRPr="00C34B58">
        <w:t>Task 2: Strategic Growth and Competitive Positioning</w:t>
      </w:r>
      <w:bookmarkEnd w:id="12"/>
    </w:p>
    <w:p w14:paraId="3ACA1AB9" w14:textId="77777777" w:rsidR="0035538E" w:rsidRPr="00C34B58" w:rsidRDefault="00F17BA4" w:rsidP="0021330B">
      <w:pPr>
        <w:pStyle w:val="Heading2"/>
        <w:keepNext w:val="0"/>
        <w:keepLines w:val="0"/>
      </w:pPr>
      <w:bookmarkStart w:id="13" w:name="_Toc235743578"/>
      <w:r w:rsidRPr="00C34B58">
        <w:t>2.1 Strategic Growth Using the Ansoff Matrix</w:t>
      </w:r>
      <w:bookmarkEnd w:id="13"/>
    </w:p>
    <w:p w14:paraId="767010F5"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External marketing environment shows that increased demand for low-carbon minerals and strict environmental guidelines offer opportunities to enable BHP to seek sustainable growth. Ansoff Matrix presents a suitable model used to identify growth schemes, as it considers the opportunities in terms of the available current and new products in the current and new markets (</w:t>
      </w:r>
      <w:proofErr w:type="spellStart"/>
      <w:r w:rsidRPr="00C34B58">
        <w:rPr>
          <w:rFonts w:ascii="Times New Roman" w:eastAsia="Times New Roman" w:hAnsi="Times New Roman" w:cs="Times New Roman"/>
          <w:sz w:val="24"/>
          <w:szCs w:val="24"/>
        </w:rPr>
        <w:t>Puyt</w:t>
      </w:r>
      <w:proofErr w:type="spellEnd"/>
      <w:r w:rsidRPr="00C34B58">
        <w:rPr>
          <w:rFonts w:ascii="Times New Roman" w:eastAsia="Times New Roman" w:hAnsi="Times New Roman" w:cs="Times New Roman"/>
          <w:sz w:val="24"/>
          <w:szCs w:val="24"/>
        </w:rPr>
        <w:t xml:space="preserve"> </w:t>
      </w:r>
      <w:r w:rsidRPr="00C34B58">
        <w:rPr>
          <w:rFonts w:ascii="Times New Roman" w:eastAsia="Times New Roman" w:hAnsi="Times New Roman" w:cs="Times New Roman"/>
          <w:i/>
          <w:iCs/>
          <w:sz w:val="24"/>
          <w:szCs w:val="24"/>
        </w:rPr>
        <w:t xml:space="preserve">et al., </w:t>
      </w:r>
      <w:r w:rsidRPr="00C34B58">
        <w:rPr>
          <w:rFonts w:ascii="Times New Roman" w:eastAsia="Times New Roman" w:hAnsi="Times New Roman" w:cs="Times New Roman"/>
          <w:sz w:val="24"/>
          <w:szCs w:val="24"/>
        </w:rPr>
        <w:t xml:space="preserve">2024). Based on the robust resource base and international business, Product Development can be discussed as the most appropriate strategy for BHP. </w:t>
      </w:r>
    </w:p>
    <w:p w14:paraId="44477A78"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noProof/>
          <w:sz w:val="24"/>
          <w:szCs w:val="24"/>
        </w:rPr>
        <w:drawing>
          <wp:inline distT="114300" distB="114300" distL="114300" distR="114300" wp14:anchorId="7E07FC57" wp14:editId="136881F4">
            <wp:extent cx="6224588" cy="4069923"/>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t="14245"/>
                    <a:stretch>
                      <a:fillRect/>
                    </a:stretch>
                  </pic:blipFill>
                  <pic:spPr>
                    <a:xfrm>
                      <a:off x="0" y="0"/>
                      <a:ext cx="6224588" cy="4069923"/>
                    </a:xfrm>
                    <a:prstGeom prst="rect">
                      <a:avLst/>
                    </a:prstGeom>
                    <a:ln w="25400">
                      <a:solidFill>
                        <a:srgbClr val="000000"/>
                      </a:solidFill>
                      <a:prstDash val="solid"/>
                    </a:ln>
                  </pic:spPr>
                </pic:pic>
              </a:graphicData>
            </a:graphic>
          </wp:inline>
        </w:drawing>
      </w:r>
    </w:p>
    <w:p w14:paraId="053223FD" w14:textId="77777777" w:rsidR="0035538E" w:rsidRPr="00C34B58" w:rsidRDefault="00F17BA4" w:rsidP="0021330B">
      <w:pPr>
        <w:spacing w:line="360" w:lineRule="auto"/>
        <w:jc w:val="center"/>
        <w:rPr>
          <w:rFonts w:ascii="Times New Roman" w:eastAsia="Times New Roman" w:hAnsi="Times New Roman" w:cs="Times New Roman"/>
          <w:b/>
          <w:bCs/>
          <w:sz w:val="24"/>
          <w:szCs w:val="24"/>
        </w:rPr>
      </w:pPr>
      <w:r w:rsidRPr="00C34B58">
        <w:rPr>
          <w:rFonts w:ascii="Times New Roman" w:eastAsia="Times New Roman" w:hAnsi="Times New Roman" w:cs="Times New Roman"/>
          <w:b/>
          <w:bCs/>
          <w:sz w:val="24"/>
          <w:szCs w:val="24"/>
        </w:rPr>
        <w:t>Figure 6: Ansoff Matrix</w:t>
      </w:r>
    </w:p>
    <w:p w14:paraId="6F9B64F1" w14:textId="77777777" w:rsidR="0035538E" w:rsidRPr="00C34B58" w:rsidRDefault="00F17BA4" w:rsidP="0021330B">
      <w:pPr>
        <w:spacing w:line="360" w:lineRule="auto"/>
        <w:jc w:val="center"/>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Source: (Self-created) </w:t>
      </w:r>
    </w:p>
    <w:p w14:paraId="377C6F0E" w14:textId="77777777" w:rsidR="0035538E" w:rsidRPr="00C34B58" w:rsidRDefault="00F17BA4" w:rsidP="0021330B">
      <w:pPr>
        <w:pStyle w:val="Heading3"/>
        <w:numPr>
          <w:ilvl w:val="0"/>
          <w:numId w:val="1"/>
        </w:numPr>
        <w:rPr>
          <w:color w:val="auto"/>
        </w:rPr>
      </w:pPr>
      <w:bookmarkStart w:id="14" w:name="_Toc235743579"/>
      <w:r w:rsidRPr="00C34B58">
        <w:rPr>
          <w:color w:val="auto"/>
        </w:rPr>
        <w:t>Market Penetration</w:t>
      </w:r>
      <w:bookmarkEnd w:id="14"/>
    </w:p>
    <w:p w14:paraId="3BBD4F84"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Market Penetration focuses on increasing sales of existing products within existing markets; however, this strategy offers limited long-term opportunities for BHP. S&amp;P (2026) estimates that demand for copper </w:t>
      </w:r>
      <w:proofErr w:type="spellStart"/>
      <w:r w:rsidRPr="00C34B58">
        <w:rPr>
          <w:rFonts w:ascii="Times New Roman" w:eastAsia="Times New Roman" w:hAnsi="Times New Roman" w:cs="Times New Roman"/>
          <w:sz w:val="24"/>
          <w:szCs w:val="24"/>
        </w:rPr>
        <w:t>utilised</w:t>
      </w:r>
      <w:proofErr w:type="spellEnd"/>
      <w:r w:rsidRPr="00C34B58">
        <w:rPr>
          <w:rFonts w:ascii="Times New Roman" w:eastAsia="Times New Roman" w:hAnsi="Times New Roman" w:cs="Times New Roman"/>
          <w:sz w:val="24"/>
          <w:szCs w:val="24"/>
        </w:rPr>
        <w:t xml:space="preserve"> in clean energy technologies will grow by about 50% by 2040. This helps the value of sustainable mineral production at the commercial level.  Creating lower-carbon mining products and greener manufacturing processes can help BHP to empower its competitive advantages coupled with satisfying stakeholder expectations.</w:t>
      </w:r>
    </w:p>
    <w:p w14:paraId="68A05637" w14:textId="77777777" w:rsidR="0035538E" w:rsidRPr="00C34B58" w:rsidRDefault="00F17BA4" w:rsidP="0021330B">
      <w:pPr>
        <w:pStyle w:val="Heading3"/>
        <w:numPr>
          <w:ilvl w:val="0"/>
          <w:numId w:val="1"/>
        </w:numPr>
        <w:rPr>
          <w:color w:val="auto"/>
        </w:rPr>
      </w:pPr>
      <w:bookmarkStart w:id="15" w:name="_Toc235743580"/>
      <w:r w:rsidRPr="00C34B58">
        <w:rPr>
          <w:color w:val="auto"/>
        </w:rPr>
        <w:t>Product Development Strategy</w:t>
      </w:r>
      <w:bookmarkEnd w:id="15"/>
    </w:p>
    <w:p w14:paraId="6A185EF5"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Product Development is the process of offering new or enhanced products into the already existing markets (Chen and Chen, 2023). Instead of geographic expansion, BHP can develop the environmental performance of its current mineral portfolio by adopting cleaner technologies in production, renewable electricity and low-carbon logistics. At the same time, there is increasing demand among customers to get minerals sourced in a responsible manner that can help them </w:t>
      </w:r>
      <w:proofErr w:type="spellStart"/>
      <w:r w:rsidRPr="00C34B58">
        <w:rPr>
          <w:rFonts w:ascii="Times New Roman" w:eastAsia="Times New Roman" w:hAnsi="Times New Roman" w:cs="Times New Roman"/>
          <w:sz w:val="24"/>
          <w:szCs w:val="24"/>
        </w:rPr>
        <w:t>decarbonise</w:t>
      </w:r>
      <w:proofErr w:type="spellEnd"/>
      <w:r w:rsidRPr="00C34B58">
        <w:rPr>
          <w:rFonts w:ascii="Times New Roman" w:eastAsia="Times New Roman" w:hAnsi="Times New Roman" w:cs="Times New Roman"/>
          <w:sz w:val="24"/>
          <w:szCs w:val="24"/>
        </w:rPr>
        <w:t xml:space="preserve"> themselves. BHP has stated that its operational greenhouse gas emissions had decreased by 36% compared with FY2020 (Knaus and Morton, 2026). This is a tangible change that it is making towards sustainability goals. The company has already made massive investments in renewable energy agreements and electrification initiatives that decrease operational emissions and enhance product differentiation.  Many nations have set net-zero goals, which have provided a more vigorous regulatory expectation throughout gl</w:t>
      </w:r>
      <w:r w:rsidRPr="00C34B58">
        <w:rPr>
          <w:rFonts w:ascii="Times New Roman" w:eastAsia="Times New Roman" w:hAnsi="Times New Roman" w:cs="Times New Roman"/>
          <w:sz w:val="24"/>
          <w:szCs w:val="24"/>
        </w:rPr>
        <w:t>obal mining activities.</w:t>
      </w:r>
    </w:p>
    <w:p w14:paraId="43FFDB2F" w14:textId="77777777" w:rsidR="0035538E" w:rsidRPr="00C34B58" w:rsidRDefault="00F17BA4" w:rsidP="0021330B">
      <w:pPr>
        <w:pStyle w:val="Heading3"/>
        <w:numPr>
          <w:ilvl w:val="0"/>
          <w:numId w:val="1"/>
        </w:numPr>
        <w:rPr>
          <w:color w:val="auto"/>
        </w:rPr>
      </w:pPr>
      <w:bookmarkStart w:id="16" w:name="_Toc235743581"/>
      <w:r w:rsidRPr="00C34B58">
        <w:rPr>
          <w:color w:val="auto"/>
        </w:rPr>
        <w:t>Market Development</w:t>
      </w:r>
      <w:bookmarkEnd w:id="16"/>
    </w:p>
    <w:p w14:paraId="49886F6B"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The creation of certified low-carbon blast furnace modification products allows BHP to react immediately to the modification of customer options (BHP, 2026). Manufacturing companies in the automotive sector, renewable energy and construction spheres have been progressively incorporating the concept of sustainability in the selection of suppliers. On this basis, environmentally differentiated products enable BHP to assert greater customer relations and generate greater long-term value amid greater production</w:t>
      </w:r>
      <w:r w:rsidRPr="00C34B58">
        <w:rPr>
          <w:rFonts w:ascii="Times New Roman" w:eastAsia="Times New Roman" w:hAnsi="Times New Roman" w:cs="Times New Roman"/>
          <w:sz w:val="24"/>
          <w:szCs w:val="24"/>
        </w:rPr>
        <w:t xml:space="preserve"> investment. </w:t>
      </w:r>
    </w:p>
    <w:p w14:paraId="12273171" w14:textId="77777777" w:rsidR="0035538E" w:rsidRPr="00C34B58" w:rsidRDefault="00F17BA4" w:rsidP="0021330B">
      <w:pPr>
        <w:pStyle w:val="Heading3"/>
        <w:numPr>
          <w:ilvl w:val="0"/>
          <w:numId w:val="1"/>
        </w:numPr>
        <w:rPr>
          <w:color w:val="auto"/>
        </w:rPr>
      </w:pPr>
      <w:bookmarkStart w:id="17" w:name="_Toc235743582"/>
      <w:r w:rsidRPr="00C34B58">
        <w:rPr>
          <w:color w:val="auto"/>
        </w:rPr>
        <w:t>Diversification</w:t>
      </w:r>
      <w:bookmarkEnd w:id="17"/>
    </w:p>
    <w:p w14:paraId="04A0802A"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Diversification involves introducing new products into new markets, but this strategy would expose BHP to higher financial and operational risks during its transition to a lower-carbon business model. Lower-carbon technologies are also hard to develop and necessitate a lot of capital expenditure before they can bear commercial profits (Mani </w:t>
      </w:r>
      <w:r w:rsidRPr="00C34B58">
        <w:rPr>
          <w:rFonts w:ascii="Times New Roman" w:eastAsia="Times New Roman" w:hAnsi="Times New Roman" w:cs="Times New Roman"/>
          <w:i/>
          <w:iCs/>
          <w:sz w:val="24"/>
          <w:szCs w:val="24"/>
        </w:rPr>
        <w:t>et al.,</w:t>
      </w:r>
      <w:r w:rsidRPr="00C34B58">
        <w:rPr>
          <w:rFonts w:ascii="Times New Roman" w:eastAsia="Times New Roman" w:hAnsi="Times New Roman" w:cs="Times New Roman"/>
          <w:sz w:val="24"/>
          <w:szCs w:val="24"/>
        </w:rPr>
        <w:t xml:space="preserve"> 2024). International inflation and disruption in supply chains only continue to raise the cost of equipment and capital expenditure in mining.</w:t>
      </w:r>
    </w:p>
    <w:p w14:paraId="1C618302"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The acceptance of the material market also requires the customers to </w:t>
      </w:r>
      <w:proofErr w:type="spellStart"/>
      <w:r w:rsidRPr="00C34B58">
        <w:rPr>
          <w:rFonts w:ascii="Times New Roman" w:eastAsia="Times New Roman" w:hAnsi="Times New Roman" w:cs="Times New Roman"/>
          <w:sz w:val="24"/>
          <w:szCs w:val="24"/>
        </w:rPr>
        <w:t>realise</w:t>
      </w:r>
      <w:proofErr w:type="spellEnd"/>
      <w:r w:rsidRPr="00C34B58">
        <w:rPr>
          <w:rFonts w:ascii="Times New Roman" w:eastAsia="Times New Roman" w:hAnsi="Times New Roman" w:cs="Times New Roman"/>
          <w:sz w:val="24"/>
          <w:szCs w:val="24"/>
        </w:rPr>
        <w:t xml:space="preserve"> the extra value in </w:t>
      </w:r>
      <w:proofErr w:type="spellStart"/>
      <w:r w:rsidRPr="00C34B58">
        <w:rPr>
          <w:rFonts w:ascii="Times New Roman" w:eastAsia="Times New Roman" w:hAnsi="Times New Roman" w:cs="Times New Roman"/>
          <w:sz w:val="24"/>
          <w:szCs w:val="24"/>
        </w:rPr>
        <w:t>favour</w:t>
      </w:r>
      <w:proofErr w:type="spellEnd"/>
      <w:r w:rsidRPr="00C34B58">
        <w:rPr>
          <w:rFonts w:ascii="Times New Roman" w:eastAsia="Times New Roman" w:hAnsi="Times New Roman" w:cs="Times New Roman"/>
          <w:sz w:val="24"/>
          <w:szCs w:val="24"/>
        </w:rPr>
        <w:t xml:space="preserve"> of sustainability-produced minerals. Unless buyers are no longer price-sensitive, there might be no premium pricing opportunities. Moreover, there is uncertainty about technologies that will make the implementation process challenging, as some </w:t>
      </w:r>
      <w:proofErr w:type="spellStart"/>
      <w:r w:rsidRPr="00C34B58">
        <w:rPr>
          <w:rFonts w:ascii="Times New Roman" w:eastAsia="Times New Roman" w:hAnsi="Times New Roman" w:cs="Times New Roman"/>
          <w:sz w:val="24"/>
          <w:szCs w:val="24"/>
        </w:rPr>
        <w:t>decarbonisation</w:t>
      </w:r>
      <w:proofErr w:type="spellEnd"/>
      <w:r w:rsidRPr="00C34B58">
        <w:rPr>
          <w:rFonts w:ascii="Times New Roman" w:eastAsia="Times New Roman" w:hAnsi="Times New Roman" w:cs="Times New Roman"/>
          <w:sz w:val="24"/>
          <w:szCs w:val="24"/>
        </w:rPr>
        <w:t xml:space="preserve"> technologies are still being developed. BHP should thus invest in innovation projects and maintain financial discipline at the same time, ensuring that operations remain efficient. </w:t>
      </w:r>
    </w:p>
    <w:p w14:paraId="63EB9C98" w14:textId="77777777" w:rsidR="0035538E" w:rsidRPr="00C34B58" w:rsidRDefault="00F17BA4" w:rsidP="0021330B">
      <w:pPr>
        <w:pStyle w:val="Heading2"/>
        <w:keepNext w:val="0"/>
        <w:keepLines w:val="0"/>
      </w:pPr>
      <w:bookmarkStart w:id="18" w:name="_Toc235743583"/>
      <w:r w:rsidRPr="00C34B58">
        <w:t>2.2 Competitive Advantage</w:t>
      </w:r>
      <w:bookmarkEnd w:id="18"/>
    </w:p>
    <w:p w14:paraId="60E36E40" w14:textId="77777777" w:rsidR="0035538E" w:rsidRPr="00C34B58" w:rsidRDefault="00F17BA4" w:rsidP="0021330B">
      <w:pPr>
        <w:pStyle w:val="Heading3"/>
        <w:rPr>
          <w:color w:val="auto"/>
        </w:rPr>
      </w:pPr>
      <w:bookmarkStart w:id="19" w:name="_Toc235743584"/>
      <w:r w:rsidRPr="00C34B58">
        <w:rPr>
          <w:color w:val="auto"/>
        </w:rPr>
        <w:t>Achieving Differentiation</w:t>
      </w:r>
      <w:bookmarkEnd w:id="19"/>
    </w:p>
    <w:p w14:paraId="100970D5"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According to Porter’s Generic Strategies, differentiation generates competitive advantage by providing unique value in competition against price (Bhat </w:t>
      </w:r>
      <w:r w:rsidRPr="00C34B58">
        <w:rPr>
          <w:rFonts w:ascii="Times New Roman" w:eastAsia="Times New Roman" w:hAnsi="Times New Roman" w:cs="Times New Roman"/>
          <w:i/>
          <w:iCs/>
          <w:sz w:val="24"/>
          <w:szCs w:val="24"/>
        </w:rPr>
        <w:t>et al.</w:t>
      </w:r>
      <w:r w:rsidRPr="00C34B58">
        <w:rPr>
          <w:rFonts w:ascii="Times New Roman" w:eastAsia="Times New Roman" w:hAnsi="Times New Roman" w:cs="Times New Roman"/>
          <w:sz w:val="24"/>
          <w:szCs w:val="24"/>
        </w:rPr>
        <w:t xml:space="preserve">, 2024). The reduced-carbon business model of the company develops distinctive value of responsible sourcing, reduced operating emissions and open reporting of its ESG procedures rather than price warfare. This distinction enhances dealings with industrial buyers, who are in search of sustainable vendors.  </w:t>
      </w:r>
      <w:proofErr w:type="spellStart"/>
      <w:r w:rsidRPr="00C34B58">
        <w:rPr>
          <w:rFonts w:ascii="Times New Roman" w:eastAsia="Times New Roman" w:hAnsi="Times New Roman" w:cs="Times New Roman"/>
          <w:sz w:val="24"/>
          <w:szCs w:val="24"/>
        </w:rPr>
        <w:t>Decarbonisation</w:t>
      </w:r>
      <w:proofErr w:type="spellEnd"/>
      <w:r w:rsidRPr="00C34B58">
        <w:rPr>
          <w:rFonts w:ascii="Times New Roman" w:eastAsia="Times New Roman" w:hAnsi="Times New Roman" w:cs="Times New Roman"/>
          <w:sz w:val="24"/>
          <w:szCs w:val="24"/>
        </w:rPr>
        <w:t xml:space="preserve"> has become one of the key strategic priorities of 70% of mining executives (ABB, 2024). This means that the industry becomes more competitive in terms of sustainability.</w:t>
      </w:r>
    </w:p>
    <w:p w14:paraId="553A5E37"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Investment in digital technologies, renewable electricity and monitoring of emissions enhances the effectiveness of operations and environmental credibility. These abilities reinforce the brand image of BHP as well as promoting high-</w:t>
      </w:r>
      <w:proofErr w:type="spellStart"/>
      <w:r w:rsidRPr="00C34B58">
        <w:rPr>
          <w:rFonts w:ascii="Times New Roman" w:eastAsia="Times New Roman" w:hAnsi="Times New Roman" w:cs="Times New Roman"/>
          <w:sz w:val="24"/>
          <w:szCs w:val="24"/>
        </w:rPr>
        <w:t>calibre</w:t>
      </w:r>
      <w:proofErr w:type="spellEnd"/>
      <w:r w:rsidRPr="00C34B58">
        <w:rPr>
          <w:rFonts w:ascii="Times New Roman" w:eastAsia="Times New Roman" w:hAnsi="Times New Roman" w:cs="Times New Roman"/>
          <w:sz w:val="24"/>
          <w:szCs w:val="24"/>
        </w:rPr>
        <w:t xml:space="preserve"> business ties with large multinationals that are dedicated to environmental, social and governance goals. Sustainable differentiation also mitigates reputational risks about climate change and increases confidence of the investors in long-term corporate performance (</w:t>
      </w:r>
      <w:proofErr w:type="spellStart"/>
      <w:r w:rsidRPr="00C34B58">
        <w:rPr>
          <w:rFonts w:ascii="Times New Roman" w:eastAsia="Times New Roman" w:hAnsi="Times New Roman" w:cs="Times New Roman"/>
          <w:sz w:val="24"/>
          <w:szCs w:val="24"/>
        </w:rPr>
        <w:t>Arhinful</w:t>
      </w:r>
      <w:proofErr w:type="spellEnd"/>
      <w:r w:rsidRPr="00C34B58">
        <w:rPr>
          <w:rFonts w:ascii="Times New Roman" w:eastAsia="Times New Roman" w:hAnsi="Times New Roman" w:cs="Times New Roman"/>
          <w:sz w:val="24"/>
          <w:szCs w:val="24"/>
        </w:rPr>
        <w:t xml:space="preserve"> </w:t>
      </w:r>
      <w:r w:rsidRPr="00C34B58">
        <w:rPr>
          <w:rFonts w:ascii="Times New Roman" w:eastAsia="Times New Roman" w:hAnsi="Times New Roman" w:cs="Times New Roman"/>
          <w:i/>
          <w:iCs/>
          <w:sz w:val="24"/>
          <w:szCs w:val="24"/>
        </w:rPr>
        <w:t>et al.,</w:t>
      </w:r>
      <w:r w:rsidRPr="00C34B58">
        <w:rPr>
          <w:rFonts w:ascii="Times New Roman" w:eastAsia="Times New Roman" w:hAnsi="Times New Roman" w:cs="Times New Roman"/>
          <w:sz w:val="24"/>
          <w:szCs w:val="24"/>
        </w:rPr>
        <w:t xml:space="preserve"> 2025). </w:t>
      </w:r>
    </w:p>
    <w:p w14:paraId="3B3D3EB8" w14:textId="77777777" w:rsidR="0035538E" w:rsidRPr="00C34B58" w:rsidRDefault="00F17BA4" w:rsidP="0021330B">
      <w:pPr>
        <w:pStyle w:val="Heading3"/>
        <w:rPr>
          <w:color w:val="auto"/>
        </w:rPr>
      </w:pPr>
      <w:bookmarkStart w:id="20" w:name="_Toc235743585"/>
      <w:r w:rsidRPr="00C34B58">
        <w:rPr>
          <w:color w:val="auto"/>
        </w:rPr>
        <w:t>Innovation and Technology</w:t>
      </w:r>
      <w:bookmarkEnd w:id="20"/>
    </w:p>
    <w:p w14:paraId="379BF169"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Technological innovation enhances Product Development as it provides the continuity of raising efficiency and environmental performance of mining. Using artificial intelligence, automation, predictive maintenance and digital twins </w:t>
      </w:r>
      <w:proofErr w:type="spellStart"/>
      <w:r w:rsidRPr="00C34B58">
        <w:rPr>
          <w:rFonts w:ascii="Times New Roman" w:eastAsia="Times New Roman" w:hAnsi="Times New Roman" w:cs="Times New Roman"/>
          <w:sz w:val="24"/>
          <w:szCs w:val="24"/>
        </w:rPr>
        <w:t>maximises</w:t>
      </w:r>
      <w:proofErr w:type="spellEnd"/>
      <w:r w:rsidRPr="00C34B58">
        <w:rPr>
          <w:rFonts w:ascii="Times New Roman" w:eastAsia="Times New Roman" w:hAnsi="Times New Roman" w:cs="Times New Roman"/>
          <w:sz w:val="24"/>
          <w:szCs w:val="24"/>
        </w:rPr>
        <w:t xml:space="preserve"> the use of energy and </w:t>
      </w:r>
      <w:proofErr w:type="spellStart"/>
      <w:r w:rsidRPr="00C34B58">
        <w:rPr>
          <w:rFonts w:ascii="Times New Roman" w:eastAsia="Times New Roman" w:hAnsi="Times New Roman" w:cs="Times New Roman"/>
          <w:sz w:val="24"/>
          <w:szCs w:val="24"/>
        </w:rPr>
        <w:t>minimises</w:t>
      </w:r>
      <w:proofErr w:type="spellEnd"/>
      <w:r w:rsidRPr="00C34B58">
        <w:rPr>
          <w:rFonts w:ascii="Times New Roman" w:eastAsia="Times New Roman" w:hAnsi="Times New Roman" w:cs="Times New Roman"/>
          <w:sz w:val="24"/>
          <w:szCs w:val="24"/>
        </w:rPr>
        <w:t xml:space="preserve"> waste production (</w:t>
      </w:r>
      <w:proofErr w:type="spellStart"/>
      <w:r w:rsidRPr="00C34B58">
        <w:rPr>
          <w:rFonts w:ascii="Times New Roman" w:eastAsia="Times New Roman" w:hAnsi="Times New Roman" w:cs="Times New Roman"/>
          <w:sz w:val="24"/>
          <w:szCs w:val="24"/>
        </w:rPr>
        <w:t>Abadi</w:t>
      </w:r>
      <w:proofErr w:type="spellEnd"/>
      <w:r w:rsidRPr="00C34B58">
        <w:rPr>
          <w:rFonts w:ascii="Times New Roman" w:eastAsia="Times New Roman" w:hAnsi="Times New Roman" w:cs="Times New Roman"/>
          <w:sz w:val="24"/>
          <w:szCs w:val="24"/>
        </w:rPr>
        <w:t xml:space="preserve"> </w:t>
      </w:r>
      <w:r w:rsidRPr="00C34B58">
        <w:rPr>
          <w:rFonts w:ascii="Times New Roman" w:eastAsia="Times New Roman" w:hAnsi="Times New Roman" w:cs="Times New Roman"/>
          <w:i/>
          <w:iCs/>
          <w:sz w:val="24"/>
          <w:szCs w:val="24"/>
        </w:rPr>
        <w:t xml:space="preserve">et al., </w:t>
      </w:r>
      <w:r w:rsidRPr="00C34B58">
        <w:rPr>
          <w:rFonts w:ascii="Times New Roman" w:eastAsia="Times New Roman" w:hAnsi="Times New Roman" w:cs="Times New Roman"/>
          <w:sz w:val="24"/>
          <w:szCs w:val="24"/>
        </w:rPr>
        <w:t>2025). BHP has increased the number of autonomous mining operations, which enhances productivity as well as consumes less fuel in several Australian locations. The use of autonomous haulage systems has shown productivity gains of more than 10% (Chen and Khan, 2025). This portrays the role of technology in creating sustainable competitiveness.</w:t>
      </w:r>
    </w:p>
    <w:p w14:paraId="74891771"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Novelty also helps in responsible management of resources by enhancing water recycling, biodiversity tracking and the accuracy in extraction mechanisms. Such programs diminish the environmental effects, besides showing leadership in the international mining markets (Hodge </w:t>
      </w:r>
      <w:r w:rsidRPr="00C34B58">
        <w:rPr>
          <w:rFonts w:ascii="Times New Roman" w:eastAsia="Times New Roman" w:hAnsi="Times New Roman" w:cs="Times New Roman"/>
          <w:i/>
          <w:iCs/>
          <w:sz w:val="24"/>
          <w:szCs w:val="24"/>
        </w:rPr>
        <w:t xml:space="preserve">et al., </w:t>
      </w:r>
      <w:r w:rsidRPr="00C34B58">
        <w:rPr>
          <w:rFonts w:ascii="Times New Roman" w:eastAsia="Times New Roman" w:hAnsi="Times New Roman" w:cs="Times New Roman"/>
          <w:sz w:val="24"/>
          <w:szCs w:val="24"/>
        </w:rPr>
        <w:t xml:space="preserve">2022). Ongoing technological enhancement thus helps not only to enhance operational excellence but also to ensure efficient sustainability marketing. It can provide the </w:t>
      </w:r>
      <w:proofErr w:type="spellStart"/>
      <w:r w:rsidRPr="00C34B58">
        <w:rPr>
          <w:rFonts w:ascii="Times New Roman" w:eastAsia="Times New Roman" w:hAnsi="Times New Roman" w:cs="Times New Roman"/>
          <w:sz w:val="24"/>
          <w:szCs w:val="24"/>
        </w:rPr>
        <w:t>organisation</w:t>
      </w:r>
      <w:proofErr w:type="spellEnd"/>
      <w:r w:rsidRPr="00C34B58">
        <w:rPr>
          <w:rFonts w:ascii="Times New Roman" w:eastAsia="Times New Roman" w:hAnsi="Times New Roman" w:cs="Times New Roman"/>
          <w:sz w:val="24"/>
          <w:szCs w:val="24"/>
        </w:rPr>
        <w:t xml:space="preserve"> with competitive advantage. </w:t>
      </w:r>
    </w:p>
    <w:p w14:paraId="4A554322" w14:textId="77777777" w:rsidR="0035538E" w:rsidRPr="00C34B58" w:rsidRDefault="00F17BA4" w:rsidP="0021330B">
      <w:pPr>
        <w:pStyle w:val="Heading2"/>
        <w:keepNext w:val="0"/>
        <w:keepLines w:val="0"/>
      </w:pPr>
      <w:bookmarkStart w:id="21" w:name="_Toc235743586"/>
      <w:r w:rsidRPr="00C34B58">
        <w:t>2.3 Recommendation</w:t>
      </w:r>
      <w:bookmarkEnd w:id="21"/>
    </w:p>
    <w:p w14:paraId="43FD5D92" w14:textId="77777777" w:rsidR="0035538E" w:rsidRPr="00C34B58" w:rsidRDefault="00F17BA4" w:rsidP="0021330B">
      <w:pPr>
        <w:pStyle w:val="Heading3"/>
        <w:rPr>
          <w:color w:val="auto"/>
        </w:rPr>
      </w:pPr>
      <w:bookmarkStart w:id="22" w:name="_Toc235743587"/>
      <w:r w:rsidRPr="00C34B58">
        <w:rPr>
          <w:color w:val="auto"/>
        </w:rPr>
        <w:t>Sustainable Competitive Growth</w:t>
      </w:r>
      <w:bookmarkEnd w:id="22"/>
    </w:p>
    <w:p w14:paraId="69FB8B4B"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Product Development is the best strategic choice as it will build on the prior existing capability of BHP and respond to environmental and market changes found in Task 1. Production of low-carbon minerals, growth of renewable-powered activities, and technological innovation help increase competitive advantage and achieve long-term profitability (Faig </w:t>
      </w:r>
      <w:r w:rsidRPr="00C34B58">
        <w:rPr>
          <w:rFonts w:ascii="Times New Roman" w:eastAsia="Times New Roman" w:hAnsi="Times New Roman" w:cs="Times New Roman"/>
          <w:i/>
          <w:iCs/>
          <w:sz w:val="24"/>
          <w:szCs w:val="24"/>
        </w:rPr>
        <w:t xml:space="preserve">et al., </w:t>
      </w:r>
      <w:r w:rsidRPr="00C34B58">
        <w:rPr>
          <w:rFonts w:ascii="Times New Roman" w:eastAsia="Times New Roman" w:hAnsi="Times New Roman" w:cs="Times New Roman"/>
          <w:sz w:val="24"/>
          <w:szCs w:val="24"/>
        </w:rPr>
        <w:t>2025). The plan is also complementary to rising world demand for transition minerals that are important in renewable energy infrastructure. Considering sustainability in developing products, BHP creates value for its customers, improving its regulatory performance and corporate reputation at the same time. Product Development therefore allows the firm to gain a sustainable competitive advantage in addition to contributing towards the world moving into a low-carbon economy, which has been adopted globally. T</w:t>
      </w:r>
      <w:r w:rsidRPr="00C34B58">
        <w:rPr>
          <w:rFonts w:ascii="Times New Roman" w:eastAsia="Times New Roman" w:hAnsi="Times New Roman" w:cs="Times New Roman"/>
          <w:sz w:val="24"/>
          <w:szCs w:val="24"/>
        </w:rPr>
        <w:t xml:space="preserve">his approach helps to build market resilience, </w:t>
      </w:r>
      <w:r w:rsidRPr="00C34B58">
        <w:rPr>
          <w:rFonts w:ascii="Times New Roman" w:eastAsia="Times New Roman" w:hAnsi="Times New Roman" w:cs="Times New Roman"/>
          <w:sz w:val="24"/>
          <w:szCs w:val="24"/>
        </w:rPr>
        <w:t>facilitates future investments, boosts stakeholder confidence, fosters innovation, and promotes continued business expansion on a global scale.</w:t>
      </w:r>
    </w:p>
    <w:p w14:paraId="721BB39B" w14:textId="77777777" w:rsidR="0035538E" w:rsidRPr="00C34B58" w:rsidRDefault="00F17BA4" w:rsidP="0021330B">
      <w:pPr>
        <w:spacing w:line="360" w:lineRule="auto"/>
        <w:rPr>
          <w:rFonts w:ascii="Times New Roman" w:eastAsia="Times New Roman" w:hAnsi="Times New Roman" w:cs="Times New Roman"/>
          <w:b/>
          <w:bCs/>
          <w:sz w:val="28"/>
          <w:szCs w:val="28"/>
        </w:rPr>
      </w:pPr>
      <w:r w:rsidRPr="00C34B58">
        <w:rPr>
          <w:rFonts w:ascii="Times New Roman" w:hAnsi="Times New Roman" w:cs="Times New Roman"/>
        </w:rPr>
        <w:br w:type="page"/>
      </w:r>
    </w:p>
    <w:p w14:paraId="2BC628B6" w14:textId="77777777" w:rsidR="0035538E" w:rsidRPr="00C34B58" w:rsidRDefault="00F17BA4" w:rsidP="0021330B">
      <w:pPr>
        <w:pStyle w:val="Heading1"/>
        <w:keepNext w:val="0"/>
        <w:keepLines w:val="0"/>
      </w:pPr>
      <w:bookmarkStart w:id="23" w:name="_Toc235743588"/>
      <w:r w:rsidRPr="00C34B58">
        <w:t>Task 3: Critical Reflection on AI Usage</w:t>
      </w:r>
      <w:bookmarkEnd w:id="23"/>
    </w:p>
    <w:p w14:paraId="6C149B11"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Artificial Intelligence (AI) supported the development of this report by improving research efficiency, </w:t>
      </w:r>
      <w:proofErr w:type="spellStart"/>
      <w:r w:rsidRPr="00C34B58">
        <w:rPr>
          <w:rFonts w:ascii="Times New Roman" w:eastAsia="Times New Roman" w:hAnsi="Times New Roman" w:cs="Times New Roman"/>
          <w:sz w:val="24"/>
          <w:szCs w:val="24"/>
        </w:rPr>
        <w:t>organising</w:t>
      </w:r>
      <w:proofErr w:type="spellEnd"/>
      <w:r w:rsidRPr="00C34B58">
        <w:rPr>
          <w:rFonts w:ascii="Times New Roman" w:eastAsia="Times New Roman" w:hAnsi="Times New Roman" w:cs="Times New Roman"/>
          <w:sz w:val="24"/>
          <w:szCs w:val="24"/>
        </w:rPr>
        <w:t xml:space="preserve"> ideas and refining academic writing. Nevertheless, the results of AI should be reviewed with scrutiny since generative AI systems can provide false information, unfounded assertions or false references. Thus, essential critical judgement was needed throughout the process of preparing the report to be an academic and trustworthy marketing analysis. </w:t>
      </w:r>
    </w:p>
    <w:p w14:paraId="6D8DC9EB" w14:textId="77777777" w:rsidR="0035538E" w:rsidRPr="00C34B58" w:rsidRDefault="00F17BA4" w:rsidP="0021330B">
      <w:pPr>
        <w:pStyle w:val="Heading2"/>
        <w:keepNext w:val="0"/>
        <w:keepLines w:val="0"/>
      </w:pPr>
      <w:bookmarkStart w:id="24" w:name="_Toc235743589"/>
      <w:r w:rsidRPr="00C34B58">
        <w:t>3.1 Tool Disclosure</w:t>
      </w:r>
      <w:bookmarkEnd w:id="24"/>
    </w:p>
    <w:p w14:paraId="73882831" w14:textId="77777777" w:rsidR="0035538E" w:rsidRPr="00C34B58" w:rsidRDefault="00F17BA4" w:rsidP="0021330B">
      <w:pPr>
        <w:pStyle w:val="Heading3"/>
        <w:rPr>
          <w:color w:val="auto"/>
        </w:rPr>
      </w:pPr>
      <w:bookmarkStart w:id="25" w:name="_Toc235743590"/>
      <w:r w:rsidRPr="00C34B58">
        <w:rPr>
          <w:color w:val="auto"/>
        </w:rPr>
        <w:t>AI Applications</w:t>
      </w:r>
      <w:bookmarkEnd w:id="25"/>
    </w:p>
    <w:p w14:paraId="497AC853"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Initial definitions of marketing concepts and report structure suggestions were generated by generative AI tools, such as ChatGPT, to enhance academic language and </w:t>
      </w:r>
      <w:proofErr w:type="spellStart"/>
      <w:r w:rsidRPr="00C34B58">
        <w:rPr>
          <w:rFonts w:ascii="Times New Roman" w:eastAsia="Times New Roman" w:hAnsi="Times New Roman" w:cs="Times New Roman"/>
          <w:sz w:val="24"/>
          <w:szCs w:val="24"/>
        </w:rPr>
        <w:t>summarisation</w:t>
      </w:r>
      <w:proofErr w:type="spellEnd"/>
      <w:r w:rsidRPr="00C34B58">
        <w:rPr>
          <w:rFonts w:ascii="Times New Roman" w:eastAsia="Times New Roman" w:hAnsi="Times New Roman" w:cs="Times New Roman"/>
          <w:sz w:val="24"/>
          <w:szCs w:val="24"/>
        </w:rPr>
        <w:t xml:space="preserve"> of publicly available information on sustainability initiatives at BHP. AI was also used to help ensure coherence and propose suitable headings. All these applications were reported by filling out the AI Use Acknowledgement in accordance with academic integrity standards at the university. </w:t>
      </w:r>
    </w:p>
    <w:p w14:paraId="066400FB" w14:textId="77777777" w:rsidR="0035538E" w:rsidRPr="00C34B58" w:rsidRDefault="00F17BA4" w:rsidP="0021330B">
      <w:pPr>
        <w:pStyle w:val="Heading2"/>
        <w:keepNext w:val="0"/>
        <w:keepLines w:val="0"/>
      </w:pPr>
      <w:bookmarkStart w:id="26" w:name="_Toc235743591"/>
      <w:r w:rsidRPr="00C34B58">
        <w:t>3.2 Critical Evaluation of AI Output</w:t>
      </w:r>
      <w:bookmarkEnd w:id="26"/>
    </w:p>
    <w:p w14:paraId="45865515" w14:textId="77777777" w:rsidR="0035538E" w:rsidRPr="00C34B58" w:rsidRDefault="00F17BA4" w:rsidP="0021330B">
      <w:pPr>
        <w:pStyle w:val="Heading3"/>
        <w:rPr>
          <w:color w:val="auto"/>
        </w:rPr>
      </w:pPr>
      <w:bookmarkStart w:id="27" w:name="_Toc235743592"/>
      <w:r w:rsidRPr="00C34B58">
        <w:rPr>
          <w:color w:val="auto"/>
        </w:rPr>
        <w:t>Verification and Error Identification</w:t>
      </w:r>
      <w:bookmarkEnd w:id="27"/>
    </w:p>
    <w:p w14:paraId="4D7ACD70"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ChatGPT initially suggested unsupported statistics relating to mining sustainability and provided references that could not be verified. These were removed and replaced with evidence from BHP Sustainability Reports, the IEA and Statista before being incorporated into the report.  Before inclusion, statistical evidence, strategic recommendations, and environmental information were cross-checked. Most of the AI-generated figures do not have any evidence to support them or contain outdated and wrong informatio</w:t>
      </w:r>
      <w:r w:rsidRPr="00C34B58">
        <w:rPr>
          <w:rFonts w:ascii="Times New Roman" w:eastAsia="Times New Roman" w:hAnsi="Times New Roman" w:cs="Times New Roman"/>
          <w:sz w:val="24"/>
          <w:szCs w:val="24"/>
        </w:rPr>
        <w:t xml:space="preserve">n during the verification. Such inaccuracies were eliminated, and new data were used instead based on credible corporate reports and internationally </w:t>
      </w:r>
      <w:proofErr w:type="spellStart"/>
      <w:r w:rsidRPr="00C34B58">
        <w:rPr>
          <w:rFonts w:ascii="Times New Roman" w:eastAsia="Times New Roman" w:hAnsi="Times New Roman" w:cs="Times New Roman"/>
          <w:sz w:val="24"/>
          <w:szCs w:val="24"/>
        </w:rPr>
        <w:t>recognised</w:t>
      </w:r>
      <w:proofErr w:type="spellEnd"/>
      <w:r w:rsidRPr="00C34B58">
        <w:rPr>
          <w:rFonts w:ascii="Times New Roman" w:eastAsia="Times New Roman" w:hAnsi="Times New Roman" w:cs="Times New Roman"/>
          <w:sz w:val="24"/>
          <w:szCs w:val="24"/>
        </w:rPr>
        <w:t xml:space="preserve"> </w:t>
      </w:r>
      <w:proofErr w:type="spellStart"/>
      <w:r w:rsidRPr="00C34B58">
        <w:rPr>
          <w:rFonts w:ascii="Times New Roman" w:eastAsia="Times New Roman" w:hAnsi="Times New Roman" w:cs="Times New Roman"/>
          <w:sz w:val="24"/>
          <w:szCs w:val="24"/>
        </w:rPr>
        <w:t>organisations</w:t>
      </w:r>
      <w:proofErr w:type="spellEnd"/>
      <w:r w:rsidRPr="00C34B58">
        <w:rPr>
          <w:rFonts w:ascii="Times New Roman" w:eastAsia="Times New Roman" w:hAnsi="Times New Roman" w:cs="Times New Roman"/>
          <w:sz w:val="24"/>
          <w:szCs w:val="24"/>
        </w:rPr>
        <w:t xml:space="preserve">, so the final analysis would be evidence-based and academically sound. </w:t>
      </w:r>
    </w:p>
    <w:p w14:paraId="7B280E1C" w14:textId="77777777" w:rsidR="0035538E" w:rsidRPr="00C34B58" w:rsidRDefault="00F17BA4" w:rsidP="0021330B">
      <w:pPr>
        <w:pStyle w:val="Heading2"/>
        <w:keepNext w:val="0"/>
        <w:keepLines w:val="0"/>
      </w:pPr>
      <w:bookmarkStart w:id="28" w:name="_Toc235743593"/>
      <w:r w:rsidRPr="00C34B58">
        <w:t>3.3 Contribution Analysis</w:t>
      </w:r>
      <w:bookmarkEnd w:id="28"/>
    </w:p>
    <w:p w14:paraId="4AB252DD" w14:textId="77777777" w:rsidR="0035538E" w:rsidRPr="00C34B58" w:rsidRDefault="00F17BA4" w:rsidP="0021330B">
      <w:pPr>
        <w:pStyle w:val="Heading3"/>
        <w:rPr>
          <w:color w:val="auto"/>
        </w:rPr>
      </w:pPr>
      <w:bookmarkStart w:id="29" w:name="_Toc235743594"/>
      <w:r w:rsidRPr="00C34B58">
        <w:rPr>
          <w:color w:val="auto"/>
        </w:rPr>
        <w:t>Original Contribution</w:t>
      </w:r>
      <w:bookmarkEnd w:id="29"/>
    </w:p>
    <w:p w14:paraId="3621CA84"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The basic types of tasks that AI aided were language refinement, structural </w:t>
      </w:r>
      <w:proofErr w:type="spellStart"/>
      <w:r w:rsidRPr="00C34B58">
        <w:rPr>
          <w:rFonts w:ascii="Times New Roman" w:eastAsia="Times New Roman" w:hAnsi="Times New Roman" w:cs="Times New Roman"/>
          <w:sz w:val="24"/>
          <w:szCs w:val="24"/>
        </w:rPr>
        <w:t>organisation</w:t>
      </w:r>
      <w:proofErr w:type="spellEnd"/>
      <w:r w:rsidRPr="00C34B58">
        <w:rPr>
          <w:rFonts w:ascii="Times New Roman" w:eastAsia="Times New Roman" w:hAnsi="Times New Roman" w:cs="Times New Roman"/>
          <w:sz w:val="24"/>
          <w:szCs w:val="24"/>
        </w:rPr>
        <w:t xml:space="preserve"> and initial content generation. Nevertheless, the choice of Natural and Political environments, </w:t>
      </w:r>
      <w:proofErr w:type="spellStart"/>
      <w:r w:rsidRPr="00C34B58">
        <w:rPr>
          <w:rFonts w:ascii="Times New Roman" w:eastAsia="Times New Roman" w:hAnsi="Times New Roman" w:cs="Times New Roman"/>
          <w:sz w:val="24"/>
          <w:szCs w:val="24"/>
        </w:rPr>
        <w:t>rationalisation</w:t>
      </w:r>
      <w:proofErr w:type="spellEnd"/>
      <w:r w:rsidRPr="00C34B58">
        <w:rPr>
          <w:rFonts w:ascii="Times New Roman" w:eastAsia="Times New Roman" w:hAnsi="Times New Roman" w:cs="Times New Roman"/>
          <w:sz w:val="24"/>
          <w:szCs w:val="24"/>
        </w:rPr>
        <w:t xml:space="preserve"> of Product Development with the help of the Ansoff Matrix, the implementation of Porter's Generic Strategies and all the critical analysis was done independently and after studying the academic literature. The ultimate choices made on report structure, choice of sources, statistical evidence and scholarly arguments were created and modified alone to meet assessment expectations. </w:t>
      </w:r>
    </w:p>
    <w:p w14:paraId="496308D0" w14:textId="77777777" w:rsidR="0035538E" w:rsidRPr="00C34B58" w:rsidRDefault="00F17BA4" w:rsidP="0021330B">
      <w:pPr>
        <w:pStyle w:val="Heading2"/>
        <w:keepNext w:val="0"/>
        <w:keepLines w:val="0"/>
      </w:pPr>
      <w:bookmarkStart w:id="30" w:name="_Toc235743595"/>
      <w:r w:rsidRPr="00C34B58">
        <w:t>Ethical and Professional Reflection</w:t>
      </w:r>
      <w:bookmarkEnd w:id="30"/>
    </w:p>
    <w:p w14:paraId="7755EBC0"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Use of AI has to be done responsibly through transparency, accountability and external validation (Bell, 2023). Even though AI enhances productivity and aids in marketing analysis, overuse can decrease the critical thinking process and introduce misinformation in academic work. Improving ethical practice means therefore considering AI help, verifying generated material and leaving original judgement at the heart of the decision-making process. Integrating AI functionality with human analysis generates a mor</w:t>
      </w:r>
      <w:r w:rsidRPr="00C34B58">
        <w:rPr>
          <w:rFonts w:ascii="Times New Roman" w:eastAsia="Times New Roman" w:hAnsi="Times New Roman" w:cs="Times New Roman"/>
          <w:sz w:val="24"/>
          <w:szCs w:val="24"/>
        </w:rPr>
        <w:t>e accurate, skilled and morally sound marketing analysis without compromising academic integrity or intellectual honesty. This balanced approach promotes responsible innovation, strengthens research credibility, encourages continuous learning, supports informed decisions, and maintains professional ethical standards.</w:t>
      </w:r>
    </w:p>
    <w:p w14:paraId="36421CF0" w14:textId="77777777" w:rsidR="0035538E" w:rsidRPr="00C34B58" w:rsidRDefault="00F17BA4" w:rsidP="0021330B">
      <w:pPr>
        <w:pStyle w:val="Heading1"/>
        <w:keepNext w:val="0"/>
        <w:keepLines w:val="0"/>
      </w:pPr>
      <w:bookmarkStart w:id="31" w:name="_Toc235743596"/>
      <w:r w:rsidRPr="00C34B58">
        <w:t>Conclusion</w:t>
      </w:r>
      <w:bookmarkEnd w:id="31"/>
    </w:p>
    <w:p w14:paraId="215CE427" w14:textId="77777777" w:rsidR="0035538E" w:rsidRPr="00C34B58" w:rsidRDefault="00F17BA4" w:rsidP="0021330B">
      <w:pPr>
        <w:spacing w:line="360" w:lineRule="auto"/>
        <w:jc w:val="both"/>
        <w:rPr>
          <w:rFonts w:ascii="Times New Roman" w:eastAsia="Times New Roman" w:hAnsi="Times New Roman" w:cs="Times New Roman"/>
          <w:sz w:val="24"/>
          <w:szCs w:val="24"/>
        </w:rPr>
      </w:pPr>
      <w:bookmarkStart w:id="32" w:name="_heading=h.ehd4hca1la1c" w:colFirst="0" w:colLast="0"/>
      <w:bookmarkEnd w:id="32"/>
      <w:r w:rsidRPr="00C34B58">
        <w:rPr>
          <w:rFonts w:ascii="Times New Roman" w:eastAsia="Times New Roman" w:hAnsi="Times New Roman" w:cs="Times New Roman"/>
          <w:sz w:val="24"/>
          <w:szCs w:val="24"/>
        </w:rPr>
        <w:t xml:space="preserve">The changes in environmental and political forces which change customer expectations and competition are the main factors that impact the shift of BHP towards lower-carbon mining. Product Development would be the best strategy to use for growth, as it facilitates sustainable innovation and differentiation. The quality of the reports was improved through careful use of AI, and independent verification guaranteed the quality of analytical research, academic integrity and conclusions drawn in the research. </w:t>
      </w:r>
    </w:p>
    <w:p w14:paraId="03A97228" w14:textId="77777777" w:rsidR="0035538E" w:rsidRPr="00C34B58" w:rsidRDefault="00F17BA4" w:rsidP="0021330B">
      <w:pPr>
        <w:spacing w:line="360" w:lineRule="auto"/>
        <w:jc w:val="both"/>
        <w:rPr>
          <w:rFonts w:ascii="Times New Roman" w:eastAsia="Times New Roman" w:hAnsi="Times New Roman" w:cs="Times New Roman"/>
          <w:sz w:val="24"/>
          <w:szCs w:val="24"/>
        </w:rPr>
      </w:pPr>
      <w:r w:rsidRPr="00C34B58">
        <w:rPr>
          <w:rFonts w:ascii="Times New Roman" w:hAnsi="Times New Roman" w:cs="Times New Roman"/>
        </w:rPr>
        <w:br w:type="page"/>
      </w:r>
    </w:p>
    <w:p w14:paraId="168D0EAC" w14:textId="77777777" w:rsidR="0035538E" w:rsidRPr="00C34B58" w:rsidRDefault="00F17BA4" w:rsidP="0021330B">
      <w:pPr>
        <w:pStyle w:val="Heading1"/>
      </w:pPr>
      <w:bookmarkStart w:id="33" w:name="_Toc235743597"/>
      <w:r w:rsidRPr="00C34B58">
        <w:t>References</w:t>
      </w:r>
      <w:bookmarkEnd w:id="33"/>
    </w:p>
    <w:p w14:paraId="3C78A16B"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Abadi, A., Abadi, C. and Abadi, M. (2025). Sensors &amp; Transducers Artificial Intelligence and Digital Twins for Sustainable Production Systems 1, *. </w:t>
      </w:r>
      <w:r w:rsidRPr="00C34B58">
        <w:rPr>
          <w:rFonts w:ascii="Times New Roman" w:eastAsia="Times New Roman" w:hAnsi="Times New Roman" w:cs="Times New Roman"/>
          <w:i/>
          <w:iCs/>
          <w:sz w:val="24"/>
          <w:szCs w:val="24"/>
        </w:rPr>
        <w:t>Sensors &amp; Transducers</w:t>
      </w:r>
      <w:r w:rsidRPr="00C34B58">
        <w:rPr>
          <w:rFonts w:ascii="Times New Roman" w:eastAsia="Times New Roman" w:hAnsi="Times New Roman" w:cs="Times New Roman"/>
          <w:sz w:val="24"/>
          <w:szCs w:val="24"/>
        </w:rPr>
        <w:t xml:space="preserve">, [online] 270(3), pp.1–10. Available at: </w:t>
      </w:r>
      <w:hyperlink r:id="rId15">
        <w:r w:rsidR="0035538E" w:rsidRPr="00C34B58">
          <w:rPr>
            <w:rFonts w:ascii="Times New Roman" w:eastAsia="Times New Roman" w:hAnsi="Times New Roman" w:cs="Times New Roman"/>
            <w:sz w:val="24"/>
            <w:szCs w:val="24"/>
            <w:u w:val="single"/>
          </w:rPr>
          <w:t>https://sensorsportal.com/html/st_journal/pdf_files/p_3371.pdf</w:t>
        </w:r>
      </w:hyperlink>
      <w:r w:rsidRPr="00C34B58">
        <w:rPr>
          <w:rFonts w:ascii="Times New Roman" w:eastAsia="Times New Roman" w:hAnsi="Times New Roman" w:cs="Times New Roman"/>
          <w:sz w:val="24"/>
          <w:szCs w:val="24"/>
        </w:rPr>
        <w:t xml:space="preserve"> </w:t>
      </w:r>
    </w:p>
    <w:p w14:paraId="7AD563E7"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ABB (2024). </w:t>
      </w:r>
      <w:r w:rsidRPr="00C34B58">
        <w:rPr>
          <w:rFonts w:ascii="Times New Roman" w:eastAsia="Times New Roman" w:hAnsi="Times New Roman" w:cs="Times New Roman"/>
          <w:i/>
          <w:iCs/>
          <w:sz w:val="24"/>
          <w:szCs w:val="24"/>
        </w:rPr>
        <w:t>ABB study reveals 70 per cent of mining leaders believe significant decarbonization can be achieved with existing technologies</w:t>
      </w:r>
      <w:r w:rsidRPr="00C34B58">
        <w:rPr>
          <w:rFonts w:ascii="Times New Roman" w:eastAsia="Times New Roman" w:hAnsi="Times New Roman" w:cs="Times New Roman"/>
          <w:sz w:val="24"/>
          <w:szCs w:val="24"/>
        </w:rPr>
        <w:t xml:space="preserve">. [online] News. Available at: </w:t>
      </w:r>
      <w:hyperlink r:id="rId16">
        <w:r w:rsidR="0035538E" w:rsidRPr="00C34B58">
          <w:rPr>
            <w:rFonts w:ascii="Times New Roman" w:eastAsia="Times New Roman" w:hAnsi="Times New Roman" w:cs="Times New Roman"/>
            <w:sz w:val="24"/>
            <w:szCs w:val="24"/>
            <w:u w:val="single"/>
          </w:rPr>
          <w:t>https://new.abb.com/news/detail/120586/abb-study-reveals-70-percent-of-mining-leaders-believe-significant-decarbonization-can-be-achieved-with-existing-technologies</w:t>
        </w:r>
      </w:hyperlink>
      <w:r w:rsidRPr="00C34B58">
        <w:rPr>
          <w:rFonts w:ascii="Times New Roman" w:eastAsia="Times New Roman" w:hAnsi="Times New Roman" w:cs="Times New Roman"/>
          <w:sz w:val="24"/>
          <w:szCs w:val="24"/>
        </w:rPr>
        <w:t xml:space="preserve">  [Accessed 8 July 2026].</w:t>
      </w:r>
    </w:p>
    <w:p w14:paraId="6766938B"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Amoah, P. and </w:t>
      </w:r>
      <w:proofErr w:type="spellStart"/>
      <w:r w:rsidRPr="00C34B58">
        <w:rPr>
          <w:rFonts w:ascii="Times New Roman" w:eastAsia="Times New Roman" w:hAnsi="Times New Roman" w:cs="Times New Roman"/>
          <w:sz w:val="24"/>
          <w:szCs w:val="24"/>
        </w:rPr>
        <w:t>Eweje</w:t>
      </w:r>
      <w:proofErr w:type="spellEnd"/>
      <w:r w:rsidRPr="00C34B58">
        <w:rPr>
          <w:rFonts w:ascii="Times New Roman" w:eastAsia="Times New Roman" w:hAnsi="Times New Roman" w:cs="Times New Roman"/>
          <w:sz w:val="24"/>
          <w:szCs w:val="24"/>
        </w:rPr>
        <w:t xml:space="preserve">, G. (2023). </w:t>
      </w:r>
      <w:proofErr w:type="spellStart"/>
      <w:r w:rsidRPr="00C34B58">
        <w:rPr>
          <w:rFonts w:ascii="Times New Roman" w:eastAsia="Times New Roman" w:hAnsi="Times New Roman" w:cs="Times New Roman"/>
          <w:sz w:val="24"/>
          <w:szCs w:val="24"/>
        </w:rPr>
        <w:t>Organisational</w:t>
      </w:r>
      <w:proofErr w:type="spellEnd"/>
      <w:r w:rsidRPr="00C34B58">
        <w:rPr>
          <w:rFonts w:ascii="Times New Roman" w:eastAsia="Times New Roman" w:hAnsi="Times New Roman" w:cs="Times New Roman"/>
          <w:sz w:val="24"/>
          <w:szCs w:val="24"/>
        </w:rPr>
        <w:t xml:space="preserve"> drivers and sustainability implementation in the mining industry: A holistic theoretical framework. </w:t>
      </w:r>
      <w:r w:rsidRPr="00C34B58">
        <w:rPr>
          <w:rFonts w:ascii="Times New Roman" w:eastAsia="Times New Roman" w:hAnsi="Times New Roman" w:cs="Times New Roman"/>
          <w:i/>
          <w:iCs/>
          <w:sz w:val="24"/>
          <w:szCs w:val="24"/>
        </w:rPr>
        <w:t>Business Strategy and the Environment</w:t>
      </w:r>
      <w:r w:rsidRPr="00C34B58">
        <w:rPr>
          <w:rFonts w:ascii="Times New Roman" w:eastAsia="Times New Roman" w:hAnsi="Times New Roman" w:cs="Times New Roman"/>
          <w:sz w:val="24"/>
          <w:szCs w:val="24"/>
        </w:rPr>
        <w:t xml:space="preserve">. </w:t>
      </w:r>
      <w:proofErr w:type="spellStart"/>
      <w:r w:rsidRPr="00C34B58">
        <w:rPr>
          <w:rFonts w:ascii="Times New Roman" w:eastAsia="Times New Roman" w:hAnsi="Times New Roman" w:cs="Times New Roman"/>
          <w:sz w:val="24"/>
          <w:szCs w:val="24"/>
        </w:rPr>
        <w:t>doi:</w:t>
      </w:r>
      <w:hyperlink r:id="rId17">
        <w:r w:rsidR="0035538E" w:rsidRPr="00C34B58">
          <w:rPr>
            <w:rFonts w:ascii="Times New Roman" w:eastAsia="Times New Roman" w:hAnsi="Times New Roman" w:cs="Times New Roman"/>
            <w:sz w:val="24"/>
            <w:szCs w:val="24"/>
            <w:u w:val="single"/>
          </w:rPr>
          <w:t>https</w:t>
        </w:r>
        <w:proofErr w:type="spellEnd"/>
        <w:r w:rsidR="0035538E" w:rsidRPr="00C34B58">
          <w:rPr>
            <w:rFonts w:ascii="Times New Roman" w:eastAsia="Times New Roman" w:hAnsi="Times New Roman" w:cs="Times New Roman"/>
            <w:sz w:val="24"/>
            <w:szCs w:val="24"/>
            <w:u w:val="single"/>
          </w:rPr>
          <w:t>://onlinelibrary.wiley.com/doi/abs/10.1002/bse.3438</w:t>
        </w:r>
      </w:hyperlink>
      <w:r w:rsidRPr="00C34B58">
        <w:rPr>
          <w:rFonts w:ascii="Times New Roman" w:eastAsia="Times New Roman" w:hAnsi="Times New Roman" w:cs="Times New Roman"/>
          <w:sz w:val="24"/>
          <w:szCs w:val="24"/>
        </w:rPr>
        <w:t xml:space="preserve">. </w:t>
      </w:r>
    </w:p>
    <w:p w14:paraId="65373ACC"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proofErr w:type="spellStart"/>
      <w:r w:rsidRPr="00C34B58">
        <w:rPr>
          <w:rFonts w:ascii="Times New Roman" w:eastAsia="Times New Roman" w:hAnsi="Times New Roman" w:cs="Times New Roman"/>
          <w:sz w:val="24"/>
          <w:szCs w:val="24"/>
        </w:rPr>
        <w:t>Ardiansyah</w:t>
      </w:r>
      <w:proofErr w:type="spellEnd"/>
      <w:r w:rsidRPr="00C34B58">
        <w:rPr>
          <w:rFonts w:ascii="Times New Roman" w:eastAsia="Times New Roman" w:hAnsi="Times New Roman" w:cs="Times New Roman"/>
          <w:sz w:val="24"/>
          <w:szCs w:val="24"/>
        </w:rPr>
        <w:t xml:space="preserve">, M. and Alnoor, A. (2024). Integrating Corporate Social Responsibility into Business Strategy: Creating Sustainable Value. </w:t>
      </w:r>
      <w:r w:rsidRPr="00C34B58">
        <w:rPr>
          <w:rFonts w:ascii="Times New Roman" w:eastAsia="Times New Roman" w:hAnsi="Times New Roman" w:cs="Times New Roman"/>
          <w:i/>
          <w:iCs/>
          <w:sz w:val="24"/>
          <w:szCs w:val="24"/>
        </w:rPr>
        <w:t>Involvement International Journal of Business</w:t>
      </w:r>
      <w:r w:rsidRPr="00C34B58">
        <w:rPr>
          <w:rFonts w:ascii="Times New Roman" w:eastAsia="Times New Roman" w:hAnsi="Times New Roman" w:cs="Times New Roman"/>
          <w:sz w:val="24"/>
          <w:szCs w:val="24"/>
        </w:rPr>
        <w:t>, 1(1), pp.28–41. doi:</w:t>
      </w:r>
      <w:hyperlink r:id="rId18">
        <w:r w:rsidR="0035538E" w:rsidRPr="00C34B58">
          <w:rPr>
            <w:rFonts w:ascii="Times New Roman" w:eastAsia="Times New Roman" w:hAnsi="Times New Roman" w:cs="Times New Roman"/>
            <w:sz w:val="24"/>
            <w:szCs w:val="24"/>
            <w:u w:val="single"/>
          </w:rPr>
          <w:t>https://ejournal.agungmediapublisher.com/index.php/iijb/article/download/5/5</w:t>
        </w:r>
      </w:hyperlink>
      <w:r w:rsidRPr="00C34B58">
        <w:rPr>
          <w:rFonts w:ascii="Times New Roman" w:eastAsia="Times New Roman" w:hAnsi="Times New Roman" w:cs="Times New Roman"/>
          <w:sz w:val="24"/>
          <w:szCs w:val="24"/>
        </w:rPr>
        <w:t xml:space="preserve">. </w:t>
      </w:r>
    </w:p>
    <w:p w14:paraId="12D79541"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proofErr w:type="spellStart"/>
      <w:r w:rsidRPr="00C34B58">
        <w:rPr>
          <w:rFonts w:ascii="Times New Roman" w:eastAsia="Times New Roman" w:hAnsi="Times New Roman" w:cs="Times New Roman"/>
          <w:sz w:val="24"/>
          <w:szCs w:val="24"/>
        </w:rPr>
        <w:t>Arhinful</w:t>
      </w:r>
      <w:proofErr w:type="spellEnd"/>
      <w:r w:rsidRPr="00C34B58">
        <w:rPr>
          <w:rFonts w:ascii="Times New Roman" w:eastAsia="Times New Roman" w:hAnsi="Times New Roman" w:cs="Times New Roman"/>
          <w:sz w:val="24"/>
          <w:szCs w:val="24"/>
        </w:rPr>
        <w:t xml:space="preserve">, R., Mensah, L., Amin, M., Obeng, H.A. and Gyamfi, B.A. (2025). The Strategic Role of Sustainable Finance in Corporate Reputation: A Signaling Theory Perspective. </w:t>
      </w:r>
      <w:r w:rsidRPr="00C34B58">
        <w:rPr>
          <w:rFonts w:ascii="Times New Roman" w:eastAsia="Times New Roman" w:hAnsi="Times New Roman" w:cs="Times New Roman"/>
          <w:i/>
          <w:iCs/>
          <w:sz w:val="24"/>
          <w:szCs w:val="24"/>
        </w:rPr>
        <w:t>Sustainability</w:t>
      </w:r>
      <w:r w:rsidRPr="00C34B58">
        <w:rPr>
          <w:rFonts w:ascii="Times New Roman" w:eastAsia="Times New Roman" w:hAnsi="Times New Roman" w:cs="Times New Roman"/>
          <w:sz w:val="24"/>
          <w:szCs w:val="24"/>
        </w:rPr>
        <w:t>, [online] 17(11), pp.5002–5002. doi:</w:t>
      </w:r>
      <w:hyperlink r:id="rId19">
        <w:r w:rsidR="0035538E" w:rsidRPr="00C34B58">
          <w:rPr>
            <w:rFonts w:ascii="Times New Roman" w:eastAsia="Times New Roman" w:hAnsi="Times New Roman" w:cs="Times New Roman"/>
            <w:sz w:val="24"/>
            <w:szCs w:val="24"/>
            <w:u w:val="single"/>
          </w:rPr>
          <w:t>https://www.mdpi.com/2071-1050/17/11/5002</w:t>
        </w:r>
      </w:hyperlink>
      <w:r w:rsidRPr="00C34B58">
        <w:rPr>
          <w:rFonts w:ascii="Times New Roman" w:eastAsia="Times New Roman" w:hAnsi="Times New Roman" w:cs="Times New Roman"/>
          <w:sz w:val="24"/>
          <w:szCs w:val="24"/>
        </w:rPr>
        <w:t xml:space="preserve">. </w:t>
      </w:r>
    </w:p>
    <w:p w14:paraId="73859CBA"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Bell, S. (2023). The write algorithm: Promoting responsible artificial intelligence usage and accountability in academic writing. </w:t>
      </w:r>
      <w:r w:rsidRPr="00C34B58">
        <w:rPr>
          <w:rFonts w:ascii="Times New Roman" w:eastAsia="Times New Roman" w:hAnsi="Times New Roman" w:cs="Times New Roman"/>
          <w:i/>
          <w:iCs/>
          <w:sz w:val="24"/>
          <w:szCs w:val="24"/>
        </w:rPr>
        <w:t>BMC Medicine</w:t>
      </w:r>
      <w:r w:rsidRPr="00C34B58">
        <w:rPr>
          <w:rFonts w:ascii="Times New Roman" w:eastAsia="Times New Roman" w:hAnsi="Times New Roman" w:cs="Times New Roman"/>
          <w:sz w:val="24"/>
          <w:szCs w:val="24"/>
        </w:rPr>
        <w:t>, 21(1). doi:</w:t>
      </w:r>
      <w:hyperlink r:id="rId20">
        <w:r w:rsidR="0035538E" w:rsidRPr="00C34B58">
          <w:rPr>
            <w:rFonts w:ascii="Times New Roman" w:eastAsia="Times New Roman" w:hAnsi="Times New Roman" w:cs="Times New Roman"/>
            <w:sz w:val="24"/>
            <w:szCs w:val="24"/>
            <w:u w:val="single"/>
          </w:rPr>
          <w:t>https://link.springer.com/article/10.1186/s12916-023-03039-7</w:t>
        </w:r>
      </w:hyperlink>
      <w:r w:rsidRPr="00C34B58">
        <w:rPr>
          <w:rFonts w:ascii="Times New Roman" w:eastAsia="Times New Roman" w:hAnsi="Times New Roman" w:cs="Times New Roman"/>
          <w:sz w:val="24"/>
          <w:szCs w:val="24"/>
        </w:rPr>
        <w:t xml:space="preserve">. </w:t>
      </w:r>
    </w:p>
    <w:p w14:paraId="67DA7BA9"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Bhat, M., Agrawal, A. and Barmpas, M.V. (2024). Differentiation, Cost Leadership, or Ending Up in the Middle? . </w:t>
      </w:r>
      <w:r w:rsidRPr="00C34B58">
        <w:rPr>
          <w:rFonts w:ascii="Times New Roman" w:eastAsia="Times New Roman" w:hAnsi="Times New Roman" w:cs="Times New Roman"/>
          <w:i/>
          <w:iCs/>
          <w:sz w:val="24"/>
          <w:szCs w:val="24"/>
        </w:rPr>
        <w:t>Athens Journal of Business &amp; Economics</w:t>
      </w:r>
      <w:r w:rsidRPr="00C34B58">
        <w:rPr>
          <w:rFonts w:ascii="Times New Roman" w:eastAsia="Times New Roman" w:hAnsi="Times New Roman" w:cs="Times New Roman"/>
          <w:sz w:val="24"/>
          <w:szCs w:val="24"/>
        </w:rPr>
        <w:t xml:space="preserve">, [online] 10(3), pp.217–238. Available at: </w:t>
      </w:r>
      <w:hyperlink r:id="rId21">
        <w:r w:rsidR="0035538E" w:rsidRPr="00C34B58">
          <w:rPr>
            <w:rFonts w:ascii="Times New Roman" w:eastAsia="Times New Roman" w:hAnsi="Times New Roman" w:cs="Times New Roman"/>
            <w:sz w:val="24"/>
            <w:szCs w:val="24"/>
            <w:u w:val="single"/>
          </w:rPr>
          <w:t>https://www.athensjournals.gr/business/2024-10-3-3-Bhat.pdf</w:t>
        </w:r>
      </w:hyperlink>
      <w:r w:rsidRPr="00C34B58">
        <w:rPr>
          <w:rFonts w:ascii="Times New Roman" w:eastAsia="Times New Roman" w:hAnsi="Times New Roman" w:cs="Times New Roman"/>
          <w:sz w:val="24"/>
          <w:szCs w:val="24"/>
        </w:rPr>
        <w:t xml:space="preserve"> </w:t>
      </w:r>
    </w:p>
    <w:p w14:paraId="43C6F868"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BHP (2024). </w:t>
      </w:r>
      <w:r w:rsidRPr="00C34B58">
        <w:rPr>
          <w:rFonts w:ascii="Times New Roman" w:eastAsia="Times New Roman" w:hAnsi="Times New Roman" w:cs="Times New Roman"/>
          <w:i/>
          <w:iCs/>
          <w:sz w:val="24"/>
          <w:szCs w:val="24"/>
        </w:rPr>
        <w:t>Annual report 2024</w:t>
      </w:r>
      <w:r w:rsidRPr="00C34B58">
        <w:rPr>
          <w:rFonts w:ascii="Times New Roman" w:eastAsia="Times New Roman" w:hAnsi="Times New Roman" w:cs="Times New Roman"/>
          <w:sz w:val="24"/>
          <w:szCs w:val="24"/>
        </w:rPr>
        <w:t xml:space="preserve">. [online] Available at: </w:t>
      </w:r>
      <w:hyperlink r:id="rId22">
        <w:r w:rsidR="0035538E" w:rsidRPr="00C34B58">
          <w:rPr>
            <w:rFonts w:ascii="Times New Roman" w:eastAsia="Times New Roman" w:hAnsi="Times New Roman" w:cs="Times New Roman"/>
            <w:sz w:val="24"/>
            <w:szCs w:val="24"/>
            <w:u w:val="single"/>
          </w:rPr>
          <w:t>https://www.bhp.com/-/media/documents/investors/annual-reports/2024/240827_bhpannualreport2024.pdf</w:t>
        </w:r>
      </w:hyperlink>
      <w:r w:rsidRPr="00C34B58">
        <w:rPr>
          <w:rFonts w:ascii="Times New Roman" w:eastAsia="Times New Roman" w:hAnsi="Times New Roman" w:cs="Times New Roman"/>
          <w:sz w:val="24"/>
          <w:szCs w:val="24"/>
        </w:rPr>
        <w:t xml:space="preserve">  [Accessed 7 July 2026].</w:t>
      </w:r>
    </w:p>
    <w:p w14:paraId="43348AD8"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BHP (2025). </w:t>
      </w:r>
      <w:r w:rsidRPr="00C34B58">
        <w:rPr>
          <w:rFonts w:ascii="Times New Roman" w:eastAsia="Times New Roman" w:hAnsi="Times New Roman" w:cs="Times New Roman"/>
          <w:i/>
          <w:iCs/>
          <w:sz w:val="24"/>
          <w:szCs w:val="24"/>
        </w:rPr>
        <w:t>Future Resources | BHP</w:t>
      </w:r>
      <w:r w:rsidRPr="00C34B58">
        <w:rPr>
          <w:rFonts w:ascii="Times New Roman" w:eastAsia="Times New Roman" w:hAnsi="Times New Roman" w:cs="Times New Roman"/>
          <w:sz w:val="24"/>
          <w:szCs w:val="24"/>
        </w:rPr>
        <w:t xml:space="preserve">. [online] Bhp.com. Available at: </w:t>
      </w:r>
      <w:hyperlink r:id="rId23">
        <w:r w:rsidR="0035538E" w:rsidRPr="00C34B58">
          <w:rPr>
            <w:rFonts w:ascii="Times New Roman" w:eastAsia="Times New Roman" w:hAnsi="Times New Roman" w:cs="Times New Roman"/>
            <w:sz w:val="24"/>
            <w:szCs w:val="24"/>
            <w:u w:val="single"/>
          </w:rPr>
          <w:t>https://www.bhp.com/about/futureresources</w:t>
        </w:r>
      </w:hyperlink>
      <w:r w:rsidRPr="00C34B58">
        <w:rPr>
          <w:rFonts w:ascii="Times New Roman" w:eastAsia="Times New Roman" w:hAnsi="Times New Roman" w:cs="Times New Roman"/>
          <w:sz w:val="24"/>
          <w:szCs w:val="24"/>
        </w:rPr>
        <w:t xml:space="preserve">  [Accessed 8 July 2026].</w:t>
      </w:r>
    </w:p>
    <w:p w14:paraId="51BF4ADF"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BHP (2026). </w:t>
      </w:r>
      <w:r w:rsidRPr="00C34B58">
        <w:rPr>
          <w:rFonts w:ascii="Times New Roman" w:eastAsia="Times New Roman" w:hAnsi="Times New Roman" w:cs="Times New Roman"/>
          <w:i/>
          <w:iCs/>
          <w:sz w:val="24"/>
          <w:szCs w:val="24"/>
        </w:rPr>
        <w:t>Modifying the blast furnace route for lower carbon intensity steelmaking</w:t>
      </w:r>
      <w:r w:rsidRPr="00C34B58">
        <w:rPr>
          <w:rFonts w:ascii="Times New Roman" w:eastAsia="Times New Roman" w:hAnsi="Times New Roman" w:cs="Times New Roman"/>
          <w:sz w:val="24"/>
          <w:szCs w:val="24"/>
        </w:rPr>
        <w:t xml:space="preserve">. [online] Bhp.com. Available at: </w:t>
      </w:r>
      <w:hyperlink r:id="rId24">
        <w:r w:rsidR="0035538E" w:rsidRPr="00C34B58">
          <w:rPr>
            <w:rFonts w:ascii="Times New Roman" w:eastAsia="Times New Roman" w:hAnsi="Times New Roman" w:cs="Times New Roman"/>
            <w:sz w:val="24"/>
            <w:szCs w:val="24"/>
            <w:u w:val="single"/>
          </w:rPr>
          <w:t>https://www.bhp.com/news/bhp-insights/2026/06/modifying-the-blast-furnace-route-for-lower-carbon-intensity-steelmaking</w:t>
        </w:r>
      </w:hyperlink>
      <w:r w:rsidRPr="00C34B58">
        <w:rPr>
          <w:rFonts w:ascii="Times New Roman" w:eastAsia="Times New Roman" w:hAnsi="Times New Roman" w:cs="Times New Roman"/>
          <w:sz w:val="24"/>
          <w:szCs w:val="24"/>
        </w:rPr>
        <w:t xml:space="preserve">  [Accessed 6 July 2026].</w:t>
      </w:r>
    </w:p>
    <w:p w14:paraId="32A83503"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Chen, S.-L. and Chen, K.-L. (2023). Exploring the Impact of Technological Innovation on the Development of Electric Vehicles on the Bibliometric Perspective of Innovation Types. </w:t>
      </w:r>
      <w:r w:rsidRPr="00C34B58">
        <w:rPr>
          <w:rFonts w:ascii="Times New Roman" w:eastAsia="Times New Roman" w:hAnsi="Times New Roman" w:cs="Times New Roman"/>
          <w:i/>
          <w:iCs/>
          <w:sz w:val="24"/>
          <w:szCs w:val="24"/>
        </w:rPr>
        <w:t>World Electric Vehicle Journal</w:t>
      </w:r>
      <w:r w:rsidRPr="00C34B58">
        <w:rPr>
          <w:rFonts w:ascii="Times New Roman" w:eastAsia="Times New Roman" w:hAnsi="Times New Roman" w:cs="Times New Roman"/>
          <w:sz w:val="24"/>
          <w:szCs w:val="24"/>
        </w:rPr>
        <w:t>, [online] 14(7), pp.191–191. doi:</w:t>
      </w:r>
      <w:hyperlink r:id="rId25">
        <w:r w:rsidR="0035538E" w:rsidRPr="00C34B58">
          <w:rPr>
            <w:rFonts w:ascii="Times New Roman" w:eastAsia="Times New Roman" w:hAnsi="Times New Roman" w:cs="Times New Roman"/>
            <w:sz w:val="24"/>
            <w:szCs w:val="24"/>
            <w:u w:val="single"/>
          </w:rPr>
          <w:t>https://www.mdpi.com/2032-6653/14/7/191</w:t>
        </w:r>
      </w:hyperlink>
      <w:r w:rsidRPr="00C34B58">
        <w:rPr>
          <w:rFonts w:ascii="Times New Roman" w:eastAsia="Times New Roman" w:hAnsi="Times New Roman" w:cs="Times New Roman"/>
          <w:sz w:val="24"/>
          <w:szCs w:val="24"/>
        </w:rPr>
        <w:t xml:space="preserve">. </w:t>
      </w:r>
    </w:p>
    <w:p w14:paraId="7A06926C"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Chen, X. and Khan, M.R. (2025). A Juxtaposition of Autonomous Haulage Systems in China and Australia: Technological, Economic, and Social Perspectives. </w:t>
      </w:r>
      <w:r w:rsidRPr="00C34B58">
        <w:rPr>
          <w:rFonts w:ascii="Times New Roman" w:eastAsia="Times New Roman" w:hAnsi="Times New Roman" w:cs="Times New Roman"/>
          <w:i/>
          <w:iCs/>
          <w:sz w:val="24"/>
          <w:szCs w:val="24"/>
        </w:rPr>
        <w:t>Mining, Metallurgy &amp;amp; Exploration</w:t>
      </w:r>
      <w:r w:rsidRPr="00C34B58">
        <w:rPr>
          <w:rFonts w:ascii="Times New Roman" w:eastAsia="Times New Roman" w:hAnsi="Times New Roman" w:cs="Times New Roman"/>
          <w:sz w:val="24"/>
          <w:szCs w:val="24"/>
        </w:rPr>
        <w:t xml:space="preserve">, 4(1). doi:10.1007/s42461-025-01394-y. </w:t>
      </w:r>
    </w:p>
    <w:p w14:paraId="692C2D5F"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Faig Gasimov, Williams, R.A. and </w:t>
      </w:r>
      <w:proofErr w:type="spellStart"/>
      <w:r w:rsidRPr="00C34B58">
        <w:rPr>
          <w:rFonts w:ascii="Times New Roman" w:eastAsia="Times New Roman" w:hAnsi="Times New Roman" w:cs="Times New Roman"/>
          <w:sz w:val="24"/>
          <w:szCs w:val="24"/>
        </w:rPr>
        <w:t>Krishanan</w:t>
      </w:r>
      <w:proofErr w:type="spellEnd"/>
      <w:r w:rsidRPr="00C34B58">
        <w:rPr>
          <w:rFonts w:ascii="Times New Roman" w:eastAsia="Times New Roman" w:hAnsi="Times New Roman" w:cs="Times New Roman"/>
          <w:sz w:val="24"/>
          <w:szCs w:val="24"/>
        </w:rPr>
        <w:t xml:space="preserve">, M.G. (2025). Key pathways towards sustainable processing of critical minerals. </w:t>
      </w:r>
      <w:r w:rsidRPr="00C34B58">
        <w:rPr>
          <w:rFonts w:ascii="Times New Roman" w:eastAsia="Times New Roman" w:hAnsi="Times New Roman" w:cs="Times New Roman"/>
          <w:i/>
          <w:iCs/>
          <w:sz w:val="24"/>
          <w:szCs w:val="24"/>
        </w:rPr>
        <w:t>Minerals Engineering</w:t>
      </w:r>
      <w:r w:rsidRPr="00C34B58">
        <w:rPr>
          <w:rFonts w:ascii="Times New Roman" w:eastAsia="Times New Roman" w:hAnsi="Times New Roman" w:cs="Times New Roman"/>
          <w:sz w:val="24"/>
          <w:szCs w:val="24"/>
        </w:rPr>
        <w:t>, 233(3), pp.109644–109644. doi:</w:t>
      </w:r>
      <w:hyperlink r:id="rId26">
        <w:r w:rsidR="0035538E" w:rsidRPr="00C34B58">
          <w:rPr>
            <w:rFonts w:ascii="Times New Roman" w:eastAsia="Times New Roman" w:hAnsi="Times New Roman" w:cs="Times New Roman"/>
            <w:sz w:val="24"/>
            <w:szCs w:val="24"/>
            <w:u w:val="single"/>
          </w:rPr>
          <w:t>https://www.sciencedirect.com/science/article/pii/S0892687525004728</w:t>
        </w:r>
      </w:hyperlink>
      <w:r w:rsidRPr="00C34B58">
        <w:rPr>
          <w:rFonts w:ascii="Times New Roman" w:eastAsia="Times New Roman" w:hAnsi="Times New Roman" w:cs="Times New Roman"/>
          <w:sz w:val="24"/>
          <w:szCs w:val="24"/>
        </w:rPr>
        <w:t xml:space="preserve">. </w:t>
      </w:r>
    </w:p>
    <w:p w14:paraId="5ED58454"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Hodge, R.A., Ericsson, M., Löf, O., Löf, A. and </w:t>
      </w:r>
      <w:proofErr w:type="spellStart"/>
      <w:r w:rsidRPr="00C34B58">
        <w:rPr>
          <w:rFonts w:ascii="Times New Roman" w:eastAsia="Times New Roman" w:hAnsi="Times New Roman" w:cs="Times New Roman"/>
          <w:sz w:val="24"/>
          <w:szCs w:val="24"/>
        </w:rPr>
        <w:t>Semkowich</w:t>
      </w:r>
      <w:proofErr w:type="spellEnd"/>
      <w:r w:rsidRPr="00C34B58">
        <w:rPr>
          <w:rFonts w:ascii="Times New Roman" w:eastAsia="Times New Roman" w:hAnsi="Times New Roman" w:cs="Times New Roman"/>
          <w:sz w:val="24"/>
          <w:szCs w:val="24"/>
        </w:rPr>
        <w:t xml:space="preserve">, P. (2022). The global mining industry: Corporate profile, complexity, and change. </w:t>
      </w:r>
      <w:r w:rsidRPr="00C34B58">
        <w:rPr>
          <w:rFonts w:ascii="Times New Roman" w:eastAsia="Times New Roman" w:hAnsi="Times New Roman" w:cs="Times New Roman"/>
          <w:i/>
          <w:iCs/>
          <w:sz w:val="24"/>
          <w:szCs w:val="24"/>
        </w:rPr>
        <w:t>Mineral Economics</w:t>
      </w:r>
      <w:r w:rsidRPr="00C34B58">
        <w:rPr>
          <w:rFonts w:ascii="Times New Roman" w:eastAsia="Times New Roman" w:hAnsi="Times New Roman" w:cs="Times New Roman"/>
          <w:sz w:val="24"/>
          <w:szCs w:val="24"/>
        </w:rPr>
        <w:t>, 35. doi:</w:t>
      </w:r>
      <w:hyperlink r:id="rId27">
        <w:r w:rsidR="0035538E" w:rsidRPr="00C34B58">
          <w:rPr>
            <w:rFonts w:ascii="Times New Roman" w:eastAsia="Times New Roman" w:hAnsi="Times New Roman" w:cs="Times New Roman"/>
            <w:sz w:val="24"/>
            <w:szCs w:val="24"/>
            <w:u w:val="single"/>
          </w:rPr>
          <w:t>https://link.springer.com/article/10.1007/s13563-022-00343-1</w:t>
        </w:r>
      </w:hyperlink>
      <w:r w:rsidRPr="00C34B58">
        <w:rPr>
          <w:rFonts w:ascii="Times New Roman" w:eastAsia="Times New Roman" w:hAnsi="Times New Roman" w:cs="Times New Roman"/>
          <w:sz w:val="24"/>
          <w:szCs w:val="24"/>
        </w:rPr>
        <w:t xml:space="preserve">. </w:t>
      </w:r>
    </w:p>
    <w:p w14:paraId="40427D28"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IEA (2025). </w:t>
      </w:r>
      <w:r w:rsidRPr="00C34B58">
        <w:rPr>
          <w:rFonts w:ascii="Times New Roman" w:eastAsia="Times New Roman" w:hAnsi="Times New Roman" w:cs="Times New Roman"/>
          <w:i/>
          <w:iCs/>
          <w:sz w:val="24"/>
          <w:szCs w:val="24"/>
        </w:rPr>
        <w:t>Mineral requirements for clean energy transitions – The Role of Critical Minerals in Clean Energy Transitions</w:t>
      </w:r>
      <w:r w:rsidRPr="00C34B58">
        <w:rPr>
          <w:rFonts w:ascii="Times New Roman" w:eastAsia="Times New Roman" w:hAnsi="Times New Roman" w:cs="Times New Roman"/>
          <w:sz w:val="24"/>
          <w:szCs w:val="24"/>
        </w:rPr>
        <w:t xml:space="preserve">. [online] IEA. Available at: </w:t>
      </w:r>
      <w:hyperlink r:id="rId28">
        <w:r w:rsidR="0035538E" w:rsidRPr="00C34B58">
          <w:rPr>
            <w:rFonts w:ascii="Times New Roman" w:eastAsia="Times New Roman" w:hAnsi="Times New Roman" w:cs="Times New Roman"/>
            <w:sz w:val="24"/>
            <w:szCs w:val="24"/>
            <w:u w:val="single"/>
          </w:rPr>
          <w:t>https://www.iea.org/reports/the-role-of-critical-minerals-in-clean-energy-transitions/mineral-requirements-for-clean-energy-transitions</w:t>
        </w:r>
      </w:hyperlink>
      <w:r w:rsidRPr="00C34B58">
        <w:rPr>
          <w:rFonts w:ascii="Times New Roman" w:eastAsia="Times New Roman" w:hAnsi="Times New Roman" w:cs="Times New Roman"/>
          <w:sz w:val="24"/>
          <w:szCs w:val="24"/>
        </w:rPr>
        <w:t xml:space="preserve">  [Accessed 7 July 2026].</w:t>
      </w:r>
    </w:p>
    <w:p w14:paraId="51C83DEC"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Khalid, F., Sun, J., Guo, J. and Srivastava, M. (2023). Green corporate image: Assessing the effects of climate change management practices on corporate reputation. </w:t>
      </w:r>
      <w:r w:rsidRPr="00C34B58">
        <w:rPr>
          <w:rFonts w:ascii="Times New Roman" w:eastAsia="Times New Roman" w:hAnsi="Times New Roman" w:cs="Times New Roman"/>
          <w:i/>
          <w:iCs/>
          <w:sz w:val="24"/>
          <w:szCs w:val="24"/>
        </w:rPr>
        <w:t>Corporate Social Responsibility and Environmental Management</w:t>
      </w:r>
      <w:r w:rsidRPr="00C34B58">
        <w:rPr>
          <w:rFonts w:ascii="Times New Roman" w:eastAsia="Times New Roman" w:hAnsi="Times New Roman" w:cs="Times New Roman"/>
          <w:sz w:val="24"/>
          <w:szCs w:val="24"/>
        </w:rPr>
        <w:t>. doi:</w:t>
      </w:r>
      <w:hyperlink r:id="rId29">
        <w:r w:rsidR="0035538E" w:rsidRPr="00C34B58">
          <w:rPr>
            <w:rFonts w:ascii="Times New Roman" w:eastAsia="Times New Roman" w:hAnsi="Times New Roman" w:cs="Times New Roman"/>
            <w:sz w:val="24"/>
            <w:szCs w:val="24"/>
            <w:u w:val="single"/>
          </w:rPr>
          <w:t>https://www.researchgate.net/profile/Fahad-Khalid-5/publication/375025034_Green_corporate_image_Assessing_the_effects_of_climate_change_management_practices_on_corporate_reputation/links/6551d5e93fa26f66f4fbf312/Green-corporate-image-Assessing-the-effects-of-climate-change-management-practices-on-corporate-reputation.pdf</w:t>
        </w:r>
      </w:hyperlink>
      <w:r w:rsidRPr="00C34B58">
        <w:rPr>
          <w:rFonts w:ascii="Times New Roman" w:eastAsia="Times New Roman" w:hAnsi="Times New Roman" w:cs="Times New Roman"/>
          <w:sz w:val="24"/>
          <w:szCs w:val="24"/>
        </w:rPr>
        <w:t xml:space="preserve"> </w:t>
      </w:r>
    </w:p>
    <w:p w14:paraId="09FC7123"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Knaus, C. and Morton, A. (2026). </w:t>
      </w:r>
      <w:r w:rsidRPr="00C34B58">
        <w:rPr>
          <w:rFonts w:ascii="Times New Roman" w:eastAsia="Times New Roman" w:hAnsi="Times New Roman" w:cs="Times New Roman"/>
          <w:i/>
          <w:iCs/>
          <w:sz w:val="24"/>
          <w:szCs w:val="24"/>
        </w:rPr>
        <w:t>Revealed: The internal BHP memo that slammed the brakes on world’s biggest miner’s climate push</w:t>
      </w:r>
      <w:r w:rsidRPr="00C34B58">
        <w:rPr>
          <w:rFonts w:ascii="Times New Roman" w:eastAsia="Times New Roman" w:hAnsi="Times New Roman" w:cs="Times New Roman"/>
          <w:sz w:val="24"/>
          <w:szCs w:val="24"/>
        </w:rPr>
        <w:t xml:space="preserve">. [online] The Guardian. Available at: </w:t>
      </w:r>
      <w:hyperlink r:id="rId30">
        <w:r w:rsidR="0035538E" w:rsidRPr="00C34B58">
          <w:rPr>
            <w:rFonts w:ascii="Times New Roman" w:eastAsia="Times New Roman" w:hAnsi="Times New Roman" w:cs="Times New Roman"/>
            <w:sz w:val="24"/>
            <w:szCs w:val="24"/>
            <w:u w:val="single"/>
          </w:rPr>
          <w:t>https://www.theguardian.com/world/ng-interactive/2026/may/25/bhp-files-internal-memo-revealed</w:t>
        </w:r>
      </w:hyperlink>
      <w:r w:rsidRPr="00C34B58">
        <w:rPr>
          <w:rFonts w:ascii="Times New Roman" w:eastAsia="Times New Roman" w:hAnsi="Times New Roman" w:cs="Times New Roman"/>
          <w:sz w:val="24"/>
          <w:szCs w:val="24"/>
        </w:rPr>
        <w:t xml:space="preserve">  [Accessed 6 July 2026].</w:t>
      </w:r>
    </w:p>
    <w:p w14:paraId="348CFC7F"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Long, W., Luo, Le, Sun, H. and Zhong, Q. (2022). Does going abroad lead to going green? Firm outward foreign direct investment and domestic environmental performance. </w:t>
      </w:r>
      <w:r w:rsidRPr="00C34B58">
        <w:rPr>
          <w:rFonts w:ascii="Times New Roman" w:eastAsia="Times New Roman" w:hAnsi="Times New Roman" w:cs="Times New Roman"/>
          <w:i/>
          <w:iCs/>
          <w:sz w:val="24"/>
          <w:szCs w:val="24"/>
        </w:rPr>
        <w:t>Business Strategy and the Environment</w:t>
      </w:r>
      <w:r w:rsidRPr="00C34B58">
        <w:rPr>
          <w:rFonts w:ascii="Times New Roman" w:eastAsia="Times New Roman" w:hAnsi="Times New Roman" w:cs="Times New Roman"/>
          <w:sz w:val="24"/>
          <w:szCs w:val="24"/>
        </w:rPr>
        <w:t xml:space="preserve">. </w:t>
      </w:r>
      <w:proofErr w:type="spellStart"/>
      <w:r w:rsidRPr="00C34B58">
        <w:rPr>
          <w:rFonts w:ascii="Times New Roman" w:eastAsia="Times New Roman" w:hAnsi="Times New Roman" w:cs="Times New Roman"/>
          <w:sz w:val="24"/>
          <w:szCs w:val="24"/>
        </w:rPr>
        <w:t>doi:</w:t>
      </w:r>
      <w:hyperlink r:id="rId31">
        <w:r w:rsidR="0035538E" w:rsidRPr="00C34B58">
          <w:rPr>
            <w:rFonts w:ascii="Times New Roman" w:eastAsia="Times New Roman" w:hAnsi="Times New Roman" w:cs="Times New Roman"/>
            <w:sz w:val="24"/>
            <w:szCs w:val="24"/>
            <w:u w:val="single"/>
          </w:rPr>
          <w:t>https</w:t>
        </w:r>
        <w:proofErr w:type="spellEnd"/>
        <w:r w:rsidR="0035538E" w:rsidRPr="00C34B58">
          <w:rPr>
            <w:rFonts w:ascii="Times New Roman" w:eastAsia="Times New Roman" w:hAnsi="Times New Roman" w:cs="Times New Roman"/>
            <w:sz w:val="24"/>
            <w:szCs w:val="24"/>
            <w:u w:val="single"/>
          </w:rPr>
          <w:t>://onlinelibrary.wiley.com/doi/pdf/10.1002/bse.3156</w:t>
        </w:r>
      </w:hyperlink>
      <w:r w:rsidRPr="00C34B58">
        <w:rPr>
          <w:rFonts w:ascii="Times New Roman" w:eastAsia="Times New Roman" w:hAnsi="Times New Roman" w:cs="Times New Roman"/>
          <w:sz w:val="24"/>
          <w:szCs w:val="24"/>
        </w:rPr>
        <w:t xml:space="preserve">. </w:t>
      </w:r>
    </w:p>
    <w:p w14:paraId="1FBF5121"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Mani, A., Budd, T. and Maine, E. (2024). Emissions-Intensive and Trade-Exposed Industries: Technological Innovation and Climate Policy Solutions to Achieve Net-Zero Emissions by 2050. </w:t>
      </w:r>
      <w:r w:rsidRPr="00C34B58">
        <w:rPr>
          <w:rFonts w:ascii="Times New Roman" w:eastAsia="Times New Roman" w:hAnsi="Times New Roman" w:cs="Times New Roman"/>
          <w:i/>
          <w:iCs/>
          <w:sz w:val="24"/>
          <w:szCs w:val="24"/>
        </w:rPr>
        <w:t>RSC Sustainability</w:t>
      </w:r>
      <w:r w:rsidRPr="00C34B58">
        <w:rPr>
          <w:rFonts w:ascii="Times New Roman" w:eastAsia="Times New Roman" w:hAnsi="Times New Roman" w:cs="Times New Roman"/>
          <w:sz w:val="24"/>
          <w:szCs w:val="24"/>
        </w:rPr>
        <w:t>, 3. doi:</w:t>
      </w:r>
      <w:hyperlink r:id="rId32">
        <w:r w:rsidR="0035538E" w:rsidRPr="00C34B58">
          <w:rPr>
            <w:rFonts w:ascii="Times New Roman" w:eastAsia="Times New Roman" w:hAnsi="Times New Roman" w:cs="Times New Roman"/>
            <w:sz w:val="24"/>
            <w:szCs w:val="24"/>
            <w:u w:val="single"/>
          </w:rPr>
          <w:t>https://pubs.rsc.org/en/content/articlehtml/2024/su/d3su00335c</w:t>
        </w:r>
      </w:hyperlink>
      <w:r w:rsidRPr="00C34B58">
        <w:rPr>
          <w:rFonts w:ascii="Times New Roman" w:eastAsia="Times New Roman" w:hAnsi="Times New Roman" w:cs="Times New Roman"/>
          <w:sz w:val="24"/>
          <w:szCs w:val="24"/>
        </w:rPr>
        <w:t xml:space="preserve">. </w:t>
      </w:r>
    </w:p>
    <w:p w14:paraId="09983349"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Noor, R. (2026). Decarbonization Performance of the Australian Extractive Industry: A Cross-State Comparative Analysis. </w:t>
      </w:r>
      <w:r w:rsidRPr="00C34B58">
        <w:rPr>
          <w:rFonts w:ascii="Times New Roman" w:eastAsia="Times New Roman" w:hAnsi="Times New Roman" w:cs="Times New Roman"/>
          <w:i/>
          <w:iCs/>
          <w:sz w:val="24"/>
          <w:szCs w:val="24"/>
        </w:rPr>
        <w:t>The Extractive Industries and Society</w:t>
      </w:r>
      <w:r w:rsidRPr="00C34B58">
        <w:rPr>
          <w:rFonts w:ascii="Times New Roman" w:eastAsia="Times New Roman" w:hAnsi="Times New Roman" w:cs="Times New Roman"/>
          <w:sz w:val="24"/>
          <w:szCs w:val="24"/>
        </w:rPr>
        <w:t>, 26, p.101883. doi:</w:t>
      </w:r>
      <w:hyperlink r:id="rId33">
        <w:r w:rsidR="0035538E" w:rsidRPr="00C34B58">
          <w:rPr>
            <w:rFonts w:ascii="Times New Roman" w:eastAsia="Times New Roman" w:hAnsi="Times New Roman" w:cs="Times New Roman"/>
            <w:sz w:val="24"/>
            <w:szCs w:val="24"/>
            <w:u w:val="single"/>
          </w:rPr>
          <w:t>https://www.sciencedirect.com/science/article/pii/S2214790X26000341</w:t>
        </w:r>
      </w:hyperlink>
      <w:r w:rsidRPr="00C34B58">
        <w:rPr>
          <w:rFonts w:ascii="Times New Roman" w:eastAsia="Times New Roman" w:hAnsi="Times New Roman" w:cs="Times New Roman"/>
          <w:sz w:val="24"/>
          <w:szCs w:val="24"/>
        </w:rPr>
        <w:t xml:space="preserve">. </w:t>
      </w:r>
    </w:p>
    <w:p w14:paraId="2EF43842"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Puyt, R.W., Antoniou, P.H. and Caputo, A. (2024). The Ansoff archive: Revisiting Ansoff’s legacy and the holistic approach to strategic management. </w:t>
      </w:r>
      <w:r w:rsidRPr="00C34B58">
        <w:rPr>
          <w:rFonts w:ascii="Times New Roman" w:eastAsia="Times New Roman" w:hAnsi="Times New Roman" w:cs="Times New Roman"/>
          <w:i/>
          <w:iCs/>
          <w:sz w:val="24"/>
          <w:szCs w:val="24"/>
        </w:rPr>
        <w:t>Strategic Change</w:t>
      </w:r>
      <w:r w:rsidRPr="00C34B58">
        <w:rPr>
          <w:rFonts w:ascii="Times New Roman" w:eastAsia="Times New Roman" w:hAnsi="Times New Roman" w:cs="Times New Roman"/>
          <w:sz w:val="24"/>
          <w:szCs w:val="24"/>
        </w:rPr>
        <w:t xml:space="preserve">, [online] 33(6), pp.513–518. </w:t>
      </w:r>
      <w:proofErr w:type="spellStart"/>
      <w:r w:rsidRPr="00C34B58">
        <w:rPr>
          <w:rFonts w:ascii="Times New Roman" w:eastAsia="Times New Roman" w:hAnsi="Times New Roman" w:cs="Times New Roman"/>
          <w:sz w:val="24"/>
          <w:szCs w:val="24"/>
        </w:rPr>
        <w:t>doi:</w:t>
      </w:r>
      <w:hyperlink r:id="rId34">
        <w:r w:rsidR="0035538E" w:rsidRPr="00C34B58">
          <w:rPr>
            <w:rFonts w:ascii="Times New Roman" w:eastAsia="Times New Roman" w:hAnsi="Times New Roman" w:cs="Times New Roman"/>
            <w:sz w:val="24"/>
            <w:szCs w:val="24"/>
            <w:u w:val="single"/>
          </w:rPr>
          <w:t>https</w:t>
        </w:r>
        <w:proofErr w:type="spellEnd"/>
        <w:r w:rsidR="0035538E" w:rsidRPr="00C34B58">
          <w:rPr>
            <w:rFonts w:ascii="Times New Roman" w:eastAsia="Times New Roman" w:hAnsi="Times New Roman" w:cs="Times New Roman"/>
            <w:sz w:val="24"/>
            <w:szCs w:val="24"/>
            <w:u w:val="single"/>
          </w:rPr>
          <w:t>://onlinelibrary.wiley.com/doi/abs/10.1002/jsc.2600</w:t>
        </w:r>
      </w:hyperlink>
      <w:r w:rsidRPr="00C34B58">
        <w:rPr>
          <w:rFonts w:ascii="Times New Roman" w:eastAsia="Times New Roman" w:hAnsi="Times New Roman" w:cs="Times New Roman"/>
          <w:sz w:val="24"/>
          <w:szCs w:val="24"/>
        </w:rPr>
        <w:t xml:space="preserve">. </w:t>
      </w:r>
    </w:p>
    <w:p w14:paraId="6A1F136A"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S&amp;P (2026). </w:t>
      </w:r>
      <w:r w:rsidRPr="00C34B58">
        <w:rPr>
          <w:rFonts w:ascii="Times New Roman" w:eastAsia="Times New Roman" w:hAnsi="Times New Roman" w:cs="Times New Roman"/>
          <w:i/>
          <w:iCs/>
          <w:sz w:val="24"/>
          <w:szCs w:val="24"/>
        </w:rPr>
        <w:t>Copper in the Age of AI | S&amp;P Global</w:t>
      </w:r>
      <w:r w:rsidRPr="00C34B58">
        <w:rPr>
          <w:rFonts w:ascii="Times New Roman" w:eastAsia="Times New Roman" w:hAnsi="Times New Roman" w:cs="Times New Roman"/>
          <w:sz w:val="24"/>
          <w:szCs w:val="24"/>
        </w:rPr>
        <w:t xml:space="preserve">. [online] S&amp;P Global. Available at: </w:t>
      </w:r>
      <w:hyperlink r:id="rId35">
        <w:r w:rsidR="0035538E" w:rsidRPr="00C34B58">
          <w:rPr>
            <w:rFonts w:ascii="Times New Roman" w:eastAsia="Times New Roman" w:hAnsi="Times New Roman" w:cs="Times New Roman"/>
            <w:sz w:val="24"/>
            <w:szCs w:val="24"/>
            <w:u w:val="single"/>
          </w:rPr>
          <w:t>https://www.spglobal.com/en/research-insights/special-reports/copper-in-the-age-of-ai</w:t>
        </w:r>
      </w:hyperlink>
      <w:r w:rsidRPr="00C34B58">
        <w:rPr>
          <w:rFonts w:ascii="Times New Roman" w:eastAsia="Times New Roman" w:hAnsi="Times New Roman" w:cs="Times New Roman"/>
          <w:sz w:val="24"/>
          <w:szCs w:val="24"/>
        </w:rPr>
        <w:t xml:space="preserve">  [Accessed 6 July 2026].</w:t>
      </w:r>
    </w:p>
    <w:p w14:paraId="4538C8BC"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Sarfraz, M., Ozturk, I., Yoo, S., Raza, M.A. and Han, H. (2023). Toward a new understanding of environmental and financial performance through corporate social responsibility, green innovation, and sustainable development. </w:t>
      </w:r>
      <w:r w:rsidRPr="00C34B58">
        <w:rPr>
          <w:rFonts w:ascii="Times New Roman" w:eastAsia="Times New Roman" w:hAnsi="Times New Roman" w:cs="Times New Roman"/>
          <w:i/>
          <w:iCs/>
          <w:sz w:val="24"/>
          <w:szCs w:val="24"/>
        </w:rPr>
        <w:t>Humanities and Social Sciences Communications</w:t>
      </w:r>
      <w:r w:rsidRPr="00C34B58">
        <w:rPr>
          <w:rFonts w:ascii="Times New Roman" w:eastAsia="Times New Roman" w:hAnsi="Times New Roman" w:cs="Times New Roman"/>
          <w:sz w:val="24"/>
          <w:szCs w:val="24"/>
        </w:rPr>
        <w:t>, [online] 10(1), pp.1–17. doi:</w:t>
      </w:r>
      <w:hyperlink r:id="rId36">
        <w:r w:rsidR="0035538E" w:rsidRPr="00C34B58">
          <w:rPr>
            <w:rFonts w:ascii="Times New Roman" w:eastAsia="Times New Roman" w:hAnsi="Times New Roman" w:cs="Times New Roman"/>
            <w:sz w:val="24"/>
            <w:szCs w:val="24"/>
            <w:u w:val="single"/>
          </w:rPr>
          <w:t>https://www.nature.com/articles/s41599-023-01799-4</w:t>
        </w:r>
      </w:hyperlink>
      <w:r w:rsidRPr="00C34B58">
        <w:rPr>
          <w:rFonts w:ascii="Times New Roman" w:eastAsia="Times New Roman" w:hAnsi="Times New Roman" w:cs="Times New Roman"/>
          <w:sz w:val="24"/>
          <w:szCs w:val="24"/>
        </w:rPr>
        <w:t xml:space="preserve">. </w:t>
      </w:r>
    </w:p>
    <w:p w14:paraId="2E79BE79"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Sari, R. and Muslim, M. (2024). Corporate Transparency and Environmental Reporting: Trends and Benefits. </w:t>
      </w:r>
      <w:proofErr w:type="spellStart"/>
      <w:r w:rsidRPr="00C34B58">
        <w:rPr>
          <w:rFonts w:ascii="Times New Roman" w:eastAsia="Times New Roman" w:hAnsi="Times New Roman" w:cs="Times New Roman"/>
          <w:i/>
          <w:iCs/>
          <w:sz w:val="24"/>
          <w:szCs w:val="24"/>
        </w:rPr>
        <w:t>Amkop</w:t>
      </w:r>
      <w:proofErr w:type="spellEnd"/>
      <w:r w:rsidRPr="00C34B58">
        <w:rPr>
          <w:rFonts w:ascii="Times New Roman" w:eastAsia="Times New Roman" w:hAnsi="Times New Roman" w:cs="Times New Roman"/>
          <w:i/>
          <w:iCs/>
          <w:sz w:val="24"/>
          <w:szCs w:val="24"/>
        </w:rPr>
        <w:t xml:space="preserve"> Management Accounting Review (AMAR)</w:t>
      </w:r>
      <w:r w:rsidRPr="00C34B58">
        <w:rPr>
          <w:rFonts w:ascii="Times New Roman" w:eastAsia="Times New Roman" w:hAnsi="Times New Roman" w:cs="Times New Roman"/>
          <w:sz w:val="24"/>
          <w:szCs w:val="24"/>
        </w:rPr>
        <w:t>, 4(1), pp.1–18. doi:</w:t>
      </w:r>
      <w:hyperlink r:id="rId37">
        <w:r w:rsidR="0035538E" w:rsidRPr="00C34B58">
          <w:rPr>
            <w:rFonts w:ascii="Times New Roman" w:eastAsia="Times New Roman" w:hAnsi="Times New Roman" w:cs="Times New Roman"/>
            <w:sz w:val="24"/>
            <w:szCs w:val="24"/>
            <w:u w:val="single"/>
          </w:rPr>
          <w:t>https://ojs.stieamkop.ac.id/index.php/amar/article/download/1448/1024</w:t>
        </w:r>
      </w:hyperlink>
      <w:r w:rsidRPr="00C34B58">
        <w:rPr>
          <w:rFonts w:ascii="Times New Roman" w:eastAsia="Times New Roman" w:hAnsi="Times New Roman" w:cs="Times New Roman"/>
          <w:sz w:val="24"/>
          <w:szCs w:val="24"/>
        </w:rPr>
        <w:t xml:space="preserve">. </w:t>
      </w:r>
    </w:p>
    <w:p w14:paraId="0F8CEA32"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Sasu (2025). </w:t>
      </w:r>
      <w:r w:rsidRPr="00C34B58">
        <w:rPr>
          <w:rFonts w:ascii="Times New Roman" w:eastAsia="Times New Roman" w:hAnsi="Times New Roman" w:cs="Times New Roman"/>
          <w:i/>
          <w:iCs/>
          <w:sz w:val="24"/>
          <w:szCs w:val="24"/>
        </w:rPr>
        <w:t xml:space="preserve">Australia: Largest metals and mining company by market cap </w:t>
      </w:r>
      <w:r w:rsidRPr="00C34B58">
        <w:rPr>
          <w:rFonts w:ascii="Times New Roman" w:eastAsia="Times New Roman" w:hAnsi="Times New Roman" w:cs="Times New Roman"/>
          <w:sz w:val="24"/>
          <w:szCs w:val="24"/>
        </w:rPr>
        <w:t xml:space="preserve">. [online] Statista. Available at: </w:t>
      </w:r>
      <w:hyperlink r:id="rId38">
        <w:r w:rsidR="0035538E" w:rsidRPr="00C34B58">
          <w:rPr>
            <w:rFonts w:ascii="Times New Roman" w:eastAsia="Times New Roman" w:hAnsi="Times New Roman" w:cs="Times New Roman"/>
            <w:sz w:val="24"/>
            <w:szCs w:val="24"/>
            <w:u w:val="single"/>
          </w:rPr>
          <w:t>https://www.statista.com/statistics/1241687/australia-largest-metal-mining-companies-by-market-capitalization/</w:t>
        </w:r>
      </w:hyperlink>
      <w:r w:rsidRPr="00C34B58">
        <w:rPr>
          <w:rFonts w:ascii="Times New Roman" w:eastAsia="Times New Roman" w:hAnsi="Times New Roman" w:cs="Times New Roman"/>
          <w:sz w:val="24"/>
          <w:szCs w:val="24"/>
        </w:rPr>
        <w:t xml:space="preserve">  [Accessed 10 July 2026].</w:t>
      </w:r>
    </w:p>
    <w:p w14:paraId="2C014985"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Statista (2025). </w:t>
      </w:r>
      <w:r w:rsidRPr="00C34B58">
        <w:rPr>
          <w:rFonts w:ascii="Times New Roman" w:eastAsia="Times New Roman" w:hAnsi="Times New Roman" w:cs="Times New Roman"/>
          <w:i/>
          <w:iCs/>
          <w:sz w:val="24"/>
          <w:szCs w:val="24"/>
        </w:rPr>
        <w:t xml:space="preserve">BHP operational greenhouse gas emissions </w:t>
      </w:r>
      <w:r w:rsidRPr="00C34B58">
        <w:rPr>
          <w:rFonts w:ascii="Times New Roman" w:eastAsia="Times New Roman" w:hAnsi="Times New Roman" w:cs="Times New Roman"/>
          <w:sz w:val="24"/>
          <w:szCs w:val="24"/>
        </w:rPr>
        <w:t xml:space="preserve">. [online] Statista. Available at: </w:t>
      </w:r>
      <w:hyperlink r:id="rId39">
        <w:r w:rsidR="0035538E" w:rsidRPr="00C34B58">
          <w:rPr>
            <w:rFonts w:ascii="Times New Roman" w:eastAsia="Times New Roman" w:hAnsi="Times New Roman" w:cs="Times New Roman"/>
            <w:sz w:val="24"/>
            <w:szCs w:val="24"/>
            <w:u w:val="single"/>
          </w:rPr>
          <w:t>https://www.statista.com/statistics/1407581/bhp-operational-emissions-of-greenhouse-gases/</w:t>
        </w:r>
      </w:hyperlink>
      <w:r w:rsidRPr="00C34B58">
        <w:rPr>
          <w:rFonts w:ascii="Times New Roman" w:eastAsia="Times New Roman" w:hAnsi="Times New Roman" w:cs="Times New Roman"/>
          <w:sz w:val="24"/>
          <w:szCs w:val="24"/>
        </w:rPr>
        <w:t xml:space="preserve">   [Accessed 7 July 2026].</w:t>
      </w:r>
    </w:p>
    <w:p w14:paraId="486E467D"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Statista (2026). </w:t>
      </w:r>
      <w:r w:rsidRPr="00C34B58">
        <w:rPr>
          <w:rFonts w:ascii="Times New Roman" w:eastAsia="Times New Roman" w:hAnsi="Times New Roman" w:cs="Times New Roman"/>
          <w:i/>
          <w:iCs/>
          <w:sz w:val="24"/>
          <w:szCs w:val="24"/>
        </w:rPr>
        <w:t xml:space="preserve">Global energy transition investments </w:t>
      </w:r>
      <w:r w:rsidRPr="00C34B58">
        <w:rPr>
          <w:rFonts w:ascii="Times New Roman" w:eastAsia="Times New Roman" w:hAnsi="Times New Roman" w:cs="Times New Roman"/>
          <w:sz w:val="24"/>
          <w:szCs w:val="24"/>
        </w:rPr>
        <w:t xml:space="preserve">. [online] Statista. Available at: </w:t>
      </w:r>
      <w:hyperlink r:id="rId40">
        <w:r w:rsidR="0035538E" w:rsidRPr="00C34B58">
          <w:rPr>
            <w:rFonts w:ascii="Times New Roman" w:eastAsia="Times New Roman" w:hAnsi="Times New Roman" w:cs="Times New Roman"/>
            <w:sz w:val="24"/>
            <w:szCs w:val="24"/>
            <w:u w:val="single"/>
          </w:rPr>
          <w:t>https://www.statista.com/statistics/1201435/global-investment-in-energy-transition/</w:t>
        </w:r>
      </w:hyperlink>
      <w:r w:rsidRPr="00C34B58">
        <w:rPr>
          <w:rFonts w:ascii="Times New Roman" w:eastAsia="Times New Roman" w:hAnsi="Times New Roman" w:cs="Times New Roman"/>
          <w:sz w:val="24"/>
          <w:szCs w:val="24"/>
        </w:rPr>
        <w:t xml:space="preserve">  [Accessed 8 July 2026].</w:t>
      </w:r>
    </w:p>
    <w:p w14:paraId="4992F4B6" w14:textId="77777777" w:rsidR="0035538E" w:rsidRPr="00C34B58" w:rsidRDefault="00F17BA4" w:rsidP="0021330B">
      <w:pPr>
        <w:spacing w:after="240" w:line="360" w:lineRule="auto"/>
        <w:jc w:val="both"/>
        <w:rPr>
          <w:rFonts w:ascii="Times New Roman" w:eastAsia="Times New Roman" w:hAnsi="Times New Roman" w:cs="Times New Roman"/>
          <w:sz w:val="24"/>
          <w:szCs w:val="24"/>
        </w:rPr>
      </w:pPr>
      <w:r w:rsidRPr="00C34B58">
        <w:rPr>
          <w:rFonts w:ascii="Times New Roman" w:eastAsia="Times New Roman" w:hAnsi="Times New Roman" w:cs="Times New Roman"/>
          <w:sz w:val="24"/>
          <w:szCs w:val="24"/>
        </w:rPr>
        <w:t xml:space="preserve">Stille, L. (2026). </w:t>
      </w:r>
      <w:r w:rsidRPr="00C34B58">
        <w:rPr>
          <w:rFonts w:ascii="Times New Roman" w:eastAsia="Times New Roman" w:hAnsi="Times New Roman" w:cs="Times New Roman"/>
          <w:i/>
          <w:iCs/>
          <w:sz w:val="24"/>
          <w:szCs w:val="24"/>
        </w:rPr>
        <w:t>The World’s Biggest Energy Bet Is No Longer on Fossil Fuels</w:t>
      </w:r>
      <w:r w:rsidRPr="00C34B58">
        <w:rPr>
          <w:rFonts w:ascii="Times New Roman" w:eastAsia="Times New Roman" w:hAnsi="Times New Roman" w:cs="Times New Roman"/>
          <w:sz w:val="24"/>
          <w:szCs w:val="24"/>
        </w:rPr>
        <w:t xml:space="preserve">. [online] Yahoo Finance. Available at: </w:t>
      </w:r>
      <w:hyperlink r:id="rId41">
        <w:r w:rsidR="0035538E" w:rsidRPr="00C34B58">
          <w:rPr>
            <w:rFonts w:ascii="Times New Roman" w:eastAsia="Times New Roman" w:hAnsi="Times New Roman" w:cs="Times New Roman"/>
            <w:sz w:val="24"/>
            <w:szCs w:val="24"/>
            <w:u w:val="single"/>
          </w:rPr>
          <w:t>https://finance.yahoo.com/energy/articles/worlds-biggest-energy-bet-no-210000953.html</w:t>
        </w:r>
      </w:hyperlink>
      <w:r w:rsidRPr="00C34B58">
        <w:rPr>
          <w:rFonts w:ascii="Times New Roman" w:eastAsia="Times New Roman" w:hAnsi="Times New Roman" w:cs="Times New Roman"/>
          <w:sz w:val="24"/>
          <w:szCs w:val="24"/>
        </w:rPr>
        <w:t xml:space="preserve">  [Accessed 10 July 2026].</w:t>
      </w:r>
    </w:p>
    <w:p w14:paraId="25C2D903" w14:textId="77777777" w:rsidR="0035538E" w:rsidRPr="00C34B58" w:rsidRDefault="0035538E" w:rsidP="0021330B">
      <w:pPr>
        <w:spacing w:line="360" w:lineRule="auto"/>
        <w:jc w:val="both"/>
        <w:rPr>
          <w:rFonts w:ascii="Times New Roman" w:eastAsia="Times New Roman" w:hAnsi="Times New Roman" w:cs="Times New Roman"/>
          <w:sz w:val="24"/>
          <w:szCs w:val="24"/>
        </w:rPr>
      </w:pPr>
    </w:p>
    <w:sectPr w:rsidR="0035538E" w:rsidRPr="00C34B58" w:rsidSect="0021330B">
      <w:footerReference w:type="default" r:id="rId4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FFF2A" w14:textId="77777777" w:rsidR="00C565DB" w:rsidRDefault="00C565DB">
      <w:pPr>
        <w:spacing w:line="240" w:lineRule="auto"/>
      </w:pPr>
      <w:r>
        <w:separator/>
      </w:r>
    </w:p>
  </w:endnote>
  <w:endnote w:type="continuationSeparator" w:id="0">
    <w:p w14:paraId="749890C0" w14:textId="77777777" w:rsidR="00C565DB" w:rsidRDefault="00C565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FA7BD79F-4B8D-40CD-812E-31FE324E3ABE}"/>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97038" w14:textId="77777777" w:rsidR="0035538E" w:rsidRDefault="00F17BA4">
    <w:pPr>
      <w:jc w:val="right"/>
    </w:pPr>
    <w:r>
      <w:fldChar w:fldCharType="begin"/>
    </w:r>
    <w:r>
      <w:instrText>PAGE</w:instrText>
    </w:r>
    <w:r>
      <w:fldChar w:fldCharType="separate"/>
    </w:r>
    <w:r w:rsidR="0021330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9D273" w14:textId="77777777" w:rsidR="00C565DB" w:rsidRDefault="00C565DB">
      <w:pPr>
        <w:spacing w:line="240" w:lineRule="auto"/>
      </w:pPr>
      <w:r>
        <w:separator/>
      </w:r>
    </w:p>
  </w:footnote>
  <w:footnote w:type="continuationSeparator" w:id="0">
    <w:p w14:paraId="62FD9E94" w14:textId="77777777" w:rsidR="00C565DB" w:rsidRDefault="00C565D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B2E26"/>
    <w:multiLevelType w:val="multilevel"/>
    <w:tmpl w:val="6B60BDA2"/>
    <w:lvl w:ilvl="0">
      <w:start w:val="1"/>
      <w:numFmt w:val="lowerLetter"/>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1364163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38E"/>
    <w:rsid w:val="0021330B"/>
    <w:rsid w:val="00316204"/>
    <w:rsid w:val="00355009"/>
    <w:rsid w:val="0035538E"/>
    <w:rsid w:val="004254E9"/>
    <w:rsid w:val="00567691"/>
    <w:rsid w:val="006A755F"/>
    <w:rsid w:val="008033FE"/>
    <w:rsid w:val="00BF5ED9"/>
    <w:rsid w:val="00C34B58"/>
    <w:rsid w:val="00C565DB"/>
    <w:rsid w:val="00E6381A"/>
    <w:rsid w:val="00E7489A"/>
    <w:rsid w:val="00F17BA4"/>
    <w:rsid w:val="00F54DB8"/>
    <w:rsid w:val="00F6489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5E1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spacing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316204"/>
    <w:pPr>
      <w:tabs>
        <w:tab w:val="center" w:pos="4513"/>
        <w:tab w:val="right" w:pos="9026"/>
      </w:tabs>
      <w:spacing w:line="240" w:lineRule="auto"/>
    </w:pPr>
  </w:style>
  <w:style w:type="character" w:customStyle="1" w:styleId="HeaderChar">
    <w:name w:val="Header Char"/>
    <w:basedOn w:val="DefaultParagraphFont"/>
    <w:link w:val="Header"/>
    <w:uiPriority w:val="99"/>
    <w:rsid w:val="00316204"/>
  </w:style>
  <w:style w:type="paragraph" w:styleId="Footer">
    <w:name w:val="footer"/>
    <w:basedOn w:val="Normal"/>
    <w:link w:val="FooterChar"/>
    <w:uiPriority w:val="99"/>
    <w:unhideWhenUsed/>
    <w:rsid w:val="00316204"/>
    <w:pPr>
      <w:tabs>
        <w:tab w:val="center" w:pos="4513"/>
        <w:tab w:val="right" w:pos="9026"/>
      </w:tabs>
      <w:spacing w:line="240" w:lineRule="auto"/>
    </w:pPr>
  </w:style>
  <w:style w:type="character" w:customStyle="1" w:styleId="FooterChar">
    <w:name w:val="Footer Char"/>
    <w:basedOn w:val="DefaultParagraphFont"/>
    <w:link w:val="Footer"/>
    <w:uiPriority w:val="99"/>
    <w:rsid w:val="00316204"/>
  </w:style>
  <w:style w:type="paragraph" w:styleId="TOC1">
    <w:name w:val="toc 1"/>
    <w:basedOn w:val="Normal"/>
    <w:next w:val="Normal"/>
    <w:autoRedefine/>
    <w:uiPriority w:val="39"/>
    <w:unhideWhenUsed/>
    <w:rsid w:val="00567691"/>
    <w:pPr>
      <w:spacing w:after="100"/>
    </w:pPr>
  </w:style>
  <w:style w:type="paragraph" w:styleId="TOC2">
    <w:name w:val="toc 2"/>
    <w:basedOn w:val="Normal"/>
    <w:next w:val="Normal"/>
    <w:autoRedefine/>
    <w:uiPriority w:val="39"/>
    <w:unhideWhenUsed/>
    <w:rsid w:val="00567691"/>
    <w:pPr>
      <w:spacing w:after="100"/>
      <w:ind w:left="220"/>
    </w:pPr>
  </w:style>
  <w:style w:type="paragraph" w:styleId="TOC3">
    <w:name w:val="toc 3"/>
    <w:basedOn w:val="Normal"/>
    <w:next w:val="Normal"/>
    <w:autoRedefine/>
    <w:uiPriority w:val="39"/>
    <w:unhideWhenUsed/>
    <w:rsid w:val="00567691"/>
    <w:pPr>
      <w:spacing w:after="100"/>
      <w:ind w:left="440"/>
    </w:pPr>
  </w:style>
  <w:style w:type="character" w:styleId="Hyperlink">
    <w:name w:val="Hyperlink"/>
    <w:basedOn w:val="DefaultParagraphFont"/>
    <w:uiPriority w:val="99"/>
    <w:unhideWhenUsed/>
    <w:rsid w:val="0056769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ejournal.agungmediapublisher.com/index.php/iijb/article/download/5/5" TargetMode="External" /><Relationship Id="rId26" Type="http://schemas.openxmlformats.org/officeDocument/2006/relationships/hyperlink" Target="https://www.sciencedirect.com/science/article/pii/S0892687525004728" TargetMode="External" /><Relationship Id="rId39" Type="http://schemas.openxmlformats.org/officeDocument/2006/relationships/hyperlink" Target="https://www.statista.com/statistics/1407581/bhp-operational-emissions-of-greenhouse-gases/" TargetMode="External" /><Relationship Id="rId3" Type="http://schemas.openxmlformats.org/officeDocument/2006/relationships/styles" Target="styles.xml" /><Relationship Id="rId21" Type="http://schemas.openxmlformats.org/officeDocument/2006/relationships/hyperlink" Target="https://www.athensjournals.gr/business/2024-10-3-3-Bhat.pdf" TargetMode="External" /><Relationship Id="rId34" Type="http://schemas.openxmlformats.org/officeDocument/2006/relationships/hyperlink" Target="https://onlinelibrary.wiley.com/doi/abs/10.1002/jsc.2600" TargetMode="External" /><Relationship Id="rId42"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hyperlink" Target="https://onlinelibrary.wiley.com/doi/abs/10.1002/bse.3438" TargetMode="External" /><Relationship Id="rId25" Type="http://schemas.openxmlformats.org/officeDocument/2006/relationships/hyperlink" Target="https://www.mdpi.com/2032-6653/14/7/191" TargetMode="External" /><Relationship Id="rId33" Type="http://schemas.openxmlformats.org/officeDocument/2006/relationships/hyperlink" Target="https://www.sciencedirect.com/science/article/pii/S2214790X26000341" TargetMode="External" /><Relationship Id="rId38" Type="http://schemas.openxmlformats.org/officeDocument/2006/relationships/hyperlink" Target="https://www.statista.com/statistics/1241687/australia-largest-metal-mining-companies-by-market-capitalization/" TargetMode="External" /><Relationship Id="rId2" Type="http://schemas.openxmlformats.org/officeDocument/2006/relationships/numbering" Target="numbering.xml" /><Relationship Id="rId16" Type="http://schemas.openxmlformats.org/officeDocument/2006/relationships/hyperlink" Target="https://new.abb.com/news/detail/120586/abb-study-reveals-70-percent-of-mining-leaders-believe-significant-decarbonization-can-be-achieved-with-existing-technologies" TargetMode="External" /><Relationship Id="rId20" Type="http://schemas.openxmlformats.org/officeDocument/2006/relationships/hyperlink" Target="https://link.springer.com/article/10.1186/s12916-023-03039-7" TargetMode="External" /><Relationship Id="rId29" Type="http://schemas.openxmlformats.org/officeDocument/2006/relationships/hyperlink" Target="https://www.researchgate.net/profile/Fahad-Khalid-5/publication/375025034_Green_corporate_image_Assessing_the_effects_of_climate_change_management_practices_on_corporate_reputation/links/6551d5e93fa26f66f4fbf312/Green-corporate-image-Assessing-the-effects-of-climate-change-management-practices-on-corporate-reputation.pdf" TargetMode="External" /><Relationship Id="rId41" Type="http://schemas.openxmlformats.org/officeDocument/2006/relationships/hyperlink" Target="https://finance.yahoo.com/energy/articles/worlds-biggest-energy-bet-no-210000953.html"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bhp.com/news/bhp-insights/2026/06/modifying-the-blast-furnace-route-for-lower-carbon-intensity-steelmaking" TargetMode="External" /><Relationship Id="rId32" Type="http://schemas.openxmlformats.org/officeDocument/2006/relationships/hyperlink" Target="https://pubs.rsc.org/en/content/articlehtml/2024/su/d3su00335c" TargetMode="External" /><Relationship Id="rId37" Type="http://schemas.openxmlformats.org/officeDocument/2006/relationships/hyperlink" Target="https://ojs.stieamkop.ac.id/index.php/amar/article/download/1448/1024" TargetMode="External" /><Relationship Id="rId40" Type="http://schemas.openxmlformats.org/officeDocument/2006/relationships/hyperlink" Target="https://www.statista.com/statistics/1201435/global-investment-in-energy-transition/" TargetMode="External" /><Relationship Id="rId5" Type="http://schemas.openxmlformats.org/officeDocument/2006/relationships/webSettings" Target="webSettings.xml" /><Relationship Id="rId15" Type="http://schemas.openxmlformats.org/officeDocument/2006/relationships/hyperlink" Target="https://sensorsportal.com/html/st_journal/pdf_files/p_3371.pdf" TargetMode="External" /><Relationship Id="rId23" Type="http://schemas.openxmlformats.org/officeDocument/2006/relationships/hyperlink" Target="https://www.bhp.com/about/futureresources" TargetMode="External" /><Relationship Id="rId28" Type="http://schemas.openxmlformats.org/officeDocument/2006/relationships/hyperlink" Target="https://www.iea.org/reports/the-role-of-critical-minerals-in-clean-energy-transitions/mineral-requirements-for-clean-energy-transitions" TargetMode="External" /><Relationship Id="rId36" Type="http://schemas.openxmlformats.org/officeDocument/2006/relationships/hyperlink" Target="https://www.nature.com/articles/s41599-023-01799-4" TargetMode="External" /><Relationship Id="rId10" Type="http://schemas.openxmlformats.org/officeDocument/2006/relationships/image" Target="media/image3.png" /><Relationship Id="rId19" Type="http://schemas.openxmlformats.org/officeDocument/2006/relationships/hyperlink" Target="https://www.mdpi.com/2071-1050/17/11/5002" TargetMode="External" /><Relationship Id="rId31" Type="http://schemas.openxmlformats.org/officeDocument/2006/relationships/hyperlink" Target="https://onlinelibrary.wiley.com/doi/pdf/10.1002/bse.3156" TargetMode="External" /><Relationship Id="rId44"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bhp.com/-/media/documents/investors/annual-reports/2024/240827_bhpannualreport2024.pdf" TargetMode="External" /><Relationship Id="rId27" Type="http://schemas.openxmlformats.org/officeDocument/2006/relationships/hyperlink" Target="https://link.springer.com/article/10.1007/s13563-022-00343-1" TargetMode="External" /><Relationship Id="rId30" Type="http://schemas.openxmlformats.org/officeDocument/2006/relationships/hyperlink" Target="https://www.theguardian.com/world/ng-interactive/2026/may/25/bhp-files-internal-memo-revealed" TargetMode="External" /><Relationship Id="rId35" Type="http://schemas.openxmlformats.org/officeDocument/2006/relationships/hyperlink" Target="https://www.spglobal.com/en/research-insights/special-reports/copper-in-the-age-of-ai" TargetMode="External" /><Relationship Id="rId43" Type="http://schemas.openxmlformats.org/officeDocument/2006/relationships/fontTable" Target="fontTable.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VEtpbY82l3ONN11BFKefqVZ8HCQ==">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4944</Words>
  <Characters>28183</Characters>
  <Application>Microsoft Office Word</Application>
  <DocSecurity>0</DocSecurity>
  <Lines>234</Lines>
  <Paragraphs>66</Paragraphs>
  <ScaleCrop>false</ScaleCrop>
  <Company/>
  <LinksUpToDate>false</LinksUpToDate>
  <CharactersWithSpaces>33061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2026-07-23T19:49:00Z</dcterms:created>
  <dcterms:modified xsi:type="dcterms:W3CDTF">2026-07-23T19:49:00Z</dcterms:modified>
</cp:coreProperties>
</file>