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eastAsiaTheme="minorHAnsi"/>
          <w:color w:val="5B9BD5" w:themeColor="accent1"/>
          <w:lang w:val="en-GB"/>
          <w14:textFill>
            <w14:solidFill>
              <w14:schemeClr w14:val="accent1"/>
            </w14:solidFill>
          </w14:textFill>
        </w:rPr>
        <w:id w:val="-1522475554"/>
        <w:docPartObj>
          <w:docPartGallery w:val="AutoText"/>
        </w:docPartObj>
      </w:sdtPr>
      <w:sdtEndPr>
        <w:rPr>
          <w:rFonts w:asciiTheme="majorHAnsi" w:hAnsiTheme="majorHAnsi" w:eastAsiaTheme="majorEastAsia" w:cstheme="majorBidi"/>
          <w:color w:val="2E75B6" w:themeColor="accent1" w:themeShade="BF"/>
          <w:sz w:val="32"/>
          <w:szCs w:val="32"/>
          <w:lang w:val="en-GB"/>
        </w:rPr>
      </w:sdtEndPr>
      <w:sdtContent>
        <w:p>
          <w:pPr>
            <w:pStyle w:val="17"/>
            <w:spacing w:before="1540" w:after="240"/>
            <w:jc w:val="center"/>
            <w:rPr>
              <w:color w:val="5B9BD5" w:themeColor="accent1"/>
              <w14:textFill>
                <w14:solidFill>
                  <w14:schemeClr w14:val="accent1"/>
                </w14:solidFill>
              </w14:textFill>
            </w:rPr>
          </w:pPr>
          <w:bookmarkStart w:id="8" w:name="_GoBack"/>
          <w:r>
            <w:rPr>
              <w:color w:val="5B9BD5" w:themeColor="accent1"/>
              <w:lang w:val="en-GB" w:eastAsia="en-GB"/>
              <w14:textFill>
                <w14:solidFill>
                  <w14:schemeClr w14:val="accent1"/>
                </w14:solidFill>
              </w14:textFill>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End w:id="8"/>
        <w:p>
          <w:pPr>
            <w:pStyle w:val="17"/>
            <w:jc w:val="center"/>
            <w:rPr>
              <w:rFonts w:asciiTheme="majorHAnsi" w:hAnsiTheme="majorHAnsi" w:eastAsiaTheme="majorEastAsia" w:cstheme="majorBidi"/>
              <w:caps/>
              <w:color w:val="5B9BD5" w:themeColor="accent1"/>
              <w:sz w:val="72"/>
              <w:szCs w:val="72"/>
              <w14:textFill>
                <w14:solidFill>
                  <w14:schemeClr w14:val="accent1"/>
                </w14:solidFill>
              </w14:textFill>
            </w:rPr>
          </w:pPr>
          <w:r>
            <w:rPr>
              <w:rFonts w:asciiTheme="majorHAnsi" w:hAnsiTheme="majorHAnsi" w:eastAsiaTheme="majorEastAsia" w:cstheme="majorBidi"/>
              <w:caps/>
              <w:color w:val="5B9BD5" w:themeColor="accent1"/>
              <w:sz w:val="72"/>
              <w:szCs w:val="72"/>
              <w14:textFill>
                <w14:solidFill>
                  <w14:schemeClr w14:val="accent1"/>
                </w14:solidFill>
              </w14:textFill>
            </w:rPr>
            <w:t xml:space="preserve">Portal Fabrication Plc  and Troy Brands </w:t>
          </w:r>
        </w:p>
        <w:p>
          <w:pPr>
            <w:pStyle w:val="17"/>
            <w:jc w:val="center"/>
            <w:rPr>
              <w:color w:val="5B9BD5" w:themeColor="accent1"/>
              <w:sz w:val="28"/>
              <w:szCs w:val="28"/>
              <w14:textFill>
                <w14:solidFill>
                  <w14:schemeClr w14:val="accent1"/>
                </w14:solidFill>
              </w14:textFill>
            </w:rPr>
          </w:pPr>
          <w:sdt>
            <w:sdtPr>
              <w:rPr>
                <w:color w:val="5B9BD5" w:themeColor="accent1"/>
                <w:sz w:val="28"/>
                <w:szCs w:val="28"/>
                <w14:textFill>
                  <w14:solidFill>
                    <w14:schemeClr w14:val="accent1"/>
                  </w14:solidFill>
                </w14:textFill>
              </w:rPr>
              <w:alias w:val="Subtitle"/>
              <w:id w:val="328029620"/>
              <w:dataBinding w:prefixMappings="xmlns:ns0='http://purl.org/dc/elements/1.1/' xmlns:ns1='http://schemas.openxmlformats.org/package/2006/metadata/core-properties' " w:xpath="/ns1:coreProperties[1]/ns0:subject[1]" w:storeItemID="{6C3C8BC8-F283-45AE-878A-BAB7291924A1}"/>
              <w:text/>
            </w:sdtPr>
            <w:sdtEndPr>
              <w:rPr>
                <w:color w:val="5B9BD5" w:themeColor="accent1"/>
                <w:sz w:val="28"/>
                <w:szCs w:val="28"/>
                <w14:textFill>
                  <w14:solidFill>
                    <w14:schemeClr w14:val="accent1"/>
                  </w14:solidFill>
                </w14:textFill>
              </w:rPr>
            </w:sdtEndPr>
            <w:sdtContent>
              <w:r>
                <w:rPr>
                  <w:color w:val="5B9BD5" w:themeColor="accent1"/>
                  <w:sz w:val="28"/>
                  <w:szCs w:val="28"/>
                  <w14:textFill>
                    <w14:solidFill>
                      <w14:schemeClr w14:val="accent1"/>
                    </w14:solidFill>
                  </w14:textFill>
                </w:rPr>
                <w:t>Contemporary Issues in Performance Management</w:t>
              </w:r>
            </w:sdtContent>
          </w:sdt>
        </w:p>
        <w:p>
          <w:pPr>
            <w:pStyle w:val="17"/>
            <w:spacing w:before="480"/>
            <w:jc w:val="center"/>
            <w:rPr>
              <w:rFonts w:hint="eastAsia"/>
              <w:color w:val="5B9BD5" w:themeColor="accent1"/>
              <w:lang w:eastAsia="zh-CN"/>
              <w14:textFill>
                <w14:solidFill>
                  <w14:schemeClr w14:val="accent1"/>
                </w14:solidFill>
              </w14:textFill>
            </w:rPr>
          </w:pPr>
          <w:r>
            <w:rPr>
              <w:color w:val="5B9BD5" w:themeColor="accent1"/>
              <w:lang w:val="en-GB" w:eastAsia="en-GB"/>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dataBinding w:prefixMappings="xmlns:ns0='http://schemas.microsoft.com/office/2006/coverPageProps' " w:xpath="/ns0:CoverPageProperties[1]/ns0:PublishDate[1]" w:storeItemID="{55AF091B-3C7A-41E3-B477-F2FDAA23CFDA}"/>
                                  <w:date w:fullDate="2023-04-27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7"/>
                                      <w:spacing w:after="40"/>
                                      <w:jc w:val="center"/>
                                      <w:rPr>
                                        <w:caps/>
                                        <w:color w:val="5B9BD5" w:themeColor="accent1"/>
                                        <w:sz w:val="28"/>
                                        <w:szCs w:val="28"/>
                                        <w14:textFill>
                                          <w14:solidFill>
                                            <w14:schemeClr w14:val="accent1"/>
                                          </w14:solidFill>
                                        </w14:textFill>
                                      </w:rPr>
                                    </w:pPr>
                                    <w:r>
                                      <w:rPr>
                                        <w:caps/>
                                        <w:color w:val="5B9BD5" w:themeColor="accent1"/>
                                        <w:sz w:val="28"/>
                                        <w:szCs w:val="28"/>
                                        <w14:textFill>
                                          <w14:solidFill>
                                            <w14:schemeClr w14:val="accent1"/>
                                          </w14:solidFill>
                                        </w14:textFill>
                                      </w:rPr>
                                      <w:t>April 27, 2023</w:t>
                                    </w:r>
                                  </w:p>
                                </w:sdtContent>
                              </w:sdt>
                              <w:p>
                                <w:pPr>
                                  <w:pStyle w:val="17"/>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7"/>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Text Box 142" o:spid="_x0000_s1026" o:spt="202" type="#_x0000_t202" style="position:absolute;left:0pt;margin-left:72pt;margin-top:715.6pt;height:46.45pt;width:451.3pt;mso-position-horizontal-relative:page;mso-position-vertical-relative:page;z-index:251659264;v-text-anchor:bottom;mso-width-relative:margin;mso-height-relative:page;mso-width-percent:1000;" filled="f" stroked="f" coordsize="21600,21600" o:gfxdata="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JMIHEjWAAAABAEAAA8AAAAAAAAAAQAgAAAAIgAAAGRycy9kb3ducmV2LnhtbFBLAQIUABQA&#10;AAAIAIdO4kBmP0cWKwIAAGcEAAAOAAAAAAAAAAEAIAAAACUBAABkcnMvZTJvRG9jLnhtbFBLBQYA&#10;AAAABgAGAFkBAADCBQ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dataBinding w:prefixMappings="xmlns:ns0='http://schemas.microsoft.com/office/2006/coverPageProps' " w:xpath="/ns0:CoverPageProperties[1]/ns0:PublishDate[1]" w:storeItemID="{55AF091B-3C7A-41E3-B477-F2FDAA23CFDA}"/>
                            <w:date w:fullDate="2023-04-27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7"/>
                                <w:spacing w:after="40"/>
                                <w:jc w:val="center"/>
                                <w:rPr>
                                  <w:caps/>
                                  <w:color w:val="5B9BD5" w:themeColor="accent1"/>
                                  <w:sz w:val="28"/>
                                  <w:szCs w:val="28"/>
                                  <w14:textFill>
                                    <w14:solidFill>
                                      <w14:schemeClr w14:val="accent1"/>
                                    </w14:solidFill>
                                  </w14:textFill>
                                </w:rPr>
                              </w:pPr>
                              <w:r>
                                <w:rPr>
                                  <w:caps/>
                                  <w:color w:val="5B9BD5" w:themeColor="accent1"/>
                                  <w:sz w:val="28"/>
                                  <w:szCs w:val="28"/>
                                  <w14:textFill>
                                    <w14:solidFill>
                                      <w14:schemeClr w14:val="accent1"/>
                                    </w14:solidFill>
                                  </w14:textFill>
                                </w:rPr>
                                <w:t>April 27, 2023</w:t>
                              </w:r>
                            </w:p>
                          </w:sdtContent>
                        </w:sdt>
                        <w:p>
                          <w:pPr>
                            <w:pStyle w:val="17"/>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7"/>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r>
            <w:rPr>
              <w:color w:val="5B9BD5" w:themeColor="accent1"/>
              <w14:textFill>
                <w14:solidFill>
                  <w14:schemeClr w14:val="accent1"/>
                </w14:solidFill>
              </w14:textFill>
            </w:rPr>
            <w:softHyphen/>
          </w:r>
          <w:r>
            <w:rPr>
              <w:color w:val="5B9BD5" w:themeColor="accent1"/>
              <w:lang w:val="en-GB" w:eastAsia="en-GB"/>
              <w14:textFill>
                <w14:solidFill>
                  <w14:schemeClr w14:val="accent1"/>
                </w14:solidFill>
              </w14:textFill>
            </w:rPr>
            <w:drawing>
              <wp:inline distT="0" distB="0" distL="0" distR="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pStyle w:val="2"/>
            <w:rPr>
              <w:lang w:val="en-US" w:eastAsia="zh-CN"/>
            </w:rPr>
          </w:pPr>
          <w:r>
            <w:br w:type="page"/>
          </w:r>
          <w:bookmarkStart w:id="0" w:name="_Toc129339185"/>
          <w:r>
            <w:t>Executive Summary</w:t>
          </w:r>
          <w:bookmarkEnd w:id="0"/>
        </w:p>
        <w:p>
          <w:r>
            <w:t>Task 1</w:t>
          </w:r>
        </w:p>
        <w:p>
          <w:pPr>
            <w:rPr>
              <w:lang w:val="zh-CN"/>
            </w:rPr>
          </w:pPr>
          <w:r>
            <w:rPr>
              <w:lang w:val="zh-CN"/>
            </w:rPr>
            <w:t>Over the past five years, Portal Fabrication plc, a prominent vehicle buffing machine manufacturer, has grown due to its high-quality goods and three-year warranty. M/S and service make up the company. This paper addresses Portal Fabrication plc's three main challenges and makes solutions to improve divisional collaboration and corporate performance.</w:t>
          </w:r>
        </w:p>
        <w:p>
          <w:pPr>
            <w:rPr>
              <w:lang w:val="zh-CN"/>
            </w:rPr>
          </w:pPr>
          <w:r>
            <w:rPr>
              <w:lang w:val="zh-CN"/>
            </w:rPr>
            <w:t>Divisional Performance: Total Shareholder Return (TSR) and Return on Investment (ROI) have been questioned as performance indicators for divisional managers. The research recommends Residual Income (RI) and Economic Value Added (EVATM), which motivate managers to maximise shareholder value by taking the cost of capital into account.</w:t>
          </w:r>
        </w:p>
        <w:p>
          <w:pPr>
            <w:rPr>
              <w:lang w:val="zh-CN"/>
            </w:rPr>
          </w:pPr>
          <w:r>
            <w:rPr>
              <w:lang w:val="zh-CN"/>
            </w:rPr>
            <w:t>Transfer Pricing System: Performance evaluation and optimal decision-making require an effective transfer pricing system. The research describes transfer pricing system design requirements and assesses two methods—market price and cost plus—for computing the transfer price between the service and M/S divisions.</w:t>
          </w:r>
        </w:p>
        <w:p>
          <w:pPr>
            <w:rPr>
              <w:lang w:val="zh-CN"/>
            </w:rPr>
          </w:pPr>
          <w:r>
            <w:rPr>
              <w:lang w:val="zh-CN"/>
            </w:rPr>
            <w:t>Executive Information System (EIS): A new EIS could boost performance management at Portal Fabrication plc. The planned EIS would use a centralised database accessible from any company location for real-time input and changes. The research examines how the new EIS may affect performance management, emphasising improved decision-making, organisational alignment, and performance.</w:t>
          </w:r>
        </w:p>
        <w:p>
          <w:pPr>
            <w:rPr>
              <w:lang w:val="zh-CN"/>
            </w:rPr>
          </w:pPr>
          <w:r>
            <w:rPr>
              <w:lang w:val="zh-CN"/>
            </w:rPr>
            <w:t>In conclusion, Portal Fabrication plc faces possibilities and difficulties in improving divisional collaboration and business performance. Portal Fabrication plc can increase its market position and continue to expand and create shareholder value by tackling these crucial areas and executing the recommendations.</w:t>
          </w:r>
        </w:p>
        <w:p>
          <w:r>
            <w:t>Task 2</w:t>
          </w:r>
        </w:p>
        <w:p>
          <w:r>
            <w:t>This report provides an in-depth analysis of the growth crisis confronting London-based shoe designer and retailer Troyland Footwear Limited. In recent years, the company has encountered difficulties due to import restrictions, Brexit, and market competition. The report examines the quantitative and qualitative performance of the company using the Balanced Scorecard methodology, highlighting the company's strong and weak areas. In addition, it addresses the need for business process reengineering in order to adapt to shifting market conditions and achieve sustainable development. Key findings indicate that Troyland Footwear Limited must prioritise diversifying its product offerings, enhancing operational efficiency, and investigating alternative sourcing options in order to maintain its market share and profitability.</w:t>
          </w:r>
        </w:p>
        <w:p>
          <w:r>
            <w:t>This report's objective is to analyse the growth crisis confronting Troyland Footwear Limited and provide strategic recommendations for addressing the obstacles that impede the company's performance. The scope of the report encompasses an evaluation of the company's current market position, the impact of external factors such as import restrictions and Brexit, and the company's Balanced Scorecard-based overall performance. In addition, the report will investigate the need for business process reengineering in order to respond to shifting market conditions and enhance the company's long-term prospects.</w:t>
          </w:r>
        </w:p>
        <w:sdt>
          <w:sdtPr>
            <w:rPr>
              <w:rFonts w:asciiTheme="minorHAnsi" w:hAnsiTheme="minorHAnsi" w:eastAsiaTheme="minorHAnsi" w:cstheme="minorBidi"/>
              <w:color w:val="auto"/>
              <w:sz w:val="22"/>
              <w:szCs w:val="22"/>
              <w:lang w:val="en-GB"/>
            </w:rPr>
            <w:id w:val="-1297214018"/>
            <w:docPartObj>
              <w:docPartGallery w:val="Table of Contents"/>
              <w:docPartUnique/>
            </w:docPartObj>
          </w:sdtPr>
          <w:sdtEndPr>
            <w:rPr>
              <w:rFonts w:asciiTheme="minorHAnsi" w:hAnsiTheme="minorHAnsi" w:eastAsiaTheme="minorHAnsi" w:cstheme="minorBidi"/>
              <w:b/>
              <w:bCs/>
              <w:color w:val="auto"/>
              <w:sz w:val="22"/>
              <w:szCs w:val="22"/>
              <w:lang w:val="en-GB"/>
            </w:rPr>
          </w:sdtEndPr>
          <w:sdtContent>
            <w:p>
              <w:pPr>
                <w:pStyle w:val="20"/>
                <w:rPr>
                  <w:rFonts w:asciiTheme="minorHAnsi" w:hAnsiTheme="minorHAnsi" w:eastAsiaTheme="minorHAnsi" w:cstheme="minorBidi"/>
                  <w:color w:val="auto"/>
                  <w:sz w:val="22"/>
                  <w:szCs w:val="22"/>
                  <w:lang w:val="en-GB"/>
                </w:rPr>
              </w:pPr>
            </w:p>
            <w:p>
              <w:r>
                <w:br w:type="page"/>
              </w:r>
            </w:p>
            <w:p>
              <w:pPr>
                <w:pStyle w:val="20"/>
              </w:pPr>
              <w:r>
                <w:t>Table of Contents</w:t>
              </w:r>
            </w:p>
            <w:p>
              <w:pPr>
                <w:pStyle w:val="11"/>
                <w:tabs>
                  <w:tab w:val="right" w:leader="dot" w:pos="9016"/>
                </w:tabs>
                <w:rPr>
                  <w:rFonts w:eastAsiaTheme="minorEastAsia"/>
                  <w:sz w:val="24"/>
                  <w:szCs w:val="24"/>
                  <w:lang w:eastAsia="en-GB"/>
                </w:rPr>
              </w:pPr>
              <w:r>
                <w:fldChar w:fldCharType="begin"/>
              </w:r>
              <w:r>
                <w:instrText xml:space="preserve"> TOC \o "1-3" \h \z \u </w:instrText>
              </w:r>
              <w:r>
                <w:fldChar w:fldCharType="separate"/>
              </w:r>
              <w:r>
                <w:fldChar w:fldCharType="begin"/>
              </w:r>
              <w:r>
                <w:instrText xml:space="preserve"> HYPERLINK \l "_Toc129339185" </w:instrText>
              </w:r>
              <w:r>
                <w:fldChar w:fldCharType="separate"/>
              </w:r>
              <w:r>
                <w:rPr>
                  <w:rStyle w:val="16"/>
                </w:rPr>
                <w:t>Executive Summary</w:t>
              </w:r>
              <w:r>
                <w:tab/>
              </w:r>
              <w:r>
                <w:fldChar w:fldCharType="begin"/>
              </w:r>
              <w:r>
                <w:instrText xml:space="preserve"> PAGEREF _Toc129339185 \h </w:instrText>
              </w:r>
              <w:r>
                <w:fldChar w:fldCharType="separate"/>
              </w:r>
              <w:r>
                <w:t>1</w:t>
              </w:r>
              <w:r>
                <w:fldChar w:fldCharType="end"/>
              </w:r>
              <w:r>
                <w:fldChar w:fldCharType="end"/>
              </w:r>
            </w:p>
            <w:p>
              <w:pPr>
                <w:pStyle w:val="11"/>
                <w:tabs>
                  <w:tab w:val="right" w:leader="dot" w:pos="9016"/>
                </w:tabs>
                <w:rPr>
                  <w:rFonts w:eastAsiaTheme="minorEastAsia"/>
                  <w:sz w:val="24"/>
                  <w:szCs w:val="24"/>
                  <w:lang w:eastAsia="en-GB"/>
                </w:rPr>
              </w:pPr>
              <w:r>
                <w:fldChar w:fldCharType="begin"/>
              </w:r>
              <w:r>
                <w:instrText xml:space="preserve"> HYPERLINK \l "_Toc129339186" </w:instrText>
              </w:r>
              <w:r>
                <w:fldChar w:fldCharType="separate"/>
              </w:r>
              <w:r>
                <w:rPr>
                  <w:rStyle w:val="16"/>
                </w:rPr>
                <w:t>Introduction</w:t>
              </w:r>
              <w:r>
                <w:tab/>
              </w:r>
              <w:r>
                <w:fldChar w:fldCharType="begin"/>
              </w:r>
              <w:r>
                <w:instrText xml:space="preserve"> PAGEREF _Toc129339186 \h </w:instrText>
              </w:r>
              <w:r>
                <w:fldChar w:fldCharType="separate"/>
              </w:r>
              <w:r>
                <w:t>3</w:t>
              </w:r>
              <w:r>
                <w:fldChar w:fldCharType="end"/>
              </w:r>
              <w:r>
                <w:fldChar w:fldCharType="end"/>
              </w:r>
            </w:p>
            <w:p>
              <w:pPr>
                <w:pStyle w:val="11"/>
                <w:tabs>
                  <w:tab w:val="right" w:leader="dot" w:pos="9016"/>
                </w:tabs>
                <w:rPr>
                  <w:rFonts w:eastAsiaTheme="minorEastAsia"/>
                  <w:sz w:val="24"/>
                  <w:szCs w:val="24"/>
                  <w:lang w:eastAsia="en-GB"/>
                </w:rPr>
              </w:pPr>
              <w:r>
                <w:fldChar w:fldCharType="begin"/>
              </w:r>
              <w:r>
                <w:instrText xml:space="preserve"> HYPERLINK \l "_Toc129339187" </w:instrText>
              </w:r>
              <w:r>
                <w:fldChar w:fldCharType="separate"/>
              </w:r>
              <w:r>
                <w:rPr>
                  <w:rStyle w:val="16"/>
                </w:rPr>
                <w:t>Main Findings</w:t>
              </w:r>
              <w:r>
                <w:tab/>
              </w:r>
              <w:r>
                <w:fldChar w:fldCharType="begin"/>
              </w:r>
              <w:r>
                <w:instrText xml:space="preserve"> PAGEREF _Toc129339187 \h </w:instrText>
              </w:r>
              <w:r>
                <w:fldChar w:fldCharType="separate"/>
              </w:r>
              <w:r>
                <w:t>4</w:t>
              </w:r>
              <w:r>
                <w:fldChar w:fldCharType="end"/>
              </w:r>
              <w:r>
                <w:fldChar w:fldCharType="end"/>
              </w:r>
            </w:p>
            <w:p>
              <w:pPr>
                <w:pStyle w:val="12"/>
                <w:tabs>
                  <w:tab w:val="right" w:leader="dot" w:pos="9016"/>
                </w:tabs>
                <w:rPr>
                  <w:rFonts w:eastAsiaTheme="minorEastAsia"/>
                  <w:sz w:val="24"/>
                  <w:szCs w:val="24"/>
                  <w:lang w:eastAsia="en-GB"/>
                </w:rPr>
              </w:pPr>
              <w:r>
                <w:fldChar w:fldCharType="begin"/>
              </w:r>
              <w:r>
                <w:instrText xml:space="preserve"> HYPERLINK \l "_Toc129339188" </w:instrText>
              </w:r>
              <w:r>
                <w:fldChar w:fldCharType="separate"/>
              </w:r>
              <w:r>
                <w:rPr>
                  <w:rStyle w:val="16"/>
                </w:rPr>
                <w:t>Task 1 – Portal Fabrication PLC</w:t>
              </w:r>
              <w:r>
                <w:tab/>
              </w:r>
              <w:r>
                <w:fldChar w:fldCharType="begin"/>
              </w:r>
              <w:r>
                <w:instrText xml:space="preserve"> PAGEREF _Toc129339188 \h </w:instrText>
              </w:r>
              <w:r>
                <w:fldChar w:fldCharType="separate"/>
              </w:r>
              <w:r>
                <w:t>5</w:t>
              </w:r>
              <w:r>
                <w:fldChar w:fldCharType="end"/>
              </w:r>
              <w:r>
                <w:fldChar w:fldCharType="end"/>
              </w:r>
            </w:p>
            <w:p>
              <w:pPr>
                <w:pStyle w:val="12"/>
                <w:tabs>
                  <w:tab w:val="right" w:leader="dot" w:pos="9016"/>
                </w:tabs>
                <w:rPr>
                  <w:rFonts w:eastAsiaTheme="minorEastAsia"/>
                  <w:sz w:val="24"/>
                  <w:szCs w:val="24"/>
                  <w:lang w:eastAsia="en-GB"/>
                </w:rPr>
              </w:pPr>
              <w:r>
                <w:fldChar w:fldCharType="begin"/>
              </w:r>
              <w:r>
                <w:instrText xml:space="preserve"> HYPERLINK \l "_Toc129339189" </w:instrText>
              </w:r>
              <w:r>
                <w:fldChar w:fldCharType="separate"/>
              </w:r>
              <w:r>
                <w:rPr>
                  <w:rStyle w:val="16"/>
                </w:rPr>
                <w:t>Task 2 – Troy Brands</w:t>
              </w:r>
              <w:r>
                <w:tab/>
              </w:r>
              <w:r>
                <w:fldChar w:fldCharType="begin"/>
              </w:r>
              <w:r>
                <w:instrText xml:space="preserve"> PAGEREF _Toc129339189 \h </w:instrText>
              </w:r>
              <w:r>
                <w:fldChar w:fldCharType="separate"/>
              </w:r>
              <w:r>
                <w:t>11</w:t>
              </w:r>
              <w:r>
                <w:fldChar w:fldCharType="end"/>
              </w:r>
              <w:r>
                <w:fldChar w:fldCharType="end"/>
              </w:r>
            </w:p>
            <w:p>
              <w:pPr>
                <w:pStyle w:val="11"/>
                <w:tabs>
                  <w:tab w:val="right" w:leader="dot" w:pos="9016"/>
                </w:tabs>
                <w:rPr>
                  <w:rFonts w:eastAsiaTheme="minorEastAsia"/>
                  <w:sz w:val="24"/>
                  <w:szCs w:val="24"/>
                  <w:lang w:eastAsia="en-GB"/>
                </w:rPr>
              </w:pPr>
              <w:r>
                <w:fldChar w:fldCharType="begin"/>
              </w:r>
              <w:r>
                <w:instrText xml:space="preserve"> HYPERLINK \l "_Toc129339190" </w:instrText>
              </w:r>
              <w:r>
                <w:fldChar w:fldCharType="separate"/>
              </w:r>
              <w:r>
                <w:rPr>
                  <w:rStyle w:val="16"/>
                </w:rPr>
                <w:t>Conclusion (average of 10% of word count)</w:t>
              </w:r>
              <w:r>
                <w:tab/>
              </w:r>
              <w:r>
                <w:fldChar w:fldCharType="begin"/>
              </w:r>
              <w:r>
                <w:instrText xml:space="preserve"> PAGEREF _Toc129339190 \h </w:instrText>
              </w:r>
              <w:r>
                <w:fldChar w:fldCharType="separate"/>
              </w:r>
              <w:r>
                <w:t>16</w:t>
              </w:r>
              <w:r>
                <w:fldChar w:fldCharType="end"/>
              </w:r>
              <w:r>
                <w:fldChar w:fldCharType="end"/>
              </w:r>
            </w:p>
            <w:p>
              <w:pPr>
                <w:pStyle w:val="11"/>
                <w:tabs>
                  <w:tab w:val="right" w:leader="dot" w:pos="9016"/>
                </w:tabs>
                <w:rPr>
                  <w:rFonts w:eastAsiaTheme="minorEastAsia"/>
                  <w:sz w:val="24"/>
                  <w:szCs w:val="24"/>
                  <w:lang w:eastAsia="en-GB"/>
                </w:rPr>
              </w:pPr>
              <w:r>
                <w:fldChar w:fldCharType="begin"/>
              </w:r>
              <w:r>
                <w:instrText xml:space="preserve"> HYPERLINK \l "_Toc129339191" </w:instrText>
              </w:r>
              <w:r>
                <w:fldChar w:fldCharType="separate"/>
              </w:r>
              <w:r>
                <w:rPr>
                  <w:rStyle w:val="16"/>
                </w:rPr>
                <w:t>Bibliography</w:t>
              </w:r>
              <w:r>
                <w:tab/>
              </w:r>
              <w:r>
                <w:fldChar w:fldCharType="begin"/>
              </w:r>
              <w:r>
                <w:instrText xml:space="preserve"> PAGEREF _Toc129339191 \h </w:instrText>
              </w:r>
              <w:r>
                <w:fldChar w:fldCharType="separate"/>
              </w:r>
              <w:r>
                <w:t>17</w:t>
              </w:r>
              <w:r>
                <w:fldChar w:fldCharType="end"/>
              </w:r>
              <w:r>
                <w:fldChar w:fldCharType="end"/>
              </w:r>
            </w:p>
            <w:p>
              <w:pPr>
                <w:pStyle w:val="11"/>
                <w:tabs>
                  <w:tab w:val="right" w:leader="dot" w:pos="9016"/>
                </w:tabs>
                <w:rPr>
                  <w:rFonts w:eastAsiaTheme="minorEastAsia"/>
                  <w:sz w:val="24"/>
                  <w:szCs w:val="24"/>
                  <w:lang w:eastAsia="en-GB"/>
                </w:rPr>
              </w:pPr>
              <w:r>
                <w:fldChar w:fldCharType="begin"/>
              </w:r>
              <w:r>
                <w:instrText xml:space="preserve"> HYPERLINK \l "_Toc129339192" </w:instrText>
              </w:r>
              <w:r>
                <w:fldChar w:fldCharType="separate"/>
              </w:r>
              <w:r>
                <w:rPr>
                  <w:rStyle w:val="16"/>
                </w:rPr>
                <w:t>Appendix</w:t>
              </w:r>
              <w:r>
                <w:tab/>
              </w:r>
              <w:r>
                <w:fldChar w:fldCharType="begin"/>
              </w:r>
              <w:r>
                <w:instrText xml:space="preserve"> PAGEREF _Toc129339192 \h </w:instrText>
              </w:r>
              <w:r>
                <w:fldChar w:fldCharType="separate"/>
              </w:r>
              <w:r>
                <w:t>18</w:t>
              </w:r>
              <w:r>
                <w:fldChar w:fldCharType="end"/>
              </w:r>
              <w:r>
                <w:fldChar w:fldCharType="end"/>
              </w:r>
            </w:p>
            <w:p>
              <w:r>
                <w:rPr>
                  <w:b/>
                  <w:bCs/>
                </w:rPr>
                <w:fldChar w:fldCharType="end"/>
              </w:r>
              <w:r>
                <w:rPr>
                  <w:b/>
                  <w:bCs/>
                </w:rPr>
                <w:t>UPDATE TABLE FREQUENTLY – CHECK IT HAS BEEN UPDATED PRIOR TO SUBMISSION</w:t>
              </w:r>
            </w:p>
          </w:sdtContent>
        </w:sdt>
        <w:p/>
        <w:p/>
        <w:p/>
        <w:p/>
        <w:p/>
        <w:p/>
        <w:p/>
        <w:p/>
        <w:p/>
        <w:p/>
        <w:p/>
        <w:p/>
        <w:p/>
        <w:p/>
        <w:p/>
        <w:p/>
        <w:p/>
        <w:p/>
        <w:p/>
        <w:p/>
        <w:p/>
        <w:p/>
        <w:p>
          <w:pPr>
            <w:pStyle w:val="2"/>
          </w:pPr>
          <w:bookmarkStart w:id="1" w:name="_Toc129339186"/>
          <w:r>
            <w:t>Introduction</w:t>
          </w:r>
          <w:bookmarkEnd w:id="1"/>
          <w:r>
            <w:t xml:space="preserve">  </w:t>
          </w:r>
        </w:p>
        <w:p/>
        <w:p>
          <w:pPr>
            <w:rPr>
              <w:rFonts w:ascii="Arial" w:hAnsi="Arial" w:cs="Arial"/>
              <w:color w:val="222222"/>
              <w:shd w:val="clear" w:color="auto" w:fill="FFFFFF"/>
            </w:rPr>
          </w:pPr>
          <w:r>
            <w:rPr>
              <w:rFonts w:ascii="Arial" w:hAnsi="Arial" w:cs="Arial"/>
              <w:color w:val="222222"/>
              <w:shd w:val="clear" w:color="auto" w:fill="FFFFFF"/>
            </w:rPr>
            <w:t>Portal Fabrication plc, a successful manufacturer of car buffing machines, has experienced significant growth in recent years, largely due to its emphasis on high-quality products backed by a three-year warranty. The organization is comprised of two main divisions: manufacturing/sales (M/S) and service. In an effort to optimize coordination between these divisions and improve the overall performance of the company, the board has identified several areas for consideration and potential change.</w:t>
          </w:r>
        </w:p>
        <w:p>
          <w:pPr>
            <w:rPr>
              <w:rFonts w:ascii="Arial" w:hAnsi="Arial" w:cs="Arial"/>
              <w:color w:val="222222"/>
              <w:shd w:val="clear" w:color="auto" w:fill="FFFFFF"/>
            </w:rPr>
          </w:pPr>
          <w:r>
            <w:rPr>
              <w:rFonts w:ascii="Arial" w:hAnsi="Arial" w:cs="Arial"/>
              <w:color w:val="222222"/>
              <w:shd w:val="clear" w:color="auto" w:fill="FFFFFF"/>
            </w:rPr>
            <w:t>This report delves into three primary concerns related to the case study of Portal Fabrication plc. Firstly, we will critically analyze the company's current divisional performance and discuss alternative performance measures, such as Residual Income (RI) and Economic Value Added (EVATM). Secondly, we will establish criteria for designing an effective transfer pricing system and evaluate two proposed methods for calculating the transfer price between the service and M/S divisions, providing necessary calculations. Lastly, we will explore the potential impact of a proposed executive information system on the performance management of Portal Fabrication plc.</w:t>
          </w:r>
        </w:p>
        <w:p>
          <w:pPr>
            <w:rPr>
              <w:lang w:val="zh-CN"/>
            </w:rPr>
          </w:pPr>
          <w:r>
            <w:rPr>
              <w:rFonts w:ascii="Arial" w:hAnsi="Arial" w:cs="Arial"/>
              <w:color w:val="222222"/>
              <w:shd w:val="clear" w:color="auto" w:fill="FFFFFF"/>
            </w:rPr>
            <w:t>By addressing these key concerns, the report aims to provide a comprehensive understanding of the challenges and opportunities facing Portal Fabrication plc as it seeks to enhance divisional coordination and overall company performance.</w:t>
          </w:r>
        </w:p>
        <w:p/>
        <w:p/>
        <w:p/>
        <w:p>
          <w:pPr>
            <w:rPr>
              <w:rFonts w:asciiTheme="majorHAnsi" w:hAnsiTheme="majorHAnsi" w:eastAsiaTheme="majorEastAsia" w:cstheme="majorBidi"/>
              <w:color w:val="2E75B6" w:themeColor="accent1" w:themeShade="BF"/>
              <w:sz w:val="32"/>
              <w:szCs w:val="32"/>
            </w:rPr>
          </w:pPr>
          <w:bookmarkStart w:id="2" w:name="_Toc129339187"/>
          <w:r>
            <w:br w:type="page"/>
          </w:r>
        </w:p>
        <w:p>
          <w:pPr>
            <w:pStyle w:val="2"/>
          </w:pPr>
          <w:r>
            <w:t>Main Findings</w:t>
          </w:r>
          <w:bookmarkEnd w:id="2"/>
        </w:p>
        <w:p>
          <w:r>
            <w:t>Performance Management is a systematic and ongoing process involving the planning, monitoring, evaluation, and development of an individual's, team's, or organization's performance in order to achieve predetermined goals and objectives. Effective human resource management and organisational success require it.</w:t>
          </w:r>
        </w:p>
        <w:p>
          <w:r>
            <w:t>Typical performance management components include the following:</w:t>
          </w:r>
        </w:p>
        <w:p>
          <w:r>
            <w:t>Establishing objectives that are distinct, measurable, and aligned with organisational strategies and individual or team capabilities.</w:t>
          </w:r>
        </w:p>
        <w:p>
          <w:r>
            <w:t>Performance planning entails identifying the resources, training, and support required to achieve objectives, as well as establishing performance expectations and deadlines.</w:t>
          </w:r>
        </w:p>
        <w:p>
          <w:r>
            <w:t>Monitoring progress: tracking and evaluating performance against established objectives on a regular basis, providing feedback, and modifying plans as necessary.</w:t>
          </w:r>
        </w:p>
        <w:p>
          <w:r>
            <w:t>Conducting formal appraisals or reviews to evaluate and document performance, identifying strengths, areas for refinement, and growth opportunities.</w:t>
          </w:r>
        </w:p>
        <w:p>
          <w:r>
            <w:t>Feedback and coaching: Providing constructive feedback and direction to assist individuals or teams in enhancing their performance, growing their abilities, and achieving their objectives.</w:t>
          </w:r>
        </w:p>
        <w:p>
          <w:r>
            <w:t>Implementing targeted interventions, such as training, coaching, or process enhancements, to address performance gaps.</w:t>
          </w:r>
        </w:p>
        <w:p>
          <w:r>
            <w:t>Reward and recognition: recognising and rewarding exceptional performance, as well as reinforcing positive behaviours and outcomes.</w:t>
          </w:r>
        </w:p>
        <w:p>
          <w:r>
            <w:t>The objective of performance management is to foster a culture of continuous improvement, employee engagement, and accountability, resulting in enhanced individual and organisational performance.</w:t>
          </w:r>
        </w:p>
        <w:p>
          <w:pPr>
            <w:rPr>
              <w:rFonts w:asciiTheme="majorHAnsi" w:hAnsiTheme="majorHAnsi" w:eastAsiaTheme="majorEastAsia" w:cstheme="majorBidi"/>
              <w:color w:val="2E75B6" w:themeColor="accent1" w:themeShade="BF"/>
              <w:sz w:val="26"/>
              <w:szCs w:val="26"/>
            </w:rPr>
          </w:pPr>
          <w:bookmarkStart w:id="3" w:name="_Toc129339188"/>
          <w:r>
            <w:br w:type="page"/>
          </w:r>
        </w:p>
        <w:p>
          <w:pPr>
            <w:pStyle w:val="3"/>
          </w:pPr>
          <w:r>
            <w:t>Task 1 – Portal Fabrication PLC</w:t>
          </w:r>
          <w:bookmarkEnd w:id="3"/>
        </w:p>
        <w:p/>
        <w:p>
          <w:r>
            <w:t>CONTENT</w:t>
          </w:r>
        </w:p>
        <w:p>
          <w:r>
            <w:t>1.</w:t>
          </w:r>
          <w:r>
            <w:tab/>
          </w:r>
          <w:r>
            <w:t>Introduction</w:t>
          </w:r>
        </w:p>
        <w:p>
          <w:r>
            <w:t>2</w:t>
          </w:r>
          <w:r>
            <w:tab/>
          </w:r>
          <w:r>
            <w:t>Divisional performance at Portal</w:t>
          </w:r>
        </w:p>
        <w:p>
          <w:r>
            <w:t>3</w:t>
          </w:r>
          <w:r>
            <w:tab/>
          </w:r>
          <w:r>
            <w:t xml:space="preserve">Criteria for designing a transfer pricing system </w:t>
          </w:r>
        </w:p>
        <w:p>
          <w:r>
            <w:t>4</w:t>
          </w:r>
          <w:r>
            <w:tab/>
          </w:r>
          <w:r>
            <w:t>Potential impact of the introduction of the new executive information system</w:t>
          </w:r>
        </w:p>
        <w:p>
          <w:r>
            <w:t>5</w:t>
          </w:r>
          <w:r>
            <w:tab/>
          </w:r>
          <w:r>
            <w:t>Conclusion</w:t>
          </w:r>
        </w:p>
        <w:p/>
        <w:p>
          <w:pPr>
            <w:pStyle w:val="2"/>
            <w:numPr>
              <w:ilvl w:val="0"/>
              <w:numId w:val="1"/>
            </w:numPr>
            <w:tabs>
              <w:tab w:val="left" w:pos="360"/>
            </w:tabs>
            <w:ind w:left="720" w:hanging="360"/>
            <w:rPr>
              <w:lang w:val="zh-CN"/>
            </w:rPr>
          </w:pPr>
          <w:r>
            <w:rPr>
              <w:rFonts w:hint="eastAsia"/>
            </w:rPr>
            <w:t>Intro</w:t>
          </w:r>
          <w:r>
            <w:rPr>
              <w:lang w:val="en-US"/>
            </w:rPr>
            <w:t>duction</w:t>
          </w:r>
        </w:p>
        <w:p>
          <w:r>
            <w:t>Portal Fabrication plc, a thriving manufacturer of car buffing machines, has witnessed significant growth over the past five years as a result of its three-year warranty on high-quality products. There are two divisions within the organisation: manufacturing/sales (M/S) and service. In an effort to enhance coordination between these divisions and the overall performance of the company, the board has identified a number of areas for contemplation and potential change.</w:t>
          </w:r>
        </w:p>
        <w:p>
          <w:r>
            <w:t>In this essay, we will respond to three important concerns regarding the case study. First, we will conduct a critical analysis of Portal's current divisional performance and discuss the proposed alternative divisional performance measures, including Residual Income (RI) and Economic Value Added (EVATM). Second, we will define the criteria for designing an effective transfer pricing system and evaluate the two discussed methods for calculating the transfer price between the service and M/S divisions, with the necessary calculations provided. Finally, we will investigate the potential impact of the proposed executive information system on Portal Fabrication plc's performance management.</w:t>
          </w:r>
        </w:p>
        <w:p>
          <w:r>
            <w:br w:type="page"/>
          </w:r>
        </w:p>
        <w:p>
          <w:pPr>
            <w:pStyle w:val="2"/>
            <w:numPr>
              <w:ilvl w:val="0"/>
              <w:numId w:val="2"/>
            </w:numPr>
            <w:ind w:left="0" w:firstLine="0"/>
            <w:rPr>
              <w:lang w:val="en-US"/>
            </w:rPr>
          </w:pPr>
          <w:r>
            <w:rPr>
              <w:lang w:val="en-US"/>
            </w:rPr>
            <w:t>Divisional performance at Portal</w:t>
          </w:r>
        </w:p>
        <w:p>
          <w:r>
            <w:t>Portal Fabrication plc, a prominent manufacturer of car buffing machines, has achieved great success over the past five years by providing three-year warranties on high-quality products. However, the company's board of directors wishes to increase coordination between its manufacturing/sales (M/S) and service divisions. The board is contemplating alternative measures of divisional performance, such as Residual Income (RI) and Economic Value Added (EVATM), as part of this initiative.</w:t>
          </w:r>
        </w:p>
        <w:p>
          <w:r>
            <w:t>The board currently employs Total Shareholder Return (TSR) as an overall corporate performance metric and Return on Investment (ROI) as the primary comparative performance metric between the two divisions. Concerns have been raised about these metrics' ability to accurately assess the performance of divisional managers, despite their contribution to the company's mission of maximising shareholder wealth.</w:t>
          </w:r>
        </w:p>
        <w:p>
          <w:r>
            <w:t>The proposed divisional performance measures, RI and EVATM, may offer advantages over the current ROI metric. RI measures the division's excess profit over a predetermined threshold, whereas EVATM accounts for the opportunity cost of capital employed. Both metrics encourage managers to maximise shareholder value by taking the cost of capital into account. This shift in perspective may result in enhanced divisional decision-making and performance.</w:t>
          </w:r>
        </w:p>
        <w:p>
          <w:r>
            <w:t>Despite the prospective advantages of RI and EVATM, there are disadvantages to consider. For instance, accounting practises can influence both measures, leading to manipulation of results. In addition, the emphasis on maximising shareholder value may cause managers to prioritise short-term profits over long-term sustainability.</w:t>
          </w:r>
        </w:p>
        <w:p>
          <w:r>
            <w:t>Additionally, the board is contemplating the position of the service division, which presently handles both in-warranty and out-of-warranty repairs. The current internal recharge agreement between the M/S and service divisions imposes a £10 million annual surcharge for in-warranty repairs. The board is investigating the possibility of customising a transfer pricing approach, such as market price or cost plus, to better align with the company's goals.</w:t>
          </w:r>
        </w:p>
        <w:p>
          <w:r>
            <w:t>The outsourcing of warranty service work has also been proposed, allowing the service division to concentrate on out-of-warranty repairs with higher margins and investigate new revenue-generating opportunities. A local engineering company has quoted a fixed rate of £200 per warranty service repair, pending a contract for all Portal warranty repairs. This move could result in cost reductions and permit the service division to make better use of its engineering expertise.</w:t>
          </w:r>
        </w:p>
        <w:p>
          <w:r>
            <w:t>In addition to performance measures and alterations in divisional structure, the board is contemplating the implementation of a new integrated information system. The proposed system would be founded on a single database that would be accessible from any of the company's five locations, permitting real-time input and updates. This system would support a comprehensive management information system and a high-level executive information system, thereby potentially enhancing divisional decision-making and coordination.</w:t>
          </w:r>
        </w:p>
        <w:p>
          <w:r>
            <w:t>In conclusion, Portal Fabrication plc's divisional performance could benefit from the implementation of alternative performance measures such as RI and EVATM, as well as a shift in the service division's focus and the implementation of an integrated information system. To ensure the company's long-term success and viability, it is essential, however, to consider the potential drawbacks and difficulties associated with these proposals.</w:t>
          </w:r>
        </w:p>
        <w:p>
          <w:pPr>
            <w:pStyle w:val="2"/>
            <w:numPr>
              <w:ilvl w:val="0"/>
              <w:numId w:val="2"/>
            </w:numPr>
            <w:ind w:left="0" w:firstLine="0"/>
            <w:rPr>
              <w:lang w:val="en-US"/>
            </w:rPr>
          </w:pPr>
          <w:r>
            <w:rPr>
              <w:lang w:val="en-US"/>
            </w:rPr>
            <w:t>Criteria for designing a transfer pricing system</w:t>
          </w:r>
        </w:p>
        <w:p>
          <w:pPr>
            <w:rPr>
              <w:lang w:val="en-US"/>
            </w:rPr>
          </w:pPr>
        </w:p>
        <w:p>
          <w:pPr>
            <w:rPr>
              <w:lang w:val="en-US"/>
            </w:rPr>
          </w:pPr>
          <w:r>
            <w:rPr>
              <w:lang w:val="en-US"/>
            </w:rPr>
            <w:t>Transfer pricing is an integral component of the financial administration of multinational corporations and businesses with multiple divisions, such as Portal Fabrication plc. It enables the correct allocation of costs and revenues among divisions, ensuring fair performance evaluation and optimal decision-making. In this article, we outline the criteria for designing an effective transfer pricing system and evaluate the two discussed methodologies for calculating the transfer price between the service and M/S divisions of Portal.</w:t>
          </w:r>
        </w:p>
        <w:p>
          <w:pPr>
            <w:rPr>
              <w:lang w:val="en-US"/>
            </w:rPr>
          </w:pPr>
          <w:r>
            <w:rPr>
              <w:lang w:val="en-US"/>
            </w:rPr>
            <w:t>Companies should consider the following criteria when designing a transfer pricing system:</w:t>
          </w:r>
        </w:p>
        <w:p>
          <w:pPr>
            <w:rPr>
              <w:lang w:val="en-US"/>
            </w:rPr>
          </w:pPr>
          <w:r>
            <w:rPr>
              <w:lang w:val="en-US"/>
            </w:rPr>
            <w:t>Align with corporate objectives: The transfer pricing system should support the company's overarching strategic goals and encourage behaviour that advances the organization's mission.</w:t>
          </w:r>
        </w:p>
        <w:p>
          <w:pPr>
            <w:rPr>
              <w:lang w:val="en-US"/>
            </w:rPr>
          </w:pPr>
          <w:r>
            <w:rPr>
              <w:lang w:val="en-US"/>
            </w:rPr>
            <w:t>Instead of focusing purely on their own division's performance, the system should incentivize divisional managers to make decisions that are in the best interest of the company as a whole.</w:t>
          </w:r>
        </w:p>
        <w:p>
          <w:pPr>
            <w:rPr>
              <w:lang w:val="en-US"/>
            </w:rPr>
          </w:pPr>
          <w:r>
            <w:rPr>
              <w:lang w:val="en-US"/>
            </w:rPr>
            <w:t>The transfer pricing system should permit an equitable and accurate evaluation of each division's performance, taking into account both costs and revenues.</w:t>
          </w:r>
        </w:p>
        <w:p>
          <w:pPr>
            <w:rPr>
              <w:lang w:val="en-US"/>
            </w:rPr>
          </w:pPr>
          <w:r>
            <w:rPr>
              <w:lang w:val="en-US"/>
            </w:rPr>
            <w:t>Minimise conflicts and disputes: The system should be transparent, simple to comprehend, and perceived as fair by all divisions in order to minimise the likelihood of transfer pricing decisions giving rise to conflicts.</w:t>
          </w:r>
        </w:p>
        <w:p>
          <w:pPr>
            <w:rPr>
              <w:lang w:val="en-US"/>
            </w:rPr>
          </w:pPr>
          <w:r>
            <w:rPr>
              <w:lang w:val="en-US"/>
            </w:rPr>
            <w:t>Companies must ensure that their transfer pricing system complies with all applicable tax laws and regulations, as failure to do so can result in significant financial penalties.</w:t>
          </w:r>
        </w:p>
        <w:p>
          <w:pPr>
            <w:rPr>
              <w:lang w:val="en-US"/>
            </w:rPr>
          </w:pPr>
          <w:r>
            <w:rPr>
              <w:lang w:val="en-US"/>
            </w:rPr>
            <w:t>The board of Portal Fabrication plc is contemplating market price and cost plus for calculating the transfer price between the service and M/S divisions.</w:t>
          </w:r>
        </w:p>
        <w:p>
          <w:pPr>
            <w:rPr>
              <w:lang w:val="en-US"/>
            </w:rPr>
          </w:pPr>
          <w:r>
            <w:rPr>
              <w:lang w:val="en-US"/>
            </w:rPr>
            <w:t>This method determines the transfer price based on the current market value of the product or service being exchanged between divisions. Since it reflects external market conditions, it is generally viewed as objective and equitable. However, determining an accurate market price can be difficult, particularly in the absence of readily available market data comparisons.</w:t>
          </w:r>
        </w:p>
        <w:p>
          <w:pPr>
            <w:rPr>
              <w:lang w:val="en-US"/>
            </w:rPr>
          </w:pPr>
          <w:r>
            <w:rPr>
              <w:lang w:val="en-US"/>
            </w:rPr>
            <w:t>To use the market price method, we would need to know the average market price for the repairs to the car buffing machine. The transfer price between the M/S and service divisions would be £200, assuming that the local engineering company's estimate of £200 per warranty service repair is representative of the market price.</w:t>
          </w:r>
        </w:p>
        <w:p>
          <w:pPr>
            <w:rPr>
              <w:lang w:val="en-US"/>
            </w:rPr>
          </w:pPr>
          <w:r>
            <w:rPr>
              <w:lang w:val="en-US"/>
            </w:rPr>
            <w:t>The cost plus method calculates the transfer price by adding a markup to the product or service's cost of production. When market prices are unavailable or unreliable, this method is frequently employed. The markup can be determined in accordance with industry standards, desired profit margins, or company policies.</w:t>
          </w:r>
        </w:p>
        <w:p>
          <w:pPr>
            <w:rPr>
              <w:lang w:val="en-US"/>
            </w:rPr>
          </w:pPr>
          <w:r>
            <w:rPr>
              <w:lang w:val="en-US"/>
            </w:rPr>
            <w:t>To apply the cost plus method, we must first determine the repair's cost. The case study provides the following service division expense information:</w:t>
          </w:r>
        </w:p>
        <w:p>
          <w:pPr>
            <w:rPr>
              <w:lang w:val="en-US"/>
            </w:rPr>
          </w:pPr>
          <w:r>
            <w:rPr>
              <w:lang w:val="en-US"/>
            </w:rPr>
            <w:t>Labour: £18/hour</w:t>
          </w:r>
        </w:p>
        <w:p>
          <w:pPr>
            <w:rPr>
              <w:lang w:val="en-US"/>
            </w:rPr>
          </w:pPr>
          <w:r>
            <w:rPr>
              <w:lang w:val="en-US"/>
            </w:rPr>
            <w:t>Variable expenses: £12 per hour</w:t>
          </w:r>
        </w:p>
        <w:p>
          <w:pPr>
            <w:rPr>
              <w:lang w:val="en-US"/>
            </w:rPr>
          </w:pPr>
          <w:r>
            <w:rPr>
              <w:lang w:val="en-US"/>
            </w:rPr>
            <w:t>Fixed costs: $25 per hour</w:t>
          </w:r>
        </w:p>
        <w:p>
          <w:pPr>
            <w:rPr>
              <w:lang w:val="en-US"/>
            </w:rPr>
          </w:pPr>
          <w:r>
            <w:rPr>
              <w:lang w:val="en-US"/>
            </w:rPr>
            <w:t>Parts: £85/repair</w:t>
          </w:r>
        </w:p>
        <w:p>
          <w:pPr>
            <w:rPr>
              <w:lang w:val="en-US"/>
            </w:rPr>
          </w:pPr>
          <w:r>
            <w:rPr>
              <w:lang w:val="en-US"/>
            </w:rPr>
            <w:t>On average, a repair takes four hours to complete. (£18 + £12 + £25 x 4 hours + £85) = £215.</w:t>
          </w:r>
        </w:p>
        <w:p>
          <w:pPr>
            <w:rPr>
              <w:lang w:val="en-US"/>
            </w:rPr>
          </w:pPr>
          <w:r>
            <w:rPr>
              <w:lang w:val="en-US"/>
            </w:rPr>
            <w:t>The transfer price, assuming a desired markup of 20%, would be: £215 x 1.20 = £258.</w:t>
          </w:r>
        </w:p>
        <w:p>
          <w:pPr>
            <w:rPr>
              <w:lang w:val="en-US"/>
            </w:rPr>
          </w:pPr>
          <w:r>
            <w:rPr>
              <w:lang w:val="en-US"/>
            </w:rPr>
            <w:t>In conclusion, both the market price method and the cost plus method have advantages and disadvantages. In general, the market price method is regarded as more objective, but determining an accurate market price can be difficult. The cost plus method permits greater control over profit margins, but may be less indicative of external market conditions. When choosing the most appropriate transfer pricing method for its M/S and service divisions, Portal Fabrication plc should carefully consider its objectives and the available data.</w:t>
          </w:r>
        </w:p>
        <w:p>
          <w:pPr>
            <w:rPr>
              <w:lang w:val="en-US"/>
            </w:rPr>
          </w:pPr>
        </w:p>
        <w:p>
          <w:pPr>
            <w:rPr>
              <w:rFonts w:asciiTheme="majorHAnsi" w:hAnsiTheme="majorHAnsi" w:eastAsiaTheme="majorEastAsia" w:cstheme="majorBidi"/>
              <w:color w:val="2E75B6" w:themeColor="accent1" w:themeShade="BF"/>
              <w:sz w:val="32"/>
              <w:szCs w:val="32"/>
            </w:rPr>
          </w:pPr>
          <w:r>
            <w:br w:type="page"/>
          </w:r>
        </w:p>
        <w:p>
          <w:pPr>
            <w:pStyle w:val="2"/>
            <w:numPr>
              <w:ilvl w:val="0"/>
              <w:numId w:val="2"/>
            </w:numPr>
            <w:ind w:left="0" w:firstLine="0"/>
          </w:pPr>
          <w:r>
            <w:rPr>
              <w:lang w:val="en-US"/>
            </w:rPr>
            <w:t>Potential impact of the introduction of the new executive information</w:t>
          </w:r>
          <w:r>
            <w:t xml:space="preserve"> system</w:t>
          </w:r>
        </w:p>
        <w:p>
          <w:r>
            <w:t>Effective performance management is essential for companies seeking to maintain their competitive advantage and achieve long-term success in the current business climate. The ability to make data-driven decisions based on accurate and up-to-date information is an integral component of performance management. The board of Portal Fabrication plc is contemplating implementing a new executive information system (EIS) to enhance the organization's performance management capabilities. This article assesses the prospective impact of this new EIS on Portal's performance management.</w:t>
          </w:r>
        </w:p>
        <w:p>
          <w:r>
            <w:t>An executive information system is a computer-based tool that provides senior executives with easy access to critical organisational information, allowing them to make strategic decisions. The proposed EIS for Portal Fabrication plc would be based on a centralised database that could be accessed from any of the company's five locations. The company's network would be modified to allow for real-time input and updates, and the database would support both a comprehensive management information system and an executive information system.</w:t>
          </w:r>
        </w:p>
        <w:p>
          <w:r>
            <w:t>The implementation of the new EIS could have several positive effects on Portal's performance management:</w:t>
          </w:r>
        </w:p>
        <w:p/>
        <w:p>
          <w:r>
            <w:t>With access to accurate, up-to-date information in real time, executives and divisional managers can make more informed decisions about the company's operations, investments, and strategic direction.</w:t>
          </w:r>
        </w:p>
        <w:p>
          <w:r>
            <w:t>Enhanced performance monitoring: The EIS would allow the company to measure key performance indicators (KPIs) across divisions and monitor progress towards strategic goals. This enhanced visibility could aid in identifying areas of poor performance and facilitate prompt corrective action.</w:t>
          </w:r>
        </w:p>
        <w:p>
          <w:r>
            <w:t>Greater alignment between divisions: By providing a single, integrated source of information, the EIS could facilitate improved communication and coordination between the manufacturing/sales and service divisions of Portal. This could result in enhanced objective congruence and organisational performance as a whole.</w:t>
          </w:r>
        </w:p>
        <w:p>
          <w:r>
            <w:t>Streamlined reporting: An EIS can automate and streamline the generation of performance reports, thereby reducing the time and effort required for manual data collection and analysis. This could liberate management resources for more strategic endeavours.</w:t>
          </w:r>
        </w:p>
        <w:p/>
        <w:p>
          <w:r>
            <w:t>Increased agility and responsiveness: With real-time access to information, Portal's executives and managers would be better equipped to respond rapidly to changes in the market or competitive landscape, enabling the company to remain ahead of its rivals.</w:t>
          </w:r>
        </w:p>
        <w:p/>
        <w:p>
          <w:r>
            <w:t>Nevertheless, the implementation of a new EIS presents potential challenges and hazards that must be managed with care:</w:t>
          </w:r>
        </w:p>
        <w:p>
          <w:r>
            <w:t>The implementation of an EIS can be costly and time-consuming, diverting resources from other essential business operations. Portal must evaluate the expenses and benefits of the new system to ensure that the investment yields a positive return.</w:t>
          </w:r>
        </w:p>
        <w:p>
          <w:r>
            <w:t>Data quality and precision: The efficacy of an EIS is contingent on the quality and precision of the underlying data. Portal must implement robust data governance processes to ensure that the information used for decision-making is trustworthy and reliable.</w:t>
          </w:r>
        </w:p>
        <w:p>
          <w:r>
            <w:t>Change management and user adoption: The implementation of a new EIS is likely to necessitate substantial modifications to existing processes and workflows. Portal must invest in training and support to ensure that employees at all organisational levels are committed to the new system's success and comprehend how to use it effectively.</w:t>
          </w:r>
        </w:p>
        <w:p>
          <w:pPr>
            <w:rPr>
              <w:lang w:val="zh-CN"/>
            </w:rPr>
          </w:pPr>
          <w:r>
            <w:t>The implementation of a new executive information system at Portal Fabrication plc has the potential to considerably improve the company's performance management capabilities. To realise these benefits, Portal must manage the implementation process with care and resolve potential cost, data quality, and user adoption obstacles. If effectively implemented, the EIS could contribute to enhanced decision-making, greater organisational alignment, and ultimately a boost in Portal Fabrication plc's overall performance.</w:t>
          </w:r>
        </w:p>
        <w:p>
          <w:pPr>
            <w:pStyle w:val="2"/>
            <w:numPr>
              <w:ilvl w:val="0"/>
              <w:numId w:val="2"/>
            </w:numPr>
            <w:ind w:left="0" w:firstLine="0"/>
            <w:rPr>
              <w:lang w:val="zh-CN"/>
            </w:rPr>
          </w:pPr>
          <w:r>
            <w:rPr>
              <w:lang w:val="zh-CN"/>
            </w:rPr>
            <w:t>Conclusion</w:t>
          </w:r>
        </w:p>
        <w:p>
          <w:pPr>
            <w:rPr>
              <w:lang w:val="zh-CN"/>
            </w:rPr>
          </w:pPr>
        </w:p>
        <w:p>
          <w:r>
            <w:t>In conclusion, Portal Fabrication plc confronts a number of opportunities and obstacles as it seeks to enhance divisional coordination and company performance as a whole. We have emphasised the potential advantages and disadvantages of alternative metrics, such as Residual Income and Economic Value Added, through a critical evaluation of divisional performance measures. By considering these metrics, Portal could obtain a deeper understanding of divisional performance, leading to improved decision-making and resource allocation.</w:t>
          </w:r>
        </w:p>
        <w:p>
          <w:r>
            <w:t>In addition, we have outlined the criteria for developing an efficient transfer pricing system and analysed the market price and cost-plus methodologies for calculating the transfer price between the service and M/S divisions. By carefully selecting an appropriate method and assuring alignment with corporate objectives, Portal can facilitate goal congruence and accurate performance evaluation across divisions.</w:t>
          </w:r>
        </w:p>
        <w:p>
          <w:r>
            <w:t>We have evaluated the prospective impact of a new executive information system on performance management at Portal. Successful implementation of such a system carries the potential for enhanced decision-making, enhanced organisational alignment, and enhanced overall performance. However, it also poses certain risks and challenges.</w:t>
          </w:r>
        </w:p>
        <w:p>
          <w:r>
            <w:t>By addressing these critical areas, Portal Fabrication plc can strengthen its position on the market and continue to build on its success, ensuring long-term growth and creating shareholder value.</w:t>
          </w:r>
        </w:p>
        <w:p>
          <w:pPr>
            <w:rPr>
              <w:lang w:val="zh-CN"/>
            </w:rPr>
          </w:pPr>
        </w:p>
        <w:p>
          <w:pPr>
            <w:rPr>
              <w:lang w:val="zh-CN"/>
            </w:rPr>
          </w:pPr>
        </w:p>
        <w:p/>
        <w:p>
          <w:pPr>
            <w:rPr>
              <w:rFonts w:asciiTheme="majorHAnsi" w:hAnsiTheme="majorHAnsi" w:eastAsiaTheme="majorEastAsia" w:cstheme="majorBidi"/>
              <w:color w:val="2E75B6" w:themeColor="accent1" w:themeShade="BF"/>
              <w:sz w:val="26"/>
              <w:szCs w:val="26"/>
            </w:rPr>
          </w:pPr>
          <w:bookmarkStart w:id="4" w:name="_Toc129339189"/>
          <w:r>
            <w:br w:type="page"/>
          </w:r>
        </w:p>
        <w:p>
          <w:pPr>
            <w:pStyle w:val="3"/>
          </w:pPr>
          <w:r>
            <w:t>Task 2 – Troy Brands</w:t>
          </w:r>
          <w:bookmarkEnd w:id="4"/>
        </w:p>
        <w:p/>
        <w:p>
          <w:pPr>
            <w:rPr>
              <w:lang w:val="en-US"/>
            </w:rPr>
          </w:pPr>
          <w:r>
            <w:rPr>
              <w:lang w:val="en-US"/>
            </w:rPr>
            <w:t>CONTENT</w:t>
          </w:r>
        </w:p>
        <w:p>
          <w:pPr>
            <w:pStyle w:val="22"/>
            <w:numPr>
              <w:ilvl w:val="0"/>
              <w:numId w:val="3"/>
            </w:numPr>
            <w:rPr>
              <w:lang w:val="zh-CN"/>
            </w:rPr>
          </w:pPr>
          <w:r>
            <w:rPr>
              <w:lang w:val="zh-CN"/>
            </w:rPr>
            <w:t>Introduction</w:t>
          </w:r>
        </w:p>
        <w:p>
          <w:pPr>
            <w:pStyle w:val="22"/>
            <w:numPr>
              <w:ilvl w:val="0"/>
              <w:numId w:val="3"/>
            </w:numPr>
            <w:rPr>
              <w:lang w:val="zh-CN"/>
            </w:rPr>
          </w:pPr>
          <w:r>
            <w:rPr>
              <w:lang w:val="zh-CN"/>
            </w:rPr>
            <w:t xml:space="preserve">Growth Crisis Analysis </w:t>
          </w:r>
        </w:p>
        <w:p>
          <w:pPr>
            <w:pStyle w:val="22"/>
            <w:numPr>
              <w:ilvl w:val="0"/>
              <w:numId w:val="3"/>
            </w:numPr>
            <w:rPr>
              <w:lang w:val="zh-CN"/>
            </w:rPr>
          </w:pPr>
          <w:r>
            <w:rPr>
              <w:lang w:val="zh-CN"/>
            </w:rPr>
            <w:t>Quantitative and Qualitative Performance Analysis using Balanced Scorecard</w:t>
          </w:r>
        </w:p>
        <w:p>
          <w:pPr>
            <w:pStyle w:val="22"/>
            <w:numPr>
              <w:ilvl w:val="0"/>
              <w:numId w:val="3"/>
            </w:numPr>
            <w:rPr>
              <w:lang w:val="zh-CN"/>
            </w:rPr>
          </w:pPr>
          <w:r>
            <w:rPr>
              <w:lang w:val="zh-CN"/>
            </w:rPr>
            <w:t xml:space="preserve">Business Process </w:t>
          </w:r>
        </w:p>
        <w:p>
          <w:pPr>
            <w:pStyle w:val="22"/>
            <w:numPr>
              <w:ilvl w:val="0"/>
              <w:numId w:val="3"/>
            </w:numPr>
            <w:rPr>
              <w:lang w:val="zh-CN"/>
            </w:rPr>
          </w:pPr>
          <w:r>
            <w:rPr>
              <w:lang w:val="zh-CN"/>
            </w:rPr>
            <w:t>Conclusion</w:t>
          </w:r>
        </w:p>
        <w:p>
          <w:pPr>
            <w:pStyle w:val="22"/>
            <w:numPr>
              <w:ilvl w:val="0"/>
              <w:numId w:val="3"/>
            </w:numPr>
            <w:rPr>
              <w:lang w:val="zh-CN"/>
            </w:rPr>
          </w:pPr>
          <w:r>
            <w:rPr>
              <w:lang w:val="en-US"/>
            </w:rPr>
            <w:t>Reference</w:t>
          </w:r>
        </w:p>
        <w:p>
          <w:pPr>
            <w:pStyle w:val="22"/>
            <w:numPr>
              <w:ilvl w:val="0"/>
              <w:numId w:val="3"/>
            </w:numPr>
            <w:rPr>
              <w:lang w:val="zh-CN"/>
            </w:rPr>
          </w:pPr>
          <w:r>
            <w:rPr>
              <w:lang w:val="zh-CN"/>
            </w:rPr>
            <w:t>Appendices</w:t>
          </w:r>
        </w:p>
        <w:p>
          <w:pPr>
            <w:rPr>
              <w:lang w:val="zh-CN"/>
            </w:rPr>
          </w:pPr>
        </w:p>
        <w:p>
          <w:pPr>
            <w:keepNext/>
            <w:keepLines/>
            <w:spacing w:before="240" w:after="0" w:line="240" w:lineRule="auto"/>
            <w:ind w:left="432" w:hanging="432"/>
            <w:outlineLvl w:val="0"/>
            <w:rPr>
              <w:rFonts w:ascii="Calibri Light" w:hAnsi="Calibri Light" w:eastAsia="等线 Light" w:cs="Times New Roman"/>
              <w:color w:val="2F5496"/>
              <w:sz w:val="32"/>
              <w:szCs w:val="32"/>
              <w:lang w:val="zh-CN" w:eastAsia="zh-CN"/>
            </w:rPr>
          </w:pPr>
          <w:r>
            <w:rPr>
              <w:rFonts w:ascii="Calibri Light" w:hAnsi="Calibri Light" w:eastAsia="等线 Light" w:cs="Times New Roman"/>
              <w:color w:val="2F5496"/>
              <w:sz w:val="32"/>
              <w:szCs w:val="32"/>
              <w:lang w:val="zh-CN" w:eastAsia="zh-CN"/>
            </w:rPr>
            <w:t>Introduction</w:t>
          </w:r>
        </w:p>
        <w:p>
          <w:r>
            <w:t>This report provides an in-depth analysis of the growth crisis confronting London-based shoe designer and retailer Troyland Footwear Limited. In recent years, the company has encountered difficulties due to import restrictions, Brexit, and market competition. The report examines the quantitative and qualitative performance of the company using the Balanced Scorecard methodology, highlighting the company's strong and weak areas. In addition, it addresses the need for business process reengineering in order to adapt to shifting market conditions and achieve sustainable development. Key findings indicate that Troyland Footwear Limited must prioritise diversifying its product offerings, enhancing operational efficiency, and investigating alternative sourcing options in order to maintain its market share and profitability.</w:t>
          </w:r>
        </w:p>
        <w:p>
          <w:r>
            <w:t>This report's objective is to analyse the growth crisis confronting Troyland Footwear Limited and provide strategic recommendations for addressing the obstacles that impede the company's performance. The scope of the report encompasses an evaluation of the company's current market position, the impact of external factors such as import restrictions and Brexit, and the company's Balanced Scorecard-based overall performance. In addition, the report will investigate the need for business process reengineering in order to respond to shifting market conditions and enhance the company's long-term prospects.</w:t>
          </w:r>
        </w:p>
        <w:p>
          <w:r>
            <w:t>Ms. Evelyn Plummer founded Troyland Footwear Limited in 2008 in the Tower Hamlets neighbourhood of London. The business initially operated as a sole proprietorship, but in 2012 it was converted to a limited liability company. Since its founding, Troyland has experienced rapid expansion, with the number of employees increasing from one in 2011 to sixteen in 2022. However, recent events, including the moratorium on importing raw materials from Uzbekistan, the Brexit, and the Covivirus-19 pandemic, have affected the company's sales and profitability.</w:t>
          </w:r>
        </w:p>
        <w:p>
          <w:r>
            <w:t>The structure of the report is as follows:</w:t>
          </w:r>
        </w:p>
        <w:p>
          <w:r>
            <w:t>The second section will examine the growth crisis confronting Troyland Footwear Limited by analysing the effects of import restrictions, Brexit, and market competition on the company's performance. Using the Balanced Scorecard methodology, Section 3 will analyse the company's performance from the financial, customer, internal business process, and learning and development perspectives. The fourth section will discuss the necessity of business process reengineering, identifying essential processes that need improvement and recommending implementation strategies. The conclusion and recommendations for Troyland Footwear Limited will be summarised in Section 5.</w:t>
          </w:r>
        </w:p>
        <w:p>
          <w:pPr>
            <w:keepNext/>
            <w:keepLines/>
            <w:spacing w:before="240" w:after="0" w:line="240" w:lineRule="auto"/>
            <w:ind w:left="432" w:hanging="432"/>
            <w:outlineLvl w:val="0"/>
            <w:rPr>
              <w:rFonts w:ascii="Calibri Light" w:hAnsi="Calibri Light" w:eastAsia="等线 Light" w:cs="Times New Roman"/>
              <w:color w:val="2F5496"/>
              <w:sz w:val="32"/>
              <w:szCs w:val="32"/>
              <w:lang w:val="zh-CN" w:eastAsia="zh-CN"/>
            </w:rPr>
          </w:pPr>
          <w:r>
            <w:rPr>
              <w:rFonts w:ascii="Calibri Light" w:hAnsi="Calibri Light" w:eastAsia="等线 Light" w:cs="Times New Roman"/>
              <w:color w:val="2F5496"/>
              <w:sz w:val="32"/>
              <w:szCs w:val="32"/>
              <w:lang w:val="zh-CN" w:eastAsia="zh-CN"/>
            </w:rPr>
            <w:t>Growth Crisis Analysis</w:t>
          </w:r>
        </w:p>
        <w:p>
          <w:pPr>
            <w:keepNext/>
            <w:keepLines/>
            <w:numPr>
              <w:ilvl w:val="1"/>
              <w:numId w:val="0"/>
            </w:numPr>
            <w:spacing w:before="40" w:after="0" w:line="240" w:lineRule="auto"/>
            <w:ind w:left="576" w:hanging="576"/>
            <w:outlineLvl w:val="1"/>
            <w:rPr>
              <w:rFonts w:ascii="Calibri Light" w:hAnsi="Calibri Light" w:eastAsia="等线 Light" w:cs="Times New Roman"/>
              <w:color w:val="2F5496"/>
              <w:sz w:val="26"/>
              <w:szCs w:val="26"/>
              <w:lang w:val="zh-CN" w:eastAsia="zh-CN"/>
            </w:rPr>
          </w:pPr>
          <w:r>
            <w:rPr>
              <w:rFonts w:ascii="Calibri Light" w:hAnsi="Calibri Light" w:eastAsia="等线 Light" w:cs="Times New Roman"/>
              <w:color w:val="2F5496"/>
              <w:sz w:val="26"/>
              <w:szCs w:val="26"/>
              <w:lang w:val="zh-CN" w:eastAsia="zh-CN"/>
            </w:rPr>
            <w:t>Market trends and competition</w:t>
          </w:r>
        </w:p>
        <w:p>
          <w:pPr>
            <w:spacing w:after="0" w:line="240" w:lineRule="auto"/>
            <w:rPr>
              <w:rFonts w:ascii="Calibri" w:hAnsi="Calibri" w:eastAsia="等线" w:cs="Times New Roman"/>
              <w:sz w:val="24"/>
              <w:szCs w:val="24"/>
              <w:lang w:val="zh-CN" w:eastAsia="zh-CN"/>
            </w:rPr>
          </w:pP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Over the past decade, the footwear industry has witnessed significant transformations in consumer preferences and market trends. Customers' increasing demand for customised, one-of-a-kind, and eco-friendly products has led to the emergence of niche markets and specialty brands. In addition, fast-fashion retailers and e-commerce platforms have increased their market presence, intensifying competition for traditional competitors such as Troyland Footwear Limited. In addition, an increased emphasis on environmental and ethical concerns has led to stricter regulations on sourcing and production practises. Troyland must adapt to the changing market dynamics and differentiate its offerings to maintain a competitive edge and ensure its long-term success in light of these trends.</w:t>
          </w:r>
        </w:p>
        <w:p>
          <w:pPr>
            <w:spacing w:after="0" w:line="240" w:lineRule="auto"/>
            <w:rPr>
              <w:rFonts w:ascii="Calibri" w:hAnsi="Calibri" w:eastAsia="等线" w:cs="Times New Roman"/>
              <w:sz w:val="24"/>
              <w:szCs w:val="24"/>
              <w:lang w:val="zh-CN" w:eastAsia="zh-CN"/>
            </w:rPr>
          </w:pPr>
        </w:p>
        <w:p>
          <w:pPr>
            <w:keepNext/>
            <w:keepLines/>
            <w:numPr>
              <w:ilvl w:val="1"/>
              <w:numId w:val="0"/>
            </w:numPr>
            <w:spacing w:before="40" w:after="0" w:line="240" w:lineRule="auto"/>
            <w:ind w:left="576" w:hanging="576"/>
            <w:outlineLvl w:val="1"/>
            <w:rPr>
              <w:rFonts w:ascii="Calibri Light" w:hAnsi="Calibri Light" w:eastAsia="等线 Light" w:cs="Times New Roman"/>
              <w:color w:val="2F5496"/>
              <w:sz w:val="26"/>
              <w:szCs w:val="26"/>
              <w:lang w:val="zh-CN" w:eastAsia="zh-CN"/>
            </w:rPr>
          </w:pPr>
          <w:r>
            <w:rPr>
              <w:rFonts w:ascii="Calibri Light" w:hAnsi="Calibri Light" w:eastAsia="等线 Light" w:cs="Times New Roman"/>
              <w:color w:val="2F5496"/>
              <w:sz w:val="26"/>
              <w:szCs w:val="26"/>
              <w:lang w:val="zh-CN" w:eastAsia="zh-CN"/>
            </w:rPr>
            <w:t>Impact of import restrictions and Brexit</w:t>
          </w: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The prohibition on importing raw materials from Uzbekistan due to human rights violations has had a significant impact on the supply chain and cost structure of Troyland Footwear Limited. The company has been compelled to source materials from alternative suppliers, such as Japan, resulting in increased costs and diminished gross margins. In addition, Brexit has posed additional obstacles for Troyland, influencing its trade relationships with European clients. The decline of the British pound against the euro has had a negative impact on the company's reported annual sales, while increased tariffs and trade barriers have made exporting to European markets more difficult.</w:t>
          </w:r>
        </w:p>
        <w:p>
          <w:pPr>
            <w:spacing w:after="0" w:line="240" w:lineRule="auto"/>
            <w:rPr>
              <w:rFonts w:ascii="Calibri" w:hAnsi="Calibri" w:eastAsia="等线" w:cs="Times New Roman"/>
              <w:sz w:val="24"/>
              <w:szCs w:val="24"/>
              <w:lang w:val="zh-CN" w:eastAsia="zh-CN"/>
            </w:rPr>
          </w:pPr>
        </w:p>
        <w:p>
          <w:pPr>
            <w:keepNext/>
            <w:keepLines/>
            <w:numPr>
              <w:ilvl w:val="1"/>
              <w:numId w:val="0"/>
            </w:numPr>
            <w:spacing w:before="40" w:after="0" w:line="240" w:lineRule="auto"/>
            <w:ind w:left="576" w:hanging="576"/>
            <w:outlineLvl w:val="1"/>
            <w:rPr>
              <w:rFonts w:ascii="Calibri Light" w:hAnsi="Calibri Light" w:eastAsia="等线 Light" w:cs="Times New Roman"/>
              <w:color w:val="2F5496"/>
              <w:sz w:val="26"/>
              <w:szCs w:val="26"/>
              <w:lang w:val="zh-CN" w:eastAsia="zh-CN"/>
            </w:rPr>
          </w:pPr>
          <w:r>
            <w:rPr>
              <w:rFonts w:ascii="Calibri Light" w:hAnsi="Calibri Light" w:eastAsia="等线 Light" w:cs="Times New Roman"/>
              <w:color w:val="2F5496"/>
              <w:sz w:val="26"/>
              <w:szCs w:val="26"/>
              <w:lang w:val="zh-CN" w:eastAsia="zh-CN"/>
            </w:rPr>
            <w:t>Sales performance and market share</w:t>
          </w: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Troyland Footwear Limited's sales performance and market share have fluctuated throughout the years. Although the company was able to increase its market share in the segment of London shoe sales from 2.00% in 2018 to 2.75 % in 2019, it declined to 1.20 % in 2020 and is projected to fall to 0.25 % in 2021. These fluctuations can be attributed to the previously mentioned external factors, including import restrictions, the Brexit, and the Covivirus-19 pandemic, which have led to a decline in orders and customer visits. In addition, the company's market share in the segments of handbags, purses, and wallets, as well as retail fashion, remains low relative to competitors, indicating latent potential in these areas.</w:t>
          </w:r>
        </w:p>
        <w:p>
          <w:pPr>
            <w:spacing w:after="0" w:line="240" w:lineRule="auto"/>
            <w:rPr>
              <w:rFonts w:ascii="Calibri" w:hAnsi="Calibri" w:eastAsia="等线" w:cs="Times New Roman"/>
              <w:sz w:val="24"/>
              <w:szCs w:val="24"/>
              <w:lang w:val="zh-CN" w:eastAsia="zh-CN"/>
            </w:rPr>
          </w:pPr>
        </w:p>
        <w:p>
          <w:pPr>
            <w:keepNext/>
            <w:keepLines/>
            <w:numPr>
              <w:ilvl w:val="1"/>
              <w:numId w:val="0"/>
            </w:numPr>
            <w:spacing w:before="40" w:after="0" w:line="240" w:lineRule="auto"/>
            <w:ind w:left="576" w:hanging="576"/>
            <w:outlineLvl w:val="1"/>
            <w:rPr>
              <w:rFonts w:ascii="Calibri Light" w:hAnsi="Calibri Light" w:eastAsia="等线 Light" w:cs="Times New Roman"/>
              <w:color w:val="2F5496"/>
              <w:sz w:val="26"/>
              <w:szCs w:val="26"/>
              <w:lang w:val="zh-CN" w:eastAsia="zh-CN"/>
            </w:rPr>
          </w:pPr>
          <w:r>
            <w:rPr>
              <w:rFonts w:ascii="Calibri Light" w:hAnsi="Calibri Light" w:eastAsia="等线 Light" w:cs="Times New Roman"/>
              <w:color w:val="2F5496"/>
              <w:sz w:val="26"/>
              <w:szCs w:val="26"/>
              <w:lang w:val="zh-CN" w:eastAsia="zh-CN"/>
            </w:rPr>
            <w:t>Expansion challenges and opportunities</w:t>
          </w: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As Troyland Footwear Limited contemplates expanding its product offerings and market presence, it must evaluate the potential benefits and risks associated with its various growth strategies. One option is to collaborate with Bridgerton Farms Ltd, a company based in South Africa, to produce luxury shoes made from exotic materials such as crocodile hide and market them to wealthy customers in China, the United States, and the Middle East. This may expose Troyland to censure and backlash from consumers and regulators due to ethical concerns surrounding the use of exotic animal materials, despite the fact that it may generate additional sales and diversify the company's revenue streams.</w:t>
          </w:r>
        </w:p>
        <w:p>
          <w:pPr>
            <w:spacing w:after="0" w:line="240" w:lineRule="auto"/>
            <w:rPr>
              <w:rFonts w:ascii="Calibri" w:hAnsi="Calibri" w:eastAsia="等线" w:cs="Times New Roman"/>
              <w:sz w:val="24"/>
              <w:szCs w:val="24"/>
              <w:lang w:val="zh-CN" w:eastAsia="zh-CN"/>
            </w:rPr>
          </w:pP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Expanding the retail division to include handbags, purses, and wallets, as well as perfume and cosmetics, is yet another expansion opportunity. Troyland could attract new consumers, increase its market share, and increase cross-selling opportunities if it offered a broader selection of products. Nonetheless, this would necessitate substantial investments in product development, marketing, and possibly additional personnel and training.</w:t>
          </w:r>
        </w:p>
        <w:p>
          <w:pPr>
            <w:spacing w:after="0" w:line="240" w:lineRule="auto"/>
            <w:rPr>
              <w:rFonts w:ascii="Calibri" w:hAnsi="Calibri" w:eastAsia="等线" w:cs="Times New Roman"/>
              <w:sz w:val="24"/>
              <w:szCs w:val="24"/>
              <w:lang w:val="zh-CN" w:eastAsia="zh-CN"/>
            </w:rPr>
          </w:pP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In light of the growth crisis Troyland Footwear Limited is experiencing, it is imperative that the company carefully consider its expansion options and strategically adapt to the shifting market conditions. Troyland can surmount its challenges and achieve sustainable growth by diversifying its product offerings, enhancing its operational efficiency, and investigating alternative sourcing options.</w:t>
          </w:r>
        </w:p>
        <w:p>
          <w:pPr>
            <w:spacing w:after="0" w:line="240" w:lineRule="auto"/>
            <w:rPr>
              <w:rFonts w:ascii="Calibri" w:hAnsi="Calibri" w:eastAsia="等线" w:cs="Times New Roman"/>
              <w:sz w:val="24"/>
              <w:szCs w:val="24"/>
              <w:lang w:val="zh-CN" w:eastAsia="zh-CN"/>
            </w:rPr>
          </w:pPr>
        </w:p>
        <w:p>
          <w:pPr>
            <w:keepNext/>
            <w:keepLines/>
            <w:spacing w:before="240" w:after="0" w:line="240" w:lineRule="auto"/>
            <w:ind w:left="432" w:hanging="432"/>
            <w:outlineLvl w:val="0"/>
            <w:rPr>
              <w:rFonts w:ascii="Calibri Light" w:hAnsi="Calibri Light" w:eastAsia="等线 Light" w:cs="Times New Roman"/>
              <w:color w:val="2F5496"/>
              <w:sz w:val="32"/>
              <w:szCs w:val="32"/>
              <w:lang w:val="zh-CN" w:eastAsia="zh-CN"/>
            </w:rPr>
          </w:pPr>
          <w:r>
            <w:rPr>
              <w:rFonts w:ascii="Calibri Light" w:hAnsi="Calibri Light" w:eastAsia="等线 Light" w:cs="Times New Roman"/>
              <w:color w:val="2F5496"/>
              <w:sz w:val="32"/>
              <w:szCs w:val="32"/>
              <w:lang w:val="zh-CN" w:eastAsia="zh-CN"/>
            </w:rPr>
            <w:t>Quantitative and Qualitative Performance Analysis using Balanced Scorecard</w:t>
          </w:r>
        </w:p>
        <w:p>
          <w:pPr>
            <w:keepNext/>
            <w:keepLines/>
            <w:numPr>
              <w:ilvl w:val="1"/>
              <w:numId w:val="0"/>
            </w:numPr>
            <w:spacing w:before="40" w:after="0" w:line="240" w:lineRule="auto"/>
            <w:ind w:left="576" w:hanging="576"/>
            <w:outlineLvl w:val="1"/>
            <w:rPr>
              <w:rFonts w:ascii="Calibri Light" w:hAnsi="Calibri Light" w:eastAsia="等线 Light" w:cs="Times New Roman"/>
              <w:color w:val="2F5496"/>
              <w:sz w:val="26"/>
              <w:szCs w:val="26"/>
              <w:lang w:val="zh-CN" w:eastAsia="zh-CN"/>
            </w:rPr>
          </w:pPr>
          <w:r>
            <w:rPr>
              <w:rFonts w:ascii="Calibri Light" w:hAnsi="Calibri Light" w:eastAsia="等线 Light" w:cs="Times New Roman"/>
              <w:color w:val="2F5496"/>
              <w:sz w:val="26"/>
              <w:szCs w:val="26"/>
              <w:lang w:val="zh-CN" w:eastAsia="zh-CN"/>
            </w:rPr>
            <w:t>Financial perspective: Revenue, cost, and profitability trends</w:t>
          </w: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Analysing the financial performance of Troyland Footwear Limited reveals a declining trend in revenue and profitability. The company's revenue increased from £1.4 million in 2018 to £1.75 million in 2019, but decreased to £1.455 million in 2020 and is projected to fall to £600,000 in 2021. Similarly, the gross profit margin has decreased as a result of increased costs caused by import restrictions and a shifting sourcing environment. The company's profit before taxes has also declined, with a projected loss of £175,000. These financial metrics indicate that Troyland faces substantial obstacles in maintaining and expanding its revenue and profitability.</w:t>
          </w:r>
        </w:p>
        <w:p>
          <w:pPr>
            <w:spacing w:after="0" w:line="240" w:lineRule="auto"/>
            <w:rPr>
              <w:rFonts w:ascii="Calibri" w:hAnsi="Calibri" w:eastAsia="等线" w:cs="Times New Roman"/>
              <w:sz w:val="24"/>
              <w:szCs w:val="24"/>
              <w:lang w:val="zh-CN" w:eastAsia="zh-CN"/>
            </w:rPr>
          </w:pPr>
        </w:p>
        <w:p>
          <w:pPr>
            <w:keepNext/>
            <w:keepLines/>
            <w:numPr>
              <w:ilvl w:val="1"/>
              <w:numId w:val="0"/>
            </w:numPr>
            <w:spacing w:before="40" w:after="0" w:line="240" w:lineRule="auto"/>
            <w:ind w:left="576" w:hanging="576"/>
            <w:outlineLvl w:val="1"/>
            <w:rPr>
              <w:rFonts w:ascii="Calibri Light" w:hAnsi="Calibri Light" w:eastAsia="等线 Light" w:cs="Times New Roman"/>
              <w:color w:val="2F5496"/>
              <w:sz w:val="26"/>
              <w:szCs w:val="26"/>
              <w:lang w:val="zh-CN" w:eastAsia="zh-CN"/>
            </w:rPr>
          </w:pPr>
          <w:r>
            <w:rPr>
              <w:rFonts w:ascii="Calibri Light" w:hAnsi="Calibri Light" w:eastAsia="等线 Light" w:cs="Times New Roman"/>
              <w:color w:val="2F5496"/>
              <w:sz w:val="26"/>
              <w:szCs w:val="26"/>
              <w:lang w:val="zh-CN" w:eastAsia="zh-CN"/>
            </w:rPr>
            <w:t>Customer perspective: Customer satisfaction, acquisition, and retention</w:t>
          </w:r>
        </w:p>
        <w:p>
          <w:pPr>
            <w:tabs>
              <w:tab w:val="left" w:pos="1663"/>
            </w:tabs>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From a customer perspective, Troyland Footwear Limited has improved customer satisfaction, as evidenced by a rise from 69% in 2018 to 82% in 2020, according to survey results. However, the company has encountered fluctuations in the acquisition of new customers, with the number decreasing from 11 in 2018 to 13 in 2019 and increasing to 18 in 2020. Additionally, the sales-to-website-visits ratio has increased, indicating that the company's online presence is driving sales. Troyland must continue to prioritise delivering high-quality products, superior service, and a seamless online experience in order to maintain and increase customer satisfaction, acquisition, and retention.</w:t>
          </w:r>
        </w:p>
        <w:p>
          <w:pPr>
            <w:tabs>
              <w:tab w:val="left" w:pos="1663"/>
            </w:tabs>
            <w:spacing w:after="0" w:line="240" w:lineRule="auto"/>
            <w:rPr>
              <w:rFonts w:ascii="Calibri" w:hAnsi="Calibri" w:eastAsia="等线" w:cs="Times New Roman"/>
              <w:sz w:val="24"/>
              <w:szCs w:val="24"/>
              <w:lang w:val="zh-CN" w:eastAsia="zh-CN"/>
            </w:rPr>
          </w:pPr>
        </w:p>
        <w:p>
          <w:pPr>
            <w:keepNext/>
            <w:keepLines/>
            <w:numPr>
              <w:ilvl w:val="1"/>
              <w:numId w:val="0"/>
            </w:numPr>
            <w:spacing w:before="40" w:after="0" w:line="240" w:lineRule="auto"/>
            <w:ind w:left="576" w:hanging="576"/>
            <w:outlineLvl w:val="1"/>
            <w:rPr>
              <w:rFonts w:ascii="Calibri Light" w:hAnsi="Calibri Light" w:eastAsia="等线 Light" w:cs="Times New Roman"/>
              <w:color w:val="2F5496"/>
              <w:sz w:val="26"/>
              <w:szCs w:val="26"/>
              <w:lang w:val="zh-CN" w:eastAsia="zh-CN"/>
            </w:rPr>
          </w:pPr>
          <w:r>
            <w:rPr>
              <w:rFonts w:ascii="Calibri Light" w:hAnsi="Calibri Light" w:eastAsia="等线 Light" w:cs="Times New Roman"/>
              <w:color w:val="2F5496"/>
              <w:sz w:val="26"/>
              <w:szCs w:val="26"/>
              <w:lang w:val="zh-CN" w:eastAsia="zh-CN"/>
            </w:rPr>
            <w:t>Internal business process perspective: Operational efficiency, error rates, and lead times</w:t>
          </w: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The evaluation of the company's internal business processes reveals opportunities for enhancing operational effectiveness, error rates, and lead times. The decrease in Troyland's error rate from 17% in 2018 to 6% in 2020 indicates an upward trend in product quality and consistency. However, the current lead time for acquiring raw materials from Japan is sixty days, which could be greatly reduced by sourcing from alternative suppliers in Brazil, Benin, Thailand, and Vietnam. While Japanese suppliers offer 30 days of credit, operational efficiency and adaptability can be improved by considering the potential cost savings and shorter lead times from other sources.</w:t>
          </w:r>
        </w:p>
        <w:p>
          <w:pPr>
            <w:keepNext/>
            <w:keepLines/>
            <w:numPr>
              <w:ilvl w:val="1"/>
              <w:numId w:val="0"/>
            </w:numPr>
            <w:spacing w:before="40" w:after="0" w:line="240" w:lineRule="auto"/>
            <w:ind w:left="576" w:hanging="576"/>
            <w:outlineLvl w:val="1"/>
            <w:rPr>
              <w:rFonts w:ascii="Calibri Light" w:hAnsi="Calibri Light" w:eastAsia="等线 Light" w:cs="Times New Roman"/>
              <w:color w:val="2F5496"/>
              <w:sz w:val="26"/>
              <w:szCs w:val="26"/>
              <w:lang w:val="zh-CN" w:eastAsia="zh-CN"/>
            </w:rPr>
          </w:pPr>
          <w:r>
            <w:rPr>
              <w:rFonts w:ascii="Calibri Light" w:hAnsi="Calibri Light" w:eastAsia="等线 Light" w:cs="Times New Roman"/>
              <w:color w:val="2F5496"/>
              <w:sz w:val="26"/>
              <w:szCs w:val="26"/>
              <w:lang w:val="zh-CN" w:eastAsia="zh-CN"/>
            </w:rPr>
            <w:t>Learning and growth perspective: Employee retention, development, and productivity</w:t>
          </w: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The employee retention rate at Troyland Footwear Limited has improved, rising from 82% in 2018 to 89% in 2020. The number of Continuing Professional Development (CPD) courses attended per employee per year will increase from five in 2018 to thirteen in 2020. This emphasis on employee growth and development can increase productivity and contribute to the overall success of the organisation.</w:t>
          </w:r>
        </w:p>
        <w:p>
          <w:pPr>
            <w:spacing w:after="0" w:line="240" w:lineRule="auto"/>
            <w:rPr>
              <w:rFonts w:ascii="Calibri" w:hAnsi="Calibri" w:eastAsia="等线" w:cs="Times New Roman"/>
              <w:sz w:val="24"/>
              <w:szCs w:val="24"/>
              <w:lang w:val="zh-CN" w:eastAsia="zh-CN"/>
            </w:rPr>
          </w:pP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Nevertheless, the average job completion time has decreased from 15 days in 2018 to 8 days in 2020, indicating potential burden and resource allocation issues. In order to resolve this issue, Troyland should evaluate its staffing levels, streamline its processes, and provide additional training and support to its employees.</w:t>
          </w:r>
        </w:p>
        <w:p>
          <w:pPr>
            <w:spacing w:after="0" w:line="240" w:lineRule="auto"/>
            <w:rPr>
              <w:rFonts w:ascii="Calibri" w:hAnsi="Calibri" w:eastAsia="等线" w:cs="Times New Roman"/>
              <w:sz w:val="24"/>
              <w:szCs w:val="24"/>
              <w:lang w:val="zh-CN" w:eastAsia="zh-CN"/>
            </w:rPr>
          </w:pP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In conclusion, the quantitative and qualitative performance analysis conducted by Troyland Footwear Limited using the Balanced Scorecard identifies areas of strength and opportunities for improvement in the financial, customer, internal business process, and learning and growth perspectives. By addressing these issues, the company can improve its overall performance, navigate the growth crisis, and achieve long-term success in the highly competitive footwear industry.</w:t>
          </w:r>
        </w:p>
        <w:p>
          <w:pPr>
            <w:spacing w:after="0" w:line="240" w:lineRule="auto"/>
            <w:rPr>
              <w:rFonts w:ascii="Calibri" w:hAnsi="Calibri" w:eastAsia="等线" w:cs="Times New Roman"/>
              <w:sz w:val="24"/>
              <w:szCs w:val="24"/>
              <w:lang w:val="zh-CN" w:eastAsia="zh-CN"/>
            </w:rPr>
          </w:pPr>
        </w:p>
        <w:p>
          <w:pPr>
            <w:keepNext/>
            <w:keepLines/>
            <w:spacing w:before="240" w:after="0" w:line="240" w:lineRule="auto"/>
            <w:ind w:left="432" w:hanging="432"/>
            <w:outlineLvl w:val="0"/>
            <w:rPr>
              <w:rFonts w:ascii="Calibri Light" w:hAnsi="Calibri Light" w:eastAsia="等线 Light" w:cs="Times New Roman"/>
              <w:color w:val="2F5496"/>
              <w:sz w:val="32"/>
              <w:szCs w:val="32"/>
              <w:lang w:val="zh-CN" w:eastAsia="zh-CN"/>
            </w:rPr>
          </w:pPr>
          <w:r>
            <w:rPr>
              <w:rFonts w:ascii="Calibri Light" w:hAnsi="Calibri Light" w:eastAsia="等线 Light" w:cs="Times New Roman"/>
              <w:color w:val="2F5496"/>
              <w:sz w:val="32"/>
              <w:szCs w:val="32"/>
              <w:lang w:val="zh-CN" w:eastAsia="zh-CN"/>
            </w:rPr>
            <w:t>Business Process Reengineering</w:t>
          </w:r>
        </w:p>
        <w:p>
          <w:pPr>
            <w:keepNext/>
            <w:keepLines/>
            <w:numPr>
              <w:ilvl w:val="1"/>
              <w:numId w:val="0"/>
            </w:numPr>
            <w:spacing w:before="40" w:after="0" w:line="240" w:lineRule="auto"/>
            <w:ind w:left="576" w:hanging="576"/>
            <w:outlineLvl w:val="1"/>
            <w:rPr>
              <w:rFonts w:ascii="Calibri Light" w:hAnsi="Calibri Light" w:eastAsia="等线 Light" w:cs="Times New Roman"/>
              <w:color w:val="2F5496"/>
              <w:sz w:val="26"/>
              <w:szCs w:val="26"/>
              <w:lang w:val="zh-CN" w:eastAsia="zh-CN"/>
            </w:rPr>
          </w:pPr>
          <w:r>
            <w:rPr>
              <w:rFonts w:ascii="Calibri Light" w:hAnsi="Calibri Light" w:eastAsia="等线 Light" w:cs="Times New Roman"/>
              <w:color w:val="2F5496"/>
              <w:sz w:val="26"/>
              <w:szCs w:val="26"/>
              <w:lang w:val="zh-CN" w:eastAsia="zh-CN"/>
            </w:rPr>
            <w:t>Identification of core processes for improvement</w:t>
          </w: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To address the growth crisis and boost the overall performance of Troyland Footwear Limited, the company must identify and reengineer its core business processes. Focus on procurement and sourcing, production and design, sales and marketing, and employee development as crucial processes.</w:t>
          </w:r>
        </w:p>
        <w:p>
          <w:pPr>
            <w:spacing w:after="0" w:line="240" w:lineRule="auto"/>
            <w:rPr>
              <w:rFonts w:ascii="Calibri" w:hAnsi="Calibri" w:eastAsia="等线" w:cs="Times New Roman"/>
              <w:sz w:val="24"/>
              <w:szCs w:val="24"/>
              <w:lang w:val="zh-CN" w:eastAsia="zh-CN"/>
            </w:rPr>
          </w:pPr>
        </w:p>
        <w:p>
          <w:pPr>
            <w:keepNext/>
            <w:keepLines/>
            <w:numPr>
              <w:ilvl w:val="1"/>
              <w:numId w:val="0"/>
            </w:numPr>
            <w:spacing w:before="40" w:after="0" w:line="240" w:lineRule="auto"/>
            <w:ind w:left="576" w:hanging="576"/>
            <w:outlineLvl w:val="1"/>
            <w:rPr>
              <w:rFonts w:ascii="Calibri Light" w:hAnsi="Calibri Light" w:eastAsia="等线 Light" w:cs="Times New Roman"/>
              <w:color w:val="2F5496"/>
              <w:sz w:val="26"/>
              <w:szCs w:val="26"/>
              <w:lang w:val="zh-CN" w:eastAsia="zh-CN"/>
            </w:rPr>
          </w:pPr>
          <w:r>
            <w:rPr>
              <w:rFonts w:ascii="Calibri Light" w:hAnsi="Calibri Light" w:eastAsia="等线 Light" w:cs="Times New Roman"/>
              <w:color w:val="2F5496"/>
              <w:sz w:val="26"/>
              <w:szCs w:val="26"/>
              <w:lang w:val="zh-CN" w:eastAsia="zh-CN"/>
            </w:rPr>
            <w:t>Evaluation of potential improvements and their impacts</w:t>
          </w: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As stated previously, Troyland Footwear Limited obtains its raw materials from Japan with a 60-day advance time. By diversifying its supply chain and procuring from countries such as Brazil, Benin, Thailand, and Vietnam, the company could substantially reduce lead times and costs. When making this decision, the organisation must also consider the potential impact on credit terms and supplier relationships.</w:t>
          </w:r>
        </w:p>
        <w:p>
          <w:pPr>
            <w:spacing w:after="0" w:line="240" w:lineRule="auto"/>
            <w:rPr>
              <w:rFonts w:ascii="Calibri" w:hAnsi="Calibri" w:eastAsia="等线" w:cs="Times New Roman"/>
              <w:sz w:val="24"/>
              <w:szCs w:val="24"/>
              <w:lang w:val="zh-CN" w:eastAsia="zh-CN"/>
            </w:rPr>
          </w:pP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Troyland can improve its production and design processes by investing in cutting-edge technology, such as computer-aided design (CAD) and manufacturing systems, to increase efficiency and decrease error rates. In addition, the company could consider refining its product offerings to concentrate on core, high-margin items and exploring the possibility of outsourcing some production activities in order to reduce costs and enhance scalability.</w:t>
          </w:r>
        </w:p>
        <w:p>
          <w:pPr>
            <w:spacing w:after="0" w:line="240" w:lineRule="auto"/>
            <w:rPr>
              <w:rFonts w:ascii="Calibri" w:hAnsi="Calibri" w:eastAsia="等线" w:cs="Times New Roman"/>
              <w:sz w:val="24"/>
              <w:szCs w:val="24"/>
              <w:lang w:val="zh-CN" w:eastAsia="zh-CN"/>
            </w:rPr>
          </w:pP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To increase its market share and customer base, Troyland should diversify its product offerings and investigate new sales channels, such as e-commerce platforms and partnerships with other retailers. Additionally, the company could invest in targeted marketing campaigns that leverage social media and other digital channels to reach a larger audience and increase sales. In addition, Troyland should evaluate its pricing strategy to determine if a penetration pricing strategy could help preserve or expand its market share.</w:t>
          </w:r>
        </w:p>
        <w:p>
          <w:pPr>
            <w:spacing w:after="0" w:line="240" w:lineRule="auto"/>
            <w:rPr>
              <w:rFonts w:ascii="Calibri" w:hAnsi="Calibri" w:eastAsia="等线" w:cs="Times New Roman"/>
              <w:sz w:val="24"/>
              <w:szCs w:val="24"/>
              <w:lang w:val="zh-CN" w:eastAsia="zh-CN"/>
            </w:rPr>
          </w:pP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Troyland Footwear Limited should continue to invest in employee development, with a focus on enhancing skills and providing opportunities for growth. This may involve providing additional training programmes, promoting a culture of continuous learning, and implementing performance management systems to monitor and reward employee performance.</w:t>
          </w:r>
        </w:p>
        <w:p>
          <w:pPr>
            <w:spacing w:after="0" w:line="240" w:lineRule="auto"/>
            <w:rPr>
              <w:rFonts w:ascii="Calibri" w:hAnsi="Calibri" w:eastAsia="等线" w:cs="Times New Roman"/>
              <w:sz w:val="24"/>
              <w:szCs w:val="24"/>
              <w:lang w:val="zh-CN" w:eastAsia="zh-CN"/>
            </w:rPr>
          </w:pPr>
        </w:p>
        <w:p>
          <w:pPr>
            <w:keepNext/>
            <w:keepLines/>
            <w:numPr>
              <w:ilvl w:val="1"/>
              <w:numId w:val="0"/>
            </w:numPr>
            <w:spacing w:before="40" w:after="0" w:line="240" w:lineRule="auto"/>
            <w:ind w:left="576" w:hanging="576"/>
            <w:outlineLvl w:val="1"/>
            <w:rPr>
              <w:rFonts w:ascii="Calibri Light" w:hAnsi="Calibri Light" w:eastAsia="等线 Light" w:cs="Times New Roman"/>
              <w:color w:val="2F5496"/>
              <w:sz w:val="26"/>
              <w:szCs w:val="26"/>
              <w:lang w:val="zh-CN" w:eastAsia="zh-CN"/>
            </w:rPr>
          </w:pPr>
          <w:r>
            <w:rPr>
              <w:rFonts w:ascii="Calibri Light" w:hAnsi="Calibri Light" w:eastAsia="等线 Light" w:cs="Times New Roman"/>
              <w:color w:val="2F5496"/>
              <w:sz w:val="26"/>
              <w:szCs w:val="26"/>
              <w:lang w:val="zh-CN" w:eastAsia="zh-CN"/>
            </w:rPr>
            <w:t>Recommendations for implementation</w:t>
          </w: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On the basis of an analysis of prospective enhancements and their consequences, the following recommendations are proposed for implementation:</w:t>
          </w:r>
        </w:p>
        <w:p>
          <w:pPr>
            <w:spacing w:after="0" w:line="240" w:lineRule="auto"/>
            <w:rPr>
              <w:rFonts w:ascii="Calibri" w:hAnsi="Calibri" w:eastAsia="等线" w:cs="Times New Roman"/>
              <w:sz w:val="24"/>
              <w:szCs w:val="24"/>
              <w:lang w:val="zh-CN" w:eastAsia="zh-CN"/>
            </w:rPr>
          </w:pP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Diversify the supply chain by evaluating the cost, lead time, and dependability of alternative suppliers in Brazil, Benin, Thailand, and Vietnam. If the benefits outweigh the risks, transition progressively to these new suppliers to reduce disruption.</w:t>
          </w:r>
        </w:p>
        <w:p>
          <w:pPr>
            <w:spacing w:after="0" w:line="240" w:lineRule="auto"/>
            <w:rPr>
              <w:rFonts w:ascii="Calibri" w:hAnsi="Calibri" w:eastAsia="等线" w:cs="Times New Roman"/>
              <w:sz w:val="24"/>
              <w:szCs w:val="24"/>
              <w:lang w:val="zh-CN" w:eastAsia="zh-CN"/>
            </w:rPr>
          </w:pP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Invest in technology and streamline production: Employ cutting-edge design and manufacturing technologies to enhance productivity, reduce defects, and optimise production processes. Assess the potential advantages of outsourcing some production activities and focusing on high-margin, primary products.</w:t>
          </w:r>
        </w:p>
        <w:p>
          <w:pPr>
            <w:spacing w:after="0" w:line="240" w:lineRule="auto"/>
            <w:rPr>
              <w:rFonts w:ascii="Calibri" w:hAnsi="Calibri" w:eastAsia="等线" w:cs="Times New Roman"/>
              <w:sz w:val="24"/>
              <w:szCs w:val="24"/>
              <w:lang w:val="zh-CN" w:eastAsia="zh-CN"/>
            </w:rPr>
          </w:pP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Explore the viability of diversifying product offerings and entering new markets, such as handbags, purses, wallets, retail fashion, and perfume &amp; cosmetics. In addition, use e-commerce platforms and partnerships with other retailers to expand your customer base and increase sales.</w:t>
          </w:r>
        </w:p>
        <w:p>
          <w:pPr>
            <w:spacing w:after="0" w:line="240" w:lineRule="auto"/>
            <w:rPr>
              <w:rFonts w:ascii="Calibri" w:hAnsi="Calibri" w:eastAsia="等线" w:cs="Times New Roman"/>
              <w:sz w:val="24"/>
              <w:szCs w:val="24"/>
              <w:lang w:val="zh-CN" w:eastAsia="zh-CN"/>
            </w:rPr>
          </w:pP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Utilise digital channels, including social media, to initiate targeted marketing campaigns that highlight Troyland's unique value proposition and increase customer engagement.</w:t>
          </w:r>
        </w:p>
        <w:p>
          <w:pPr>
            <w:spacing w:after="0" w:line="240" w:lineRule="auto"/>
            <w:rPr>
              <w:rFonts w:ascii="Calibri" w:hAnsi="Calibri" w:eastAsia="等线" w:cs="Times New Roman"/>
              <w:sz w:val="24"/>
              <w:szCs w:val="24"/>
              <w:lang w:val="zh-CN" w:eastAsia="zh-CN"/>
            </w:rPr>
          </w:pPr>
          <w:r>
            <w:rPr>
              <w:rFonts w:ascii="Calibri" w:hAnsi="Calibri" w:eastAsia="等线" w:cs="Times New Roman"/>
              <w:sz w:val="24"/>
              <w:szCs w:val="24"/>
              <w:lang w:val="zh-CN" w:eastAsia="zh-CN"/>
            </w:rPr>
            <w:t>Continue to invest in employee growth and development through training programmes, performance management systems, and a culture of lifelong learning. This will help ensure a skilled and motivated workforce capable of driving the development and success of the company.</w:t>
          </w:r>
        </w:p>
        <w:p>
          <w:pPr>
            <w:spacing w:after="0" w:line="240" w:lineRule="auto"/>
            <w:rPr>
              <w:rFonts w:ascii="Calibri" w:hAnsi="Calibri" w:eastAsia="等线" w:cs="Times New Roman"/>
              <w:sz w:val="24"/>
              <w:szCs w:val="24"/>
              <w:lang w:val="zh-CN" w:eastAsia="zh-CN"/>
            </w:rPr>
          </w:pPr>
        </w:p>
        <w:p>
          <w:pPr>
            <w:spacing w:after="0" w:line="240" w:lineRule="auto"/>
          </w:pPr>
          <w:r>
            <w:rPr>
              <w:rFonts w:ascii="Calibri" w:hAnsi="Calibri" w:eastAsia="等线" w:cs="Times New Roman"/>
              <w:sz w:val="24"/>
              <w:szCs w:val="24"/>
              <w:lang w:val="zh-CN" w:eastAsia="zh-CN"/>
            </w:rPr>
            <w:t>By implementing these recommendations through a business process reengineering strategy, Troyland Footwear Limited will be able to address its growth crisis, enhance its overall performance, and achieve long-term success in the highly competitive footwear industry.</w:t>
          </w:r>
        </w:p>
        <w:p>
          <w:pPr>
            <w:rPr>
              <w:rFonts w:asciiTheme="majorHAnsi" w:hAnsiTheme="majorHAnsi" w:eastAsiaTheme="majorEastAsia" w:cstheme="majorBidi"/>
              <w:color w:val="2E75B6" w:themeColor="accent1" w:themeShade="BF"/>
              <w:sz w:val="32"/>
              <w:szCs w:val="32"/>
            </w:rPr>
          </w:pPr>
          <w:bookmarkStart w:id="5" w:name="_Toc129339190"/>
          <w:r>
            <w:br w:type="page"/>
          </w:r>
        </w:p>
        <w:p>
          <w:pPr>
            <w:pStyle w:val="2"/>
          </w:pPr>
          <w:r>
            <w:t>Conclusion (average of 10% of word count)</w:t>
          </w:r>
          <w:bookmarkEnd w:id="5"/>
        </w:p>
        <w:p/>
        <w:p>
          <w:pPr>
            <w:rPr>
              <w:lang w:val="en-US"/>
            </w:rPr>
          </w:pPr>
          <w:r>
            <w:rPr>
              <w:lang w:val="en-US"/>
            </w:rPr>
            <w:t>This report analyses the growth crisis confronting Troyland Footwear Limited, evaluates the company's quantitative and qualitative performance using the Balanced Scorecard framework, and investigates the necessity of business process reengineering. The analysis revealed a number of significant issues, such as market trends and competition, the impact of import restrictions and Brexit, declining sales performance, and obstacles to expanding the business.</w:t>
          </w:r>
        </w:p>
        <w:p>
          <w:pPr>
            <w:rPr>
              <w:lang w:val="en-US"/>
            </w:rPr>
          </w:pPr>
          <w:r>
            <w:rPr>
              <w:lang w:val="en-US"/>
            </w:rPr>
            <w:t>The report recommends a series of strategic actions centred on reengineering fundamental business processes to address these issues and improve the company's overall performance. These suggestions include diversifying the supply chain, investing in technology and refining production processes, expanding product offerings and sales channels, developing targeted marketing campaigns, and encouraging the growth and development of employees.</w:t>
          </w:r>
        </w:p>
        <w:p>
          <w:pPr>
            <w:rPr>
              <w:lang w:val="en-US"/>
            </w:rPr>
          </w:pPr>
          <w:r>
            <w:rPr>
              <w:lang w:val="en-US"/>
            </w:rPr>
            <w:t>Troyland Footwear Limited can surmount the growth crisis and achieve long-term success in the competitive footwear industry by implementing these recommendations. The company will be better equipped to navigate external challenges, such as import restrictions and Brexit, while also capitalising on new growth opportunities.</w:t>
          </w:r>
        </w:p>
        <w:p>
          <w:pPr>
            <w:rPr>
              <w:lang w:val="en-US"/>
            </w:rPr>
          </w:pPr>
          <w:r>
            <w:rPr>
              <w:lang w:val="en-US"/>
            </w:rPr>
            <w:t>In conclusion, Troyland Footwear Limited's growth crisis can be resolved through a comprehensive business process reengineering strategy. By focusing on improving essential processes and implementing the suggestions outlined in this report, the company can improve its overall performance, increase its market share, and ensure its future success in the footwear industry.</w:t>
          </w:r>
        </w:p>
        <w:p>
          <w:pPr>
            <w:rPr>
              <w:rFonts w:asciiTheme="majorHAnsi" w:hAnsiTheme="majorHAnsi" w:eastAsiaTheme="majorEastAsia" w:cstheme="majorBidi"/>
              <w:color w:val="2E75B6" w:themeColor="accent1" w:themeShade="BF"/>
              <w:sz w:val="32"/>
              <w:szCs w:val="32"/>
            </w:rPr>
          </w:pPr>
          <w:bookmarkStart w:id="6" w:name="_Toc129339191"/>
          <w:r>
            <w:br w:type="page"/>
          </w:r>
        </w:p>
        <w:p>
          <w:pPr>
            <w:pStyle w:val="2"/>
          </w:pPr>
          <w:r>
            <w:t>Bibliography</w:t>
          </w:r>
        </w:p>
      </w:sdtContent>
    </w:sdt>
    <w:bookmarkEnd w:id="6"/>
    <w:p>
      <w:pPr>
        <w:pStyle w:val="13"/>
        <w:ind w:left="567" w:hanging="567"/>
      </w:pPr>
      <w:r>
        <w:t xml:space="preserve">Alles, M. and Datar, S. (1998) “Strategic transfer pricing,” </w:t>
      </w:r>
      <w:r>
        <w:rPr>
          <w:i/>
          <w:iCs/>
        </w:rPr>
        <w:t>Management Science</w:t>
      </w:r>
      <w:r>
        <w:t xml:space="preserve">, 44(4), pp. 451–461. Available at: https://doi.org/10.1287/mnsc.44.4.451. </w:t>
      </w:r>
    </w:p>
    <w:p>
      <w:pPr>
        <w:pStyle w:val="13"/>
        <w:ind w:left="567" w:hanging="567"/>
      </w:pPr>
      <w:r>
        <w:t xml:space="preserve">Chavan, M. (2009) “The balanced scorecard: A new challenge,” </w:t>
      </w:r>
      <w:r>
        <w:rPr>
          <w:i/>
          <w:iCs/>
        </w:rPr>
        <w:t>Journal of Management Development</w:t>
      </w:r>
      <w:r>
        <w:t xml:space="preserve">, 28(5), pp. 393–406. Available at: https://doi.org/10.1108/02621710910955930. </w:t>
      </w:r>
    </w:p>
    <w:p>
      <w:pPr>
        <w:pStyle w:val="13"/>
        <w:ind w:left="567" w:hanging="567"/>
      </w:pPr>
      <w:r>
        <w:t xml:space="preserve">den Hartog, D.N., Boselie, P. and Paauwe, J. (2004) “Performance management: A model and research agenda,” </w:t>
      </w:r>
      <w:r>
        <w:rPr>
          <w:i/>
          <w:iCs/>
        </w:rPr>
        <w:t>Applied Psychology</w:t>
      </w:r>
      <w:r>
        <w:t xml:space="preserve">, 53(4), pp. 556–569. Available at: https://doi.org/10.1111/j.1464-0597.2004.00188.x. </w:t>
      </w:r>
    </w:p>
    <w:p>
      <w:pPr>
        <w:pStyle w:val="13"/>
        <w:ind w:left="567" w:hanging="567"/>
      </w:pPr>
      <w:r>
        <w:t xml:space="preserve">Folan, P. and Browne, J. (2005) “A review of Performance measurement: Towards performance management,” </w:t>
      </w:r>
      <w:r>
        <w:rPr>
          <w:i/>
          <w:iCs/>
        </w:rPr>
        <w:t>Computers in Industry</w:t>
      </w:r>
      <w:r>
        <w:t xml:space="preserve">, 56(7), pp. 663–680. Available at: https://doi.org/10.1016/j.compind.2005.03.001. </w:t>
      </w:r>
    </w:p>
    <w:p>
      <w:pPr>
        <w:pStyle w:val="13"/>
        <w:ind w:left="567" w:hanging="567"/>
      </w:pPr>
      <w:r>
        <w:t xml:space="preserve">Grover, V. </w:t>
      </w:r>
      <w:r>
        <w:rPr>
          <w:i/>
          <w:iCs/>
        </w:rPr>
        <w:t>et al.</w:t>
      </w:r>
      <w:r>
        <w:t xml:space="preserve"> (1995) “The implementation of business process reengineering,” </w:t>
      </w:r>
      <w:r>
        <w:rPr>
          <w:i/>
          <w:iCs/>
        </w:rPr>
        <w:t>Journal of Management Information Systems</w:t>
      </w:r>
      <w:r>
        <w:t xml:space="preserve">, 12(1), pp. 109–144. Available at: https://doi.org/10.1080/07421222.1995.11518072. </w:t>
      </w:r>
    </w:p>
    <w:p>
      <w:pPr>
        <w:pStyle w:val="13"/>
        <w:ind w:left="567" w:hanging="567"/>
      </w:pPr>
      <w:r>
        <w:t xml:space="preserve">Gunasekaran, A. and Kobu, B. (2002) “Modelling and analysis of business process reengineering,” </w:t>
      </w:r>
      <w:r>
        <w:rPr>
          <w:i/>
          <w:iCs/>
        </w:rPr>
        <w:t>International Journal of Production Research</w:t>
      </w:r>
      <w:r>
        <w:t xml:space="preserve">, 40(11), pp. 2521–2546. Available at: https://doi.org/10.1080/00207540210132733. </w:t>
      </w:r>
    </w:p>
    <w:p>
      <w:pPr>
        <w:pStyle w:val="13"/>
        <w:ind w:left="567" w:hanging="567"/>
      </w:pPr>
      <w:r>
        <w:t xml:space="preserve">Jensen, M.C. and Meckling, W.H. (1998) “Divisional performance measurement,” </w:t>
      </w:r>
      <w:r>
        <w:rPr>
          <w:i/>
          <w:iCs/>
        </w:rPr>
        <w:t>SSRN Electronic Journal</w:t>
      </w:r>
      <w:r>
        <w:t xml:space="preserve"> [Preprint]. Available at: https://doi.org/10.2139/ssrn.94109. </w:t>
      </w:r>
    </w:p>
    <w:p>
      <w:pPr>
        <w:pStyle w:val="13"/>
        <w:ind w:left="567" w:hanging="567"/>
      </w:pPr>
      <w:r>
        <w:t xml:space="preserve">Kaplan, R.S. (2009) “Conceptual Foundations of the balanced scorecard,” </w:t>
      </w:r>
      <w:r>
        <w:rPr>
          <w:i/>
          <w:iCs/>
        </w:rPr>
        <w:t>Handbook of Management Accounting Research</w:t>
      </w:r>
      <w:r>
        <w:t xml:space="preserve">, pp. 1253–1269. Available at: https://doi.org/10.1016/s1751-3243(07)03003-9. </w:t>
      </w:r>
    </w:p>
    <w:p>
      <w:pPr>
        <w:pStyle w:val="13"/>
        <w:ind w:left="567" w:hanging="567"/>
      </w:pPr>
      <w:r>
        <w:t xml:space="preserve">O'Neill, P. and Sohal, A.S. (1999) “Business process reengineering a review of recent literature,” </w:t>
      </w:r>
      <w:r>
        <w:rPr>
          <w:i/>
          <w:iCs/>
        </w:rPr>
        <w:t>Technovation</w:t>
      </w:r>
      <w:r>
        <w:t xml:space="preserve">, 19(9), pp. 571–581. Available at: https://doi.org/10.1016/s0166-4972(99)00059-0. </w:t>
      </w:r>
    </w:p>
    <w:p>
      <w:pPr>
        <w:pStyle w:val="13"/>
        <w:ind w:left="567" w:hanging="567"/>
      </w:pPr>
      <w:r>
        <w:t xml:space="preserve">“Performance management in action” (2007) </w:t>
      </w:r>
      <w:r>
        <w:rPr>
          <w:i/>
          <w:iCs/>
        </w:rPr>
        <w:t>Managing Employee Performance and Reward</w:t>
      </w:r>
      <w:r>
        <w:t xml:space="preserve">, pp. 119–120. Available at: https://doi.org/10.1017/cbo9781139168748.008. </w:t>
      </w:r>
    </w:p>
    <w:p>
      <w:pPr>
        <w:pStyle w:val="13"/>
        <w:ind w:left="567" w:hanging="567"/>
      </w:pPr>
      <w:r>
        <w:t xml:space="preserve">Rainer, R.K. and Watson, H.J. (1995) “The keys to executive information system success,” </w:t>
      </w:r>
      <w:r>
        <w:rPr>
          <w:i/>
          <w:iCs/>
        </w:rPr>
        <w:t>Journal of Management Information Systems</w:t>
      </w:r>
      <w:r>
        <w:t xml:space="preserve">, 12(2), pp. 83–98. Available at: https://doi.org/10.1080/07421222.1995.11518082. </w:t>
      </w:r>
    </w:p>
    <w:p>
      <w:pPr>
        <w:pStyle w:val="13"/>
        <w:ind w:left="567" w:hanging="567"/>
      </w:pPr>
      <w:r>
        <w:t xml:space="preserve">Scott Keating, A. (1997) “Determinants of divisional performance evaluation practices,” </w:t>
      </w:r>
      <w:r>
        <w:rPr>
          <w:i/>
          <w:iCs/>
        </w:rPr>
        <w:t>Journal of Accounting and Economics</w:t>
      </w:r>
      <w:r>
        <w:t xml:space="preserve">, 24(3), pp. 243–273. Available at: https://doi.org/10.1016/s0165-4101(98)00008-1. </w:t>
      </w:r>
    </w:p>
    <w:p>
      <w:pPr>
        <w:pStyle w:val="13"/>
        <w:ind w:left="567" w:hanging="567"/>
      </w:pPr>
      <w:r>
        <w:t xml:space="preserve">Watson, H.J., Rainer, R.K. and Koh, C.E. (1991) “Executive Information Systems: A framework for development and a survey of current practices,” </w:t>
      </w:r>
      <w:r>
        <w:rPr>
          <w:i/>
          <w:iCs/>
        </w:rPr>
        <w:t>MIS Quarterly</w:t>
      </w:r>
      <w:r>
        <w:t xml:space="preserve">, 15(1), p. 13. Available at: https://doi.org/10.2307/249431. </w:t>
      </w:r>
    </w:p>
    <w:p/>
    <w:p/>
    <w:p>
      <w:pPr>
        <w:rPr>
          <w:rFonts w:asciiTheme="majorHAnsi" w:hAnsiTheme="majorHAnsi" w:eastAsiaTheme="majorEastAsia" w:cstheme="majorBidi"/>
          <w:color w:val="2E75B6" w:themeColor="accent1" w:themeShade="BF"/>
          <w:sz w:val="32"/>
          <w:szCs w:val="32"/>
        </w:rPr>
      </w:pPr>
      <w:bookmarkStart w:id="7" w:name="_Toc129339192"/>
      <w:r>
        <w:br w:type="page"/>
      </w:r>
    </w:p>
    <w:p>
      <w:pPr>
        <w:pStyle w:val="2"/>
      </w:pPr>
      <w:r>
        <w:t>Appendix</w:t>
      </w:r>
      <w:bookmarkEnd w:id="7"/>
    </w:p>
    <w:p/>
    <w:p>
      <w:pPr>
        <w:rPr>
          <w:b/>
          <w:bCs/>
        </w:rPr>
      </w:pPr>
      <w:r>
        <w:rPr>
          <w:b/>
          <w:bCs/>
        </w:rPr>
        <w:t>Appendix 1</w:t>
      </w:r>
    </w:p>
    <w:p>
      <w:r>
        <w:rPr>
          <w:b/>
          <w:bCs/>
          <w:u w:val="single"/>
        </w:rPr>
        <w:t>Sales composition</w:t>
      </w:r>
      <w:r>
        <w:rPr>
          <w:b/>
          <w:bCs/>
        </w:rPr>
        <w:t xml:space="preserve"> (%)</w:t>
      </w:r>
      <w:r>
        <w:tab/>
      </w:r>
      <w:r>
        <w:tab/>
      </w:r>
      <w:r>
        <w:t>2018</w:t>
      </w:r>
      <w:r>
        <w:tab/>
      </w:r>
      <w:r>
        <w:tab/>
      </w:r>
      <w:r>
        <w:t>2019</w:t>
      </w:r>
      <w:r>
        <w:tab/>
      </w:r>
      <w:r>
        <w:tab/>
      </w:r>
      <w:r>
        <w:t>2020</w:t>
      </w:r>
      <w:r>
        <w:tab/>
      </w:r>
      <w:r>
        <w:tab/>
      </w:r>
      <w:r>
        <w:t>2021 (projected)</w:t>
      </w:r>
    </w:p>
    <w:p>
      <w:r>
        <w:t>London</w:t>
      </w:r>
      <w:r>
        <w:tab/>
      </w:r>
      <w:r>
        <w:tab/>
      </w:r>
      <w:r>
        <w:tab/>
      </w:r>
      <w:r>
        <w:tab/>
      </w:r>
      <w:r>
        <w:t xml:space="preserve">  17</w:t>
      </w:r>
      <w:r>
        <w:tab/>
      </w:r>
      <w:r>
        <w:tab/>
      </w:r>
      <w:r>
        <w:t xml:space="preserve">  10</w:t>
      </w:r>
      <w:r>
        <w:tab/>
      </w:r>
      <w:r>
        <w:tab/>
      </w:r>
      <w:r>
        <w:t xml:space="preserve">  14</w:t>
      </w:r>
      <w:r>
        <w:tab/>
      </w:r>
      <w:r>
        <w:tab/>
      </w:r>
      <w:r>
        <w:t xml:space="preserve">  34</w:t>
      </w:r>
    </w:p>
    <w:p>
      <w:r>
        <w:t>Rest of England</w:t>
      </w:r>
      <w:r>
        <w:tab/>
      </w:r>
      <w:r>
        <w:tab/>
      </w:r>
      <w:r>
        <w:tab/>
      </w:r>
      <w:r>
        <w:t xml:space="preserve">    5</w:t>
      </w:r>
      <w:r>
        <w:tab/>
      </w:r>
      <w:r>
        <w:tab/>
      </w:r>
      <w:r>
        <w:t xml:space="preserve">    6</w:t>
      </w:r>
      <w:r>
        <w:tab/>
      </w:r>
      <w:r>
        <w:tab/>
      </w:r>
      <w:r>
        <w:t xml:space="preserve">    8</w:t>
      </w:r>
      <w:r>
        <w:tab/>
      </w:r>
      <w:r>
        <w:tab/>
      </w:r>
      <w:r>
        <w:t xml:space="preserve">  16</w:t>
      </w:r>
    </w:p>
    <w:p>
      <w:r>
        <w:t>Wales</w:t>
      </w:r>
      <w:r>
        <w:tab/>
      </w:r>
      <w:r>
        <w:tab/>
      </w:r>
      <w:r>
        <w:tab/>
      </w:r>
      <w:r>
        <w:tab/>
      </w:r>
      <w:r>
        <w:t xml:space="preserve">    8</w:t>
      </w:r>
      <w:r>
        <w:tab/>
      </w:r>
      <w:r>
        <w:tab/>
      </w:r>
      <w:r>
        <w:t xml:space="preserve">    9</w:t>
      </w:r>
      <w:r>
        <w:tab/>
      </w:r>
      <w:r>
        <w:tab/>
      </w:r>
      <w:r>
        <w:t xml:space="preserve">  10</w:t>
      </w:r>
      <w:r>
        <w:tab/>
      </w:r>
      <w:r>
        <w:tab/>
      </w:r>
      <w:r>
        <w:t xml:space="preserve">  15</w:t>
      </w:r>
    </w:p>
    <w:p>
      <w:r>
        <w:t>Rest of Europe</w:t>
      </w:r>
      <w:r>
        <w:tab/>
      </w:r>
      <w:r>
        <w:tab/>
      </w:r>
      <w:r>
        <w:tab/>
      </w:r>
      <w:r>
        <w:rPr>
          <w:u w:val="single"/>
        </w:rPr>
        <w:t xml:space="preserve">  70</w:t>
      </w:r>
      <w:r>
        <w:tab/>
      </w:r>
      <w:r>
        <w:tab/>
      </w:r>
      <w:r>
        <w:rPr>
          <w:u w:val="single"/>
        </w:rPr>
        <w:t xml:space="preserve">  75</w:t>
      </w:r>
      <w:r>
        <w:tab/>
      </w:r>
      <w:r>
        <w:tab/>
      </w:r>
      <w:r>
        <w:t xml:space="preserve"> </w:t>
      </w:r>
      <w:r>
        <w:rPr>
          <w:u w:val="single"/>
        </w:rPr>
        <w:t xml:space="preserve"> 68</w:t>
      </w:r>
      <w:r>
        <w:tab/>
      </w:r>
      <w:r>
        <w:tab/>
      </w:r>
      <w:r>
        <w:t xml:space="preserve"> </w:t>
      </w:r>
      <w:r>
        <w:rPr>
          <w:u w:val="single"/>
        </w:rPr>
        <w:t xml:space="preserve"> 35</w:t>
      </w:r>
    </w:p>
    <w:p>
      <w:r>
        <w:tab/>
      </w:r>
      <w:r>
        <w:tab/>
      </w:r>
      <w:r>
        <w:tab/>
      </w:r>
      <w:r>
        <w:tab/>
      </w:r>
      <w:r>
        <w:rPr>
          <w:u w:val="single"/>
        </w:rPr>
        <w:t>100</w:t>
      </w:r>
      <w:r>
        <w:tab/>
      </w:r>
      <w:r>
        <w:tab/>
      </w:r>
      <w:r>
        <w:rPr>
          <w:u w:val="single"/>
        </w:rPr>
        <w:t>100</w:t>
      </w:r>
      <w:r>
        <w:tab/>
      </w:r>
      <w:r>
        <w:tab/>
      </w:r>
      <w:r>
        <w:rPr>
          <w:u w:val="single"/>
        </w:rPr>
        <w:t>100</w:t>
      </w:r>
      <w:r>
        <w:tab/>
      </w:r>
      <w:r>
        <w:tab/>
      </w:r>
      <w:r>
        <w:rPr>
          <w:u w:val="single"/>
        </w:rPr>
        <w:t>100</w:t>
      </w:r>
    </w:p>
    <w:p/>
    <w:p>
      <w:pPr>
        <w:rPr>
          <w:b/>
          <w:bCs/>
        </w:rPr>
      </w:pPr>
      <w:r>
        <w:rPr>
          <w:b/>
          <w:bCs/>
        </w:rPr>
        <w:t>Appendix 2</w:t>
      </w:r>
    </w:p>
    <w:p>
      <w:r>
        <w:rPr>
          <w:b/>
          <w:bCs/>
          <w:u w:val="single"/>
        </w:rPr>
        <w:t>London Market share</w:t>
      </w:r>
      <w:r>
        <w:rPr>
          <w:b/>
          <w:bCs/>
        </w:rPr>
        <w:tab/>
      </w:r>
      <w:r>
        <w:tab/>
      </w:r>
      <w:r>
        <w:t>2018</w:t>
      </w:r>
      <w:r>
        <w:tab/>
      </w:r>
      <w:r>
        <w:tab/>
      </w:r>
      <w:r>
        <w:t>2019</w:t>
      </w:r>
      <w:r>
        <w:tab/>
      </w:r>
      <w:r>
        <w:tab/>
      </w:r>
      <w:r>
        <w:t>2020</w:t>
      </w:r>
      <w:r>
        <w:tab/>
      </w:r>
      <w:r>
        <w:tab/>
      </w:r>
      <w:r>
        <w:t>2021 (projected)</w:t>
      </w:r>
    </w:p>
    <w:p>
      <w:r>
        <w:t>Shoe Sales</w:t>
      </w:r>
      <w:r>
        <w:tab/>
      </w:r>
      <w:r>
        <w:tab/>
      </w:r>
      <w:r>
        <w:tab/>
      </w:r>
      <w:r>
        <w:t xml:space="preserve"> 2.00%</w:t>
      </w:r>
      <w:r>
        <w:tab/>
      </w:r>
      <w:r>
        <w:tab/>
      </w:r>
      <w:r>
        <w:t xml:space="preserve"> 2.75%</w:t>
      </w:r>
      <w:r>
        <w:tab/>
      </w:r>
      <w:r>
        <w:tab/>
      </w:r>
      <w:r>
        <w:t xml:space="preserve"> 1.20%</w:t>
      </w:r>
      <w:r>
        <w:tab/>
      </w:r>
      <w:r>
        <w:tab/>
      </w:r>
      <w:r>
        <w:t xml:space="preserve"> 0.25%</w:t>
      </w:r>
    </w:p>
    <w:p>
      <w:pPr>
        <w:rPr>
          <w:b/>
          <w:bCs/>
        </w:rPr>
      </w:pPr>
      <w:r>
        <w:t>Handbags</w:t>
      </w:r>
      <w:r>
        <w:tab/>
      </w:r>
      <w:r>
        <w:tab/>
      </w:r>
      <w:r>
        <w:t xml:space="preserve">  </w:t>
      </w:r>
      <w:r>
        <w:tab/>
      </w:r>
      <w:r>
        <w:t xml:space="preserve"> 0.00%</w:t>
      </w:r>
      <w:r>
        <w:tab/>
      </w:r>
      <w:r>
        <w:tab/>
      </w:r>
      <w:r>
        <w:t xml:space="preserve"> 0.01%</w:t>
      </w:r>
      <w:r>
        <w:tab/>
      </w:r>
      <w:r>
        <w:tab/>
      </w:r>
      <w:r>
        <w:t xml:space="preserve"> 0.02%</w:t>
      </w:r>
      <w:r>
        <w:tab/>
      </w:r>
      <w:r>
        <w:tab/>
      </w:r>
      <w:r>
        <w:t xml:space="preserve"> 0.03%</w:t>
      </w:r>
    </w:p>
    <w:p>
      <w:r>
        <w:t>Purses and wallets</w:t>
      </w:r>
      <w:r>
        <w:tab/>
      </w:r>
      <w:r>
        <w:t xml:space="preserve">    </w:t>
      </w:r>
      <w:r>
        <w:tab/>
      </w:r>
      <w:r>
        <w:t xml:space="preserve"> 0.00%</w:t>
      </w:r>
      <w:r>
        <w:tab/>
      </w:r>
      <w:r>
        <w:tab/>
      </w:r>
      <w:r>
        <w:t xml:space="preserve"> 0.03%</w:t>
      </w:r>
      <w:r>
        <w:tab/>
      </w:r>
      <w:r>
        <w:tab/>
      </w:r>
      <w:r>
        <w:t xml:space="preserve"> 0.00%</w:t>
      </w:r>
      <w:r>
        <w:tab/>
      </w:r>
      <w:r>
        <w:tab/>
      </w:r>
      <w:r>
        <w:t xml:space="preserve"> 0.00%</w:t>
      </w:r>
    </w:p>
    <w:p>
      <w:r>
        <w:t>Retail Fashion</w:t>
      </w:r>
      <w:r>
        <w:tab/>
      </w:r>
      <w:r>
        <w:tab/>
      </w:r>
      <w:r>
        <w:tab/>
      </w:r>
      <w:r>
        <w:t xml:space="preserve"> 0.00%</w:t>
      </w:r>
      <w:r>
        <w:tab/>
      </w:r>
      <w:r>
        <w:tab/>
      </w:r>
      <w:r>
        <w:t xml:space="preserve"> 0.00%</w:t>
      </w:r>
      <w:r>
        <w:tab/>
      </w:r>
      <w:r>
        <w:tab/>
      </w:r>
      <w:r>
        <w:t xml:space="preserve"> 0.00%</w:t>
      </w:r>
      <w:r>
        <w:tab/>
      </w:r>
      <w:r>
        <w:tab/>
      </w:r>
      <w:r>
        <w:t xml:space="preserve"> 0.00%</w:t>
      </w:r>
    </w:p>
    <w:p>
      <w:r>
        <w:tab/>
      </w:r>
    </w:p>
    <w:p>
      <w:pPr>
        <w:rPr>
          <w:b/>
          <w:bCs/>
        </w:rPr>
      </w:pPr>
      <w:r>
        <w:rPr>
          <w:b/>
          <w:bCs/>
        </w:rPr>
        <w:t>Appendix 3</w:t>
      </w:r>
    </w:p>
    <w:p>
      <w:pPr>
        <w:rPr>
          <w:b/>
          <w:bCs/>
          <w:u w:val="single"/>
        </w:rPr>
      </w:pPr>
      <w:r>
        <w:rPr>
          <w:b/>
          <w:bCs/>
          <w:u w:val="single"/>
        </w:rPr>
        <w:t>Financial performance</w:t>
      </w:r>
    </w:p>
    <w:p>
      <w:r>
        <w:tab/>
      </w:r>
      <w:r>
        <w:tab/>
      </w:r>
      <w:r>
        <w:tab/>
      </w:r>
      <w:r>
        <w:tab/>
      </w:r>
      <w:r>
        <w:t>2018</w:t>
      </w:r>
      <w:r>
        <w:tab/>
      </w:r>
      <w:r>
        <w:tab/>
      </w:r>
      <w:r>
        <w:t>2019</w:t>
      </w:r>
      <w:r>
        <w:tab/>
      </w:r>
      <w:r>
        <w:tab/>
      </w:r>
      <w:r>
        <w:t>2020</w:t>
      </w:r>
      <w:r>
        <w:tab/>
      </w:r>
      <w:r>
        <w:tab/>
      </w:r>
      <w:r>
        <w:t>2021 (projected)</w:t>
      </w:r>
    </w:p>
    <w:p>
      <w:r>
        <w:rPr>
          <w:b/>
          <w:bCs/>
          <w:u w:val="single"/>
        </w:rPr>
        <w:t>Income Statement</w:t>
      </w:r>
      <w:r>
        <w:tab/>
      </w:r>
      <w:r>
        <w:tab/>
      </w:r>
      <w:r>
        <w:t>£000</w:t>
      </w:r>
      <w:r>
        <w:tab/>
      </w:r>
      <w:r>
        <w:tab/>
      </w:r>
      <w:r>
        <w:t>£000</w:t>
      </w:r>
      <w:r>
        <w:tab/>
      </w:r>
      <w:r>
        <w:tab/>
      </w:r>
      <w:r>
        <w:t>£000</w:t>
      </w:r>
      <w:r>
        <w:tab/>
      </w:r>
      <w:r>
        <w:tab/>
      </w:r>
      <w:r>
        <w:t xml:space="preserve">£000 </w:t>
      </w:r>
    </w:p>
    <w:p>
      <w:r>
        <w:t>Turnover</w:t>
      </w:r>
      <w:r>
        <w:tab/>
      </w:r>
      <w:r>
        <w:tab/>
      </w:r>
      <w:r>
        <w:tab/>
      </w:r>
      <w:r>
        <w:t>1,400</w:t>
      </w:r>
      <w:r>
        <w:tab/>
      </w:r>
      <w:r>
        <w:tab/>
      </w:r>
      <w:r>
        <w:t>1,750</w:t>
      </w:r>
      <w:r>
        <w:tab/>
      </w:r>
      <w:r>
        <w:tab/>
      </w:r>
      <w:r>
        <w:t>1,455</w:t>
      </w:r>
      <w:r>
        <w:tab/>
      </w:r>
      <w:r>
        <w:tab/>
      </w:r>
      <w:r>
        <w:t xml:space="preserve">  600</w:t>
      </w:r>
    </w:p>
    <w:p>
      <w:r>
        <w:t>Cost of sales</w:t>
      </w:r>
      <w:r>
        <w:tab/>
      </w:r>
      <w:r>
        <w:tab/>
      </w:r>
      <w:r>
        <w:tab/>
      </w:r>
      <w:r>
        <w:rPr>
          <w:u w:val="single"/>
        </w:rPr>
        <w:t xml:space="preserve">   700</w:t>
      </w:r>
      <w:r>
        <w:tab/>
      </w:r>
      <w:r>
        <w:tab/>
      </w:r>
      <w:r>
        <w:rPr>
          <w:u w:val="single"/>
        </w:rPr>
        <w:t xml:space="preserve">   930</w:t>
      </w:r>
      <w:r>
        <w:tab/>
      </w:r>
      <w:r>
        <w:tab/>
      </w:r>
      <w:r>
        <w:rPr>
          <w:u w:val="single"/>
        </w:rPr>
        <w:t xml:space="preserve">   855</w:t>
      </w:r>
      <w:r>
        <w:tab/>
      </w:r>
      <w:r>
        <w:tab/>
      </w:r>
      <w:r>
        <w:t xml:space="preserve">  </w:t>
      </w:r>
      <w:r>
        <w:rPr>
          <w:u w:val="single"/>
        </w:rPr>
        <w:t>280</w:t>
      </w:r>
      <w:r>
        <w:tab/>
      </w:r>
    </w:p>
    <w:p>
      <w:r>
        <w:t>Gross profit</w:t>
      </w:r>
      <w:r>
        <w:tab/>
      </w:r>
      <w:r>
        <w:tab/>
      </w:r>
      <w:r>
        <w:tab/>
      </w:r>
      <w:r>
        <w:t xml:space="preserve">   700</w:t>
      </w:r>
      <w:r>
        <w:tab/>
      </w:r>
      <w:r>
        <w:tab/>
      </w:r>
      <w:r>
        <w:t xml:space="preserve">   820</w:t>
      </w:r>
      <w:r>
        <w:tab/>
      </w:r>
      <w:r>
        <w:tab/>
      </w:r>
      <w:r>
        <w:t xml:space="preserve">   600</w:t>
      </w:r>
      <w:r>
        <w:tab/>
      </w:r>
      <w:r>
        <w:tab/>
      </w:r>
      <w:r>
        <w:t xml:space="preserve">  320</w:t>
      </w:r>
    </w:p>
    <w:p>
      <w:r>
        <w:t>Operating expenses</w:t>
      </w:r>
      <w:r>
        <w:tab/>
      </w:r>
      <w:r>
        <w:tab/>
      </w:r>
      <w:r>
        <w:rPr>
          <w:u w:val="single"/>
        </w:rPr>
        <w:t xml:space="preserve">  -400</w:t>
      </w:r>
      <w:r>
        <w:tab/>
      </w:r>
      <w:r>
        <w:tab/>
      </w:r>
      <w:r>
        <w:rPr>
          <w:u w:val="single"/>
        </w:rPr>
        <w:t xml:space="preserve">  -448</w:t>
      </w:r>
      <w:r>
        <w:tab/>
      </w:r>
      <w:r>
        <w:tab/>
      </w:r>
      <w:r>
        <w:rPr>
          <w:u w:val="single"/>
        </w:rPr>
        <w:t xml:space="preserve">  -495</w:t>
      </w:r>
      <w:r>
        <w:tab/>
      </w:r>
      <w:r>
        <w:tab/>
      </w:r>
      <w:r>
        <w:t xml:space="preserve"> </w:t>
      </w:r>
      <w:r>
        <w:rPr>
          <w:u w:val="single"/>
        </w:rPr>
        <w:t>-495</w:t>
      </w:r>
    </w:p>
    <w:p>
      <w:r>
        <w:t>Profit before tax</w:t>
      </w:r>
      <w:r>
        <w:tab/>
      </w:r>
      <w:r>
        <w:tab/>
      </w:r>
      <w:r>
        <w:t xml:space="preserve">   </w:t>
      </w:r>
      <w:r>
        <w:tab/>
      </w:r>
      <w:r>
        <w:t xml:space="preserve">   300</w:t>
      </w:r>
      <w:r>
        <w:tab/>
      </w:r>
      <w:r>
        <w:tab/>
      </w:r>
      <w:r>
        <w:t xml:space="preserve">   372</w:t>
      </w:r>
      <w:r>
        <w:tab/>
      </w:r>
      <w:r>
        <w:tab/>
      </w:r>
      <w:r>
        <w:t xml:space="preserve">   105</w:t>
      </w:r>
      <w:r>
        <w:tab/>
      </w:r>
      <w:r>
        <w:tab/>
      </w:r>
      <w:r>
        <w:t xml:space="preserve"> -175</w:t>
      </w:r>
    </w:p>
    <w:p>
      <w:r>
        <w:t>Taxation</w:t>
      </w:r>
      <w:r>
        <w:tab/>
      </w:r>
      <w:r>
        <w:tab/>
      </w:r>
      <w:r>
        <w:tab/>
      </w:r>
      <w:r>
        <w:t xml:space="preserve">   </w:t>
      </w:r>
      <w:r>
        <w:tab/>
      </w:r>
      <w:r>
        <w:t xml:space="preserve">   </w:t>
      </w:r>
      <w:r>
        <w:rPr>
          <w:u w:val="single"/>
        </w:rPr>
        <w:t xml:space="preserve"> -57</w:t>
      </w:r>
      <w:r>
        <w:tab/>
      </w:r>
      <w:r>
        <w:tab/>
      </w:r>
      <w:r>
        <w:t xml:space="preserve">   </w:t>
      </w:r>
      <w:r>
        <w:rPr>
          <w:u w:val="single"/>
        </w:rPr>
        <w:t xml:space="preserve"> -71</w:t>
      </w:r>
      <w:r>
        <w:tab/>
      </w:r>
      <w:r>
        <w:tab/>
      </w:r>
      <w:r>
        <w:t xml:space="preserve">    </w:t>
      </w:r>
      <w:r>
        <w:rPr>
          <w:u w:val="single"/>
        </w:rPr>
        <w:t>-19</w:t>
      </w:r>
      <w:r>
        <w:tab/>
      </w:r>
      <w:r>
        <w:tab/>
      </w:r>
      <w:r>
        <w:rPr>
          <w:u w:val="single"/>
        </w:rPr>
        <w:t xml:space="preserve">  +15</w:t>
      </w:r>
    </w:p>
    <w:p>
      <w:r>
        <w:t>Profit after tax</w:t>
      </w:r>
      <w:r>
        <w:tab/>
      </w:r>
      <w:r>
        <w:tab/>
      </w:r>
      <w:r>
        <w:tab/>
      </w:r>
      <w:r>
        <w:t xml:space="preserve">   </w:t>
      </w:r>
      <w:r>
        <w:rPr>
          <w:u w:val="single"/>
        </w:rPr>
        <w:t>243</w:t>
      </w:r>
      <w:r>
        <w:tab/>
      </w:r>
      <w:r>
        <w:tab/>
      </w:r>
      <w:r>
        <w:t xml:space="preserve">   </w:t>
      </w:r>
      <w:r>
        <w:rPr>
          <w:u w:val="single"/>
        </w:rPr>
        <w:t>301</w:t>
      </w:r>
      <w:r>
        <w:tab/>
      </w:r>
      <w:r>
        <w:tab/>
      </w:r>
      <w:r>
        <w:t xml:space="preserve">    </w:t>
      </w:r>
      <w:r>
        <w:rPr>
          <w:u w:val="single"/>
        </w:rPr>
        <w:t xml:space="preserve"> 86</w:t>
      </w:r>
      <w:r>
        <w:tab/>
      </w:r>
      <w:r>
        <w:tab/>
      </w:r>
      <w:r>
        <w:t xml:space="preserve"> </w:t>
      </w:r>
      <w:r>
        <w:rPr>
          <w:u w:val="single"/>
        </w:rPr>
        <w:t>-160</w:t>
      </w:r>
    </w:p>
    <w:p/>
    <w:p>
      <w:pPr>
        <w:rPr>
          <w:u w:val="single"/>
        </w:rPr>
      </w:pPr>
      <w:r>
        <w:rPr>
          <w:u w:val="single"/>
        </w:rPr>
        <w:t>Balance Sheet</w:t>
      </w:r>
    </w:p>
    <w:p>
      <w:pPr>
        <w:rPr>
          <w:u w:val="single"/>
        </w:rPr>
      </w:pPr>
      <w:r>
        <w:rPr>
          <w:u w:val="single"/>
        </w:rPr>
        <w:t>Assets</w:t>
      </w:r>
    </w:p>
    <w:p>
      <w:r>
        <w:t>Non-current assets</w:t>
      </w:r>
      <w:r>
        <w:tab/>
      </w:r>
      <w:r>
        <w:tab/>
      </w:r>
      <w:r>
        <w:t xml:space="preserve">   700</w:t>
      </w:r>
      <w:r>
        <w:tab/>
      </w:r>
      <w:r>
        <w:tab/>
      </w:r>
      <w:r>
        <w:t xml:space="preserve">   780</w:t>
      </w:r>
      <w:r>
        <w:tab/>
      </w:r>
      <w:r>
        <w:tab/>
      </w:r>
      <w:r>
        <w:t xml:space="preserve">   780</w:t>
      </w:r>
      <w:r>
        <w:tab/>
      </w:r>
      <w:r>
        <w:tab/>
      </w:r>
      <w:r>
        <w:t xml:space="preserve">  780</w:t>
      </w:r>
    </w:p>
    <w:p>
      <w:r>
        <w:t>Working capital</w:t>
      </w:r>
      <w:r>
        <w:tab/>
      </w:r>
      <w:r>
        <w:tab/>
      </w:r>
      <w:r>
        <w:t xml:space="preserve">   </w:t>
      </w:r>
      <w:r>
        <w:tab/>
      </w:r>
      <w:r>
        <w:t xml:space="preserve">   </w:t>
      </w:r>
      <w:r>
        <w:rPr>
          <w:u w:val="single"/>
        </w:rPr>
        <w:t>145</w:t>
      </w:r>
      <w:r>
        <w:tab/>
      </w:r>
      <w:r>
        <w:tab/>
      </w:r>
      <w:r>
        <w:t xml:space="preserve">   </w:t>
      </w:r>
      <w:r>
        <w:rPr>
          <w:u w:val="single"/>
        </w:rPr>
        <w:t>195</w:t>
      </w:r>
      <w:r>
        <w:tab/>
      </w:r>
      <w:r>
        <w:tab/>
      </w:r>
      <w:r>
        <w:t xml:space="preserve">   </w:t>
      </w:r>
      <w:r>
        <w:rPr>
          <w:u w:val="single"/>
        </w:rPr>
        <w:t>205</w:t>
      </w:r>
      <w:r>
        <w:tab/>
      </w:r>
      <w:r>
        <w:tab/>
      </w:r>
      <w:r>
        <w:t xml:space="preserve">  </w:t>
      </w:r>
      <w:r>
        <w:rPr>
          <w:u w:val="single"/>
        </w:rPr>
        <w:t xml:space="preserve">  45</w:t>
      </w:r>
    </w:p>
    <w:p>
      <w:r>
        <w:t>NET ASSETS</w:t>
      </w:r>
      <w:r>
        <w:tab/>
      </w:r>
      <w:r>
        <w:tab/>
      </w:r>
      <w:r>
        <w:tab/>
      </w:r>
      <w:r>
        <w:t xml:space="preserve">  </w:t>
      </w:r>
      <w:r>
        <w:rPr>
          <w:b/>
          <w:bCs/>
        </w:rPr>
        <w:t xml:space="preserve"> </w:t>
      </w:r>
      <w:r>
        <w:rPr>
          <w:b/>
          <w:bCs/>
          <w:u w:val="single"/>
        </w:rPr>
        <w:t>845</w:t>
      </w:r>
      <w:r>
        <w:rPr>
          <w:b/>
          <w:bCs/>
        </w:rPr>
        <w:tab/>
      </w:r>
      <w:r>
        <w:rPr>
          <w:b/>
          <w:bCs/>
        </w:rPr>
        <w:tab/>
      </w:r>
      <w:r>
        <w:rPr>
          <w:b/>
          <w:bCs/>
        </w:rPr>
        <w:t xml:space="preserve">   </w:t>
      </w:r>
      <w:r>
        <w:rPr>
          <w:b/>
          <w:bCs/>
          <w:u w:val="single"/>
        </w:rPr>
        <w:t>975</w:t>
      </w:r>
      <w:r>
        <w:rPr>
          <w:b/>
          <w:bCs/>
        </w:rPr>
        <w:tab/>
      </w:r>
      <w:r>
        <w:rPr>
          <w:b/>
          <w:bCs/>
        </w:rPr>
        <w:tab/>
      </w:r>
      <w:r>
        <w:rPr>
          <w:b/>
          <w:bCs/>
        </w:rPr>
        <w:t xml:space="preserve">   </w:t>
      </w:r>
      <w:r>
        <w:rPr>
          <w:b/>
          <w:bCs/>
          <w:u w:val="single"/>
        </w:rPr>
        <w:t>985</w:t>
      </w:r>
      <w:r>
        <w:rPr>
          <w:b/>
          <w:bCs/>
        </w:rPr>
        <w:tab/>
      </w:r>
      <w:r>
        <w:rPr>
          <w:b/>
          <w:bCs/>
        </w:rPr>
        <w:tab/>
      </w:r>
      <w:r>
        <w:rPr>
          <w:b/>
          <w:bCs/>
        </w:rPr>
        <w:t xml:space="preserve">  </w:t>
      </w:r>
      <w:r>
        <w:rPr>
          <w:b/>
          <w:bCs/>
          <w:u w:val="single"/>
        </w:rPr>
        <w:t>825</w:t>
      </w:r>
    </w:p>
    <w:p/>
    <w:p>
      <w:pPr>
        <w:rPr>
          <w:u w:val="single"/>
        </w:rPr>
      </w:pPr>
      <w:r>
        <w:rPr>
          <w:u w:val="single"/>
        </w:rPr>
        <w:t xml:space="preserve">Financed by </w:t>
      </w:r>
    </w:p>
    <w:p>
      <w:r>
        <w:t>Equity shares</w:t>
      </w:r>
      <w:r>
        <w:tab/>
      </w:r>
      <w:r>
        <w:tab/>
      </w:r>
      <w:r>
        <w:tab/>
      </w:r>
      <w:r>
        <w:t xml:space="preserve">   300</w:t>
      </w:r>
      <w:r>
        <w:tab/>
      </w:r>
      <w:r>
        <w:tab/>
      </w:r>
      <w:r>
        <w:t xml:space="preserve">   300</w:t>
      </w:r>
      <w:r>
        <w:tab/>
      </w:r>
      <w:r>
        <w:tab/>
      </w:r>
      <w:r>
        <w:t xml:space="preserve">   300</w:t>
      </w:r>
      <w:r>
        <w:tab/>
      </w:r>
      <w:r>
        <w:tab/>
      </w:r>
      <w:r>
        <w:t xml:space="preserve">  300</w:t>
      </w:r>
    </w:p>
    <w:p>
      <w:r>
        <w:t>Reserves</w:t>
      </w:r>
      <w:r>
        <w:tab/>
      </w:r>
      <w:r>
        <w:tab/>
      </w:r>
      <w:r>
        <w:tab/>
      </w:r>
      <w:r>
        <w:t xml:space="preserve">   </w:t>
      </w:r>
      <w:r>
        <w:rPr>
          <w:u w:val="single"/>
        </w:rPr>
        <w:t>545</w:t>
      </w:r>
      <w:r>
        <w:tab/>
      </w:r>
      <w:r>
        <w:tab/>
      </w:r>
      <w:r>
        <w:t xml:space="preserve">   </w:t>
      </w:r>
      <w:r>
        <w:rPr>
          <w:u w:val="single"/>
        </w:rPr>
        <w:t>675</w:t>
      </w:r>
      <w:r>
        <w:tab/>
      </w:r>
      <w:r>
        <w:tab/>
      </w:r>
      <w:r>
        <w:t xml:space="preserve">   </w:t>
      </w:r>
      <w:r>
        <w:rPr>
          <w:u w:val="single"/>
        </w:rPr>
        <w:t>685</w:t>
      </w:r>
      <w:r>
        <w:tab/>
      </w:r>
      <w:r>
        <w:tab/>
      </w:r>
      <w:r>
        <w:t xml:space="preserve">  </w:t>
      </w:r>
      <w:r>
        <w:rPr>
          <w:u w:val="single"/>
        </w:rPr>
        <w:t>525</w:t>
      </w:r>
    </w:p>
    <w:p>
      <w:pPr>
        <w:rPr>
          <w:b/>
          <w:bCs/>
        </w:rPr>
      </w:pPr>
      <w:r>
        <w:t>Shareholders’ Funds</w:t>
      </w:r>
      <w:r>
        <w:tab/>
      </w:r>
      <w:r>
        <w:tab/>
      </w:r>
      <w:r>
        <w:t xml:space="preserve">   </w:t>
      </w:r>
      <w:r>
        <w:rPr>
          <w:b/>
          <w:bCs/>
          <w:u w:val="single"/>
        </w:rPr>
        <w:t>845</w:t>
      </w:r>
      <w:r>
        <w:rPr>
          <w:b/>
          <w:bCs/>
        </w:rPr>
        <w:tab/>
      </w:r>
      <w:r>
        <w:rPr>
          <w:b/>
          <w:bCs/>
        </w:rPr>
        <w:tab/>
      </w:r>
      <w:r>
        <w:rPr>
          <w:b/>
          <w:bCs/>
        </w:rPr>
        <w:t xml:space="preserve">   </w:t>
      </w:r>
      <w:r>
        <w:rPr>
          <w:b/>
          <w:bCs/>
          <w:u w:val="single"/>
        </w:rPr>
        <w:t>975</w:t>
      </w:r>
      <w:r>
        <w:rPr>
          <w:b/>
          <w:bCs/>
        </w:rPr>
        <w:tab/>
      </w:r>
      <w:r>
        <w:rPr>
          <w:b/>
          <w:bCs/>
        </w:rPr>
        <w:tab/>
      </w:r>
      <w:r>
        <w:rPr>
          <w:b/>
          <w:bCs/>
        </w:rPr>
        <w:t xml:space="preserve">   </w:t>
      </w:r>
      <w:r>
        <w:rPr>
          <w:b/>
          <w:bCs/>
          <w:u w:val="single"/>
        </w:rPr>
        <w:t>985</w:t>
      </w:r>
      <w:r>
        <w:rPr>
          <w:b/>
          <w:bCs/>
        </w:rPr>
        <w:tab/>
      </w:r>
      <w:r>
        <w:rPr>
          <w:b/>
          <w:bCs/>
        </w:rPr>
        <w:tab/>
      </w:r>
      <w:r>
        <w:rPr>
          <w:b/>
          <w:bCs/>
        </w:rPr>
        <w:t xml:space="preserve">  </w:t>
      </w:r>
      <w:r>
        <w:rPr>
          <w:b/>
          <w:bCs/>
          <w:u w:val="single"/>
        </w:rPr>
        <w:t>825</w:t>
      </w:r>
    </w:p>
    <w:p>
      <w:pPr>
        <w:rPr>
          <w:b/>
          <w:bCs/>
        </w:rPr>
      </w:pPr>
    </w:p>
    <w:p>
      <w:pPr>
        <w:rPr>
          <w:b/>
          <w:bCs/>
        </w:rPr>
      </w:pPr>
      <w:r>
        <w:rPr>
          <w:b/>
          <w:bCs/>
        </w:rPr>
        <w:t>Appendix 4</w:t>
      </w:r>
    </w:p>
    <w:p>
      <w:pPr>
        <w:rPr>
          <w:b/>
          <w:bCs/>
        </w:rPr>
      </w:pPr>
      <w:r>
        <w:rPr>
          <w:b/>
          <w:bCs/>
          <w:u w:val="single"/>
        </w:rPr>
        <w:t>Non-financial information</w:t>
      </w:r>
      <w:r>
        <w:rPr>
          <w:b/>
          <w:bCs/>
        </w:rPr>
        <w:tab/>
      </w:r>
      <w:r>
        <w:t>2018</w:t>
      </w:r>
      <w:r>
        <w:tab/>
      </w:r>
      <w:r>
        <w:tab/>
      </w:r>
      <w:r>
        <w:t>2019</w:t>
      </w:r>
      <w:r>
        <w:tab/>
      </w:r>
      <w:r>
        <w:tab/>
      </w:r>
      <w:r>
        <w:t>2020</w:t>
      </w:r>
      <w:r>
        <w:tab/>
      </w:r>
      <w:r>
        <w:tab/>
      </w:r>
      <w:r>
        <w:t>2021 (projected)</w:t>
      </w:r>
    </w:p>
    <w:p>
      <w:r>
        <w:rPr>
          <w:u w:val="single"/>
        </w:rPr>
        <w:t>Customers</w:t>
      </w:r>
      <w:r>
        <w:tab/>
      </w:r>
      <w:r>
        <w:tab/>
      </w:r>
      <w:r>
        <w:tab/>
      </w:r>
    </w:p>
    <w:p>
      <w:r>
        <w:t>Number of website hits</w:t>
      </w:r>
      <w:r>
        <w:tab/>
      </w:r>
      <w:r>
        <w:tab/>
      </w:r>
      <w:r>
        <w:t>5,000</w:t>
      </w:r>
      <w:r>
        <w:tab/>
      </w:r>
      <w:r>
        <w:tab/>
      </w:r>
      <w:r>
        <w:t>6,000</w:t>
      </w:r>
      <w:r>
        <w:tab/>
      </w:r>
      <w:r>
        <w:tab/>
      </w:r>
      <w:r>
        <w:t>7,000</w:t>
      </w:r>
      <w:r>
        <w:tab/>
      </w:r>
      <w:r>
        <w:tab/>
      </w:r>
      <w:r>
        <w:t>N/A</w:t>
      </w:r>
    </w:p>
    <w:p>
      <w:r>
        <w:t>Ratio of sales to website hits</w:t>
      </w:r>
      <w:r>
        <w:tab/>
      </w:r>
      <w:r>
        <w:t xml:space="preserve">   10%</w:t>
      </w:r>
      <w:r>
        <w:tab/>
      </w:r>
      <w:r>
        <w:tab/>
      </w:r>
      <w:r>
        <w:t xml:space="preserve">   15%</w:t>
      </w:r>
      <w:r>
        <w:tab/>
      </w:r>
      <w:r>
        <w:tab/>
      </w:r>
      <w:r>
        <w:t xml:space="preserve">   18%                </w:t>
      </w:r>
      <w:r>
        <w:tab/>
      </w:r>
      <w:r>
        <w:t>N/A</w:t>
      </w:r>
    </w:p>
    <w:p>
      <w:r>
        <w:t>Customer satisfaction survey</w:t>
      </w:r>
      <w:r>
        <w:tab/>
      </w:r>
      <w:r>
        <w:t xml:space="preserve">   69%</w:t>
      </w:r>
      <w:r>
        <w:tab/>
      </w:r>
      <w:r>
        <w:tab/>
      </w:r>
      <w:r>
        <w:t xml:space="preserve">   72%</w:t>
      </w:r>
      <w:r>
        <w:tab/>
      </w:r>
      <w:r>
        <w:tab/>
      </w:r>
      <w:r>
        <w:t xml:space="preserve">   82%                </w:t>
      </w:r>
      <w:r>
        <w:tab/>
      </w:r>
      <w:r>
        <w:t>N/A</w:t>
      </w:r>
    </w:p>
    <w:p>
      <w:r>
        <w:t>Number of new customers</w:t>
      </w:r>
      <w:r>
        <w:tab/>
      </w:r>
      <w:r>
        <w:t xml:space="preserve">   </w:t>
      </w:r>
      <w:r>
        <w:tab/>
      </w:r>
      <w:r>
        <w:t xml:space="preserve">   11</w:t>
      </w:r>
      <w:r>
        <w:tab/>
      </w:r>
      <w:r>
        <w:tab/>
      </w:r>
      <w:r>
        <w:t xml:space="preserve">   13</w:t>
      </w:r>
      <w:r>
        <w:tab/>
      </w:r>
      <w:r>
        <w:tab/>
      </w:r>
      <w:r>
        <w:t xml:space="preserve">   18</w:t>
      </w:r>
      <w:r>
        <w:tab/>
      </w:r>
      <w:r>
        <w:t xml:space="preserve">             </w:t>
      </w:r>
      <w:r>
        <w:tab/>
      </w:r>
      <w:r>
        <w:t>N/A</w:t>
      </w:r>
    </w:p>
    <w:p/>
    <w:p>
      <w:pPr>
        <w:rPr>
          <w:u w:val="single"/>
        </w:rPr>
      </w:pPr>
      <w:r>
        <w:rPr>
          <w:u w:val="single"/>
        </w:rPr>
        <w:t xml:space="preserve">Learning and Growth </w:t>
      </w:r>
    </w:p>
    <w:p>
      <w:r>
        <w:t>Error rate in jobs done</w:t>
      </w:r>
      <w:r>
        <w:tab/>
      </w:r>
      <w:r>
        <w:t xml:space="preserve">   </w:t>
      </w:r>
      <w:r>
        <w:tab/>
      </w:r>
      <w:r>
        <w:t>17%</w:t>
      </w:r>
      <w:r>
        <w:tab/>
      </w:r>
      <w:r>
        <w:tab/>
      </w:r>
      <w:r>
        <w:t xml:space="preserve">   11%</w:t>
      </w:r>
      <w:r>
        <w:tab/>
      </w:r>
      <w:r>
        <w:tab/>
      </w:r>
      <w:r>
        <w:t xml:space="preserve">   6%                  </w:t>
      </w:r>
      <w:r>
        <w:tab/>
      </w:r>
      <w:r>
        <w:t>N/A</w:t>
      </w:r>
    </w:p>
    <w:p>
      <w:r>
        <w:t xml:space="preserve">Employee retention </w:t>
      </w:r>
      <w:r>
        <w:tab/>
      </w:r>
      <w:r>
        <w:tab/>
      </w:r>
      <w:r>
        <w:t>82%</w:t>
      </w:r>
      <w:r>
        <w:tab/>
      </w:r>
      <w:r>
        <w:tab/>
      </w:r>
      <w:r>
        <w:t xml:space="preserve">   85%</w:t>
      </w:r>
      <w:r>
        <w:tab/>
      </w:r>
      <w:r>
        <w:tab/>
      </w:r>
      <w:r>
        <w:t xml:space="preserve">  89%</w:t>
      </w:r>
      <w:r>
        <w:tab/>
      </w:r>
      <w:r>
        <w:tab/>
      </w:r>
      <w:r>
        <w:t>N/A</w:t>
      </w:r>
      <w:r>
        <w:tab/>
      </w:r>
      <w:r>
        <w:t xml:space="preserve"> </w:t>
      </w:r>
    </w:p>
    <w:p>
      <w:r>
        <w:t xml:space="preserve">Average job completion time    </w:t>
      </w:r>
      <w:r>
        <w:tab/>
      </w:r>
      <w:r>
        <w:t>15 days</w:t>
      </w:r>
      <w:r>
        <w:tab/>
      </w:r>
      <w:r>
        <w:t xml:space="preserve">   </w:t>
      </w:r>
      <w:r>
        <w:tab/>
      </w:r>
      <w:r>
        <w:t>11 days</w:t>
      </w:r>
      <w:r>
        <w:tab/>
      </w:r>
      <w:r>
        <w:t xml:space="preserve">   </w:t>
      </w:r>
      <w:r>
        <w:tab/>
      </w:r>
      <w:r>
        <w:t xml:space="preserve">8 days            </w:t>
      </w:r>
      <w:r>
        <w:tab/>
      </w:r>
      <w:r>
        <w:t>N/A</w:t>
      </w:r>
    </w:p>
    <w:p/>
    <w:p>
      <w:pPr>
        <w:rPr>
          <w:u w:val="single"/>
        </w:rPr>
      </w:pPr>
      <w:r>
        <w:rPr>
          <w:u w:val="single"/>
        </w:rPr>
        <w:t xml:space="preserve">Employee </w:t>
      </w:r>
    </w:p>
    <w:p>
      <w:r>
        <w:t>Number of employees</w:t>
      </w:r>
      <w:r>
        <w:tab/>
      </w:r>
      <w:r>
        <w:tab/>
      </w:r>
      <w:r>
        <w:t xml:space="preserve">   13</w:t>
      </w:r>
      <w:r>
        <w:tab/>
      </w:r>
      <w:r>
        <w:tab/>
      </w:r>
      <w:r>
        <w:t xml:space="preserve">   16</w:t>
      </w:r>
      <w:r>
        <w:tab/>
      </w:r>
      <w:r>
        <w:tab/>
      </w:r>
      <w:r>
        <w:t xml:space="preserve">  15</w:t>
      </w:r>
      <w:r>
        <w:tab/>
      </w:r>
      <w:r>
        <w:tab/>
      </w:r>
      <w:r>
        <w:tab/>
      </w:r>
      <w:r>
        <w:tab/>
      </w:r>
    </w:p>
    <w:p>
      <w:r>
        <w:t xml:space="preserve">Employee retention </w:t>
      </w:r>
      <w:r>
        <w:tab/>
      </w:r>
      <w:r>
        <w:tab/>
      </w:r>
      <w:r>
        <w:t xml:space="preserve">   82%</w:t>
      </w:r>
      <w:r>
        <w:tab/>
      </w:r>
      <w:r>
        <w:tab/>
      </w:r>
      <w:r>
        <w:t xml:space="preserve">   85%</w:t>
      </w:r>
      <w:r>
        <w:tab/>
      </w:r>
      <w:r>
        <w:tab/>
      </w:r>
      <w:r>
        <w:t xml:space="preserve">  89%</w:t>
      </w:r>
      <w:r>
        <w:tab/>
      </w:r>
      <w:r>
        <w:tab/>
      </w:r>
      <w:r>
        <w:t>N/A</w:t>
      </w:r>
    </w:p>
    <w:p>
      <w:r>
        <w:t>Number of CPDs attended</w:t>
      </w:r>
      <w:r>
        <w:tab/>
      </w:r>
      <w:r>
        <w:t xml:space="preserve">   </w:t>
      </w:r>
    </w:p>
    <w:p>
      <w:r>
        <w:t>Per employee per year</w:t>
      </w:r>
      <w:r>
        <w:tab/>
      </w:r>
      <w:r>
        <w:t xml:space="preserve">     </w:t>
      </w:r>
      <w:r>
        <w:tab/>
      </w:r>
      <w:r>
        <w:t xml:space="preserve">     5</w:t>
      </w:r>
      <w:r>
        <w:tab/>
      </w:r>
      <w:r>
        <w:tab/>
      </w:r>
      <w:r>
        <w:t xml:space="preserve">     9</w:t>
      </w:r>
      <w:r>
        <w:tab/>
      </w:r>
      <w:r>
        <w:tab/>
      </w:r>
      <w:r>
        <w:t xml:space="preserve">  13</w:t>
      </w:r>
      <w:r>
        <w:tab/>
      </w:r>
      <w:r>
        <w:tab/>
      </w:r>
      <w:r>
        <w:t>N/A</w:t>
      </w:r>
    </w:p>
    <w:p/>
    <w:p>
      <w:r>
        <w:t>N/A:</w:t>
      </w:r>
      <w:r>
        <w:tab/>
      </w:r>
      <w:r>
        <w:t>Not applicable</w:t>
      </w:r>
    </w:p>
    <w:p>
      <w:r>
        <w:t>CPD:</w:t>
      </w:r>
      <w:r>
        <w:tab/>
      </w:r>
      <w:r>
        <w:t>Continuing Professional Development</w:t>
      </w:r>
    </w:p>
    <w:p/>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2128F2"/>
    <w:multiLevelType w:val="multilevel"/>
    <w:tmpl w:val="162128F2"/>
    <w:lvl w:ilvl="0" w:tentative="0">
      <w:start w:val="1"/>
      <w:numFmt w:val="decimal"/>
      <w:lvlText w:val="%1"/>
      <w:lvlJc w:val="left"/>
      <w:pPr>
        <w:ind w:left="432" w:hanging="432"/>
      </w:pPr>
      <w:rPr>
        <w:rFonts w:hint="default"/>
      </w:r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1">
    <w:nsid w:val="18D3155E"/>
    <w:multiLevelType w:val="multilevel"/>
    <w:tmpl w:val="18D3155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232C6"/>
    <w:rsid w:val="00024930"/>
    <w:rsid w:val="00031DD5"/>
    <w:rsid w:val="00055F74"/>
    <w:rsid w:val="00064FA2"/>
    <w:rsid w:val="00071C81"/>
    <w:rsid w:val="00086452"/>
    <w:rsid w:val="000B7C01"/>
    <w:rsid w:val="00107936"/>
    <w:rsid w:val="00115B96"/>
    <w:rsid w:val="00125B6D"/>
    <w:rsid w:val="00127B4B"/>
    <w:rsid w:val="0018747B"/>
    <w:rsid w:val="001C174A"/>
    <w:rsid w:val="001D7FC8"/>
    <w:rsid w:val="001E03C5"/>
    <w:rsid w:val="002014F7"/>
    <w:rsid w:val="00216042"/>
    <w:rsid w:val="002554C0"/>
    <w:rsid w:val="00292977"/>
    <w:rsid w:val="002C6ADD"/>
    <w:rsid w:val="002D5DAC"/>
    <w:rsid w:val="002F7FC4"/>
    <w:rsid w:val="00303748"/>
    <w:rsid w:val="00324CCD"/>
    <w:rsid w:val="0033652B"/>
    <w:rsid w:val="003511DA"/>
    <w:rsid w:val="00407D5D"/>
    <w:rsid w:val="00414F66"/>
    <w:rsid w:val="00450166"/>
    <w:rsid w:val="00480872"/>
    <w:rsid w:val="004A11F6"/>
    <w:rsid w:val="004A1301"/>
    <w:rsid w:val="004A3D5A"/>
    <w:rsid w:val="004B1760"/>
    <w:rsid w:val="004B1B53"/>
    <w:rsid w:val="004D519C"/>
    <w:rsid w:val="004E4CBE"/>
    <w:rsid w:val="005014C5"/>
    <w:rsid w:val="0051763D"/>
    <w:rsid w:val="0052150A"/>
    <w:rsid w:val="005220C2"/>
    <w:rsid w:val="00532BF1"/>
    <w:rsid w:val="005B2797"/>
    <w:rsid w:val="005C75A9"/>
    <w:rsid w:val="005D69A5"/>
    <w:rsid w:val="00693E27"/>
    <w:rsid w:val="006B2D5A"/>
    <w:rsid w:val="006B304C"/>
    <w:rsid w:val="006F1CB1"/>
    <w:rsid w:val="0070006B"/>
    <w:rsid w:val="0071025A"/>
    <w:rsid w:val="00716399"/>
    <w:rsid w:val="00765AC5"/>
    <w:rsid w:val="00766E01"/>
    <w:rsid w:val="007866E1"/>
    <w:rsid w:val="00794D28"/>
    <w:rsid w:val="007A2AAD"/>
    <w:rsid w:val="007D1947"/>
    <w:rsid w:val="007D646E"/>
    <w:rsid w:val="007F195D"/>
    <w:rsid w:val="007F1A04"/>
    <w:rsid w:val="008025EC"/>
    <w:rsid w:val="00833E73"/>
    <w:rsid w:val="0086403D"/>
    <w:rsid w:val="00866EA0"/>
    <w:rsid w:val="008676A6"/>
    <w:rsid w:val="00883FDF"/>
    <w:rsid w:val="008D4C45"/>
    <w:rsid w:val="008E08F2"/>
    <w:rsid w:val="009029AF"/>
    <w:rsid w:val="00906F02"/>
    <w:rsid w:val="00931CAA"/>
    <w:rsid w:val="00937A99"/>
    <w:rsid w:val="009409BB"/>
    <w:rsid w:val="00942A7E"/>
    <w:rsid w:val="00997483"/>
    <w:rsid w:val="009D2C6C"/>
    <w:rsid w:val="009D4E03"/>
    <w:rsid w:val="00A05B6F"/>
    <w:rsid w:val="00A12B58"/>
    <w:rsid w:val="00A2677D"/>
    <w:rsid w:val="00A4233F"/>
    <w:rsid w:val="00A4262C"/>
    <w:rsid w:val="00A66D73"/>
    <w:rsid w:val="00AA2A91"/>
    <w:rsid w:val="00AF049B"/>
    <w:rsid w:val="00AF29DF"/>
    <w:rsid w:val="00AF5D4C"/>
    <w:rsid w:val="00B02AAD"/>
    <w:rsid w:val="00B1593D"/>
    <w:rsid w:val="00B41D7A"/>
    <w:rsid w:val="00B54111"/>
    <w:rsid w:val="00B714B9"/>
    <w:rsid w:val="00BA2FDB"/>
    <w:rsid w:val="00C13C9B"/>
    <w:rsid w:val="00C5153F"/>
    <w:rsid w:val="00CA09F3"/>
    <w:rsid w:val="00CA50E6"/>
    <w:rsid w:val="00CD5A58"/>
    <w:rsid w:val="00CF4486"/>
    <w:rsid w:val="00D006B4"/>
    <w:rsid w:val="00D263FC"/>
    <w:rsid w:val="00D45A40"/>
    <w:rsid w:val="00D63E6D"/>
    <w:rsid w:val="00D666AA"/>
    <w:rsid w:val="00D81E7F"/>
    <w:rsid w:val="00D854A5"/>
    <w:rsid w:val="00DD30CA"/>
    <w:rsid w:val="00DE2C50"/>
    <w:rsid w:val="00DF16EA"/>
    <w:rsid w:val="00DF3B0A"/>
    <w:rsid w:val="00E33EE1"/>
    <w:rsid w:val="00E43E89"/>
    <w:rsid w:val="00E61FDE"/>
    <w:rsid w:val="00E750A2"/>
    <w:rsid w:val="00E91208"/>
    <w:rsid w:val="00EF2349"/>
    <w:rsid w:val="00F167F2"/>
    <w:rsid w:val="00F75BD8"/>
    <w:rsid w:val="00F81729"/>
    <w:rsid w:val="00FB012D"/>
    <w:rsid w:val="00FC247F"/>
    <w:rsid w:val="00FE502A"/>
    <w:rsid w:val="4D501A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9"/>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21"/>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23"/>
    <w:semiHidden/>
    <w:unhideWhenUsed/>
    <w:qFormat/>
    <w:uiPriority w:val="9"/>
    <w:pPr>
      <w:keepNext/>
      <w:keepLines/>
      <w:spacing w:before="40" w:after="0" w:line="240" w:lineRule="auto"/>
      <w:ind w:left="720" w:hanging="720"/>
      <w:outlineLvl w:val="2"/>
    </w:pPr>
    <w:rPr>
      <w:rFonts w:asciiTheme="majorHAnsi" w:hAnsiTheme="majorHAnsi" w:eastAsiaTheme="majorEastAsia" w:cstheme="majorBidi"/>
      <w:color w:val="1F4E79" w:themeColor="accent1" w:themeShade="80"/>
      <w:sz w:val="24"/>
      <w:szCs w:val="24"/>
      <w:lang w:val="zh-CN" w:eastAsia="zh-CN"/>
    </w:rPr>
  </w:style>
  <w:style w:type="paragraph" w:styleId="5">
    <w:name w:val="heading 4"/>
    <w:basedOn w:val="1"/>
    <w:next w:val="1"/>
    <w:link w:val="24"/>
    <w:semiHidden/>
    <w:unhideWhenUsed/>
    <w:qFormat/>
    <w:uiPriority w:val="9"/>
    <w:pPr>
      <w:keepNext/>
      <w:keepLines/>
      <w:spacing w:before="40" w:after="0" w:line="240" w:lineRule="auto"/>
      <w:ind w:left="864" w:hanging="864"/>
      <w:outlineLvl w:val="3"/>
    </w:pPr>
    <w:rPr>
      <w:rFonts w:asciiTheme="majorHAnsi" w:hAnsiTheme="majorHAnsi" w:eastAsiaTheme="majorEastAsia" w:cstheme="majorBidi"/>
      <w:i/>
      <w:iCs/>
      <w:color w:val="2E75B6" w:themeColor="accent1" w:themeShade="BF"/>
      <w:sz w:val="24"/>
      <w:szCs w:val="24"/>
      <w:lang w:val="zh-CN" w:eastAsia="zh-CN"/>
    </w:rPr>
  </w:style>
  <w:style w:type="paragraph" w:styleId="6">
    <w:name w:val="heading 5"/>
    <w:basedOn w:val="1"/>
    <w:next w:val="1"/>
    <w:link w:val="25"/>
    <w:semiHidden/>
    <w:unhideWhenUsed/>
    <w:qFormat/>
    <w:uiPriority w:val="9"/>
    <w:pPr>
      <w:keepNext/>
      <w:keepLines/>
      <w:spacing w:before="40" w:after="0" w:line="240" w:lineRule="auto"/>
      <w:ind w:left="1008" w:hanging="1008"/>
      <w:outlineLvl w:val="4"/>
    </w:pPr>
    <w:rPr>
      <w:rFonts w:asciiTheme="majorHAnsi" w:hAnsiTheme="majorHAnsi" w:eastAsiaTheme="majorEastAsia" w:cstheme="majorBidi"/>
      <w:color w:val="2E75B6" w:themeColor="accent1" w:themeShade="BF"/>
      <w:sz w:val="24"/>
      <w:szCs w:val="24"/>
      <w:lang w:val="zh-CN" w:eastAsia="zh-CN"/>
    </w:rPr>
  </w:style>
  <w:style w:type="paragraph" w:styleId="7">
    <w:name w:val="heading 6"/>
    <w:basedOn w:val="1"/>
    <w:next w:val="1"/>
    <w:link w:val="26"/>
    <w:semiHidden/>
    <w:unhideWhenUsed/>
    <w:qFormat/>
    <w:uiPriority w:val="9"/>
    <w:pPr>
      <w:keepNext/>
      <w:keepLines/>
      <w:spacing w:before="40" w:after="0" w:line="240" w:lineRule="auto"/>
      <w:ind w:left="1152" w:hanging="1152"/>
      <w:outlineLvl w:val="5"/>
    </w:pPr>
    <w:rPr>
      <w:rFonts w:asciiTheme="majorHAnsi" w:hAnsiTheme="majorHAnsi" w:eastAsiaTheme="majorEastAsia" w:cstheme="majorBidi"/>
      <w:color w:val="1F4E79" w:themeColor="accent1" w:themeShade="80"/>
      <w:sz w:val="24"/>
      <w:szCs w:val="24"/>
      <w:lang w:val="zh-CN" w:eastAsia="zh-CN"/>
    </w:rPr>
  </w:style>
  <w:style w:type="paragraph" w:styleId="8">
    <w:name w:val="heading 7"/>
    <w:basedOn w:val="1"/>
    <w:next w:val="1"/>
    <w:link w:val="27"/>
    <w:semiHidden/>
    <w:unhideWhenUsed/>
    <w:qFormat/>
    <w:uiPriority w:val="9"/>
    <w:pPr>
      <w:keepNext/>
      <w:keepLines/>
      <w:spacing w:before="40" w:after="0" w:line="240" w:lineRule="auto"/>
      <w:ind w:left="1296" w:hanging="1296"/>
      <w:outlineLvl w:val="6"/>
    </w:pPr>
    <w:rPr>
      <w:rFonts w:asciiTheme="majorHAnsi" w:hAnsiTheme="majorHAnsi" w:eastAsiaTheme="majorEastAsia" w:cstheme="majorBidi"/>
      <w:i/>
      <w:iCs/>
      <w:color w:val="1F4E79" w:themeColor="accent1" w:themeShade="80"/>
      <w:sz w:val="24"/>
      <w:szCs w:val="24"/>
      <w:lang w:val="zh-CN" w:eastAsia="zh-CN"/>
    </w:rPr>
  </w:style>
  <w:style w:type="paragraph" w:styleId="9">
    <w:name w:val="heading 8"/>
    <w:basedOn w:val="1"/>
    <w:next w:val="1"/>
    <w:link w:val="28"/>
    <w:semiHidden/>
    <w:unhideWhenUsed/>
    <w:qFormat/>
    <w:uiPriority w:val="9"/>
    <w:pPr>
      <w:keepNext/>
      <w:keepLines/>
      <w:spacing w:before="40" w:after="0" w:line="240" w:lineRule="auto"/>
      <w:ind w:left="1440" w:hanging="1440"/>
      <w:outlineLvl w:val="7"/>
    </w:pPr>
    <w:rPr>
      <w:rFonts w:asciiTheme="majorHAnsi" w:hAnsiTheme="majorHAnsi" w:eastAsiaTheme="majorEastAsia" w:cstheme="majorBidi"/>
      <w:color w:val="262626" w:themeColor="text1" w:themeTint="D9"/>
      <w:sz w:val="21"/>
      <w:szCs w:val="21"/>
      <w:lang w:val="zh-CN" w:eastAsia="zh-CN"/>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spacing w:before="40" w:after="0" w:line="240" w:lineRule="auto"/>
      <w:ind w:left="1584" w:hanging="1584"/>
      <w:outlineLvl w:val="8"/>
    </w:pPr>
    <w:rPr>
      <w:rFonts w:asciiTheme="majorHAnsi" w:hAnsiTheme="majorHAnsi" w:eastAsiaTheme="majorEastAsia" w:cstheme="majorBidi"/>
      <w:i/>
      <w:iCs/>
      <w:color w:val="262626" w:themeColor="text1" w:themeTint="D9"/>
      <w:sz w:val="21"/>
      <w:szCs w:val="21"/>
      <w:lang w:val="zh-CN" w:eastAsia="zh-CN"/>
      <w14:textFill>
        <w14:solidFill>
          <w14:schemeClr w14:val="tx1">
            <w14:lumMod w14:val="85000"/>
            <w14:lumOff w14:val="15000"/>
          </w14:schemeClr>
        </w14:solidFill>
      </w14:textFill>
    </w:rPr>
  </w:style>
  <w:style w:type="character" w:default="1" w:styleId="15">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11">
    <w:name w:val="toc 1"/>
    <w:basedOn w:val="1"/>
    <w:next w:val="1"/>
    <w:unhideWhenUsed/>
    <w:uiPriority w:val="39"/>
    <w:pPr>
      <w:spacing w:after="100"/>
    </w:pPr>
  </w:style>
  <w:style w:type="paragraph" w:styleId="12">
    <w:name w:val="toc 2"/>
    <w:basedOn w:val="1"/>
    <w:next w:val="1"/>
    <w:unhideWhenUsed/>
    <w:uiPriority w:val="39"/>
    <w:pPr>
      <w:spacing w:after="100"/>
      <w:ind w:left="220"/>
    </w:pPr>
  </w:style>
  <w:style w:type="paragraph" w:styleId="13">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zh-CN" w:eastAsia="zh-CN"/>
    </w:rPr>
  </w:style>
  <w:style w:type="character" w:styleId="16">
    <w:name w:val="Hyperlink"/>
    <w:basedOn w:val="15"/>
    <w:unhideWhenUsed/>
    <w:uiPriority w:val="99"/>
    <w:rPr>
      <w:color w:val="0563C1" w:themeColor="hyperlink"/>
      <w:u w:val="single"/>
      <w14:textFill>
        <w14:solidFill>
          <w14:schemeClr w14:val="hlink"/>
        </w14:solidFill>
      </w14:textFill>
    </w:rPr>
  </w:style>
  <w:style w:type="paragraph" w:styleId="17">
    <w:name w:val="No Spacing"/>
    <w:link w:val="18"/>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8">
    <w:name w:val="No Spacing Char"/>
    <w:basedOn w:val="15"/>
    <w:link w:val="17"/>
    <w:uiPriority w:val="1"/>
    <w:rPr>
      <w:rFonts w:eastAsiaTheme="minorEastAsia"/>
      <w:lang w:val="en-US"/>
    </w:rPr>
  </w:style>
  <w:style w:type="character" w:customStyle="1" w:styleId="19">
    <w:name w:val="Heading 1 Char"/>
    <w:basedOn w:val="15"/>
    <w:link w:val="2"/>
    <w:uiPriority w:val="9"/>
    <w:rPr>
      <w:rFonts w:asciiTheme="majorHAnsi" w:hAnsiTheme="majorHAnsi" w:eastAsiaTheme="majorEastAsia" w:cstheme="majorBidi"/>
      <w:color w:val="2E75B6" w:themeColor="accent1" w:themeShade="BF"/>
      <w:sz w:val="32"/>
      <w:szCs w:val="32"/>
    </w:rPr>
  </w:style>
  <w:style w:type="paragraph" w:customStyle="1" w:styleId="20">
    <w:name w:val="TOC Heading"/>
    <w:basedOn w:val="2"/>
    <w:next w:val="1"/>
    <w:unhideWhenUsed/>
    <w:qFormat/>
    <w:uiPriority w:val="39"/>
    <w:pPr>
      <w:outlineLvl w:val="9"/>
    </w:pPr>
    <w:rPr>
      <w:lang w:val="en-US"/>
    </w:rPr>
  </w:style>
  <w:style w:type="character" w:customStyle="1" w:styleId="21">
    <w:name w:val="Heading 2 Char"/>
    <w:basedOn w:val="15"/>
    <w:link w:val="3"/>
    <w:uiPriority w:val="9"/>
    <w:rPr>
      <w:rFonts w:asciiTheme="majorHAnsi" w:hAnsiTheme="majorHAnsi" w:eastAsiaTheme="majorEastAsia" w:cstheme="majorBidi"/>
      <w:color w:val="2E75B6" w:themeColor="accent1" w:themeShade="BF"/>
      <w:sz w:val="26"/>
      <w:szCs w:val="26"/>
    </w:rPr>
  </w:style>
  <w:style w:type="paragraph" w:styleId="22">
    <w:name w:val="List Paragraph"/>
    <w:basedOn w:val="1"/>
    <w:qFormat/>
    <w:uiPriority w:val="34"/>
    <w:pPr>
      <w:ind w:left="720"/>
      <w:contextualSpacing/>
    </w:pPr>
  </w:style>
  <w:style w:type="character" w:customStyle="1" w:styleId="23">
    <w:name w:val="Heading 3 Char"/>
    <w:basedOn w:val="15"/>
    <w:link w:val="4"/>
    <w:semiHidden/>
    <w:uiPriority w:val="9"/>
    <w:rPr>
      <w:rFonts w:asciiTheme="majorHAnsi" w:hAnsiTheme="majorHAnsi" w:eastAsiaTheme="majorEastAsia" w:cstheme="majorBidi"/>
      <w:color w:val="1F4E79" w:themeColor="accent1" w:themeShade="80"/>
      <w:sz w:val="24"/>
      <w:szCs w:val="24"/>
      <w:lang w:val="zh-CN" w:eastAsia="zh-CN"/>
    </w:rPr>
  </w:style>
  <w:style w:type="character" w:customStyle="1" w:styleId="24">
    <w:name w:val="Heading 4 Char"/>
    <w:basedOn w:val="15"/>
    <w:link w:val="5"/>
    <w:semiHidden/>
    <w:uiPriority w:val="9"/>
    <w:rPr>
      <w:rFonts w:asciiTheme="majorHAnsi" w:hAnsiTheme="majorHAnsi" w:eastAsiaTheme="majorEastAsia" w:cstheme="majorBidi"/>
      <w:i/>
      <w:iCs/>
      <w:color w:val="2E75B6" w:themeColor="accent1" w:themeShade="BF"/>
      <w:sz w:val="24"/>
      <w:szCs w:val="24"/>
      <w:lang w:val="zh-CN" w:eastAsia="zh-CN"/>
    </w:rPr>
  </w:style>
  <w:style w:type="character" w:customStyle="1" w:styleId="25">
    <w:name w:val="Heading 5 Char"/>
    <w:basedOn w:val="15"/>
    <w:link w:val="6"/>
    <w:semiHidden/>
    <w:uiPriority w:val="9"/>
    <w:rPr>
      <w:rFonts w:asciiTheme="majorHAnsi" w:hAnsiTheme="majorHAnsi" w:eastAsiaTheme="majorEastAsia" w:cstheme="majorBidi"/>
      <w:color w:val="2E75B6" w:themeColor="accent1" w:themeShade="BF"/>
      <w:sz w:val="24"/>
      <w:szCs w:val="24"/>
      <w:lang w:val="zh-CN" w:eastAsia="zh-CN"/>
    </w:rPr>
  </w:style>
  <w:style w:type="character" w:customStyle="1" w:styleId="26">
    <w:name w:val="Heading 6 Char"/>
    <w:basedOn w:val="15"/>
    <w:link w:val="7"/>
    <w:semiHidden/>
    <w:uiPriority w:val="9"/>
    <w:rPr>
      <w:rFonts w:asciiTheme="majorHAnsi" w:hAnsiTheme="majorHAnsi" w:eastAsiaTheme="majorEastAsia" w:cstheme="majorBidi"/>
      <w:color w:val="1F4E79" w:themeColor="accent1" w:themeShade="80"/>
      <w:sz w:val="24"/>
      <w:szCs w:val="24"/>
      <w:lang w:val="zh-CN" w:eastAsia="zh-CN"/>
    </w:rPr>
  </w:style>
  <w:style w:type="character" w:customStyle="1" w:styleId="27">
    <w:name w:val="Heading 7 Char"/>
    <w:basedOn w:val="15"/>
    <w:link w:val="8"/>
    <w:semiHidden/>
    <w:uiPriority w:val="9"/>
    <w:rPr>
      <w:rFonts w:asciiTheme="majorHAnsi" w:hAnsiTheme="majorHAnsi" w:eastAsiaTheme="majorEastAsia" w:cstheme="majorBidi"/>
      <w:i/>
      <w:iCs/>
      <w:color w:val="1F4E79" w:themeColor="accent1" w:themeShade="80"/>
      <w:sz w:val="24"/>
      <w:szCs w:val="24"/>
      <w:lang w:val="zh-CN" w:eastAsia="zh-CN"/>
    </w:rPr>
  </w:style>
  <w:style w:type="character" w:customStyle="1" w:styleId="28">
    <w:name w:val="Heading 8 Char"/>
    <w:basedOn w:val="15"/>
    <w:link w:val="9"/>
    <w:semiHidden/>
    <w:uiPriority w:val="9"/>
    <w:rPr>
      <w:rFonts w:asciiTheme="majorHAnsi" w:hAnsiTheme="majorHAnsi" w:eastAsiaTheme="majorEastAsia" w:cstheme="majorBidi"/>
      <w:color w:val="262626" w:themeColor="text1" w:themeTint="D9"/>
      <w:sz w:val="21"/>
      <w:szCs w:val="21"/>
      <w:lang w:val="zh-CN" w:eastAsia="zh-CN"/>
      <w14:textFill>
        <w14:solidFill>
          <w14:schemeClr w14:val="tx1">
            <w14:lumMod w14:val="85000"/>
            <w14:lumOff w14:val="15000"/>
          </w14:schemeClr>
        </w14:solidFill>
      </w14:textFill>
    </w:rPr>
  </w:style>
  <w:style w:type="character" w:customStyle="1" w:styleId="29">
    <w:name w:val="Heading 9 Char"/>
    <w:basedOn w:val="15"/>
    <w:link w:val="10"/>
    <w:semiHidden/>
    <w:qFormat/>
    <w:uiPriority w:val="9"/>
    <w:rPr>
      <w:rFonts w:asciiTheme="majorHAnsi" w:hAnsiTheme="majorHAnsi" w:eastAsiaTheme="majorEastAsia" w:cstheme="majorBidi"/>
      <w:i/>
      <w:iCs/>
      <w:color w:val="262626" w:themeColor="text1" w:themeTint="D9"/>
      <w:sz w:val="21"/>
      <w:szCs w:val="21"/>
      <w:lang w:val="zh-CN" w:eastAsia="zh-CN"/>
      <w14:textFill>
        <w14:solidFill>
          <w14:schemeClr w14:val="tx1">
            <w14:lumMod w14:val="85000"/>
            <w14:lumOff w14:val="15000"/>
          </w14:schemeClr>
        </w14:solidFill>
      </w14:textFill>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2023-04-27T00:00:00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B15A26-42CA-B54F-9963-1E6D880921F8}">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Normal.dotm</Template>
  <Company>University of Wales Trinity Saint David</Company>
  <Pages>21</Pages>
  <Words>6281</Words>
  <Characters>35802</Characters>
  <Lines>298</Lines>
  <Paragraphs>83</Paragraphs>
  <TotalTime>42</TotalTime>
  <ScaleCrop>false</ScaleCrop>
  <LinksUpToDate>false</LinksUpToDate>
  <CharactersWithSpaces>42000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2023-03-10T11:13:00Z</dcterms:created>
  <dc:creator>Marie Pitson</dc:creator>
  <cp:lastModifiedBy>李小柒</cp:lastModifiedBy>
  <dcterms:modified xsi:type="dcterms:W3CDTF">2023-05-09T15:59:47Z</dcterms:modified>
  <dc:subject>Contemporary Issues in Performance Management</dc:subject>
  <dc:title>name of the assignment</dc:title>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56F8867819674D3E8D670687E4D9958E_13</vt:lpwstr>
  </property>
</Properties>
</file>