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Age and Second Language Learning</w:t>
      </w:r>
    </w:p>
    <w:p>
      <w:pPr>
        <w:spacing w:line="360" w:lineRule="auto"/>
        <w:jc w:val="center"/>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Xueting Xiong</w:t>
      </w:r>
    </w:p>
    <w:p>
      <w:pPr>
        <w:numPr>
          <w:ilvl w:val="0"/>
          <w:numId w:val="1"/>
        </w:numPr>
        <w:spacing w:line="360" w:lineRule="auto"/>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Introduction</w:t>
      </w:r>
    </w:p>
    <w:p>
      <w:pPr>
        <w:spacing w:line="360" w:lineRule="auto"/>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     There has been an irreversible tendency that children start to learn the second language at an increasingly young age, particularly in China. Some so-called “experts” on parenting even advocate that it would be preferable for children to be exposed to English immediately after they are born. The theoretical support they usually put forward is the irreplaceable role “Critical Period”(CP) or “Sensitive Period”(SP) plays in second language acquisition and learning. Undeniably, such compelling evidence could be sufficient to stir parents’ anxiety about their children’s linguistic development. As a consequence, a growing number of pre-school English training centers and bilingual kindergartens have been created at an unprecedentedly high rate to cater to those parents’ demand, from which a healthy profit can be made. However, “the younger the better”theory has also been challenged based on a rising body of evidence from studies in the realms of education, psycholinguistics, cognitive science and neurolinguistics( Green, 2017)</w:t>
      </w:r>
      <w:r>
        <w:rPr>
          <w:rFonts w:hint="default" w:ascii="Times New Roman Regular" w:hAnsi="Times New Roman Regular" w:cs="Times New Roman Regular"/>
          <w:sz w:val="24"/>
          <w:szCs w:val="24"/>
        </w:rPr>
        <w:t>.</w:t>
      </w:r>
      <w:r>
        <w:rPr>
          <w:rFonts w:hint="default" w:ascii="Times New Roman Regular" w:hAnsi="Times New Roman Regular" w:cs="Times New Roman Regular"/>
          <w:sz w:val="24"/>
          <w:szCs w:val="24"/>
        </w:rPr>
        <w:t xml:space="preserve"> Therefore, in this article, a brief exploration and assessment of “Critical Period Hypothesis”(CPH) will be critically presented on the basis of viewpoints of two main different schools, including both proponents and critics. In addition, similarities and differences between children and adults with regard to second language learning as well as the pedagogical implications for teachers when instructing students with different ages will be demonstrated specifically </w:t>
      </w:r>
      <w:r>
        <w:rPr>
          <w:rFonts w:hint="default" w:ascii="Times New Roman Regular" w:hAnsi="Times New Roman Regular" w:cs="Times New Roman Regular"/>
          <w:sz w:val="24"/>
          <w:szCs w:val="24"/>
        </w:rPr>
        <w:t>following the results of</w:t>
      </w:r>
      <w:r>
        <w:rPr>
          <w:rFonts w:hint="default" w:ascii="Times New Roman Regular" w:hAnsi="Times New Roman Regular" w:cs="Times New Roman Regular"/>
          <w:sz w:val="24"/>
          <w:szCs w:val="24"/>
        </w:rPr>
        <w:t xml:space="preserve"> some recent empirical research and experiential knowledge.</w:t>
      </w:r>
    </w:p>
    <w:p>
      <w:pPr>
        <w:spacing w:line="360" w:lineRule="auto"/>
        <w:rPr>
          <w:rFonts w:hint="default" w:ascii="Times New Roman Regular" w:hAnsi="Times New Roman Regular" w:cs="Times New Roman Regular"/>
          <w:sz w:val="24"/>
          <w:szCs w:val="24"/>
        </w:rPr>
      </w:pPr>
    </w:p>
    <w:p>
      <w:pPr>
        <w:numPr>
          <w:ilvl w:val="0"/>
          <w:numId w:val="2"/>
        </w:numPr>
        <w:spacing w:line="360" w:lineRule="auto"/>
        <w:rPr>
          <w:rFonts w:hint="default" w:ascii="Times New Roman Bold" w:hAnsi="Times New Roman Bold" w:cs="Times New Roman Bold"/>
          <w:b/>
          <w:bCs/>
          <w:sz w:val="24"/>
          <w:szCs w:val="24"/>
          <w:lang w:val="en-US"/>
        </w:rPr>
      </w:pPr>
      <w:r>
        <w:rPr>
          <w:rFonts w:hint="default" w:ascii="Times New Roman Bold" w:hAnsi="Times New Roman Bold" w:cs="Times New Roman Bold"/>
          <w:b/>
          <w:bCs/>
          <w:sz w:val="24"/>
          <w:szCs w:val="24"/>
        </w:rPr>
        <w:t>Critical Review of Critical Period Hypothesis</w:t>
      </w:r>
    </w:p>
    <w:p>
      <w:pPr>
        <w:numPr>
          <w:ilvl w:val="0"/>
          <w:numId w:val="0"/>
        </w:numPr>
        <w:spacing w:line="360" w:lineRule="auto"/>
        <w:ind w:firstLine="480"/>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CPH is generally defined as a maturational approach by which the biological ageing puts constraints on what can be attained by language acquirers beyond a certain point. Chronologically, Penfield(a proto-CP theorist) and Lenneberg(the father of the CPH) initially claimed that “ adult language learning is fundamentally different from and inevitably inferior to language learning in childhood”(Singleton&amp;Pfenninger, 2018, p.255). Penfield suggests that”for the purposes of learning languages,the human brain becomes progressively stiff and rigid after the age of nine”(Penfiled and Roberts</w:t>
      </w:r>
      <w:r>
        <w:rPr>
          <w:rFonts w:hint="default" w:ascii="Times New Roman" w:hAnsi="Times New Roman" w:cs="Times New Roman"/>
          <w:b w:val="0"/>
          <w:bCs w:val="0"/>
          <w:sz w:val="24"/>
          <w:szCs w:val="24"/>
        </w:rPr>
        <w:t>,</w:t>
      </w:r>
      <w:r>
        <w:rPr>
          <w:rFonts w:hint="default" w:ascii="Times New Roman" w:hAnsi="Times New Roman" w:cs="Times New Roman"/>
          <w:b w:val="0"/>
          <w:bCs w:val="0"/>
          <w:sz w:val="24"/>
          <w:szCs w:val="24"/>
        </w:rPr>
        <w:t xml:space="preserve"> 1956</w:t>
      </w:r>
      <w:r>
        <w:rPr>
          <w:rFonts w:hint="default" w:ascii="Times New Roman" w:hAnsi="Times New Roman" w:cs="Times New Roman"/>
          <w:b w:val="0"/>
          <w:bCs w:val="0"/>
          <w:sz w:val="24"/>
          <w:szCs w:val="24"/>
        </w:rPr>
        <w:t>, p.</w:t>
      </w:r>
      <w:r>
        <w:rPr>
          <w:rFonts w:hint="default" w:ascii="Times New Roman" w:hAnsi="Times New Roman" w:cs="Times New Roman"/>
          <w:b w:val="0"/>
          <w:bCs w:val="0"/>
          <w:sz w:val="24"/>
          <w:szCs w:val="24"/>
        </w:rPr>
        <w:t>236, quoted in Singleton&amp;Pfenninger, 2018) and tha</w:t>
      </w:r>
      <w:r>
        <w:rPr>
          <w:rFonts w:hint="default" w:ascii="Times New Roman" w:hAnsi="Times New Roman" w:cs="Times New Roman"/>
          <w:b w:val="0"/>
          <w:bCs w:val="0"/>
          <w:sz w:val="24"/>
          <w:szCs w:val="24"/>
        </w:rPr>
        <w:t xml:space="preserve">t due to </w:t>
      </w:r>
      <w:r>
        <w:rPr>
          <w:rFonts w:hint="default" w:ascii="Times New Roman" w:hAnsi="Times New Roman" w:cs="Times New Roman"/>
          <w:b w:val="0"/>
          <w:bCs w:val="0"/>
          <w:sz w:val="24"/>
          <w:szCs w:val="24"/>
        </w:rPr>
        <w:t>physiological</w:t>
      </w:r>
      <w:r>
        <w:rPr>
          <w:rFonts w:hint="default" w:ascii="Times New Roman" w:hAnsi="Times New Roman" w:cs="Times New Roman"/>
          <w:b w:val="0"/>
          <w:bCs w:val="0"/>
          <w:sz w:val="24"/>
          <w:szCs w:val="24"/>
        </w:rPr>
        <w:t xml:space="preserve"> effect, </w:t>
      </w:r>
      <w:r>
        <w:rPr>
          <w:rFonts w:hint="default" w:ascii="Times New Roman" w:hAnsi="Times New Roman" w:cs="Times New Roman"/>
          <w:b w:val="0"/>
          <w:bCs w:val="0"/>
          <w:sz w:val="24"/>
          <w:szCs w:val="24"/>
        </w:rPr>
        <w:t xml:space="preserve">it is </w:t>
      </w:r>
      <w:r>
        <w:rPr>
          <w:rFonts w:hint="default" w:ascii="Times New Roman" w:hAnsi="Times New Roman" w:cs="Times New Roman"/>
          <w:b w:val="0"/>
          <w:bCs w:val="0"/>
          <w:sz w:val="24"/>
          <w:szCs w:val="24"/>
        </w:rPr>
        <w:t xml:space="preserve">of huge </w:t>
      </w:r>
      <w:r>
        <w:rPr>
          <w:rFonts w:hint="default" w:ascii="Times New Roman" w:hAnsi="Times New Roman" w:cs="Times New Roman"/>
          <w:b w:val="0"/>
          <w:bCs w:val="0"/>
          <w:sz w:val="24"/>
          <w:szCs w:val="24"/>
        </w:rPr>
        <w:t>difficult</w:t>
      </w:r>
      <w:r>
        <w:rPr>
          <w:rFonts w:hint="default" w:ascii="Times New Roman" w:hAnsi="Times New Roman" w:cs="Times New Roman"/>
          <w:b w:val="0"/>
          <w:bCs w:val="0"/>
          <w:sz w:val="24"/>
          <w:szCs w:val="24"/>
        </w:rPr>
        <w:t>ies</w:t>
      </w:r>
      <w:r>
        <w:rPr>
          <w:rFonts w:hint="default" w:ascii="Times New Roman" w:hAnsi="Times New Roman" w:cs="Times New Roman"/>
          <w:b w:val="0"/>
          <w:bCs w:val="0"/>
          <w:sz w:val="24"/>
          <w:szCs w:val="24"/>
        </w:rPr>
        <w:t xml:space="preserve"> to </w:t>
      </w:r>
      <w:r>
        <w:rPr>
          <w:rFonts w:hint="default" w:ascii="Times New Roman" w:hAnsi="Times New Roman" w:cs="Times New Roman"/>
          <w:b w:val="0"/>
          <w:bCs w:val="0"/>
          <w:sz w:val="24"/>
          <w:szCs w:val="24"/>
        </w:rPr>
        <w:t>obtain</w:t>
      </w:r>
      <w:r>
        <w:rPr>
          <w:rFonts w:hint="default" w:ascii="Times New Roman" w:hAnsi="Times New Roman" w:cs="Times New Roman"/>
          <w:b w:val="0"/>
          <w:bCs w:val="0"/>
          <w:sz w:val="24"/>
          <w:szCs w:val="24"/>
        </w:rPr>
        <w:t xml:space="preserve"> a </w:t>
      </w:r>
      <w:r>
        <w:rPr>
          <w:rFonts w:hint="default" w:ascii="Times New Roman" w:hAnsi="Times New Roman" w:cs="Times New Roman"/>
          <w:b w:val="0"/>
          <w:bCs w:val="0"/>
          <w:sz w:val="24"/>
          <w:szCs w:val="24"/>
        </w:rPr>
        <w:t xml:space="preserve">satisfactory </w:t>
      </w:r>
      <w:r>
        <w:rPr>
          <w:rFonts w:hint="default" w:ascii="Times New Roman" w:hAnsi="Times New Roman" w:cs="Times New Roman"/>
          <w:b w:val="0"/>
          <w:bCs w:val="0"/>
          <w:sz w:val="24"/>
          <w:szCs w:val="24"/>
        </w:rPr>
        <w:t>result</w:t>
      </w:r>
      <w:r>
        <w:rPr>
          <w:rFonts w:hint="default" w:ascii="Times New Roman" w:hAnsi="Times New Roman" w:cs="Times New Roman"/>
          <w:b w:val="0"/>
          <w:bCs w:val="0"/>
          <w:sz w:val="24"/>
          <w:szCs w:val="24"/>
        </w:rPr>
        <w:t xml:space="preserve"> </w:t>
      </w:r>
      <w:r>
        <w:rPr>
          <w:rFonts w:hint="default" w:ascii="Times New Roman" w:hAnsi="Times New Roman" w:cs="Times New Roman"/>
          <w:b w:val="0"/>
          <w:bCs w:val="0"/>
          <w:sz w:val="24"/>
          <w:szCs w:val="24"/>
        </w:rPr>
        <w:t>when languages are taken up for the first time in the second decade of life(Penfiled and Roberts</w:t>
      </w:r>
      <w:r>
        <w:rPr>
          <w:rFonts w:hint="default" w:ascii="Times New Roman" w:hAnsi="Times New Roman" w:cs="Times New Roman"/>
          <w:b w:val="0"/>
          <w:bCs w:val="0"/>
          <w:sz w:val="24"/>
          <w:szCs w:val="24"/>
        </w:rPr>
        <w:t xml:space="preserve">, </w:t>
      </w:r>
      <w:r>
        <w:rPr>
          <w:rFonts w:hint="default" w:ascii="Times New Roman" w:hAnsi="Times New Roman" w:cs="Times New Roman"/>
          <w:b w:val="0"/>
          <w:bCs w:val="0"/>
          <w:sz w:val="24"/>
          <w:szCs w:val="24"/>
        </w:rPr>
        <w:t>1959</w:t>
      </w:r>
      <w:r>
        <w:rPr>
          <w:rFonts w:hint="default" w:ascii="Times New Roman" w:hAnsi="Times New Roman" w:cs="Times New Roman"/>
          <w:b w:val="0"/>
          <w:bCs w:val="0"/>
          <w:sz w:val="24"/>
          <w:szCs w:val="24"/>
        </w:rPr>
        <w:t xml:space="preserve">, </w:t>
      </w:r>
      <w:r>
        <w:rPr>
          <w:rFonts w:hint="default" w:ascii="Times New Roman" w:hAnsi="Times New Roman" w:cs="Times New Roman"/>
          <w:b w:val="0"/>
          <w:bCs w:val="0"/>
          <w:sz w:val="24"/>
          <w:szCs w:val="24"/>
        </w:rPr>
        <w:t xml:space="preserve">quoted in Singleton&amp;Pfenninger, 2018). Moreover, </w:t>
      </w:r>
      <w:r>
        <w:rPr>
          <w:rFonts w:hint="default" w:ascii="Times New Roman" w:hAnsi="Times New Roman" w:cs="Times New Roman"/>
          <w:b w:val="0"/>
          <w:bCs w:val="0"/>
          <w:color w:val="000000" w:themeColor="text1"/>
          <w:sz w:val="24"/>
          <w:szCs w:val="24"/>
          <w14:textFill>
            <w14:solidFill>
              <w14:schemeClr w14:val="tx1"/>
            </w14:solidFill>
          </w14:textFill>
        </w:rPr>
        <w:t>Lenneberg(1967)</w:t>
      </w:r>
      <w:r>
        <w:rPr>
          <w:rFonts w:hint="default" w:ascii="Times New Roman" w:hAnsi="Times New Roman" w:cs="Times New Roman"/>
          <w:b w:val="0"/>
          <w:bCs w:val="0"/>
          <w:sz w:val="24"/>
          <w:szCs w:val="24"/>
        </w:rPr>
        <w:t xml:space="preserve"> proposes not only an offset point for the CP(puberty),but also a point at which it supposedly has its onset(age two).</w:t>
      </w:r>
    </w:p>
    <w:p>
      <w:pPr>
        <w:numPr>
          <w:ilvl w:val="0"/>
          <w:numId w:val="0"/>
        </w:numPr>
        <w:spacing w:line="360" w:lineRule="auto"/>
        <w:ind w:firstLine="480"/>
        <w:rPr>
          <w:rFonts w:hint="default" w:ascii="Times New Roman" w:hAnsi="Times New Roman" w:cs="Times New Roman"/>
          <w:b w:val="0"/>
          <w:bCs w:val="0"/>
          <w:sz w:val="24"/>
          <w:szCs w:val="24"/>
        </w:rPr>
      </w:pPr>
    </w:p>
    <w:p>
      <w:pPr>
        <w:numPr>
          <w:ilvl w:val="0"/>
          <w:numId w:val="0"/>
        </w:numPr>
        <w:spacing w:line="360" w:lineRule="auto"/>
        <w:ind w:firstLine="360" w:firstLineChars="150"/>
        <w:rPr>
          <w:rFonts w:hint="default" w:ascii="Times New Roman" w:hAnsi="Times New Roman" w:cs="Times New Roman"/>
          <w:b w:val="0"/>
          <w:bCs w:val="0"/>
          <w:color w:val="000000" w:themeColor="text1"/>
          <w:sz w:val="24"/>
          <w:szCs w:val="24"/>
          <w14:textFill>
            <w14:solidFill>
              <w14:schemeClr w14:val="tx1"/>
            </w14:solidFill>
          </w14:textFill>
        </w:rPr>
      </w:pPr>
      <w:r>
        <w:rPr>
          <w:rFonts w:hint="default" w:ascii="Times New Roman" w:hAnsi="Times New Roman" w:cs="Times New Roman"/>
          <w:b w:val="0"/>
          <w:bCs w:val="0"/>
          <w:sz w:val="24"/>
          <w:szCs w:val="24"/>
        </w:rPr>
        <w:t>After the birth of CPH, both advocates and skeptics concerning this theory voiced their opinions based on a substantial number of related studies. In terms of evidences  supportive of the critical period notion, they are correlated with studies on the language development of immigrants to a large extent. It has been indicated from a huge amount of research that “the younger the better” tendency could be found in those groups of immigrants whose home languages are different from the dominant language used in the country they arrived</w:t>
      </w:r>
      <w:r>
        <w:rPr>
          <w:rFonts w:hint="default" w:ascii="Times New Roman" w:hAnsi="Times New Roman" w:cs="Times New Roman"/>
          <w:b w:val="0"/>
          <w:bCs w:val="0"/>
          <w:color w:val="000000" w:themeColor="text1"/>
          <w:sz w:val="24"/>
          <w:szCs w:val="24"/>
          <w14:textFill>
            <w14:solidFill>
              <w14:schemeClr w14:val="tx1"/>
            </w14:solidFill>
          </w14:textFill>
        </w:rPr>
        <w:t xml:space="preserve">.( Hyltenstam, 1992; Piske et al., 2002) </w:t>
      </w:r>
      <w:r>
        <w:rPr>
          <w:rFonts w:hint="default" w:ascii="Times New Roman" w:hAnsi="Times New Roman" w:cs="Times New Roman"/>
          <w:b w:val="0"/>
          <w:bCs w:val="0"/>
          <w:sz w:val="24"/>
          <w:szCs w:val="24"/>
        </w:rPr>
        <w:t xml:space="preserve">However, it was </w:t>
      </w:r>
      <w:r>
        <w:rPr>
          <w:rFonts w:hint="default" w:ascii="Times New Roman" w:hAnsi="Times New Roman" w:cs="Times New Roman"/>
          <w:b w:val="0"/>
          <w:bCs w:val="0"/>
          <w:sz w:val="24"/>
          <w:szCs w:val="24"/>
        </w:rPr>
        <w:t>subsequently</w:t>
      </w:r>
      <w:r>
        <w:rPr>
          <w:rFonts w:hint="default" w:ascii="Times New Roman" w:hAnsi="Times New Roman" w:cs="Times New Roman"/>
          <w:b w:val="0"/>
          <w:bCs w:val="0"/>
          <w:sz w:val="24"/>
          <w:szCs w:val="24"/>
        </w:rPr>
        <w:t xml:space="preserve"> proved that some older immigrants could still achieve success in second language learning, particularly in lexical and grammatical test</w:t>
      </w:r>
      <w:r>
        <w:rPr>
          <w:rFonts w:hint="default" w:ascii="Times New Roman" w:hAnsi="Times New Roman" w:cs="Times New Roman"/>
          <w:b w:val="0"/>
          <w:bCs w:val="0"/>
          <w:color w:val="000000" w:themeColor="text1"/>
          <w:sz w:val="24"/>
          <w:szCs w:val="24"/>
          <w14:textFill>
            <w14:solidFill>
              <w14:schemeClr w14:val="tx1"/>
            </w14:solidFill>
          </w14:textFill>
        </w:rPr>
        <w:t>s( Kinsella&amp;Singleton, 2014)</w:t>
      </w:r>
      <w:r>
        <w:rPr>
          <w:rFonts w:hint="default" w:ascii="Times New Roman" w:hAnsi="Times New Roman" w:cs="Times New Roman"/>
          <w:b w:val="0"/>
          <w:bCs w:val="0"/>
          <w:color w:val="000000" w:themeColor="text1"/>
          <w:sz w:val="24"/>
          <w:szCs w:val="24"/>
          <w14:textFill>
            <w14:solidFill>
              <w14:schemeClr w14:val="tx1"/>
            </w14:solidFill>
          </w14:textFill>
        </w:rPr>
        <w:t>.</w:t>
      </w:r>
      <w:r>
        <w:rPr>
          <w:rFonts w:hint="default" w:ascii="Times New Roman" w:hAnsi="Times New Roman" w:cs="Times New Roman"/>
          <w:b w:val="0"/>
          <w:bCs w:val="0"/>
          <w:color w:val="000000" w:themeColor="text1"/>
          <w:sz w:val="24"/>
          <w:szCs w:val="24"/>
          <w14:textFill>
            <w14:solidFill>
              <w14:schemeClr w14:val="tx1"/>
            </w14:solidFill>
          </w14:textFill>
        </w:rPr>
        <w:t xml:space="preserve"> </w:t>
      </w:r>
      <w:r>
        <w:rPr>
          <w:rFonts w:hint="default" w:ascii="Times New Roman" w:hAnsi="Times New Roman" w:cs="Times New Roman"/>
          <w:b w:val="0"/>
          <w:bCs w:val="0"/>
          <w:sz w:val="24"/>
          <w:szCs w:val="24"/>
        </w:rPr>
        <w:t>Unfortunately, such tests cannot completely falsify CPH since staunch proponents hold the firm belief that ‘scrutinized native-likeness’ regarding all linguistic features in the older learners should be the ultimate criterion to disconfirm the CPH</w:t>
      </w:r>
      <w:r>
        <w:rPr>
          <w:rFonts w:hint="default" w:ascii="Times New Roman" w:hAnsi="Times New Roman" w:cs="Times New Roman"/>
          <w:b w:val="0"/>
          <w:bCs w:val="0"/>
          <w:color w:val="000000" w:themeColor="text1"/>
          <w:sz w:val="24"/>
          <w:szCs w:val="24"/>
          <w14:textFill>
            <w14:solidFill>
              <w14:schemeClr w14:val="tx1"/>
            </w14:solidFill>
          </w14:textFill>
        </w:rPr>
        <w:t xml:space="preserve"> ( Abrahamsson &amp; Hyltenstam, 2009; Birdsong, 2014)</w:t>
      </w:r>
      <w:r>
        <w:rPr>
          <w:rFonts w:hint="default" w:ascii="Times New Roman" w:hAnsi="Times New Roman" w:cs="Times New Roman"/>
          <w:b w:val="0"/>
          <w:bCs w:val="0"/>
          <w:color w:val="000000" w:themeColor="text1"/>
          <w:sz w:val="24"/>
          <w:szCs w:val="24"/>
          <w14:textFill>
            <w14:solidFill>
              <w14:schemeClr w14:val="tx1"/>
            </w14:solidFill>
          </w14:textFill>
        </w:rPr>
        <w:t>.</w:t>
      </w:r>
      <w:r>
        <w:rPr>
          <w:rFonts w:hint="default" w:ascii="Times New Roman" w:hAnsi="Times New Roman" w:cs="Times New Roman"/>
          <w:b w:val="0"/>
          <w:bCs w:val="0"/>
          <w:color w:val="000000" w:themeColor="text1"/>
          <w:sz w:val="24"/>
          <w:szCs w:val="24"/>
          <w14:textFill>
            <w14:solidFill>
              <w14:schemeClr w14:val="tx1"/>
            </w14:solidFill>
          </w14:textFill>
        </w:rPr>
        <w:t xml:space="preserve">   </w:t>
      </w:r>
    </w:p>
    <w:p>
      <w:pPr>
        <w:numPr>
          <w:ilvl w:val="0"/>
          <w:numId w:val="0"/>
        </w:numPr>
        <w:spacing w:line="360" w:lineRule="auto"/>
        <w:ind w:firstLine="360" w:firstLineChars="150"/>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 xml:space="preserve"> </w:t>
      </w:r>
    </w:p>
    <w:p>
      <w:pPr>
        <w:numPr>
          <w:ilvl w:val="0"/>
          <w:numId w:val="0"/>
        </w:numPr>
        <w:spacing w:line="360" w:lineRule="auto"/>
        <w:ind w:firstLine="480" w:firstLineChars="200"/>
        <w:rPr>
          <w:rFonts w:hint="default" w:ascii="Times New Roman" w:hAnsi="Times New Roman" w:cs="Times New Roman"/>
          <w:b w:val="0"/>
          <w:bCs w:val="0"/>
          <w:sz w:val="24"/>
          <w:szCs w:val="24"/>
          <w:lang w:eastAsia="zh-Hans"/>
        </w:rPr>
      </w:pPr>
      <w:r>
        <w:rPr>
          <w:rFonts w:hint="default" w:ascii="Times New Roman" w:hAnsi="Times New Roman" w:cs="Times New Roman"/>
          <w:b w:val="0"/>
          <w:bCs w:val="0"/>
          <w:sz w:val="24"/>
          <w:szCs w:val="24"/>
        </w:rPr>
        <w:t xml:space="preserve">In spite of various experts in favour of the CPH, the assertion that it is impossible to achieve native-like proficiency after puberty has been challenged, especially with respect to maturational constraints. An increasing number of studies have found that socio-affective dimension should never be underestimated in second language learning. Exceptional outcomes show that adult learners can indeed obtain native-like L2 language proficiency (Ioup et al. 1994; Nikolov 2000;Nikolov and Mihaljcvic Djigunovic 2006, quoted in Dollmann, et al. 2020.). Additionally, </w:t>
      </w:r>
      <w:r>
        <w:rPr>
          <w:rFonts w:hint="default" w:ascii="Times New Roman" w:hAnsi="Times New Roman" w:cs="Times New Roman"/>
          <w:b w:val="0"/>
          <w:bCs w:val="0"/>
          <w:color w:val="000000" w:themeColor="text1"/>
          <w:sz w:val="24"/>
          <w:szCs w:val="24"/>
          <w14:textFill>
            <w14:solidFill>
              <w14:schemeClr w14:val="tx1"/>
            </w14:solidFill>
          </w14:textFill>
        </w:rPr>
        <w:t xml:space="preserve">Moyer(2014) </w:t>
      </w:r>
      <w:r>
        <w:rPr>
          <w:rFonts w:hint="default" w:ascii="Times New Roman" w:hAnsi="Times New Roman" w:cs="Times New Roman"/>
          <w:b w:val="0"/>
          <w:bCs w:val="0"/>
          <w:sz w:val="24"/>
          <w:szCs w:val="24"/>
        </w:rPr>
        <w:t>highlights that the quantity and quality of language experience can be more integral in the achievement of learning additional languages compared with the element of maturation based on her research on the use of such languages in a wide range of domains, such as learners’ conceptions about their identity and their connections with with native speakers as well as their positive attitudes toward the target-language culture. A</w:t>
      </w:r>
      <w:r>
        <w:rPr>
          <w:rFonts w:hint="eastAsia" w:ascii="Times New Roman" w:hAnsi="Times New Roman" w:cs="Times New Roman"/>
          <w:b w:val="0"/>
          <w:bCs w:val="0"/>
          <w:sz w:val="24"/>
          <w:szCs w:val="24"/>
          <w:lang w:val="en-US" w:eastAsia="zh-Hans"/>
        </w:rPr>
        <w:t>s</w:t>
      </w:r>
      <w:r>
        <w:rPr>
          <w:rFonts w:hint="default" w:ascii="Times New Roman" w:hAnsi="Times New Roman" w:cs="Times New Roman"/>
          <w:b w:val="0"/>
          <w:bCs w:val="0"/>
          <w:sz w:val="24"/>
          <w:szCs w:val="24"/>
          <w:lang w:eastAsia="zh-Hans"/>
        </w:rPr>
        <w:t xml:space="preserve"> a result, it might be concluded from those studies that a diversity of socio-affective factors contribute to the result that younger L2 starters in the naturalistic environment are more likely to be highly competent in second language development than older starters in the long run rather than age factor. </w:t>
      </w:r>
    </w:p>
    <w:p>
      <w:pPr>
        <w:numPr>
          <w:ilvl w:val="0"/>
          <w:numId w:val="0"/>
        </w:numPr>
        <w:spacing w:line="360" w:lineRule="auto"/>
        <w:ind w:firstLine="480" w:firstLineChars="200"/>
        <w:rPr>
          <w:rFonts w:hint="default" w:ascii="Times New Roman" w:hAnsi="Times New Roman" w:cs="Times New Roman"/>
          <w:b w:val="0"/>
          <w:bCs w:val="0"/>
          <w:sz w:val="24"/>
          <w:szCs w:val="24"/>
          <w:lang w:eastAsia="zh-Hans"/>
        </w:rPr>
      </w:pPr>
    </w:p>
    <w:p>
      <w:pPr>
        <w:numPr>
          <w:ilvl w:val="0"/>
          <w:numId w:val="0"/>
        </w:numPr>
        <w:spacing w:line="360" w:lineRule="auto"/>
        <w:ind w:firstLine="600" w:firstLineChars="250"/>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 xml:space="preserve">Such view has also been supported by some advocates </w:t>
      </w:r>
      <w:r>
        <w:rPr>
          <w:rFonts w:hint="default" w:ascii="Times New Roman" w:hAnsi="Times New Roman" w:cs="Times New Roman"/>
          <w:b w:val="0"/>
          <w:bCs w:val="0"/>
          <w:color w:val="000000" w:themeColor="text1"/>
          <w:sz w:val="24"/>
          <w:szCs w:val="24"/>
          <w14:textFill>
            <w14:solidFill>
              <w14:schemeClr w14:val="tx1"/>
            </w14:solidFill>
          </w14:textFill>
        </w:rPr>
        <w:t>(e.g. Abrahamsson&amp;Hyltenstam, 2009</w:t>
      </w:r>
      <w:r>
        <w:rPr>
          <w:rFonts w:hint="default" w:ascii="Times New Roman" w:hAnsi="Times New Roman" w:cs="Times New Roman"/>
          <w:b w:val="0"/>
          <w:bCs w:val="0"/>
          <w:color w:val="000000" w:themeColor="text1"/>
          <w:sz w:val="24"/>
          <w:szCs w:val="24"/>
          <w14:textFill>
            <w14:solidFill>
              <w14:schemeClr w14:val="tx1"/>
            </w14:solidFill>
          </w14:textFill>
        </w:rPr>
        <w:t xml:space="preserve">; </w:t>
      </w:r>
      <w:r>
        <w:rPr>
          <w:rFonts w:hint="default" w:ascii="Times New Roman" w:hAnsi="Times New Roman" w:cs="Times New Roman"/>
          <w:b w:val="0"/>
          <w:bCs w:val="0"/>
          <w:color w:val="000000" w:themeColor="text1"/>
          <w:sz w:val="24"/>
          <w:szCs w:val="24"/>
          <w14:textFill>
            <w14:solidFill>
              <w14:schemeClr w14:val="tx1"/>
            </w14:solidFill>
          </w14:textFill>
        </w:rPr>
        <w:t>Dekeyser, 201</w:t>
      </w:r>
      <w:r>
        <w:rPr>
          <w:rFonts w:hint="default" w:ascii="Times New Roman" w:hAnsi="Times New Roman" w:cs="Times New Roman"/>
          <w:b w:val="0"/>
          <w:bCs w:val="0"/>
          <w:color w:val="000000" w:themeColor="text1"/>
          <w:sz w:val="24"/>
          <w:szCs w:val="24"/>
          <w14:textFill>
            <w14:solidFill>
              <w14:schemeClr w14:val="tx1"/>
            </w14:solidFill>
          </w14:textFill>
        </w:rPr>
        <w:t>3</w:t>
      </w:r>
      <w:r>
        <w:rPr>
          <w:rFonts w:hint="default" w:ascii="Times New Roman" w:hAnsi="Times New Roman" w:cs="Times New Roman"/>
          <w:b w:val="0"/>
          <w:bCs w:val="0"/>
          <w:color w:val="000000" w:themeColor="text1"/>
          <w:sz w:val="24"/>
          <w:szCs w:val="24"/>
          <w14:textFill>
            <w14:solidFill>
              <w14:schemeClr w14:val="tx1"/>
            </w14:solidFill>
          </w14:textFill>
        </w:rPr>
        <w:t>) of CPH to some extent who a</w:t>
      </w:r>
      <w:r>
        <w:rPr>
          <w:rFonts w:hint="default" w:ascii="Times New Roman" w:hAnsi="Times New Roman" w:cs="Times New Roman"/>
          <w:b w:val="0"/>
          <w:bCs w:val="0"/>
          <w:sz w:val="24"/>
          <w:szCs w:val="24"/>
        </w:rPr>
        <w:t>gree that if the function is attributable to individual variables such as motivation,attitude and identity and contextual variables such as quantity and quality of input,and extent of schooling in the second language(L2), there is no critical period. Thus my standpoint is that it is of no tremendous significance to reach an agreement on whether there exists a critical period in second language learning or not since it is an exceedingly complex process affected by a variety of factors, such as language input and learners’ intelligence, aptitude and attitude. As both a parent and an English teacher, I would rather place more emphasis on probing into</w:t>
      </w:r>
      <w:r>
        <w:rPr>
          <w:rFonts w:hint="default" w:ascii="Times New Roman" w:hAnsi="Times New Roman" w:cs="Times New Roman"/>
          <w:b w:val="0"/>
          <w:bCs w:val="0"/>
          <w:sz w:val="24"/>
          <w:szCs w:val="24"/>
        </w:rPr>
        <w:t xml:space="preserve"> the efficient and effective </w:t>
      </w:r>
      <w:r>
        <w:rPr>
          <w:rFonts w:hint="default" w:ascii="Times New Roman" w:hAnsi="Times New Roman" w:cs="Times New Roman"/>
          <w:b w:val="0"/>
          <w:bCs w:val="0"/>
          <w:sz w:val="24"/>
          <w:szCs w:val="24"/>
        </w:rPr>
        <w:t xml:space="preserve"> teaching </w:t>
      </w:r>
      <w:r>
        <w:rPr>
          <w:rFonts w:hint="default" w:ascii="Times New Roman" w:hAnsi="Times New Roman" w:cs="Times New Roman"/>
          <w:b w:val="0"/>
          <w:bCs w:val="0"/>
          <w:sz w:val="24"/>
          <w:szCs w:val="24"/>
        </w:rPr>
        <w:t xml:space="preserve">strategies </w:t>
      </w:r>
      <w:r>
        <w:rPr>
          <w:rFonts w:hint="default" w:ascii="Times New Roman" w:hAnsi="Times New Roman" w:cs="Times New Roman"/>
          <w:b w:val="0"/>
          <w:bCs w:val="0"/>
          <w:sz w:val="24"/>
          <w:szCs w:val="24"/>
        </w:rPr>
        <w:t xml:space="preserve">based on the similarities and differences of learners with different ages than merely focus on their starting age of learning English. </w:t>
      </w:r>
    </w:p>
    <w:p>
      <w:pPr>
        <w:numPr>
          <w:ilvl w:val="0"/>
          <w:numId w:val="0"/>
        </w:numPr>
        <w:spacing w:line="360" w:lineRule="auto"/>
        <w:ind w:firstLine="600" w:firstLineChars="250"/>
        <w:rPr>
          <w:rFonts w:hint="default" w:ascii="Times New Roman" w:hAnsi="Times New Roman" w:cs="Times New Roman"/>
          <w:b w:val="0"/>
          <w:bCs w:val="0"/>
          <w:sz w:val="24"/>
          <w:szCs w:val="24"/>
        </w:rPr>
      </w:pPr>
    </w:p>
    <w:p>
      <w:pPr>
        <w:numPr>
          <w:ilvl w:val="0"/>
          <w:numId w:val="3"/>
        </w:numPr>
        <w:spacing w:line="360" w:lineRule="auto"/>
        <w:rPr>
          <w:rFonts w:hint="default" w:ascii="Times New Roman Bold" w:hAnsi="Times New Roman Bold" w:cs="Times New Roman Bold"/>
          <w:b/>
          <w:bCs/>
          <w:sz w:val="24"/>
          <w:szCs w:val="24"/>
          <w:lang w:val="en-US"/>
        </w:rPr>
      </w:pPr>
      <w:r>
        <w:rPr>
          <w:rFonts w:hint="default" w:ascii="Times New Roman Bold" w:hAnsi="Times New Roman Bold" w:cs="Times New Roman Bold"/>
          <w:b/>
          <w:bCs/>
          <w:sz w:val="24"/>
          <w:szCs w:val="24"/>
        </w:rPr>
        <w:t xml:space="preserve"> Similarities and Differences between L2 Children and L2 Adults</w:t>
      </w:r>
    </w:p>
    <w:p>
      <w:pPr>
        <w:numPr>
          <w:ilvl w:val="0"/>
          <w:numId w:val="0"/>
        </w:numPr>
        <w:spacing w:line="360" w:lineRule="auto"/>
        <w:ind w:firstLine="600" w:firstLineChars="250"/>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 xml:space="preserve"> </w:t>
      </w:r>
      <w:r>
        <w:rPr>
          <w:rFonts w:hint="default" w:ascii="Times New Roman" w:hAnsi="Times New Roman" w:cs="Times New Roman"/>
          <w:b w:val="0"/>
          <w:bCs w:val="0"/>
          <w:sz w:val="24"/>
          <w:szCs w:val="24"/>
        </w:rPr>
        <w:t>A</w:t>
      </w:r>
      <w:r>
        <w:rPr>
          <w:rFonts w:hint="default" w:ascii="Times New Roman" w:hAnsi="Times New Roman" w:cs="Times New Roman"/>
          <w:b w:val="0"/>
          <w:bCs w:val="0"/>
          <w:sz w:val="24"/>
          <w:szCs w:val="24"/>
        </w:rPr>
        <w:t xml:space="preserve"> considerable amount of research has been conducted in the domain of the characteristics of learners with different ages in second language learning, from which rewarding results have been yielded. In general, the differences mainly lie in the fact that young learners tend to experience a more implicit,unintended acquisition process,whilst it is more likely that older learners employ explicit learning strategies (DeKeyser 2000; Abrahamsson 2012, quoted in Dollmann, et al. 2020)</w:t>
      </w:r>
      <w:r>
        <w:rPr>
          <w:rFonts w:hint="default" w:ascii="Times New Roman" w:hAnsi="Times New Roman" w:cs="Times New Roman"/>
          <w:b w:val="0"/>
          <w:bCs w:val="0"/>
          <w:sz w:val="24"/>
          <w:szCs w:val="24"/>
        </w:rPr>
        <w:t>.</w:t>
      </w:r>
      <w:r>
        <w:rPr>
          <w:rFonts w:hint="default" w:ascii="Times New Roman" w:hAnsi="Times New Roman" w:cs="Times New Roman"/>
          <w:b w:val="0"/>
          <w:bCs w:val="0"/>
          <w:sz w:val="24"/>
          <w:szCs w:val="24"/>
        </w:rPr>
        <w:t xml:space="preserve"> In terms of similarities, it should be underlined that the quantity and quality of language input can exert enormous influence on both young and learners’ learning outcomes in second language.</w:t>
      </w:r>
    </w:p>
    <w:p>
      <w:pPr>
        <w:numPr>
          <w:ilvl w:val="0"/>
          <w:numId w:val="0"/>
        </w:numPr>
        <w:spacing w:line="360" w:lineRule="auto"/>
        <w:ind w:firstLine="600" w:firstLineChars="250"/>
        <w:rPr>
          <w:rFonts w:hint="default" w:ascii="Times New Roman" w:hAnsi="Times New Roman" w:cs="Times New Roman"/>
          <w:b w:val="0"/>
          <w:bCs w:val="0"/>
          <w:sz w:val="24"/>
          <w:szCs w:val="24"/>
        </w:rPr>
      </w:pPr>
    </w:p>
    <w:p>
      <w:pPr>
        <w:numPr>
          <w:ilvl w:val="0"/>
          <w:numId w:val="0"/>
        </w:numPr>
        <w:spacing w:line="360" w:lineRule="auto"/>
        <w:ind w:firstLine="600" w:firstLineChars="250"/>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 xml:space="preserve">As for young learners, if their parents attach paramount importance to their second language learning, some of whom even make a determined effort to cultivate their bilingual abilities, they could be guided to be </w:t>
      </w:r>
      <w:r>
        <w:rPr>
          <w:rFonts w:hint="default" w:ascii="Times New Roman" w:hAnsi="Times New Roman" w:cs="Times New Roman"/>
          <w:b w:val="0"/>
          <w:bCs w:val="0"/>
          <w:sz w:val="24"/>
          <w:szCs w:val="24"/>
        </w:rPr>
        <w:t>immersed</w:t>
      </w:r>
      <w:r>
        <w:rPr>
          <w:rFonts w:hint="default" w:ascii="Times New Roman" w:hAnsi="Times New Roman" w:cs="Times New Roman"/>
          <w:b w:val="0"/>
          <w:bCs w:val="0"/>
          <w:sz w:val="24"/>
          <w:szCs w:val="24"/>
        </w:rPr>
        <w:t xml:space="preserve"> in the naturalistic environment, where maximal </w:t>
      </w:r>
      <w:r>
        <w:rPr>
          <w:rFonts w:hint="default" w:ascii="Times New Roman" w:hAnsi="Times New Roman" w:cs="Times New Roman"/>
          <w:b w:val="0"/>
          <w:bCs w:val="0"/>
          <w:sz w:val="24"/>
          <w:szCs w:val="24"/>
        </w:rPr>
        <w:t xml:space="preserve">language </w:t>
      </w:r>
      <w:r>
        <w:rPr>
          <w:rFonts w:hint="default" w:ascii="Times New Roman" w:hAnsi="Times New Roman" w:cs="Times New Roman"/>
          <w:b w:val="0"/>
          <w:bCs w:val="0"/>
          <w:sz w:val="24"/>
          <w:szCs w:val="24"/>
        </w:rPr>
        <w:t xml:space="preserve">input can be </w:t>
      </w:r>
      <w:r>
        <w:rPr>
          <w:rFonts w:hint="default" w:ascii="Times New Roman" w:hAnsi="Times New Roman" w:cs="Times New Roman"/>
          <w:b w:val="0"/>
          <w:bCs w:val="0"/>
          <w:sz w:val="24"/>
          <w:szCs w:val="24"/>
        </w:rPr>
        <w:t>available largely from</w:t>
      </w:r>
      <w:r>
        <w:rPr>
          <w:rFonts w:hint="default" w:ascii="Times New Roman" w:hAnsi="Times New Roman" w:cs="Times New Roman"/>
          <w:b w:val="0"/>
          <w:bCs w:val="0"/>
          <w:sz w:val="24"/>
          <w:szCs w:val="24"/>
        </w:rPr>
        <w:t xml:space="preserve"> their parents. Children can have access to those rich input and convert those input into intake and then into output unconsciously after several times of repetition. Such learning process can usually be regarded as implicit learning. By contrast, since old learners’ first language competence has already been fostered to a certain level, they are prone to negative transfer of their first language while learning the second language, the process of which often takes place in the classroom where they have to follow teachers’ instructions consciously. Such learning process is usually considered explicit learning where cognitive ability plays an essential role. Johnson and Newport advanced that there might be differences between the learning occurring in the formal language classroom and that happening during naturalistic immersion,and therefore early instruction does not necessarily benefit ultimate performance that is held by early naturalistic immersion(1989). It can be indicated from this view that the advantages younger learners take are that they have more opportunities to be exposed to naturalistic immersion whereas old learners have to be dependent more on formal instructions. However, it is usually argued that if younger learners cannot be completely immersed in the target language context, the potential benefits of an early start may be of little significan</w:t>
      </w:r>
      <w:r>
        <w:rPr>
          <w:rFonts w:hint="default" w:ascii="Times New Roman" w:hAnsi="Times New Roman" w:cs="Times New Roman"/>
          <w:b w:val="0"/>
          <w:bCs w:val="0"/>
          <w:color w:val="000000" w:themeColor="text1"/>
          <w:sz w:val="24"/>
          <w:szCs w:val="24"/>
          <w14:textFill>
            <w14:solidFill>
              <w14:schemeClr w14:val="tx1"/>
            </w14:solidFill>
          </w14:textFill>
        </w:rPr>
        <w:t>ce(Qureshi, 2016)</w:t>
      </w:r>
      <w:r>
        <w:rPr>
          <w:rFonts w:hint="default" w:ascii="Times New Roman" w:hAnsi="Times New Roman" w:cs="Times New Roman"/>
          <w:b w:val="0"/>
          <w:bCs w:val="0"/>
          <w:color w:val="000000" w:themeColor="text1"/>
          <w:sz w:val="24"/>
          <w:szCs w:val="24"/>
          <w14:textFill>
            <w14:solidFill>
              <w14:schemeClr w14:val="tx1"/>
            </w14:solidFill>
          </w14:textFill>
        </w:rPr>
        <w:t>.</w:t>
      </w:r>
      <w:r>
        <w:rPr>
          <w:rFonts w:hint="default" w:ascii="Times New Roman" w:hAnsi="Times New Roman" w:cs="Times New Roman"/>
          <w:b w:val="0"/>
          <w:bCs w:val="0"/>
          <w:color w:val="000000" w:themeColor="text1"/>
          <w:sz w:val="24"/>
          <w:szCs w:val="24"/>
          <w14:textFill>
            <w14:solidFill>
              <w14:schemeClr w14:val="tx1"/>
            </w14:solidFill>
          </w14:textFill>
        </w:rPr>
        <w:t xml:space="preserve"> </w:t>
      </w:r>
      <w:r>
        <w:rPr>
          <w:rFonts w:hint="default" w:ascii="Times New Roman" w:hAnsi="Times New Roman" w:cs="Times New Roman"/>
          <w:b w:val="0"/>
          <w:bCs w:val="0"/>
          <w:sz w:val="24"/>
          <w:szCs w:val="24"/>
        </w:rPr>
        <w:t xml:space="preserve">Moreover, Dekeyser(2013) has </w:t>
      </w:r>
      <w:r>
        <w:rPr>
          <w:rFonts w:hint="default" w:ascii="Times New Roman" w:hAnsi="Times New Roman" w:cs="Times New Roman"/>
          <w:b w:val="0"/>
          <w:bCs w:val="0"/>
          <w:sz w:val="24"/>
          <w:szCs w:val="24"/>
        </w:rPr>
        <w:t>advocated</w:t>
      </w:r>
      <w:r>
        <w:rPr>
          <w:rFonts w:hint="default" w:ascii="Times New Roman" w:hAnsi="Times New Roman" w:cs="Times New Roman"/>
          <w:b w:val="0"/>
          <w:bCs w:val="0"/>
          <w:sz w:val="24"/>
          <w:szCs w:val="24"/>
        </w:rPr>
        <w:t xml:space="preserve"> that older learners are superior in comprehending explicit linguistic rules, which can help them achieve short-term attainments to the maximum. During this learning process, particularly at the initial stage, a conceptual level of processing plays an indispensable part </w:t>
      </w:r>
      <w:r>
        <w:rPr>
          <w:rFonts w:hint="default" w:ascii="Times New Roman" w:hAnsi="Times New Roman" w:cs="Times New Roman"/>
          <w:b w:val="0"/>
          <w:bCs w:val="0"/>
          <w:sz w:val="24"/>
          <w:szCs w:val="24"/>
        </w:rPr>
        <w:t xml:space="preserve">in </w:t>
      </w:r>
      <w:r>
        <w:rPr>
          <w:rFonts w:hint="default" w:ascii="Times New Roman" w:hAnsi="Times New Roman" w:cs="Times New Roman"/>
          <w:b w:val="0"/>
          <w:bCs w:val="0"/>
          <w:sz w:val="24"/>
          <w:szCs w:val="24"/>
        </w:rPr>
        <w:t>a translation recognition task. Thus continuous rich language input is of vital importance as long as younger learners are willing to keep their own advantages of starting learning the second language very early.</w:t>
      </w:r>
    </w:p>
    <w:p>
      <w:pPr>
        <w:numPr>
          <w:ilvl w:val="0"/>
          <w:numId w:val="0"/>
        </w:numPr>
        <w:spacing w:line="360" w:lineRule="auto"/>
        <w:ind w:firstLine="600" w:firstLineChars="250"/>
        <w:rPr>
          <w:rFonts w:hint="default" w:ascii="Times New Roman" w:hAnsi="Times New Roman" w:cs="Times New Roman"/>
          <w:b w:val="0"/>
          <w:bCs w:val="0"/>
          <w:sz w:val="24"/>
          <w:szCs w:val="24"/>
        </w:rPr>
      </w:pPr>
    </w:p>
    <w:p>
      <w:pPr>
        <w:numPr>
          <w:ilvl w:val="0"/>
          <w:numId w:val="0"/>
        </w:numPr>
        <w:spacing w:line="360" w:lineRule="auto"/>
        <w:ind w:firstLine="480" w:firstLineChars="200"/>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 xml:space="preserve">With regard to the specific elements of linguistic competence, differences can also be identified between younger learners and old learners. It is commonly  asserted that native-like pronunciation can be accessed much more easily by children if they are exposed to authentic aural materials or interaction with native speakers. In effect, such assertion has also been confirmed by a wide range of studies. For example, </w:t>
      </w:r>
      <w:r>
        <w:rPr>
          <w:rFonts w:hint="default" w:ascii="Times New Roman" w:hAnsi="Times New Roman" w:cs="Times New Roman"/>
          <w:b w:val="0"/>
          <w:bCs w:val="0"/>
          <w:color w:val="000000" w:themeColor="text1"/>
          <w:sz w:val="24"/>
          <w:szCs w:val="24"/>
          <w14:textFill>
            <w14:solidFill>
              <w14:schemeClr w14:val="tx1"/>
            </w14:solidFill>
          </w14:textFill>
        </w:rPr>
        <w:t xml:space="preserve">Diller (1981) </w:t>
      </w:r>
      <w:r>
        <w:rPr>
          <w:rFonts w:hint="default" w:ascii="Times New Roman" w:hAnsi="Times New Roman" w:cs="Times New Roman"/>
          <w:b w:val="0"/>
          <w:bCs w:val="0"/>
          <w:color w:val="000000" w:themeColor="text1"/>
          <w:sz w:val="24"/>
          <w:szCs w:val="24"/>
          <w14:textFill>
            <w14:solidFill>
              <w14:schemeClr w14:val="tx1"/>
            </w14:solidFill>
          </w14:textFill>
        </w:rPr>
        <w:t>assert</w:t>
      </w:r>
      <w:r>
        <w:rPr>
          <w:rFonts w:hint="default" w:ascii="Times New Roman" w:hAnsi="Times New Roman" w:cs="Times New Roman"/>
          <w:b w:val="0"/>
          <w:bCs w:val="0"/>
          <w:color w:val="000000" w:themeColor="text1"/>
          <w:sz w:val="24"/>
          <w:szCs w:val="24"/>
          <w14:textFill>
            <w14:solidFill>
              <w14:schemeClr w14:val="tx1"/>
            </w14:solidFill>
          </w14:textFill>
        </w:rPr>
        <w:t xml:space="preserve">s that authentic L2 accents can be acquired only up to 6-8 years </w:t>
      </w:r>
      <w:r>
        <w:rPr>
          <w:rFonts w:hint="default" w:ascii="Times New Roman" w:hAnsi="Times New Roman" w:cs="Times New Roman"/>
          <w:b w:val="0"/>
          <w:bCs w:val="0"/>
          <w:sz w:val="24"/>
          <w:szCs w:val="24"/>
        </w:rPr>
        <w:t>old while the cognitive aspects of L2s can be learned by relatively mature people based on different developmental schedules of different kinds of neurons.</w:t>
      </w:r>
      <w:r>
        <w:rPr>
          <w:rFonts w:hint="default" w:ascii="Times New Roman" w:hAnsi="Times New Roman" w:cs="Times New Roman"/>
          <w:b w:val="0"/>
          <w:bCs w:val="0"/>
          <w:color w:val="000000" w:themeColor="text1"/>
          <w:sz w:val="24"/>
          <w:szCs w:val="24"/>
          <w14:textFill>
            <w14:solidFill>
              <w14:schemeClr w14:val="tx1"/>
            </w14:solidFill>
          </w14:textFill>
        </w:rPr>
        <w:t xml:space="preserve"> Long (1990) </w:t>
      </w:r>
      <w:r>
        <w:rPr>
          <w:rFonts w:hint="default" w:ascii="Times New Roman" w:hAnsi="Times New Roman" w:cs="Times New Roman"/>
          <w:b w:val="0"/>
          <w:bCs w:val="0"/>
          <w:sz w:val="24"/>
          <w:szCs w:val="24"/>
        </w:rPr>
        <w:t xml:space="preserve">also </w:t>
      </w:r>
      <w:r>
        <w:rPr>
          <w:rFonts w:hint="default" w:ascii="Times New Roman" w:hAnsi="Times New Roman" w:cs="Times New Roman"/>
          <w:b w:val="0"/>
          <w:bCs w:val="0"/>
          <w:sz w:val="24"/>
          <w:szCs w:val="24"/>
        </w:rPr>
        <w:t>claim</w:t>
      </w:r>
      <w:r>
        <w:rPr>
          <w:rFonts w:hint="default" w:ascii="Times New Roman" w:hAnsi="Times New Roman" w:cs="Times New Roman"/>
          <w:b w:val="0"/>
          <w:bCs w:val="0"/>
          <w:sz w:val="24"/>
          <w:szCs w:val="24"/>
        </w:rPr>
        <w:t xml:space="preserve">s that phonological acquisition may be constrained as early as </w:t>
      </w:r>
      <w:r>
        <w:rPr>
          <w:rFonts w:hint="default" w:ascii="Times New Roman" w:hAnsi="Times New Roman" w:cs="Times New Roman"/>
          <w:b w:val="0"/>
          <w:bCs w:val="0"/>
          <w:sz w:val="24"/>
          <w:szCs w:val="24"/>
        </w:rPr>
        <w:t xml:space="preserve">the </w:t>
      </w:r>
      <w:r>
        <w:rPr>
          <w:rFonts w:hint="default" w:ascii="Times New Roman" w:hAnsi="Times New Roman" w:cs="Times New Roman"/>
          <w:b w:val="0"/>
          <w:bCs w:val="0"/>
          <w:sz w:val="24"/>
          <w:szCs w:val="24"/>
        </w:rPr>
        <w:t>age</w:t>
      </w:r>
      <w:r>
        <w:rPr>
          <w:rFonts w:hint="default" w:ascii="Times New Roman" w:hAnsi="Times New Roman" w:cs="Times New Roman"/>
          <w:b w:val="0"/>
          <w:bCs w:val="0"/>
          <w:sz w:val="24"/>
          <w:szCs w:val="24"/>
        </w:rPr>
        <w:t xml:space="preserve"> between </w:t>
      </w:r>
      <w:r>
        <w:rPr>
          <w:rFonts w:hint="default" w:ascii="Times New Roman" w:hAnsi="Times New Roman" w:cs="Times New Roman"/>
          <w:b w:val="0"/>
          <w:bCs w:val="0"/>
          <w:sz w:val="24"/>
          <w:szCs w:val="24"/>
        </w:rPr>
        <w:t>5</w:t>
      </w:r>
      <w:r>
        <w:rPr>
          <w:rFonts w:hint="default" w:ascii="Times New Roman" w:hAnsi="Times New Roman" w:cs="Times New Roman"/>
          <w:b w:val="0"/>
          <w:bCs w:val="0"/>
          <w:sz w:val="24"/>
          <w:szCs w:val="24"/>
        </w:rPr>
        <w:t xml:space="preserve"> and </w:t>
      </w:r>
      <w:r>
        <w:rPr>
          <w:rFonts w:hint="default" w:ascii="Times New Roman" w:hAnsi="Times New Roman" w:cs="Times New Roman"/>
          <w:b w:val="0"/>
          <w:bCs w:val="0"/>
          <w:sz w:val="24"/>
          <w:szCs w:val="24"/>
        </w:rPr>
        <w:t xml:space="preserve">6, earlier than for syntax and morphology. This is presumably </w:t>
      </w:r>
      <w:r>
        <w:rPr>
          <w:rFonts w:hint="default" w:ascii="Times New Roman" w:hAnsi="Times New Roman" w:cs="Times New Roman"/>
          <w:b w:val="0"/>
          <w:bCs w:val="0"/>
          <w:sz w:val="24"/>
          <w:szCs w:val="24"/>
        </w:rPr>
        <w:t xml:space="preserve">due </w:t>
      </w:r>
      <w:r>
        <w:rPr>
          <w:rFonts w:hint="default" w:ascii="Times New Roman" w:hAnsi="Times New Roman" w:cs="Times New Roman"/>
          <w:b w:val="0"/>
          <w:bCs w:val="0"/>
          <w:sz w:val="24"/>
          <w:szCs w:val="24"/>
        </w:rPr>
        <w:t>to the fact that adult learners process phonetic input in different ways because of the phonetic categories existing previously from L1.Consequently, it is of tremendous difficulty for adults to develop phonetically accurate pronunciation for L2 without the interruption of L1 (Moyer, 1999)</w:t>
      </w:r>
      <w:r>
        <w:rPr>
          <w:rFonts w:hint="default" w:ascii="Times New Roman" w:hAnsi="Times New Roman" w:cs="Times New Roman"/>
          <w:b w:val="0"/>
          <w:bCs w:val="0"/>
          <w:sz w:val="24"/>
          <w:szCs w:val="24"/>
        </w:rPr>
        <w:t xml:space="preserve">. </w:t>
      </w:r>
      <w:r>
        <w:rPr>
          <w:rFonts w:hint="default" w:ascii="Times New Roman" w:hAnsi="Times New Roman" w:cs="Times New Roman"/>
          <w:b w:val="0"/>
          <w:bCs w:val="0"/>
          <w:sz w:val="24"/>
          <w:szCs w:val="24"/>
        </w:rPr>
        <w:t xml:space="preserve">Nevertheless, this deeply-rooted conception has also been challenged recently. A group of German researchers </w:t>
      </w:r>
      <w:r>
        <w:rPr>
          <w:rFonts w:hint="default" w:ascii="Times New Roman" w:hAnsi="Times New Roman" w:cs="Times New Roman"/>
          <w:b w:val="0"/>
          <w:bCs w:val="0"/>
          <w:sz w:val="24"/>
          <w:szCs w:val="24"/>
        </w:rPr>
        <w:t>confirm that</w:t>
      </w:r>
      <w:r>
        <w:rPr>
          <w:rFonts w:hint="default" w:ascii="Times New Roman" w:hAnsi="Times New Roman" w:cs="Times New Roman"/>
          <w:b w:val="0"/>
          <w:bCs w:val="0"/>
          <w:sz w:val="24"/>
          <w:szCs w:val="24"/>
        </w:rPr>
        <w:t xml:space="preserve"> adult learners can still gain accent-free </w:t>
      </w:r>
      <w:r>
        <w:rPr>
          <w:rFonts w:hint="default" w:ascii="Times New Roman" w:hAnsi="Times New Roman" w:cs="Times New Roman"/>
          <w:b w:val="0"/>
          <w:bCs w:val="0"/>
          <w:sz w:val="24"/>
          <w:szCs w:val="24"/>
        </w:rPr>
        <w:t xml:space="preserve">pronunciation </w:t>
      </w:r>
      <w:r>
        <w:rPr>
          <w:rFonts w:hint="default" w:ascii="Times New Roman" w:hAnsi="Times New Roman" w:cs="Times New Roman"/>
          <w:b w:val="0"/>
          <w:bCs w:val="0"/>
          <w:sz w:val="24"/>
          <w:szCs w:val="24"/>
        </w:rPr>
        <w:t>even though they are beyond their critical period of learning the second language based on empirical study(Dollmann et al. 2020)</w:t>
      </w:r>
      <w:r>
        <w:rPr>
          <w:rFonts w:hint="default" w:ascii="Times New Roman" w:hAnsi="Times New Roman" w:cs="Times New Roman"/>
          <w:b w:val="0"/>
          <w:bCs w:val="0"/>
          <w:sz w:val="24"/>
          <w:szCs w:val="24"/>
        </w:rPr>
        <w:t>.</w:t>
      </w:r>
      <w:r>
        <w:rPr>
          <w:rFonts w:hint="default" w:ascii="Times New Roman" w:hAnsi="Times New Roman" w:cs="Times New Roman"/>
          <w:b w:val="0"/>
          <w:bCs w:val="0"/>
          <w:sz w:val="24"/>
          <w:szCs w:val="24"/>
        </w:rPr>
        <w:t xml:space="preserve"> In this study, it is also admitted that in the context of a growing number of immigrants to Germany, those who “arrived after the age of 10 were rated as having a significantly stronger foreign accent than those who moved at an earlier age(Dollmann et al. 2020, p.804)". However, such imperfection of pronunciation can be alterable with compensatory mechanisms explored. As for those late L2 learners who obtain exceptional learning outcomes, a high level of language aptitude,talent or verbal ability is usually considered a crucial precondition in developing a native-like level of language skills. Additionally, general cognitive skills such as explicit inductive learning ability,rote memory ability and analytical ability are the typical capabilities old learners have to accelerate the second language learning process</w:t>
      </w:r>
      <w:r>
        <w:rPr>
          <w:rFonts w:hint="default" w:ascii="Times New Roman" w:hAnsi="Times New Roman" w:cs="Times New Roman"/>
          <w:b w:val="0"/>
          <w:bCs w:val="0"/>
          <w:color w:val="000000" w:themeColor="text1"/>
          <w:sz w:val="24"/>
          <w:szCs w:val="24"/>
          <w14:textFill>
            <w14:solidFill>
              <w14:schemeClr w14:val="tx1"/>
            </w14:solidFill>
          </w14:textFill>
        </w:rPr>
        <w:t>(Granena 2016)</w:t>
      </w:r>
      <w:r>
        <w:rPr>
          <w:rFonts w:hint="default" w:ascii="Times New Roman" w:hAnsi="Times New Roman" w:cs="Times New Roman"/>
          <w:b w:val="0"/>
          <w:bCs w:val="0"/>
          <w:color w:val="000000" w:themeColor="text1"/>
          <w:sz w:val="24"/>
          <w:szCs w:val="24"/>
          <w14:textFill>
            <w14:solidFill>
              <w14:schemeClr w14:val="tx1"/>
            </w14:solidFill>
          </w14:textFill>
        </w:rPr>
        <w:t>.</w:t>
      </w:r>
      <w:r>
        <w:rPr>
          <w:rFonts w:hint="default" w:ascii="Times New Roman" w:hAnsi="Times New Roman" w:cs="Times New Roman"/>
          <w:b w:val="0"/>
          <w:bCs w:val="0"/>
          <w:color w:val="000000" w:themeColor="text1"/>
          <w:sz w:val="24"/>
          <w:szCs w:val="24"/>
          <w14:textFill>
            <w14:solidFill>
              <w14:schemeClr w14:val="tx1"/>
            </w14:solidFill>
          </w14:textFill>
        </w:rPr>
        <w:t xml:space="preserve"> M</w:t>
      </w:r>
      <w:r>
        <w:rPr>
          <w:rFonts w:hint="default" w:ascii="Times New Roman" w:hAnsi="Times New Roman" w:cs="Times New Roman"/>
          <w:b w:val="0"/>
          <w:bCs w:val="0"/>
          <w:sz w:val="24"/>
          <w:szCs w:val="24"/>
        </w:rPr>
        <w:t>oreover, contextual factors, including the quantity and quality of language exposure and input are of tremendous significance as well. It has been demonstrated that native-like L2 fluency and proficiency can be attained through extensive exposure to L2 and intensive contacts with native speakers to the largest extent</w:t>
      </w:r>
      <w:r>
        <w:rPr>
          <w:rFonts w:hint="default" w:ascii="Times New Roman" w:hAnsi="Times New Roman" w:cs="Times New Roman"/>
          <w:b w:val="0"/>
          <w:bCs w:val="0"/>
          <w:color w:val="000000" w:themeColor="text1"/>
          <w:sz w:val="24"/>
          <w:szCs w:val="24"/>
          <w14:textFill>
            <w14:solidFill>
              <w14:schemeClr w14:val="tx1"/>
            </w14:solidFill>
          </w14:textFill>
        </w:rPr>
        <w:t>(Munoz, 2014)</w:t>
      </w:r>
      <w:r>
        <w:rPr>
          <w:rFonts w:hint="default" w:ascii="Times New Roman" w:hAnsi="Times New Roman" w:cs="Times New Roman"/>
          <w:b w:val="0"/>
          <w:bCs w:val="0"/>
          <w:color w:val="000000" w:themeColor="text1"/>
          <w:sz w:val="24"/>
          <w:szCs w:val="24"/>
          <w14:textFill>
            <w14:solidFill>
              <w14:schemeClr w14:val="tx1"/>
            </w14:solidFill>
          </w14:textFill>
        </w:rPr>
        <w:t>.</w:t>
      </w:r>
      <w:r>
        <w:rPr>
          <w:rFonts w:hint="default" w:ascii="Times New Roman" w:hAnsi="Times New Roman" w:cs="Times New Roman"/>
          <w:b w:val="0"/>
          <w:bCs w:val="0"/>
          <w:color w:val="000000" w:themeColor="text1"/>
          <w:sz w:val="24"/>
          <w:szCs w:val="24"/>
          <w14:textFill>
            <w14:solidFill>
              <w14:schemeClr w14:val="tx1"/>
            </w14:solidFill>
          </w14:textFill>
        </w:rPr>
        <w:t xml:space="preserve"> </w:t>
      </w:r>
      <w:r>
        <w:rPr>
          <w:rFonts w:hint="default" w:ascii="Times New Roman" w:hAnsi="Times New Roman" w:cs="Times New Roman"/>
          <w:b w:val="0"/>
          <w:bCs w:val="0"/>
          <w:sz w:val="24"/>
          <w:szCs w:val="24"/>
        </w:rPr>
        <w:t xml:space="preserve">Consequently, adult learners ought to make greater efforts to achieve native-like language skills, particularly pronunciation with both internal and external factors integrated to function effectively so as to achieve the outstanding learning outcomes. </w:t>
      </w:r>
    </w:p>
    <w:p>
      <w:pPr>
        <w:numPr>
          <w:ilvl w:val="0"/>
          <w:numId w:val="0"/>
        </w:numPr>
        <w:spacing w:line="360" w:lineRule="auto"/>
        <w:ind w:firstLine="480" w:firstLineChars="200"/>
        <w:rPr>
          <w:rFonts w:hint="default" w:ascii="Times New Roman" w:hAnsi="Times New Roman" w:cs="Times New Roman"/>
          <w:b w:val="0"/>
          <w:bCs w:val="0"/>
          <w:sz w:val="24"/>
          <w:szCs w:val="24"/>
        </w:rPr>
      </w:pPr>
    </w:p>
    <w:p>
      <w:pPr>
        <w:numPr>
          <w:ilvl w:val="0"/>
          <w:numId w:val="0"/>
        </w:numPr>
        <w:spacing w:line="360" w:lineRule="auto"/>
        <w:ind w:firstLine="480" w:firstLineChars="200"/>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 xml:space="preserve">However, with regard to lexis and morphosyntax, some linguistic experts agree that old learners are more liable to obtain native-like competence which is not so susceptible to critical or sensitive period if they can take full advantage of their explicit, analytic and problem-solving capacities. Granena and Long (2012) </w:t>
      </w:r>
      <w:r>
        <w:rPr>
          <w:rFonts w:hint="default" w:ascii="Times New Roman" w:hAnsi="Times New Roman" w:cs="Times New Roman"/>
          <w:b w:val="0"/>
          <w:bCs w:val="0"/>
          <w:sz w:val="24"/>
          <w:szCs w:val="24"/>
        </w:rPr>
        <w:t xml:space="preserve">corroborate </w:t>
      </w:r>
      <w:r>
        <w:rPr>
          <w:rFonts w:hint="default" w:ascii="Times New Roman" w:hAnsi="Times New Roman" w:cs="Times New Roman"/>
          <w:b w:val="0"/>
          <w:bCs w:val="0"/>
          <w:sz w:val="24"/>
          <w:szCs w:val="24"/>
        </w:rPr>
        <w:t>that windows of opportunity for learners to attain native-like proficiency tend to be closed first for L2 phonology,then for lexis and collocation and finally for morphosyntax. This is due to the fact that children are better at acquiring a language implicitly,while adults are superior in figuring out its structure explicitly to some extent</w:t>
      </w:r>
      <w:r>
        <w:rPr>
          <w:rFonts w:hint="default" w:ascii="Times New Roman" w:hAnsi="Times New Roman" w:cs="Times New Roman"/>
          <w:b w:val="0"/>
          <w:bCs w:val="0"/>
          <w:sz w:val="24"/>
          <w:szCs w:val="24"/>
        </w:rPr>
        <w:t xml:space="preserve"> </w:t>
      </w:r>
      <w:r>
        <w:rPr>
          <w:rFonts w:hint="default" w:ascii="Times New Roman" w:hAnsi="Times New Roman" w:cs="Times New Roman"/>
          <w:b w:val="0"/>
          <w:bCs w:val="0"/>
          <w:sz w:val="24"/>
          <w:szCs w:val="24"/>
        </w:rPr>
        <w:t>(DeKeyser, 2013)</w:t>
      </w:r>
      <w:r>
        <w:rPr>
          <w:rFonts w:hint="default" w:ascii="Times New Roman" w:hAnsi="Times New Roman" w:cs="Times New Roman"/>
          <w:b w:val="0"/>
          <w:bCs w:val="0"/>
          <w:sz w:val="24"/>
          <w:szCs w:val="24"/>
        </w:rPr>
        <w:t>.</w:t>
      </w:r>
      <w:r>
        <w:rPr>
          <w:rFonts w:hint="default" w:ascii="Times New Roman" w:hAnsi="Times New Roman" w:cs="Times New Roman"/>
          <w:b w:val="0"/>
          <w:bCs w:val="0"/>
          <w:sz w:val="24"/>
          <w:szCs w:val="24"/>
        </w:rPr>
        <w:t xml:space="preserve"> Moreover, Dekeyser (2000) has thrown new light on the correlations between language aptitude and ultimate grammatical </w:t>
      </w:r>
      <w:r>
        <w:rPr>
          <w:rFonts w:hint="default" w:ascii="Times New Roman" w:hAnsi="Times New Roman" w:cs="Times New Roman"/>
          <w:b w:val="0"/>
          <w:bCs w:val="0"/>
          <w:sz w:val="24"/>
          <w:szCs w:val="24"/>
        </w:rPr>
        <w:t xml:space="preserve">performance </w:t>
      </w:r>
      <w:r>
        <w:rPr>
          <w:rFonts w:hint="default" w:ascii="Times New Roman" w:hAnsi="Times New Roman" w:cs="Times New Roman"/>
          <w:b w:val="0"/>
          <w:bCs w:val="0"/>
          <w:sz w:val="24"/>
          <w:szCs w:val="24"/>
        </w:rPr>
        <w:t>among learners of different ages, revealing that such correlations are much more remarkable in older learners rather than in younger learners based on statistical evidences.More specifically, the relationship between learners’ mastery of different types of L2 structures and their different ages has also been investigated. Interestingly, such study demonstrates that age can make no difference in learning some simple structures,such as word order in declarative sentences and pronoun gender whereas some difficult structures,with articles,some plurals and sub-categorisation involved are strongly correlated with the effect of age. However, the research result that language aptitude is of greater importance for older learners to finally achieve grammatical competence has also triggered controversy.</w:t>
      </w:r>
      <w:r>
        <w:rPr>
          <w:rFonts w:hint="default" w:ascii="Times New Roman" w:hAnsi="Times New Roman" w:cs="Times New Roman"/>
          <w:b w:val="0"/>
          <w:bCs w:val="0"/>
          <w:color w:val="000000" w:themeColor="text1"/>
          <w:sz w:val="24"/>
          <w:szCs w:val="24"/>
          <w14:textFill>
            <w14:solidFill>
              <w14:schemeClr w14:val="tx1"/>
            </w14:solidFill>
          </w14:textFill>
        </w:rPr>
        <w:t>Abrahamsson and Hyltenstam(200</w:t>
      </w:r>
      <w:r>
        <w:rPr>
          <w:rFonts w:hint="default" w:ascii="Times New Roman" w:hAnsi="Times New Roman" w:cs="Times New Roman"/>
          <w:b w:val="0"/>
          <w:bCs w:val="0"/>
          <w:color w:val="000000" w:themeColor="text1"/>
          <w:sz w:val="24"/>
          <w:szCs w:val="24"/>
          <w14:textFill>
            <w14:solidFill>
              <w14:schemeClr w14:val="tx1"/>
            </w14:solidFill>
          </w14:textFill>
        </w:rPr>
        <w:t>9</w:t>
      </w:r>
      <w:r>
        <w:rPr>
          <w:rFonts w:hint="default" w:ascii="Times New Roman" w:hAnsi="Times New Roman" w:cs="Times New Roman"/>
          <w:b w:val="0"/>
          <w:bCs w:val="0"/>
          <w:color w:val="000000" w:themeColor="text1"/>
          <w:sz w:val="24"/>
          <w:szCs w:val="24"/>
          <w14:textFill>
            <w14:solidFill>
              <w14:schemeClr w14:val="tx1"/>
            </w14:solidFill>
          </w14:textFill>
        </w:rPr>
        <w:t>)</w:t>
      </w:r>
      <w:r>
        <w:rPr>
          <w:rFonts w:hint="default" w:ascii="Times New Roman" w:hAnsi="Times New Roman" w:cs="Times New Roman"/>
          <w:b w:val="0"/>
          <w:bCs w:val="0"/>
          <w:sz w:val="24"/>
          <w:szCs w:val="24"/>
        </w:rPr>
        <w:t xml:space="preserve"> assert that aptitude plays an essential role in the near-native attainment for both children and adults. As a result, with an attempt to tackle such conflicting findings,</w:t>
      </w:r>
      <w:r>
        <w:rPr>
          <w:rFonts w:hint="default" w:ascii="Times New Roman" w:hAnsi="Times New Roman" w:cs="Times New Roman"/>
          <w:b w:val="0"/>
          <w:bCs w:val="0"/>
          <w:color w:val="000000" w:themeColor="text1"/>
          <w:sz w:val="24"/>
          <w:szCs w:val="24"/>
          <w14:textFill>
            <w14:solidFill>
              <w14:schemeClr w14:val="tx1"/>
            </w14:solidFill>
          </w14:textFill>
        </w:rPr>
        <w:t xml:space="preserve"> Granena and Long (2012) conducted an empirical study on the basis of scrutinised L</w:t>
      </w:r>
      <w:r>
        <w:rPr>
          <w:rFonts w:hint="default" w:ascii="Times New Roman" w:hAnsi="Times New Roman" w:cs="Times New Roman"/>
          <w:b w:val="0"/>
          <w:bCs w:val="0"/>
          <w:sz w:val="24"/>
          <w:szCs w:val="24"/>
        </w:rPr>
        <w:t xml:space="preserve">2 performance in three domains of linguistic competence:phonology, lexis and collocations as well as morphosyntax. It indicates that an advanced level of language aptitude is not </w:t>
      </w:r>
      <w:r>
        <w:rPr>
          <w:rFonts w:hint="default" w:ascii="Times New Roman" w:hAnsi="Times New Roman" w:cs="Times New Roman"/>
          <w:b w:val="0"/>
          <w:bCs w:val="0"/>
          <w:sz w:val="24"/>
          <w:szCs w:val="24"/>
        </w:rPr>
        <w:t xml:space="preserve">integral </w:t>
      </w:r>
      <w:r>
        <w:rPr>
          <w:rFonts w:hint="default" w:ascii="Times New Roman" w:hAnsi="Times New Roman" w:cs="Times New Roman"/>
          <w:b w:val="0"/>
          <w:bCs w:val="0"/>
          <w:sz w:val="24"/>
          <w:szCs w:val="24"/>
        </w:rPr>
        <w:t>for adults who are engaged in a naturalistic environment to achieve near native L2 capabilities, which is in contrast with Dekeyser’s research finding. Besides, although the sensitive period for lexis and collocations is shorter (beginning at around age six and closing between age nine and twelve) than that for morphosyntax (from six to the mid-teens), learners’ knowledge about vocabulary and collocation continues to develop throughout the life-span because words are more inclined to change in  variety and flexibility with the development of social-educational background. Since explicit learning is increasingly integrated into that process whilst the human capacity for implicit learning weakens</w:t>
      </w:r>
      <w:r>
        <w:rPr>
          <w:rFonts w:hint="default" w:ascii="Times New Roman" w:hAnsi="Times New Roman" w:cs="Times New Roman"/>
          <w:b w:val="0"/>
          <w:bCs w:val="0"/>
          <w:sz w:val="24"/>
          <w:szCs w:val="24"/>
        </w:rPr>
        <w:t xml:space="preserve"> gradually </w:t>
      </w:r>
      <w:r>
        <w:rPr>
          <w:rFonts w:hint="default" w:ascii="Times New Roman" w:hAnsi="Times New Roman" w:cs="Times New Roman"/>
          <w:b w:val="0"/>
          <w:bCs w:val="0"/>
          <w:sz w:val="24"/>
          <w:szCs w:val="24"/>
        </w:rPr>
        <w:t>with the growth of age, language aptitude can play a compensatory role as the age of starting to learn the second language rises,</w:t>
      </w:r>
      <w:r>
        <w:rPr>
          <w:rFonts w:hint="default" w:ascii="Times New Roman" w:hAnsi="Times New Roman" w:cs="Times New Roman"/>
          <w:b w:val="0"/>
          <w:bCs w:val="0"/>
          <w:sz w:val="24"/>
          <w:szCs w:val="24"/>
        </w:rPr>
        <w:t xml:space="preserve"> </w:t>
      </w:r>
      <w:r>
        <w:rPr>
          <w:rFonts w:hint="default" w:ascii="Times New Roman" w:hAnsi="Times New Roman" w:cs="Times New Roman"/>
          <w:b w:val="0"/>
          <w:bCs w:val="0"/>
          <w:sz w:val="24"/>
          <w:szCs w:val="24"/>
        </w:rPr>
        <w:t>especially in the respect of lexis and collocation.</w:t>
      </w:r>
    </w:p>
    <w:p>
      <w:pPr>
        <w:numPr>
          <w:ilvl w:val="0"/>
          <w:numId w:val="0"/>
        </w:numPr>
        <w:spacing w:line="360" w:lineRule="auto"/>
        <w:ind w:firstLine="480" w:firstLineChars="200"/>
        <w:rPr>
          <w:rFonts w:hint="default" w:ascii="Times New Roman" w:hAnsi="Times New Roman" w:cs="Times New Roman"/>
          <w:b w:val="0"/>
          <w:bCs w:val="0"/>
          <w:sz w:val="24"/>
          <w:szCs w:val="24"/>
        </w:rPr>
      </w:pPr>
    </w:p>
    <w:p>
      <w:pPr>
        <w:numPr>
          <w:ilvl w:val="0"/>
          <w:numId w:val="0"/>
        </w:numPr>
        <w:spacing w:line="360" w:lineRule="auto"/>
        <w:ind w:firstLine="480" w:firstLineChars="200"/>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In addition to the differences presented above mainly from the linguistic perspective</w:t>
      </w:r>
      <w:r>
        <w:rPr>
          <w:rFonts w:hint="default" w:ascii="Times New Roman" w:hAnsi="Times New Roman" w:cs="Times New Roman"/>
          <w:b w:val="0"/>
          <w:bCs w:val="0"/>
          <w:sz w:val="24"/>
          <w:szCs w:val="24"/>
        </w:rPr>
        <w:t xml:space="preserve">, </w:t>
      </w:r>
      <w:r>
        <w:rPr>
          <w:rFonts w:hint="default" w:ascii="Times New Roman" w:hAnsi="Times New Roman" w:cs="Times New Roman"/>
          <w:b w:val="0"/>
          <w:bCs w:val="0"/>
          <w:sz w:val="24"/>
          <w:szCs w:val="24"/>
        </w:rPr>
        <w:t>there are still some other remarkable differences from my own observation as an English teacher who have taught both children and adult learners. Children,particularly those before six years old, show enormous curiosity if teachers can provide them with visual and aural stimulus appropriately and make full use of games to interact with them. And they can gain tremendous encouragement from teachers’ praises, which would boost their self-confidence effectively during this process. This may lead to the result that they would be more willing and motivated to be engaged in the class activities with teachers’ positive feedback, thus forming a v</w:t>
      </w:r>
      <w:r>
        <w:rPr>
          <w:rFonts w:hint="default" w:ascii="Times New Roman" w:hAnsi="Times New Roman" w:cs="Times New Roman"/>
          <w:b w:val="0"/>
          <w:bCs w:val="0"/>
          <w:sz w:val="24"/>
          <w:szCs w:val="24"/>
        </w:rPr>
        <w:t>irtuou</w:t>
      </w:r>
      <w:r>
        <w:rPr>
          <w:rFonts w:hint="default" w:ascii="Times New Roman" w:hAnsi="Times New Roman" w:cs="Times New Roman"/>
          <w:b w:val="0"/>
          <w:bCs w:val="0"/>
          <w:sz w:val="24"/>
          <w:szCs w:val="24"/>
        </w:rPr>
        <w:t xml:space="preserve">s circle in second language learning. However, older children who start to be confronted with academic pressure from their peers, especially the fierce competition of academic performance in endless exams, the goal of learning the second language(English) may be transitioned from fun-oriented to exam-oriented for the majority of younger learners. “And it is often reported that young L2 learners tend to lose their motivation for language by sometimes around the end of primary school(Butler, 2017,p.736)”. This is also true in China, where a huge number of English learners lose their interest during this transitional period from primary to secondary education since they feel reluctant to learn English by rote and take exams all day along. Because of the overwhelming pressure from college entrance examination in China, the vast majority of English teachers have to chiefly focus on the textbooks and countless exam papers and </w:t>
      </w:r>
      <w:r>
        <w:rPr>
          <w:rFonts w:hint="default" w:ascii="Times New Roman" w:hAnsi="Times New Roman" w:cs="Times New Roman"/>
          <w:b w:val="0"/>
          <w:bCs w:val="0"/>
          <w:sz w:val="24"/>
          <w:szCs w:val="24"/>
        </w:rPr>
        <w:t>adopt</w:t>
      </w:r>
      <w:r>
        <w:rPr>
          <w:rFonts w:hint="default" w:ascii="Times New Roman" w:hAnsi="Times New Roman" w:cs="Times New Roman"/>
          <w:b w:val="0"/>
          <w:bCs w:val="0"/>
          <w:sz w:val="24"/>
          <w:szCs w:val="24"/>
        </w:rPr>
        <w:t xml:space="preserve"> the traditional teacher-centered instructional approach. Consequently, most of students are compelled to learn English  mechanically for the sake of passing exams. As for adult learners,specifically the college students I have instructed for nearly ten years, the huge majority of them have been demotivated in learning English and some even find it monotonous and useless. The only objective for them to persist in learning English is to pass CET(College English Test)-4 and gain this certificate which is essential in filling in their CV. Therefore</w:t>
      </w:r>
      <w:r>
        <w:rPr>
          <w:rFonts w:hint="default" w:ascii="Times New Roman" w:hAnsi="Times New Roman" w:cs="Times New Roman"/>
          <w:b w:val="0"/>
          <w:bCs w:val="0"/>
          <w:sz w:val="24"/>
          <w:szCs w:val="24"/>
        </w:rPr>
        <w:t>,</w:t>
      </w:r>
      <w:r>
        <w:rPr>
          <w:rFonts w:hint="default" w:ascii="Times New Roman" w:hAnsi="Times New Roman" w:cs="Times New Roman"/>
          <w:b w:val="0"/>
          <w:bCs w:val="0"/>
          <w:sz w:val="24"/>
          <w:szCs w:val="24"/>
        </w:rPr>
        <w:t xml:space="preserve"> it can be seen that most of them learn English not out of curiosity and enthusiasm,but for practical values. Such motivation is usually defined as instrumental motivation in theories of SLA. However, for some adult learners entering the workplace, in particular working in cross-national enterprises, they may have much more opportunities to be exposed to English environment. In the light of career development and personal growth, it is more likely that they would prefer to take English learning as life-long learning. Such motivation can be categorised as integrative motivation to some extent. </w:t>
      </w:r>
    </w:p>
    <w:p>
      <w:pPr>
        <w:numPr>
          <w:ilvl w:val="0"/>
          <w:numId w:val="0"/>
        </w:numPr>
        <w:spacing w:line="360" w:lineRule="auto"/>
        <w:ind w:firstLine="480" w:firstLineChars="200"/>
        <w:rPr>
          <w:rFonts w:hint="default" w:ascii="Times New Roman" w:hAnsi="Times New Roman" w:cs="Times New Roman"/>
          <w:b w:val="0"/>
          <w:bCs w:val="0"/>
          <w:sz w:val="24"/>
          <w:szCs w:val="24"/>
        </w:rPr>
      </w:pPr>
    </w:p>
    <w:p>
      <w:pPr>
        <w:numPr>
          <w:ilvl w:val="0"/>
          <w:numId w:val="0"/>
        </w:numPr>
        <w:spacing w:line="360" w:lineRule="auto"/>
        <w:ind w:firstLine="480" w:firstLineChars="200"/>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 xml:space="preserve">In terms of similarities of learning the second language between young and old learners ,they are not so complicated as differences. It can also be indicated from the studies mentioned above that continuous and rich language input is of equal significance for both groups of learners if they </w:t>
      </w:r>
      <w:r>
        <w:rPr>
          <w:rFonts w:hint="default" w:ascii="Times New Roman" w:hAnsi="Times New Roman" w:cs="Times New Roman"/>
          <w:b w:val="0"/>
          <w:bCs w:val="0"/>
          <w:sz w:val="24"/>
          <w:szCs w:val="24"/>
        </w:rPr>
        <w:t>aim</w:t>
      </w:r>
      <w:r>
        <w:rPr>
          <w:rFonts w:hint="default" w:ascii="Times New Roman" w:hAnsi="Times New Roman" w:cs="Times New Roman"/>
          <w:b w:val="0"/>
          <w:bCs w:val="0"/>
          <w:sz w:val="24"/>
          <w:szCs w:val="24"/>
        </w:rPr>
        <w:t xml:space="preserve"> at reaching native-like or near native-like fluency and proficiency in second language.</w:t>
      </w:r>
      <w:r>
        <w:rPr>
          <w:rFonts w:hint="default" w:ascii="Times New Roman" w:hAnsi="Times New Roman" w:cs="Times New Roman"/>
          <w:b w:val="0"/>
          <w:bCs w:val="0"/>
          <w:sz w:val="24"/>
          <w:szCs w:val="24"/>
        </w:rPr>
        <w:t xml:space="preserve"> N</w:t>
      </w:r>
      <w:r>
        <w:rPr>
          <w:rFonts w:hint="default" w:ascii="Times New Roman" w:hAnsi="Times New Roman" w:cs="Times New Roman"/>
          <w:b w:val="0"/>
          <w:bCs w:val="0"/>
          <w:sz w:val="24"/>
          <w:szCs w:val="24"/>
        </w:rPr>
        <w:t>ot only can rich quantity and high quality of language input play a</w:t>
      </w:r>
      <w:r>
        <w:rPr>
          <w:rFonts w:hint="default" w:ascii="Times New Roman" w:hAnsi="Times New Roman" w:cs="Times New Roman"/>
          <w:b w:val="0"/>
          <w:bCs w:val="0"/>
          <w:sz w:val="24"/>
          <w:szCs w:val="24"/>
        </w:rPr>
        <w:t>n indispensable</w:t>
      </w:r>
      <w:r>
        <w:rPr>
          <w:rFonts w:hint="default" w:ascii="Times New Roman" w:hAnsi="Times New Roman" w:cs="Times New Roman"/>
          <w:b w:val="0"/>
          <w:bCs w:val="0"/>
          <w:sz w:val="24"/>
          <w:szCs w:val="24"/>
        </w:rPr>
        <w:t xml:space="preserve"> role in helping younger learners keep their advantages of learning the second language at an early start, but also facilitate old learners’ second language learning productively even when they are beyond the critical or sensitive period. As an English teacher,I always inspire my students to learn English by saying that“you do not need to be good to start, you need to start to be good”. I hold the firm belief that the role of the starting age of learning the second language should not be exaggerated and utilised by some training centres to trigger parents’ anxiety for commercial purpose. As long as learners can persevere in taking in a wide range of language input and turning it into their own knowledge, with which they can express themselves fluently and flexibly, they would still obtain prominent achievement in second language development without the constraints of age.</w:t>
      </w:r>
    </w:p>
    <w:p>
      <w:pPr>
        <w:numPr>
          <w:ilvl w:val="0"/>
          <w:numId w:val="0"/>
        </w:numPr>
        <w:spacing w:line="360" w:lineRule="auto"/>
        <w:ind w:firstLine="480" w:firstLineChars="200"/>
        <w:rPr>
          <w:rFonts w:hint="default" w:ascii="Times New Roman" w:hAnsi="Times New Roman" w:cs="Times New Roman"/>
          <w:b w:val="0"/>
          <w:bCs w:val="0"/>
          <w:sz w:val="24"/>
          <w:szCs w:val="24"/>
        </w:rPr>
      </w:pPr>
    </w:p>
    <w:p>
      <w:pPr>
        <w:numPr>
          <w:ilvl w:val="0"/>
          <w:numId w:val="0"/>
        </w:numPr>
        <w:spacing w:line="360" w:lineRule="auto"/>
        <w:ind w:firstLine="480" w:firstLineChars="200"/>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It can be concluded from this part that researchers in SLA have placed more emphasis on the different characteristics of learning the second language in a variety of linguistic domains for learners with different ages. Since the learning outcome of second language pertains to complex factors,such as language aptitude and input, no consensus can be reached that there is a definitive critical or sensitive period to learn a specific linguistic component, such as phonology and lexis. Based on the results yielded from those empirical studies illustrated above, it can be inferred that different instructional strategies can be developed both for parents and teachers to help learners at different stages to fulfill their language potential to the largest extent, which would be of huge value in pedagogical implications.</w:t>
      </w:r>
    </w:p>
    <w:p>
      <w:pPr>
        <w:numPr>
          <w:ilvl w:val="0"/>
          <w:numId w:val="0"/>
        </w:numPr>
        <w:spacing w:line="360" w:lineRule="auto"/>
        <w:rPr>
          <w:rFonts w:hint="default" w:ascii="Times New Roman" w:hAnsi="Times New Roman" w:cs="Times New Roman"/>
          <w:b w:val="0"/>
          <w:bCs w:val="0"/>
          <w:sz w:val="24"/>
          <w:szCs w:val="24"/>
          <w:lang w:val="en-US"/>
        </w:rPr>
      </w:pPr>
    </w:p>
    <w:p>
      <w:pPr>
        <w:numPr>
          <w:ilvl w:val="0"/>
          <w:numId w:val="3"/>
        </w:numPr>
        <w:spacing w:line="360" w:lineRule="auto"/>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Instructional differences for L2 Children and L2 Adults</w:t>
      </w:r>
    </w:p>
    <w:p>
      <w:pPr>
        <w:numPr>
          <w:ilvl w:val="0"/>
          <w:numId w:val="0"/>
        </w:numPr>
        <w:spacing w:line="360" w:lineRule="auto"/>
        <w:ind w:firstLine="480" w:firstLineChars="200"/>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 xml:space="preserve">In this part, different teaching approaches and strategies will be highlighted with reference to linguistic experts’ research findings as well as my own experience as an English teacher who have instructed both children and adults. Admittedly, instructional approaches should vary from learner to learner in accordance with his or her age and language level. Teachers have to adjust their teaching methods flexibly to cater to different learners’ demands even with the guidance of similar teaching paradigms. Specifically, a diversity of instructional </w:t>
      </w:r>
      <w:r>
        <w:rPr>
          <w:rFonts w:hint="default" w:ascii="Times New Roman" w:hAnsi="Times New Roman" w:cs="Times New Roman"/>
          <w:b w:val="0"/>
          <w:bCs w:val="0"/>
          <w:sz w:val="24"/>
          <w:szCs w:val="24"/>
        </w:rPr>
        <w:t xml:space="preserve">materials and </w:t>
      </w:r>
      <w:r>
        <w:rPr>
          <w:rFonts w:hint="default" w:ascii="Times New Roman" w:hAnsi="Times New Roman" w:cs="Times New Roman"/>
          <w:b w:val="0"/>
          <w:bCs w:val="0"/>
          <w:sz w:val="24"/>
          <w:szCs w:val="24"/>
        </w:rPr>
        <w:t>approaches will be elucidated to be incorporated in the domains of teaching pronunciation, vocabulary and writing which are associated with phonological, lexical and morphosyntactic level respectively for both children and adults.</w:t>
      </w:r>
    </w:p>
    <w:p>
      <w:pPr>
        <w:numPr>
          <w:ilvl w:val="0"/>
          <w:numId w:val="0"/>
        </w:numPr>
        <w:spacing w:line="360" w:lineRule="auto"/>
        <w:ind w:firstLine="480" w:firstLineChars="200"/>
        <w:rPr>
          <w:rFonts w:hint="default" w:ascii="Times New Roman" w:hAnsi="Times New Roman" w:cs="Times New Roman"/>
          <w:b w:val="0"/>
          <w:bCs w:val="0"/>
          <w:sz w:val="24"/>
          <w:szCs w:val="24"/>
        </w:rPr>
      </w:pPr>
    </w:p>
    <w:p>
      <w:pPr>
        <w:numPr>
          <w:ilvl w:val="0"/>
          <w:numId w:val="0"/>
        </w:numPr>
        <w:spacing w:line="360" w:lineRule="auto"/>
        <w:rPr>
          <w:rFonts w:hint="default" w:ascii="Times New Roman" w:hAnsi="Times New Roman" w:cs="Times New Roman"/>
          <w:b w:val="0"/>
          <w:bCs w:val="0"/>
          <w:sz w:val="24"/>
          <w:szCs w:val="24"/>
        </w:rPr>
      </w:pPr>
      <w:r>
        <w:rPr>
          <w:rFonts w:hint="default" w:ascii="Times New Roman Bold" w:hAnsi="Times New Roman Bold" w:cs="Times New Roman Bold"/>
          <w:b/>
          <w:bCs/>
          <w:sz w:val="24"/>
          <w:szCs w:val="24"/>
        </w:rPr>
        <w:t xml:space="preserve">4.1 Instructional Materials </w:t>
      </w:r>
      <w:r>
        <w:rPr>
          <w:rFonts w:hint="default" w:ascii="Times New Roman" w:hAnsi="Times New Roman" w:cs="Times New Roman"/>
          <w:b w:val="0"/>
          <w:bCs w:val="0"/>
          <w:sz w:val="24"/>
          <w:szCs w:val="24"/>
        </w:rPr>
        <w:t xml:space="preserve">                                                                                                                                                                                                                                                                                                                                                                                                                                                                                                                                                                                                                                                                                                                                                                                                                                                                                                                                                                                                </w:t>
      </w:r>
    </w:p>
    <w:p>
      <w:pPr>
        <w:numPr>
          <w:ilvl w:val="0"/>
          <w:numId w:val="0"/>
        </w:numPr>
        <w:spacing w:line="360" w:lineRule="auto"/>
        <w:ind w:firstLine="480" w:firstLineChars="200"/>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 xml:space="preserve">On one hand, instructional materials should </w:t>
      </w:r>
      <w:r>
        <w:rPr>
          <w:rFonts w:hint="default" w:ascii="Times New Roman" w:hAnsi="Times New Roman" w:cs="Times New Roman"/>
          <w:b w:val="0"/>
          <w:bCs w:val="0"/>
          <w:sz w:val="24"/>
          <w:szCs w:val="24"/>
        </w:rPr>
        <w:t>vary</w:t>
      </w:r>
      <w:r>
        <w:rPr>
          <w:rFonts w:hint="default" w:ascii="Times New Roman" w:hAnsi="Times New Roman" w:cs="Times New Roman"/>
          <w:b w:val="0"/>
          <w:bCs w:val="0"/>
          <w:sz w:val="24"/>
          <w:szCs w:val="24"/>
        </w:rPr>
        <w:t xml:space="preserve"> according to L2 learners of different ages. As for novice learners,particularly children, they are more likely to be enchanted by learning materials and environment full of creativity and imagination since they are at the age when they are most curious about the world unexplored. </w:t>
      </w:r>
      <w:r>
        <w:rPr>
          <w:rFonts w:hint="default" w:ascii="Times New Roman" w:hAnsi="Times New Roman" w:cs="Times New Roman"/>
          <w:b w:val="0"/>
          <w:bCs w:val="0"/>
          <w:color w:val="000000" w:themeColor="text1"/>
          <w:sz w:val="24"/>
          <w:szCs w:val="24"/>
          <w14:textFill>
            <w14:solidFill>
              <w14:schemeClr w14:val="tx1"/>
            </w14:solidFill>
          </w14:textFill>
        </w:rPr>
        <w:t>Vygotsky(1978) advances th</w:t>
      </w:r>
      <w:r>
        <w:rPr>
          <w:rFonts w:hint="default" w:ascii="Times New Roman" w:hAnsi="Times New Roman" w:cs="Times New Roman"/>
          <w:b w:val="0"/>
          <w:bCs w:val="0"/>
          <w:sz w:val="24"/>
          <w:szCs w:val="24"/>
        </w:rPr>
        <w:t>at playing in imaginary situations is mainly utilised as teaching source to cultivate preschool children’s linguistic capability. For example, when the teaching topic is time for children in the kindergarten, the teacher can play the role as wolf, and children can act as a flock of sheep.They can play the engaging game “Mr. Wolf,Mr. Wolf,What’s the time now?”, which can enormously trigger children’s interest of asking questions concerning time and remembering the words of numbers to describe time. However, when children</w:t>
      </w:r>
      <w:r>
        <w:rPr>
          <w:rFonts w:hint="default" w:ascii="Times New Roman" w:hAnsi="Times New Roman" w:cs="Times New Roman"/>
          <w:b w:val="0"/>
          <w:bCs w:val="0"/>
          <w:sz w:val="24"/>
          <w:szCs w:val="24"/>
        </w:rPr>
        <w:t xml:space="preserve"> enter primary schools</w:t>
      </w:r>
      <w:r>
        <w:rPr>
          <w:rFonts w:hint="default" w:ascii="Times New Roman" w:hAnsi="Times New Roman" w:cs="Times New Roman"/>
          <w:b w:val="0"/>
          <w:bCs w:val="0"/>
          <w:sz w:val="24"/>
          <w:szCs w:val="24"/>
        </w:rPr>
        <w:t xml:space="preserve">,play only fills a </w:t>
      </w:r>
      <w:r>
        <w:rPr>
          <w:rFonts w:hint="default" w:ascii="Times New Roman" w:hAnsi="Times New Roman" w:cs="Times New Roman"/>
          <w:b w:val="0"/>
          <w:bCs w:val="0"/>
          <w:sz w:val="24"/>
          <w:szCs w:val="24"/>
        </w:rPr>
        <w:t>supplementary</w:t>
      </w:r>
      <w:r>
        <w:rPr>
          <w:rFonts w:hint="default" w:ascii="Times New Roman" w:hAnsi="Times New Roman" w:cs="Times New Roman"/>
          <w:b w:val="0"/>
          <w:bCs w:val="0"/>
          <w:sz w:val="24"/>
          <w:szCs w:val="24"/>
        </w:rPr>
        <w:t xml:space="preserve"> role in </w:t>
      </w:r>
      <w:r>
        <w:rPr>
          <w:rFonts w:hint="default" w:ascii="Times New Roman" w:hAnsi="Times New Roman" w:cs="Times New Roman"/>
          <w:b w:val="0"/>
          <w:bCs w:val="0"/>
          <w:sz w:val="24"/>
          <w:szCs w:val="24"/>
        </w:rPr>
        <w:t>their linguistic</w:t>
      </w:r>
      <w:r>
        <w:rPr>
          <w:rFonts w:hint="default" w:ascii="Times New Roman" w:hAnsi="Times New Roman" w:cs="Times New Roman"/>
          <w:b w:val="0"/>
          <w:bCs w:val="0"/>
          <w:sz w:val="24"/>
          <w:szCs w:val="24"/>
        </w:rPr>
        <w:t xml:space="preserve"> development</w:t>
      </w:r>
      <w:r>
        <w:rPr>
          <w:rFonts w:hint="default" w:ascii="Times New Roman" w:hAnsi="Times New Roman" w:cs="Times New Roman"/>
          <w:b w:val="0"/>
          <w:bCs w:val="0"/>
          <w:sz w:val="24"/>
          <w:szCs w:val="24"/>
        </w:rPr>
        <w:t>. I</w:t>
      </w:r>
      <w:r>
        <w:rPr>
          <w:rFonts w:hint="default" w:ascii="Times New Roman" w:hAnsi="Times New Roman" w:cs="Times New Roman"/>
          <w:b w:val="0"/>
          <w:bCs w:val="0"/>
          <w:sz w:val="24"/>
          <w:szCs w:val="24"/>
        </w:rPr>
        <w:t>f fantasy elements are overemphasised and deviate from the original teaching objective, young learners tend to be highly motivated by the fantasy elements of the game rather than the learning content itself, which may become a</w:t>
      </w:r>
      <w:r>
        <w:rPr>
          <w:rFonts w:hint="default" w:ascii="Times New Roman" w:hAnsi="Times New Roman" w:cs="Times New Roman"/>
          <w:b w:val="0"/>
          <w:bCs w:val="0"/>
          <w:sz w:val="24"/>
          <w:szCs w:val="24"/>
        </w:rPr>
        <w:t>n</w:t>
      </w:r>
      <w:r>
        <w:rPr>
          <w:rFonts w:hint="default" w:ascii="Times New Roman" w:hAnsi="Times New Roman" w:cs="Times New Roman"/>
          <w:b w:val="0"/>
          <w:bCs w:val="0"/>
          <w:sz w:val="24"/>
          <w:szCs w:val="24"/>
        </w:rPr>
        <w:t xml:space="preserve"> obstacle for their learning. As a result, teachers have to be confronted with the challenge that fantasy contexts should be identified to be closely linked with the learning goal in order to maximize learners’ learning outcomes.</w:t>
      </w:r>
      <w:r>
        <w:rPr>
          <w:rFonts w:hint="default" w:ascii="Times New Roman" w:hAnsi="Times New Roman" w:cs="Times New Roman"/>
          <w:b w:val="0"/>
          <w:bCs w:val="0"/>
          <w:sz w:val="24"/>
          <w:szCs w:val="24"/>
        </w:rPr>
        <w:t>Additionally,</w:t>
      </w:r>
      <w:r>
        <w:rPr>
          <w:rFonts w:hint="default" w:ascii="Times New Roman" w:hAnsi="Times New Roman" w:cs="Times New Roman"/>
          <w:b w:val="0"/>
          <w:bCs w:val="0"/>
          <w:sz w:val="24"/>
          <w:szCs w:val="24"/>
        </w:rPr>
        <w:t xml:space="preserve"> picture books involving different topics and levels</w:t>
      </w:r>
      <w:r>
        <w:rPr>
          <w:rFonts w:hint="default" w:ascii="Times New Roman" w:hAnsi="Times New Roman" w:cs="Times New Roman"/>
          <w:b w:val="0"/>
          <w:bCs w:val="0"/>
          <w:sz w:val="24"/>
          <w:szCs w:val="24"/>
        </w:rPr>
        <w:t xml:space="preserve">, </w:t>
      </w:r>
      <w:r>
        <w:rPr>
          <w:rFonts w:hint="default" w:ascii="Times New Roman" w:hAnsi="Times New Roman" w:cs="Times New Roman"/>
          <w:b w:val="0"/>
          <w:bCs w:val="0"/>
          <w:sz w:val="24"/>
          <w:szCs w:val="24"/>
        </w:rPr>
        <w:t>such as Oxford Tree, which can be audible with the help of a magic pen, have gain tremendous popularity among Chinese English teacher and parents. Teachers can take full advantage of those authentic materials to design specific tasks to develop children’s extensive and intensive reading skills</w:t>
      </w:r>
      <w:r>
        <w:rPr>
          <w:rFonts w:hint="default" w:ascii="Times New Roman" w:hAnsi="Times New Roman" w:cs="Times New Roman"/>
          <w:b w:val="0"/>
          <w:bCs w:val="0"/>
          <w:sz w:val="24"/>
          <w:szCs w:val="24"/>
        </w:rPr>
        <w:t xml:space="preserve">. </w:t>
      </w:r>
      <w:r>
        <w:rPr>
          <w:rFonts w:hint="default" w:ascii="Times New Roman" w:hAnsi="Times New Roman" w:cs="Times New Roman"/>
          <w:b w:val="0"/>
          <w:bCs w:val="0"/>
          <w:sz w:val="24"/>
          <w:szCs w:val="24"/>
        </w:rPr>
        <w:t xml:space="preserve">During this process, children’s linguistic competence can also be enhanced phonologically, lexically and morphosyntactically. </w:t>
      </w:r>
      <w:r>
        <w:rPr>
          <w:rFonts w:hint="default" w:ascii="Times New Roman" w:hAnsi="Times New Roman" w:cs="Times New Roman"/>
          <w:b w:val="0"/>
          <w:bCs w:val="0"/>
          <w:sz w:val="24"/>
          <w:szCs w:val="24"/>
        </w:rPr>
        <w:t>This</w:t>
      </w:r>
      <w:r>
        <w:rPr>
          <w:rFonts w:hint="default" w:ascii="Times New Roman" w:hAnsi="Times New Roman" w:cs="Times New Roman"/>
          <w:b w:val="0"/>
          <w:bCs w:val="0"/>
          <w:sz w:val="24"/>
          <w:szCs w:val="24"/>
        </w:rPr>
        <w:t xml:space="preserve"> has also been </w:t>
      </w:r>
      <w:r>
        <w:rPr>
          <w:rFonts w:hint="default" w:ascii="Times New Roman" w:hAnsi="Times New Roman" w:cs="Times New Roman"/>
          <w:b w:val="0"/>
          <w:bCs w:val="0"/>
          <w:sz w:val="24"/>
          <w:szCs w:val="24"/>
        </w:rPr>
        <w:t>supported</w:t>
      </w:r>
      <w:r>
        <w:rPr>
          <w:rFonts w:hint="default" w:ascii="Times New Roman" w:hAnsi="Times New Roman" w:cs="Times New Roman"/>
          <w:b w:val="0"/>
          <w:bCs w:val="0"/>
          <w:sz w:val="24"/>
          <w:szCs w:val="24"/>
        </w:rPr>
        <w:t xml:space="preserve"> by related research, indicating</w:t>
      </w:r>
      <w:r>
        <w:rPr>
          <w:rFonts w:hint="default" w:ascii="Times New Roman" w:hAnsi="Times New Roman" w:cs="Times New Roman"/>
          <w:b w:val="0"/>
          <w:bCs w:val="0"/>
          <w:sz w:val="24"/>
          <w:szCs w:val="24"/>
        </w:rPr>
        <w:t xml:space="preserve"> </w:t>
      </w:r>
      <w:r>
        <w:rPr>
          <w:rFonts w:hint="default" w:ascii="Times New Roman" w:hAnsi="Times New Roman" w:cs="Times New Roman"/>
          <w:b w:val="0"/>
          <w:bCs w:val="0"/>
          <w:sz w:val="24"/>
          <w:szCs w:val="24"/>
        </w:rPr>
        <w:t>that                                                                                                                      L2 novice learners, especially children who are instructed with the “L2-pictures” method are more likely to create conceptual links between L2 and the conceptual system compared with L2-L1 translation method(Comesana,et al., 2009)</w:t>
      </w:r>
      <w:r>
        <w:rPr>
          <w:rFonts w:hint="default" w:ascii="Times New Roman" w:hAnsi="Times New Roman" w:cs="Times New Roman"/>
          <w:b w:val="0"/>
          <w:bCs w:val="0"/>
          <w:sz w:val="24"/>
          <w:szCs w:val="24"/>
        </w:rPr>
        <w:t>.</w:t>
      </w:r>
    </w:p>
    <w:p>
      <w:pPr>
        <w:numPr>
          <w:ilvl w:val="0"/>
          <w:numId w:val="0"/>
        </w:numPr>
        <w:spacing w:line="360" w:lineRule="auto"/>
        <w:ind w:firstLine="480" w:firstLineChars="200"/>
        <w:rPr>
          <w:rFonts w:hint="default" w:ascii="Times New Roman" w:hAnsi="Times New Roman" w:cs="Times New Roman"/>
          <w:b w:val="0"/>
          <w:bCs w:val="0"/>
          <w:sz w:val="24"/>
          <w:szCs w:val="24"/>
        </w:rPr>
      </w:pPr>
    </w:p>
    <w:p>
      <w:pPr>
        <w:numPr>
          <w:ilvl w:val="0"/>
          <w:numId w:val="0"/>
        </w:numPr>
        <w:spacing w:line="360" w:lineRule="auto"/>
        <w:ind w:firstLine="480" w:firstLineChars="200"/>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On the contrary, picture books are inappropriate for adults to learn the second language since their cognitive ability is far beyond what can be gained from those picture books. It has also been confirmed that the advantage of the picture word association method with an adult population has not always been consistent(Lotto&amp;de Groot, 1998)</w:t>
      </w:r>
      <w:r>
        <w:rPr>
          <w:rFonts w:hint="default" w:ascii="Times New Roman" w:hAnsi="Times New Roman" w:cs="Times New Roman"/>
          <w:b w:val="0"/>
          <w:bCs w:val="0"/>
          <w:sz w:val="24"/>
          <w:szCs w:val="24"/>
        </w:rPr>
        <w:t>.</w:t>
      </w:r>
      <w:r>
        <w:rPr>
          <w:rFonts w:hint="default" w:ascii="Times New Roman" w:hAnsi="Times New Roman" w:cs="Times New Roman"/>
          <w:b w:val="0"/>
          <w:bCs w:val="0"/>
          <w:sz w:val="24"/>
          <w:szCs w:val="24"/>
        </w:rPr>
        <w:t xml:space="preserve"> So with respect to the authentic material catering to adult learners’ demand of linguistic development, foreign journals are liable to take priority over other resources. </w:t>
      </w:r>
      <w:r>
        <w:rPr>
          <w:rFonts w:hint="default" w:ascii="Times New Roman" w:hAnsi="Times New Roman" w:cs="Times New Roman"/>
          <w:b w:val="0"/>
          <w:bCs w:val="0"/>
          <w:sz w:val="24"/>
          <w:szCs w:val="24"/>
        </w:rPr>
        <w:t>T</w:t>
      </w:r>
      <w:r>
        <w:rPr>
          <w:rFonts w:hint="default" w:ascii="Times New Roman" w:hAnsi="Times New Roman" w:cs="Times New Roman"/>
          <w:b w:val="0"/>
          <w:bCs w:val="0"/>
          <w:sz w:val="24"/>
          <w:szCs w:val="24"/>
        </w:rPr>
        <w:t>he reading materia</w:t>
      </w:r>
      <w:r>
        <w:rPr>
          <w:rFonts w:hint="default" w:ascii="Times New Roman" w:hAnsi="Times New Roman" w:cs="Times New Roman"/>
          <w:b w:val="0"/>
          <w:bCs w:val="0"/>
          <w:sz w:val="24"/>
          <w:szCs w:val="24"/>
        </w:rPr>
        <w:t>ls</w:t>
      </w:r>
      <w:r>
        <w:rPr>
          <w:rFonts w:hint="default" w:ascii="Times New Roman" w:hAnsi="Times New Roman" w:cs="Times New Roman"/>
          <w:b w:val="0"/>
          <w:bCs w:val="0"/>
          <w:sz w:val="24"/>
          <w:szCs w:val="24"/>
        </w:rPr>
        <w:t xml:space="preserve"> from globally recognised language tests,such as IELTS </w:t>
      </w:r>
      <w:r>
        <w:rPr>
          <w:rFonts w:hint="default" w:ascii="Times New Roman" w:hAnsi="Times New Roman" w:cs="Times New Roman"/>
          <w:b w:val="0"/>
          <w:bCs w:val="0"/>
          <w:sz w:val="24"/>
          <w:szCs w:val="24"/>
        </w:rPr>
        <w:t>are</w:t>
      </w:r>
      <w:r>
        <w:rPr>
          <w:rFonts w:hint="default" w:ascii="Times New Roman" w:hAnsi="Times New Roman" w:cs="Times New Roman"/>
          <w:b w:val="0"/>
          <w:bCs w:val="0"/>
          <w:sz w:val="24"/>
          <w:szCs w:val="24"/>
        </w:rPr>
        <w:t xml:space="preserve"> mainly excerpted from foreign journals, such as the Economists and Washington Post. A huge number of experienced college English teachers in China become aware of the tremendous significance of incorporating authentic foreign journals into their teaching, which can serve as a complementary role in expanding students’ vocabulary,provide them with rich input of writing resources and giv</w:t>
      </w:r>
      <w:r>
        <w:rPr>
          <w:rFonts w:hint="default" w:ascii="Times New Roman" w:hAnsi="Times New Roman" w:cs="Times New Roman"/>
          <w:b w:val="0"/>
          <w:bCs w:val="0"/>
          <w:sz w:val="24"/>
          <w:szCs w:val="24"/>
        </w:rPr>
        <w:t>ing</w:t>
      </w:r>
      <w:r>
        <w:rPr>
          <w:rFonts w:hint="default" w:ascii="Times New Roman" w:hAnsi="Times New Roman" w:cs="Times New Roman"/>
          <w:b w:val="0"/>
          <w:bCs w:val="0"/>
          <w:sz w:val="24"/>
          <w:szCs w:val="24"/>
        </w:rPr>
        <w:t xml:space="preserve"> them new insights into current affairs to foster their critical thinking. All those teaching goals cannot be achieved simply by taking advantage of text books. Furthermore, if students desire to attain the professional level, they can also read English novels and be guided to have a more profound understanding of English history and culture. Only when students are intrinsically motivated to strengthen their language skills for the sake of intercultural communication can they be more inclined to become life-long learners of second language.</w:t>
      </w:r>
    </w:p>
    <w:p>
      <w:pPr>
        <w:numPr>
          <w:ilvl w:val="0"/>
          <w:numId w:val="0"/>
        </w:numPr>
        <w:spacing w:line="360" w:lineRule="auto"/>
        <w:ind w:firstLine="480" w:firstLineChars="200"/>
        <w:rPr>
          <w:rFonts w:hint="default" w:ascii="Times New Roman" w:hAnsi="Times New Roman" w:cs="Times New Roman"/>
          <w:b w:val="0"/>
          <w:bCs w:val="0"/>
          <w:sz w:val="24"/>
          <w:szCs w:val="24"/>
        </w:rPr>
      </w:pPr>
    </w:p>
    <w:p>
      <w:pPr>
        <w:numPr>
          <w:ilvl w:val="0"/>
          <w:numId w:val="0"/>
        </w:numPr>
        <w:spacing w:line="360" w:lineRule="auto"/>
        <w:ind w:firstLine="480" w:firstLineChars="200"/>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 xml:space="preserve">In addition, computer or digital games have been employed as promising teaching and learning materials of second language with surprising frequency because of their prevalence as electronic entertaining resources among people of different ages, in particular teenagers on a global scale. L2 English young learners in China are also obsessed with such games since they can be engaged in a linguistically rich and cognitively challenging virtual environment with scaffolded interaction involved as well, which may have a positive effect on motivating them intrinsically to improve their English learning if they can make sensible use of them. It has also been empirically proved that the frequency of gaming and types of digital games played are </w:t>
      </w:r>
      <w:r>
        <w:rPr>
          <w:rFonts w:hint="default" w:ascii="Times New Roman" w:hAnsi="Times New Roman" w:cs="Times New Roman"/>
          <w:b w:val="0"/>
          <w:bCs w:val="0"/>
          <w:sz w:val="24"/>
          <w:szCs w:val="24"/>
        </w:rPr>
        <w:t xml:space="preserve">closely linked </w:t>
      </w:r>
      <w:r>
        <w:rPr>
          <w:rFonts w:hint="default" w:ascii="Times New Roman" w:hAnsi="Times New Roman" w:cs="Times New Roman"/>
          <w:b w:val="0"/>
          <w:bCs w:val="0"/>
          <w:sz w:val="24"/>
          <w:szCs w:val="24"/>
        </w:rPr>
        <w:t>with L2 English proficiency,particularly in the lexical aspect, when learners are at an early ag</w:t>
      </w:r>
      <w:r>
        <w:rPr>
          <w:rFonts w:hint="default" w:ascii="Times New Roman" w:hAnsi="Times New Roman" w:cs="Times New Roman"/>
          <w:b w:val="0"/>
          <w:bCs w:val="0"/>
          <w:sz w:val="24"/>
          <w:szCs w:val="24"/>
        </w:rPr>
        <w:t>e</w:t>
      </w:r>
      <w:r>
        <w:rPr>
          <w:rFonts w:hint="default" w:ascii="Times New Roman" w:hAnsi="Times New Roman" w:cs="Times New Roman"/>
          <w:b w:val="0"/>
          <w:bCs w:val="0"/>
          <w:sz w:val="24"/>
          <w:szCs w:val="24"/>
        </w:rPr>
        <w:t>(Sylven&amp;Sundqvist, 2012)</w:t>
      </w:r>
      <w:r>
        <w:rPr>
          <w:rFonts w:hint="default" w:ascii="Times New Roman" w:hAnsi="Times New Roman" w:cs="Times New Roman"/>
          <w:b w:val="0"/>
          <w:bCs w:val="0"/>
          <w:sz w:val="24"/>
          <w:szCs w:val="24"/>
        </w:rPr>
        <w:t>.</w:t>
      </w:r>
      <w:r>
        <w:rPr>
          <w:rFonts w:hint="default" w:ascii="Times New Roman" w:hAnsi="Times New Roman" w:cs="Times New Roman"/>
          <w:b w:val="0"/>
          <w:bCs w:val="0"/>
          <w:sz w:val="24"/>
          <w:szCs w:val="24"/>
        </w:rPr>
        <w:t xml:space="preserve"> However, as for English teachers, especially those who are accustomed to utilising traditional written materials from textbooks, it would be exceedingly challenging for them to embrace this refreshing idea. I am always convinced that innovative thinking is of prime importance for an English teacher who has to keep up with the latest instructional materials and approaches and should raise the awareness of becoming life-long learners so as to set an example for their students. Butler(2017) conducted a novel study focusing on the design of digital instructional game(DIG) tasks for L2 young learners with their own L2 vocabulary learning game designs incorporated. Fairy tales are frequently used to offer young learners an enchanting context to acquire the targeted vocabulary largely due to the integration of affective engagement, which can substantially stimulate their curiosity and stir their interest in learning L2. </w:t>
      </w:r>
    </w:p>
    <w:p>
      <w:pPr>
        <w:numPr>
          <w:ilvl w:val="0"/>
          <w:numId w:val="0"/>
        </w:numPr>
        <w:spacing w:line="360" w:lineRule="auto"/>
        <w:ind w:firstLine="480" w:firstLineChars="200"/>
        <w:rPr>
          <w:rFonts w:hint="default" w:ascii="Times New Roman" w:hAnsi="Times New Roman" w:cs="Times New Roman"/>
          <w:b w:val="0"/>
          <w:bCs w:val="0"/>
          <w:sz w:val="24"/>
          <w:szCs w:val="24"/>
        </w:rPr>
      </w:pPr>
    </w:p>
    <w:p>
      <w:pPr>
        <w:numPr>
          <w:ilvl w:val="0"/>
          <w:numId w:val="0"/>
        </w:numPr>
        <w:spacing w:line="360" w:lineRule="auto"/>
        <w:ind w:firstLine="480" w:firstLineChars="200"/>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 xml:space="preserve"> By contrast, from adult learners’ standpoint, since their demand for rich language input cannot be met solely via those digital games, they may be more willing to be exposed to other entertaining online resources, such as English movies and TV series or English songs. A growing number of English teachers in China take full advantage of those authentic materials to enrich their teaching content, most frequently in oral English class with phonological instruction involved. Undeniably, if those adult learners are desirous to improve their phonological production,some of whom even long to reach the native-like level, they have to be immersed in authentic input as much as possible and preferably be provided with corrective feedback to help them realise their insufficiency</w:t>
      </w:r>
      <w:r>
        <w:rPr>
          <w:rFonts w:hint="default" w:ascii="Times New Roman" w:hAnsi="Times New Roman" w:cs="Times New Roman"/>
          <w:b w:val="0"/>
          <w:bCs w:val="0"/>
          <w:sz w:val="24"/>
          <w:szCs w:val="24"/>
        </w:rPr>
        <w:t xml:space="preserve">. </w:t>
      </w:r>
      <w:r>
        <w:rPr>
          <w:rFonts w:hint="default" w:ascii="Times New Roman" w:hAnsi="Times New Roman" w:cs="Times New Roman"/>
          <w:b w:val="0"/>
          <w:bCs w:val="0"/>
          <w:sz w:val="24"/>
          <w:szCs w:val="24"/>
        </w:rPr>
        <w:t>During this process,</w:t>
      </w:r>
      <w:r>
        <w:rPr>
          <w:rFonts w:hint="default" w:ascii="Times New Roman" w:hAnsi="Times New Roman" w:cs="Times New Roman"/>
          <w:b w:val="0"/>
          <w:bCs w:val="0"/>
          <w:sz w:val="24"/>
          <w:szCs w:val="24"/>
        </w:rPr>
        <w:t xml:space="preserve"> </w:t>
      </w:r>
      <w:r>
        <w:rPr>
          <w:rFonts w:hint="default" w:ascii="Times New Roman" w:hAnsi="Times New Roman" w:cs="Times New Roman"/>
          <w:b w:val="0"/>
          <w:bCs w:val="0"/>
          <w:sz w:val="24"/>
          <w:szCs w:val="24"/>
        </w:rPr>
        <w:t xml:space="preserve">purposeful repetition is of </w:t>
      </w:r>
      <w:r>
        <w:rPr>
          <w:rFonts w:hint="default" w:ascii="Times New Roman" w:hAnsi="Times New Roman" w:cs="Times New Roman"/>
          <w:b w:val="0"/>
          <w:bCs w:val="0"/>
          <w:sz w:val="24"/>
          <w:szCs w:val="24"/>
        </w:rPr>
        <w:t>enormous</w:t>
      </w:r>
      <w:r>
        <w:rPr>
          <w:rFonts w:hint="default" w:ascii="Times New Roman" w:hAnsi="Times New Roman" w:cs="Times New Roman"/>
          <w:b w:val="0"/>
          <w:bCs w:val="0"/>
          <w:sz w:val="24"/>
          <w:szCs w:val="24"/>
        </w:rPr>
        <w:t xml:space="preserve"> significance as a number of researchers have found that repetition is one of the most robust factors in L2 learning(e.g. Bygate,1996;Wang,2014, quoted in Butler,2017). However, asking learners to repeat the exact same tasks may reduce their motivation to learn(e.g. Nitta&amp;Baba, 2014, quoted in Butler, 2017). So teachers have to employ repetitive tasks with slight variations.</w:t>
      </w:r>
    </w:p>
    <w:p>
      <w:pPr>
        <w:numPr>
          <w:ilvl w:val="0"/>
          <w:numId w:val="0"/>
        </w:numPr>
        <w:spacing w:line="360" w:lineRule="auto"/>
        <w:ind w:firstLine="480" w:firstLineChars="200"/>
        <w:rPr>
          <w:rFonts w:hint="default" w:ascii="Times New Roman" w:hAnsi="Times New Roman" w:cs="Times New Roman"/>
          <w:b w:val="0"/>
          <w:bCs w:val="0"/>
          <w:sz w:val="24"/>
          <w:szCs w:val="24"/>
        </w:rPr>
      </w:pPr>
    </w:p>
    <w:p>
      <w:pPr>
        <w:numPr>
          <w:ilvl w:val="0"/>
          <w:numId w:val="0"/>
        </w:numPr>
        <w:spacing w:line="360" w:lineRule="auto"/>
        <w:rPr>
          <w:rFonts w:hint="default" w:ascii="Times New Roman Bold" w:hAnsi="Times New Roman Bold" w:cs="Times New Roman Bold"/>
          <w:b/>
          <w:bCs/>
          <w:sz w:val="24"/>
          <w:szCs w:val="24"/>
          <w:lang w:val="en-US"/>
        </w:rPr>
      </w:pPr>
      <w:r>
        <w:rPr>
          <w:rFonts w:hint="default" w:ascii="Times New Roman Bold" w:hAnsi="Times New Roman Bold" w:cs="Times New Roman Bold"/>
          <w:b/>
          <w:bCs/>
          <w:sz w:val="24"/>
          <w:szCs w:val="24"/>
        </w:rPr>
        <w:t>4.2 Instructional Approaches</w:t>
      </w:r>
    </w:p>
    <w:p>
      <w:pPr>
        <w:numPr>
          <w:ilvl w:val="0"/>
          <w:numId w:val="0"/>
        </w:numPr>
        <w:spacing w:line="360" w:lineRule="auto"/>
        <w:ind w:firstLine="480" w:firstLineChars="200"/>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On the other hand, instructional approaches, coupled with aforementioned teaching and learning materials, create optimal conditions for learners’ second language learning outcomes, which should also be flexibly applied to the classroom teaching for learners of different ages. It has been both anecdotally and empirically claimed that physical games in language classes can serve as effective teaching activities to provide learners with “a rich,engaging and purposeful exposure to language in use (Tomlinson&amp;Masuharea, 2009,p.645).” “Asher(1977) developed an approach called total physical response (TPR), which involves the learners carrying out physical activity to comprehensible input deepens the learning in an environment that is relaxed and nonthreatening”(Larsen-Freeman,2000;Richards &amp; Rodgers, 2001,quoted in Tomlinson&amp;Masuharea, 2009).Subsequently,</w:t>
      </w:r>
      <w:r>
        <w:rPr>
          <w:rFonts w:hint="default" w:ascii="Times New Roman" w:hAnsi="Times New Roman" w:cs="Times New Roman"/>
          <w:b w:val="0"/>
          <w:bCs w:val="0"/>
          <w:sz w:val="24"/>
          <w:szCs w:val="24"/>
        </w:rPr>
        <w:t xml:space="preserve"> </w:t>
      </w:r>
      <w:r>
        <w:rPr>
          <w:rFonts w:hint="default" w:ascii="Times New Roman" w:hAnsi="Times New Roman" w:cs="Times New Roman"/>
          <w:b w:val="0"/>
          <w:bCs w:val="0"/>
          <w:sz w:val="24"/>
          <w:szCs w:val="24"/>
        </w:rPr>
        <w:t>TPR Plus</w:t>
      </w:r>
      <w:r>
        <w:rPr>
          <w:rFonts w:hint="default" w:ascii="Times New Roman" w:hAnsi="Times New Roman" w:cs="Times New Roman"/>
          <w:b w:val="0"/>
          <w:bCs w:val="0"/>
          <w:sz w:val="24"/>
          <w:szCs w:val="24"/>
        </w:rPr>
        <w:t xml:space="preserve">, </w:t>
      </w:r>
      <w:r>
        <w:rPr>
          <w:rFonts w:hint="default" w:ascii="Times New Roman" w:hAnsi="Times New Roman" w:cs="Times New Roman"/>
          <w:b w:val="0"/>
          <w:bCs w:val="0"/>
          <w:sz w:val="24"/>
          <w:szCs w:val="24"/>
        </w:rPr>
        <w:t>a variation on TPR</w:t>
      </w:r>
      <w:r>
        <w:rPr>
          <w:rFonts w:hint="default" w:ascii="Times New Roman" w:hAnsi="Times New Roman" w:cs="Times New Roman"/>
          <w:b w:val="0"/>
          <w:bCs w:val="0"/>
          <w:sz w:val="24"/>
          <w:szCs w:val="24"/>
        </w:rPr>
        <w:t xml:space="preserve">, has also been developed ,entailing </w:t>
      </w:r>
      <w:r>
        <w:rPr>
          <w:rFonts w:hint="default" w:ascii="Times New Roman" w:hAnsi="Times New Roman" w:cs="Times New Roman"/>
          <w:b w:val="0"/>
          <w:bCs w:val="0"/>
          <w:sz w:val="24"/>
          <w:szCs w:val="24"/>
        </w:rPr>
        <w:t>learners</w:t>
      </w:r>
      <w:r>
        <w:rPr>
          <w:rFonts w:hint="default" w:ascii="Times New Roman" w:hAnsi="Times New Roman" w:cs="Times New Roman"/>
          <w:b w:val="0"/>
          <w:bCs w:val="0"/>
          <w:sz w:val="24"/>
          <w:szCs w:val="24"/>
        </w:rPr>
        <w:t>’</w:t>
      </w:r>
      <w:r>
        <w:rPr>
          <w:rFonts w:hint="default" w:ascii="Times New Roman" w:hAnsi="Times New Roman" w:cs="Times New Roman"/>
          <w:b w:val="0"/>
          <w:bCs w:val="0"/>
          <w:sz w:val="24"/>
          <w:szCs w:val="24"/>
        </w:rPr>
        <w:t xml:space="preserve"> following oral instructions not only to perform a sequence of actions but also to combine these actions in order, </w:t>
      </w:r>
      <w:r>
        <w:rPr>
          <w:rFonts w:hint="default" w:ascii="Times New Roman" w:hAnsi="Times New Roman" w:cs="Times New Roman"/>
          <w:b w:val="0"/>
          <w:bCs w:val="0"/>
          <w:sz w:val="24"/>
          <w:szCs w:val="24"/>
        </w:rPr>
        <w:t xml:space="preserve">such as </w:t>
      </w:r>
      <w:r>
        <w:rPr>
          <w:rFonts w:hint="default" w:ascii="Times New Roman" w:hAnsi="Times New Roman" w:cs="Times New Roman"/>
          <w:b w:val="0"/>
          <w:bCs w:val="0"/>
          <w:sz w:val="24"/>
          <w:szCs w:val="24"/>
        </w:rPr>
        <w:t>dramatiz</w:t>
      </w:r>
      <w:r>
        <w:rPr>
          <w:rFonts w:hint="default" w:ascii="Times New Roman" w:hAnsi="Times New Roman" w:cs="Times New Roman"/>
          <w:b w:val="0"/>
          <w:bCs w:val="0"/>
          <w:sz w:val="24"/>
          <w:szCs w:val="24"/>
        </w:rPr>
        <w:t>ing a</w:t>
      </w:r>
      <w:r>
        <w:rPr>
          <w:rFonts w:hint="default" w:ascii="Times New Roman" w:hAnsi="Times New Roman" w:cs="Times New Roman"/>
          <w:b w:val="0"/>
          <w:bCs w:val="0"/>
          <w:sz w:val="24"/>
          <w:szCs w:val="24"/>
        </w:rPr>
        <w:t xml:space="preserve"> story</w:t>
      </w:r>
      <w:r>
        <w:rPr>
          <w:rFonts w:hint="default" w:ascii="Times New Roman" w:hAnsi="Times New Roman" w:cs="Times New Roman"/>
          <w:b w:val="0"/>
          <w:bCs w:val="0"/>
          <w:sz w:val="24"/>
          <w:szCs w:val="24"/>
        </w:rPr>
        <w:t xml:space="preserve"> or </w:t>
      </w:r>
      <w:r>
        <w:rPr>
          <w:rFonts w:hint="default" w:ascii="Times New Roman" w:hAnsi="Times New Roman" w:cs="Times New Roman"/>
          <w:b w:val="0"/>
          <w:bCs w:val="0"/>
          <w:sz w:val="24"/>
          <w:szCs w:val="24"/>
        </w:rPr>
        <w:t>construct</w:t>
      </w:r>
      <w:r>
        <w:rPr>
          <w:rFonts w:hint="default" w:ascii="Times New Roman" w:hAnsi="Times New Roman" w:cs="Times New Roman"/>
          <w:b w:val="0"/>
          <w:bCs w:val="0"/>
          <w:sz w:val="24"/>
          <w:szCs w:val="24"/>
        </w:rPr>
        <w:t>ing</w:t>
      </w:r>
      <w:r>
        <w:rPr>
          <w:rFonts w:hint="default" w:ascii="Times New Roman" w:hAnsi="Times New Roman" w:cs="Times New Roman"/>
          <w:b w:val="0"/>
          <w:bCs w:val="0"/>
          <w:sz w:val="24"/>
          <w:szCs w:val="24"/>
        </w:rPr>
        <w:t xml:space="preserve"> a body sculpture(Tomlinson,</w:t>
      </w:r>
      <w:r>
        <w:rPr>
          <w:rFonts w:hint="default" w:ascii="Times New Roman" w:hAnsi="Times New Roman" w:cs="Times New Roman"/>
          <w:b w:val="0"/>
          <w:bCs w:val="0"/>
          <w:sz w:val="24"/>
          <w:szCs w:val="24"/>
        </w:rPr>
        <w:t xml:space="preserve"> </w:t>
      </w:r>
      <w:r>
        <w:rPr>
          <w:rFonts w:hint="default" w:ascii="Times New Roman" w:hAnsi="Times New Roman" w:cs="Times New Roman"/>
          <w:b w:val="0"/>
          <w:bCs w:val="0"/>
          <w:sz w:val="24"/>
          <w:szCs w:val="24"/>
        </w:rPr>
        <w:t>1990, quoted in Tomlinson&amp;Masuharea, 2009</w:t>
      </w:r>
      <w:r>
        <w:rPr>
          <w:rFonts w:hint="default" w:ascii="Times New Roman" w:hAnsi="Times New Roman" w:cs="Times New Roman"/>
          <w:b w:val="0"/>
          <w:bCs w:val="0"/>
          <w:sz w:val="24"/>
          <w:szCs w:val="24"/>
        </w:rPr>
        <w:t xml:space="preserve">). </w:t>
      </w:r>
      <w:r>
        <w:rPr>
          <w:rFonts w:hint="default" w:ascii="Times New Roman" w:hAnsi="Times New Roman" w:cs="Times New Roman"/>
          <w:b w:val="0"/>
          <w:bCs w:val="0"/>
          <w:sz w:val="24"/>
          <w:szCs w:val="24"/>
        </w:rPr>
        <w:t xml:space="preserve">He claims that numerous courses around the world seem to incorporate TPR Plus,and all of them seem to report high student motivation,enjoyment and achievement. In effect, such teaching approach has gained enormous popularity among Chinese English teachers for decades but with varying degrees. This combination of physical activity and language play is also emphasised in a number of approaches to using drama in the </w:t>
      </w:r>
      <w:r>
        <w:rPr>
          <w:rFonts w:hint="eastAsia" w:ascii="Times New Roman" w:hAnsi="Times New Roman" w:cs="Times New Roman"/>
          <w:b w:val="0"/>
          <w:bCs w:val="0"/>
          <w:sz w:val="24"/>
          <w:szCs w:val="24"/>
          <w:lang w:val="en-US" w:eastAsia="zh-Hans"/>
        </w:rPr>
        <w:t>En</w:t>
      </w:r>
      <w:r>
        <w:rPr>
          <w:rFonts w:hint="default" w:ascii="Times New Roman" w:hAnsi="Times New Roman" w:cs="Times New Roman"/>
          <w:b w:val="0"/>
          <w:bCs w:val="0"/>
          <w:sz w:val="24"/>
          <w:szCs w:val="24"/>
          <w:lang w:eastAsia="zh-Hans"/>
        </w:rPr>
        <w:t>glish classroom. For example,process drama(Liu, 2002,</w:t>
      </w:r>
      <w:r>
        <w:rPr>
          <w:rFonts w:hint="default" w:ascii="Times New Roman" w:hAnsi="Times New Roman" w:cs="Times New Roman"/>
          <w:b w:val="0"/>
          <w:bCs w:val="0"/>
          <w:sz w:val="24"/>
          <w:szCs w:val="24"/>
        </w:rPr>
        <w:t>quoted in Tomlinson&amp;Masuharea, 2009</w:t>
      </w:r>
      <w:r>
        <w:rPr>
          <w:rFonts w:hint="default" w:ascii="Times New Roman" w:hAnsi="Times New Roman" w:cs="Times New Roman"/>
          <w:b w:val="0"/>
          <w:bCs w:val="0"/>
          <w:sz w:val="24"/>
          <w:szCs w:val="24"/>
          <w:lang w:eastAsia="zh-Hans"/>
        </w:rPr>
        <w:t>) involves the learners improvising both words and actions to dramatize a give</w:t>
      </w:r>
      <w:r>
        <w:rPr>
          <w:rFonts w:hint="default" w:ascii="Times New Roman" w:hAnsi="Times New Roman" w:cs="Times New Roman"/>
          <w:b w:val="0"/>
          <w:bCs w:val="0"/>
          <w:sz w:val="24"/>
          <w:szCs w:val="24"/>
          <w:lang w:eastAsia="zh-Hans"/>
        </w:rPr>
        <w:t>n</w:t>
      </w:r>
      <w:r>
        <w:rPr>
          <w:rFonts w:hint="default" w:ascii="Times New Roman" w:hAnsi="Times New Roman" w:cs="Times New Roman"/>
          <w:b w:val="0"/>
          <w:bCs w:val="0"/>
          <w:sz w:val="24"/>
          <w:szCs w:val="24"/>
          <w:lang w:eastAsia="zh-Hans"/>
        </w:rPr>
        <w:t xml:space="preserve"> situation. </w:t>
      </w:r>
      <w:r>
        <w:rPr>
          <w:rFonts w:hint="default" w:ascii="Times New Roman" w:hAnsi="Times New Roman" w:cs="Times New Roman"/>
          <w:b w:val="0"/>
          <w:bCs w:val="0"/>
          <w:sz w:val="24"/>
          <w:szCs w:val="24"/>
        </w:rPr>
        <w:t>Dramatic element has been intensively integrated into English teaching in recent years ,notably in some private schools in Chinese first-tier cities,such as Peking and Shanghai. In such contexts, task-based teaching approach and communicative language teaching approach are usually incorporated to provide learners with different English levels with the concrete, practical and cooperative learning environment. The instructional differences for young and old learners in terms of physical element may lie in the fact that the time allocated for younger learners to play in such games can account for a larger proportion of the whole class’s time and tasks chosen should also be alterable according to learners’ different ages. For example, pre-school children usually belong to aural and kinesthetic learners, so integrating simple English songs and stories into physical games is extensively used by Chinese English teachers according to my observation. As for school children and adult learners who have mastered certain amount of vocabulary</w:t>
      </w:r>
      <w:r>
        <w:rPr>
          <w:rFonts w:hint="default" w:ascii="Times New Roman" w:hAnsi="Times New Roman" w:cs="Times New Roman"/>
          <w:b w:val="0"/>
          <w:bCs w:val="0"/>
          <w:sz w:val="24"/>
          <w:szCs w:val="24"/>
        </w:rPr>
        <w:t>, they</w:t>
      </w:r>
      <w:r>
        <w:rPr>
          <w:rFonts w:hint="default" w:ascii="Times New Roman" w:hAnsi="Times New Roman" w:cs="Times New Roman"/>
          <w:b w:val="0"/>
          <w:bCs w:val="0"/>
          <w:sz w:val="24"/>
          <w:szCs w:val="24"/>
        </w:rPr>
        <w:t xml:space="preserve"> can be guided to participate in group activities such as drama play but with themes of different levels. Fairy tales or simplified edition of literature works are typically utilised to engage young learners in drama play while the more advanced edition of literature or dramatic works, which can be exemplified by Shakespeare’s plays are frequently used especially for adult learners majoring in English in China. </w:t>
      </w:r>
    </w:p>
    <w:p>
      <w:pPr>
        <w:numPr>
          <w:ilvl w:val="0"/>
          <w:numId w:val="0"/>
        </w:numPr>
        <w:spacing w:line="360" w:lineRule="auto"/>
        <w:ind w:firstLine="480" w:firstLineChars="200"/>
        <w:rPr>
          <w:rFonts w:hint="default" w:ascii="Times New Roman" w:hAnsi="Times New Roman" w:cs="Times New Roman"/>
          <w:b w:val="0"/>
          <w:bCs w:val="0"/>
          <w:sz w:val="24"/>
          <w:szCs w:val="24"/>
        </w:rPr>
      </w:pPr>
    </w:p>
    <w:p>
      <w:pPr>
        <w:numPr>
          <w:ilvl w:val="0"/>
          <w:numId w:val="0"/>
        </w:numPr>
        <w:spacing w:line="360" w:lineRule="auto"/>
        <w:ind w:firstLine="480" w:firstLineChars="200"/>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Additionally, CLIL is a newly-advocated teaching method in which school subjects are taught in a target language different from the mainstream school language, thereby extending L2 exposure and providing motivation for purposeful communication(Dalton-Puffer&amp;Smit, 2013 quoted in Singleton&amp;Pfenninger,2019)</w:t>
      </w:r>
      <w:r>
        <w:rPr>
          <w:rFonts w:hint="default" w:ascii="Times New Roman" w:hAnsi="Times New Roman" w:cs="Times New Roman"/>
          <w:b w:val="0"/>
          <w:bCs w:val="0"/>
          <w:sz w:val="24"/>
          <w:szCs w:val="24"/>
        </w:rPr>
        <w:t>.</w:t>
      </w:r>
      <w:r>
        <w:rPr>
          <w:rFonts w:hint="default" w:ascii="Times New Roman" w:hAnsi="Times New Roman" w:cs="Times New Roman"/>
          <w:b w:val="0"/>
          <w:bCs w:val="0"/>
          <w:sz w:val="24"/>
          <w:szCs w:val="24"/>
        </w:rPr>
        <w:t xml:space="preserve"> Such instructional approach </w:t>
      </w:r>
      <w:r>
        <w:rPr>
          <w:rFonts w:hint="default" w:ascii="Times New Roman" w:hAnsi="Times New Roman" w:cs="Times New Roman"/>
          <w:b w:val="0"/>
          <w:bCs w:val="0"/>
          <w:sz w:val="24"/>
          <w:szCs w:val="24"/>
        </w:rPr>
        <w:t xml:space="preserve">is strongly supported by </w:t>
      </w:r>
      <w:r>
        <w:rPr>
          <w:rFonts w:hint="default" w:ascii="Times New Roman" w:hAnsi="Times New Roman" w:cs="Times New Roman"/>
          <w:b w:val="0"/>
          <w:bCs w:val="0"/>
          <w:sz w:val="24"/>
          <w:szCs w:val="24"/>
        </w:rPr>
        <w:t>parents who usually have prominent educational background and economic status in China</w:t>
      </w:r>
      <w:r>
        <w:rPr>
          <w:rFonts w:hint="default" w:ascii="Times New Roman" w:hAnsi="Times New Roman" w:cs="Times New Roman"/>
          <w:b w:val="0"/>
          <w:bCs w:val="0"/>
          <w:sz w:val="24"/>
          <w:szCs w:val="24"/>
        </w:rPr>
        <w:t xml:space="preserve">, </w:t>
      </w:r>
      <w:r>
        <w:rPr>
          <w:rFonts w:hint="default" w:ascii="Times New Roman" w:hAnsi="Times New Roman" w:cs="Times New Roman"/>
          <w:b w:val="0"/>
          <w:bCs w:val="0"/>
          <w:sz w:val="24"/>
          <w:szCs w:val="24"/>
        </w:rPr>
        <w:t>which can cater to their burgeoning demand of developing their children’s L2 competence comprehensively. And students in international schools can have access to such pedagogical resources and receive considerably more hours of instruction in L2. Conversely, it is unlikely that adult learners, such as Chinese college students, can gain this opportunity to be immersed in such learning environment unless they choose to study abroad. However, with the information technology advancing at an accelerating rate, I firmly believe that adult learners who have extraordinary learning autonomy can be motivated intrinsically to make full use of global online courses, such as those from the platform of coursera to create their own CLIL learning environment.</w:t>
      </w:r>
    </w:p>
    <w:p>
      <w:pPr>
        <w:numPr>
          <w:ilvl w:val="0"/>
          <w:numId w:val="0"/>
        </w:numPr>
        <w:spacing w:line="360" w:lineRule="auto"/>
        <w:ind w:firstLine="480" w:firstLineChars="200"/>
        <w:rPr>
          <w:rFonts w:hint="default" w:ascii="Times New Roman" w:hAnsi="Times New Roman" w:cs="Times New Roman"/>
          <w:b w:val="0"/>
          <w:bCs w:val="0"/>
          <w:sz w:val="24"/>
          <w:szCs w:val="24"/>
        </w:rPr>
      </w:pPr>
    </w:p>
    <w:p>
      <w:pPr>
        <w:numPr>
          <w:ilvl w:val="0"/>
          <w:numId w:val="0"/>
        </w:numPr>
        <w:spacing w:line="360" w:lineRule="auto"/>
        <w:ind w:firstLine="480" w:firstLineChars="200"/>
        <w:rPr>
          <w:rFonts w:hint="default" w:ascii="Times New Roman" w:hAnsi="Times New Roman" w:cs="Times New Roman"/>
          <w:b w:val="0"/>
          <w:bCs w:val="0"/>
          <w:sz w:val="24"/>
          <w:szCs w:val="24"/>
        </w:rPr>
      </w:pPr>
      <w:bookmarkStart w:id="0" w:name="_GoBack"/>
      <w:bookmarkEnd w:id="0"/>
    </w:p>
    <w:p>
      <w:pPr>
        <w:numPr>
          <w:ilvl w:val="0"/>
          <w:numId w:val="0"/>
        </w:numPr>
        <w:spacing w:line="360" w:lineRule="auto"/>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5. Conclusion</w:t>
      </w:r>
    </w:p>
    <w:p>
      <w:pPr>
        <w:numPr>
          <w:ilvl w:val="0"/>
          <w:numId w:val="0"/>
        </w:numPr>
        <w:spacing w:line="360" w:lineRule="auto"/>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 xml:space="preserve">   </w:t>
      </w:r>
      <w:r>
        <w:rPr>
          <w:rFonts w:hint="default" w:ascii="Times New Roman" w:hAnsi="Times New Roman" w:cs="Times New Roman"/>
          <w:b w:val="0"/>
          <w:bCs w:val="0"/>
          <w:sz w:val="24"/>
          <w:szCs w:val="24"/>
        </w:rPr>
        <w:t xml:space="preserve"> </w:t>
      </w:r>
      <w:r>
        <w:rPr>
          <w:rFonts w:hint="default" w:ascii="Times New Roman" w:hAnsi="Times New Roman" w:cs="Times New Roman"/>
          <w:b w:val="0"/>
          <w:bCs w:val="0"/>
          <w:sz w:val="24"/>
          <w:szCs w:val="24"/>
        </w:rPr>
        <w:t xml:space="preserve">In conclusion, it can be seen that no consensus has been reached among linguistic researchers concerning CPH and the optimal age to start learning L2 due to learners’ differences, embracing their different aptitudes, attitudes,motivation and language input. Although maturational constraints have been highly evaluated as an irreplaceable part to affect ultimate attainment in L2 proficiency, other factors, such as social-affective factors can sometimes make a greater difference in learners’ L2 learning outcomes.And even when adult learners miss the critical or sensitive period, they can still use some compensatory mechanisms to reach near-native or native level of L2 proficiency. Furthermore, the similarities and differences between young and old learners together with corresponding teaching strategies and approaches have been elaborated based both on experiential knowledge and empirical evidences. What merits further research should be </w:t>
      </w:r>
      <w:r>
        <w:rPr>
          <w:rFonts w:hint="default" w:ascii="Times New Roman" w:hAnsi="Times New Roman" w:cs="Times New Roman"/>
          <w:b w:val="0"/>
          <w:bCs w:val="0"/>
          <w:sz w:val="24"/>
          <w:szCs w:val="24"/>
        </w:rPr>
        <w:t>to</w:t>
      </w:r>
      <w:r>
        <w:rPr>
          <w:rFonts w:hint="default" w:ascii="Times New Roman" w:hAnsi="Times New Roman" w:cs="Times New Roman"/>
          <w:b w:val="0"/>
          <w:bCs w:val="0"/>
          <w:sz w:val="24"/>
          <w:szCs w:val="24"/>
        </w:rPr>
        <w:t xml:space="preserve"> </w:t>
      </w:r>
      <w:r>
        <w:rPr>
          <w:rFonts w:hint="default" w:ascii="Times New Roman" w:hAnsi="Times New Roman" w:cs="Times New Roman"/>
          <w:b w:val="0"/>
          <w:bCs w:val="0"/>
          <w:sz w:val="24"/>
          <w:szCs w:val="24"/>
        </w:rPr>
        <w:t xml:space="preserve">delve into </w:t>
      </w:r>
      <w:r>
        <w:rPr>
          <w:rFonts w:hint="default" w:ascii="Times New Roman" w:hAnsi="Times New Roman" w:cs="Times New Roman"/>
          <w:b w:val="0"/>
          <w:bCs w:val="0"/>
          <w:sz w:val="24"/>
          <w:szCs w:val="24"/>
        </w:rPr>
        <w:t xml:space="preserve">more advanced pedagogical resources </w:t>
      </w:r>
      <w:r>
        <w:rPr>
          <w:rFonts w:hint="default" w:ascii="Times New Roman" w:hAnsi="Times New Roman" w:cs="Times New Roman"/>
          <w:b w:val="0"/>
          <w:bCs w:val="0"/>
          <w:sz w:val="24"/>
          <w:szCs w:val="24"/>
        </w:rPr>
        <w:t xml:space="preserve">pertinent </w:t>
      </w:r>
      <w:r>
        <w:rPr>
          <w:rFonts w:hint="default" w:ascii="Times New Roman" w:hAnsi="Times New Roman" w:cs="Times New Roman"/>
          <w:b w:val="0"/>
          <w:bCs w:val="0"/>
          <w:sz w:val="24"/>
          <w:szCs w:val="24"/>
        </w:rPr>
        <w:t>to improv</w:t>
      </w:r>
      <w:r>
        <w:rPr>
          <w:rFonts w:hint="default" w:ascii="Times New Roman" w:hAnsi="Times New Roman" w:cs="Times New Roman"/>
          <w:b w:val="0"/>
          <w:bCs w:val="0"/>
          <w:sz w:val="24"/>
          <w:szCs w:val="24"/>
        </w:rPr>
        <w:t>ing</w:t>
      </w:r>
      <w:r>
        <w:rPr>
          <w:rFonts w:hint="default" w:ascii="Times New Roman" w:hAnsi="Times New Roman" w:cs="Times New Roman"/>
          <w:b w:val="0"/>
          <w:bCs w:val="0"/>
          <w:sz w:val="24"/>
          <w:szCs w:val="24"/>
        </w:rPr>
        <w:t xml:space="preserve"> the effectiveness and efficiency in L2 instruction for teachers and so to provide scaffolding assistance for learners first and then raise their awareness of becoming autonomous learners preferably with intrinsic motivation.</w:t>
      </w:r>
    </w:p>
    <w:p>
      <w:pPr>
        <w:numPr>
          <w:ilvl w:val="0"/>
          <w:numId w:val="0"/>
        </w:numPr>
        <w:spacing w:line="360" w:lineRule="auto"/>
        <w:ind w:firstLine="480"/>
        <w:rPr>
          <w:rFonts w:hint="default" w:ascii="Times New Roman" w:hAnsi="Times New Roman" w:cs="Times New Roman"/>
          <w:b w:val="0"/>
          <w:bCs w:val="0"/>
          <w:sz w:val="24"/>
          <w:szCs w:val="24"/>
        </w:rPr>
      </w:pPr>
    </w:p>
    <w:p>
      <w:pPr>
        <w:numPr>
          <w:ilvl w:val="0"/>
          <w:numId w:val="0"/>
        </w:numPr>
        <w:spacing w:line="360" w:lineRule="auto"/>
        <w:ind w:firstLine="480"/>
        <w:rPr>
          <w:rFonts w:hint="default" w:ascii="Times New Roman" w:hAnsi="Times New Roman" w:cs="Times New Roman"/>
          <w:b w:val="0"/>
          <w:bCs w:val="0"/>
          <w:sz w:val="24"/>
          <w:szCs w:val="24"/>
        </w:rPr>
      </w:pPr>
    </w:p>
    <w:p>
      <w:pPr>
        <w:numPr>
          <w:ilvl w:val="0"/>
          <w:numId w:val="0"/>
        </w:numPr>
        <w:spacing w:line="360" w:lineRule="auto"/>
        <w:rPr>
          <w:rFonts w:hint="default" w:ascii="Times New Roman Bold" w:hAnsi="Times New Roman Bold" w:cs="Times New Roman Bold"/>
          <w:b/>
          <w:bCs/>
          <w:sz w:val="24"/>
          <w:szCs w:val="24"/>
        </w:rPr>
      </w:pPr>
    </w:p>
    <w:p>
      <w:pPr>
        <w:numPr>
          <w:ilvl w:val="0"/>
          <w:numId w:val="0"/>
        </w:numPr>
        <w:spacing w:line="360" w:lineRule="auto"/>
        <w:rPr>
          <w:rFonts w:hint="default" w:ascii="Times New Roman Bold" w:hAnsi="Times New Roman Bold" w:cs="Times New Roman Bold"/>
          <w:b/>
          <w:bCs/>
          <w:sz w:val="24"/>
          <w:szCs w:val="24"/>
        </w:rPr>
      </w:pPr>
    </w:p>
    <w:p>
      <w:pPr>
        <w:numPr>
          <w:ilvl w:val="0"/>
          <w:numId w:val="0"/>
        </w:numPr>
        <w:spacing w:line="360" w:lineRule="auto"/>
        <w:rPr>
          <w:rFonts w:hint="default" w:ascii="Times New Roman Bold" w:hAnsi="Times New Roman Bold" w:cs="Times New Roman Bold"/>
          <w:b/>
          <w:bCs/>
          <w:sz w:val="24"/>
          <w:szCs w:val="24"/>
        </w:rPr>
      </w:pPr>
    </w:p>
    <w:p>
      <w:pPr>
        <w:numPr>
          <w:ilvl w:val="0"/>
          <w:numId w:val="0"/>
        </w:numPr>
        <w:spacing w:line="360" w:lineRule="auto"/>
        <w:rPr>
          <w:rFonts w:hint="default" w:ascii="Times New Roman Bold" w:hAnsi="Times New Roman Bold" w:cs="Times New Roman Bold"/>
          <w:b/>
          <w:bCs/>
          <w:sz w:val="24"/>
          <w:szCs w:val="24"/>
        </w:rPr>
      </w:pPr>
    </w:p>
    <w:p>
      <w:pPr>
        <w:numPr>
          <w:ilvl w:val="0"/>
          <w:numId w:val="0"/>
        </w:numPr>
        <w:spacing w:line="360" w:lineRule="auto"/>
        <w:rPr>
          <w:rFonts w:hint="default" w:ascii="Times New Roman Bold" w:hAnsi="Times New Roman Bold" w:cs="Times New Roman Bold"/>
          <w:b/>
          <w:bCs/>
          <w:sz w:val="24"/>
          <w:szCs w:val="24"/>
        </w:rPr>
      </w:pPr>
    </w:p>
    <w:p>
      <w:pPr>
        <w:numPr>
          <w:ilvl w:val="0"/>
          <w:numId w:val="0"/>
        </w:numPr>
        <w:spacing w:line="360" w:lineRule="auto"/>
        <w:rPr>
          <w:rFonts w:hint="default" w:ascii="Times New Roman Bold" w:hAnsi="Times New Roman Bold" w:cs="Times New Roman Bold"/>
          <w:b/>
          <w:bCs/>
          <w:sz w:val="24"/>
          <w:szCs w:val="24"/>
        </w:rPr>
      </w:pPr>
    </w:p>
    <w:p>
      <w:pPr>
        <w:numPr>
          <w:ilvl w:val="0"/>
          <w:numId w:val="0"/>
        </w:numPr>
        <w:spacing w:line="360" w:lineRule="auto"/>
        <w:rPr>
          <w:rFonts w:hint="default" w:ascii="Times New Roman Bold" w:hAnsi="Times New Roman Bold" w:cs="Times New Roman Bold"/>
          <w:b/>
          <w:bCs/>
          <w:sz w:val="24"/>
          <w:szCs w:val="24"/>
        </w:rPr>
      </w:pPr>
    </w:p>
    <w:p>
      <w:pPr>
        <w:numPr>
          <w:ilvl w:val="0"/>
          <w:numId w:val="0"/>
        </w:numPr>
        <w:spacing w:line="360" w:lineRule="auto"/>
        <w:rPr>
          <w:rFonts w:hint="default" w:ascii="Times New Roman Bold" w:hAnsi="Times New Roman Bold" w:cs="Times New Roman Bold"/>
          <w:b/>
          <w:bCs/>
          <w:sz w:val="24"/>
          <w:szCs w:val="24"/>
        </w:rPr>
      </w:pPr>
    </w:p>
    <w:p>
      <w:pPr>
        <w:numPr>
          <w:ilvl w:val="0"/>
          <w:numId w:val="0"/>
        </w:numPr>
        <w:spacing w:line="360" w:lineRule="auto"/>
        <w:rPr>
          <w:rFonts w:hint="default" w:ascii="Times New Roman Bold" w:hAnsi="Times New Roman Bold" w:cs="Times New Roman Bold"/>
          <w:b/>
          <w:bCs/>
          <w:sz w:val="24"/>
          <w:szCs w:val="24"/>
        </w:rPr>
      </w:pPr>
    </w:p>
    <w:p>
      <w:pPr>
        <w:numPr>
          <w:ilvl w:val="0"/>
          <w:numId w:val="0"/>
        </w:numPr>
        <w:spacing w:line="360" w:lineRule="auto"/>
        <w:rPr>
          <w:rFonts w:hint="default" w:ascii="Times New Roman Bold" w:hAnsi="Times New Roman Bold" w:cs="Times New Roman Bold"/>
          <w:b/>
          <w:bCs/>
          <w:sz w:val="24"/>
          <w:szCs w:val="24"/>
        </w:rPr>
      </w:pPr>
    </w:p>
    <w:p>
      <w:pPr>
        <w:numPr>
          <w:ilvl w:val="0"/>
          <w:numId w:val="0"/>
        </w:numPr>
        <w:spacing w:line="360" w:lineRule="auto"/>
        <w:rPr>
          <w:rFonts w:hint="default" w:ascii="Times New Roman Bold" w:hAnsi="Times New Roman Bold" w:cs="Times New Roman Bold"/>
          <w:b/>
          <w:bCs/>
          <w:sz w:val="24"/>
          <w:szCs w:val="24"/>
        </w:rPr>
      </w:pPr>
    </w:p>
    <w:p>
      <w:pPr>
        <w:numPr>
          <w:ilvl w:val="0"/>
          <w:numId w:val="0"/>
        </w:numPr>
        <w:spacing w:line="360" w:lineRule="auto"/>
        <w:rPr>
          <w:rFonts w:hint="default" w:ascii="Times New Roman Bold" w:hAnsi="Times New Roman Bold" w:cs="Times New Roman Bold"/>
          <w:b/>
          <w:bCs/>
          <w:sz w:val="24"/>
          <w:szCs w:val="24"/>
        </w:rPr>
      </w:pPr>
    </w:p>
    <w:p>
      <w:pPr>
        <w:numPr>
          <w:ilvl w:val="0"/>
          <w:numId w:val="0"/>
        </w:numPr>
        <w:spacing w:line="360" w:lineRule="auto"/>
        <w:rPr>
          <w:rFonts w:hint="default" w:ascii="Times New Roman Bold" w:hAnsi="Times New Roman Bold" w:cs="Times New Roman Bold"/>
          <w:b/>
          <w:bCs/>
          <w:sz w:val="24"/>
          <w:szCs w:val="24"/>
        </w:rPr>
      </w:pPr>
    </w:p>
    <w:p>
      <w:pPr>
        <w:numPr>
          <w:ilvl w:val="0"/>
          <w:numId w:val="0"/>
        </w:numPr>
        <w:spacing w:line="360" w:lineRule="auto"/>
        <w:rPr>
          <w:rFonts w:hint="default" w:ascii="Times New Roman Bold" w:hAnsi="Times New Roman Bold" w:cs="Times New Roman Bold"/>
          <w:b/>
          <w:bCs/>
          <w:sz w:val="24"/>
          <w:szCs w:val="24"/>
        </w:rPr>
      </w:pPr>
      <w:r>
        <w:rPr>
          <w:rFonts w:hint="default" w:ascii="Times New Roman Bold" w:hAnsi="Times New Roman Bold" w:cs="Times New Roman Bold"/>
          <w:b/>
          <w:bCs/>
          <w:sz w:val="24"/>
          <w:szCs w:val="24"/>
        </w:rPr>
        <w:t>Bibliography</w:t>
      </w:r>
    </w:p>
    <w:p>
      <w:pPr>
        <w:numPr>
          <w:ilvl w:val="0"/>
          <w:numId w:val="0"/>
        </w:numPr>
        <w:spacing w:line="360" w:lineRule="auto"/>
        <w:rPr>
          <w:rFonts w:hint="default" w:ascii="Times New Roman" w:hAnsi="Times New Roman" w:cs="Times New Roman"/>
          <w:i w:val="0"/>
          <w:iCs w:val="0"/>
          <w:sz w:val="24"/>
          <w:szCs w:val="24"/>
        </w:rPr>
      </w:pPr>
      <w:r>
        <w:rPr>
          <w:rFonts w:hint="default" w:ascii="Times New Roman" w:hAnsi="Times New Roman" w:cs="Times New Roman"/>
          <w:i w:val="0"/>
          <w:iCs w:val="0"/>
          <w:sz w:val="24"/>
          <w:szCs w:val="24"/>
        </w:rPr>
        <w:t>Abrahamsson, N. &amp;Hyltenstam, K. 2009. Age of onset and nativelikeness in a second language: Listener perception versus linguistic scrutiny.  [E-journal].</w:t>
      </w:r>
      <w:r>
        <w:rPr>
          <w:rFonts w:hint="default" w:ascii="Times New Roman Italic" w:hAnsi="Times New Roman Italic" w:cs="Times New Roman Italic"/>
          <w:i/>
          <w:iCs/>
          <w:sz w:val="24"/>
          <w:szCs w:val="24"/>
        </w:rPr>
        <w:t xml:space="preserve">Language Learning. </w:t>
      </w:r>
      <w:r>
        <w:rPr>
          <w:rFonts w:hint="default" w:ascii="Times New Roman" w:hAnsi="Times New Roman" w:cs="Times New Roman"/>
          <w:i w:val="0"/>
          <w:iCs w:val="0"/>
          <w:sz w:val="24"/>
          <w:szCs w:val="24"/>
        </w:rPr>
        <w:t xml:space="preserve">59(2), pp. 249-306. Available at: </w:t>
      </w:r>
      <w:r>
        <w:rPr>
          <w:rFonts w:hint="default" w:ascii="Times New Roman" w:hAnsi="Times New Roman" w:cs="Times New Roman"/>
          <w:i w:val="0"/>
          <w:iCs w:val="0"/>
          <w:sz w:val="24"/>
          <w:szCs w:val="24"/>
        </w:rPr>
        <w:fldChar w:fldCharType="begin"/>
      </w:r>
      <w:r>
        <w:rPr>
          <w:rFonts w:hint="default" w:ascii="Times New Roman" w:hAnsi="Times New Roman" w:cs="Times New Roman"/>
          <w:i w:val="0"/>
          <w:iCs w:val="0"/>
          <w:sz w:val="24"/>
          <w:szCs w:val="24"/>
        </w:rPr>
        <w:instrText xml:space="preserve"> HYPERLINK "https://doi-org.ezproxy.uwtsd.ac.uk/10.1111/j.1467-9922.2004.00247.x." </w:instrText>
      </w:r>
      <w:r>
        <w:rPr>
          <w:rFonts w:hint="default" w:ascii="Times New Roman" w:hAnsi="Times New Roman" w:cs="Times New Roman"/>
          <w:i w:val="0"/>
          <w:iCs w:val="0"/>
          <w:sz w:val="24"/>
          <w:szCs w:val="24"/>
        </w:rPr>
        <w:fldChar w:fldCharType="separate"/>
      </w:r>
      <w:r>
        <w:rPr>
          <w:rStyle w:val="3"/>
          <w:rFonts w:hint="default" w:ascii="Times New Roman" w:hAnsi="Times New Roman" w:cs="Times New Roman"/>
          <w:i w:val="0"/>
          <w:iCs w:val="0"/>
          <w:sz w:val="24"/>
          <w:szCs w:val="24"/>
        </w:rPr>
        <w:t>https://doi.org/10.1111/j.1467-9922.2009.00507.x.</w:t>
      </w:r>
      <w:r>
        <w:rPr>
          <w:rFonts w:hint="default" w:ascii="Times New Roman" w:hAnsi="Times New Roman" w:cs="Times New Roman"/>
          <w:i w:val="0"/>
          <w:iCs w:val="0"/>
          <w:sz w:val="24"/>
          <w:szCs w:val="24"/>
        </w:rPr>
        <w:fldChar w:fldCharType="end"/>
      </w:r>
    </w:p>
    <w:p>
      <w:pPr>
        <w:numPr>
          <w:ilvl w:val="0"/>
          <w:numId w:val="0"/>
        </w:numPr>
        <w:spacing w:line="360" w:lineRule="auto"/>
        <w:rPr>
          <w:rFonts w:hint="default" w:ascii="Times New Roman" w:hAnsi="Times New Roman" w:cs="Times New Roman"/>
          <w:i w:val="0"/>
          <w:iCs w:val="0"/>
          <w:sz w:val="24"/>
          <w:szCs w:val="24"/>
        </w:rPr>
      </w:pPr>
    </w:p>
    <w:p>
      <w:pPr>
        <w:numPr>
          <w:ilvl w:val="0"/>
          <w:numId w:val="0"/>
        </w:numPr>
        <w:spacing w:line="360" w:lineRule="auto"/>
        <w:rPr>
          <w:rFonts w:hint="default" w:ascii="Times New Roman" w:hAnsi="Times New Roman" w:cs="Times New Roman"/>
          <w:i w:val="0"/>
          <w:iCs w:val="0"/>
          <w:sz w:val="24"/>
          <w:szCs w:val="24"/>
        </w:rPr>
      </w:pPr>
      <w:r>
        <w:rPr>
          <w:rFonts w:hint="default" w:ascii="Times New Roman" w:hAnsi="Times New Roman" w:cs="Times New Roman"/>
          <w:i w:val="0"/>
          <w:iCs w:val="0"/>
          <w:sz w:val="24"/>
          <w:szCs w:val="24"/>
        </w:rPr>
        <w:t xml:space="preserve">Birdsong, D. 2014. The Critical Period Hypothesis for second language acquisition: Tailoring the coat of many colors. In Pawlak, M.&amp; Aronin, L. (eds). Essential topics in applied linguistics and multilingualism. Heidelberg: Springer. pp. 43-50 Available at: </w:t>
      </w:r>
      <w:r>
        <w:rPr>
          <w:rFonts w:hint="default" w:ascii="Times New Roman" w:hAnsi="Times New Roman" w:cs="Times New Roman"/>
          <w:i w:val="0"/>
          <w:iCs w:val="0"/>
          <w:sz w:val="24"/>
          <w:szCs w:val="24"/>
        </w:rPr>
        <w:fldChar w:fldCharType="begin"/>
      </w:r>
      <w:r>
        <w:rPr>
          <w:rFonts w:hint="default" w:ascii="Times New Roman" w:hAnsi="Times New Roman" w:cs="Times New Roman"/>
          <w:i w:val="0"/>
          <w:iCs w:val="0"/>
          <w:sz w:val="24"/>
          <w:szCs w:val="24"/>
        </w:rPr>
        <w:instrText xml:space="preserve"> HYPERLINK "https://doi-org.ezproxy.uwtsd.ac.uk/10.1111/j.1467-9922.2004.00247.x." </w:instrText>
      </w:r>
      <w:r>
        <w:rPr>
          <w:rFonts w:hint="default" w:ascii="Times New Roman" w:hAnsi="Times New Roman" w:cs="Times New Roman"/>
          <w:i w:val="0"/>
          <w:iCs w:val="0"/>
          <w:sz w:val="24"/>
          <w:szCs w:val="24"/>
        </w:rPr>
        <w:fldChar w:fldCharType="separate"/>
      </w:r>
      <w:r>
        <w:rPr>
          <w:rStyle w:val="3"/>
          <w:rFonts w:hint="default" w:ascii="Times New Roman" w:hAnsi="Times New Roman" w:cs="Times New Roman"/>
          <w:i w:val="0"/>
          <w:iCs w:val="0"/>
          <w:sz w:val="24"/>
          <w:szCs w:val="24"/>
        </w:rPr>
        <w:t>https://doi.org/10.1007/s11618-014-0491-8.</w:t>
      </w:r>
      <w:r>
        <w:rPr>
          <w:rFonts w:hint="default" w:ascii="Times New Roman" w:hAnsi="Times New Roman" w:cs="Times New Roman"/>
          <w:i w:val="0"/>
          <w:iCs w:val="0"/>
          <w:sz w:val="24"/>
          <w:szCs w:val="24"/>
        </w:rPr>
        <w:fldChar w:fldCharType="end"/>
      </w:r>
    </w:p>
    <w:p>
      <w:pPr>
        <w:numPr>
          <w:ilvl w:val="0"/>
          <w:numId w:val="0"/>
        </w:numPr>
        <w:spacing w:line="360" w:lineRule="auto"/>
        <w:rPr>
          <w:rFonts w:hint="default" w:ascii="Times New Roman" w:hAnsi="Times New Roman" w:cs="Times New Roman"/>
          <w:i w:val="0"/>
          <w:iCs w:val="0"/>
          <w:sz w:val="24"/>
          <w:szCs w:val="24"/>
        </w:rPr>
      </w:pPr>
    </w:p>
    <w:p>
      <w:pPr>
        <w:numPr>
          <w:ilvl w:val="0"/>
          <w:numId w:val="0"/>
        </w:numPr>
        <w:spacing w:line="360" w:lineRule="auto"/>
        <w:rPr>
          <w:rFonts w:hint="default" w:ascii="Times New Roman" w:hAnsi="Times New Roman" w:cs="Times New Roman"/>
          <w:i w:val="0"/>
          <w:iCs w:val="0"/>
          <w:sz w:val="24"/>
          <w:szCs w:val="24"/>
        </w:rPr>
      </w:pPr>
      <w:r>
        <w:rPr>
          <w:rFonts w:hint="default" w:ascii="Times New Roman" w:hAnsi="Times New Roman" w:cs="Times New Roman"/>
          <w:i w:val="0"/>
          <w:iCs w:val="0"/>
          <w:sz w:val="24"/>
          <w:szCs w:val="24"/>
        </w:rPr>
        <w:t xml:space="preserve">Butler Y.G. 2017. Motivational elements of digital instructional games:A study of young L2 learners’ game designs. </w:t>
      </w:r>
      <w:r>
        <w:rPr>
          <w:rFonts w:hint="default" w:ascii="Times New Roman Italic" w:hAnsi="Times New Roman Italic" w:cs="Times New Roman Italic"/>
          <w:i/>
          <w:iCs/>
          <w:sz w:val="24"/>
          <w:szCs w:val="24"/>
        </w:rPr>
        <w:t xml:space="preserve">Language Teaching Research. </w:t>
      </w:r>
      <w:r>
        <w:rPr>
          <w:rFonts w:hint="default" w:ascii="Times New Roman" w:hAnsi="Times New Roman" w:cs="Times New Roman"/>
          <w:i w:val="0"/>
          <w:iCs w:val="0"/>
          <w:sz w:val="24"/>
          <w:szCs w:val="24"/>
        </w:rPr>
        <w:t>[E-journal].</w:t>
      </w:r>
      <w:r>
        <w:rPr>
          <w:rFonts w:hint="default" w:ascii="Times New Roman" w:hAnsi="Times New Roman" w:cs="Times New Roman"/>
          <w:b w:val="0"/>
          <w:bCs w:val="0"/>
          <w:i w:val="0"/>
          <w:iCs w:val="0"/>
          <w:sz w:val="24"/>
          <w:szCs w:val="24"/>
        </w:rPr>
        <w:t xml:space="preserve"> 21(6), pp. 735-750 </w:t>
      </w:r>
      <w:r>
        <w:rPr>
          <w:rFonts w:hint="default" w:ascii="Times New Roman" w:hAnsi="Times New Roman" w:cs="Times New Roman"/>
          <w:i w:val="0"/>
          <w:iCs w:val="0"/>
          <w:sz w:val="24"/>
          <w:szCs w:val="24"/>
        </w:rPr>
        <w:t>Available at: 10.1177/1362168816683560 Accessed 27</w:t>
      </w:r>
      <w:r>
        <w:rPr>
          <w:rFonts w:hint="default" w:ascii="Times New Roman" w:hAnsi="Times New Roman" w:cs="Times New Roman"/>
          <w:i w:val="0"/>
          <w:iCs w:val="0"/>
          <w:sz w:val="24"/>
          <w:szCs w:val="24"/>
          <w:vertAlign w:val="superscript"/>
        </w:rPr>
        <w:t>th</w:t>
      </w:r>
      <w:r>
        <w:rPr>
          <w:rFonts w:hint="default" w:ascii="Times New Roman" w:hAnsi="Times New Roman" w:cs="Times New Roman"/>
          <w:i w:val="0"/>
          <w:iCs w:val="0"/>
          <w:sz w:val="24"/>
          <w:szCs w:val="24"/>
        </w:rPr>
        <w:t xml:space="preserve"> March 2021.</w:t>
      </w:r>
    </w:p>
    <w:p>
      <w:pPr>
        <w:numPr>
          <w:ilvl w:val="0"/>
          <w:numId w:val="0"/>
        </w:numPr>
        <w:spacing w:line="360" w:lineRule="auto"/>
        <w:rPr>
          <w:rFonts w:hint="default" w:ascii="Times New Roman" w:hAnsi="Times New Roman" w:cs="Times New Roman"/>
          <w:i w:val="0"/>
          <w:iCs w:val="0"/>
          <w:sz w:val="24"/>
          <w:szCs w:val="24"/>
        </w:rPr>
      </w:pPr>
    </w:p>
    <w:p>
      <w:pPr>
        <w:numPr>
          <w:ilvl w:val="0"/>
          <w:numId w:val="0"/>
        </w:numPr>
        <w:spacing w:line="360" w:lineRule="auto"/>
        <w:rPr>
          <w:rFonts w:hint="default" w:ascii="Times New Roman" w:hAnsi="Times New Roman" w:cs="Times New Roman"/>
          <w:i w:val="0"/>
          <w:iCs w:val="0"/>
          <w:sz w:val="24"/>
          <w:szCs w:val="24"/>
        </w:rPr>
      </w:pPr>
      <w:r>
        <w:rPr>
          <w:rFonts w:hint="default" w:ascii="Times New Roman" w:hAnsi="Times New Roman" w:cs="Times New Roman"/>
          <w:b w:val="0"/>
          <w:bCs w:val="0"/>
          <w:sz w:val="24"/>
          <w:szCs w:val="24"/>
        </w:rPr>
        <w:t xml:space="preserve">Comesana, M., Perea M., Pineiro, Ana. &amp; Fraga I. 2009. Vocabulary teaching strategies and conceptual representations of words in L2 in children:Evidence with novice learners. </w:t>
      </w:r>
      <w:r>
        <w:rPr>
          <w:rFonts w:hint="default" w:ascii="Times New Roman Italic" w:hAnsi="Times New Roman Italic" w:cs="Times New Roman Italic"/>
          <w:b w:val="0"/>
          <w:bCs w:val="0"/>
          <w:i/>
          <w:iCs/>
          <w:sz w:val="24"/>
          <w:szCs w:val="24"/>
        </w:rPr>
        <w:t xml:space="preserve">Journal of Experimental Child Psychology. </w:t>
      </w:r>
      <w:r>
        <w:rPr>
          <w:rFonts w:hint="default" w:ascii="Times New Roman" w:hAnsi="Times New Roman" w:cs="Times New Roman"/>
          <w:b w:val="0"/>
          <w:bCs w:val="0"/>
          <w:sz w:val="24"/>
          <w:szCs w:val="24"/>
        </w:rPr>
        <w:t xml:space="preserve"> [</w:t>
      </w:r>
      <w:r>
        <w:rPr>
          <w:rFonts w:hint="default" w:ascii="Times New Roman" w:hAnsi="Times New Roman" w:cs="Times New Roman"/>
          <w:i w:val="0"/>
          <w:iCs w:val="0"/>
          <w:sz w:val="24"/>
          <w:szCs w:val="24"/>
        </w:rPr>
        <w:t>E-journal].</w:t>
      </w:r>
      <w:r>
        <w:rPr>
          <w:rFonts w:hint="default" w:ascii="Times New Roman" w:hAnsi="Times New Roman" w:cs="Times New Roman"/>
          <w:b w:val="0"/>
          <w:bCs w:val="0"/>
          <w:i w:val="0"/>
          <w:iCs w:val="0"/>
          <w:sz w:val="24"/>
          <w:szCs w:val="24"/>
        </w:rPr>
        <w:t xml:space="preserve"> 104 (2009), pp. 22-33. </w:t>
      </w:r>
      <w:r>
        <w:rPr>
          <w:rFonts w:hint="default" w:ascii="Times New Roman" w:hAnsi="Times New Roman" w:cs="Times New Roman"/>
          <w:i w:val="0"/>
          <w:iCs w:val="0"/>
          <w:sz w:val="24"/>
          <w:szCs w:val="24"/>
        </w:rPr>
        <w:t>Available at: 10.1016/j. jecp.2008.10.004. Accessed 27</w:t>
      </w:r>
      <w:r>
        <w:rPr>
          <w:rFonts w:hint="default" w:ascii="Times New Roman" w:hAnsi="Times New Roman" w:cs="Times New Roman"/>
          <w:i w:val="0"/>
          <w:iCs w:val="0"/>
          <w:sz w:val="24"/>
          <w:szCs w:val="24"/>
          <w:vertAlign w:val="superscript"/>
        </w:rPr>
        <w:t>th</w:t>
      </w:r>
      <w:r>
        <w:rPr>
          <w:rFonts w:hint="default" w:ascii="Times New Roman" w:hAnsi="Times New Roman" w:cs="Times New Roman"/>
          <w:i w:val="0"/>
          <w:iCs w:val="0"/>
          <w:sz w:val="24"/>
          <w:szCs w:val="24"/>
        </w:rPr>
        <w:t xml:space="preserve"> March 2021.</w:t>
      </w:r>
    </w:p>
    <w:p>
      <w:pPr>
        <w:numPr>
          <w:ilvl w:val="0"/>
          <w:numId w:val="0"/>
        </w:numPr>
        <w:spacing w:line="360" w:lineRule="auto"/>
        <w:rPr>
          <w:rFonts w:hint="default" w:ascii="Times New Roman" w:hAnsi="Times New Roman" w:cs="Times New Roman"/>
          <w:i w:val="0"/>
          <w:iCs w:val="0"/>
          <w:sz w:val="24"/>
          <w:szCs w:val="24"/>
        </w:rPr>
      </w:pPr>
    </w:p>
    <w:p>
      <w:pPr>
        <w:numPr>
          <w:ilvl w:val="0"/>
          <w:numId w:val="0"/>
        </w:numPr>
        <w:spacing w:line="360" w:lineRule="auto"/>
        <w:rPr>
          <w:rFonts w:hint="default" w:ascii="Times New Roman" w:hAnsi="Times New Roman" w:cs="Times New Roman"/>
          <w:i w:val="0"/>
          <w:iCs w:val="0"/>
          <w:sz w:val="24"/>
          <w:szCs w:val="24"/>
        </w:rPr>
      </w:pPr>
      <w:r>
        <w:rPr>
          <w:rFonts w:hint="default" w:ascii="Times New Roman" w:hAnsi="Times New Roman" w:cs="Times New Roman"/>
          <w:b w:val="0"/>
          <w:bCs w:val="0"/>
          <w:sz w:val="24"/>
          <w:szCs w:val="24"/>
        </w:rPr>
        <w:t xml:space="preserve">Dekeyser, R.M. 2000. The robustness of critical period effects in second language acquisition. </w:t>
      </w:r>
      <w:r>
        <w:rPr>
          <w:rFonts w:hint="default" w:ascii="Times New Roman Italic" w:hAnsi="Times New Roman Italic" w:cs="Times New Roman Italic"/>
          <w:b w:val="0"/>
          <w:bCs w:val="0"/>
          <w:i/>
          <w:iCs/>
          <w:sz w:val="24"/>
          <w:szCs w:val="24"/>
        </w:rPr>
        <w:t>Studies in Second Language Acquisition.</w:t>
      </w:r>
      <w:r>
        <w:rPr>
          <w:rFonts w:hint="default" w:ascii="Times New Roman" w:hAnsi="Times New Roman" w:cs="Times New Roman"/>
          <w:b w:val="0"/>
          <w:bCs w:val="0"/>
          <w:sz w:val="24"/>
          <w:szCs w:val="24"/>
        </w:rPr>
        <w:t xml:space="preserve"> </w:t>
      </w:r>
      <w:r>
        <w:rPr>
          <w:rFonts w:hint="default" w:ascii="Times New Roman" w:hAnsi="Times New Roman" w:cs="Times New Roman"/>
          <w:i w:val="0"/>
          <w:iCs w:val="0"/>
          <w:sz w:val="24"/>
          <w:szCs w:val="24"/>
        </w:rPr>
        <w:t>[E-journal].</w:t>
      </w:r>
      <w:r>
        <w:rPr>
          <w:rFonts w:hint="default" w:ascii="Times New Roman" w:hAnsi="Times New Roman" w:cs="Times New Roman"/>
          <w:b w:val="0"/>
          <w:bCs w:val="0"/>
          <w:i w:val="0"/>
          <w:iCs w:val="0"/>
          <w:sz w:val="24"/>
          <w:szCs w:val="24"/>
        </w:rPr>
        <w:t xml:space="preserve"> 22(4), pp.499-533. </w:t>
      </w:r>
      <w:r>
        <w:rPr>
          <w:rFonts w:hint="default" w:ascii="Times New Roman" w:hAnsi="Times New Roman" w:cs="Times New Roman"/>
          <w:i w:val="0"/>
          <w:iCs w:val="0"/>
          <w:sz w:val="24"/>
          <w:szCs w:val="24"/>
        </w:rPr>
        <w:t xml:space="preserve">Available at: </w:t>
      </w:r>
      <w:r>
        <w:rPr>
          <w:rFonts w:hint="default" w:ascii="Times New Roman" w:hAnsi="Times New Roman" w:cs="Times New Roman"/>
          <w:i w:val="0"/>
          <w:iCs w:val="0"/>
          <w:sz w:val="24"/>
          <w:szCs w:val="24"/>
        </w:rPr>
        <w:fldChar w:fldCharType="begin"/>
      </w:r>
      <w:r>
        <w:rPr>
          <w:rFonts w:hint="default" w:ascii="Times New Roman" w:hAnsi="Times New Roman" w:cs="Times New Roman"/>
          <w:i w:val="0"/>
          <w:iCs w:val="0"/>
          <w:sz w:val="24"/>
          <w:szCs w:val="24"/>
        </w:rPr>
        <w:instrText xml:space="preserve"> HYPERLINK "https://doi-org.ezproxy.uwtsd.ac.uk/10.1111/j.1467-9922.2004.00247.x." </w:instrText>
      </w:r>
      <w:r>
        <w:rPr>
          <w:rFonts w:hint="default" w:ascii="Times New Roman" w:hAnsi="Times New Roman" w:cs="Times New Roman"/>
          <w:i w:val="0"/>
          <w:iCs w:val="0"/>
          <w:sz w:val="24"/>
          <w:szCs w:val="24"/>
        </w:rPr>
        <w:fldChar w:fldCharType="separate"/>
      </w:r>
      <w:r>
        <w:rPr>
          <w:rStyle w:val="3"/>
          <w:rFonts w:hint="default" w:ascii="Times New Roman" w:hAnsi="Times New Roman" w:cs="Times New Roman"/>
          <w:i w:val="0"/>
          <w:iCs w:val="0"/>
          <w:sz w:val="24"/>
          <w:szCs w:val="24"/>
        </w:rPr>
        <w:t>https://doi.org/10.1017/S0272263100004022.</w:t>
      </w:r>
      <w:r>
        <w:rPr>
          <w:rFonts w:hint="default" w:ascii="Times New Roman" w:hAnsi="Times New Roman" w:cs="Times New Roman"/>
          <w:i w:val="0"/>
          <w:iCs w:val="0"/>
          <w:sz w:val="24"/>
          <w:szCs w:val="24"/>
        </w:rPr>
        <w:fldChar w:fldCharType="end"/>
      </w:r>
      <w:r>
        <w:rPr>
          <w:rFonts w:hint="default" w:ascii="Times New Roman" w:hAnsi="Times New Roman" w:cs="Times New Roman"/>
          <w:i w:val="0"/>
          <w:iCs w:val="0"/>
          <w:sz w:val="24"/>
          <w:szCs w:val="24"/>
        </w:rPr>
        <w:t xml:space="preserve"> Accessed 31</w:t>
      </w:r>
      <w:r>
        <w:rPr>
          <w:rFonts w:hint="default" w:ascii="Times New Roman" w:hAnsi="Times New Roman" w:cs="Times New Roman"/>
          <w:i w:val="0"/>
          <w:iCs w:val="0"/>
          <w:sz w:val="24"/>
          <w:szCs w:val="24"/>
          <w:vertAlign w:val="superscript"/>
        </w:rPr>
        <w:t>st</w:t>
      </w:r>
      <w:r>
        <w:rPr>
          <w:rFonts w:hint="default" w:ascii="Times New Roman" w:hAnsi="Times New Roman" w:cs="Times New Roman"/>
          <w:i w:val="0"/>
          <w:iCs w:val="0"/>
          <w:sz w:val="24"/>
          <w:szCs w:val="24"/>
        </w:rPr>
        <w:t xml:space="preserve"> March 2021.</w:t>
      </w:r>
    </w:p>
    <w:p>
      <w:pPr>
        <w:numPr>
          <w:ilvl w:val="0"/>
          <w:numId w:val="0"/>
        </w:numPr>
        <w:spacing w:line="360" w:lineRule="auto"/>
        <w:rPr>
          <w:rFonts w:hint="default" w:ascii="Times New Roman" w:hAnsi="Times New Roman" w:cs="Times New Roman"/>
          <w:b w:val="0"/>
          <w:bCs w:val="0"/>
          <w:sz w:val="24"/>
          <w:szCs w:val="24"/>
        </w:rPr>
      </w:pPr>
    </w:p>
    <w:p>
      <w:pPr>
        <w:numPr>
          <w:ilvl w:val="0"/>
          <w:numId w:val="0"/>
        </w:numPr>
        <w:spacing w:line="360" w:lineRule="auto"/>
        <w:rPr>
          <w:rFonts w:hint="default" w:ascii="Times New Roman" w:hAnsi="Times New Roman" w:cs="Times New Roman"/>
          <w:i w:val="0"/>
          <w:iCs w:val="0"/>
          <w:sz w:val="24"/>
          <w:szCs w:val="24"/>
        </w:rPr>
      </w:pPr>
      <w:r>
        <w:rPr>
          <w:rFonts w:hint="default" w:ascii="Times New Roman" w:hAnsi="Times New Roman" w:cs="Times New Roman"/>
          <w:b w:val="0"/>
          <w:bCs w:val="0"/>
          <w:sz w:val="24"/>
          <w:szCs w:val="24"/>
        </w:rPr>
        <w:t xml:space="preserve">Dekeyser, R.M. 2013. Age effects in second language learning: Stepping stones toward better understanding. </w:t>
      </w:r>
      <w:r>
        <w:rPr>
          <w:rFonts w:hint="default" w:ascii="Times New Roman Italic" w:hAnsi="Times New Roman Italic" w:cs="Times New Roman Italic"/>
          <w:b w:val="0"/>
          <w:bCs w:val="0"/>
          <w:i/>
          <w:iCs/>
          <w:sz w:val="24"/>
          <w:szCs w:val="24"/>
        </w:rPr>
        <w:t>Language Learning.</w:t>
      </w:r>
      <w:r>
        <w:rPr>
          <w:rFonts w:hint="default" w:ascii="Times New Roman" w:hAnsi="Times New Roman" w:cs="Times New Roman"/>
          <w:b w:val="0"/>
          <w:bCs w:val="0"/>
          <w:sz w:val="24"/>
          <w:szCs w:val="24"/>
        </w:rPr>
        <w:t xml:space="preserve"> [</w:t>
      </w:r>
      <w:r>
        <w:rPr>
          <w:rFonts w:hint="default" w:ascii="Times New Roman" w:hAnsi="Times New Roman" w:cs="Times New Roman"/>
          <w:i w:val="0"/>
          <w:iCs w:val="0"/>
          <w:sz w:val="24"/>
          <w:szCs w:val="24"/>
        </w:rPr>
        <w:t>E-journal].</w:t>
      </w:r>
      <w:r>
        <w:rPr>
          <w:rFonts w:hint="default" w:ascii="Times New Roman" w:hAnsi="Times New Roman" w:cs="Times New Roman"/>
          <w:b w:val="0"/>
          <w:bCs w:val="0"/>
          <w:i w:val="0"/>
          <w:iCs w:val="0"/>
          <w:sz w:val="24"/>
          <w:szCs w:val="24"/>
        </w:rPr>
        <w:t xml:space="preserve"> 63(suppl.1), pp. 52-67. </w:t>
      </w:r>
      <w:r>
        <w:rPr>
          <w:rFonts w:hint="default" w:ascii="Times New Roman" w:hAnsi="Times New Roman" w:cs="Times New Roman"/>
          <w:i w:val="0"/>
          <w:iCs w:val="0"/>
          <w:sz w:val="24"/>
          <w:szCs w:val="24"/>
        </w:rPr>
        <w:t>Available at: 10.1111/j. 1467-9922.2012.00737.x. Accessed 19</w:t>
      </w:r>
      <w:r>
        <w:rPr>
          <w:rFonts w:hint="default" w:ascii="Times New Roman" w:hAnsi="Times New Roman" w:cs="Times New Roman"/>
          <w:i w:val="0"/>
          <w:iCs w:val="0"/>
          <w:sz w:val="24"/>
          <w:szCs w:val="24"/>
          <w:vertAlign w:val="superscript"/>
        </w:rPr>
        <w:t>th</w:t>
      </w:r>
      <w:r>
        <w:rPr>
          <w:rFonts w:hint="default" w:ascii="Times New Roman" w:hAnsi="Times New Roman" w:cs="Times New Roman"/>
          <w:i w:val="0"/>
          <w:iCs w:val="0"/>
          <w:sz w:val="24"/>
          <w:szCs w:val="24"/>
        </w:rPr>
        <w:t xml:space="preserve"> March 2021.</w:t>
      </w:r>
    </w:p>
    <w:p>
      <w:pPr>
        <w:numPr>
          <w:ilvl w:val="0"/>
          <w:numId w:val="0"/>
        </w:numPr>
        <w:spacing w:line="360" w:lineRule="auto"/>
        <w:rPr>
          <w:rFonts w:hint="default" w:ascii="Times New Roman" w:hAnsi="Times New Roman" w:cs="Times New Roman"/>
          <w:i w:val="0"/>
          <w:iCs w:val="0"/>
          <w:sz w:val="24"/>
          <w:szCs w:val="24"/>
        </w:rPr>
      </w:pPr>
    </w:p>
    <w:p>
      <w:pPr>
        <w:numPr>
          <w:ilvl w:val="0"/>
          <w:numId w:val="0"/>
        </w:numPr>
        <w:spacing w:line="360" w:lineRule="auto"/>
        <w:rPr>
          <w:rFonts w:hint="default" w:ascii="Times New Roman" w:hAnsi="Times New Roman" w:cs="Times New Roman"/>
          <w:i w:val="0"/>
          <w:iCs w:val="0"/>
          <w:sz w:val="24"/>
          <w:szCs w:val="24"/>
        </w:rPr>
      </w:pPr>
      <w:r>
        <w:rPr>
          <w:rFonts w:hint="default" w:ascii="Times New Roman" w:hAnsi="Times New Roman" w:cs="Times New Roman"/>
          <w:i w:val="0"/>
          <w:iCs w:val="0"/>
          <w:sz w:val="24"/>
          <w:szCs w:val="24"/>
        </w:rPr>
        <w:t>Dollmann, J., Kogan, I. &amp; Wei</w:t>
      </w:r>
      <w:r>
        <w:rPr>
          <w:rFonts w:hint="default" w:ascii="Arial" w:hAnsi="Arial" w:cs="Arial"/>
          <w:i w:val="0"/>
          <w:iCs w:val="0"/>
          <w:sz w:val="24"/>
          <w:szCs w:val="24"/>
        </w:rPr>
        <w:t>β</w:t>
      </w:r>
      <w:r>
        <w:rPr>
          <w:rFonts w:hint="default" w:ascii="Times New Roman" w:hAnsi="Times New Roman" w:cs="Times New Roman"/>
          <w:i w:val="0"/>
          <w:iCs w:val="0"/>
          <w:sz w:val="24"/>
          <w:szCs w:val="24"/>
        </w:rPr>
        <w:t xml:space="preserve">mann, M. 2020.  Critical period:The compensatory role of individual abilities and opportunity structures. </w:t>
      </w:r>
      <w:r>
        <w:rPr>
          <w:rFonts w:hint="default" w:ascii="Times New Roman Italic" w:hAnsi="Times New Roman Italic" w:cs="Times New Roman Italic"/>
          <w:i/>
          <w:iCs/>
          <w:sz w:val="24"/>
          <w:szCs w:val="24"/>
        </w:rPr>
        <w:t>Applied Linguistics.</w:t>
      </w:r>
      <w:r>
        <w:rPr>
          <w:rFonts w:hint="default" w:ascii="Times New Roman" w:hAnsi="Times New Roman" w:cs="Times New Roman"/>
          <w:i w:val="0"/>
          <w:iCs w:val="0"/>
          <w:sz w:val="24"/>
          <w:szCs w:val="24"/>
        </w:rPr>
        <w:t xml:space="preserve"> </w:t>
      </w:r>
      <w:r>
        <w:rPr>
          <w:rFonts w:hint="default" w:ascii="Times New Roman" w:hAnsi="Times New Roman" w:cs="Times New Roman"/>
          <w:b w:val="0"/>
          <w:bCs w:val="0"/>
          <w:sz w:val="24"/>
          <w:szCs w:val="24"/>
        </w:rPr>
        <w:t>[</w:t>
      </w:r>
      <w:r>
        <w:rPr>
          <w:rFonts w:hint="default" w:ascii="Times New Roman" w:hAnsi="Times New Roman" w:cs="Times New Roman"/>
          <w:i w:val="0"/>
          <w:iCs w:val="0"/>
          <w:sz w:val="24"/>
          <w:szCs w:val="24"/>
        </w:rPr>
        <w:t>E-journal].</w:t>
      </w:r>
      <w:r>
        <w:rPr>
          <w:rFonts w:hint="default" w:ascii="Times New Roman" w:hAnsi="Times New Roman" w:cs="Times New Roman"/>
          <w:b w:val="0"/>
          <w:bCs w:val="0"/>
          <w:i w:val="0"/>
          <w:iCs w:val="0"/>
          <w:sz w:val="24"/>
          <w:szCs w:val="24"/>
        </w:rPr>
        <w:t xml:space="preserve"> 41(5), pp. 787-809. </w:t>
      </w:r>
      <w:r>
        <w:rPr>
          <w:rFonts w:hint="default" w:ascii="Times New Roman" w:hAnsi="Times New Roman" w:cs="Times New Roman"/>
          <w:i w:val="0"/>
          <w:iCs w:val="0"/>
          <w:sz w:val="24"/>
          <w:szCs w:val="24"/>
        </w:rPr>
        <w:t>Available at: 10.1093/applin/amz029. Accessed 4</w:t>
      </w:r>
      <w:r>
        <w:rPr>
          <w:rFonts w:hint="default" w:ascii="Times New Roman" w:hAnsi="Times New Roman" w:cs="Times New Roman"/>
          <w:i w:val="0"/>
          <w:iCs w:val="0"/>
          <w:sz w:val="24"/>
          <w:szCs w:val="24"/>
          <w:vertAlign w:val="superscript"/>
        </w:rPr>
        <w:t>th</w:t>
      </w:r>
      <w:r>
        <w:rPr>
          <w:rFonts w:hint="default" w:ascii="Times New Roman" w:hAnsi="Times New Roman" w:cs="Times New Roman"/>
          <w:i w:val="0"/>
          <w:iCs w:val="0"/>
          <w:sz w:val="24"/>
          <w:szCs w:val="24"/>
        </w:rPr>
        <w:t xml:space="preserve"> March 2021.</w:t>
      </w:r>
    </w:p>
    <w:p>
      <w:pPr>
        <w:numPr>
          <w:ilvl w:val="0"/>
          <w:numId w:val="0"/>
        </w:numPr>
        <w:spacing w:line="360" w:lineRule="auto"/>
        <w:rPr>
          <w:rFonts w:hint="default" w:ascii="Times New Roman" w:hAnsi="Times New Roman" w:cs="Times New Roman"/>
          <w:i w:val="0"/>
          <w:iCs w:val="0"/>
          <w:sz w:val="24"/>
          <w:szCs w:val="24"/>
        </w:rPr>
      </w:pPr>
    </w:p>
    <w:p>
      <w:pPr>
        <w:numPr>
          <w:ilvl w:val="0"/>
          <w:numId w:val="0"/>
        </w:numPr>
        <w:spacing w:line="360" w:lineRule="auto"/>
        <w:rPr>
          <w:rFonts w:hint="default" w:ascii="Times New Roman" w:hAnsi="Times New Roman" w:cs="Times New Roman"/>
          <w:i w:val="0"/>
          <w:iCs w:val="0"/>
          <w:sz w:val="24"/>
          <w:szCs w:val="24"/>
        </w:rPr>
      </w:pPr>
      <w:r>
        <w:rPr>
          <w:rFonts w:hint="default" w:ascii="Times New Roman" w:hAnsi="Times New Roman" w:cs="Times New Roman"/>
          <w:i w:val="0"/>
          <w:iCs w:val="0"/>
          <w:sz w:val="24"/>
          <w:szCs w:val="24"/>
        </w:rPr>
        <w:t xml:space="preserve">Granena, G.&amp;Long, M.H. 2012. Age of onset,length of residence,language aptitude, and ultimate L2 attainment in three linguistic domains. </w:t>
      </w:r>
      <w:r>
        <w:rPr>
          <w:rFonts w:hint="default" w:ascii="Times New Roman Italic" w:hAnsi="Times New Roman Italic" w:cs="Times New Roman Italic"/>
          <w:i/>
          <w:iCs/>
          <w:sz w:val="24"/>
          <w:szCs w:val="24"/>
        </w:rPr>
        <w:t xml:space="preserve">Second Language Research. </w:t>
      </w:r>
      <w:r>
        <w:rPr>
          <w:rFonts w:hint="default" w:ascii="Times New Roman" w:hAnsi="Times New Roman" w:cs="Times New Roman"/>
          <w:i w:val="0"/>
          <w:iCs w:val="0"/>
          <w:sz w:val="24"/>
          <w:szCs w:val="24"/>
        </w:rPr>
        <w:t xml:space="preserve"> </w:t>
      </w:r>
      <w:r>
        <w:rPr>
          <w:rFonts w:hint="default" w:ascii="Times New Roman" w:hAnsi="Times New Roman" w:cs="Times New Roman"/>
          <w:b w:val="0"/>
          <w:bCs w:val="0"/>
          <w:sz w:val="24"/>
          <w:szCs w:val="24"/>
        </w:rPr>
        <w:t>[</w:t>
      </w:r>
      <w:r>
        <w:rPr>
          <w:rFonts w:hint="default" w:ascii="Times New Roman" w:hAnsi="Times New Roman" w:cs="Times New Roman"/>
          <w:i w:val="0"/>
          <w:iCs w:val="0"/>
          <w:sz w:val="24"/>
          <w:szCs w:val="24"/>
        </w:rPr>
        <w:t>E-journal].</w:t>
      </w:r>
      <w:r>
        <w:rPr>
          <w:rFonts w:hint="default" w:ascii="Times New Roman" w:hAnsi="Times New Roman" w:cs="Times New Roman"/>
          <w:b w:val="0"/>
          <w:bCs w:val="0"/>
          <w:i w:val="0"/>
          <w:iCs w:val="0"/>
          <w:sz w:val="24"/>
          <w:szCs w:val="24"/>
        </w:rPr>
        <w:t xml:space="preserve"> 29(3), pp.311-343. </w:t>
      </w:r>
      <w:r>
        <w:rPr>
          <w:rFonts w:hint="default" w:ascii="Times New Roman" w:hAnsi="Times New Roman" w:cs="Times New Roman"/>
          <w:i w:val="0"/>
          <w:iCs w:val="0"/>
          <w:sz w:val="24"/>
          <w:szCs w:val="24"/>
        </w:rPr>
        <w:t>Available at: 10.1177/0267658312461497. Accessed 20</w:t>
      </w:r>
      <w:r>
        <w:rPr>
          <w:rFonts w:hint="default" w:ascii="Times New Roman" w:hAnsi="Times New Roman" w:cs="Times New Roman"/>
          <w:i w:val="0"/>
          <w:iCs w:val="0"/>
          <w:sz w:val="24"/>
          <w:szCs w:val="24"/>
          <w:vertAlign w:val="superscript"/>
        </w:rPr>
        <w:t>th</w:t>
      </w:r>
      <w:r>
        <w:rPr>
          <w:rFonts w:hint="default" w:ascii="Times New Roman" w:hAnsi="Times New Roman" w:cs="Times New Roman"/>
          <w:i w:val="0"/>
          <w:iCs w:val="0"/>
          <w:sz w:val="24"/>
          <w:szCs w:val="24"/>
        </w:rPr>
        <w:t xml:space="preserve"> March 2021.</w:t>
      </w:r>
    </w:p>
    <w:p>
      <w:pPr>
        <w:numPr>
          <w:ilvl w:val="0"/>
          <w:numId w:val="0"/>
        </w:numPr>
        <w:spacing w:line="360" w:lineRule="auto"/>
        <w:rPr>
          <w:rFonts w:hint="default" w:ascii="Times New Roman" w:hAnsi="Times New Roman" w:cs="Times New Roman"/>
          <w:i w:val="0"/>
          <w:iCs w:val="0"/>
          <w:sz w:val="24"/>
          <w:szCs w:val="24"/>
        </w:rPr>
      </w:pPr>
    </w:p>
    <w:p>
      <w:pPr>
        <w:numPr>
          <w:ilvl w:val="0"/>
          <w:numId w:val="0"/>
        </w:numPr>
        <w:spacing w:line="360" w:lineRule="auto"/>
        <w:rPr>
          <w:rFonts w:hint="default" w:ascii="Times New Roman" w:hAnsi="Times New Roman" w:cs="Times New Roman"/>
          <w:i w:val="0"/>
          <w:iCs w:val="0"/>
          <w:sz w:val="24"/>
          <w:szCs w:val="24"/>
        </w:rPr>
      </w:pPr>
      <w:r>
        <w:rPr>
          <w:rFonts w:hint="default" w:ascii="Times New Roman" w:hAnsi="Times New Roman" w:cs="Times New Roman"/>
          <w:i w:val="0"/>
          <w:iCs w:val="0"/>
          <w:sz w:val="24"/>
          <w:szCs w:val="24"/>
        </w:rPr>
        <w:t xml:space="preserve">Granena, G. 2016. Cognitive aptitudes for implicit and explicit learning and information-processing styles: An individual differences study. </w:t>
      </w:r>
      <w:r>
        <w:rPr>
          <w:rFonts w:hint="default" w:ascii="Times New Roman" w:hAnsi="Times New Roman" w:cs="Times New Roman"/>
          <w:i/>
          <w:iCs/>
          <w:sz w:val="24"/>
          <w:szCs w:val="24"/>
        </w:rPr>
        <w:t>Applied Psycholinguistics</w:t>
      </w:r>
      <w:r>
        <w:rPr>
          <w:rFonts w:hint="default" w:ascii="Times New Roman Italic" w:hAnsi="Times New Roman Italic" w:cs="Times New Roman Italic"/>
          <w:i/>
          <w:iCs/>
          <w:sz w:val="24"/>
          <w:szCs w:val="24"/>
        </w:rPr>
        <w:t xml:space="preserve">. </w:t>
      </w:r>
      <w:r>
        <w:rPr>
          <w:rFonts w:hint="default" w:ascii="Times New Roman" w:hAnsi="Times New Roman" w:cs="Times New Roman"/>
          <w:b w:val="0"/>
          <w:bCs w:val="0"/>
          <w:sz w:val="24"/>
          <w:szCs w:val="24"/>
        </w:rPr>
        <w:t>[</w:t>
      </w:r>
      <w:r>
        <w:rPr>
          <w:rFonts w:hint="default" w:ascii="Times New Roman" w:hAnsi="Times New Roman" w:cs="Times New Roman"/>
          <w:i w:val="0"/>
          <w:iCs w:val="0"/>
          <w:sz w:val="24"/>
          <w:szCs w:val="24"/>
        </w:rPr>
        <w:t>E-journal].</w:t>
      </w:r>
      <w:r>
        <w:rPr>
          <w:rFonts w:hint="default" w:ascii="Times New Roman" w:hAnsi="Times New Roman" w:cs="Times New Roman"/>
          <w:b w:val="0"/>
          <w:bCs w:val="0"/>
          <w:i w:val="0"/>
          <w:iCs w:val="0"/>
          <w:sz w:val="24"/>
          <w:szCs w:val="24"/>
        </w:rPr>
        <w:t xml:space="preserve"> 37(3), pp.577-600. </w:t>
      </w:r>
      <w:r>
        <w:rPr>
          <w:rFonts w:hint="default" w:ascii="Times New Roman" w:hAnsi="Times New Roman" w:cs="Times New Roman"/>
          <w:i w:val="0"/>
          <w:iCs w:val="0"/>
          <w:sz w:val="24"/>
          <w:szCs w:val="24"/>
        </w:rPr>
        <w:t>Available at: 10.1017/S0142716415000120. Accessed 20</w:t>
      </w:r>
      <w:r>
        <w:rPr>
          <w:rFonts w:hint="default" w:ascii="Times New Roman" w:hAnsi="Times New Roman" w:cs="Times New Roman"/>
          <w:i w:val="0"/>
          <w:iCs w:val="0"/>
          <w:sz w:val="24"/>
          <w:szCs w:val="24"/>
          <w:vertAlign w:val="superscript"/>
        </w:rPr>
        <w:t>th</w:t>
      </w:r>
      <w:r>
        <w:rPr>
          <w:rFonts w:hint="default" w:ascii="Times New Roman" w:hAnsi="Times New Roman" w:cs="Times New Roman"/>
          <w:i w:val="0"/>
          <w:iCs w:val="0"/>
          <w:sz w:val="24"/>
          <w:szCs w:val="24"/>
        </w:rPr>
        <w:t xml:space="preserve"> March 2021.</w:t>
      </w:r>
    </w:p>
    <w:p>
      <w:pPr>
        <w:numPr>
          <w:ilvl w:val="0"/>
          <w:numId w:val="0"/>
        </w:numPr>
        <w:spacing w:line="360" w:lineRule="auto"/>
        <w:rPr>
          <w:rFonts w:hint="default" w:ascii="Times New Roman" w:hAnsi="Times New Roman" w:cs="Times New Roman"/>
          <w:i w:val="0"/>
          <w:iCs w:val="0"/>
          <w:sz w:val="24"/>
          <w:szCs w:val="24"/>
        </w:rPr>
      </w:pPr>
    </w:p>
    <w:p>
      <w:pPr>
        <w:numPr>
          <w:ilvl w:val="0"/>
          <w:numId w:val="0"/>
        </w:numPr>
        <w:spacing w:line="360" w:lineRule="auto"/>
        <w:rPr>
          <w:rFonts w:hint="default" w:ascii="Times New Roman" w:hAnsi="Times New Roman" w:cs="Times New Roman"/>
          <w:i w:val="0"/>
          <w:iCs w:val="0"/>
          <w:sz w:val="24"/>
          <w:szCs w:val="24"/>
        </w:rPr>
      </w:pPr>
      <w:r>
        <w:rPr>
          <w:rFonts w:hint="default" w:ascii="Times New Roman" w:hAnsi="Times New Roman" w:cs="Times New Roman"/>
          <w:i w:val="0"/>
          <w:iCs w:val="0"/>
          <w:sz w:val="24"/>
          <w:szCs w:val="24"/>
        </w:rPr>
        <w:t xml:space="preserve">Green, D. 2017. The interactional challenge: L2 learning and use in the third age. In: D. Gabrys-Barker(Ed.). </w:t>
      </w:r>
      <w:r>
        <w:rPr>
          <w:rFonts w:hint="default" w:ascii="Times New Roman Italic" w:hAnsi="Times New Roman Italic" w:cs="Times New Roman Italic"/>
          <w:i/>
          <w:iCs/>
          <w:sz w:val="24"/>
          <w:szCs w:val="24"/>
        </w:rPr>
        <w:t>Third age learners of foreign languages.</w:t>
      </w:r>
      <w:r>
        <w:rPr>
          <w:rFonts w:hint="default" w:ascii="Times New Roman" w:hAnsi="Times New Roman" w:cs="Times New Roman"/>
          <w:i w:val="0"/>
          <w:iCs w:val="0"/>
          <w:sz w:val="24"/>
          <w:szCs w:val="24"/>
        </w:rPr>
        <w:t xml:space="preserve"> Bristol: Multilingual Matters. Pp.31-47.</w:t>
      </w:r>
    </w:p>
    <w:p>
      <w:pPr>
        <w:numPr>
          <w:ilvl w:val="0"/>
          <w:numId w:val="0"/>
        </w:numPr>
        <w:spacing w:line="360" w:lineRule="auto"/>
        <w:rPr>
          <w:rFonts w:hint="default" w:ascii="Times New Roman" w:hAnsi="Times New Roman" w:cs="Times New Roman"/>
          <w:i w:val="0"/>
          <w:iCs w:val="0"/>
          <w:sz w:val="24"/>
          <w:szCs w:val="24"/>
        </w:rPr>
      </w:pPr>
    </w:p>
    <w:p>
      <w:pPr>
        <w:numPr>
          <w:ilvl w:val="0"/>
          <w:numId w:val="0"/>
        </w:numPr>
        <w:spacing w:line="360" w:lineRule="auto"/>
        <w:rPr>
          <w:rFonts w:hint="default" w:ascii="Times New Roman" w:hAnsi="Times New Roman" w:cs="Times New Roman"/>
          <w:i w:val="0"/>
          <w:iCs w:val="0"/>
          <w:sz w:val="24"/>
          <w:szCs w:val="24"/>
        </w:rPr>
      </w:pPr>
      <w:r>
        <w:rPr>
          <w:rFonts w:hint="default" w:ascii="Times New Roman" w:hAnsi="Times New Roman" w:cs="Times New Roman"/>
          <w:i w:val="0"/>
          <w:iCs w:val="0"/>
          <w:sz w:val="24"/>
          <w:szCs w:val="24"/>
        </w:rPr>
        <w:t xml:space="preserve">Hyltenstam, K. 1992. Non-native features of near-native speakers: On the ultimate attainment of childhood L2 learners. </w:t>
      </w:r>
      <w:r>
        <w:rPr>
          <w:rFonts w:hint="default" w:ascii="Times New Roman Italic" w:hAnsi="Times New Roman Italic" w:cs="Times New Roman Italic"/>
          <w:i/>
          <w:iCs/>
          <w:sz w:val="24"/>
          <w:szCs w:val="24"/>
        </w:rPr>
        <w:t>Advances in Psychology.</w:t>
      </w:r>
      <w:r>
        <w:rPr>
          <w:rFonts w:hint="default" w:ascii="Times New Roman" w:hAnsi="Times New Roman" w:cs="Times New Roman"/>
          <w:i w:val="0"/>
          <w:iCs w:val="0"/>
          <w:sz w:val="24"/>
          <w:szCs w:val="24"/>
        </w:rPr>
        <w:t xml:space="preserve"> [E-journal]. 83, pp. 351-368 Available at: </w:t>
      </w:r>
      <w:r>
        <w:rPr>
          <w:rFonts w:hint="default" w:ascii="Times New Roman" w:hAnsi="Times New Roman" w:cs="Times New Roman"/>
          <w:i w:val="0"/>
          <w:iCs w:val="0"/>
          <w:sz w:val="24"/>
          <w:szCs w:val="24"/>
        </w:rPr>
        <w:fldChar w:fldCharType="begin"/>
      </w:r>
      <w:r>
        <w:rPr>
          <w:rFonts w:hint="default" w:ascii="Times New Roman" w:hAnsi="Times New Roman" w:cs="Times New Roman"/>
          <w:i w:val="0"/>
          <w:iCs w:val="0"/>
          <w:sz w:val="24"/>
          <w:szCs w:val="24"/>
        </w:rPr>
        <w:instrText xml:space="preserve"> HYPERLINK "https://doi-org.ezproxy.uwtsd.ac.uk/10.1111/j.1467-9922.2004.00247.x." </w:instrText>
      </w:r>
      <w:r>
        <w:rPr>
          <w:rFonts w:hint="default" w:ascii="Times New Roman" w:hAnsi="Times New Roman" w:cs="Times New Roman"/>
          <w:i w:val="0"/>
          <w:iCs w:val="0"/>
          <w:sz w:val="24"/>
          <w:szCs w:val="24"/>
        </w:rPr>
        <w:fldChar w:fldCharType="separate"/>
      </w:r>
      <w:r>
        <w:rPr>
          <w:rStyle w:val="3"/>
          <w:rFonts w:hint="default" w:ascii="Times New Roman" w:hAnsi="Times New Roman" w:cs="Times New Roman"/>
          <w:i w:val="0"/>
          <w:iCs w:val="0"/>
          <w:sz w:val="24"/>
          <w:szCs w:val="24"/>
        </w:rPr>
        <w:t>https://doi.org/10.1016/S0166-4115(08)61505-8.</w:t>
      </w:r>
      <w:r>
        <w:rPr>
          <w:rFonts w:hint="default" w:ascii="Times New Roman" w:hAnsi="Times New Roman" w:cs="Times New Roman"/>
          <w:i w:val="0"/>
          <w:iCs w:val="0"/>
          <w:sz w:val="24"/>
          <w:szCs w:val="24"/>
        </w:rPr>
        <w:fldChar w:fldCharType="end"/>
      </w:r>
      <w:r>
        <w:rPr>
          <w:rFonts w:hint="default" w:ascii="Times New Roman" w:hAnsi="Times New Roman" w:cs="Times New Roman"/>
          <w:i w:val="0"/>
          <w:iCs w:val="0"/>
          <w:sz w:val="24"/>
          <w:szCs w:val="24"/>
        </w:rPr>
        <w:t xml:space="preserve"> Accessed 13</w:t>
      </w:r>
      <w:r>
        <w:rPr>
          <w:rFonts w:hint="default" w:ascii="Times New Roman" w:hAnsi="Times New Roman" w:cs="Times New Roman"/>
          <w:i w:val="0"/>
          <w:iCs w:val="0"/>
          <w:sz w:val="24"/>
          <w:szCs w:val="24"/>
          <w:vertAlign w:val="superscript"/>
        </w:rPr>
        <w:t>th</w:t>
      </w:r>
      <w:r>
        <w:rPr>
          <w:rFonts w:hint="default" w:ascii="Times New Roman" w:hAnsi="Times New Roman" w:cs="Times New Roman"/>
          <w:i w:val="0"/>
          <w:iCs w:val="0"/>
          <w:sz w:val="24"/>
          <w:szCs w:val="24"/>
        </w:rPr>
        <w:t xml:space="preserve"> March 2021.</w:t>
      </w:r>
    </w:p>
    <w:p>
      <w:pPr>
        <w:numPr>
          <w:ilvl w:val="0"/>
          <w:numId w:val="0"/>
        </w:numPr>
        <w:spacing w:line="360" w:lineRule="auto"/>
        <w:rPr>
          <w:rFonts w:hint="default" w:ascii="Times New Roman" w:hAnsi="Times New Roman" w:cs="Times New Roman"/>
          <w:i w:val="0"/>
          <w:iCs w:val="0"/>
          <w:sz w:val="24"/>
          <w:szCs w:val="24"/>
        </w:rPr>
      </w:pPr>
    </w:p>
    <w:p>
      <w:pPr>
        <w:numPr>
          <w:ilvl w:val="0"/>
          <w:numId w:val="0"/>
        </w:numPr>
        <w:spacing w:line="360" w:lineRule="auto"/>
        <w:rPr>
          <w:rFonts w:hint="default" w:ascii="Times New Roman" w:hAnsi="Times New Roman" w:cs="Times New Roman"/>
          <w:i w:val="0"/>
          <w:iCs w:val="0"/>
          <w:sz w:val="24"/>
          <w:szCs w:val="24"/>
        </w:rPr>
      </w:pPr>
      <w:r>
        <w:rPr>
          <w:rFonts w:hint="default" w:ascii="Times New Roman" w:hAnsi="Times New Roman" w:cs="Times New Roman"/>
          <w:i w:val="0"/>
          <w:iCs w:val="0"/>
          <w:sz w:val="24"/>
          <w:szCs w:val="24"/>
        </w:rPr>
        <w:t xml:space="preserve">Johnson, J.S. &amp; Newport, E.L. 1989. Critical period effects in second language learning:The influence of maturational state on the acquisition of English as a second language. </w:t>
      </w:r>
      <w:r>
        <w:rPr>
          <w:rFonts w:hint="default" w:ascii="Times New Roman Italic" w:hAnsi="Times New Roman Italic" w:cs="Times New Roman Italic"/>
          <w:i/>
          <w:iCs/>
          <w:sz w:val="24"/>
          <w:szCs w:val="24"/>
        </w:rPr>
        <w:t>Cognitive Psychology.</w:t>
      </w:r>
      <w:r>
        <w:rPr>
          <w:rFonts w:hint="default" w:ascii="Times New Roman" w:hAnsi="Times New Roman" w:cs="Times New Roman"/>
          <w:i w:val="0"/>
          <w:iCs w:val="0"/>
          <w:sz w:val="24"/>
          <w:szCs w:val="24"/>
        </w:rPr>
        <w:t xml:space="preserve"> [E-journal].</w:t>
      </w:r>
      <w:r>
        <w:rPr>
          <w:rFonts w:hint="default" w:ascii="Times New Roman" w:hAnsi="Times New Roman" w:cs="Times New Roman"/>
          <w:b w:val="0"/>
          <w:bCs w:val="0"/>
          <w:i w:val="0"/>
          <w:iCs w:val="0"/>
          <w:sz w:val="24"/>
          <w:szCs w:val="24"/>
        </w:rPr>
        <w:t xml:space="preserve"> 21(1), pp.60-99. </w:t>
      </w:r>
      <w:r>
        <w:rPr>
          <w:rFonts w:hint="default" w:ascii="Times New Roman" w:hAnsi="Times New Roman" w:cs="Times New Roman"/>
          <w:i w:val="0"/>
          <w:iCs w:val="0"/>
          <w:sz w:val="24"/>
          <w:szCs w:val="24"/>
        </w:rPr>
        <w:t xml:space="preserve">Available at: </w:t>
      </w:r>
      <w:r>
        <w:rPr>
          <w:rFonts w:hint="default" w:ascii="Times New Roman" w:hAnsi="Times New Roman" w:cs="Times New Roman"/>
          <w:i w:val="0"/>
          <w:iCs w:val="0"/>
          <w:sz w:val="24"/>
          <w:szCs w:val="24"/>
        </w:rPr>
        <w:fldChar w:fldCharType="begin"/>
      </w:r>
      <w:r>
        <w:rPr>
          <w:rFonts w:hint="default" w:ascii="Times New Roman" w:hAnsi="Times New Roman" w:cs="Times New Roman"/>
          <w:i w:val="0"/>
          <w:iCs w:val="0"/>
          <w:sz w:val="24"/>
          <w:szCs w:val="24"/>
        </w:rPr>
        <w:instrText xml:space="preserve"> HYPERLINK "https://doi-org.ezproxy.uwtsd.ac.uk/10.1111/j.1467-9922.2004.00247.x." </w:instrText>
      </w:r>
      <w:r>
        <w:rPr>
          <w:rFonts w:hint="default" w:ascii="Times New Roman" w:hAnsi="Times New Roman" w:cs="Times New Roman"/>
          <w:i w:val="0"/>
          <w:iCs w:val="0"/>
          <w:sz w:val="24"/>
          <w:szCs w:val="24"/>
        </w:rPr>
        <w:fldChar w:fldCharType="separate"/>
      </w:r>
      <w:r>
        <w:rPr>
          <w:rStyle w:val="3"/>
          <w:rFonts w:hint="default" w:ascii="Times New Roman" w:hAnsi="Times New Roman" w:cs="Times New Roman"/>
          <w:i w:val="0"/>
          <w:iCs w:val="0"/>
          <w:sz w:val="24"/>
          <w:szCs w:val="24"/>
        </w:rPr>
        <w:t>https://doi.org/10.1016/0010-0285(89)900003-0.</w:t>
      </w:r>
      <w:r>
        <w:rPr>
          <w:rFonts w:hint="default" w:ascii="Times New Roman" w:hAnsi="Times New Roman" w:cs="Times New Roman"/>
          <w:i w:val="0"/>
          <w:iCs w:val="0"/>
          <w:sz w:val="24"/>
          <w:szCs w:val="24"/>
        </w:rPr>
        <w:fldChar w:fldCharType="end"/>
      </w:r>
      <w:r>
        <w:rPr>
          <w:rFonts w:hint="default" w:ascii="Times New Roman" w:hAnsi="Times New Roman" w:cs="Times New Roman"/>
          <w:i w:val="0"/>
          <w:iCs w:val="0"/>
          <w:sz w:val="24"/>
          <w:szCs w:val="24"/>
        </w:rPr>
        <w:t xml:space="preserve"> Accessed 31</w:t>
      </w:r>
      <w:r>
        <w:rPr>
          <w:rFonts w:hint="default" w:ascii="Times New Roman" w:hAnsi="Times New Roman" w:cs="Times New Roman"/>
          <w:i w:val="0"/>
          <w:iCs w:val="0"/>
          <w:sz w:val="24"/>
          <w:szCs w:val="24"/>
          <w:vertAlign w:val="superscript"/>
        </w:rPr>
        <w:t>st</w:t>
      </w:r>
      <w:r>
        <w:rPr>
          <w:rFonts w:hint="default" w:ascii="Times New Roman" w:hAnsi="Times New Roman" w:cs="Times New Roman"/>
          <w:i w:val="0"/>
          <w:iCs w:val="0"/>
          <w:sz w:val="24"/>
          <w:szCs w:val="24"/>
        </w:rPr>
        <w:t xml:space="preserve"> March 2021.</w:t>
      </w:r>
    </w:p>
    <w:p>
      <w:pPr>
        <w:numPr>
          <w:ilvl w:val="0"/>
          <w:numId w:val="0"/>
        </w:numPr>
        <w:spacing w:line="360" w:lineRule="auto"/>
        <w:rPr>
          <w:rFonts w:hint="default" w:ascii="Times New Roman" w:hAnsi="Times New Roman" w:cs="Times New Roman"/>
          <w:i w:val="0"/>
          <w:iCs w:val="0"/>
          <w:sz w:val="24"/>
          <w:szCs w:val="24"/>
        </w:rPr>
      </w:pPr>
    </w:p>
    <w:p>
      <w:pPr>
        <w:numPr>
          <w:ilvl w:val="0"/>
          <w:numId w:val="0"/>
        </w:numPr>
        <w:spacing w:line="360" w:lineRule="auto"/>
        <w:rPr>
          <w:rFonts w:hint="default" w:ascii="Times New Roman" w:hAnsi="Times New Roman" w:cs="Times New Roman"/>
          <w:i w:val="0"/>
          <w:iCs w:val="0"/>
          <w:sz w:val="24"/>
          <w:szCs w:val="24"/>
        </w:rPr>
      </w:pPr>
      <w:r>
        <w:rPr>
          <w:rFonts w:hint="default" w:ascii="Times New Roman" w:hAnsi="Times New Roman" w:cs="Times New Roman"/>
          <w:i w:val="0"/>
          <w:iCs w:val="0"/>
          <w:sz w:val="24"/>
          <w:szCs w:val="24"/>
        </w:rPr>
        <w:t>Kim, J.H. 2015. The role of models and error correction in L2 young learners’ noticing and output.</w:t>
      </w:r>
      <w:r>
        <w:rPr>
          <w:rFonts w:hint="default" w:ascii="Times New Roman Italic" w:hAnsi="Times New Roman Italic" w:cs="Times New Roman Italic"/>
          <w:i/>
          <w:iCs/>
          <w:sz w:val="24"/>
          <w:szCs w:val="24"/>
        </w:rPr>
        <w:t xml:space="preserve"> English Teaching.</w:t>
      </w:r>
      <w:r>
        <w:rPr>
          <w:rFonts w:hint="default" w:ascii="Times New Roman" w:hAnsi="Times New Roman" w:cs="Times New Roman"/>
          <w:i w:val="0"/>
          <w:iCs w:val="0"/>
          <w:sz w:val="24"/>
          <w:szCs w:val="24"/>
        </w:rPr>
        <w:t xml:space="preserve"> </w:t>
      </w:r>
      <w:r>
        <w:rPr>
          <w:rFonts w:hint="default" w:ascii="Times New Roman Italic" w:hAnsi="Times New Roman Italic" w:cs="Times New Roman Italic"/>
          <w:b w:val="0"/>
          <w:bCs w:val="0"/>
          <w:i/>
          <w:iCs/>
          <w:sz w:val="24"/>
          <w:szCs w:val="24"/>
        </w:rPr>
        <w:t xml:space="preserve"> </w:t>
      </w:r>
      <w:r>
        <w:rPr>
          <w:rFonts w:hint="default" w:ascii="Times New Roman" w:hAnsi="Times New Roman" w:cs="Times New Roman"/>
          <w:i w:val="0"/>
          <w:iCs w:val="0"/>
          <w:sz w:val="24"/>
          <w:szCs w:val="24"/>
        </w:rPr>
        <w:t>[E-journal].</w:t>
      </w:r>
      <w:r>
        <w:rPr>
          <w:rFonts w:hint="default" w:ascii="Times New Roman" w:hAnsi="Times New Roman" w:cs="Times New Roman"/>
          <w:b w:val="0"/>
          <w:bCs w:val="0"/>
          <w:i w:val="0"/>
          <w:iCs w:val="0"/>
          <w:sz w:val="24"/>
          <w:szCs w:val="24"/>
        </w:rPr>
        <w:t xml:space="preserve"> 70(2), pp. 3-26. </w:t>
      </w:r>
      <w:r>
        <w:rPr>
          <w:rFonts w:hint="default" w:ascii="Times New Roman" w:hAnsi="Times New Roman" w:cs="Times New Roman"/>
          <w:i w:val="0"/>
          <w:iCs w:val="0"/>
          <w:sz w:val="24"/>
          <w:szCs w:val="24"/>
        </w:rPr>
        <w:t>Available at: 10.15858/engtea.70.2.201506.3. Accessed 27</w:t>
      </w:r>
      <w:r>
        <w:rPr>
          <w:rFonts w:hint="default" w:ascii="Times New Roman" w:hAnsi="Times New Roman" w:cs="Times New Roman"/>
          <w:i w:val="0"/>
          <w:iCs w:val="0"/>
          <w:sz w:val="24"/>
          <w:szCs w:val="24"/>
          <w:vertAlign w:val="superscript"/>
        </w:rPr>
        <w:t>th</w:t>
      </w:r>
      <w:r>
        <w:rPr>
          <w:rFonts w:hint="default" w:ascii="Times New Roman" w:hAnsi="Times New Roman" w:cs="Times New Roman"/>
          <w:i w:val="0"/>
          <w:iCs w:val="0"/>
          <w:sz w:val="24"/>
          <w:szCs w:val="24"/>
        </w:rPr>
        <w:t xml:space="preserve"> March 2021.</w:t>
      </w:r>
    </w:p>
    <w:p>
      <w:pPr>
        <w:numPr>
          <w:ilvl w:val="0"/>
          <w:numId w:val="0"/>
        </w:numPr>
        <w:spacing w:line="360" w:lineRule="auto"/>
        <w:rPr>
          <w:rFonts w:hint="default" w:ascii="Times New Roman" w:hAnsi="Times New Roman" w:cs="Times New Roman"/>
          <w:i w:val="0"/>
          <w:iCs w:val="0"/>
          <w:sz w:val="24"/>
          <w:szCs w:val="24"/>
        </w:rPr>
      </w:pPr>
    </w:p>
    <w:p>
      <w:pPr>
        <w:numPr>
          <w:ilvl w:val="0"/>
          <w:numId w:val="0"/>
        </w:numPr>
        <w:spacing w:line="360" w:lineRule="auto"/>
        <w:rPr>
          <w:rFonts w:hint="default" w:ascii="Times New Roman" w:hAnsi="Times New Roman" w:cs="Times New Roman"/>
          <w:i w:val="0"/>
          <w:iCs w:val="0"/>
          <w:sz w:val="24"/>
          <w:szCs w:val="24"/>
        </w:rPr>
      </w:pPr>
      <w:r>
        <w:rPr>
          <w:rFonts w:hint="default" w:ascii="Times New Roman" w:hAnsi="Times New Roman" w:cs="Times New Roman"/>
          <w:i w:val="0"/>
          <w:iCs w:val="0"/>
          <w:sz w:val="24"/>
          <w:szCs w:val="24"/>
        </w:rPr>
        <w:t xml:space="preserve">Kinsella, C. &amp; Singleton, D. 2014. Much more than age. </w:t>
      </w:r>
      <w:r>
        <w:rPr>
          <w:rFonts w:hint="default" w:ascii="Times New Roman Italic" w:hAnsi="Times New Roman Italic" w:cs="Times New Roman Italic"/>
          <w:i/>
          <w:iCs/>
          <w:sz w:val="24"/>
          <w:szCs w:val="24"/>
        </w:rPr>
        <w:t>Applied Linguistics.</w:t>
      </w:r>
      <w:r>
        <w:rPr>
          <w:rFonts w:hint="default" w:ascii="Times New Roman" w:hAnsi="Times New Roman" w:cs="Times New Roman"/>
          <w:i w:val="0"/>
          <w:iCs w:val="0"/>
          <w:sz w:val="24"/>
          <w:szCs w:val="24"/>
        </w:rPr>
        <w:t xml:space="preserve"> [E-journal].</w:t>
      </w:r>
      <w:r>
        <w:rPr>
          <w:rFonts w:hint="default" w:ascii="Times New Roman" w:hAnsi="Times New Roman" w:cs="Times New Roman"/>
          <w:b w:val="0"/>
          <w:bCs w:val="0"/>
          <w:i w:val="0"/>
          <w:iCs w:val="0"/>
          <w:sz w:val="24"/>
          <w:szCs w:val="24"/>
        </w:rPr>
        <w:t xml:space="preserve"> 35(4), pp.441-462. </w:t>
      </w:r>
      <w:r>
        <w:rPr>
          <w:rFonts w:hint="default" w:ascii="Times New Roman" w:hAnsi="Times New Roman" w:cs="Times New Roman"/>
          <w:i w:val="0"/>
          <w:iCs w:val="0"/>
          <w:sz w:val="24"/>
          <w:szCs w:val="24"/>
        </w:rPr>
        <w:t xml:space="preserve">Available at: </w:t>
      </w:r>
      <w:r>
        <w:rPr>
          <w:rFonts w:hint="default" w:ascii="Times New Roman" w:hAnsi="Times New Roman" w:cs="Times New Roman"/>
          <w:i w:val="0"/>
          <w:iCs w:val="0"/>
          <w:sz w:val="24"/>
          <w:szCs w:val="24"/>
        </w:rPr>
        <w:fldChar w:fldCharType="begin"/>
      </w:r>
      <w:r>
        <w:rPr>
          <w:rFonts w:hint="default" w:ascii="Times New Roman" w:hAnsi="Times New Roman" w:cs="Times New Roman"/>
          <w:i w:val="0"/>
          <w:iCs w:val="0"/>
          <w:sz w:val="24"/>
          <w:szCs w:val="24"/>
        </w:rPr>
        <w:instrText xml:space="preserve"> HYPERLINK "https://doi-org.ezproxy.uwtsd.ac.uk/10.1111/j.1467-9922.2004.00247.x." </w:instrText>
      </w:r>
      <w:r>
        <w:rPr>
          <w:rFonts w:hint="default" w:ascii="Times New Roman" w:hAnsi="Times New Roman" w:cs="Times New Roman"/>
          <w:i w:val="0"/>
          <w:iCs w:val="0"/>
          <w:sz w:val="24"/>
          <w:szCs w:val="24"/>
        </w:rPr>
        <w:fldChar w:fldCharType="separate"/>
      </w:r>
      <w:r>
        <w:rPr>
          <w:rStyle w:val="3"/>
          <w:rFonts w:hint="default" w:ascii="Times New Roman" w:hAnsi="Times New Roman" w:cs="Times New Roman"/>
          <w:i w:val="0"/>
          <w:iCs w:val="0"/>
          <w:sz w:val="24"/>
          <w:szCs w:val="24"/>
        </w:rPr>
        <w:t>https://doi.org/10.1093/applin/amu032.</w:t>
      </w:r>
      <w:r>
        <w:rPr>
          <w:rFonts w:hint="default" w:ascii="Times New Roman" w:hAnsi="Times New Roman" w:cs="Times New Roman"/>
          <w:i w:val="0"/>
          <w:iCs w:val="0"/>
          <w:sz w:val="24"/>
          <w:szCs w:val="24"/>
        </w:rPr>
        <w:fldChar w:fldCharType="end"/>
      </w:r>
      <w:r>
        <w:rPr>
          <w:rFonts w:hint="default" w:ascii="Times New Roman" w:hAnsi="Times New Roman" w:cs="Times New Roman"/>
          <w:i w:val="0"/>
          <w:iCs w:val="0"/>
          <w:sz w:val="24"/>
          <w:szCs w:val="24"/>
        </w:rPr>
        <w:t xml:space="preserve"> Accessed 31</w:t>
      </w:r>
      <w:r>
        <w:rPr>
          <w:rFonts w:hint="default" w:ascii="Times New Roman" w:hAnsi="Times New Roman" w:cs="Times New Roman"/>
          <w:i w:val="0"/>
          <w:iCs w:val="0"/>
          <w:sz w:val="24"/>
          <w:szCs w:val="24"/>
          <w:vertAlign w:val="superscript"/>
        </w:rPr>
        <w:t>st</w:t>
      </w:r>
      <w:r>
        <w:rPr>
          <w:rFonts w:hint="default" w:ascii="Times New Roman" w:hAnsi="Times New Roman" w:cs="Times New Roman"/>
          <w:i w:val="0"/>
          <w:iCs w:val="0"/>
          <w:sz w:val="24"/>
          <w:szCs w:val="24"/>
        </w:rPr>
        <w:t xml:space="preserve"> March 2021.</w:t>
      </w:r>
    </w:p>
    <w:p>
      <w:pPr>
        <w:numPr>
          <w:ilvl w:val="0"/>
          <w:numId w:val="0"/>
        </w:numPr>
        <w:spacing w:line="360" w:lineRule="auto"/>
        <w:rPr>
          <w:rFonts w:hint="default" w:ascii="Times New Roman" w:hAnsi="Times New Roman" w:cs="Times New Roman"/>
          <w:i w:val="0"/>
          <w:iCs w:val="0"/>
          <w:sz w:val="24"/>
          <w:szCs w:val="24"/>
        </w:rPr>
      </w:pPr>
    </w:p>
    <w:p>
      <w:pPr>
        <w:numPr>
          <w:ilvl w:val="0"/>
          <w:numId w:val="0"/>
        </w:numPr>
        <w:spacing w:line="360" w:lineRule="auto"/>
        <w:rPr>
          <w:rFonts w:hint="default" w:ascii="Times New Roman" w:hAnsi="Times New Roman" w:cs="Times New Roman"/>
          <w:i w:val="0"/>
          <w:iCs w:val="0"/>
          <w:sz w:val="24"/>
          <w:szCs w:val="24"/>
        </w:rPr>
      </w:pPr>
      <w:r>
        <w:rPr>
          <w:rFonts w:hint="default" w:ascii="Times New Roman Regular" w:hAnsi="Times New Roman Regular" w:cs="Times New Roman Regular"/>
          <w:sz w:val="24"/>
          <w:szCs w:val="24"/>
        </w:rPr>
        <w:t>Lenneberg, E.H.</w:t>
      </w:r>
      <w:r>
        <w:rPr>
          <w:rFonts w:hint="default" w:ascii="Times New Roman" w:hAnsi="Times New Roman" w:cs="Times New Roman"/>
          <w:i w:val="0"/>
          <w:iCs w:val="0"/>
          <w:sz w:val="24"/>
          <w:szCs w:val="24"/>
        </w:rPr>
        <w:t xml:space="preserve"> 1967. </w:t>
      </w:r>
      <w:r>
        <w:rPr>
          <w:rFonts w:hint="default" w:ascii="Times New Roman Italic" w:hAnsi="Times New Roman Italic" w:cs="Times New Roman Italic"/>
          <w:i/>
          <w:iCs/>
          <w:sz w:val="24"/>
          <w:szCs w:val="24"/>
        </w:rPr>
        <w:t>Biological foundations of language.</w:t>
      </w:r>
      <w:r>
        <w:rPr>
          <w:rFonts w:hint="default" w:ascii="Times New Roman" w:hAnsi="Times New Roman" w:cs="Times New Roman"/>
          <w:i w:val="0"/>
          <w:iCs w:val="0"/>
          <w:sz w:val="24"/>
          <w:szCs w:val="24"/>
        </w:rPr>
        <w:t xml:space="preserve"> New York, NY:Wiley.</w:t>
      </w:r>
    </w:p>
    <w:p>
      <w:pPr>
        <w:numPr>
          <w:ilvl w:val="0"/>
          <w:numId w:val="0"/>
        </w:numPr>
        <w:spacing w:line="360" w:lineRule="auto"/>
        <w:rPr>
          <w:rFonts w:hint="default" w:ascii="Times New Roman" w:hAnsi="Times New Roman" w:cs="Times New Roman"/>
          <w:i w:val="0"/>
          <w:iCs w:val="0"/>
          <w:sz w:val="24"/>
          <w:szCs w:val="24"/>
        </w:rPr>
      </w:pPr>
    </w:p>
    <w:p>
      <w:pPr>
        <w:numPr>
          <w:ilvl w:val="0"/>
          <w:numId w:val="0"/>
        </w:numPr>
        <w:spacing w:line="360" w:lineRule="auto"/>
        <w:rPr>
          <w:rFonts w:hint="default" w:ascii="Times New Roman" w:hAnsi="Times New Roman" w:cs="Times New Roman"/>
          <w:i w:val="0"/>
          <w:iCs w:val="0"/>
          <w:sz w:val="24"/>
          <w:szCs w:val="24"/>
        </w:rPr>
      </w:pPr>
      <w:r>
        <w:rPr>
          <w:rFonts w:hint="default" w:ascii="Times New Roman" w:hAnsi="Times New Roman" w:cs="Times New Roman"/>
          <w:i w:val="0"/>
          <w:iCs w:val="0"/>
          <w:sz w:val="24"/>
          <w:szCs w:val="24"/>
        </w:rPr>
        <w:t>Long, M.H. 1990. Maturational constraints on language development. Studies in Second Language Acquisition. [E-journal].</w:t>
      </w:r>
      <w:r>
        <w:rPr>
          <w:rFonts w:hint="default" w:ascii="Times New Roman" w:hAnsi="Times New Roman" w:cs="Times New Roman"/>
          <w:b w:val="0"/>
          <w:bCs w:val="0"/>
          <w:i w:val="0"/>
          <w:iCs w:val="0"/>
          <w:sz w:val="24"/>
          <w:szCs w:val="24"/>
        </w:rPr>
        <w:t xml:space="preserve"> 12(3), pp. 251-285. </w:t>
      </w:r>
      <w:r>
        <w:rPr>
          <w:rFonts w:hint="default" w:ascii="Times New Roman" w:hAnsi="Times New Roman" w:cs="Times New Roman"/>
          <w:i w:val="0"/>
          <w:iCs w:val="0"/>
          <w:sz w:val="24"/>
          <w:szCs w:val="24"/>
        </w:rPr>
        <w:t xml:space="preserve">Available at: </w:t>
      </w:r>
      <w:r>
        <w:rPr>
          <w:rFonts w:hint="default" w:ascii="Times New Roman" w:hAnsi="Times New Roman" w:cs="Times New Roman"/>
          <w:i w:val="0"/>
          <w:iCs w:val="0"/>
          <w:sz w:val="24"/>
          <w:szCs w:val="24"/>
        </w:rPr>
        <w:fldChar w:fldCharType="begin"/>
      </w:r>
      <w:r>
        <w:rPr>
          <w:rFonts w:hint="default" w:ascii="Times New Roman" w:hAnsi="Times New Roman" w:cs="Times New Roman"/>
          <w:i w:val="0"/>
          <w:iCs w:val="0"/>
          <w:sz w:val="24"/>
          <w:szCs w:val="24"/>
        </w:rPr>
        <w:instrText xml:space="preserve"> HYPERLINK "https://doi-org.ezproxy.uwtsd.ac.uk/10.1111/j.1467-9922.2004.00247.x." </w:instrText>
      </w:r>
      <w:r>
        <w:rPr>
          <w:rFonts w:hint="default" w:ascii="Times New Roman" w:hAnsi="Times New Roman" w:cs="Times New Roman"/>
          <w:i w:val="0"/>
          <w:iCs w:val="0"/>
          <w:sz w:val="24"/>
          <w:szCs w:val="24"/>
        </w:rPr>
        <w:fldChar w:fldCharType="separate"/>
      </w:r>
      <w:r>
        <w:rPr>
          <w:rStyle w:val="3"/>
          <w:rFonts w:hint="default" w:ascii="Times New Roman" w:hAnsi="Times New Roman" w:cs="Times New Roman"/>
          <w:i w:val="0"/>
          <w:iCs w:val="0"/>
          <w:sz w:val="24"/>
          <w:szCs w:val="24"/>
        </w:rPr>
        <w:t>https://doi-org/10.1017/S0272263100009165.</w:t>
      </w:r>
      <w:r>
        <w:rPr>
          <w:rFonts w:hint="default" w:ascii="Times New Roman" w:hAnsi="Times New Roman" w:cs="Times New Roman"/>
          <w:i w:val="0"/>
          <w:iCs w:val="0"/>
          <w:sz w:val="24"/>
          <w:szCs w:val="24"/>
        </w:rPr>
        <w:fldChar w:fldCharType="end"/>
      </w:r>
      <w:r>
        <w:rPr>
          <w:rFonts w:hint="default" w:ascii="Times New Roman" w:hAnsi="Times New Roman" w:cs="Times New Roman"/>
          <w:i w:val="0"/>
          <w:iCs w:val="0"/>
          <w:sz w:val="24"/>
          <w:szCs w:val="24"/>
        </w:rPr>
        <w:t xml:space="preserve"> Accessed 31</w:t>
      </w:r>
      <w:r>
        <w:rPr>
          <w:rFonts w:hint="default" w:ascii="Times New Roman" w:hAnsi="Times New Roman" w:cs="Times New Roman"/>
          <w:i w:val="0"/>
          <w:iCs w:val="0"/>
          <w:sz w:val="24"/>
          <w:szCs w:val="24"/>
          <w:vertAlign w:val="superscript"/>
        </w:rPr>
        <w:t>st</w:t>
      </w:r>
      <w:r>
        <w:rPr>
          <w:rFonts w:hint="default" w:ascii="Times New Roman" w:hAnsi="Times New Roman" w:cs="Times New Roman"/>
          <w:i w:val="0"/>
          <w:iCs w:val="0"/>
          <w:sz w:val="24"/>
          <w:szCs w:val="24"/>
        </w:rPr>
        <w:t xml:space="preserve"> March 2021.</w:t>
      </w:r>
    </w:p>
    <w:p>
      <w:pPr>
        <w:numPr>
          <w:ilvl w:val="0"/>
          <w:numId w:val="0"/>
        </w:numPr>
        <w:spacing w:line="360" w:lineRule="auto"/>
        <w:rPr>
          <w:rFonts w:hint="default" w:ascii="Times New Roman" w:hAnsi="Times New Roman" w:cs="Times New Roman"/>
          <w:i w:val="0"/>
          <w:iCs w:val="0"/>
          <w:sz w:val="24"/>
          <w:szCs w:val="24"/>
        </w:rPr>
      </w:pPr>
    </w:p>
    <w:p>
      <w:pPr>
        <w:numPr>
          <w:ilvl w:val="0"/>
          <w:numId w:val="0"/>
        </w:numPr>
        <w:spacing w:line="360" w:lineRule="auto"/>
        <w:rPr>
          <w:rFonts w:hint="default" w:ascii="Times New Roman" w:hAnsi="Times New Roman" w:cs="Times New Roman"/>
          <w:i w:val="0"/>
          <w:iCs w:val="0"/>
          <w:sz w:val="24"/>
          <w:szCs w:val="24"/>
        </w:rPr>
      </w:pPr>
      <w:r>
        <w:rPr>
          <w:rFonts w:hint="default" w:ascii="Times New Roman" w:hAnsi="Times New Roman" w:cs="Times New Roman"/>
          <w:i w:val="0"/>
          <w:iCs w:val="0"/>
          <w:sz w:val="24"/>
          <w:szCs w:val="24"/>
        </w:rPr>
        <w:t>Lotto, L.&amp;de Groot, A.M.B. 1998. Effects of learning method and word type on acquiring vocabulary in a new language.</w:t>
      </w:r>
      <w:r>
        <w:rPr>
          <w:rFonts w:hint="default" w:ascii="Times New Roman Italic" w:hAnsi="Times New Roman Italic" w:cs="Times New Roman Italic"/>
          <w:i/>
          <w:iCs/>
          <w:sz w:val="24"/>
          <w:szCs w:val="24"/>
        </w:rPr>
        <w:t xml:space="preserve"> Language Teaching.</w:t>
      </w:r>
      <w:r>
        <w:rPr>
          <w:rFonts w:hint="default" w:ascii="Times New Roman" w:hAnsi="Times New Roman" w:cs="Times New Roman"/>
          <w:i w:val="0"/>
          <w:iCs w:val="0"/>
          <w:sz w:val="24"/>
          <w:szCs w:val="24"/>
        </w:rPr>
        <w:t xml:space="preserve"> [E-journal].</w:t>
      </w:r>
      <w:r>
        <w:rPr>
          <w:rFonts w:hint="default" w:ascii="Times New Roman" w:hAnsi="Times New Roman" w:cs="Times New Roman"/>
          <w:b w:val="0"/>
          <w:bCs w:val="0"/>
          <w:i w:val="0"/>
          <w:iCs w:val="0"/>
          <w:sz w:val="24"/>
          <w:szCs w:val="24"/>
        </w:rPr>
        <w:t xml:space="preserve"> 48(1), pp. 31-69. </w:t>
      </w:r>
      <w:r>
        <w:rPr>
          <w:rFonts w:hint="default" w:ascii="Times New Roman" w:hAnsi="Times New Roman" w:cs="Times New Roman"/>
          <w:i w:val="0"/>
          <w:iCs w:val="0"/>
          <w:sz w:val="24"/>
          <w:szCs w:val="24"/>
        </w:rPr>
        <w:t xml:space="preserve">Available at: </w:t>
      </w:r>
      <w:r>
        <w:rPr>
          <w:rFonts w:hint="default" w:ascii="Times New Roman" w:hAnsi="Times New Roman" w:cs="Times New Roman"/>
          <w:i w:val="0"/>
          <w:iCs w:val="0"/>
          <w:sz w:val="24"/>
          <w:szCs w:val="24"/>
        </w:rPr>
        <w:fldChar w:fldCharType="begin"/>
      </w:r>
      <w:r>
        <w:rPr>
          <w:rFonts w:hint="default" w:ascii="Times New Roman" w:hAnsi="Times New Roman" w:cs="Times New Roman"/>
          <w:i w:val="0"/>
          <w:iCs w:val="0"/>
          <w:sz w:val="24"/>
          <w:szCs w:val="24"/>
        </w:rPr>
        <w:instrText xml:space="preserve"> HYPERLINK "https://doi-org.ezproxy.uwtsd.ac.uk/10.1111/j.1467-9922.2004.00247.x." </w:instrText>
      </w:r>
      <w:r>
        <w:rPr>
          <w:rFonts w:hint="default" w:ascii="Times New Roman" w:hAnsi="Times New Roman" w:cs="Times New Roman"/>
          <w:i w:val="0"/>
          <w:iCs w:val="0"/>
          <w:sz w:val="24"/>
          <w:szCs w:val="24"/>
        </w:rPr>
        <w:fldChar w:fldCharType="separate"/>
      </w:r>
      <w:r>
        <w:rPr>
          <w:rStyle w:val="3"/>
          <w:rFonts w:hint="default" w:ascii="Times New Roman" w:hAnsi="Times New Roman" w:cs="Times New Roman"/>
          <w:i w:val="0"/>
          <w:iCs w:val="0"/>
          <w:sz w:val="24"/>
          <w:szCs w:val="24"/>
        </w:rPr>
        <w:t>https://doi-org.ezproxy.uwtsd.ac.uk/10.1111/1467-9922.00032.</w:t>
      </w:r>
      <w:r>
        <w:rPr>
          <w:rFonts w:hint="default" w:ascii="Times New Roman" w:hAnsi="Times New Roman" w:cs="Times New Roman"/>
          <w:i w:val="0"/>
          <w:iCs w:val="0"/>
          <w:sz w:val="24"/>
          <w:szCs w:val="24"/>
        </w:rPr>
        <w:fldChar w:fldCharType="end"/>
      </w:r>
      <w:r>
        <w:rPr>
          <w:rFonts w:hint="default" w:ascii="Times New Roman" w:hAnsi="Times New Roman" w:cs="Times New Roman"/>
          <w:i w:val="0"/>
          <w:iCs w:val="0"/>
          <w:sz w:val="24"/>
          <w:szCs w:val="24"/>
        </w:rPr>
        <w:t xml:space="preserve"> Accessed 31</w:t>
      </w:r>
      <w:r>
        <w:rPr>
          <w:rFonts w:hint="default" w:ascii="Times New Roman" w:hAnsi="Times New Roman" w:cs="Times New Roman"/>
          <w:i w:val="0"/>
          <w:iCs w:val="0"/>
          <w:sz w:val="24"/>
          <w:szCs w:val="24"/>
          <w:vertAlign w:val="superscript"/>
        </w:rPr>
        <w:t>st</w:t>
      </w:r>
      <w:r>
        <w:rPr>
          <w:rFonts w:hint="default" w:ascii="Times New Roman" w:hAnsi="Times New Roman" w:cs="Times New Roman"/>
          <w:i w:val="0"/>
          <w:iCs w:val="0"/>
          <w:sz w:val="24"/>
          <w:szCs w:val="24"/>
        </w:rPr>
        <w:t xml:space="preserve"> March 2021.</w:t>
      </w:r>
    </w:p>
    <w:p>
      <w:pPr>
        <w:numPr>
          <w:ilvl w:val="0"/>
          <w:numId w:val="0"/>
        </w:numPr>
        <w:spacing w:line="360" w:lineRule="auto"/>
        <w:rPr>
          <w:rFonts w:hint="default" w:ascii="Times New Roman" w:hAnsi="Times New Roman" w:cs="Times New Roman"/>
          <w:i w:val="0"/>
          <w:iCs w:val="0"/>
          <w:sz w:val="24"/>
          <w:szCs w:val="24"/>
        </w:rPr>
      </w:pPr>
    </w:p>
    <w:p>
      <w:pPr>
        <w:numPr>
          <w:ilvl w:val="0"/>
          <w:numId w:val="0"/>
        </w:numPr>
        <w:spacing w:line="360" w:lineRule="auto"/>
        <w:rPr>
          <w:rFonts w:hint="default" w:ascii="Times New Roman" w:hAnsi="Times New Roman" w:cs="Times New Roman"/>
          <w:i w:val="0"/>
          <w:iCs w:val="0"/>
          <w:sz w:val="24"/>
          <w:szCs w:val="24"/>
        </w:rPr>
      </w:pPr>
      <w:r>
        <w:rPr>
          <w:rFonts w:hint="default" w:ascii="Times New Roman" w:hAnsi="Times New Roman" w:cs="Times New Roman"/>
          <w:i w:val="0"/>
          <w:iCs w:val="0"/>
          <w:sz w:val="24"/>
          <w:szCs w:val="24"/>
        </w:rPr>
        <w:t xml:space="preserve">Moyer, A. 1999. Ultimate attainment in L2 phonology. </w:t>
      </w:r>
      <w:r>
        <w:rPr>
          <w:rFonts w:hint="default" w:ascii="Times New Roman Italic" w:hAnsi="Times New Roman Italic" w:cs="Times New Roman Italic"/>
          <w:i/>
          <w:iCs/>
          <w:sz w:val="24"/>
          <w:szCs w:val="24"/>
        </w:rPr>
        <w:t>SSLA.</w:t>
      </w:r>
      <w:r>
        <w:rPr>
          <w:rFonts w:hint="default" w:ascii="Times New Roman" w:hAnsi="Times New Roman" w:cs="Times New Roman"/>
          <w:i w:val="0"/>
          <w:iCs w:val="0"/>
          <w:sz w:val="24"/>
          <w:szCs w:val="24"/>
        </w:rPr>
        <w:t xml:space="preserve"> [E-journal].</w:t>
      </w:r>
      <w:r>
        <w:rPr>
          <w:rFonts w:hint="default" w:ascii="Times New Roman" w:hAnsi="Times New Roman" w:cs="Times New Roman"/>
          <w:b w:val="0"/>
          <w:bCs w:val="0"/>
          <w:i w:val="0"/>
          <w:iCs w:val="0"/>
          <w:sz w:val="24"/>
          <w:szCs w:val="24"/>
        </w:rPr>
        <w:t xml:space="preserve"> 21, pp. 81-108. </w:t>
      </w:r>
      <w:r>
        <w:rPr>
          <w:rFonts w:hint="default" w:ascii="Times New Roman" w:hAnsi="Times New Roman" w:cs="Times New Roman"/>
          <w:i w:val="0"/>
          <w:iCs w:val="0"/>
          <w:sz w:val="24"/>
          <w:szCs w:val="24"/>
        </w:rPr>
        <w:t xml:space="preserve">Available at: </w:t>
      </w:r>
      <w:r>
        <w:rPr>
          <w:rFonts w:hint="default" w:ascii="Times New Roman" w:hAnsi="Times New Roman" w:cs="Times New Roman"/>
          <w:i w:val="0"/>
          <w:iCs w:val="0"/>
          <w:sz w:val="24"/>
          <w:szCs w:val="24"/>
        </w:rPr>
        <w:fldChar w:fldCharType="begin"/>
      </w:r>
      <w:r>
        <w:rPr>
          <w:rFonts w:hint="default" w:ascii="Times New Roman" w:hAnsi="Times New Roman" w:cs="Times New Roman"/>
          <w:i w:val="0"/>
          <w:iCs w:val="0"/>
          <w:sz w:val="24"/>
          <w:szCs w:val="24"/>
        </w:rPr>
        <w:instrText xml:space="preserve"> HYPERLINK "https://doi-org.ezproxy.uwtsd.ac.uk/10.1111/j.1467-9922.2004.00247.x." </w:instrText>
      </w:r>
      <w:r>
        <w:rPr>
          <w:rFonts w:hint="default" w:ascii="Times New Roman" w:hAnsi="Times New Roman" w:cs="Times New Roman"/>
          <w:i w:val="0"/>
          <w:iCs w:val="0"/>
          <w:sz w:val="24"/>
          <w:szCs w:val="24"/>
        </w:rPr>
        <w:fldChar w:fldCharType="separate"/>
      </w:r>
      <w:r>
        <w:rPr>
          <w:rStyle w:val="3"/>
          <w:rFonts w:hint="default" w:ascii="Times New Roman" w:hAnsi="Times New Roman" w:cs="Times New Roman"/>
          <w:i w:val="0"/>
          <w:iCs w:val="0"/>
          <w:sz w:val="24"/>
          <w:szCs w:val="24"/>
        </w:rPr>
        <w:t>https://doi.org/10.1017/S0272263199001035.</w:t>
      </w:r>
      <w:r>
        <w:rPr>
          <w:rFonts w:hint="default" w:ascii="Times New Roman" w:hAnsi="Times New Roman" w:cs="Times New Roman"/>
          <w:i w:val="0"/>
          <w:iCs w:val="0"/>
          <w:sz w:val="24"/>
          <w:szCs w:val="24"/>
        </w:rPr>
        <w:fldChar w:fldCharType="end"/>
      </w:r>
      <w:r>
        <w:rPr>
          <w:rFonts w:hint="default" w:ascii="Times New Roman" w:hAnsi="Times New Roman" w:cs="Times New Roman"/>
          <w:i w:val="0"/>
          <w:iCs w:val="0"/>
          <w:sz w:val="24"/>
          <w:szCs w:val="24"/>
        </w:rPr>
        <w:t xml:space="preserve"> Accessed 28</w:t>
      </w:r>
      <w:r>
        <w:rPr>
          <w:rFonts w:hint="default" w:ascii="Times New Roman" w:hAnsi="Times New Roman" w:cs="Times New Roman"/>
          <w:i w:val="0"/>
          <w:iCs w:val="0"/>
          <w:sz w:val="24"/>
          <w:szCs w:val="24"/>
          <w:vertAlign w:val="superscript"/>
        </w:rPr>
        <w:t>th</w:t>
      </w:r>
      <w:r>
        <w:rPr>
          <w:rFonts w:hint="default" w:ascii="Times New Roman" w:hAnsi="Times New Roman" w:cs="Times New Roman"/>
          <w:i w:val="0"/>
          <w:iCs w:val="0"/>
          <w:sz w:val="24"/>
          <w:szCs w:val="24"/>
        </w:rPr>
        <w:t xml:space="preserve"> March 2021.</w:t>
      </w:r>
    </w:p>
    <w:p>
      <w:pPr>
        <w:numPr>
          <w:ilvl w:val="0"/>
          <w:numId w:val="0"/>
        </w:numPr>
        <w:spacing w:line="360" w:lineRule="auto"/>
        <w:rPr>
          <w:rFonts w:hint="default" w:ascii="Times New Roman" w:hAnsi="Times New Roman" w:cs="Times New Roman"/>
          <w:i w:val="0"/>
          <w:iCs w:val="0"/>
          <w:sz w:val="24"/>
          <w:szCs w:val="24"/>
        </w:rPr>
      </w:pPr>
    </w:p>
    <w:p>
      <w:pPr>
        <w:numPr>
          <w:ilvl w:val="0"/>
          <w:numId w:val="0"/>
        </w:numPr>
        <w:spacing w:line="360" w:lineRule="auto"/>
        <w:rPr>
          <w:rFonts w:hint="default" w:ascii="Times New Roman" w:hAnsi="Times New Roman" w:cs="Times New Roman"/>
          <w:i w:val="0"/>
          <w:iCs w:val="0"/>
          <w:sz w:val="24"/>
          <w:szCs w:val="24"/>
        </w:rPr>
      </w:pPr>
      <w:r>
        <w:rPr>
          <w:rFonts w:hint="default" w:ascii="Times New Roman" w:hAnsi="Times New Roman" w:cs="Times New Roman"/>
          <w:i w:val="0"/>
          <w:iCs w:val="0"/>
          <w:sz w:val="24"/>
          <w:szCs w:val="24"/>
        </w:rPr>
        <w:t xml:space="preserve">Moyer, A. 2014. What’s age got to do with it? Accounting for individual factors in second language accent. </w:t>
      </w:r>
      <w:r>
        <w:rPr>
          <w:rFonts w:hint="default" w:ascii="Times New Roman Italic" w:hAnsi="Times New Roman Italic" w:cs="Times New Roman Italic"/>
          <w:i/>
          <w:iCs/>
          <w:sz w:val="24"/>
          <w:szCs w:val="24"/>
        </w:rPr>
        <w:t xml:space="preserve">Studies in Second Language Learning and Teaching. </w:t>
      </w:r>
      <w:r>
        <w:rPr>
          <w:rFonts w:hint="default" w:ascii="Times New Roman Italic" w:hAnsi="Times New Roman Italic" w:cs="Times New Roman Italic"/>
          <w:b w:val="0"/>
          <w:bCs w:val="0"/>
          <w:i/>
          <w:iCs/>
          <w:sz w:val="24"/>
          <w:szCs w:val="24"/>
        </w:rPr>
        <w:t xml:space="preserve"> </w:t>
      </w:r>
      <w:r>
        <w:rPr>
          <w:rFonts w:hint="default" w:ascii="Times New Roman" w:hAnsi="Times New Roman" w:cs="Times New Roman"/>
          <w:i w:val="0"/>
          <w:iCs w:val="0"/>
          <w:sz w:val="24"/>
          <w:szCs w:val="24"/>
        </w:rPr>
        <w:t>[E-journal].</w:t>
      </w:r>
      <w:r>
        <w:rPr>
          <w:rFonts w:hint="default" w:ascii="Times New Roman" w:hAnsi="Times New Roman" w:cs="Times New Roman"/>
          <w:b w:val="0"/>
          <w:bCs w:val="0"/>
          <w:i w:val="0"/>
          <w:iCs w:val="0"/>
          <w:sz w:val="24"/>
          <w:szCs w:val="24"/>
        </w:rPr>
        <w:t xml:space="preserve"> </w:t>
      </w:r>
      <w:r>
        <w:rPr>
          <w:rFonts w:hint="default" w:ascii="Times New Roman" w:hAnsi="Times New Roman" w:cs="Times New Roman"/>
          <w:b w:val="0"/>
          <w:bCs w:val="0"/>
          <w:i w:val="0"/>
          <w:iCs w:val="0"/>
          <w:sz w:val="24"/>
          <w:szCs w:val="24"/>
        </w:rPr>
        <w:t>4</w:t>
      </w:r>
      <w:r>
        <w:rPr>
          <w:rFonts w:hint="default" w:ascii="Times New Roman" w:hAnsi="Times New Roman" w:cs="Times New Roman"/>
          <w:b w:val="0"/>
          <w:bCs w:val="0"/>
          <w:i w:val="0"/>
          <w:iCs w:val="0"/>
          <w:sz w:val="24"/>
          <w:szCs w:val="24"/>
        </w:rPr>
        <w:t>(</w:t>
      </w:r>
      <w:r>
        <w:rPr>
          <w:rFonts w:hint="default" w:ascii="Times New Roman" w:hAnsi="Times New Roman" w:cs="Times New Roman"/>
          <w:b w:val="0"/>
          <w:bCs w:val="0"/>
          <w:i w:val="0"/>
          <w:iCs w:val="0"/>
          <w:sz w:val="24"/>
          <w:szCs w:val="24"/>
        </w:rPr>
        <w:t>3</w:t>
      </w:r>
      <w:r>
        <w:rPr>
          <w:rFonts w:hint="default" w:ascii="Times New Roman" w:hAnsi="Times New Roman" w:cs="Times New Roman"/>
          <w:b w:val="0"/>
          <w:bCs w:val="0"/>
          <w:i w:val="0"/>
          <w:iCs w:val="0"/>
          <w:sz w:val="24"/>
          <w:szCs w:val="24"/>
        </w:rPr>
        <w:t>), pp.</w:t>
      </w:r>
      <w:r>
        <w:rPr>
          <w:rFonts w:hint="default" w:ascii="Times New Roman" w:hAnsi="Times New Roman" w:cs="Times New Roman"/>
          <w:b w:val="0"/>
          <w:bCs w:val="0"/>
          <w:i w:val="0"/>
          <w:iCs w:val="0"/>
          <w:sz w:val="24"/>
          <w:szCs w:val="24"/>
        </w:rPr>
        <w:t>443</w:t>
      </w:r>
      <w:r>
        <w:rPr>
          <w:rFonts w:hint="default" w:ascii="Times New Roman" w:hAnsi="Times New Roman" w:cs="Times New Roman"/>
          <w:b w:val="0"/>
          <w:bCs w:val="0"/>
          <w:i w:val="0"/>
          <w:iCs w:val="0"/>
          <w:sz w:val="24"/>
          <w:szCs w:val="24"/>
        </w:rPr>
        <w:t>-</w:t>
      </w:r>
      <w:r>
        <w:rPr>
          <w:rFonts w:hint="default" w:ascii="Times New Roman" w:hAnsi="Times New Roman" w:cs="Times New Roman"/>
          <w:b w:val="0"/>
          <w:bCs w:val="0"/>
          <w:i w:val="0"/>
          <w:iCs w:val="0"/>
          <w:sz w:val="24"/>
          <w:szCs w:val="24"/>
        </w:rPr>
        <w:t>464</w:t>
      </w:r>
      <w:r>
        <w:rPr>
          <w:rFonts w:hint="default" w:ascii="Times New Roman" w:hAnsi="Times New Roman" w:cs="Times New Roman"/>
          <w:b w:val="0"/>
          <w:bCs w:val="0"/>
          <w:i w:val="0"/>
          <w:iCs w:val="0"/>
          <w:sz w:val="24"/>
          <w:szCs w:val="24"/>
        </w:rPr>
        <w:t xml:space="preserve">. </w:t>
      </w:r>
      <w:r>
        <w:rPr>
          <w:rFonts w:hint="default" w:ascii="Times New Roman" w:hAnsi="Times New Roman" w:cs="Times New Roman"/>
          <w:i w:val="0"/>
          <w:iCs w:val="0"/>
          <w:sz w:val="24"/>
          <w:szCs w:val="24"/>
        </w:rPr>
        <w:t>Available at: 10.1</w:t>
      </w:r>
      <w:r>
        <w:rPr>
          <w:rFonts w:hint="default" w:ascii="Times New Roman" w:hAnsi="Times New Roman" w:cs="Times New Roman"/>
          <w:i w:val="0"/>
          <w:iCs w:val="0"/>
          <w:sz w:val="24"/>
          <w:szCs w:val="24"/>
        </w:rPr>
        <w:t>4746</w:t>
      </w:r>
      <w:r>
        <w:rPr>
          <w:rFonts w:hint="default" w:ascii="Times New Roman" w:hAnsi="Times New Roman" w:cs="Times New Roman"/>
          <w:i w:val="0"/>
          <w:iCs w:val="0"/>
          <w:sz w:val="24"/>
          <w:szCs w:val="24"/>
        </w:rPr>
        <w:t>/</w:t>
      </w:r>
      <w:r>
        <w:rPr>
          <w:rFonts w:hint="default" w:ascii="Times New Roman" w:hAnsi="Times New Roman" w:cs="Times New Roman"/>
          <w:i w:val="0"/>
          <w:iCs w:val="0"/>
          <w:sz w:val="24"/>
          <w:szCs w:val="24"/>
        </w:rPr>
        <w:t>ssllt.2014.4.3.4</w:t>
      </w:r>
      <w:r>
        <w:rPr>
          <w:rFonts w:hint="default" w:ascii="Times New Roman" w:hAnsi="Times New Roman" w:cs="Times New Roman"/>
          <w:i w:val="0"/>
          <w:iCs w:val="0"/>
          <w:sz w:val="24"/>
          <w:szCs w:val="24"/>
        </w:rPr>
        <w:t>. Accessed 12</w:t>
      </w:r>
      <w:r>
        <w:rPr>
          <w:rFonts w:hint="default" w:ascii="Times New Roman" w:hAnsi="Times New Roman" w:cs="Times New Roman"/>
          <w:i w:val="0"/>
          <w:iCs w:val="0"/>
          <w:sz w:val="24"/>
          <w:szCs w:val="24"/>
          <w:vertAlign w:val="superscript"/>
        </w:rPr>
        <w:t>th</w:t>
      </w:r>
      <w:r>
        <w:rPr>
          <w:rFonts w:hint="default" w:ascii="Times New Roman" w:hAnsi="Times New Roman" w:cs="Times New Roman"/>
          <w:i w:val="0"/>
          <w:iCs w:val="0"/>
          <w:sz w:val="24"/>
          <w:szCs w:val="24"/>
        </w:rPr>
        <w:t xml:space="preserve"> March 2021.</w:t>
      </w:r>
    </w:p>
    <w:p>
      <w:pPr>
        <w:numPr>
          <w:ilvl w:val="0"/>
          <w:numId w:val="0"/>
        </w:numPr>
        <w:spacing w:line="360" w:lineRule="auto"/>
        <w:rPr>
          <w:rFonts w:hint="default" w:ascii="Times New Roman" w:hAnsi="Times New Roman" w:cs="Times New Roman"/>
          <w:i w:val="0"/>
          <w:iCs w:val="0"/>
          <w:sz w:val="24"/>
          <w:szCs w:val="24"/>
        </w:rPr>
      </w:pPr>
    </w:p>
    <w:p>
      <w:pPr>
        <w:numPr>
          <w:ilvl w:val="0"/>
          <w:numId w:val="0"/>
        </w:numPr>
        <w:spacing w:line="360" w:lineRule="auto"/>
        <w:rPr>
          <w:rFonts w:hint="default" w:ascii="Times New Roman" w:hAnsi="Times New Roman" w:cs="Times New Roman"/>
          <w:i w:val="0"/>
          <w:iCs w:val="0"/>
          <w:sz w:val="24"/>
          <w:szCs w:val="24"/>
        </w:rPr>
      </w:pPr>
      <w:r>
        <w:rPr>
          <w:rFonts w:hint="default" w:ascii="Times New Roman" w:hAnsi="Times New Roman" w:cs="Times New Roman"/>
          <w:i w:val="0"/>
          <w:iCs w:val="0"/>
          <w:sz w:val="24"/>
          <w:szCs w:val="24"/>
        </w:rPr>
        <w:t>Munoz, C. 2014. Contrasting effects of starting age and input on the oral performance of foreign language learners. Applied Linguistics. 35, pp. 463-482.</w:t>
      </w:r>
    </w:p>
    <w:p>
      <w:pPr>
        <w:numPr>
          <w:ilvl w:val="0"/>
          <w:numId w:val="0"/>
        </w:numPr>
        <w:spacing w:line="360" w:lineRule="auto"/>
        <w:rPr>
          <w:rFonts w:hint="default" w:ascii="Times New Roman" w:hAnsi="Times New Roman" w:cs="Times New Roman"/>
          <w:i w:val="0"/>
          <w:iCs w:val="0"/>
          <w:sz w:val="24"/>
          <w:szCs w:val="24"/>
        </w:rPr>
      </w:pPr>
    </w:p>
    <w:p>
      <w:pPr>
        <w:numPr>
          <w:ilvl w:val="0"/>
          <w:numId w:val="0"/>
        </w:numPr>
        <w:spacing w:line="360" w:lineRule="auto"/>
        <w:rPr>
          <w:rFonts w:hint="default" w:ascii="Times New Roman" w:hAnsi="Times New Roman" w:cs="Times New Roman"/>
          <w:i w:val="0"/>
          <w:iCs w:val="0"/>
          <w:sz w:val="24"/>
          <w:szCs w:val="24"/>
        </w:rPr>
      </w:pPr>
      <w:r>
        <w:rPr>
          <w:rFonts w:hint="default" w:ascii="Times New Roman" w:hAnsi="Times New Roman" w:cs="Times New Roman"/>
          <w:i w:val="0"/>
          <w:iCs w:val="0"/>
          <w:sz w:val="24"/>
          <w:szCs w:val="24"/>
        </w:rPr>
        <w:t xml:space="preserve">Piske, T.,Flege, J.E., Mackay, I.R.,&amp;Meador, D. 2002. The production of English vowels by fluent early and late Italian-English bilinguals. Phonetica. </w:t>
      </w:r>
      <w:r>
        <w:rPr>
          <w:rFonts w:hint="default" w:ascii="Times New Roman" w:hAnsi="Times New Roman" w:cs="Times New Roman"/>
          <w:b w:val="0"/>
          <w:bCs w:val="0"/>
          <w:sz w:val="24"/>
          <w:szCs w:val="24"/>
        </w:rPr>
        <w:t xml:space="preserve"> </w:t>
      </w:r>
      <w:r>
        <w:rPr>
          <w:rFonts w:hint="default" w:ascii="Times New Roman" w:hAnsi="Times New Roman" w:cs="Times New Roman"/>
          <w:i w:val="0"/>
          <w:iCs w:val="0"/>
          <w:sz w:val="24"/>
          <w:szCs w:val="24"/>
        </w:rPr>
        <w:t>[E-journal].</w:t>
      </w:r>
      <w:r>
        <w:rPr>
          <w:rFonts w:hint="default" w:ascii="Times New Roman" w:hAnsi="Times New Roman" w:cs="Times New Roman"/>
          <w:b w:val="0"/>
          <w:bCs w:val="0"/>
          <w:i w:val="0"/>
          <w:iCs w:val="0"/>
          <w:sz w:val="24"/>
          <w:szCs w:val="24"/>
        </w:rPr>
        <w:t xml:space="preserve"> 59(1), pp. 49-71. </w:t>
      </w:r>
      <w:r>
        <w:rPr>
          <w:rFonts w:hint="default" w:ascii="Times New Roman" w:hAnsi="Times New Roman" w:cs="Times New Roman"/>
          <w:i w:val="0"/>
          <w:iCs w:val="0"/>
          <w:sz w:val="24"/>
          <w:szCs w:val="24"/>
        </w:rPr>
        <w:t xml:space="preserve">Available at: </w:t>
      </w:r>
      <w:r>
        <w:rPr>
          <w:rFonts w:hint="default" w:ascii="Times New Roman" w:hAnsi="Times New Roman" w:cs="Times New Roman"/>
          <w:i w:val="0"/>
          <w:iCs w:val="0"/>
          <w:sz w:val="24"/>
          <w:szCs w:val="24"/>
        </w:rPr>
        <w:fldChar w:fldCharType="begin"/>
      </w:r>
      <w:r>
        <w:rPr>
          <w:rFonts w:hint="default" w:ascii="Times New Roman" w:hAnsi="Times New Roman" w:cs="Times New Roman"/>
          <w:i w:val="0"/>
          <w:iCs w:val="0"/>
          <w:sz w:val="24"/>
          <w:szCs w:val="24"/>
        </w:rPr>
        <w:instrText xml:space="preserve"> HYPERLINK "https://doi-org.ezproxy.uwtsd.ac.uk/10.1111/j.1467-9922.2004.00247.x." </w:instrText>
      </w:r>
      <w:r>
        <w:rPr>
          <w:rFonts w:hint="default" w:ascii="Times New Roman" w:hAnsi="Times New Roman" w:cs="Times New Roman"/>
          <w:i w:val="0"/>
          <w:iCs w:val="0"/>
          <w:sz w:val="24"/>
          <w:szCs w:val="24"/>
        </w:rPr>
        <w:fldChar w:fldCharType="separate"/>
      </w:r>
      <w:r>
        <w:rPr>
          <w:rStyle w:val="3"/>
          <w:rFonts w:hint="default" w:ascii="Times New Roman" w:hAnsi="Times New Roman" w:cs="Times New Roman"/>
          <w:i w:val="0"/>
          <w:iCs w:val="0"/>
          <w:sz w:val="24"/>
          <w:szCs w:val="24"/>
        </w:rPr>
        <w:t>https://doi.org/10.1159/000056205.</w:t>
      </w:r>
      <w:r>
        <w:rPr>
          <w:rFonts w:hint="default" w:ascii="Times New Roman" w:hAnsi="Times New Roman" w:cs="Times New Roman"/>
          <w:i w:val="0"/>
          <w:iCs w:val="0"/>
          <w:sz w:val="24"/>
          <w:szCs w:val="24"/>
        </w:rPr>
        <w:fldChar w:fldCharType="end"/>
      </w:r>
      <w:r>
        <w:rPr>
          <w:rFonts w:hint="default" w:ascii="Times New Roman" w:hAnsi="Times New Roman" w:cs="Times New Roman"/>
          <w:i w:val="0"/>
          <w:iCs w:val="0"/>
          <w:sz w:val="24"/>
          <w:szCs w:val="24"/>
        </w:rPr>
        <w:t xml:space="preserve"> Accessed 13</w:t>
      </w:r>
      <w:r>
        <w:rPr>
          <w:rFonts w:hint="default" w:ascii="Times New Roman" w:hAnsi="Times New Roman" w:cs="Times New Roman"/>
          <w:i w:val="0"/>
          <w:iCs w:val="0"/>
          <w:sz w:val="24"/>
          <w:szCs w:val="24"/>
          <w:vertAlign w:val="superscript"/>
        </w:rPr>
        <w:t>th</w:t>
      </w:r>
      <w:r>
        <w:rPr>
          <w:rFonts w:hint="default" w:ascii="Times New Roman" w:hAnsi="Times New Roman" w:cs="Times New Roman"/>
          <w:i w:val="0"/>
          <w:iCs w:val="0"/>
          <w:sz w:val="24"/>
          <w:szCs w:val="24"/>
        </w:rPr>
        <w:t xml:space="preserve"> March 2021.</w:t>
      </w:r>
    </w:p>
    <w:p>
      <w:pPr>
        <w:numPr>
          <w:ilvl w:val="0"/>
          <w:numId w:val="0"/>
        </w:numPr>
        <w:spacing w:line="360" w:lineRule="auto"/>
        <w:rPr>
          <w:rFonts w:hint="default" w:ascii="Times New Roman" w:hAnsi="Times New Roman" w:cs="Times New Roman"/>
          <w:i w:val="0"/>
          <w:iCs w:val="0"/>
          <w:sz w:val="24"/>
          <w:szCs w:val="24"/>
        </w:rPr>
      </w:pPr>
    </w:p>
    <w:p>
      <w:pPr>
        <w:numPr>
          <w:ilvl w:val="0"/>
          <w:numId w:val="0"/>
        </w:numPr>
        <w:spacing w:line="360" w:lineRule="auto"/>
        <w:rPr>
          <w:rFonts w:hint="default" w:ascii="Times New Roman" w:hAnsi="Times New Roman" w:cs="Times New Roman"/>
          <w:i w:val="0"/>
          <w:iCs w:val="0"/>
          <w:sz w:val="24"/>
          <w:szCs w:val="24"/>
        </w:rPr>
      </w:pPr>
      <w:r>
        <w:rPr>
          <w:rFonts w:hint="default" w:ascii="Times New Roman" w:hAnsi="Times New Roman" w:cs="Times New Roman"/>
          <w:i w:val="0"/>
          <w:iCs w:val="0"/>
          <w:sz w:val="24"/>
          <w:szCs w:val="24"/>
        </w:rPr>
        <w:t xml:space="preserve">Qureshi, M.A. 2016. A meta-analysis: Age and second language grammar acquisition. </w:t>
      </w:r>
      <w:r>
        <w:rPr>
          <w:rFonts w:hint="default" w:ascii="Times New Roman Italic" w:hAnsi="Times New Roman Italic" w:cs="Times New Roman Italic"/>
          <w:i/>
          <w:iCs/>
          <w:sz w:val="24"/>
          <w:szCs w:val="24"/>
        </w:rPr>
        <w:t>System.</w:t>
      </w:r>
      <w:r>
        <w:rPr>
          <w:rFonts w:hint="default" w:ascii="Times New Roman" w:hAnsi="Times New Roman" w:cs="Times New Roman"/>
          <w:i w:val="0"/>
          <w:iCs w:val="0"/>
          <w:sz w:val="24"/>
          <w:szCs w:val="24"/>
        </w:rPr>
        <w:t xml:space="preserve"> [E-journal].</w:t>
      </w:r>
      <w:r>
        <w:rPr>
          <w:rFonts w:hint="default" w:ascii="Times New Roman" w:hAnsi="Times New Roman" w:cs="Times New Roman"/>
          <w:b w:val="0"/>
          <w:bCs w:val="0"/>
          <w:i w:val="0"/>
          <w:iCs w:val="0"/>
          <w:sz w:val="24"/>
          <w:szCs w:val="24"/>
        </w:rPr>
        <w:t xml:space="preserve"> 60, pp. 147-160. </w:t>
      </w:r>
      <w:r>
        <w:rPr>
          <w:rFonts w:hint="default" w:ascii="Times New Roman" w:hAnsi="Times New Roman" w:cs="Times New Roman"/>
          <w:i w:val="0"/>
          <w:iCs w:val="0"/>
          <w:sz w:val="24"/>
          <w:szCs w:val="24"/>
        </w:rPr>
        <w:t xml:space="preserve">Available at: </w:t>
      </w:r>
      <w:r>
        <w:rPr>
          <w:rFonts w:hint="default" w:ascii="Times New Roman" w:hAnsi="Times New Roman" w:cs="Times New Roman"/>
          <w:i w:val="0"/>
          <w:iCs w:val="0"/>
          <w:sz w:val="24"/>
          <w:szCs w:val="24"/>
        </w:rPr>
        <w:fldChar w:fldCharType="begin"/>
      </w:r>
      <w:r>
        <w:rPr>
          <w:rFonts w:hint="default" w:ascii="Times New Roman" w:hAnsi="Times New Roman" w:cs="Times New Roman"/>
          <w:i w:val="0"/>
          <w:iCs w:val="0"/>
          <w:sz w:val="24"/>
          <w:szCs w:val="24"/>
        </w:rPr>
        <w:instrText xml:space="preserve"> HYPERLINK "https://doi-org.ezproxy.uwtsd.ac.uk/10.1111/j.1467-9922.2004.00247.x." </w:instrText>
      </w:r>
      <w:r>
        <w:rPr>
          <w:rFonts w:hint="default" w:ascii="Times New Roman" w:hAnsi="Times New Roman" w:cs="Times New Roman"/>
          <w:i w:val="0"/>
          <w:iCs w:val="0"/>
          <w:sz w:val="24"/>
          <w:szCs w:val="24"/>
        </w:rPr>
        <w:fldChar w:fldCharType="separate"/>
      </w:r>
      <w:r>
        <w:rPr>
          <w:rStyle w:val="3"/>
          <w:rFonts w:hint="default" w:ascii="Times New Roman" w:hAnsi="Times New Roman" w:cs="Times New Roman"/>
          <w:i w:val="0"/>
          <w:iCs w:val="0"/>
          <w:sz w:val="24"/>
          <w:szCs w:val="24"/>
        </w:rPr>
        <w:t>https://dx.doi.org/10.1016/j.system.2016.06.001.</w:t>
      </w:r>
      <w:r>
        <w:rPr>
          <w:rFonts w:hint="default" w:ascii="Times New Roman" w:hAnsi="Times New Roman" w:cs="Times New Roman"/>
          <w:i w:val="0"/>
          <w:iCs w:val="0"/>
          <w:sz w:val="24"/>
          <w:szCs w:val="24"/>
        </w:rPr>
        <w:fldChar w:fldCharType="end"/>
      </w:r>
      <w:r>
        <w:rPr>
          <w:rFonts w:hint="default" w:ascii="Times New Roman" w:hAnsi="Times New Roman" w:cs="Times New Roman"/>
          <w:i w:val="0"/>
          <w:iCs w:val="0"/>
          <w:sz w:val="24"/>
          <w:szCs w:val="24"/>
        </w:rPr>
        <w:t xml:space="preserve"> Accessed 13</w:t>
      </w:r>
      <w:r>
        <w:rPr>
          <w:rFonts w:hint="default" w:ascii="Times New Roman" w:hAnsi="Times New Roman" w:cs="Times New Roman"/>
          <w:i w:val="0"/>
          <w:iCs w:val="0"/>
          <w:sz w:val="24"/>
          <w:szCs w:val="24"/>
          <w:vertAlign w:val="superscript"/>
        </w:rPr>
        <w:t>th</w:t>
      </w:r>
      <w:r>
        <w:rPr>
          <w:rFonts w:hint="default" w:ascii="Times New Roman" w:hAnsi="Times New Roman" w:cs="Times New Roman"/>
          <w:i w:val="0"/>
          <w:iCs w:val="0"/>
          <w:sz w:val="24"/>
          <w:szCs w:val="24"/>
        </w:rPr>
        <w:t xml:space="preserve"> March 2021.</w:t>
      </w:r>
    </w:p>
    <w:p>
      <w:pPr>
        <w:numPr>
          <w:ilvl w:val="0"/>
          <w:numId w:val="0"/>
        </w:numPr>
        <w:spacing w:line="360" w:lineRule="auto"/>
        <w:rPr>
          <w:rFonts w:hint="default" w:ascii="Times New Roman" w:hAnsi="Times New Roman" w:cs="Times New Roman"/>
          <w:i w:val="0"/>
          <w:iCs w:val="0"/>
          <w:sz w:val="24"/>
          <w:szCs w:val="24"/>
        </w:rPr>
      </w:pPr>
    </w:p>
    <w:p>
      <w:pPr>
        <w:numPr>
          <w:ilvl w:val="0"/>
          <w:numId w:val="0"/>
        </w:numPr>
        <w:spacing w:line="360" w:lineRule="auto"/>
        <w:rPr>
          <w:rFonts w:hint="default" w:ascii="Times New Roman" w:hAnsi="Times New Roman" w:cs="Times New Roman"/>
          <w:i w:val="0"/>
          <w:iCs w:val="0"/>
          <w:sz w:val="24"/>
          <w:szCs w:val="24"/>
        </w:rPr>
      </w:pPr>
      <w:r>
        <w:rPr>
          <w:rFonts w:hint="default" w:ascii="Times New Roman" w:hAnsi="Times New Roman" w:cs="Times New Roman"/>
          <w:b w:val="0"/>
          <w:bCs w:val="0"/>
          <w:sz w:val="24"/>
          <w:szCs w:val="24"/>
        </w:rPr>
        <w:t xml:space="preserve">Singleton, D. 2005. The Critical Period Hypothesis:A coat of many colours. </w:t>
      </w:r>
      <w:r>
        <w:rPr>
          <w:rFonts w:hint="default" w:ascii="Times New Roman Italic" w:hAnsi="Times New Roman Italic" w:cs="Times New Roman Italic"/>
          <w:b w:val="0"/>
          <w:bCs w:val="0"/>
          <w:i/>
          <w:iCs/>
          <w:sz w:val="24"/>
          <w:szCs w:val="24"/>
        </w:rPr>
        <w:t>International Review of Applied Linguistics in Language Teaching</w:t>
      </w:r>
      <w:r>
        <w:rPr>
          <w:rFonts w:hint="default" w:ascii="Times New Roman" w:hAnsi="Times New Roman" w:cs="Times New Roman"/>
          <w:b w:val="0"/>
          <w:bCs w:val="0"/>
          <w:sz w:val="24"/>
          <w:szCs w:val="24"/>
        </w:rPr>
        <w:t xml:space="preserve">. </w:t>
      </w:r>
      <w:r>
        <w:rPr>
          <w:rFonts w:hint="default" w:ascii="Times New Roman" w:hAnsi="Times New Roman" w:cs="Times New Roman"/>
          <w:i w:val="0"/>
          <w:iCs w:val="0"/>
          <w:sz w:val="24"/>
          <w:szCs w:val="24"/>
        </w:rPr>
        <w:t>[E-journal].</w:t>
      </w:r>
      <w:r>
        <w:rPr>
          <w:rFonts w:hint="default" w:ascii="Times New Roman" w:hAnsi="Times New Roman" w:cs="Times New Roman"/>
          <w:b w:val="0"/>
          <w:bCs w:val="0"/>
          <w:i w:val="0"/>
          <w:iCs w:val="0"/>
          <w:sz w:val="24"/>
          <w:szCs w:val="24"/>
        </w:rPr>
        <w:t xml:space="preserve"> 43(4), pp. 269-285. </w:t>
      </w:r>
      <w:r>
        <w:rPr>
          <w:rFonts w:hint="default" w:ascii="Times New Roman" w:hAnsi="Times New Roman" w:cs="Times New Roman"/>
          <w:i w:val="0"/>
          <w:iCs w:val="0"/>
          <w:sz w:val="24"/>
          <w:szCs w:val="24"/>
        </w:rPr>
        <w:t xml:space="preserve">Available at: </w:t>
      </w:r>
      <w:r>
        <w:rPr>
          <w:rFonts w:hint="default" w:ascii="Times New Roman" w:hAnsi="Times New Roman" w:cs="Times New Roman"/>
          <w:i w:val="0"/>
          <w:iCs w:val="0"/>
          <w:sz w:val="24"/>
          <w:szCs w:val="24"/>
        </w:rPr>
        <w:fldChar w:fldCharType="begin"/>
      </w:r>
      <w:r>
        <w:rPr>
          <w:rFonts w:hint="default" w:ascii="Times New Roman" w:hAnsi="Times New Roman" w:cs="Times New Roman"/>
          <w:i w:val="0"/>
          <w:iCs w:val="0"/>
          <w:sz w:val="24"/>
          <w:szCs w:val="24"/>
        </w:rPr>
        <w:instrText xml:space="preserve"> HYPERLINK "https://doi-org.ezproxy.uwtsd.ac.uk/10.1111/j.1467-9922.2004.00247.x." </w:instrText>
      </w:r>
      <w:r>
        <w:rPr>
          <w:rFonts w:hint="default" w:ascii="Times New Roman" w:hAnsi="Times New Roman" w:cs="Times New Roman"/>
          <w:i w:val="0"/>
          <w:iCs w:val="0"/>
          <w:sz w:val="24"/>
          <w:szCs w:val="24"/>
        </w:rPr>
        <w:fldChar w:fldCharType="separate"/>
      </w:r>
      <w:r>
        <w:rPr>
          <w:rStyle w:val="3"/>
          <w:rFonts w:hint="default" w:ascii="Times New Roman" w:hAnsi="Times New Roman" w:cs="Times New Roman"/>
          <w:i w:val="0"/>
          <w:iCs w:val="0"/>
          <w:sz w:val="24"/>
          <w:szCs w:val="24"/>
        </w:rPr>
        <w:t>https://doi.org/10.1075/jsls.00003.sin.</w:t>
      </w:r>
      <w:r>
        <w:rPr>
          <w:rFonts w:hint="default" w:ascii="Times New Roman" w:hAnsi="Times New Roman" w:cs="Times New Roman"/>
          <w:i w:val="0"/>
          <w:iCs w:val="0"/>
          <w:sz w:val="24"/>
          <w:szCs w:val="24"/>
        </w:rPr>
        <w:fldChar w:fldCharType="end"/>
      </w:r>
      <w:r>
        <w:rPr>
          <w:rFonts w:hint="default" w:ascii="Times New Roman" w:hAnsi="Times New Roman" w:cs="Times New Roman"/>
          <w:i w:val="0"/>
          <w:iCs w:val="0"/>
          <w:sz w:val="24"/>
          <w:szCs w:val="24"/>
        </w:rPr>
        <w:t xml:space="preserve"> Accessed 13</w:t>
      </w:r>
      <w:r>
        <w:rPr>
          <w:rFonts w:hint="default" w:ascii="Times New Roman" w:hAnsi="Times New Roman" w:cs="Times New Roman"/>
          <w:i w:val="0"/>
          <w:iCs w:val="0"/>
          <w:sz w:val="24"/>
          <w:szCs w:val="24"/>
          <w:vertAlign w:val="superscript"/>
        </w:rPr>
        <w:t>th</w:t>
      </w:r>
      <w:r>
        <w:rPr>
          <w:rFonts w:hint="default" w:ascii="Times New Roman" w:hAnsi="Times New Roman" w:cs="Times New Roman"/>
          <w:i w:val="0"/>
          <w:iCs w:val="0"/>
          <w:sz w:val="24"/>
          <w:szCs w:val="24"/>
        </w:rPr>
        <w:t xml:space="preserve"> March 2021.</w:t>
      </w:r>
    </w:p>
    <w:p>
      <w:pPr>
        <w:numPr>
          <w:ilvl w:val="0"/>
          <w:numId w:val="0"/>
        </w:numPr>
        <w:spacing w:line="360" w:lineRule="auto"/>
        <w:rPr>
          <w:rFonts w:hint="default" w:ascii="Times New Roman" w:hAnsi="Times New Roman" w:cs="Times New Roman"/>
          <w:b w:val="0"/>
          <w:bCs w:val="0"/>
          <w:sz w:val="24"/>
          <w:szCs w:val="24"/>
        </w:rPr>
      </w:pPr>
    </w:p>
    <w:p>
      <w:pPr>
        <w:numPr>
          <w:ilvl w:val="0"/>
          <w:numId w:val="0"/>
        </w:numPr>
        <w:spacing w:line="360" w:lineRule="auto"/>
        <w:rPr>
          <w:rFonts w:hint="default" w:ascii="Times New Roman" w:hAnsi="Times New Roman" w:cs="Times New Roman"/>
          <w:i w:val="0"/>
          <w:iCs w:val="0"/>
          <w:sz w:val="24"/>
          <w:szCs w:val="24"/>
        </w:rPr>
      </w:pPr>
      <w:r>
        <w:rPr>
          <w:rFonts w:hint="default" w:ascii="Times New Roman" w:hAnsi="Times New Roman" w:cs="Times New Roman"/>
          <w:b w:val="0"/>
          <w:bCs w:val="0"/>
          <w:sz w:val="24"/>
          <w:szCs w:val="24"/>
        </w:rPr>
        <w:t>Singleton, D. &amp; Pfenninger S.E. 2018.</w:t>
      </w:r>
      <w:r>
        <w:rPr>
          <w:rFonts w:hint="default" w:ascii="Times New Roman" w:hAnsi="Times New Roman" w:cs="Times New Roman"/>
          <w:b w:val="0"/>
          <w:bCs w:val="0"/>
          <w:i w:val="0"/>
          <w:iCs w:val="0"/>
          <w:sz w:val="24"/>
          <w:szCs w:val="24"/>
        </w:rPr>
        <w:t xml:space="preserve"> L2 acquisition in childhood, adulthood and old age: Misreported and under-researched dimensions of the age factor. </w:t>
      </w:r>
      <w:r>
        <w:rPr>
          <w:rFonts w:hint="default" w:ascii="Times New Roman Italic" w:hAnsi="Times New Roman Italic" w:cs="Times New Roman Italic"/>
          <w:b w:val="0"/>
          <w:bCs w:val="0"/>
          <w:i/>
          <w:iCs/>
          <w:sz w:val="24"/>
          <w:szCs w:val="24"/>
        </w:rPr>
        <w:t xml:space="preserve">Journal of Second Language Studies. </w:t>
      </w:r>
      <w:r>
        <w:rPr>
          <w:rFonts w:hint="default" w:ascii="Times New Roman" w:hAnsi="Times New Roman" w:cs="Times New Roman"/>
          <w:i w:val="0"/>
          <w:iCs w:val="0"/>
          <w:sz w:val="24"/>
          <w:szCs w:val="24"/>
        </w:rPr>
        <w:t>[E-journal].</w:t>
      </w:r>
      <w:r>
        <w:rPr>
          <w:rFonts w:hint="default" w:ascii="Times New Roman" w:hAnsi="Times New Roman" w:cs="Times New Roman"/>
          <w:b w:val="0"/>
          <w:bCs w:val="0"/>
          <w:i w:val="0"/>
          <w:iCs w:val="0"/>
          <w:sz w:val="24"/>
          <w:szCs w:val="24"/>
        </w:rPr>
        <w:t xml:space="preserve"> 1(2), pp. 254-275. </w:t>
      </w:r>
      <w:r>
        <w:rPr>
          <w:rFonts w:hint="default" w:ascii="Times New Roman" w:hAnsi="Times New Roman" w:cs="Times New Roman"/>
          <w:i w:val="0"/>
          <w:iCs w:val="0"/>
          <w:sz w:val="24"/>
          <w:szCs w:val="24"/>
        </w:rPr>
        <w:t xml:space="preserve">Available at: </w:t>
      </w:r>
      <w:r>
        <w:rPr>
          <w:rFonts w:hint="default" w:ascii="Times New Roman" w:hAnsi="Times New Roman" w:cs="Times New Roman"/>
          <w:i w:val="0"/>
          <w:iCs w:val="0"/>
          <w:sz w:val="24"/>
          <w:szCs w:val="24"/>
        </w:rPr>
        <w:fldChar w:fldCharType="begin"/>
      </w:r>
      <w:r>
        <w:rPr>
          <w:rFonts w:hint="default" w:ascii="Times New Roman" w:hAnsi="Times New Roman" w:cs="Times New Roman"/>
          <w:i w:val="0"/>
          <w:iCs w:val="0"/>
          <w:sz w:val="24"/>
          <w:szCs w:val="24"/>
        </w:rPr>
        <w:instrText xml:space="preserve"> HYPERLINK "https://doi-org.ezproxy.uwtsd.ac.uk/10.1111/j.1467-9922.2004.00247.x." </w:instrText>
      </w:r>
      <w:r>
        <w:rPr>
          <w:rFonts w:hint="default" w:ascii="Times New Roman" w:hAnsi="Times New Roman" w:cs="Times New Roman"/>
          <w:i w:val="0"/>
          <w:iCs w:val="0"/>
          <w:sz w:val="24"/>
          <w:szCs w:val="24"/>
        </w:rPr>
        <w:fldChar w:fldCharType="separate"/>
      </w:r>
      <w:r>
        <w:rPr>
          <w:rStyle w:val="3"/>
          <w:rFonts w:hint="default" w:ascii="Times New Roman" w:hAnsi="Times New Roman" w:cs="Times New Roman"/>
          <w:i w:val="0"/>
          <w:iCs w:val="0"/>
          <w:sz w:val="24"/>
          <w:szCs w:val="24"/>
        </w:rPr>
        <w:t>https://doi.org/10.1075/jsls.00003.sin.</w:t>
      </w:r>
      <w:r>
        <w:rPr>
          <w:rFonts w:hint="default" w:ascii="Times New Roman" w:hAnsi="Times New Roman" w:cs="Times New Roman"/>
          <w:i w:val="0"/>
          <w:iCs w:val="0"/>
          <w:sz w:val="24"/>
          <w:szCs w:val="24"/>
        </w:rPr>
        <w:fldChar w:fldCharType="end"/>
      </w:r>
      <w:r>
        <w:rPr>
          <w:rFonts w:hint="default" w:ascii="Times New Roman" w:hAnsi="Times New Roman" w:cs="Times New Roman"/>
          <w:i w:val="0"/>
          <w:iCs w:val="0"/>
          <w:sz w:val="24"/>
          <w:szCs w:val="24"/>
        </w:rPr>
        <w:t xml:space="preserve"> Accessed 12</w:t>
      </w:r>
      <w:r>
        <w:rPr>
          <w:rFonts w:hint="default" w:ascii="Times New Roman" w:hAnsi="Times New Roman" w:cs="Times New Roman"/>
          <w:i w:val="0"/>
          <w:iCs w:val="0"/>
          <w:sz w:val="24"/>
          <w:szCs w:val="24"/>
          <w:vertAlign w:val="superscript"/>
        </w:rPr>
        <w:t>th</w:t>
      </w:r>
      <w:r>
        <w:rPr>
          <w:rFonts w:hint="default" w:ascii="Times New Roman" w:hAnsi="Times New Roman" w:cs="Times New Roman"/>
          <w:i w:val="0"/>
          <w:iCs w:val="0"/>
          <w:sz w:val="24"/>
          <w:szCs w:val="24"/>
        </w:rPr>
        <w:t xml:space="preserve"> March 2021.</w:t>
      </w:r>
    </w:p>
    <w:p>
      <w:pPr>
        <w:numPr>
          <w:ilvl w:val="0"/>
          <w:numId w:val="0"/>
        </w:numPr>
        <w:spacing w:line="360" w:lineRule="auto"/>
        <w:rPr>
          <w:rFonts w:hint="default" w:ascii="Times New Roman" w:hAnsi="Times New Roman" w:cs="Times New Roman"/>
          <w:i w:val="0"/>
          <w:iCs w:val="0"/>
          <w:sz w:val="24"/>
          <w:szCs w:val="24"/>
        </w:rPr>
      </w:pPr>
    </w:p>
    <w:p>
      <w:pPr>
        <w:numPr>
          <w:ilvl w:val="0"/>
          <w:numId w:val="0"/>
        </w:numPr>
        <w:spacing w:line="360" w:lineRule="auto"/>
        <w:rPr>
          <w:rFonts w:hint="default" w:ascii="Times New Roman" w:hAnsi="Times New Roman" w:cs="Times New Roman"/>
          <w:i w:val="0"/>
          <w:iCs w:val="0"/>
          <w:sz w:val="24"/>
          <w:szCs w:val="24"/>
        </w:rPr>
      </w:pPr>
      <w:r>
        <w:rPr>
          <w:rFonts w:hint="default" w:ascii="Times New Roman" w:hAnsi="Times New Roman" w:cs="Times New Roman"/>
          <w:b w:val="0"/>
          <w:bCs w:val="0"/>
          <w:sz w:val="24"/>
          <w:szCs w:val="24"/>
        </w:rPr>
        <w:t xml:space="preserve">Singleton, D. &amp; Pfenninger S.E. 2019. Exploring a poorly understood variable: An agenda for classroom research on the age factor. </w:t>
      </w:r>
      <w:r>
        <w:rPr>
          <w:rFonts w:hint="default" w:ascii="Times New Roman Italic" w:hAnsi="Times New Roman Italic" w:cs="Times New Roman Italic"/>
          <w:b w:val="0"/>
          <w:bCs w:val="0"/>
          <w:i/>
          <w:iCs/>
          <w:sz w:val="24"/>
          <w:szCs w:val="24"/>
        </w:rPr>
        <w:t xml:space="preserve">Language Teaching.  </w:t>
      </w:r>
      <w:r>
        <w:rPr>
          <w:rFonts w:hint="default" w:ascii="Times New Roman" w:hAnsi="Times New Roman" w:cs="Times New Roman"/>
          <w:i w:val="0"/>
          <w:iCs w:val="0"/>
          <w:sz w:val="24"/>
          <w:szCs w:val="24"/>
        </w:rPr>
        <w:t>[E-journal].</w:t>
      </w:r>
      <w:r>
        <w:rPr>
          <w:rFonts w:hint="default" w:ascii="Times New Roman" w:hAnsi="Times New Roman" w:cs="Times New Roman"/>
          <w:b w:val="0"/>
          <w:bCs w:val="0"/>
          <w:i w:val="0"/>
          <w:iCs w:val="0"/>
          <w:sz w:val="24"/>
          <w:szCs w:val="24"/>
        </w:rPr>
        <w:t xml:space="preserve"> 52(1), pp. 111-127. </w:t>
      </w:r>
      <w:r>
        <w:rPr>
          <w:rFonts w:hint="default" w:ascii="Times New Roman" w:hAnsi="Times New Roman" w:cs="Times New Roman"/>
          <w:i w:val="0"/>
          <w:iCs w:val="0"/>
          <w:sz w:val="24"/>
          <w:szCs w:val="24"/>
        </w:rPr>
        <w:t>Available at: 10.1017/S02614448000319. Accessed 12</w:t>
      </w:r>
      <w:r>
        <w:rPr>
          <w:rFonts w:hint="default" w:ascii="Times New Roman" w:hAnsi="Times New Roman" w:cs="Times New Roman"/>
          <w:i w:val="0"/>
          <w:iCs w:val="0"/>
          <w:sz w:val="24"/>
          <w:szCs w:val="24"/>
          <w:vertAlign w:val="superscript"/>
        </w:rPr>
        <w:t>th</w:t>
      </w:r>
      <w:r>
        <w:rPr>
          <w:rFonts w:hint="default" w:ascii="Times New Roman" w:hAnsi="Times New Roman" w:cs="Times New Roman"/>
          <w:i w:val="0"/>
          <w:iCs w:val="0"/>
          <w:sz w:val="24"/>
          <w:szCs w:val="24"/>
        </w:rPr>
        <w:t xml:space="preserve"> March 2021.</w:t>
      </w:r>
    </w:p>
    <w:p>
      <w:pPr>
        <w:numPr>
          <w:ilvl w:val="0"/>
          <w:numId w:val="0"/>
        </w:numPr>
        <w:spacing w:line="360" w:lineRule="auto"/>
        <w:rPr>
          <w:rFonts w:hint="default" w:ascii="Times New Roman" w:hAnsi="Times New Roman" w:cs="Times New Roman"/>
          <w:i w:val="0"/>
          <w:iCs w:val="0"/>
          <w:sz w:val="24"/>
          <w:szCs w:val="24"/>
        </w:rPr>
      </w:pPr>
    </w:p>
    <w:p>
      <w:pPr>
        <w:numPr>
          <w:ilvl w:val="0"/>
          <w:numId w:val="0"/>
        </w:numPr>
        <w:spacing w:line="360" w:lineRule="auto"/>
        <w:rPr>
          <w:rFonts w:hint="default" w:ascii="Times New Roman" w:hAnsi="Times New Roman" w:cs="Times New Roman"/>
          <w:i w:val="0"/>
          <w:iCs w:val="0"/>
          <w:sz w:val="24"/>
          <w:szCs w:val="24"/>
        </w:rPr>
      </w:pPr>
      <w:r>
        <w:rPr>
          <w:rFonts w:hint="default" w:ascii="Times New Roman" w:hAnsi="Times New Roman" w:cs="Times New Roman"/>
          <w:i w:val="0"/>
          <w:iCs w:val="0"/>
          <w:sz w:val="24"/>
          <w:szCs w:val="24"/>
        </w:rPr>
        <w:t xml:space="preserve">Sylven, L.K. &amp; Sundqvist, P. 2012. Gaming as extramural English L2 learning and L2 proficiency among young learners. </w:t>
      </w:r>
      <w:r>
        <w:rPr>
          <w:rFonts w:hint="default" w:ascii="Times New Roman Italic" w:hAnsi="Times New Roman Italic" w:cs="Times New Roman Italic"/>
          <w:i/>
          <w:iCs/>
          <w:sz w:val="24"/>
          <w:szCs w:val="24"/>
        </w:rPr>
        <w:t>European Association for Computer Assisted Language Learning.</w:t>
      </w:r>
      <w:r>
        <w:rPr>
          <w:rFonts w:hint="default" w:ascii="Times New Roman" w:hAnsi="Times New Roman" w:cs="Times New Roman"/>
          <w:i w:val="0"/>
          <w:iCs w:val="0"/>
          <w:sz w:val="24"/>
          <w:szCs w:val="24"/>
        </w:rPr>
        <w:t xml:space="preserve"> [E-journal].</w:t>
      </w:r>
      <w:r>
        <w:rPr>
          <w:rFonts w:hint="default" w:ascii="Times New Roman" w:hAnsi="Times New Roman" w:cs="Times New Roman"/>
          <w:b w:val="0"/>
          <w:bCs w:val="0"/>
          <w:i w:val="0"/>
          <w:iCs w:val="0"/>
          <w:sz w:val="24"/>
          <w:szCs w:val="24"/>
        </w:rPr>
        <w:t xml:space="preserve"> 24(3), pp. 302-321. </w:t>
      </w:r>
      <w:r>
        <w:rPr>
          <w:rFonts w:hint="default" w:ascii="Times New Roman" w:hAnsi="Times New Roman" w:cs="Times New Roman"/>
          <w:i w:val="0"/>
          <w:iCs w:val="0"/>
          <w:sz w:val="24"/>
          <w:szCs w:val="24"/>
        </w:rPr>
        <w:t>Available at: 10.1017/S095834401200016X. Accessed 27</w:t>
      </w:r>
      <w:r>
        <w:rPr>
          <w:rFonts w:hint="default" w:ascii="Times New Roman" w:hAnsi="Times New Roman" w:cs="Times New Roman"/>
          <w:i w:val="0"/>
          <w:iCs w:val="0"/>
          <w:sz w:val="24"/>
          <w:szCs w:val="24"/>
          <w:vertAlign w:val="superscript"/>
        </w:rPr>
        <w:t>th</w:t>
      </w:r>
      <w:r>
        <w:rPr>
          <w:rFonts w:hint="default" w:ascii="Times New Roman" w:hAnsi="Times New Roman" w:cs="Times New Roman"/>
          <w:i w:val="0"/>
          <w:iCs w:val="0"/>
          <w:sz w:val="24"/>
          <w:szCs w:val="24"/>
        </w:rPr>
        <w:t xml:space="preserve"> March 2021.</w:t>
      </w:r>
    </w:p>
    <w:p>
      <w:pPr>
        <w:numPr>
          <w:ilvl w:val="0"/>
          <w:numId w:val="0"/>
        </w:numPr>
        <w:spacing w:line="360" w:lineRule="auto"/>
        <w:rPr>
          <w:rFonts w:hint="default" w:ascii="Times New Roman" w:hAnsi="Times New Roman" w:cs="Times New Roman"/>
          <w:i w:val="0"/>
          <w:iCs w:val="0"/>
          <w:sz w:val="24"/>
          <w:szCs w:val="24"/>
        </w:rPr>
      </w:pPr>
    </w:p>
    <w:p>
      <w:pPr>
        <w:numPr>
          <w:ilvl w:val="0"/>
          <w:numId w:val="0"/>
        </w:numPr>
        <w:spacing w:line="360" w:lineRule="auto"/>
        <w:rPr>
          <w:rFonts w:hint="default" w:ascii="Times New Roman" w:hAnsi="Times New Roman" w:cs="Times New Roman"/>
          <w:i w:val="0"/>
          <w:iCs w:val="0"/>
          <w:sz w:val="24"/>
          <w:szCs w:val="24"/>
        </w:rPr>
      </w:pPr>
      <w:r>
        <w:rPr>
          <w:rFonts w:hint="default" w:ascii="Times New Roman" w:hAnsi="Times New Roman" w:cs="Times New Roman"/>
          <w:i w:val="0"/>
          <w:iCs w:val="0"/>
          <w:sz w:val="24"/>
          <w:szCs w:val="24"/>
        </w:rPr>
        <w:t xml:space="preserve">Tomlinson, B. &amp; Masuhara, H. 2009. Playing to learn:A review of physical games in second language acquisition. </w:t>
      </w:r>
      <w:r>
        <w:rPr>
          <w:rFonts w:hint="default" w:ascii="Times New Roman Italic" w:hAnsi="Times New Roman Italic" w:cs="Times New Roman Italic"/>
          <w:i/>
          <w:iCs/>
          <w:sz w:val="24"/>
          <w:szCs w:val="24"/>
        </w:rPr>
        <w:t xml:space="preserve">Simulation&amp;Gaming. </w:t>
      </w:r>
      <w:r>
        <w:rPr>
          <w:rFonts w:hint="default" w:ascii="Times New Roman" w:hAnsi="Times New Roman" w:cs="Times New Roman"/>
          <w:i w:val="0"/>
          <w:iCs w:val="0"/>
          <w:sz w:val="24"/>
          <w:szCs w:val="24"/>
        </w:rPr>
        <w:t>[E-journal].</w:t>
      </w:r>
      <w:r>
        <w:rPr>
          <w:rFonts w:hint="default" w:ascii="Times New Roman" w:hAnsi="Times New Roman" w:cs="Times New Roman"/>
          <w:b w:val="0"/>
          <w:bCs w:val="0"/>
          <w:i w:val="0"/>
          <w:iCs w:val="0"/>
          <w:sz w:val="24"/>
          <w:szCs w:val="24"/>
        </w:rPr>
        <w:t xml:space="preserve"> 40(5), pp. 645-668. </w:t>
      </w:r>
      <w:r>
        <w:rPr>
          <w:rFonts w:hint="default" w:ascii="Times New Roman" w:hAnsi="Times New Roman" w:cs="Times New Roman"/>
          <w:i w:val="0"/>
          <w:iCs w:val="0"/>
          <w:sz w:val="24"/>
          <w:szCs w:val="24"/>
        </w:rPr>
        <w:t>Available at: 10.1117/1046878109339969. Accessed 27</w:t>
      </w:r>
      <w:r>
        <w:rPr>
          <w:rFonts w:hint="default" w:ascii="Times New Roman" w:hAnsi="Times New Roman" w:cs="Times New Roman"/>
          <w:i w:val="0"/>
          <w:iCs w:val="0"/>
          <w:sz w:val="24"/>
          <w:szCs w:val="24"/>
          <w:vertAlign w:val="superscript"/>
        </w:rPr>
        <w:t>th</w:t>
      </w:r>
      <w:r>
        <w:rPr>
          <w:rFonts w:hint="default" w:ascii="Times New Roman" w:hAnsi="Times New Roman" w:cs="Times New Roman"/>
          <w:i w:val="0"/>
          <w:iCs w:val="0"/>
          <w:sz w:val="24"/>
          <w:szCs w:val="24"/>
        </w:rPr>
        <w:t xml:space="preserve"> March 2021.</w:t>
      </w:r>
    </w:p>
    <w:p>
      <w:pPr>
        <w:numPr>
          <w:ilvl w:val="0"/>
          <w:numId w:val="0"/>
        </w:numPr>
        <w:spacing w:line="360" w:lineRule="auto"/>
        <w:rPr>
          <w:rFonts w:hint="default" w:ascii="Times New Roman" w:hAnsi="Times New Roman" w:cs="Times New Roman"/>
          <w:i w:val="0"/>
          <w:iCs w:val="0"/>
          <w:sz w:val="24"/>
          <w:szCs w:val="24"/>
        </w:rPr>
      </w:pPr>
    </w:p>
    <w:p>
      <w:pPr>
        <w:numPr>
          <w:ilvl w:val="0"/>
          <w:numId w:val="0"/>
        </w:numPr>
        <w:spacing w:line="360" w:lineRule="auto"/>
        <w:rPr>
          <w:rFonts w:hint="default" w:ascii="Times New Roman" w:hAnsi="Times New Roman" w:cs="Times New Roman"/>
          <w:i w:val="0"/>
          <w:iCs w:val="0"/>
          <w:sz w:val="24"/>
          <w:szCs w:val="24"/>
          <w:lang w:eastAsia="zh-CN"/>
        </w:rPr>
      </w:pPr>
      <w:r>
        <w:rPr>
          <w:rFonts w:hint="default" w:ascii="Times New Roman" w:hAnsi="Times New Roman" w:cs="Times New Roman"/>
          <w:i w:val="0"/>
          <w:iCs w:val="0"/>
          <w:sz w:val="24"/>
          <w:szCs w:val="24"/>
          <w:lang w:eastAsia="zh-CN"/>
        </w:rPr>
        <w:t>Vygotsky, L.S. 1978.</w:t>
      </w:r>
      <w:r>
        <w:rPr>
          <w:rFonts w:hint="default" w:ascii="Times New Roman Italic" w:hAnsi="Times New Roman Italic" w:cs="Times New Roman Italic"/>
          <w:i/>
          <w:iCs/>
          <w:sz w:val="24"/>
          <w:szCs w:val="24"/>
          <w:lang w:eastAsia="zh-CN"/>
        </w:rPr>
        <w:t xml:space="preserve"> Mind in society: The development of higher psychological processes.</w:t>
      </w:r>
      <w:r>
        <w:rPr>
          <w:rFonts w:hint="default" w:ascii="Times New Roman" w:hAnsi="Times New Roman" w:cs="Times New Roman"/>
          <w:i w:val="0"/>
          <w:iCs w:val="0"/>
          <w:sz w:val="24"/>
          <w:szCs w:val="24"/>
          <w:lang w:eastAsia="zh-CN"/>
        </w:rPr>
        <w:t xml:space="preserve"> Cambridge, MA: Cambridge University Press.</w:t>
      </w:r>
    </w:p>
    <w:p>
      <w:pPr>
        <w:numPr>
          <w:ilvl w:val="0"/>
          <w:numId w:val="0"/>
        </w:numPr>
        <w:spacing w:line="360" w:lineRule="auto"/>
        <w:rPr>
          <w:rFonts w:hint="default" w:ascii="Times New Roman" w:hAnsi="Times New Roman" w:cs="Times New Roman"/>
          <w:i w:val="0"/>
          <w:iCs w:val="0"/>
          <w:sz w:val="24"/>
          <w:szCs w:val="24"/>
        </w:rPr>
      </w:pPr>
    </w:p>
    <w:p>
      <w:pPr>
        <w:numPr>
          <w:ilvl w:val="0"/>
          <w:numId w:val="0"/>
        </w:numPr>
        <w:spacing w:line="360" w:lineRule="auto"/>
        <w:rPr>
          <w:rFonts w:hint="default" w:ascii="Times New Roman" w:hAnsi="Times New Roman" w:cs="Times New Roman"/>
          <w:i w:val="0"/>
          <w:iCs w:val="0"/>
          <w:sz w:val="24"/>
          <w:szCs w:val="24"/>
        </w:rPr>
      </w:pPr>
    </w:p>
    <w:p>
      <w:pPr>
        <w:numPr>
          <w:ilvl w:val="0"/>
          <w:numId w:val="0"/>
        </w:numPr>
        <w:spacing w:line="360" w:lineRule="auto"/>
        <w:rPr>
          <w:rFonts w:hint="default" w:ascii="Times New Roman Regular" w:hAnsi="Times New Roman Regular" w:cs="Times New Roman Regular"/>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PingFangHK">
    <w:altName w:val="苹方-简"/>
    <w:panose1 w:val="00000000000000000000"/>
    <w:charset w:val="00"/>
    <w:family w:val="auto"/>
    <w:pitch w:val="default"/>
    <w:sig w:usb0="00000000" w:usb1="00000000" w:usb2="00000000" w:usb3="00000000" w:csb0="00000000" w:csb1="00000000"/>
  </w:font>
  <w:font w:name="Tahoma">
    <w:panose1 w:val="020B0804030504040204"/>
    <w:charset w:val="00"/>
    <w:family w:val="auto"/>
    <w:pitch w:val="default"/>
    <w:sig w:usb0="E1002AFF" w:usb1="C000605B" w:usb2="00000029" w:usb3="00000000" w:csb0="200101FF" w:csb1="20280000"/>
  </w:font>
  <w:font w:name="AEFPCL+TimesNewRoman">
    <w:altName w:val="苹方-简"/>
    <w:panose1 w:val="00000000000000000000"/>
    <w:charset w:val="00"/>
    <w:family w:val="roman"/>
    <w:pitch w:val="default"/>
    <w:sig w:usb0="00000000" w:usb1="00000000" w:usb2="00000010" w:usb3="00000000" w:csb0="00040000" w:csb1="00000000"/>
  </w:font>
  <w:font w:name="PMingLiU">
    <w:altName w:val="宋体-繁"/>
    <w:panose1 w:val="02020500000000000000"/>
    <w:charset w:val="00"/>
    <w:family w:val="roman"/>
    <w:pitch w:val="default"/>
    <w:sig w:usb0="00000000" w:usb1="00000000" w:usb2="00000016" w:usb3="00000000" w:csb0="00100001" w:csb1="00000000"/>
  </w:font>
  <w:font w:name="Comic Sans MS">
    <w:panose1 w:val="030F0902030302020204"/>
    <w:charset w:val="00"/>
    <w:family w:val="script"/>
    <w:pitch w:val="default"/>
    <w:sig w:usb0="00000287" w:usb1="00000000" w:usb2="00000000" w:usb3="00000000" w:csb0="2000009F" w:csb1="00000000"/>
  </w:font>
  <w:font w:name="Cheltenham-Book">
    <w:altName w:val="苹方-简"/>
    <w:panose1 w:val="00000000000000000000"/>
    <w:charset w:val="00"/>
    <w:family w:val="roman"/>
    <w:pitch w:val="default"/>
    <w:sig w:usb0="00000000" w:usb1="00000000" w:usb2="00000000" w:usb3="00000000" w:csb0="00000001" w:csb1="00000000"/>
  </w:font>
  <w:font w:name="宋体-繁">
    <w:panose1 w:val="02010600040101010101"/>
    <w:charset w:val="86"/>
    <w:family w:val="auto"/>
    <w:pitch w:val="default"/>
    <w:sig w:usb0="00000287" w:usb1="080F0000" w:usb2="00000000" w:usb3="00000000" w:csb0="0004009F" w:csb1="DFD70000"/>
  </w:font>
  <w:font w:name="Comic Sans MS Regular">
    <w:panose1 w:val="030F0902030302020204"/>
    <w:charset w:val="00"/>
    <w:family w:val="auto"/>
    <w:pitch w:val="default"/>
    <w:sig w:usb0="00000287" w:usb1="00000000" w:usb2="00000000" w:usb3="00000000" w:csb0="2000009F" w:csb1="00000000"/>
  </w:font>
  <w:font w:name="Times New Roman Regular">
    <w:panose1 w:val="02020503050405090304"/>
    <w:charset w:val="00"/>
    <w:family w:val="auto"/>
    <w:pitch w:val="default"/>
    <w:sig w:usb0="E0000AFF" w:usb1="00007843" w:usb2="00000001" w:usb3="00000000" w:csb0="400001BF" w:csb1="DFF70000"/>
  </w:font>
  <w:font w:name="冬青黑体简体中文">
    <w:panose1 w:val="020B0300000000000000"/>
    <w:charset w:val="86"/>
    <w:family w:val="auto"/>
    <w:pitch w:val="default"/>
    <w:sig w:usb0="A00002BF" w:usb1="1ACF7CFA" w:usb2="00000016" w:usb3="00000000" w:csb0="00060007" w:csb1="00000000"/>
  </w:font>
  <w:font w:name="Times New Roman Bold">
    <w:panose1 w:val="02020503050405090304"/>
    <w:charset w:val="00"/>
    <w:family w:val="auto"/>
    <w:pitch w:val="default"/>
    <w:sig w:usb0="E0000AFF" w:usb1="00007843" w:usb2="00000001" w:usb3="00000000" w:csb0="400001BF" w:csb1="DFF70000"/>
  </w:font>
  <w:font w:name="Times New Roman Italic">
    <w:panose1 w:val="02020503050405090304"/>
    <w:charset w:val="00"/>
    <w:family w:val="auto"/>
    <w:pitch w:val="default"/>
    <w:sig w:usb0="E0000AFF" w:usb1="00007843" w:usb2="00000001" w:usb3="00000000" w:csb0="400001BF" w:csb1="DFF70000"/>
  </w:font>
  <w:font w:name="Arial">
    <w:panose1 w:val="020B0604020202090204"/>
    <w:charset w:val="00"/>
    <w:family w:val="auto"/>
    <w:pitch w:val="default"/>
    <w:sig w:usb0="E0000AFF" w:usb1="00007843" w:usb2="00000001" w:usb3="00000000" w:csb0="400001BF" w:csb1="DFF70000"/>
  </w:font>
  <w:font w:name="公文小标宋简">
    <w:altName w:val="苹方-简"/>
    <w:panose1 w:val="02010609010101010101"/>
    <w:charset w:val="00"/>
    <w:family w:val="modern"/>
    <w:pitch w:val="default"/>
    <w:sig w:usb0="00000000" w:usb1="00000000" w:usb2="00000010" w:usb3="00000000" w:csb0="00040000" w:csb1="00000000"/>
  </w:font>
  <w:font w:name="黑体">
    <w:altName w:val="汉仪中黑KW"/>
    <w:panose1 w:val="02010609060101010101"/>
    <w:charset w:val="00"/>
    <w:family w:val="modern"/>
    <w:pitch w:val="default"/>
    <w:sig w:usb0="00000000" w:usb1="00000000" w:usb2="00000016" w:usb3="00000000" w:csb0="00040001" w:csb1="00000000"/>
  </w:font>
  <w:font w:name="仿宋_GB2312">
    <w:altName w:val="方正仿宋_GBK"/>
    <w:panose1 w:val="020B0604020202020204"/>
    <w:charset w:val="00"/>
    <w:family w:val="auto"/>
    <w:pitch w:val="default"/>
    <w:sig w:usb0="00000000" w:usb1="00000000" w:usb2="00000000" w:usb3="00000000" w:csb0="00040000" w:csb1="00000000"/>
  </w:font>
  <w:font w:name="华文中宋">
    <w:altName w:val="苹方-简"/>
    <w:panose1 w:val="02010600040101010101"/>
    <w:charset w:val="00"/>
    <w:family w:val="auto"/>
    <w:pitch w:val="default"/>
    <w:sig w:usb0="00000000" w:usb1="00000000" w:usb2="00000010" w:usb3="00000000" w:csb0="0004009F" w:csb1="00000000"/>
  </w:font>
  <w:font w:name="Songti TC Light">
    <w:panose1 w:val="02010600040101010101"/>
    <w:charset w:val="86"/>
    <w:family w:val="auto"/>
    <w:pitch w:val="default"/>
    <w:sig w:usb0="00000287" w:usb1="080F0000" w:usb2="00000000" w:usb3="00000000" w:csb0="0004009F" w:csb1="DFD70000"/>
  </w:font>
  <w:font w:name="汉仪中黑KW">
    <w:panose1 w:val="00020600040101010101"/>
    <w:charset w:val="86"/>
    <w:family w:val="auto"/>
    <w:pitch w:val="default"/>
    <w:sig w:usb0="A00002BF" w:usb1="18EF7CFA" w:usb2="00000016" w:usb3="00000000" w:csb0="00040000" w:csb1="00000000"/>
  </w:font>
  <w:font w:name="方正仿宋_GBK">
    <w:panose1 w:val="02000000000000000000"/>
    <w:charset w:val="86"/>
    <w:family w:val="auto"/>
    <w:pitch w:val="default"/>
    <w:sig w:usb0="A00002BF" w:usb1="38CF7CFA" w:usb2="00082016" w:usb3="00000000" w:csb0="00040001" w:csb1="00000000"/>
  </w:font>
  <w:font w:name="Times">
    <w:panose1 w:val="00000500000000020000"/>
    <w:charset w:val="00"/>
    <w:family w:val="roman"/>
    <w:pitch w:val="default"/>
    <w:sig w:usb0="E00002FF" w:usb1="5000205A" w:usb2="00000000" w:usb3="00000000" w:csb0="2000019F" w:csb1="4F010000"/>
  </w:font>
  <w:font w:name="Lucida Grande">
    <w:panose1 w:val="020B0600040502020204"/>
    <w:charset w:val="00"/>
    <w:family w:val="auto"/>
    <w:pitch w:val="default"/>
    <w:sig w:usb0="E1000AEF" w:usb1="5000A1FF" w:usb2="00000000" w:usb3="00000000" w:csb0="200001BF" w:csb1="4F010000"/>
  </w:font>
  <w:font w:name="Code">
    <w:altName w:val="苹方-简"/>
    <w:panose1 w:val="00000000000000000000"/>
    <w:charset w:val="00"/>
    <w:family w:val="swiss"/>
    <w:pitch w:val="default"/>
    <w:sig w:usb0="00000000" w:usb1="00000000" w:usb2="00000010" w:usb3="00000000" w:csb0="00040000" w:csb1="00000000"/>
  </w:font>
  <w:font w:name="RealpagePAL3">
    <w:altName w:val="苹方-简"/>
    <w:panose1 w:val="00000000000000000000"/>
    <w:charset w:val="00"/>
    <w:family w:val="swiss"/>
    <w:pitch w:val="default"/>
    <w:sig w:usb0="00000000" w:usb1="00000000" w:usb2="00000000" w:usb3="00000000" w:csb0="00000001" w:csb1="00000000"/>
  </w:font>
  <w:font w:name="AdobeSongStd-Light">
    <w:altName w:val="苹方-简"/>
    <w:panose1 w:val="00000000000000000000"/>
    <w:charset w:val="00"/>
    <w:family w:val="auto"/>
    <w:pitch w:val="default"/>
    <w:sig w:usb0="00000000" w:usb1="00000000" w:usb2="0000001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46E840"/>
    <w:multiLevelType w:val="singleLevel"/>
    <w:tmpl w:val="6046E840"/>
    <w:lvl w:ilvl="0" w:tentative="0">
      <w:start w:val="3"/>
      <w:numFmt w:val="decimal"/>
      <w:suff w:val="nothing"/>
      <w:lvlText w:val="%1."/>
      <w:lvlJc w:val="left"/>
    </w:lvl>
  </w:abstractNum>
  <w:abstractNum w:abstractNumId="1">
    <w:nsid w:val="6049CFB0"/>
    <w:multiLevelType w:val="singleLevel"/>
    <w:tmpl w:val="6049CFB0"/>
    <w:lvl w:ilvl="0" w:tentative="0">
      <w:start w:val="2"/>
      <w:numFmt w:val="decimal"/>
      <w:suff w:val="space"/>
      <w:lvlText w:val="%1."/>
      <w:lvlJc w:val="left"/>
    </w:lvl>
  </w:abstractNum>
  <w:abstractNum w:abstractNumId="2">
    <w:nsid w:val="604C2C0A"/>
    <w:multiLevelType w:val="singleLevel"/>
    <w:tmpl w:val="604C2C0A"/>
    <w:lvl w:ilvl="0" w:tentative="0">
      <w:start w:val="1"/>
      <w:numFmt w:val="decimal"/>
      <w:suff w:val="space"/>
      <w:lvlText w:val="%1."/>
      <w:lvlJc w:val="left"/>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6"/>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B7DC409"/>
    <w:rsid w:val="176F5799"/>
    <w:rsid w:val="2B7DC409"/>
    <w:rsid w:val="2EFDE6B3"/>
    <w:rsid w:val="33E7DB89"/>
    <w:rsid w:val="36BFE795"/>
    <w:rsid w:val="37F7CD2C"/>
    <w:rsid w:val="3BDF6048"/>
    <w:rsid w:val="53E7D517"/>
    <w:rsid w:val="63FE646C"/>
    <w:rsid w:val="67EBA538"/>
    <w:rsid w:val="6B3B6CE9"/>
    <w:rsid w:val="77BD5E08"/>
    <w:rsid w:val="7B6B4DEA"/>
    <w:rsid w:val="7B7A2FB1"/>
    <w:rsid w:val="7D598D85"/>
    <w:rsid w:val="7F6758EE"/>
    <w:rsid w:val="7FAF93BD"/>
    <w:rsid w:val="7FB6981C"/>
    <w:rsid w:val="7FFF546E"/>
    <w:rsid w:val="8CD427C7"/>
    <w:rsid w:val="9EFF3EFA"/>
    <w:rsid w:val="A7268DE0"/>
    <w:rsid w:val="B04B310A"/>
    <w:rsid w:val="BDBEDD4F"/>
    <w:rsid w:val="BE4FDBD9"/>
    <w:rsid w:val="CD78046A"/>
    <w:rsid w:val="D7DB776A"/>
    <w:rsid w:val="F0FA848E"/>
    <w:rsid w:val="F37EF905"/>
    <w:rsid w:val="F7EBB73E"/>
    <w:rsid w:val="FA3F5894"/>
    <w:rsid w:val="FC1BAF91"/>
    <w:rsid w:val="FF3E4232"/>
    <w:rsid w:val="FFFF9A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character" w:styleId="3">
    <w:name w:val="Hyperlink"/>
    <w:basedOn w:val="2"/>
    <w:qFormat/>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Office_2.6.1.4274_F1E327BC-269C-435d-A152-05C5408002CA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2020-10-08T10:44:00Z</dcterms:created>
  <dc:creator>wangyuwen</dc:creator>
  <cp:lastModifiedBy>wangyuwen</cp:lastModifiedBy>
  <dcterms:modified xsi:type="dcterms:W3CDTF">2021-04-15T10:37:49Z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2052-2.6.1.4274</vt:lpwstr>
  </property>
</Properties>
</file>