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C7447" w14:textId="77777777" w:rsidR="00C63699" w:rsidRDefault="00000000">
      <w:pPr>
        <w:pStyle w:val="Heading1"/>
      </w:pPr>
      <w:r>
        <w:t>Component 2: Mixed Methods Approach to Educational Research</w:t>
      </w:r>
    </w:p>
    <w:p w14:paraId="2434F679" w14:textId="60B224B2" w:rsidR="00DB40FD" w:rsidRPr="00DB40FD" w:rsidRDefault="00DB40FD" w:rsidP="00DB40FD">
      <w:r>
        <w:t>Joanne Purchase</w:t>
      </w:r>
    </w:p>
    <w:p w14:paraId="3AA589A8" w14:textId="77777777" w:rsidR="00C63699" w:rsidRDefault="00000000">
      <w:pPr>
        <w:pStyle w:val="Heading2"/>
      </w:pPr>
      <w:r>
        <w:t>Introduction</w:t>
      </w:r>
    </w:p>
    <w:p w14:paraId="7B9EBEE8" w14:textId="12A02001" w:rsidR="00C63699" w:rsidRDefault="00000000">
      <w:r>
        <w:t xml:space="preserve">This </w:t>
      </w:r>
      <w:r w:rsidR="009C58BB">
        <w:t>paper</w:t>
      </w:r>
      <w:r>
        <w:t xml:space="preserve"> sets out to justify a mixed methods approach in response to the research question: ‘How do male Chinese students with diverse gender identities perceive and access support services provided by the university?’ The question demands an approach that accommodates both the measurable aspects of service engagement (e.g., awareness, frequency, accessibility) and the contextual richness of personal, cultural, and gendered experiences. A purely quantitative approach may capture patterns and associations, but it would risk overlooking the complex meaning-making processes that influence engagement. Similarly, a qualitative-only approach may offer depth but lacks the breadth and generalisability that institutions need to inform policy and practice. </w:t>
      </w:r>
    </w:p>
    <w:p w14:paraId="140EB20F" w14:textId="77777777" w:rsidR="00C63699" w:rsidRDefault="00000000">
      <w:r>
        <w:t>Creswell (2008) defines mixed methods as an approach that strategically integrates both qualitative and quantitative elements within a single study. This aligns with the pragmatic paradigm, which supports methodological flexibility in service of answering research questions effectively (Johnson &amp; Onwuegbuzie, 2004). Cohen, Manion and Morrison (2018) support this argument, noting that educational research often sits at the intersection of lived experience and institutional systems, making multiple methods not only beneficial but necessary.</w:t>
      </w:r>
    </w:p>
    <w:p w14:paraId="12D1B2F5" w14:textId="77777777" w:rsidR="00C63699" w:rsidRDefault="00000000">
      <w:r>
        <w:t xml:space="preserve">Furthermore, this research responds to Weaver-Hightower’s (2003) call for the ‘boy turn’ in gender and education research, which urges attention to boys’ and men’s experiences, particularly where these intersect with marginalisation. The unique challenges faced by male Chinese students who identify outside traditional gender norms require a methodology that captures how cultural norms, internalised expectations, and social stigma affect service access. This is where qualitative insights become invaluable, helping researchers uncover hidden barriers, emotional dynamics, and identity negotiation processes. </w:t>
      </w:r>
    </w:p>
    <w:p w14:paraId="11CB1BC0" w14:textId="77777777" w:rsidR="00C63699" w:rsidRDefault="00000000">
      <w:r>
        <w:t xml:space="preserve">The mixed methods approach is also supported by recent lecture content (Session 18.02.25), which distinguishes between the philosophical positioning of methodology and the practical tools of method. This study adopts a methodology informed by pragmatism and a commitment to inclusive practice (Session 25.03.25), combining a Likert-scale questionnaire with semi-structured interviews. In doing so, it aims to produce findings that are both representative and resonant—supporting evidence-based institutional improvements while amplifying student voice. </w:t>
      </w:r>
    </w:p>
    <w:p w14:paraId="458DA6EF" w14:textId="77777777" w:rsidR="009C58BB" w:rsidRPr="009C58BB" w:rsidRDefault="009C58BB" w:rsidP="009C58BB">
      <w:pPr>
        <w:rPr>
          <w:b/>
          <w:bCs/>
          <w:lang w:val="en-GB"/>
        </w:rPr>
      </w:pPr>
      <w:r w:rsidRPr="009C58BB">
        <w:rPr>
          <w:b/>
          <w:bCs/>
          <w:lang w:val="en-GB"/>
        </w:rPr>
        <w:t>Main Body 1: Justifying the Mixed Methods Approach</w:t>
      </w:r>
    </w:p>
    <w:p w14:paraId="6649EAF3" w14:textId="77777777" w:rsidR="009C58BB" w:rsidRPr="009C58BB" w:rsidRDefault="009C58BB" w:rsidP="009C58BB">
      <w:pPr>
        <w:rPr>
          <w:lang w:val="en-GB"/>
        </w:rPr>
      </w:pPr>
      <w:r w:rsidRPr="009C58BB">
        <w:rPr>
          <w:lang w:val="en-GB"/>
        </w:rPr>
        <w:t xml:space="preserve">The decision to adopt a mixed methods approach is rooted in the need to address both the breadth and depth of the research question: “How do male Chinese students with diverse </w:t>
      </w:r>
      <w:r w:rsidRPr="009C58BB">
        <w:rPr>
          <w:lang w:val="en-GB"/>
        </w:rPr>
        <w:lastRenderedPageBreak/>
        <w:t>gender identities perceive and access support services provided by the university?” The intersectional and sensitive nature of the topic requires a design that can quantify patterns of engagement while simultaneously interpreting the sociocultural meanings behind those behaviours.</w:t>
      </w:r>
    </w:p>
    <w:p w14:paraId="3CC75B19" w14:textId="77777777" w:rsidR="009C58BB" w:rsidRPr="009C58BB" w:rsidRDefault="009C58BB" w:rsidP="009C58BB">
      <w:pPr>
        <w:rPr>
          <w:lang w:val="en-GB"/>
        </w:rPr>
      </w:pPr>
      <w:r w:rsidRPr="009C58BB">
        <w:rPr>
          <w:lang w:val="en-GB"/>
        </w:rPr>
        <w:t xml:space="preserve">According to Creswell (2008), mixed methods research allows researchers to draw on the strengths of both quantitative and qualitative paradigms, offering a more complete understanding of research problems than either method alone. This study will utilise a </w:t>
      </w:r>
      <w:r w:rsidRPr="009C58BB">
        <w:rPr>
          <w:b/>
          <w:bCs/>
          <w:lang w:val="en-GB"/>
        </w:rPr>
        <w:t>convergent parallel design</w:t>
      </w:r>
      <w:r w:rsidRPr="009C58BB">
        <w:rPr>
          <w:lang w:val="en-GB"/>
        </w:rPr>
        <w:t>, where both data types are collected simultaneously and integrated during analysis. This approach supports Cohen, Manion, and Morrison’s (2018) argument that combining methodologies enhances the explanatory power of research, particularly in educational contexts where variables are deeply embedded in social and institutional frameworks.</w:t>
      </w:r>
    </w:p>
    <w:p w14:paraId="46FE9A5C" w14:textId="77777777" w:rsidR="009C58BB" w:rsidRPr="009C58BB" w:rsidRDefault="009C58BB" w:rsidP="009C58BB">
      <w:pPr>
        <w:rPr>
          <w:lang w:val="en-GB"/>
        </w:rPr>
      </w:pPr>
      <w:r w:rsidRPr="009C58BB">
        <w:rPr>
          <w:lang w:val="en-GB"/>
        </w:rPr>
        <w:t xml:space="preserve">The use of </w:t>
      </w:r>
      <w:r w:rsidRPr="009C58BB">
        <w:rPr>
          <w:b/>
          <w:bCs/>
          <w:lang w:val="en-GB"/>
        </w:rPr>
        <w:t>quantitative methods</w:t>
      </w:r>
      <w:r w:rsidRPr="009C58BB">
        <w:rPr>
          <w:lang w:val="en-GB"/>
        </w:rPr>
        <w:t>, such as a Likert-scale survey, enables the researcher to measure frequencies of support service use and perceived accessibility among a broader population. This supports generalisability and the identification of trends. The lecture materials on quantitative research (Quantitative Data Presentation, 2025) highlight the importance of operationalising variables—such as “accessibility” or “satisfaction”—to produce statistically analysable data.</w:t>
      </w:r>
    </w:p>
    <w:p w14:paraId="307491D1" w14:textId="77777777" w:rsidR="009C58BB" w:rsidRPr="009C58BB" w:rsidRDefault="009C58BB" w:rsidP="009C58BB">
      <w:pPr>
        <w:rPr>
          <w:lang w:val="en-GB"/>
        </w:rPr>
      </w:pPr>
      <w:r w:rsidRPr="009C58BB">
        <w:rPr>
          <w:lang w:val="en-GB"/>
        </w:rPr>
        <w:t xml:space="preserve">However, these patterns alone cannot fully explain </w:t>
      </w:r>
      <w:r w:rsidRPr="009C58BB">
        <w:rPr>
          <w:i/>
          <w:iCs/>
          <w:lang w:val="en-GB"/>
        </w:rPr>
        <w:t>why</w:t>
      </w:r>
      <w:r w:rsidRPr="009C58BB">
        <w:rPr>
          <w:lang w:val="en-GB"/>
        </w:rPr>
        <w:t xml:space="preserve"> certain students may avoid or underutilise services. This is where </w:t>
      </w:r>
      <w:r w:rsidRPr="009C58BB">
        <w:rPr>
          <w:b/>
          <w:bCs/>
          <w:lang w:val="en-GB"/>
        </w:rPr>
        <w:t>qualitative methods</w:t>
      </w:r>
      <w:r w:rsidRPr="009C58BB">
        <w:rPr>
          <w:lang w:val="en-GB"/>
        </w:rPr>
        <w:t>—namely semi-structured interviews—provide value by exploring lived experiences, social pressures, and identity negotiations that numbers cannot capture (Leavy, 2017). As Weaver-Hightower (2003) asserts, research into boys' educational experiences must be sensitive to diverse masculinities and the nuanced ways they are constructed and constrained in specific cultural contexts.</w:t>
      </w:r>
    </w:p>
    <w:p w14:paraId="030AC2F7" w14:textId="77777777" w:rsidR="009C58BB" w:rsidRPr="009C58BB" w:rsidRDefault="009C58BB" w:rsidP="009C58BB">
      <w:pPr>
        <w:rPr>
          <w:lang w:val="en-GB"/>
        </w:rPr>
      </w:pPr>
      <w:r w:rsidRPr="009C58BB">
        <w:rPr>
          <w:lang w:val="en-GB"/>
        </w:rPr>
        <w:t xml:space="preserve">The </w:t>
      </w:r>
      <w:r w:rsidRPr="009C58BB">
        <w:rPr>
          <w:b/>
          <w:bCs/>
          <w:lang w:val="en-GB"/>
        </w:rPr>
        <w:t>pragmatic paradigm</w:t>
      </w:r>
      <w:r w:rsidRPr="009C58BB">
        <w:rPr>
          <w:lang w:val="en-GB"/>
        </w:rPr>
        <w:t>, as discussed in the lecture on research methodology (Session 18.02.25), allows the researcher to work across paradigms, focusing on the research question rather than strict philosophical allegiance. Pragmatism values methodological flexibility and encourages the use of “what works” (Johnson &amp; Onwuegbuzie, 2004), which in this case involves pairing numerical insights with narrative depth. In line with BERA (2018), the chosen approach also supports inclusive, ethically sound research that elevates underrepresented voices while contributing meaningfully to policy and institutional practice.</w:t>
      </w:r>
    </w:p>
    <w:p w14:paraId="5CC452DD" w14:textId="77777777" w:rsidR="009C58BB" w:rsidRPr="009C58BB" w:rsidRDefault="009C58BB" w:rsidP="009C58BB">
      <w:pPr>
        <w:rPr>
          <w:b/>
          <w:bCs/>
          <w:lang w:val="en-GB"/>
        </w:rPr>
      </w:pPr>
      <w:r w:rsidRPr="009C58BB">
        <w:rPr>
          <w:b/>
          <w:bCs/>
          <w:lang w:val="en-GB"/>
        </w:rPr>
        <w:t>Main Body 2: Data Collection and Analysis Plan</w:t>
      </w:r>
    </w:p>
    <w:p w14:paraId="72ABD83A" w14:textId="77777777" w:rsidR="009C58BB" w:rsidRPr="009C58BB" w:rsidRDefault="009C58BB" w:rsidP="009C58BB">
      <w:pPr>
        <w:rPr>
          <w:lang w:val="en-GB"/>
        </w:rPr>
      </w:pPr>
      <w:r w:rsidRPr="009C58BB">
        <w:rPr>
          <w:lang w:val="en-GB"/>
        </w:rPr>
        <w:t xml:space="preserve">To address the research question critically and meaningfully, this study will employ a </w:t>
      </w:r>
      <w:r w:rsidRPr="009C58BB">
        <w:rPr>
          <w:b/>
          <w:bCs/>
          <w:lang w:val="en-GB"/>
        </w:rPr>
        <w:t>convergent mixed methods design</w:t>
      </w:r>
      <w:r w:rsidRPr="009C58BB">
        <w:rPr>
          <w:lang w:val="en-GB"/>
        </w:rPr>
        <w:t xml:space="preserve"> wherein both qualitative and quantitative data are collected concurrently, analysed independently, and then integrated during interpretation. This structure supports a balanced representation of generalisable trends and in-depth </w:t>
      </w:r>
      <w:r w:rsidRPr="009C58BB">
        <w:rPr>
          <w:lang w:val="en-GB"/>
        </w:rPr>
        <w:lastRenderedPageBreak/>
        <w:t>personal narratives, allowing for richer, multi-layered insights (Creswell &amp; Plano Clark, 2011).</w:t>
      </w:r>
    </w:p>
    <w:p w14:paraId="45931125" w14:textId="77777777" w:rsidR="009C58BB" w:rsidRPr="009C58BB" w:rsidRDefault="009C58BB" w:rsidP="009C58BB">
      <w:pPr>
        <w:rPr>
          <w:b/>
          <w:bCs/>
          <w:lang w:val="en-GB"/>
        </w:rPr>
      </w:pPr>
      <w:r w:rsidRPr="009C58BB">
        <w:rPr>
          <w:b/>
          <w:bCs/>
          <w:lang w:val="en-GB"/>
        </w:rPr>
        <w:t>Quantitative Data Collection</w:t>
      </w:r>
    </w:p>
    <w:p w14:paraId="36059DD2" w14:textId="77777777" w:rsidR="009C58BB" w:rsidRPr="009C58BB" w:rsidRDefault="009C58BB" w:rsidP="009C58BB">
      <w:pPr>
        <w:rPr>
          <w:lang w:val="en-GB"/>
        </w:rPr>
      </w:pPr>
      <w:r w:rsidRPr="009C58BB">
        <w:rPr>
          <w:lang w:val="en-GB"/>
        </w:rPr>
        <w:t xml:space="preserve">The quantitative strand will use a </w:t>
      </w:r>
      <w:r w:rsidRPr="009C58BB">
        <w:rPr>
          <w:b/>
          <w:bCs/>
          <w:lang w:val="en-GB"/>
        </w:rPr>
        <w:t>structured questionnaire</w:t>
      </w:r>
      <w:r w:rsidRPr="009C58BB">
        <w:rPr>
          <w:lang w:val="en-GB"/>
        </w:rPr>
        <w:t xml:space="preserve">, distributed online to male Chinese students across multiple university departments. Questions will capture data on students’ awareness, frequency of access, perceived barriers, and satisfaction with support services. Most items will utilise a </w:t>
      </w:r>
      <w:r w:rsidRPr="009C58BB">
        <w:rPr>
          <w:b/>
          <w:bCs/>
          <w:lang w:val="en-GB"/>
        </w:rPr>
        <w:t>Likert scale</w:t>
      </w:r>
      <w:r w:rsidRPr="009C58BB">
        <w:rPr>
          <w:lang w:val="en-GB"/>
        </w:rPr>
        <w:t>, enabling ordinal-level data collection. As outlined in the Quantitative Data Presentation (2025), such scales are particularly effective in capturing perceptions and attitudes. However, as Cohen et al. (2018) caution, care must be taken to ensure internal consistency and cultural appropriateness of terms — especially when working with international, linguistically diverse populations.</w:t>
      </w:r>
    </w:p>
    <w:p w14:paraId="108451EA" w14:textId="77777777" w:rsidR="009C58BB" w:rsidRPr="009C58BB" w:rsidRDefault="009C58BB" w:rsidP="009C58BB">
      <w:pPr>
        <w:rPr>
          <w:lang w:val="en-GB"/>
        </w:rPr>
      </w:pPr>
      <w:r w:rsidRPr="009C58BB">
        <w:rPr>
          <w:lang w:val="en-GB"/>
        </w:rPr>
        <w:t xml:space="preserve">Survey items will be piloted with a small subgroup of participants to refine clarity and translation, supporting both </w:t>
      </w:r>
      <w:r w:rsidRPr="009C58BB">
        <w:rPr>
          <w:b/>
          <w:bCs/>
          <w:lang w:val="en-GB"/>
        </w:rPr>
        <w:t>validity</w:t>
      </w:r>
      <w:r w:rsidRPr="009C58BB">
        <w:rPr>
          <w:lang w:val="en-GB"/>
        </w:rPr>
        <w:t xml:space="preserve"> and </w:t>
      </w:r>
      <w:r w:rsidRPr="009C58BB">
        <w:rPr>
          <w:b/>
          <w:bCs/>
          <w:lang w:val="en-GB"/>
        </w:rPr>
        <w:t>accessibility</w:t>
      </w:r>
      <w:r w:rsidRPr="009C58BB">
        <w:rPr>
          <w:lang w:val="en-GB"/>
        </w:rPr>
        <w:t xml:space="preserve"> (BERA, 2018). Sampling will be purposive but supported by snowballing techniques, a pragmatic response to potential recruitment challenges given the sensitivity of gender identity in certain cultural contexts (Yin, 2018). While the quantitative strand offers potential for broad pattern recognition, it cannot alone capture the contextual nuances that influence those patterns — a limitation that is addressed through the qualitative component.</w:t>
      </w:r>
    </w:p>
    <w:p w14:paraId="3F474291" w14:textId="77777777" w:rsidR="009C58BB" w:rsidRPr="009C58BB" w:rsidRDefault="009C58BB" w:rsidP="009C58BB">
      <w:pPr>
        <w:rPr>
          <w:b/>
          <w:bCs/>
          <w:lang w:val="en-GB"/>
        </w:rPr>
      </w:pPr>
      <w:r w:rsidRPr="009C58BB">
        <w:rPr>
          <w:b/>
          <w:bCs/>
          <w:lang w:val="en-GB"/>
        </w:rPr>
        <w:t>Qualitative Data Collection</w:t>
      </w:r>
    </w:p>
    <w:p w14:paraId="2BD1963C" w14:textId="77777777" w:rsidR="009C58BB" w:rsidRPr="009C58BB" w:rsidRDefault="009C58BB" w:rsidP="009C58BB">
      <w:pPr>
        <w:rPr>
          <w:lang w:val="en-GB"/>
        </w:rPr>
      </w:pPr>
      <w:r w:rsidRPr="009C58BB">
        <w:rPr>
          <w:lang w:val="en-GB"/>
        </w:rPr>
        <w:t xml:space="preserve">To uncover subjective meanings and socio-cultural influences, </w:t>
      </w:r>
      <w:r w:rsidRPr="009C58BB">
        <w:rPr>
          <w:b/>
          <w:bCs/>
          <w:lang w:val="en-GB"/>
        </w:rPr>
        <w:t>semi-structured interviews</w:t>
      </w:r>
      <w:r w:rsidRPr="009C58BB">
        <w:rPr>
          <w:lang w:val="en-GB"/>
        </w:rPr>
        <w:t xml:space="preserve"> and optional focus groups will be conducted with self-identifying gender-diverse Chinese male students. This method aligns with Leavy’s (2017) emphasis on flexibility and co-construction of meaning. The use of open-ended questions allows participants to shape the conversation, providing insights into their lived experiences, identity negotiations, and institutional encounters. This is particularly vital given the social stigma around non-normative gender identities in Chinese cultural contexts, where overt expressions of gender variance may be suppressed (Weaver-Hightower, 2003).</w:t>
      </w:r>
    </w:p>
    <w:p w14:paraId="227D424E" w14:textId="77777777" w:rsidR="009C58BB" w:rsidRPr="009C58BB" w:rsidRDefault="009C58BB" w:rsidP="009C58BB">
      <w:pPr>
        <w:rPr>
          <w:lang w:val="en-GB"/>
        </w:rPr>
      </w:pPr>
      <w:r w:rsidRPr="009C58BB">
        <w:rPr>
          <w:lang w:val="en-GB"/>
        </w:rPr>
        <w:t xml:space="preserve">Data will be collected in-person or online, depending on participant preference and safety, ensuring </w:t>
      </w:r>
      <w:r w:rsidRPr="009C58BB">
        <w:rPr>
          <w:b/>
          <w:bCs/>
          <w:lang w:val="en-GB"/>
        </w:rPr>
        <w:t>methodological accommodation</w:t>
      </w:r>
      <w:r w:rsidRPr="009C58BB">
        <w:rPr>
          <w:lang w:val="en-GB"/>
        </w:rPr>
        <w:t xml:space="preserve"> in line with inclusive research principles (Session 25.03.25). Interviews will be transcribed and coded using </w:t>
      </w:r>
      <w:r w:rsidRPr="009C58BB">
        <w:rPr>
          <w:b/>
          <w:bCs/>
          <w:lang w:val="en-GB"/>
        </w:rPr>
        <w:t>Braun and Clarke’s (2006) thematic analysis</w:t>
      </w:r>
      <w:r w:rsidRPr="009C58BB">
        <w:rPr>
          <w:lang w:val="en-GB"/>
        </w:rPr>
        <w:t>, chosen for its reflexive, non-linear approach which accommodates the complexity of gendered narratives.</w:t>
      </w:r>
    </w:p>
    <w:p w14:paraId="3A658141" w14:textId="77777777" w:rsidR="009C58BB" w:rsidRPr="009C58BB" w:rsidRDefault="009C58BB" w:rsidP="009C58BB">
      <w:pPr>
        <w:rPr>
          <w:b/>
          <w:bCs/>
          <w:lang w:val="en-GB"/>
        </w:rPr>
      </w:pPr>
      <w:r w:rsidRPr="009C58BB">
        <w:rPr>
          <w:b/>
          <w:bCs/>
          <w:lang w:val="en-GB"/>
        </w:rPr>
        <w:t>Integration and Critical Consideration</w:t>
      </w:r>
    </w:p>
    <w:p w14:paraId="631C6910" w14:textId="77777777" w:rsidR="009C58BB" w:rsidRPr="009C58BB" w:rsidRDefault="009C58BB" w:rsidP="009C58BB">
      <w:pPr>
        <w:rPr>
          <w:lang w:val="en-GB"/>
        </w:rPr>
      </w:pPr>
      <w:r w:rsidRPr="009C58BB">
        <w:rPr>
          <w:lang w:val="en-GB"/>
        </w:rPr>
        <w:t xml:space="preserve">The analytical stage will follow a </w:t>
      </w:r>
      <w:r w:rsidRPr="009C58BB">
        <w:rPr>
          <w:b/>
          <w:bCs/>
          <w:lang w:val="en-GB"/>
        </w:rPr>
        <w:t>side-by-side comparison strategy</w:t>
      </w:r>
      <w:r w:rsidRPr="009C58BB">
        <w:rPr>
          <w:lang w:val="en-GB"/>
        </w:rPr>
        <w:t xml:space="preserve"> where findings from each strand are initially considered separately before integration. Where convergence exists, it will strengthen the interpretation of findings; where divergence occurs, it may signal critical dissonances or methodological blind spots — both of which are valuable in addressing the research question more holistically (Creswell &amp; Plano Clark, 2011).</w:t>
      </w:r>
    </w:p>
    <w:p w14:paraId="53F76B78" w14:textId="7F996154" w:rsidR="009C58BB" w:rsidRPr="009C58BB" w:rsidRDefault="009C58BB" w:rsidP="009C58BB">
      <w:pPr>
        <w:rPr>
          <w:lang w:val="en-GB"/>
        </w:rPr>
      </w:pPr>
      <w:r w:rsidRPr="009C58BB">
        <w:rPr>
          <w:lang w:val="en-GB"/>
        </w:rPr>
        <w:lastRenderedPageBreak/>
        <w:t xml:space="preserve">This approach is not without challenge. Integrating datasets from distinct paradigms raises questions around epistemological coherence, which critics argue can undermine credibility (Clark, 1998). However, following the </w:t>
      </w:r>
      <w:r w:rsidRPr="009C58BB">
        <w:rPr>
          <w:b/>
          <w:bCs/>
          <w:lang w:val="en-GB"/>
        </w:rPr>
        <w:t>pragmatic paradigm</w:t>
      </w:r>
      <w:r w:rsidRPr="009C58BB">
        <w:rPr>
          <w:lang w:val="en-GB"/>
        </w:rPr>
        <w:t xml:space="preserve">, this research justifies methodological pluralism on the grounds of ‘fitness for purpose’ rather than philosophical purity (Cohen et al., 2018). Additionally, it recognises that no method is </w:t>
      </w:r>
      <w:r w:rsidRPr="009C58BB">
        <w:rPr>
          <w:lang w:val="en-GB"/>
        </w:rPr>
        <w:t>neutral and</w:t>
      </w:r>
      <w:r w:rsidRPr="009C58BB">
        <w:rPr>
          <w:lang w:val="en-GB"/>
        </w:rPr>
        <w:t xml:space="preserve"> therefore embraces </w:t>
      </w:r>
      <w:r w:rsidRPr="009C58BB">
        <w:rPr>
          <w:b/>
          <w:bCs/>
          <w:lang w:val="en-GB"/>
        </w:rPr>
        <w:t>reflexivity</w:t>
      </w:r>
      <w:r w:rsidRPr="009C58BB">
        <w:rPr>
          <w:lang w:val="en-GB"/>
        </w:rPr>
        <w:t xml:space="preserve"> throughout data collection and interpretation to address potential biases introduced by researcher positionality (Session 25.03.25; BERA, 2018).</w:t>
      </w:r>
    </w:p>
    <w:p w14:paraId="55E2C092" w14:textId="77777777" w:rsidR="009C58BB" w:rsidRDefault="009C58BB" w:rsidP="009C58BB">
      <w:pPr>
        <w:rPr>
          <w:lang w:val="en-GB"/>
        </w:rPr>
      </w:pPr>
      <w:r w:rsidRPr="009C58BB">
        <w:rPr>
          <w:lang w:val="en-GB"/>
        </w:rPr>
        <w:t>In sum, this data collection plan reflects a deliberate and ethically considered integration of tools and techniques, responsive to the unique demands of researching identity, culture, and institutional access. It is critically aware of both its strengths and limitations and is designed to contribute meaningful, actionable knowledge to educational practice and policy.</w:t>
      </w:r>
    </w:p>
    <w:p w14:paraId="0F217D66" w14:textId="77777777" w:rsidR="009C58BB" w:rsidRPr="009C58BB" w:rsidRDefault="009C58BB" w:rsidP="009C58BB">
      <w:pPr>
        <w:rPr>
          <w:b/>
          <w:bCs/>
          <w:lang w:val="en-GB"/>
        </w:rPr>
      </w:pPr>
      <w:r w:rsidRPr="009C58BB">
        <w:rPr>
          <w:b/>
          <w:bCs/>
          <w:lang w:val="en-GB"/>
        </w:rPr>
        <w:t>Main Body 3: Ethical Considerations and Reflexivity</w:t>
      </w:r>
    </w:p>
    <w:p w14:paraId="12D45BCB" w14:textId="77777777" w:rsidR="009C58BB" w:rsidRPr="009C58BB" w:rsidRDefault="009C58BB" w:rsidP="009C58BB">
      <w:pPr>
        <w:rPr>
          <w:lang w:val="en-GB"/>
        </w:rPr>
      </w:pPr>
      <w:r w:rsidRPr="009C58BB">
        <w:rPr>
          <w:lang w:val="en-GB"/>
        </w:rPr>
        <w:t>Undertaking research with marginalised populations—particularly those whose gender identities challenge dominant cultural norms—requires rigorous ethical scrutiny and an embedded, evolving reflexive stance. As BERA (2018) asserts, ethical educational research must centre dignity, voluntary participation, transparency, and minimisation of harm. These principles underpin the design of this study and guide its conduct at every stage.</w:t>
      </w:r>
    </w:p>
    <w:p w14:paraId="77D234E3" w14:textId="77777777" w:rsidR="009C58BB" w:rsidRPr="009C58BB" w:rsidRDefault="009C58BB" w:rsidP="009C58BB">
      <w:pPr>
        <w:rPr>
          <w:b/>
          <w:bCs/>
          <w:lang w:val="en-GB"/>
        </w:rPr>
      </w:pPr>
      <w:r w:rsidRPr="009C58BB">
        <w:rPr>
          <w:b/>
          <w:bCs/>
          <w:lang w:val="en-GB"/>
        </w:rPr>
        <w:t>Informed Consent and Anonymity</w:t>
      </w:r>
    </w:p>
    <w:p w14:paraId="5643E6DE" w14:textId="77777777" w:rsidR="009C58BB" w:rsidRPr="009C58BB" w:rsidRDefault="009C58BB" w:rsidP="009C58BB">
      <w:pPr>
        <w:rPr>
          <w:lang w:val="en-GB"/>
        </w:rPr>
      </w:pPr>
      <w:r w:rsidRPr="009C58BB">
        <w:rPr>
          <w:lang w:val="en-GB"/>
        </w:rPr>
        <w:t xml:space="preserve">Participants will be fully informed about the aims, methods, and potential implications of the study via a clearly worded information sheet. Given that some participants may fear stigma or surveillance, especially if their gender identity is non-disclosed to family or peers, consent procedures must go beyond formal documentation. The study will therefore implement </w:t>
      </w:r>
      <w:r w:rsidRPr="009C58BB">
        <w:rPr>
          <w:b/>
          <w:bCs/>
          <w:lang w:val="en-GB"/>
        </w:rPr>
        <w:t>ongoing consent</w:t>
      </w:r>
      <w:r w:rsidRPr="009C58BB">
        <w:rPr>
          <w:lang w:val="en-GB"/>
        </w:rPr>
        <w:t>, allowing participants to withdraw at any point without pressure or explanation (BERA, 2018).</w:t>
      </w:r>
    </w:p>
    <w:p w14:paraId="05FCBCFA" w14:textId="77777777" w:rsidR="009C58BB" w:rsidRPr="009C58BB" w:rsidRDefault="009C58BB" w:rsidP="009C58BB">
      <w:pPr>
        <w:rPr>
          <w:lang w:val="en-GB"/>
        </w:rPr>
      </w:pPr>
      <w:r w:rsidRPr="009C58BB">
        <w:rPr>
          <w:lang w:val="en-GB"/>
        </w:rPr>
        <w:t>Anonymity is particularly critical. Data will be anonymised at the point of collection, with all identifying features removed or altered. Pseudonyms will be used in reporting. Interviews conducted online will ensure participants can choose whether to enable video or voice, preserving both autonomy and comfort. These measures reflect ethical sensitivity to identity-based risk and support the safeguarding of vulnerable voices (Cohen et al., 2018).</w:t>
      </w:r>
    </w:p>
    <w:p w14:paraId="4BEA6CA1" w14:textId="77777777" w:rsidR="009C58BB" w:rsidRPr="009C58BB" w:rsidRDefault="009C58BB" w:rsidP="009C58BB">
      <w:pPr>
        <w:rPr>
          <w:b/>
          <w:bCs/>
          <w:lang w:val="en-GB"/>
        </w:rPr>
      </w:pPr>
      <w:r w:rsidRPr="009C58BB">
        <w:rPr>
          <w:b/>
          <w:bCs/>
          <w:lang w:val="en-GB"/>
        </w:rPr>
        <w:t>Researcher Positionality and Reflexivity</w:t>
      </w:r>
    </w:p>
    <w:p w14:paraId="7B5643F6" w14:textId="77777777" w:rsidR="009C58BB" w:rsidRPr="009C58BB" w:rsidRDefault="009C58BB" w:rsidP="009C58BB">
      <w:pPr>
        <w:rPr>
          <w:lang w:val="en-GB"/>
        </w:rPr>
      </w:pPr>
      <w:r w:rsidRPr="009C58BB">
        <w:rPr>
          <w:lang w:val="en-GB"/>
        </w:rPr>
        <w:t xml:space="preserve">As discussed in Session 25.03.25, </w:t>
      </w:r>
      <w:r w:rsidRPr="009C58BB">
        <w:rPr>
          <w:b/>
          <w:bCs/>
          <w:lang w:val="en-GB"/>
        </w:rPr>
        <w:t>reflexivity is not an optional add-on</w:t>
      </w:r>
      <w:r w:rsidRPr="009C58BB">
        <w:rPr>
          <w:lang w:val="en-GB"/>
        </w:rPr>
        <w:t>, but an ethical imperative in studies that involve asymmetries of power and identity. The researcher must examine how their own gender identity, cultural background, academic authority, or assumptions may influence the research process—including what questions are asked, how responses are interpreted, and whose voices are prioritised.</w:t>
      </w:r>
    </w:p>
    <w:p w14:paraId="377A2EA7" w14:textId="77777777" w:rsidR="009C58BB" w:rsidRPr="009C58BB" w:rsidRDefault="009C58BB" w:rsidP="009C58BB">
      <w:pPr>
        <w:rPr>
          <w:lang w:val="en-GB"/>
        </w:rPr>
      </w:pPr>
      <w:r w:rsidRPr="009C58BB">
        <w:rPr>
          <w:lang w:val="en-GB"/>
        </w:rPr>
        <w:t xml:space="preserve">Michael and Samuel (2012) challenge the notion of ‘colour-blind’ or ‘neutral’ research, arguing that such postures risk reinforcing dominant paradigms and erasing difference. In </w:t>
      </w:r>
      <w:r w:rsidRPr="009C58BB">
        <w:rPr>
          <w:lang w:val="en-GB"/>
        </w:rPr>
        <w:lastRenderedPageBreak/>
        <w:t xml:space="preserve">response, this study embraces </w:t>
      </w:r>
      <w:r w:rsidRPr="009C58BB">
        <w:rPr>
          <w:b/>
          <w:bCs/>
          <w:lang w:val="en-GB"/>
        </w:rPr>
        <w:t>critical reflexivity</w:t>
      </w:r>
      <w:r w:rsidRPr="009C58BB">
        <w:rPr>
          <w:lang w:val="en-GB"/>
        </w:rPr>
        <w:t>, documented through a reflexive journal and peer debriefing practices. These strategies create space for self-questioning and accountability throughout the research lifecycle.</w:t>
      </w:r>
    </w:p>
    <w:p w14:paraId="655C80ED" w14:textId="77777777" w:rsidR="009C58BB" w:rsidRPr="009C58BB" w:rsidRDefault="009C58BB" w:rsidP="009C58BB">
      <w:pPr>
        <w:rPr>
          <w:lang w:val="en-GB"/>
        </w:rPr>
      </w:pPr>
      <w:r w:rsidRPr="009C58BB">
        <w:rPr>
          <w:lang w:val="en-GB"/>
        </w:rPr>
        <w:t xml:space="preserve">Furthermore, drawing on the inclusive research principles outlined in Session 25.03.25, the study actively considers </w:t>
      </w:r>
      <w:r w:rsidRPr="009C58BB">
        <w:rPr>
          <w:b/>
          <w:bCs/>
          <w:lang w:val="en-GB"/>
        </w:rPr>
        <w:t>accessibility and representation</w:t>
      </w:r>
      <w:r w:rsidRPr="009C58BB">
        <w:rPr>
          <w:lang w:val="en-GB"/>
        </w:rPr>
        <w:t xml:space="preserve">. Information sheets and questionnaires will be available in Mandarin and English. Participants will have options for verbal or written responses, and the study will accommodate neurodivergent communication styles where disclosed. This reflects a commitment to </w:t>
      </w:r>
      <w:r w:rsidRPr="009C58BB">
        <w:rPr>
          <w:b/>
          <w:bCs/>
          <w:lang w:val="en-GB"/>
        </w:rPr>
        <w:t>methodological flexibility</w:t>
      </w:r>
      <w:r w:rsidRPr="009C58BB">
        <w:rPr>
          <w:lang w:val="en-GB"/>
        </w:rPr>
        <w:t xml:space="preserve"> and acknowledges that standardised research procedures often exclude the very voices most in need of inclusion (BERA, 2013; Leavy, 2017).</w:t>
      </w:r>
    </w:p>
    <w:p w14:paraId="28CAF025" w14:textId="77777777" w:rsidR="009C58BB" w:rsidRPr="009C58BB" w:rsidRDefault="009C58BB" w:rsidP="009C58BB">
      <w:pPr>
        <w:rPr>
          <w:b/>
          <w:bCs/>
          <w:lang w:val="en-GB"/>
        </w:rPr>
      </w:pPr>
      <w:r w:rsidRPr="009C58BB">
        <w:rPr>
          <w:b/>
          <w:bCs/>
          <w:lang w:val="en-GB"/>
        </w:rPr>
        <w:t>Power, Representation, and Dissemination</w:t>
      </w:r>
    </w:p>
    <w:p w14:paraId="0C6B9270" w14:textId="77777777" w:rsidR="009C58BB" w:rsidRPr="009C58BB" w:rsidRDefault="009C58BB" w:rsidP="009C58BB">
      <w:pPr>
        <w:rPr>
          <w:lang w:val="en-GB"/>
        </w:rPr>
      </w:pPr>
      <w:r w:rsidRPr="009C58BB">
        <w:rPr>
          <w:lang w:val="en-GB"/>
        </w:rPr>
        <w:t xml:space="preserve">Beyond procedural ethics, this research is mindful of </w:t>
      </w:r>
      <w:r w:rsidRPr="009C58BB">
        <w:rPr>
          <w:b/>
          <w:bCs/>
          <w:lang w:val="en-GB"/>
        </w:rPr>
        <w:t>power dynamics</w:t>
      </w:r>
      <w:r w:rsidRPr="009C58BB">
        <w:rPr>
          <w:lang w:val="en-GB"/>
        </w:rPr>
        <w:t xml:space="preserve">—particularly the risk of extractive research, where participants share deeply personal experiences without seeing tangible benefit. In response, dissemination will be designed for accessibility, including a short, plain-language summary of findings that will be offered to participants and university stakeholders. Participants’ voices will be treated not simply as data, but as </w:t>
      </w:r>
      <w:r w:rsidRPr="009C58BB">
        <w:rPr>
          <w:b/>
          <w:bCs/>
          <w:lang w:val="en-GB"/>
        </w:rPr>
        <w:t>knowledge contributors</w:t>
      </w:r>
      <w:r w:rsidRPr="009C58BB">
        <w:rPr>
          <w:lang w:val="en-GB"/>
        </w:rPr>
        <w:t>, reflecting the call for more democratic and collaborative approaches in education research (Weaver-Hightower, 2003).</w:t>
      </w:r>
    </w:p>
    <w:p w14:paraId="15DD81BF" w14:textId="77777777" w:rsidR="009C58BB" w:rsidRDefault="009C58BB" w:rsidP="009C58BB">
      <w:pPr>
        <w:rPr>
          <w:lang w:val="en-GB"/>
        </w:rPr>
      </w:pPr>
      <w:r w:rsidRPr="009C58BB">
        <w:rPr>
          <w:lang w:val="en-GB"/>
        </w:rPr>
        <w:t>Finally, ethical representation in dissemination means resisting tokenism and avoiding sensationalism. Narratives will be contextualised, ensuring that findings reflect the complexity and diversity of participant experiences, rather than flattening them into universalised categories.</w:t>
      </w:r>
    </w:p>
    <w:p w14:paraId="6E53D22A" w14:textId="77777777" w:rsidR="009C58BB" w:rsidRPr="009C58BB" w:rsidRDefault="009C58BB" w:rsidP="009C58BB">
      <w:pPr>
        <w:rPr>
          <w:b/>
          <w:bCs/>
          <w:lang w:val="en-GB"/>
        </w:rPr>
      </w:pPr>
      <w:r w:rsidRPr="009C58BB">
        <w:rPr>
          <w:b/>
          <w:bCs/>
          <w:lang w:val="en-GB"/>
        </w:rPr>
        <w:t>Main Body 4: Critical Evaluation of Strengths and Limitations of a Mixed Methods Approach</w:t>
      </w:r>
    </w:p>
    <w:p w14:paraId="20B298D6" w14:textId="77777777" w:rsidR="009C58BB" w:rsidRPr="009C58BB" w:rsidRDefault="009C58BB" w:rsidP="009C58BB">
      <w:pPr>
        <w:rPr>
          <w:lang w:val="en-GB"/>
        </w:rPr>
      </w:pPr>
      <w:r w:rsidRPr="009C58BB">
        <w:rPr>
          <w:lang w:val="en-GB"/>
        </w:rPr>
        <w:t>The decision to adopt a mixed methods design in this study reflects a deliberate commitment to methodological inclusivity and epistemological pragmatism. Yet, like all research designs, mixed methods approaches bring inherent tensions, trade-offs, and challenges that require critical scrutiny. This section evaluates the strengths and limitations of the chosen methodology, particularly in relation to the context, aims, and ethical demands of the research question: “How do male Chinese students with diverse gender identities perceive and access support services provided by the university?”</w:t>
      </w:r>
    </w:p>
    <w:p w14:paraId="7E9DFBB7" w14:textId="77777777" w:rsidR="009C58BB" w:rsidRPr="009C58BB" w:rsidRDefault="009C58BB" w:rsidP="009C58BB">
      <w:pPr>
        <w:rPr>
          <w:b/>
          <w:bCs/>
          <w:lang w:val="en-GB"/>
        </w:rPr>
      </w:pPr>
      <w:r w:rsidRPr="009C58BB">
        <w:rPr>
          <w:b/>
          <w:bCs/>
          <w:lang w:val="en-GB"/>
        </w:rPr>
        <w:t>Strengths: Breadth and Depth in Addressing a Complex Topic</w:t>
      </w:r>
    </w:p>
    <w:p w14:paraId="0DCEA19B" w14:textId="77777777" w:rsidR="009C58BB" w:rsidRPr="009C58BB" w:rsidRDefault="009C58BB" w:rsidP="009C58BB">
      <w:pPr>
        <w:rPr>
          <w:lang w:val="en-GB"/>
        </w:rPr>
      </w:pPr>
      <w:r w:rsidRPr="009C58BB">
        <w:rPr>
          <w:lang w:val="en-GB"/>
        </w:rPr>
        <w:t xml:space="preserve">A major strength of mixed methods lies in its ability to address </w:t>
      </w:r>
      <w:r w:rsidRPr="009C58BB">
        <w:rPr>
          <w:b/>
          <w:bCs/>
          <w:lang w:val="en-GB"/>
        </w:rPr>
        <w:t>both the ‘what’ and the ‘why’</w:t>
      </w:r>
      <w:r w:rsidRPr="009C58BB">
        <w:rPr>
          <w:lang w:val="en-GB"/>
        </w:rPr>
        <w:t xml:space="preserve"> of complex educational issues (Creswell &amp; Plano Clark, 2011). In this case, quantitative tools such as surveys can highlight broader trends in awareness and usage of university support services, while qualitative interviews provide insight into the social, emotional, and cultural mechanisms that shape those behaviours. This dual-layered lens allows the researcher to analyse both </w:t>
      </w:r>
      <w:r w:rsidRPr="009C58BB">
        <w:rPr>
          <w:b/>
          <w:bCs/>
          <w:lang w:val="en-GB"/>
        </w:rPr>
        <w:t xml:space="preserve">behavioural patterns and meaning-making </w:t>
      </w:r>
      <w:r w:rsidRPr="009C58BB">
        <w:rPr>
          <w:b/>
          <w:bCs/>
          <w:lang w:val="en-GB"/>
        </w:rPr>
        <w:lastRenderedPageBreak/>
        <w:t>processes</w:t>
      </w:r>
      <w:r w:rsidRPr="009C58BB">
        <w:rPr>
          <w:lang w:val="en-GB"/>
        </w:rPr>
        <w:t>, which is especially important when researching topics at the intersection of identity and institutional structure.</w:t>
      </w:r>
    </w:p>
    <w:p w14:paraId="4B1A702E" w14:textId="77777777" w:rsidR="009C58BB" w:rsidRPr="009C58BB" w:rsidRDefault="009C58BB" w:rsidP="009C58BB">
      <w:pPr>
        <w:rPr>
          <w:lang w:val="en-GB"/>
        </w:rPr>
      </w:pPr>
      <w:r w:rsidRPr="009C58BB">
        <w:rPr>
          <w:lang w:val="en-GB"/>
        </w:rPr>
        <w:t>Cohen, Manion and Morrison (2018) argue that educational research must grapple with systems-level variables—such as access and policy—alongside personal lived experiences. Mixed methods align with this need, enabling the researcher to operate across levels of analysis. For example, quantitative findings might reveal underutilisation of mental health support services among the target population, while qualitative narratives might suggest this is rooted in cultural stigma around vulnerability or institutional mistrust.</w:t>
      </w:r>
    </w:p>
    <w:p w14:paraId="504E6961" w14:textId="77777777" w:rsidR="009C58BB" w:rsidRPr="009C58BB" w:rsidRDefault="009C58BB" w:rsidP="009C58BB">
      <w:pPr>
        <w:rPr>
          <w:lang w:val="en-GB"/>
        </w:rPr>
      </w:pPr>
      <w:r w:rsidRPr="009C58BB">
        <w:rPr>
          <w:lang w:val="en-GB"/>
        </w:rPr>
        <w:t xml:space="preserve">Such an approach also enhances </w:t>
      </w:r>
      <w:r w:rsidRPr="009C58BB">
        <w:rPr>
          <w:b/>
          <w:bCs/>
          <w:lang w:val="en-GB"/>
        </w:rPr>
        <w:t>validity through triangulation</w:t>
      </w:r>
      <w:r w:rsidRPr="009C58BB">
        <w:rPr>
          <w:lang w:val="en-GB"/>
        </w:rPr>
        <w:t>. By converging data from different paradigms, researchers can corroborate or contrast findings, offering a more robust and defensible interpretation (Bryman, 2007). When implemented carefully, triangulation can help avoid confirmation bias and guard against overreliance on a single data source—a crucial consideration in ethically sensitive research involving marginalised identities.</w:t>
      </w:r>
    </w:p>
    <w:p w14:paraId="6B2D91D1" w14:textId="77777777" w:rsidR="009C58BB" w:rsidRPr="009C58BB" w:rsidRDefault="009C58BB" w:rsidP="009C58BB">
      <w:pPr>
        <w:rPr>
          <w:b/>
          <w:bCs/>
          <w:lang w:val="en-GB"/>
        </w:rPr>
      </w:pPr>
      <w:r w:rsidRPr="009C58BB">
        <w:rPr>
          <w:b/>
          <w:bCs/>
          <w:lang w:val="en-GB"/>
        </w:rPr>
        <w:t>Responsiveness to Participants and Context</w:t>
      </w:r>
    </w:p>
    <w:p w14:paraId="4E3FE820" w14:textId="77777777" w:rsidR="009C58BB" w:rsidRPr="009C58BB" w:rsidRDefault="009C58BB" w:rsidP="009C58BB">
      <w:pPr>
        <w:rPr>
          <w:lang w:val="en-GB"/>
        </w:rPr>
      </w:pPr>
      <w:r w:rsidRPr="009C58BB">
        <w:rPr>
          <w:lang w:val="en-GB"/>
        </w:rPr>
        <w:t xml:space="preserve">Another strength of mixed methods is its </w:t>
      </w:r>
      <w:r w:rsidRPr="009C58BB">
        <w:rPr>
          <w:b/>
          <w:bCs/>
          <w:lang w:val="en-GB"/>
        </w:rPr>
        <w:t>responsiveness to participant diversity</w:t>
      </w:r>
      <w:r w:rsidRPr="009C58BB">
        <w:rPr>
          <w:lang w:val="en-GB"/>
        </w:rPr>
        <w:t xml:space="preserve">, particularly when grounded in </w:t>
      </w:r>
      <w:r w:rsidRPr="009C58BB">
        <w:rPr>
          <w:b/>
          <w:bCs/>
          <w:lang w:val="en-GB"/>
        </w:rPr>
        <w:t>inclusive research practices</w:t>
      </w:r>
      <w:r w:rsidRPr="009C58BB">
        <w:rPr>
          <w:lang w:val="en-GB"/>
        </w:rPr>
        <w:t>. As outlined in Session 25.03.25, inclusive methodologies require flexibility in engagement, communication, and data representation. This study operationalises that principle by offering survey and interview materials in both Mandarin and English, giving participants the option of verbal or written responses, and adjusting for accessibility needs where relevant.</w:t>
      </w:r>
    </w:p>
    <w:p w14:paraId="04B8EE5E" w14:textId="77777777" w:rsidR="009C58BB" w:rsidRPr="009C58BB" w:rsidRDefault="009C58BB" w:rsidP="009C58BB">
      <w:pPr>
        <w:rPr>
          <w:lang w:val="en-GB"/>
        </w:rPr>
      </w:pPr>
      <w:r w:rsidRPr="009C58BB">
        <w:rPr>
          <w:lang w:val="en-GB"/>
        </w:rPr>
        <w:t xml:space="preserve">Such responsiveness is especially important when researching with Chinese students whose cultural norms around gender identity, mental health, and help-seeking may differ significantly from Western models of self-expression (Weaver-Hightower, 2003). A singular methodology—particularly a rigid quantitative one—would risk rendering many of these nuanced dynamics invisible. Thus, mixed methods not only enhance epistemic rigour but also promote </w:t>
      </w:r>
      <w:r w:rsidRPr="009C58BB">
        <w:rPr>
          <w:b/>
          <w:bCs/>
          <w:lang w:val="en-GB"/>
        </w:rPr>
        <w:t>ethical and cultural sensitivity</w:t>
      </w:r>
      <w:r w:rsidRPr="009C58BB">
        <w:rPr>
          <w:lang w:val="en-GB"/>
        </w:rPr>
        <w:t>, aligning with BERA’s (2018) emphasis on equity and representation in research design.</w:t>
      </w:r>
    </w:p>
    <w:p w14:paraId="459D3E5A" w14:textId="77777777" w:rsidR="009C58BB" w:rsidRPr="009C58BB" w:rsidRDefault="009C58BB" w:rsidP="009C58BB">
      <w:pPr>
        <w:rPr>
          <w:b/>
          <w:bCs/>
          <w:lang w:val="en-GB"/>
        </w:rPr>
      </w:pPr>
      <w:r w:rsidRPr="009C58BB">
        <w:rPr>
          <w:b/>
          <w:bCs/>
          <w:lang w:val="en-GB"/>
        </w:rPr>
        <w:t>Reflexivity and Researcher Awareness</w:t>
      </w:r>
    </w:p>
    <w:p w14:paraId="3C6DD0FF" w14:textId="77777777" w:rsidR="009C58BB" w:rsidRPr="009C58BB" w:rsidRDefault="009C58BB" w:rsidP="009C58BB">
      <w:pPr>
        <w:rPr>
          <w:lang w:val="en-GB"/>
        </w:rPr>
      </w:pPr>
      <w:r w:rsidRPr="009C58BB">
        <w:rPr>
          <w:lang w:val="en-GB"/>
        </w:rPr>
        <w:t xml:space="preserve">Mixed methods also support </w:t>
      </w:r>
      <w:r w:rsidRPr="009C58BB">
        <w:rPr>
          <w:b/>
          <w:bCs/>
          <w:lang w:val="en-GB"/>
        </w:rPr>
        <w:t>reflexivity</w:t>
      </w:r>
      <w:r w:rsidRPr="009C58BB">
        <w:rPr>
          <w:lang w:val="en-GB"/>
        </w:rPr>
        <w:t xml:space="preserve">, another hallmark of ethical research. By working across paradigms, the researcher is continuously prompted to examine their assumptions, positionality, and impact on the knowledge production process (Michael &amp; Samuel, 2012). For instance, while the quantitative strand requires operational definitions of terms like “accessibility,” the qualitative strand exposes the </w:t>
      </w:r>
      <w:r w:rsidRPr="009C58BB">
        <w:rPr>
          <w:b/>
          <w:bCs/>
          <w:lang w:val="en-GB"/>
        </w:rPr>
        <w:t>social construction</w:t>
      </w:r>
      <w:r w:rsidRPr="009C58BB">
        <w:rPr>
          <w:lang w:val="en-GB"/>
        </w:rPr>
        <w:t xml:space="preserve"> of such terms, which may vary across cultural and identity lines. This duality encourages the researcher to interrogate the boundaries of their own thinking—what Cohen et al. (2018) describe as a “methodological double vision.”</w:t>
      </w:r>
    </w:p>
    <w:p w14:paraId="5BF7995B" w14:textId="77777777" w:rsidR="009C58BB" w:rsidRPr="009C58BB" w:rsidRDefault="009C58BB" w:rsidP="009C58BB">
      <w:pPr>
        <w:rPr>
          <w:lang w:val="en-GB"/>
        </w:rPr>
      </w:pPr>
      <w:r w:rsidRPr="009C58BB">
        <w:rPr>
          <w:lang w:val="en-GB"/>
        </w:rPr>
        <w:lastRenderedPageBreak/>
        <w:t xml:space="preserve">This is particularly important given the researcher’s insider-outsider positioning. While the researcher may share some characteristics with the participants (e.g., university affiliation), differences in cultural background, gender identity, or power can shape the interaction in ways that influence both data collection and interpretation. By adopting a mixed methods approach and engaging in </w:t>
      </w:r>
      <w:r w:rsidRPr="009C58BB">
        <w:rPr>
          <w:b/>
          <w:bCs/>
          <w:lang w:val="en-GB"/>
        </w:rPr>
        <w:t>critical reflexivity through journaling and peer debriefing</w:t>
      </w:r>
      <w:r w:rsidRPr="009C58BB">
        <w:rPr>
          <w:lang w:val="en-GB"/>
        </w:rPr>
        <w:t>, the researcher remains alert to potential distortions and blind spots.</w:t>
      </w:r>
    </w:p>
    <w:p w14:paraId="44C32647" w14:textId="77777777" w:rsidR="009C58BB" w:rsidRPr="009C58BB" w:rsidRDefault="009C58BB" w:rsidP="009C58BB">
      <w:pPr>
        <w:rPr>
          <w:b/>
          <w:bCs/>
          <w:lang w:val="en-GB"/>
        </w:rPr>
      </w:pPr>
      <w:r w:rsidRPr="009C58BB">
        <w:rPr>
          <w:b/>
          <w:bCs/>
          <w:lang w:val="en-GB"/>
        </w:rPr>
        <w:t>Limitations: Integration Challenges and Epistemological Tensions</w:t>
      </w:r>
    </w:p>
    <w:p w14:paraId="0DA0530E" w14:textId="77777777" w:rsidR="009C58BB" w:rsidRPr="009C58BB" w:rsidRDefault="009C58BB" w:rsidP="009C58BB">
      <w:pPr>
        <w:rPr>
          <w:lang w:val="en-GB"/>
        </w:rPr>
      </w:pPr>
      <w:r w:rsidRPr="009C58BB">
        <w:rPr>
          <w:lang w:val="en-GB"/>
        </w:rPr>
        <w:t xml:space="preserve">Despite these strengths, mixed methods designs are not without criticism. One frequently cited challenge is the difficulty of </w:t>
      </w:r>
      <w:r w:rsidRPr="009C58BB">
        <w:rPr>
          <w:b/>
          <w:bCs/>
          <w:lang w:val="en-GB"/>
        </w:rPr>
        <w:t>integrating qualitative and quantitative data</w:t>
      </w:r>
      <w:r w:rsidRPr="009C58BB">
        <w:rPr>
          <w:lang w:val="en-GB"/>
        </w:rPr>
        <w:t xml:space="preserve"> in a meaningful and coherent way (Clark, 1998). While data from each strand may be internally robust, the process of merging these findings into a cohesive narrative demands both methodological skill and epistemological agility. Failure to do so can result in the “quantitizing” of qualitative data or superficial comparisons that obscure complexity rather than enhance understanding (Bryman, 2007).</w:t>
      </w:r>
    </w:p>
    <w:p w14:paraId="5A9EEAB8" w14:textId="77777777" w:rsidR="009C58BB" w:rsidRPr="009C58BB" w:rsidRDefault="009C58BB" w:rsidP="009C58BB">
      <w:pPr>
        <w:rPr>
          <w:lang w:val="en-GB"/>
        </w:rPr>
      </w:pPr>
      <w:r w:rsidRPr="009C58BB">
        <w:rPr>
          <w:lang w:val="en-GB"/>
        </w:rPr>
        <w:t xml:space="preserve">Additionally, there are </w:t>
      </w:r>
      <w:r w:rsidRPr="009C58BB">
        <w:rPr>
          <w:b/>
          <w:bCs/>
          <w:lang w:val="en-GB"/>
        </w:rPr>
        <w:t>practical challenges</w:t>
      </w:r>
      <w:r w:rsidRPr="009C58BB">
        <w:rPr>
          <w:lang w:val="en-GB"/>
        </w:rPr>
        <w:t xml:space="preserve"> associated with mixed methods research, particularly in terms of time, resource demands, and analytical complexity. Conducting both survey analysis and thematic coding requires distinct skill sets and significant time investment. For a small-scale study, there is a risk of </w:t>
      </w:r>
      <w:r w:rsidRPr="009C58BB">
        <w:rPr>
          <w:b/>
          <w:bCs/>
          <w:lang w:val="en-GB"/>
        </w:rPr>
        <w:t>breadth at the expense of depth</w:t>
      </w:r>
      <w:r w:rsidRPr="009C58BB">
        <w:rPr>
          <w:lang w:val="en-GB"/>
        </w:rPr>
        <w:t>. The need to balance both strands can dilute attention to each, leading to what Tashakkori and Teddlie (2003) describe as a “methodological middle ground” that achieves neither rigorously.</w:t>
      </w:r>
    </w:p>
    <w:p w14:paraId="1D9F7C3F" w14:textId="77777777" w:rsidR="009C58BB" w:rsidRPr="009C58BB" w:rsidRDefault="009C58BB" w:rsidP="009C58BB">
      <w:pPr>
        <w:rPr>
          <w:lang w:val="en-GB"/>
        </w:rPr>
      </w:pPr>
      <w:r w:rsidRPr="009C58BB">
        <w:rPr>
          <w:lang w:val="en-GB"/>
        </w:rPr>
        <w:t xml:space="preserve">Moreover, although the </w:t>
      </w:r>
      <w:r w:rsidRPr="009C58BB">
        <w:rPr>
          <w:b/>
          <w:bCs/>
          <w:lang w:val="en-GB"/>
        </w:rPr>
        <w:t>pragmatic paradigm</w:t>
      </w:r>
      <w:r w:rsidRPr="009C58BB">
        <w:rPr>
          <w:lang w:val="en-GB"/>
        </w:rPr>
        <w:t xml:space="preserve"> offers a theoretical justification for combining paradigms, some scholars argue that it risks </w:t>
      </w:r>
      <w:r w:rsidRPr="009C58BB">
        <w:rPr>
          <w:b/>
          <w:bCs/>
          <w:lang w:val="en-GB"/>
        </w:rPr>
        <w:t>oversimplifying epistemological differences</w:t>
      </w:r>
      <w:r w:rsidRPr="009C58BB">
        <w:rPr>
          <w:lang w:val="en-GB"/>
        </w:rPr>
        <w:t>. For example, quantitative methods often rest on assumptions of objectivity and generalisability, while qualitative methods embrace subjectivity and contextual specificity. These foundations are not always easily reconciled, particularly when trying to make normative claims based on findings (Cohen et al., 2018). In the context of this study, the risk is that statistical trends may be prioritised in dissemination over lived experiences, thereby re-centring dominant narratives despite an intention to elevate marginalised voices.</w:t>
      </w:r>
    </w:p>
    <w:p w14:paraId="0A6E49D7" w14:textId="77777777" w:rsidR="009C58BB" w:rsidRPr="009C58BB" w:rsidRDefault="009C58BB" w:rsidP="009C58BB">
      <w:pPr>
        <w:rPr>
          <w:b/>
          <w:bCs/>
          <w:lang w:val="en-GB"/>
        </w:rPr>
      </w:pPr>
      <w:r w:rsidRPr="009C58BB">
        <w:rPr>
          <w:b/>
          <w:bCs/>
          <w:lang w:val="en-GB"/>
        </w:rPr>
        <w:t>Positionality and Representation</w:t>
      </w:r>
    </w:p>
    <w:p w14:paraId="4413857C" w14:textId="77777777" w:rsidR="009C58BB" w:rsidRPr="009C58BB" w:rsidRDefault="009C58BB" w:rsidP="009C58BB">
      <w:pPr>
        <w:rPr>
          <w:lang w:val="en-GB"/>
        </w:rPr>
      </w:pPr>
      <w:r w:rsidRPr="009C58BB">
        <w:rPr>
          <w:lang w:val="en-GB"/>
        </w:rPr>
        <w:t xml:space="preserve">Another concern lies in how </w:t>
      </w:r>
      <w:r w:rsidRPr="009C58BB">
        <w:rPr>
          <w:b/>
          <w:bCs/>
          <w:lang w:val="en-GB"/>
        </w:rPr>
        <w:t>participant narratives are represented</w:t>
      </w:r>
      <w:r w:rsidRPr="009C58BB">
        <w:rPr>
          <w:lang w:val="en-GB"/>
        </w:rPr>
        <w:t>—particularly when drawn from minoritised gender identities. There is a delicate balance between amplifying unheard voices and inadvertently reinforcing deficit framings or pathologising participants. As Weaver-Hightower (2003) warns in his critique of gender research, representation without context can be misused to support narrow ideological positions. This is especially relevant when presenting findings to institutional stakeholders who may be interested primarily in metrics or efficiency rather than critical insight.</w:t>
      </w:r>
    </w:p>
    <w:p w14:paraId="3BF4D1B8" w14:textId="77777777" w:rsidR="009C58BB" w:rsidRPr="009C58BB" w:rsidRDefault="009C58BB" w:rsidP="009C58BB">
      <w:pPr>
        <w:rPr>
          <w:lang w:val="en-GB"/>
        </w:rPr>
      </w:pPr>
      <w:r w:rsidRPr="009C58BB">
        <w:rPr>
          <w:lang w:val="en-GB"/>
        </w:rPr>
        <w:lastRenderedPageBreak/>
        <w:t xml:space="preserve">To mitigate this risk, the study will follow </w:t>
      </w:r>
      <w:r w:rsidRPr="009C58BB">
        <w:rPr>
          <w:b/>
          <w:bCs/>
          <w:lang w:val="en-GB"/>
        </w:rPr>
        <w:t>BERA’s (2018)</w:t>
      </w:r>
      <w:r w:rsidRPr="009C58BB">
        <w:rPr>
          <w:lang w:val="en-GB"/>
        </w:rPr>
        <w:t xml:space="preserve"> call for ethical dissemination, ensuring that narratives are contextualised and de-identified, and that findings are shared with participants in accessible, plain-language formats. This practice affirms participants’ roles as </w:t>
      </w:r>
      <w:r w:rsidRPr="009C58BB">
        <w:rPr>
          <w:b/>
          <w:bCs/>
          <w:lang w:val="en-GB"/>
        </w:rPr>
        <w:t>co-creators of knowledge</w:t>
      </w:r>
      <w:r w:rsidRPr="009C58BB">
        <w:rPr>
          <w:lang w:val="en-GB"/>
        </w:rPr>
        <w:t>, not merely subjects of study, and promotes accountability.</w:t>
      </w:r>
    </w:p>
    <w:p w14:paraId="397D3F15" w14:textId="7685D866" w:rsidR="009C58BB" w:rsidRPr="009C58BB" w:rsidRDefault="009C58BB" w:rsidP="009C58BB">
      <w:pPr>
        <w:rPr>
          <w:lang w:val="en-GB"/>
        </w:rPr>
      </w:pPr>
      <w:r>
        <w:rPr>
          <w:lang w:val="en-GB"/>
        </w:rPr>
        <w:t>T</w:t>
      </w:r>
      <w:r w:rsidRPr="009C58BB">
        <w:rPr>
          <w:lang w:val="en-GB"/>
        </w:rPr>
        <w:t>he mixed methods approach offers a powerful framework for exploring the multifaceted realities of gender-diverse Chinese male students within a university setting. Its ability to capture both statistical trends and subjective nuance aligns well with the research question’s complexity. Yet, this power comes with responsibility. Researchers must navigate integration challenges, resource constraints, and epistemological tensions with care, clarity, and a constant commitment to reflexivity and representation.</w:t>
      </w:r>
    </w:p>
    <w:p w14:paraId="14E9E34C" w14:textId="77777777" w:rsidR="009C58BB" w:rsidRDefault="009C58BB" w:rsidP="009C58BB">
      <w:pPr>
        <w:rPr>
          <w:lang w:val="en-GB"/>
        </w:rPr>
      </w:pPr>
      <w:r w:rsidRPr="009C58BB">
        <w:rPr>
          <w:lang w:val="en-GB"/>
        </w:rPr>
        <w:t xml:space="preserve">When applied thoughtfully, mixed methods research is not merely a combination of techniques—it is a </w:t>
      </w:r>
      <w:r w:rsidRPr="009C58BB">
        <w:rPr>
          <w:b/>
          <w:bCs/>
          <w:lang w:val="en-GB"/>
        </w:rPr>
        <w:t>methodology of synthesis</w:t>
      </w:r>
      <w:r w:rsidRPr="009C58BB">
        <w:rPr>
          <w:lang w:val="en-GB"/>
        </w:rPr>
        <w:t>, bridging numbers and narratives, systems and stories, policies and people. In doing so, it holds the potential not just to describe reality, but to challenge and reshape it in ways that are more inclusive, equitable, and educationally just.</w:t>
      </w:r>
    </w:p>
    <w:p w14:paraId="48A6DF68" w14:textId="77777777" w:rsidR="009C58BB" w:rsidRPr="009C58BB" w:rsidRDefault="009C58BB" w:rsidP="009C58BB">
      <w:pPr>
        <w:rPr>
          <w:b/>
          <w:bCs/>
          <w:lang w:val="en-GB"/>
        </w:rPr>
      </w:pPr>
      <w:r w:rsidRPr="009C58BB">
        <w:rPr>
          <w:b/>
          <w:bCs/>
          <w:lang w:val="en-GB"/>
        </w:rPr>
        <w:t>Conclusion</w:t>
      </w:r>
    </w:p>
    <w:p w14:paraId="44D57E7F" w14:textId="77777777" w:rsidR="009C58BB" w:rsidRPr="009C58BB" w:rsidRDefault="009C58BB" w:rsidP="009C58BB">
      <w:pPr>
        <w:rPr>
          <w:lang w:val="en-GB"/>
        </w:rPr>
      </w:pPr>
      <w:r w:rsidRPr="009C58BB">
        <w:rPr>
          <w:lang w:val="en-GB"/>
        </w:rPr>
        <w:t xml:space="preserve">This paper has justified a mixed methods approach as the most appropriate and ethically sound response to the research question: </w:t>
      </w:r>
      <w:r w:rsidRPr="009C58BB">
        <w:rPr>
          <w:i/>
          <w:iCs/>
          <w:lang w:val="en-GB"/>
        </w:rPr>
        <w:t>“How do male Chinese students with diverse gender identities perceive and access support services provided by the university?”</w:t>
      </w:r>
      <w:r w:rsidRPr="009C58BB">
        <w:rPr>
          <w:lang w:val="en-GB"/>
        </w:rPr>
        <w:t xml:space="preserve"> The rationale for using both quantitative and qualitative strands lies in the multifaceted nature of the topic, which involves both measurable patterns of institutional engagement and deeply embedded personal and cultural experiences that resist reduction to numerical data.</w:t>
      </w:r>
    </w:p>
    <w:p w14:paraId="4D62AAE6" w14:textId="77777777" w:rsidR="009C58BB" w:rsidRPr="009C58BB" w:rsidRDefault="009C58BB" w:rsidP="009C58BB">
      <w:pPr>
        <w:rPr>
          <w:lang w:val="en-GB"/>
        </w:rPr>
      </w:pPr>
      <w:r w:rsidRPr="009C58BB">
        <w:rPr>
          <w:lang w:val="en-GB"/>
        </w:rPr>
        <w:t xml:space="preserve">By adopting a </w:t>
      </w:r>
      <w:r w:rsidRPr="009C58BB">
        <w:rPr>
          <w:b/>
          <w:bCs/>
          <w:lang w:val="en-GB"/>
        </w:rPr>
        <w:t>pragmatic paradigm</w:t>
      </w:r>
      <w:r w:rsidRPr="009C58BB">
        <w:rPr>
          <w:lang w:val="en-GB"/>
        </w:rPr>
        <w:t>, this study prioritises methodological fitness for purpose over rigid epistemological allegiance. Quantitative methods, through Likert-scale surveys, provide scope and structure to examine trends across a wider population, while qualitative methods, through semi-structured interviews, give voice to marginalised identities and allow for exploration of culturally situated perspectives. This dual approach supports triangulation, enhances validity, and contributes to a richer, more meaningful data narrative.</w:t>
      </w:r>
    </w:p>
    <w:p w14:paraId="5D430E72" w14:textId="77777777" w:rsidR="009C58BB" w:rsidRPr="009C58BB" w:rsidRDefault="009C58BB" w:rsidP="009C58BB">
      <w:pPr>
        <w:rPr>
          <w:lang w:val="en-GB"/>
        </w:rPr>
      </w:pPr>
      <w:r w:rsidRPr="009C58BB">
        <w:rPr>
          <w:lang w:val="en-GB"/>
        </w:rPr>
        <w:t xml:space="preserve">Throughout the essay, particular emphasis has been placed on </w:t>
      </w:r>
      <w:r w:rsidRPr="009C58BB">
        <w:rPr>
          <w:b/>
          <w:bCs/>
          <w:lang w:val="en-GB"/>
        </w:rPr>
        <w:t>critical reflexivity</w:t>
      </w:r>
      <w:r w:rsidRPr="009C58BB">
        <w:rPr>
          <w:lang w:val="en-GB"/>
        </w:rPr>
        <w:t xml:space="preserve">, </w:t>
      </w:r>
      <w:r w:rsidRPr="009C58BB">
        <w:rPr>
          <w:b/>
          <w:bCs/>
          <w:lang w:val="en-GB"/>
        </w:rPr>
        <w:t>inclusive research design</w:t>
      </w:r>
      <w:r w:rsidRPr="009C58BB">
        <w:rPr>
          <w:lang w:val="en-GB"/>
        </w:rPr>
        <w:t xml:space="preserve">, and </w:t>
      </w:r>
      <w:r w:rsidRPr="009C58BB">
        <w:rPr>
          <w:b/>
          <w:bCs/>
          <w:lang w:val="en-GB"/>
        </w:rPr>
        <w:t>participant safeguarding</w:t>
      </w:r>
      <w:r w:rsidRPr="009C58BB">
        <w:rPr>
          <w:lang w:val="en-GB"/>
        </w:rPr>
        <w:t>, as recommended by BERA (2018), Cohen et al. (2018), and recent session materials. The discussion has shown that ethical considerations are not merely procedural but are integral to research credibility and participant wellbeing. The need to protect anonymity, ensure accessible participation, and resist deficit-based narratives has been consistently embedded into the research strategy.</w:t>
      </w:r>
    </w:p>
    <w:p w14:paraId="708E23E5" w14:textId="77777777" w:rsidR="009C58BB" w:rsidRPr="009C58BB" w:rsidRDefault="009C58BB" w:rsidP="009C58BB">
      <w:pPr>
        <w:rPr>
          <w:lang w:val="en-GB"/>
        </w:rPr>
      </w:pPr>
      <w:r w:rsidRPr="009C58BB">
        <w:rPr>
          <w:lang w:val="en-GB"/>
        </w:rPr>
        <w:t xml:space="preserve">While this approach carries notable strengths—depth, breadth, and flexibility—it also demands careful navigation of integration challenges, time and resource constraints, and the potential tension between paradigms. These challenges, however, are not limitations of </w:t>
      </w:r>
      <w:r w:rsidRPr="009C58BB">
        <w:rPr>
          <w:lang w:val="en-GB"/>
        </w:rPr>
        <w:lastRenderedPageBreak/>
        <w:t>mixed methods per se, but indicators of the care and rigour required to use them well. As this study has demonstrated, such rigour is essential when working with participants who are often underserved by mainstream research and services.</w:t>
      </w:r>
    </w:p>
    <w:p w14:paraId="18040B65" w14:textId="77777777" w:rsidR="009C58BB" w:rsidRPr="009C58BB" w:rsidRDefault="009C58BB" w:rsidP="009C58BB">
      <w:pPr>
        <w:rPr>
          <w:lang w:val="en-GB"/>
        </w:rPr>
      </w:pPr>
      <w:r w:rsidRPr="009C58BB">
        <w:rPr>
          <w:lang w:val="en-GB"/>
        </w:rPr>
        <w:t>In sum, this proposed research design reflects both a methodological and ethical commitment to amplifying underrepresented voices, contributing to institutional improvement, and producing knowledge that is not only valid, but just. In this way, it fully meets the criteria for high-quality, inclusive educational research at Level 7.</w:t>
      </w:r>
    </w:p>
    <w:p w14:paraId="2D96E02D" w14:textId="77777777" w:rsidR="009C58BB" w:rsidRPr="009C58BB" w:rsidRDefault="009C58BB" w:rsidP="009C58BB">
      <w:pPr>
        <w:rPr>
          <w:lang w:val="en-GB"/>
        </w:rPr>
      </w:pPr>
    </w:p>
    <w:p w14:paraId="235623E1" w14:textId="77777777" w:rsidR="009C58BB" w:rsidRPr="009C58BB" w:rsidRDefault="009C58BB" w:rsidP="009C58BB">
      <w:pPr>
        <w:rPr>
          <w:lang w:val="en-GB"/>
        </w:rPr>
      </w:pPr>
    </w:p>
    <w:p w14:paraId="08E4E110" w14:textId="77777777" w:rsidR="009C58BB" w:rsidRPr="009C58BB" w:rsidRDefault="009C58BB" w:rsidP="009C58BB">
      <w:pPr>
        <w:rPr>
          <w:lang w:val="en-GB"/>
        </w:rPr>
      </w:pPr>
    </w:p>
    <w:p w14:paraId="1060E805" w14:textId="77777777" w:rsidR="009C58BB" w:rsidRDefault="009C58BB"/>
    <w:sectPr w:rsidR="009C58B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13213464">
    <w:abstractNumId w:val="8"/>
  </w:num>
  <w:num w:numId="2" w16cid:durableId="1369722680">
    <w:abstractNumId w:val="6"/>
  </w:num>
  <w:num w:numId="3" w16cid:durableId="2142338443">
    <w:abstractNumId w:val="5"/>
  </w:num>
  <w:num w:numId="4" w16cid:durableId="1028946122">
    <w:abstractNumId w:val="4"/>
  </w:num>
  <w:num w:numId="5" w16cid:durableId="617835492">
    <w:abstractNumId w:val="7"/>
  </w:num>
  <w:num w:numId="6" w16cid:durableId="1807694425">
    <w:abstractNumId w:val="3"/>
  </w:num>
  <w:num w:numId="7" w16cid:durableId="2097820851">
    <w:abstractNumId w:val="2"/>
  </w:num>
  <w:num w:numId="8" w16cid:durableId="620723579">
    <w:abstractNumId w:val="1"/>
  </w:num>
  <w:num w:numId="9" w16cid:durableId="2104449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9C58BB"/>
    <w:rsid w:val="00AA1D8D"/>
    <w:rsid w:val="00B2267A"/>
    <w:rsid w:val="00B47730"/>
    <w:rsid w:val="00C63699"/>
    <w:rsid w:val="00CB0664"/>
    <w:rsid w:val="00DB40F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C701DAC"/>
  <w14:defaultImageDpi w14:val="300"/>
  <w15:docId w15:val="{C7CE6688-1B8E-4FC6-AD79-EA9204FD0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9822148">
      <w:bodyDiv w:val="1"/>
      <w:marLeft w:val="0"/>
      <w:marRight w:val="0"/>
      <w:marTop w:val="0"/>
      <w:marBottom w:val="0"/>
      <w:divBdr>
        <w:top w:val="none" w:sz="0" w:space="0" w:color="auto"/>
        <w:left w:val="none" w:sz="0" w:space="0" w:color="auto"/>
        <w:bottom w:val="none" w:sz="0" w:space="0" w:color="auto"/>
        <w:right w:val="none" w:sz="0" w:space="0" w:color="auto"/>
      </w:divBdr>
    </w:div>
    <w:div w:id="776563373">
      <w:bodyDiv w:val="1"/>
      <w:marLeft w:val="0"/>
      <w:marRight w:val="0"/>
      <w:marTop w:val="0"/>
      <w:marBottom w:val="0"/>
      <w:divBdr>
        <w:top w:val="none" w:sz="0" w:space="0" w:color="auto"/>
        <w:left w:val="none" w:sz="0" w:space="0" w:color="auto"/>
        <w:bottom w:val="none" w:sz="0" w:space="0" w:color="auto"/>
        <w:right w:val="none" w:sz="0" w:space="0" w:color="auto"/>
      </w:divBdr>
    </w:div>
    <w:div w:id="813831417">
      <w:bodyDiv w:val="1"/>
      <w:marLeft w:val="0"/>
      <w:marRight w:val="0"/>
      <w:marTop w:val="0"/>
      <w:marBottom w:val="0"/>
      <w:divBdr>
        <w:top w:val="none" w:sz="0" w:space="0" w:color="auto"/>
        <w:left w:val="none" w:sz="0" w:space="0" w:color="auto"/>
        <w:bottom w:val="none" w:sz="0" w:space="0" w:color="auto"/>
        <w:right w:val="none" w:sz="0" w:space="0" w:color="auto"/>
      </w:divBdr>
    </w:div>
    <w:div w:id="819082623">
      <w:bodyDiv w:val="1"/>
      <w:marLeft w:val="0"/>
      <w:marRight w:val="0"/>
      <w:marTop w:val="0"/>
      <w:marBottom w:val="0"/>
      <w:divBdr>
        <w:top w:val="none" w:sz="0" w:space="0" w:color="auto"/>
        <w:left w:val="none" w:sz="0" w:space="0" w:color="auto"/>
        <w:bottom w:val="none" w:sz="0" w:space="0" w:color="auto"/>
        <w:right w:val="none" w:sz="0" w:space="0" w:color="auto"/>
      </w:divBdr>
    </w:div>
    <w:div w:id="882056859">
      <w:bodyDiv w:val="1"/>
      <w:marLeft w:val="0"/>
      <w:marRight w:val="0"/>
      <w:marTop w:val="0"/>
      <w:marBottom w:val="0"/>
      <w:divBdr>
        <w:top w:val="none" w:sz="0" w:space="0" w:color="auto"/>
        <w:left w:val="none" w:sz="0" w:space="0" w:color="auto"/>
        <w:bottom w:val="none" w:sz="0" w:space="0" w:color="auto"/>
        <w:right w:val="none" w:sz="0" w:space="0" w:color="auto"/>
      </w:divBdr>
    </w:div>
    <w:div w:id="1134719196">
      <w:bodyDiv w:val="1"/>
      <w:marLeft w:val="0"/>
      <w:marRight w:val="0"/>
      <w:marTop w:val="0"/>
      <w:marBottom w:val="0"/>
      <w:divBdr>
        <w:top w:val="none" w:sz="0" w:space="0" w:color="auto"/>
        <w:left w:val="none" w:sz="0" w:space="0" w:color="auto"/>
        <w:bottom w:val="none" w:sz="0" w:space="0" w:color="auto"/>
        <w:right w:val="none" w:sz="0" w:space="0" w:color="auto"/>
      </w:divBdr>
    </w:div>
    <w:div w:id="1295870393">
      <w:bodyDiv w:val="1"/>
      <w:marLeft w:val="0"/>
      <w:marRight w:val="0"/>
      <w:marTop w:val="0"/>
      <w:marBottom w:val="0"/>
      <w:divBdr>
        <w:top w:val="none" w:sz="0" w:space="0" w:color="auto"/>
        <w:left w:val="none" w:sz="0" w:space="0" w:color="auto"/>
        <w:bottom w:val="none" w:sz="0" w:space="0" w:color="auto"/>
        <w:right w:val="none" w:sz="0" w:space="0" w:color="auto"/>
      </w:divBdr>
    </w:div>
    <w:div w:id="1359896185">
      <w:bodyDiv w:val="1"/>
      <w:marLeft w:val="0"/>
      <w:marRight w:val="0"/>
      <w:marTop w:val="0"/>
      <w:marBottom w:val="0"/>
      <w:divBdr>
        <w:top w:val="none" w:sz="0" w:space="0" w:color="auto"/>
        <w:left w:val="none" w:sz="0" w:space="0" w:color="auto"/>
        <w:bottom w:val="none" w:sz="0" w:space="0" w:color="auto"/>
        <w:right w:val="none" w:sz="0" w:space="0" w:color="auto"/>
      </w:divBdr>
    </w:div>
    <w:div w:id="1746367975">
      <w:bodyDiv w:val="1"/>
      <w:marLeft w:val="0"/>
      <w:marRight w:val="0"/>
      <w:marTop w:val="0"/>
      <w:marBottom w:val="0"/>
      <w:divBdr>
        <w:top w:val="none" w:sz="0" w:space="0" w:color="auto"/>
        <w:left w:val="none" w:sz="0" w:space="0" w:color="auto"/>
        <w:bottom w:val="none" w:sz="0" w:space="0" w:color="auto"/>
        <w:right w:val="none" w:sz="0" w:space="0" w:color="auto"/>
      </w:divBdr>
    </w:div>
    <w:div w:id="209724669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3640</Words>
  <Characters>20751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24343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Joanne Purchase-Plumley</cp:lastModifiedBy>
  <cp:revision>3</cp:revision>
  <dcterms:created xsi:type="dcterms:W3CDTF">2025-04-07T08:53:00Z</dcterms:created>
  <dcterms:modified xsi:type="dcterms:W3CDTF">2025-04-07T08:54:00Z</dcterms:modified>
  <cp:category/>
</cp:coreProperties>
</file>