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95EFB" w14:textId="44EBC92F" w:rsidR="00A72B33" w:rsidRDefault="006C67DC" w:rsidP="00A72B33">
      <w:pPr>
        <w:jc w:val="center"/>
        <w:rPr>
          <w:sz w:val="72"/>
          <w:szCs w:val="72"/>
        </w:rPr>
      </w:pPr>
      <w:r w:rsidRPr="00A72B33">
        <w:rPr>
          <w:sz w:val="72"/>
          <w:szCs w:val="72"/>
        </w:rPr>
        <w:t>Principles of OME assignment</w:t>
      </w:r>
      <w:r w:rsidR="00A72B33">
        <w:rPr>
          <w:sz w:val="72"/>
          <w:szCs w:val="72"/>
        </w:rPr>
        <w:t xml:space="preserve"> </w:t>
      </w:r>
    </w:p>
    <w:p w14:paraId="50206537" w14:textId="2EE6500A" w:rsidR="006C67DC" w:rsidRPr="00A72B33" w:rsidRDefault="00A72B33" w:rsidP="00A72B33">
      <w:pPr>
        <w:jc w:val="center"/>
        <w:rPr>
          <w:sz w:val="20"/>
          <w:szCs w:val="20"/>
        </w:rPr>
      </w:pPr>
      <w:r w:rsidRPr="00A72B33">
        <w:rPr>
          <w:sz w:val="20"/>
          <w:szCs w:val="20"/>
        </w:rPr>
        <w:t>Lucius Galloway</w:t>
      </w:r>
    </w:p>
    <w:p w14:paraId="5EAC0C60" w14:textId="77777777" w:rsidR="00A72B33" w:rsidRDefault="00A72B33" w:rsidP="006C67DC">
      <w:pPr>
        <w:jc w:val="center"/>
        <w:rPr>
          <w:sz w:val="40"/>
          <w:szCs w:val="40"/>
        </w:rPr>
      </w:pPr>
    </w:p>
    <w:p w14:paraId="4D1753F4" w14:textId="77777777" w:rsidR="00A72B33" w:rsidRDefault="00A72B33" w:rsidP="006C67DC">
      <w:pPr>
        <w:jc w:val="center"/>
        <w:rPr>
          <w:sz w:val="40"/>
          <w:szCs w:val="40"/>
        </w:rPr>
      </w:pPr>
    </w:p>
    <w:p w14:paraId="3CFA77CF" w14:textId="47419C8A" w:rsidR="006C67DC" w:rsidRDefault="006C67DC" w:rsidP="006C67DC">
      <w:pPr>
        <w:jc w:val="center"/>
        <w:rPr>
          <w:sz w:val="40"/>
          <w:szCs w:val="40"/>
        </w:rPr>
      </w:pPr>
      <w:r>
        <w:rPr>
          <w:sz w:val="40"/>
          <w:szCs w:val="40"/>
        </w:rPr>
        <w:t>Introduction</w:t>
      </w:r>
      <w:r w:rsidR="00C4703B">
        <w:rPr>
          <w:sz w:val="40"/>
          <w:szCs w:val="40"/>
        </w:rPr>
        <w:tab/>
      </w:r>
      <w:r w:rsidR="00C4703B">
        <w:rPr>
          <w:sz w:val="40"/>
          <w:szCs w:val="40"/>
        </w:rPr>
        <w:tab/>
        <w:t>Pg 2</w:t>
      </w:r>
    </w:p>
    <w:p w14:paraId="3A88E775" w14:textId="7D0D8E75" w:rsidR="006C67DC" w:rsidRDefault="0036147D" w:rsidP="006C67DC">
      <w:pPr>
        <w:jc w:val="center"/>
        <w:rPr>
          <w:sz w:val="40"/>
          <w:szCs w:val="40"/>
        </w:rPr>
      </w:pPr>
      <w:r>
        <w:rPr>
          <w:sz w:val="40"/>
          <w:szCs w:val="40"/>
        </w:rPr>
        <w:t>Secondary Explosive Properties- TNT</w:t>
      </w:r>
      <w:r w:rsidR="00C4703B">
        <w:rPr>
          <w:sz w:val="40"/>
          <w:szCs w:val="40"/>
        </w:rPr>
        <w:tab/>
      </w:r>
      <w:r w:rsidR="00C4703B">
        <w:rPr>
          <w:sz w:val="40"/>
          <w:szCs w:val="40"/>
        </w:rPr>
        <w:tab/>
        <w:t>Pg 2</w:t>
      </w:r>
      <w:r w:rsidR="0054756F">
        <w:rPr>
          <w:sz w:val="40"/>
          <w:szCs w:val="40"/>
        </w:rPr>
        <w:t xml:space="preserve"> </w:t>
      </w:r>
      <w:r w:rsidR="00C4703B">
        <w:rPr>
          <w:sz w:val="40"/>
          <w:szCs w:val="40"/>
        </w:rPr>
        <w:t>-</w:t>
      </w:r>
      <w:r w:rsidR="0054756F">
        <w:rPr>
          <w:sz w:val="40"/>
          <w:szCs w:val="40"/>
        </w:rPr>
        <w:t xml:space="preserve"> </w:t>
      </w:r>
      <w:r w:rsidR="00C4703B">
        <w:rPr>
          <w:sz w:val="40"/>
          <w:szCs w:val="40"/>
        </w:rPr>
        <w:t>3</w:t>
      </w:r>
    </w:p>
    <w:p w14:paraId="56766F88" w14:textId="20939B62" w:rsidR="006C67DC" w:rsidRDefault="0036147D" w:rsidP="006C67DC">
      <w:pPr>
        <w:jc w:val="center"/>
        <w:rPr>
          <w:sz w:val="40"/>
          <w:szCs w:val="40"/>
        </w:rPr>
      </w:pPr>
      <w:r>
        <w:rPr>
          <w:sz w:val="40"/>
          <w:szCs w:val="40"/>
        </w:rPr>
        <w:t xml:space="preserve">Primary Explosive Properties- </w:t>
      </w:r>
      <w:r w:rsidR="00D11742">
        <w:rPr>
          <w:sz w:val="40"/>
          <w:szCs w:val="40"/>
        </w:rPr>
        <w:t xml:space="preserve">Lead </w:t>
      </w:r>
      <w:proofErr w:type="spellStart"/>
      <w:proofErr w:type="gramStart"/>
      <w:r w:rsidR="00D11742">
        <w:rPr>
          <w:sz w:val="40"/>
          <w:szCs w:val="40"/>
        </w:rPr>
        <w:t>Azide</w:t>
      </w:r>
      <w:proofErr w:type="spellEnd"/>
      <w:r w:rsidR="00C4703B">
        <w:rPr>
          <w:sz w:val="40"/>
          <w:szCs w:val="40"/>
        </w:rPr>
        <w:t xml:space="preserve">  Pg</w:t>
      </w:r>
      <w:proofErr w:type="gramEnd"/>
      <w:r w:rsidR="00C4703B">
        <w:rPr>
          <w:sz w:val="40"/>
          <w:szCs w:val="40"/>
        </w:rPr>
        <w:t xml:space="preserve"> 3</w:t>
      </w:r>
      <w:r w:rsidR="0054756F">
        <w:rPr>
          <w:sz w:val="40"/>
          <w:szCs w:val="40"/>
        </w:rPr>
        <w:t xml:space="preserve"> </w:t>
      </w:r>
      <w:r w:rsidR="00C4703B">
        <w:rPr>
          <w:sz w:val="40"/>
          <w:szCs w:val="40"/>
        </w:rPr>
        <w:t>-</w:t>
      </w:r>
      <w:r w:rsidR="0054756F">
        <w:rPr>
          <w:sz w:val="40"/>
          <w:szCs w:val="40"/>
        </w:rPr>
        <w:t xml:space="preserve"> </w:t>
      </w:r>
      <w:r w:rsidR="00C4703B">
        <w:rPr>
          <w:sz w:val="40"/>
          <w:szCs w:val="40"/>
        </w:rPr>
        <w:t>4</w:t>
      </w:r>
    </w:p>
    <w:p w14:paraId="1540104F" w14:textId="4F634EBF" w:rsidR="0036147D" w:rsidRDefault="0036147D" w:rsidP="0036147D">
      <w:pPr>
        <w:jc w:val="center"/>
        <w:rPr>
          <w:sz w:val="40"/>
          <w:szCs w:val="40"/>
        </w:rPr>
      </w:pPr>
      <w:r>
        <w:rPr>
          <w:sz w:val="40"/>
          <w:szCs w:val="40"/>
        </w:rPr>
        <w:t>Detonation Transition Between</w:t>
      </w:r>
      <w:r w:rsidR="00C4703B">
        <w:rPr>
          <w:sz w:val="40"/>
          <w:szCs w:val="40"/>
        </w:rPr>
        <w:tab/>
      </w:r>
      <w:r w:rsidR="00C4703B">
        <w:rPr>
          <w:sz w:val="40"/>
          <w:szCs w:val="40"/>
        </w:rPr>
        <w:tab/>
        <w:t xml:space="preserve">        Pg 4</w:t>
      </w:r>
      <w:r w:rsidR="0054756F">
        <w:rPr>
          <w:sz w:val="40"/>
          <w:szCs w:val="40"/>
        </w:rPr>
        <w:t xml:space="preserve"> </w:t>
      </w:r>
      <w:r w:rsidR="00C4703B">
        <w:rPr>
          <w:sz w:val="40"/>
          <w:szCs w:val="40"/>
        </w:rPr>
        <w:t>-</w:t>
      </w:r>
      <w:r w:rsidR="0054756F">
        <w:rPr>
          <w:sz w:val="40"/>
          <w:szCs w:val="40"/>
        </w:rPr>
        <w:t xml:space="preserve"> </w:t>
      </w:r>
      <w:r w:rsidR="00C4703B">
        <w:rPr>
          <w:sz w:val="40"/>
          <w:szCs w:val="40"/>
        </w:rPr>
        <w:t>5</w:t>
      </w:r>
    </w:p>
    <w:p w14:paraId="059D5EE3" w14:textId="7467F533" w:rsidR="006C67DC" w:rsidRDefault="006C67DC" w:rsidP="006C67DC">
      <w:pPr>
        <w:jc w:val="center"/>
        <w:rPr>
          <w:sz w:val="40"/>
          <w:szCs w:val="40"/>
        </w:rPr>
      </w:pPr>
      <w:r>
        <w:rPr>
          <w:sz w:val="40"/>
          <w:szCs w:val="40"/>
        </w:rPr>
        <w:t>Effects of confinement</w:t>
      </w:r>
      <w:r w:rsidR="00C4703B">
        <w:rPr>
          <w:sz w:val="40"/>
          <w:szCs w:val="40"/>
        </w:rPr>
        <w:tab/>
      </w:r>
      <w:r w:rsidR="00C4703B">
        <w:rPr>
          <w:sz w:val="40"/>
          <w:szCs w:val="40"/>
        </w:rPr>
        <w:tab/>
      </w:r>
      <w:r w:rsidR="00C4703B">
        <w:rPr>
          <w:sz w:val="40"/>
          <w:szCs w:val="40"/>
        </w:rPr>
        <w:tab/>
        <w:t xml:space="preserve">             Pg 5</w:t>
      </w:r>
    </w:p>
    <w:p w14:paraId="6CEE16A7" w14:textId="3F25963A" w:rsidR="006C67DC" w:rsidRDefault="006C67DC" w:rsidP="006C67DC">
      <w:pPr>
        <w:jc w:val="center"/>
        <w:rPr>
          <w:sz w:val="40"/>
          <w:szCs w:val="40"/>
        </w:rPr>
      </w:pPr>
      <w:r>
        <w:rPr>
          <w:sz w:val="40"/>
          <w:szCs w:val="40"/>
        </w:rPr>
        <w:t>Possible Detonation Conditions</w:t>
      </w:r>
      <w:r w:rsidR="0054756F">
        <w:rPr>
          <w:sz w:val="40"/>
          <w:szCs w:val="40"/>
        </w:rPr>
        <w:t xml:space="preserve">    Pg 5 - 6</w:t>
      </w:r>
    </w:p>
    <w:p w14:paraId="5428DF69" w14:textId="77777777" w:rsidR="0056103E" w:rsidRDefault="0056103E" w:rsidP="006C67DC">
      <w:pPr>
        <w:jc w:val="center"/>
        <w:rPr>
          <w:sz w:val="40"/>
          <w:szCs w:val="40"/>
        </w:rPr>
      </w:pPr>
    </w:p>
    <w:p w14:paraId="7F54829E" w14:textId="77777777" w:rsidR="00A72B33" w:rsidRDefault="00A72B33" w:rsidP="006C67DC">
      <w:pPr>
        <w:jc w:val="center"/>
        <w:rPr>
          <w:sz w:val="40"/>
          <w:szCs w:val="40"/>
        </w:rPr>
      </w:pPr>
    </w:p>
    <w:p w14:paraId="44E32BD5" w14:textId="77777777" w:rsidR="00A72B33" w:rsidRDefault="00A72B33" w:rsidP="006C67DC">
      <w:pPr>
        <w:jc w:val="center"/>
        <w:rPr>
          <w:sz w:val="40"/>
          <w:szCs w:val="40"/>
        </w:rPr>
      </w:pPr>
    </w:p>
    <w:p w14:paraId="01C6A91D" w14:textId="77777777" w:rsidR="00A72B33" w:rsidRDefault="00A72B33" w:rsidP="006C67DC">
      <w:pPr>
        <w:jc w:val="center"/>
        <w:rPr>
          <w:sz w:val="40"/>
          <w:szCs w:val="40"/>
        </w:rPr>
      </w:pPr>
    </w:p>
    <w:p w14:paraId="2022221E" w14:textId="77777777" w:rsidR="00A72B33" w:rsidRDefault="00A72B33" w:rsidP="006C67DC">
      <w:pPr>
        <w:jc w:val="center"/>
        <w:rPr>
          <w:sz w:val="40"/>
          <w:szCs w:val="40"/>
        </w:rPr>
      </w:pPr>
    </w:p>
    <w:p w14:paraId="4D11297D" w14:textId="77777777" w:rsidR="00A72B33" w:rsidRDefault="00A72B33" w:rsidP="006C67DC">
      <w:pPr>
        <w:jc w:val="center"/>
        <w:rPr>
          <w:sz w:val="40"/>
          <w:szCs w:val="40"/>
        </w:rPr>
      </w:pPr>
    </w:p>
    <w:p w14:paraId="6D9096B5" w14:textId="77777777" w:rsidR="00A72B33" w:rsidRDefault="00A72B33" w:rsidP="006C67DC">
      <w:pPr>
        <w:jc w:val="center"/>
        <w:rPr>
          <w:sz w:val="40"/>
          <w:szCs w:val="40"/>
        </w:rPr>
      </w:pPr>
    </w:p>
    <w:p w14:paraId="1C1E57B4" w14:textId="77777777" w:rsidR="00A72B33" w:rsidRDefault="00A72B33" w:rsidP="006C67DC">
      <w:pPr>
        <w:jc w:val="center"/>
        <w:rPr>
          <w:sz w:val="40"/>
          <w:szCs w:val="40"/>
        </w:rPr>
      </w:pPr>
    </w:p>
    <w:p w14:paraId="534D5A27" w14:textId="5EF29A82" w:rsidR="0056103E" w:rsidRDefault="0056103E" w:rsidP="006C67DC">
      <w:pPr>
        <w:jc w:val="center"/>
        <w:rPr>
          <w:sz w:val="40"/>
          <w:szCs w:val="40"/>
        </w:rPr>
      </w:pPr>
      <w:r>
        <w:rPr>
          <w:sz w:val="40"/>
          <w:szCs w:val="40"/>
        </w:rPr>
        <w:lastRenderedPageBreak/>
        <w:t>Introduction</w:t>
      </w:r>
    </w:p>
    <w:p w14:paraId="2F07B69A" w14:textId="38596B32" w:rsidR="00C057A5" w:rsidRDefault="00C057A5" w:rsidP="00C057A5">
      <w:pPr>
        <w:rPr>
          <w:sz w:val="24"/>
          <w:szCs w:val="24"/>
        </w:rPr>
      </w:pPr>
      <w:r>
        <w:rPr>
          <w:sz w:val="24"/>
          <w:szCs w:val="24"/>
        </w:rPr>
        <w:t>Firstly</w:t>
      </w:r>
      <w:r w:rsidR="00E1166B">
        <w:rPr>
          <w:sz w:val="24"/>
          <w:szCs w:val="24"/>
        </w:rPr>
        <w:t>,</w:t>
      </w:r>
      <w:r>
        <w:rPr>
          <w:sz w:val="24"/>
          <w:szCs w:val="24"/>
        </w:rPr>
        <w:t xml:space="preserve"> this assignment will cover </w:t>
      </w:r>
      <w:r w:rsidR="00A832AF">
        <w:rPr>
          <w:sz w:val="24"/>
          <w:szCs w:val="24"/>
        </w:rPr>
        <w:t xml:space="preserve">the properties of Lead </w:t>
      </w:r>
      <w:proofErr w:type="spellStart"/>
      <w:r w:rsidR="00A72B33">
        <w:rPr>
          <w:sz w:val="24"/>
          <w:szCs w:val="24"/>
        </w:rPr>
        <w:t>Azide</w:t>
      </w:r>
      <w:proofErr w:type="spellEnd"/>
      <w:r w:rsidR="00A832AF">
        <w:rPr>
          <w:sz w:val="24"/>
          <w:szCs w:val="24"/>
        </w:rPr>
        <w:t xml:space="preserve"> and TNT</w:t>
      </w:r>
      <w:r w:rsidR="00E85951">
        <w:rPr>
          <w:sz w:val="24"/>
          <w:szCs w:val="24"/>
        </w:rPr>
        <w:t xml:space="preserve">, such as ignition sources and </w:t>
      </w:r>
      <w:r w:rsidR="00E1166B">
        <w:rPr>
          <w:sz w:val="24"/>
          <w:szCs w:val="24"/>
        </w:rPr>
        <w:t>energy released,</w:t>
      </w:r>
      <w:r w:rsidR="00A832AF">
        <w:rPr>
          <w:sz w:val="24"/>
          <w:szCs w:val="24"/>
        </w:rPr>
        <w:t xml:space="preserve"> a</w:t>
      </w:r>
      <w:r w:rsidR="00E1166B">
        <w:rPr>
          <w:sz w:val="24"/>
          <w:szCs w:val="24"/>
        </w:rPr>
        <w:t>s well as</w:t>
      </w:r>
      <w:r w:rsidR="00A832AF">
        <w:rPr>
          <w:sz w:val="24"/>
          <w:szCs w:val="24"/>
        </w:rPr>
        <w:t xml:space="preserve"> how the two</w:t>
      </w:r>
      <w:r w:rsidR="00E1166B">
        <w:rPr>
          <w:sz w:val="24"/>
          <w:szCs w:val="24"/>
        </w:rPr>
        <w:t xml:space="preserve"> explosives</w:t>
      </w:r>
      <w:r w:rsidR="00A832AF">
        <w:rPr>
          <w:sz w:val="24"/>
          <w:szCs w:val="24"/>
        </w:rPr>
        <w:t xml:space="preserve"> interact. </w:t>
      </w:r>
      <w:r w:rsidR="00E1166B">
        <w:rPr>
          <w:sz w:val="24"/>
          <w:szCs w:val="24"/>
        </w:rPr>
        <w:t>Specifically,</w:t>
      </w:r>
      <w:r w:rsidR="00A832AF">
        <w:rPr>
          <w:sz w:val="24"/>
          <w:szCs w:val="24"/>
        </w:rPr>
        <w:t xml:space="preserve"> how a detonation transitions between the two and th</w:t>
      </w:r>
      <w:r w:rsidR="00E85951">
        <w:rPr>
          <w:sz w:val="24"/>
          <w:szCs w:val="24"/>
        </w:rPr>
        <w:t xml:space="preserve">e </w:t>
      </w:r>
      <w:r w:rsidR="00A832AF">
        <w:rPr>
          <w:sz w:val="24"/>
          <w:szCs w:val="24"/>
        </w:rPr>
        <w:t>conditions required to get them to do so.</w:t>
      </w:r>
    </w:p>
    <w:p w14:paraId="2DD541FA" w14:textId="60CD7477" w:rsidR="006E6561" w:rsidRDefault="006E6561" w:rsidP="00C057A5">
      <w:pPr>
        <w:rPr>
          <w:sz w:val="24"/>
          <w:szCs w:val="24"/>
        </w:rPr>
      </w:pPr>
      <w:r>
        <w:rPr>
          <w:sz w:val="24"/>
          <w:szCs w:val="24"/>
        </w:rPr>
        <w:t xml:space="preserve">Whilst there are many compounds that </w:t>
      </w:r>
      <w:r w:rsidR="00DF2101">
        <w:rPr>
          <w:sz w:val="24"/>
          <w:szCs w:val="24"/>
        </w:rPr>
        <w:t xml:space="preserve">include </w:t>
      </w:r>
      <w:r w:rsidR="0030045F">
        <w:rPr>
          <w:sz w:val="24"/>
          <w:szCs w:val="24"/>
        </w:rPr>
        <w:t>TNT</w:t>
      </w:r>
      <w:r w:rsidR="00DF2101">
        <w:rPr>
          <w:sz w:val="24"/>
          <w:szCs w:val="24"/>
        </w:rPr>
        <w:t xml:space="preserve"> and many ways by which it can be </w:t>
      </w:r>
      <w:r w:rsidR="00D11742">
        <w:rPr>
          <w:sz w:val="24"/>
          <w:szCs w:val="24"/>
        </w:rPr>
        <w:t>manufactured,</w:t>
      </w:r>
      <w:r w:rsidR="00DF2101">
        <w:rPr>
          <w:sz w:val="24"/>
          <w:szCs w:val="24"/>
        </w:rPr>
        <w:t xml:space="preserve"> I will be specifically be using </w:t>
      </w:r>
      <w:r w:rsidR="002860E3">
        <w:rPr>
          <w:sz w:val="24"/>
          <w:szCs w:val="24"/>
        </w:rPr>
        <w:t>theoretical data for</w:t>
      </w:r>
      <w:r w:rsidR="00DF3833">
        <w:rPr>
          <w:sz w:val="24"/>
          <w:szCs w:val="24"/>
        </w:rPr>
        <w:t xml:space="preserve"> “Ideal” TNT for</w:t>
      </w:r>
      <w:r w:rsidR="002860E3">
        <w:rPr>
          <w:sz w:val="24"/>
          <w:szCs w:val="24"/>
        </w:rPr>
        <w:t xml:space="preserve"> general properties and for critical diameter and density will be using </w:t>
      </w:r>
      <w:r w:rsidR="00DF2101">
        <w:rPr>
          <w:sz w:val="24"/>
          <w:szCs w:val="24"/>
        </w:rPr>
        <w:t xml:space="preserve">data referring to pure </w:t>
      </w:r>
      <w:r w:rsidR="0030045F">
        <w:rPr>
          <w:sz w:val="24"/>
          <w:szCs w:val="24"/>
        </w:rPr>
        <w:t>TNT</w:t>
      </w:r>
      <w:r w:rsidR="00A17488">
        <w:rPr>
          <w:sz w:val="24"/>
          <w:szCs w:val="24"/>
        </w:rPr>
        <w:t xml:space="preserve"> produced using pressing</w:t>
      </w:r>
      <w:r w:rsidR="002860E3">
        <w:rPr>
          <w:sz w:val="24"/>
          <w:szCs w:val="24"/>
        </w:rPr>
        <w:t>.</w:t>
      </w:r>
    </w:p>
    <w:p w14:paraId="720FF987" w14:textId="23236C7A" w:rsidR="00B93A76" w:rsidRDefault="00A72B33" w:rsidP="00C057A5">
      <w:pPr>
        <w:rPr>
          <w:sz w:val="24"/>
          <w:szCs w:val="24"/>
        </w:rPr>
      </w:pPr>
      <w:r>
        <w:rPr>
          <w:sz w:val="24"/>
          <w:szCs w:val="24"/>
        </w:rPr>
        <w:t xml:space="preserve">I was unable to find critical density or diameter values for </w:t>
      </w:r>
      <w:r w:rsidR="00C34F3E">
        <w:rPr>
          <w:sz w:val="24"/>
          <w:szCs w:val="24"/>
        </w:rPr>
        <w:t>L</w:t>
      </w:r>
      <w:r>
        <w:rPr>
          <w:sz w:val="24"/>
          <w:szCs w:val="24"/>
        </w:rPr>
        <w:t xml:space="preserve">ead </w:t>
      </w:r>
      <w:proofErr w:type="spellStart"/>
      <w:r w:rsidR="00C34F3E">
        <w:rPr>
          <w:sz w:val="24"/>
          <w:szCs w:val="24"/>
        </w:rPr>
        <w:t>A</w:t>
      </w:r>
      <w:r>
        <w:rPr>
          <w:sz w:val="24"/>
          <w:szCs w:val="24"/>
        </w:rPr>
        <w:t>zide</w:t>
      </w:r>
      <w:proofErr w:type="spellEnd"/>
      <w:r w:rsidR="00844057">
        <w:rPr>
          <w:sz w:val="24"/>
          <w:szCs w:val="24"/>
        </w:rPr>
        <w:t xml:space="preserve"> </w:t>
      </w:r>
      <w:r w:rsidR="00C34F3E">
        <w:rPr>
          <w:sz w:val="24"/>
          <w:szCs w:val="24"/>
        </w:rPr>
        <w:t>(</w:t>
      </w:r>
      <w:r w:rsidR="00844057">
        <w:rPr>
          <w:sz w:val="24"/>
          <w:szCs w:val="24"/>
        </w:rPr>
        <w:t>x</w:t>
      </w:r>
      <w:r w:rsidR="00C34F3E">
        <w:rPr>
          <w:sz w:val="24"/>
          <w:szCs w:val="24"/>
        </w:rPr>
        <w:t>)</w:t>
      </w:r>
      <w:r>
        <w:rPr>
          <w:sz w:val="24"/>
          <w:szCs w:val="24"/>
        </w:rPr>
        <w:t xml:space="preserve"> directly as density remains </w:t>
      </w:r>
      <w:proofErr w:type="gramStart"/>
      <w:r>
        <w:rPr>
          <w:sz w:val="24"/>
          <w:szCs w:val="24"/>
        </w:rPr>
        <w:t>fairly constant</w:t>
      </w:r>
      <w:proofErr w:type="gramEnd"/>
      <w:r>
        <w:rPr>
          <w:sz w:val="24"/>
          <w:szCs w:val="24"/>
        </w:rPr>
        <w:t xml:space="preserve"> and it </w:t>
      </w:r>
      <w:proofErr w:type="gramStart"/>
      <w:r>
        <w:rPr>
          <w:sz w:val="24"/>
          <w:szCs w:val="24"/>
        </w:rPr>
        <w:t>is able to</w:t>
      </w:r>
      <w:proofErr w:type="gramEnd"/>
      <w:r>
        <w:rPr>
          <w:sz w:val="24"/>
          <w:szCs w:val="24"/>
        </w:rPr>
        <w:t xml:space="preserve"> detonate even with extremely low diameters. </w:t>
      </w:r>
    </w:p>
    <w:p w14:paraId="3D7FD1EA" w14:textId="77777777" w:rsidR="006E6561" w:rsidRDefault="006E6561" w:rsidP="00C057A5">
      <w:pPr>
        <w:rPr>
          <w:sz w:val="24"/>
          <w:szCs w:val="24"/>
        </w:rPr>
      </w:pPr>
    </w:p>
    <w:p w14:paraId="7B0B8742" w14:textId="12E962B0" w:rsidR="006E6561" w:rsidRDefault="006E6561" w:rsidP="006E6561">
      <w:pPr>
        <w:jc w:val="center"/>
        <w:rPr>
          <w:sz w:val="40"/>
          <w:szCs w:val="40"/>
        </w:rPr>
      </w:pPr>
      <w:r>
        <w:rPr>
          <w:sz w:val="40"/>
          <w:szCs w:val="40"/>
        </w:rPr>
        <w:t>Secondary Explosive Properties</w:t>
      </w:r>
    </w:p>
    <w:p w14:paraId="2D42E9AE" w14:textId="274D2C40" w:rsidR="006E6561" w:rsidRDefault="009256E2" w:rsidP="00C057A5">
      <w:pPr>
        <w:rPr>
          <w:sz w:val="24"/>
          <w:szCs w:val="24"/>
        </w:rPr>
      </w:pPr>
      <w:r>
        <w:rPr>
          <w:sz w:val="24"/>
          <w:szCs w:val="24"/>
        </w:rPr>
        <w:t>TNT</w:t>
      </w:r>
      <w:r w:rsidR="008431A8">
        <w:rPr>
          <w:sz w:val="24"/>
          <w:szCs w:val="24"/>
        </w:rPr>
        <w:t xml:space="preserve"> (trinitrotoluene)</w:t>
      </w:r>
      <w:r>
        <w:rPr>
          <w:sz w:val="24"/>
          <w:szCs w:val="24"/>
        </w:rPr>
        <w:t xml:space="preserve"> was first discovered in </w:t>
      </w:r>
      <w:r w:rsidR="00993FE5">
        <w:rPr>
          <w:sz w:val="24"/>
          <w:szCs w:val="24"/>
        </w:rPr>
        <w:t>1863</w:t>
      </w:r>
      <w:r>
        <w:rPr>
          <w:sz w:val="24"/>
          <w:szCs w:val="24"/>
        </w:rPr>
        <w:t xml:space="preserve">, </w:t>
      </w:r>
      <w:r w:rsidR="00993FE5">
        <w:rPr>
          <w:sz w:val="24"/>
          <w:szCs w:val="24"/>
        </w:rPr>
        <w:t>and whilst it was initially used as a yellow dye</w:t>
      </w:r>
      <w:r w:rsidR="000D2EB7">
        <w:rPr>
          <w:sz w:val="24"/>
          <w:szCs w:val="24"/>
        </w:rPr>
        <w:t xml:space="preserve"> by its inventor, Julius Wilbrand,</w:t>
      </w:r>
      <w:r>
        <w:rPr>
          <w:sz w:val="24"/>
          <w:szCs w:val="24"/>
        </w:rPr>
        <w:t xml:space="preserve"> </w:t>
      </w:r>
      <w:r w:rsidR="000D2EB7">
        <w:rPr>
          <w:sz w:val="24"/>
          <w:szCs w:val="24"/>
        </w:rPr>
        <w:t xml:space="preserve">upon discovery of its explosive properties and the beginning of manufacture in mass, it began to be </w:t>
      </w:r>
      <w:r>
        <w:rPr>
          <w:sz w:val="24"/>
          <w:szCs w:val="24"/>
        </w:rPr>
        <w:t>used extensively</w:t>
      </w:r>
      <w:r w:rsidR="000D2EB7">
        <w:rPr>
          <w:sz w:val="24"/>
          <w:szCs w:val="24"/>
        </w:rPr>
        <w:t>, especially</w:t>
      </w:r>
      <w:r w:rsidR="00993FE5">
        <w:rPr>
          <w:sz w:val="24"/>
          <w:szCs w:val="24"/>
        </w:rPr>
        <w:t xml:space="preserve"> in munitions in both world wars</w:t>
      </w:r>
      <w:r w:rsidR="00206FB9">
        <w:rPr>
          <w:sz w:val="24"/>
          <w:szCs w:val="24"/>
        </w:rPr>
        <w:t xml:space="preserve"> where its high explosive yield, low sensitivity and the ability to cast it into shells made it a vital part of both sides war efforts.</w:t>
      </w:r>
      <w:r w:rsidR="00BF71C5">
        <w:rPr>
          <w:sz w:val="24"/>
          <w:szCs w:val="24"/>
        </w:rPr>
        <w:t>, replacing Lyddite</w:t>
      </w:r>
      <w:r w:rsidR="00E25654">
        <w:rPr>
          <w:sz w:val="24"/>
          <w:szCs w:val="24"/>
        </w:rPr>
        <w:t xml:space="preserve"> (Picric Acid)</w:t>
      </w:r>
      <w:r w:rsidR="00C274E4">
        <w:rPr>
          <w:sz w:val="24"/>
          <w:szCs w:val="24"/>
        </w:rPr>
        <w:t>, before itself being replaced, today most secondary explosives are RDX</w:t>
      </w:r>
      <w:r w:rsidR="001757C6">
        <w:rPr>
          <w:sz w:val="24"/>
          <w:szCs w:val="24"/>
        </w:rPr>
        <w:t xml:space="preserve"> (Hexogen)</w:t>
      </w:r>
      <w:r w:rsidR="00C274E4">
        <w:rPr>
          <w:sz w:val="24"/>
          <w:szCs w:val="24"/>
        </w:rPr>
        <w:t xml:space="preserve"> based.</w:t>
      </w:r>
      <w:r w:rsidR="00D8294F">
        <w:rPr>
          <w:sz w:val="24"/>
          <w:szCs w:val="24"/>
        </w:rPr>
        <w:t xml:space="preserve"> </w:t>
      </w:r>
      <w:sdt>
        <w:sdtPr>
          <w:rPr>
            <w:sz w:val="24"/>
            <w:szCs w:val="24"/>
          </w:rPr>
          <w:id w:val="734053885"/>
          <w:citation/>
        </w:sdtPr>
        <w:sdtContent>
          <w:r w:rsidR="00D8294F">
            <w:rPr>
              <w:sz w:val="24"/>
              <w:szCs w:val="24"/>
            </w:rPr>
            <w:fldChar w:fldCharType="begin"/>
          </w:r>
          <w:r w:rsidR="00D8294F">
            <w:rPr>
              <w:sz w:val="24"/>
              <w:szCs w:val="24"/>
            </w:rPr>
            <w:instrText xml:space="preserve"> CITATION Kre09 \l 2057 </w:instrText>
          </w:r>
          <w:r w:rsidR="00D8294F">
            <w:rPr>
              <w:sz w:val="24"/>
              <w:szCs w:val="24"/>
            </w:rPr>
            <w:fldChar w:fldCharType="separate"/>
          </w:r>
          <w:r w:rsidR="00D8294F" w:rsidRPr="00D8294F">
            <w:rPr>
              <w:noProof/>
              <w:sz w:val="24"/>
              <w:szCs w:val="24"/>
            </w:rPr>
            <w:t>(Krehl, 2009)</w:t>
          </w:r>
          <w:r w:rsidR="00D8294F">
            <w:rPr>
              <w:sz w:val="24"/>
              <w:szCs w:val="24"/>
            </w:rPr>
            <w:fldChar w:fldCharType="end"/>
          </w:r>
        </w:sdtContent>
      </w:sdt>
    </w:p>
    <w:p w14:paraId="635B28E0" w14:textId="53A557F0" w:rsidR="00C34F3E" w:rsidRDefault="006E63D1" w:rsidP="00C057A5">
      <w:pPr>
        <w:rPr>
          <w:sz w:val="24"/>
          <w:szCs w:val="24"/>
        </w:rPr>
      </w:pPr>
      <w:r>
        <w:rPr>
          <w:sz w:val="24"/>
          <w:szCs w:val="24"/>
        </w:rPr>
        <w:t xml:space="preserve">The key properties of TNT </w:t>
      </w:r>
      <w:r w:rsidR="00C34F3E">
        <w:rPr>
          <w:sz w:val="24"/>
          <w:szCs w:val="24"/>
        </w:rPr>
        <w:t>are:</w:t>
      </w:r>
    </w:p>
    <w:p w14:paraId="32E81CBE" w14:textId="156DFAE3" w:rsidR="00460314" w:rsidRDefault="00C34F3E" w:rsidP="00C057A5">
      <w:pPr>
        <w:rPr>
          <w:sz w:val="24"/>
          <w:szCs w:val="24"/>
        </w:rPr>
      </w:pPr>
      <w:r>
        <w:rPr>
          <w:sz w:val="24"/>
          <w:szCs w:val="24"/>
        </w:rPr>
        <w:t>I</w:t>
      </w:r>
      <w:r w:rsidR="006E63D1">
        <w:rPr>
          <w:sz w:val="24"/>
          <w:szCs w:val="24"/>
        </w:rPr>
        <w:t xml:space="preserve">ts </w:t>
      </w:r>
      <w:r w:rsidR="00460314">
        <w:rPr>
          <w:sz w:val="24"/>
          <w:szCs w:val="24"/>
        </w:rPr>
        <w:t>theoretical</w:t>
      </w:r>
      <w:r w:rsidR="00187B11">
        <w:rPr>
          <w:sz w:val="24"/>
          <w:szCs w:val="24"/>
        </w:rPr>
        <w:t xml:space="preserve"> </w:t>
      </w:r>
      <w:r w:rsidR="00187B11">
        <w:rPr>
          <w:sz w:val="24"/>
          <w:szCs w:val="24"/>
        </w:rPr>
        <w:t>maximum</w:t>
      </w:r>
      <w:r w:rsidR="00460314">
        <w:rPr>
          <w:sz w:val="24"/>
          <w:szCs w:val="24"/>
        </w:rPr>
        <w:t xml:space="preserve"> density </w:t>
      </w:r>
      <w:r w:rsidR="00187B11">
        <w:rPr>
          <w:sz w:val="24"/>
          <w:szCs w:val="24"/>
        </w:rPr>
        <w:t xml:space="preserve">(TMD) </w:t>
      </w:r>
      <w:r w:rsidR="00460314">
        <w:rPr>
          <w:sz w:val="24"/>
          <w:szCs w:val="24"/>
        </w:rPr>
        <w:t>is</w:t>
      </w:r>
      <w:r w:rsidR="006E63D1">
        <w:rPr>
          <w:sz w:val="24"/>
          <w:szCs w:val="24"/>
        </w:rPr>
        <w:t xml:space="preserve"> 1.654 g/cm^3,</w:t>
      </w:r>
      <w:r w:rsidR="00460314">
        <w:rPr>
          <w:sz w:val="24"/>
          <w:szCs w:val="24"/>
        </w:rPr>
        <w:t xml:space="preserve"> and</w:t>
      </w:r>
      <w:r>
        <w:rPr>
          <w:sz w:val="24"/>
          <w:szCs w:val="24"/>
        </w:rPr>
        <w:t xml:space="preserve"> as getting the best effect for weight and volume is key</w:t>
      </w:r>
      <w:r w:rsidR="001A183C">
        <w:rPr>
          <w:sz w:val="24"/>
          <w:szCs w:val="24"/>
        </w:rPr>
        <w:t xml:space="preserve"> to maximise the damage to a target and the range at which the target can be hit</w:t>
      </w:r>
      <w:r w:rsidR="00460314">
        <w:rPr>
          <w:sz w:val="24"/>
          <w:szCs w:val="24"/>
        </w:rPr>
        <w:t xml:space="preserve"> It compares relatively favourably with </w:t>
      </w:r>
      <w:r w:rsidR="00460314">
        <w:rPr>
          <w:sz w:val="24"/>
          <w:szCs w:val="24"/>
        </w:rPr>
        <w:t>Picric Acid</w:t>
      </w:r>
      <w:r w:rsidR="00460314">
        <w:rPr>
          <w:sz w:val="24"/>
          <w:szCs w:val="24"/>
        </w:rPr>
        <w:t>, with</w:t>
      </w:r>
      <w:r w:rsidR="00460314">
        <w:rPr>
          <w:sz w:val="24"/>
          <w:szCs w:val="24"/>
        </w:rPr>
        <w:t xml:space="preserve"> a similar density of 1.767 g/cm^3</w:t>
      </w:r>
      <w:r w:rsidR="00460314">
        <w:rPr>
          <w:sz w:val="24"/>
          <w:szCs w:val="24"/>
        </w:rPr>
        <w:t xml:space="preserve">, whilst </w:t>
      </w:r>
      <w:r w:rsidR="00460314">
        <w:rPr>
          <w:sz w:val="24"/>
          <w:szCs w:val="24"/>
        </w:rPr>
        <w:t>RDX is notable denser at 1.818 g/cm^3</w:t>
      </w:r>
      <w:r w:rsidR="00460314">
        <w:rPr>
          <w:sz w:val="24"/>
          <w:szCs w:val="24"/>
        </w:rPr>
        <w:t>.</w:t>
      </w:r>
      <w:r w:rsidR="00187B11">
        <w:rPr>
          <w:sz w:val="24"/>
          <w:szCs w:val="24"/>
        </w:rPr>
        <w:t xml:space="preserve"> Whilst increasing density of TNT typically increases velocity of detonation, TNT becomes less effective and less sensitive as it approaches TMD however it is still able to detonate, meaning it cannot be effectively dead pressed.</w:t>
      </w:r>
      <w:r w:rsidR="00D8294F">
        <w:rPr>
          <w:sz w:val="24"/>
          <w:szCs w:val="24"/>
        </w:rPr>
        <w:t xml:space="preserve"> </w:t>
      </w:r>
      <w:sdt>
        <w:sdtPr>
          <w:rPr>
            <w:sz w:val="24"/>
            <w:szCs w:val="24"/>
          </w:rPr>
          <w:id w:val="1967236660"/>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sdt>
        <w:sdtPr>
          <w:rPr>
            <w:sz w:val="24"/>
            <w:szCs w:val="24"/>
          </w:rPr>
          <w:id w:val="2043091427"/>
          <w:citation/>
        </w:sdtPr>
        <w:sdtContent>
          <w:r w:rsidR="00D8294F">
            <w:rPr>
              <w:sz w:val="24"/>
              <w:szCs w:val="24"/>
            </w:rPr>
            <w:fldChar w:fldCharType="begin"/>
          </w:r>
          <w:r w:rsidR="00D8294F">
            <w:rPr>
              <w:sz w:val="24"/>
              <w:szCs w:val="24"/>
            </w:rPr>
            <w:instrText xml:space="preserve"> CITATION Moh20 \l 2057 </w:instrText>
          </w:r>
          <w:r w:rsidR="00D8294F">
            <w:rPr>
              <w:sz w:val="24"/>
              <w:szCs w:val="24"/>
            </w:rPr>
            <w:fldChar w:fldCharType="separate"/>
          </w:r>
          <w:r w:rsidR="00D8294F">
            <w:rPr>
              <w:noProof/>
              <w:sz w:val="24"/>
              <w:szCs w:val="24"/>
            </w:rPr>
            <w:t xml:space="preserve"> </w:t>
          </w:r>
          <w:r w:rsidR="00D8294F" w:rsidRPr="00D8294F">
            <w:rPr>
              <w:noProof/>
              <w:sz w:val="24"/>
              <w:szCs w:val="24"/>
            </w:rPr>
            <w:t>(Mohammed Almuntaga Ahmed, 2020)</w:t>
          </w:r>
          <w:r w:rsidR="00D8294F">
            <w:rPr>
              <w:sz w:val="24"/>
              <w:szCs w:val="24"/>
            </w:rPr>
            <w:fldChar w:fldCharType="end"/>
          </w:r>
        </w:sdtContent>
      </w:sdt>
    </w:p>
    <w:p w14:paraId="0142A391" w14:textId="63110AC2" w:rsidR="00C34F3E" w:rsidRDefault="00C34F3E" w:rsidP="00C057A5">
      <w:pPr>
        <w:rPr>
          <w:sz w:val="24"/>
          <w:szCs w:val="24"/>
        </w:rPr>
      </w:pPr>
      <w:r>
        <w:rPr>
          <w:sz w:val="24"/>
          <w:szCs w:val="24"/>
        </w:rPr>
        <w:t>I</w:t>
      </w:r>
      <w:r w:rsidR="006E63D1">
        <w:rPr>
          <w:sz w:val="24"/>
          <w:szCs w:val="24"/>
        </w:rPr>
        <w:t xml:space="preserve">ts critical density </w:t>
      </w:r>
      <w:r w:rsidR="008C7F80">
        <w:rPr>
          <w:sz w:val="24"/>
          <w:szCs w:val="24"/>
        </w:rPr>
        <w:t>is about 0.22</w:t>
      </w:r>
      <w:r w:rsidR="006E63D1">
        <w:rPr>
          <w:sz w:val="24"/>
          <w:szCs w:val="24"/>
        </w:rPr>
        <w:t xml:space="preserve"> g/cm^3</w:t>
      </w:r>
      <w:r>
        <w:rPr>
          <w:sz w:val="24"/>
          <w:szCs w:val="24"/>
        </w:rPr>
        <w:t xml:space="preserve"> (the lowest density of TNT that is still capable of successful detonation), which is important for ensuring that TNT used will have the desired effect, ensuring there is no wastage</w:t>
      </w:r>
      <w:r w:rsidR="001A183C">
        <w:rPr>
          <w:sz w:val="24"/>
          <w:szCs w:val="24"/>
        </w:rPr>
        <w:t xml:space="preserve"> and reducing the risks of faulty or ineffective ordinance, munitions and explosives.</w:t>
      </w:r>
      <w:r w:rsidR="00D8294F">
        <w:rPr>
          <w:sz w:val="24"/>
          <w:szCs w:val="24"/>
        </w:rPr>
        <w:t xml:space="preserve"> </w:t>
      </w:r>
      <w:sdt>
        <w:sdtPr>
          <w:rPr>
            <w:sz w:val="24"/>
            <w:szCs w:val="24"/>
          </w:rPr>
          <w:id w:val="-834991767"/>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sdt>
        <w:sdtPr>
          <w:rPr>
            <w:sz w:val="24"/>
            <w:szCs w:val="24"/>
          </w:rPr>
          <w:id w:val="-180899832"/>
          <w:citation/>
        </w:sdtPr>
        <w:sdtContent>
          <w:r w:rsidR="00D8294F">
            <w:rPr>
              <w:sz w:val="24"/>
              <w:szCs w:val="24"/>
            </w:rPr>
            <w:fldChar w:fldCharType="begin"/>
          </w:r>
          <w:r w:rsidR="00D8294F">
            <w:rPr>
              <w:sz w:val="24"/>
              <w:szCs w:val="24"/>
            </w:rPr>
            <w:instrText xml:space="preserve"> CITATION Alf55 \l 2057 </w:instrText>
          </w:r>
          <w:r w:rsidR="00D8294F">
            <w:rPr>
              <w:sz w:val="24"/>
              <w:szCs w:val="24"/>
            </w:rPr>
            <w:fldChar w:fldCharType="separate"/>
          </w:r>
          <w:r w:rsidR="00D8294F">
            <w:rPr>
              <w:noProof/>
              <w:sz w:val="24"/>
              <w:szCs w:val="24"/>
            </w:rPr>
            <w:t xml:space="preserve"> </w:t>
          </w:r>
          <w:r w:rsidR="00D8294F" w:rsidRPr="00D8294F">
            <w:rPr>
              <w:noProof/>
              <w:sz w:val="24"/>
              <w:szCs w:val="24"/>
            </w:rPr>
            <w:t>(Alfred m.Anzalone, 1955)</w:t>
          </w:r>
          <w:r w:rsidR="00D8294F">
            <w:rPr>
              <w:sz w:val="24"/>
              <w:szCs w:val="24"/>
            </w:rPr>
            <w:fldChar w:fldCharType="end"/>
          </w:r>
        </w:sdtContent>
      </w:sdt>
      <w:sdt>
        <w:sdtPr>
          <w:rPr>
            <w:sz w:val="24"/>
            <w:szCs w:val="24"/>
          </w:rPr>
          <w:id w:val="177706867"/>
          <w:citation/>
        </w:sdtPr>
        <w:sdtContent>
          <w:r w:rsidR="00D8294F">
            <w:rPr>
              <w:sz w:val="24"/>
              <w:szCs w:val="24"/>
            </w:rPr>
            <w:fldChar w:fldCharType="begin"/>
          </w:r>
          <w:r w:rsidR="00D8294F">
            <w:rPr>
              <w:sz w:val="24"/>
              <w:szCs w:val="24"/>
            </w:rPr>
            <w:instrText xml:space="preserve"> CITATION Don81 \l 2057 </w:instrText>
          </w:r>
          <w:r w:rsidR="00D8294F">
            <w:rPr>
              <w:sz w:val="24"/>
              <w:szCs w:val="24"/>
            </w:rPr>
            <w:fldChar w:fldCharType="separate"/>
          </w:r>
          <w:r w:rsidR="00D8294F">
            <w:rPr>
              <w:noProof/>
              <w:sz w:val="24"/>
              <w:szCs w:val="24"/>
            </w:rPr>
            <w:t xml:space="preserve"> </w:t>
          </w:r>
          <w:r w:rsidR="00D8294F" w:rsidRPr="00D8294F">
            <w:rPr>
              <w:noProof/>
              <w:sz w:val="24"/>
              <w:szCs w:val="24"/>
            </w:rPr>
            <w:t>(Price, 1981)</w:t>
          </w:r>
          <w:r w:rsidR="00D8294F">
            <w:rPr>
              <w:sz w:val="24"/>
              <w:szCs w:val="24"/>
            </w:rPr>
            <w:fldChar w:fldCharType="end"/>
          </w:r>
        </w:sdtContent>
      </w:sdt>
    </w:p>
    <w:p w14:paraId="1550DD53" w14:textId="3E380B29" w:rsidR="00C34F3E" w:rsidRDefault="002D5777" w:rsidP="00C057A5">
      <w:pPr>
        <w:rPr>
          <w:sz w:val="24"/>
          <w:szCs w:val="24"/>
        </w:rPr>
      </w:pPr>
      <w:r>
        <w:rPr>
          <w:sz w:val="24"/>
          <w:szCs w:val="24"/>
        </w:rPr>
        <w:t>The</w:t>
      </w:r>
      <w:r w:rsidR="00C34F3E">
        <w:rPr>
          <w:sz w:val="24"/>
          <w:szCs w:val="24"/>
        </w:rPr>
        <w:t xml:space="preserve"> </w:t>
      </w:r>
      <w:r w:rsidR="006E63D1">
        <w:rPr>
          <w:sz w:val="24"/>
          <w:szCs w:val="24"/>
        </w:rPr>
        <w:t xml:space="preserve">heat of products of detonation </w:t>
      </w:r>
      <w:r>
        <w:rPr>
          <w:sz w:val="24"/>
          <w:szCs w:val="24"/>
        </w:rPr>
        <w:t xml:space="preserve">is </w:t>
      </w:r>
      <w:r w:rsidR="006E63D1">
        <w:rPr>
          <w:sz w:val="24"/>
          <w:szCs w:val="24"/>
        </w:rPr>
        <w:t>-4.653 kJ/g</w:t>
      </w:r>
      <w:r w:rsidR="001A183C">
        <w:rPr>
          <w:sz w:val="24"/>
          <w:szCs w:val="24"/>
        </w:rPr>
        <w:t xml:space="preserve">. This is the amount of heat energy released by a successful detonation and is a significant factor in the velocity of </w:t>
      </w:r>
      <w:r w:rsidR="001A183C">
        <w:rPr>
          <w:sz w:val="24"/>
          <w:szCs w:val="24"/>
        </w:rPr>
        <w:lastRenderedPageBreak/>
        <w:t>detonation as well as the thermal damage and risks of chain reaction to other explosives.</w:t>
      </w:r>
      <w:r w:rsidR="00C274E4">
        <w:rPr>
          <w:sz w:val="24"/>
          <w:szCs w:val="24"/>
        </w:rPr>
        <w:t xml:space="preserve"> RDX, is significantly higher at -5.783 kJ/g, and Picric Acid is slightly lower at 4.542 kJ/g. Whilst TNT has a higher heat of products of detonation than Picric Acid by weight, its lower density means that it is less effective by volume, while RDX is notably better in both regards</w:t>
      </w:r>
      <w:r w:rsidR="001757C6">
        <w:rPr>
          <w:sz w:val="24"/>
          <w:szCs w:val="24"/>
        </w:rPr>
        <w:t>, being more effective by weight and volume.</w:t>
      </w:r>
      <w:r w:rsidR="00D8294F">
        <w:rPr>
          <w:sz w:val="24"/>
          <w:szCs w:val="24"/>
        </w:rPr>
        <w:t xml:space="preserve"> </w:t>
      </w:r>
      <w:sdt>
        <w:sdtPr>
          <w:rPr>
            <w:sz w:val="24"/>
            <w:szCs w:val="24"/>
          </w:rPr>
          <w:id w:val="-1847546220"/>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sdt>
        <w:sdtPr>
          <w:rPr>
            <w:sz w:val="24"/>
            <w:szCs w:val="24"/>
          </w:rPr>
          <w:id w:val="-111901135"/>
          <w:citation/>
        </w:sdtPr>
        <w:sdtContent>
          <w:r w:rsidR="00D8294F">
            <w:rPr>
              <w:sz w:val="24"/>
              <w:szCs w:val="24"/>
            </w:rPr>
            <w:fldChar w:fldCharType="begin"/>
          </w:r>
          <w:r w:rsidR="00D8294F">
            <w:rPr>
              <w:sz w:val="24"/>
              <w:szCs w:val="24"/>
            </w:rPr>
            <w:instrText xml:space="preserve"> CITATION Moh20 \l 2057 </w:instrText>
          </w:r>
          <w:r w:rsidR="00D8294F">
            <w:rPr>
              <w:sz w:val="24"/>
              <w:szCs w:val="24"/>
            </w:rPr>
            <w:fldChar w:fldCharType="separate"/>
          </w:r>
          <w:r w:rsidR="00D8294F">
            <w:rPr>
              <w:noProof/>
              <w:sz w:val="24"/>
              <w:szCs w:val="24"/>
            </w:rPr>
            <w:t xml:space="preserve"> </w:t>
          </w:r>
          <w:r w:rsidR="00D8294F" w:rsidRPr="00D8294F">
            <w:rPr>
              <w:noProof/>
              <w:sz w:val="24"/>
              <w:szCs w:val="24"/>
            </w:rPr>
            <w:t>(Mohammed Almuntaga Ahmed, 2020)</w:t>
          </w:r>
          <w:r w:rsidR="00D8294F">
            <w:rPr>
              <w:sz w:val="24"/>
              <w:szCs w:val="24"/>
            </w:rPr>
            <w:fldChar w:fldCharType="end"/>
          </w:r>
        </w:sdtContent>
      </w:sdt>
    </w:p>
    <w:p w14:paraId="62AE0E6D" w14:textId="15755342" w:rsidR="001A183C" w:rsidRDefault="00C34F3E" w:rsidP="00C057A5">
      <w:pPr>
        <w:rPr>
          <w:sz w:val="24"/>
          <w:szCs w:val="24"/>
        </w:rPr>
      </w:pPr>
      <w:r>
        <w:rPr>
          <w:sz w:val="24"/>
          <w:szCs w:val="24"/>
        </w:rPr>
        <w:t>A</w:t>
      </w:r>
      <w:r w:rsidR="006E63D1">
        <w:rPr>
          <w:sz w:val="24"/>
          <w:szCs w:val="24"/>
        </w:rPr>
        <w:t xml:space="preserve"> critical diameter of 1</w:t>
      </w:r>
      <w:r w:rsidR="00172E4A">
        <w:rPr>
          <w:sz w:val="24"/>
          <w:szCs w:val="24"/>
        </w:rPr>
        <w:t>3mm</w:t>
      </w:r>
      <w:r w:rsidR="006E63D1">
        <w:rPr>
          <w:sz w:val="24"/>
          <w:szCs w:val="24"/>
        </w:rPr>
        <w:t xml:space="preserve"> at 1.62g/cm^3</w:t>
      </w:r>
      <w:r w:rsidR="001A183C">
        <w:rPr>
          <w:sz w:val="24"/>
          <w:szCs w:val="24"/>
        </w:rPr>
        <w:t xml:space="preserve"> density. </w:t>
      </w:r>
      <w:r w:rsidR="006C66CE">
        <w:rPr>
          <w:sz w:val="24"/>
          <w:szCs w:val="24"/>
        </w:rPr>
        <w:t>(the lowest diameter of a sphere of TNT that can still undergo successful detonation) this is a very important piece of data, especially as it acts as a limiting factor for the minimum size of a shell or explosive device using TNT.</w:t>
      </w:r>
      <w:r w:rsidR="00D8294F">
        <w:rPr>
          <w:sz w:val="24"/>
          <w:szCs w:val="24"/>
        </w:rPr>
        <w:t xml:space="preserve"> </w:t>
      </w:r>
      <w:sdt>
        <w:sdtPr>
          <w:rPr>
            <w:sz w:val="24"/>
            <w:szCs w:val="24"/>
          </w:rPr>
          <w:id w:val="258648743"/>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22ED3923" w14:textId="0077992B" w:rsidR="006C66CE" w:rsidRDefault="00066375" w:rsidP="00C057A5">
      <w:pPr>
        <w:rPr>
          <w:sz w:val="24"/>
          <w:szCs w:val="24"/>
        </w:rPr>
      </w:pPr>
      <w:r>
        <w:rPr>
          <w:sz w:val="24"/>
          <w:szCs w:val="24"/>
        </w:rPr>
        <w:t xml:space="preserve">The Standard initiating conditions for TNT are  </w:t>
      </w:r>
      <w:r w:rsidR="000C681C">
        <w:rPr>
          <w:sz w:val="24"/>
          <w:szCs w:val="24"/>
        </w:rPr>
        <w:t>15J by Impact and 360N by Friction</w:t>
      </w:r>
      <w:r w:rsidR="00E25654">
        <w:rPr>
          <w:sz w:val="24"/>
          <w:szCs w:val="24"/>
        </w:rPr>
        <w:t>, this is one of the most beneficial properties of TNT over previous explosives, its much lower susceptibility to impact ignition, Picric acid (Lyddite) is 7J and 355N, and while the small increase In needed friction isn’t a notable improvement, TNT being twice as difficult to detonate via impact made it a much safer material to use, resulting in less accidents and reducing the precautions needed that would slow down or make production more expensive in early 20</w:t>
      </w:r>
      <w:r w:rsidR="00E25654" w:rsidRPr="00E25654">
        <w:rPr>
          <w:sz w:val="24"/>
          <w:szCs w:val="24"/>
          <w:vertAlign w:val="superscript"/>
        </w:rPr>
        <w:t>th</w:t>
      </w:r>
      <w:r w:rsidR="00E25654">
        <w:rPr>
          <w:sz w:val="24"/>
          <w:szCs w:val="24"/>
        </w:rPr>
        <w:t xml:space="preserve"> century war economies.</w:t>
      </w:r>
      <w:r w:rsidR="00C274E4">
        <w:rPr>
          <w:sz w:val="24"/>
          <w:szCs w:val="24"/>
        </w:rPr>
        <w:t xml:space="preserve"> RDX, which is widely in use today, instead has initiation conditions of 7.5j and 120N, significantly worse than TNT in both regards, which Is partially why RDX based explosives are more common than pure RDX, whereas with TNT pure TNT was seen as the better choice when possible.</w:t>
      </w:r>
      <w:r w:rsidR="00D8294F">
        <w:rPr>
          <w:sz w:val="24"/>
          <w:szCs w:val="24"/>
        </w:rPr>
        <w:t xml:space="preserve"> </w:t>
      </w:r>
      <w:sdt>
        <w:sdtPr>
          <w:rPr>
            <w:sz w:val="24"/>
            <w:szCs w:val="24"/>
          </w:rPr>
          <w:id w:val="-979455657"/>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335AEEF0" w14:textId="64238254" w:rsidR="006E63D1" w:rsidRDefault="006C66CE" w:rsidP="00C057A5">
      <w:pPr>
        <w:rPr>
          <w:sz w:val="24"/>
          <w:szCs w:val="24"/>
        </w:rPr>
      </w:pPr>
      <w:r>
        <w:rPr>
          <w:sz w:val="24"/>
          <w:szCs w:val="24"/>
        </w:rPr>
        <w:t>A</w:t>
      </w:r>
      <w:r w:rsidR="0061798F">
        <w:rPr>
          <w:sz w:val="24"/>
          <w:szCs w:val="24"/>
        </w:rPr>
        <w:t xml:space="preserve"> melting point of 80.8 degrees Celsius</w:t>
      </w:r>
      <w:r w:rsidR="00E25654">
        <w:rPr>
          <w:sz w:val="24"/>
          <w:szCs w:val="24"/>
        </w:rPr>
        <w:t>, this low melting point makes casting an easy, quick and cheap way to fill shell casings, a major advantage for mass productio</w:t>
      </w:r>
      <w:r w:rsidR="008E59AF">
        <w:rPr>
          <w:sz w:val="24"/>
          <w:szCs w:val="24"/>
        </w:rPr>
        <w:t>n.</w:t>
      </w:r>
      <w:r w:rsidR="00D8294F">
        <w:rPr>
          <w:sz w:val="24"/>
          <w:szCs w:val="24"/>
        </w:rPr>
        <w:t xml:space="preserve"> </w:t>
      </w:r>
      <w:sdt>
        <w:sdtPr>
          <w:rPr>
            <w:sz w:val="24"/>
            <w:szCs w:val="24"/>
          </w:rPr>
          <w:id w:val="260658740"/>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3EB182D2" w14:textId="1FD6913D" w:rsidR="006E63D1" w:rsidRDefault="001A183C" w:rsidP="00C057A5">
      <w:pPr>
        <w:rPr>
          <w:sz w:val="24"/>
          <w:szCs w:val="24"/>
        </w:rPr>
      </w:pPr>
      <w:r>
        <w:rPr>
          <w:sz w:val="24"/>
          <w:szCs w:val="24"/>
        </w:rPr>
        <w:t xml:space="preserve">The velocity of detonation is </w:t>
      </w:r>
      <w:r w:rsidR="006C66CE">
        <w:rPr>
          <w:sz w:val="24"/>
          <w:szCs w:val="24"/>
        </w:rPr>
        <w:t>7290</w:t>
      </w:r>
      <w:r w:rsidR="001757C6">
        <w:rPr>
          <w:sz w:val="24"/>
          <w:szCs w:val="24"/>
        </w:rPr>
        <w:t xml:space="preserve"> m/s</w:t>
      </w:r>
      <w:r w:rsidR="006C66CE">
        <w:rPr>
          <w:sz w:val="24"/>
          <w:szCs w:val="24"/>
        </w:rPr>
        <w:t xml:space="preserve"> at 1.65 g/cm^3 and is one of the most important performance characteristics for an explosive, with a direct correlation to the shock wave and the resultant damage and lethality. </w:t>
      </w:r>
      <w:r w:rsidR="001757C6">
        <w:rPr>
          <w:sz w:val="24"/>
          <w:szCs w:val="24"/>
        </w:rPr>
        <w:t>Picric Acid is slightly higher at 7680 m/s at 1.76 g/cm^-3, again showing how the pure power was not the deciding factor for the swap from Lyddite to TNT. RDX on the other hand has a notably higher velocity of detonation at 8428 m/s at 1.70 g/cm^-3.</w:t>
      </w:r>
      <w:r w:rsidR="00D8294F">
        <w:rPr>
          <w:sz w:val="24"/>
          <w:szCs w:val="24"/>
        </w:rPr>
        <w:t xml:space="preserve"> </w:t>
      </w:r>
      <w:sdt>
        <w:sdtPr>
          <w:rPr>
            <w:sz w:val="24"/>
            <w:szCs w:val="24"/>
          </w:rPr>
          <w:id w:val="-2123675001"/>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r w:rsidR="00D8294F">
        <w:rPr>
          <w:sz w:val="24"/>
          <w:szCs w:val="24"/>
        </w:rPr>
        <w:t xml:space="preserve"> </w:t>
      </w:r>
    </w:p>
    <w:p w14:paraId="4429335E" w14:textId="4EC7B539" w:rsidR="001757C6" w:rsidRDefault="001757C6" w:rsidP="00C057A5">
      <w:pPr>
        <w:rPr>
          <w:sz w:val="24"/>
          <w:szCs w:val="24"/>
        </w:rPr>
      </w:pPr>
      <w:r>
        <w:rPr>
          <w:sz w:val="24"/>
          <w:szCs w:val="24"/>
        </w:rPr>
        <w:t>In summary TNT was a very commonly used explosive for a reason, it could be safely and cheaply produced and used in large quantities, due to high friction and impact forces for detonation, whilst having comparable effectiveness with other explosives of its time, though as the use of more complex mixes of different explosives to take advantage of the properties of each has become more common, other explosives like RDX became the dominant base, due to its higher power.</w:t>
      </w:r>
      <w:r w:rsidR="00D8294F">
        <w:rPr>
          <w:sz w:val="24"/>
          <w:szCs w:val="24"/>
        </w:rPr>
        <w:t xml:space="preserve"> </w:t>
      </w:r>
      <w:sdt>
        <w:sdtPr>
          <w:rPr>
            <w:sz w:val="24"/>
            <w:szCs w:val="24"/>
          </w:rPr>
          <w:id w:val="-1500112652"/>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3D44FA6F" w14:textId="77777777" w:rsidR="00D11742" w:rsidRDefault="00D11742" w:rsidP="00D11742">
      <w:pPr>
        <w:jc w:val="center"/>
        <w:rPr>
          <w:sz w:val="40"/>
          <w:szCs w:val="40"/>
        </w:rPr>
      </w:pPr>
      <w:r>
        <w:rPr>
          <w:sz w:val="40"/>
          <w:szCs w:val="40"/>
        </w:rPr>
        <w:t>Primary Explosive Properties</w:t>
      </w:r>
    </w:p>
    <w:p w14:paraId="6F7373E5" w14:textId="058EA60F" w:rsidR="00187B11" w:rsidRDefault="00187B11" w:rsidP="00D11742">
      <w:pPr>
        <w:rPr>
          <w:sz w:val="24"/>
          <w:szCs w:val="24"/>
        </w:rPr>
      </w:pPr>
      <w:r>
        <w:rPr>
          <w:sz w:val="24"/>
          <w:szCs w:val="24"/>
        </w:rPr>
        <w:t xml:space="preserve">Lead </w:t>
      </w:r>
      <w:proofErr w:type="spellStart"/>
      <w:r>
        <w:rPr>
          <w:sz w:val="24"/>
          <w:szCs w:val="24"/>
        </w:rPr>
        <w:t>azide</w:t>
      </w:r>
      <w:proofErr w:type="spellEnd"/>
      <w:r>
        <w:rPr>
          <w:sz w:val="24"/>
          <w:szCs w:val="24"/>
        </w:rPr>
        <w:t xml:space="preserve"> is a primary explosive, primary explosives are more powerful than secondary explosives like </w:t>
      </w:r>
      <w:proofErr w:type="gramStart"/>
      <w:r>
        <w:rPr>
          <w:sz w:val="24"/>
          <w:szCs w:val="24"/>
        </w:rPr>
        <w:t>TNT, but</w:t>
      </w:r>
      <w:proofErr w:type="gramEnd"/>
      <w:r>
        <w:rPr>
          <w:sz w:val="24"/>
          <w:szCs w:val="24"/>
        </w:rPr>
        <w:t xml:space="preserve"> are much more sensitive and thus require significantly more care to manufacture, transport and operate.</w:t>
      </w:r>
      <w:sdt>
        <w:sdtPr>
          <w:rPr>
            <w:sz w:val="24"/>
            <w:szCs w:val="24"/>
          </w:rPr>
          <w:id w:val="-1878456744"/>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Pr>
              <w:noProof/>
              <w:sz w:val="24"/>
              <w:szCs w:val="24"/>
            </w:rPr>
            <w:t xml:space="preserve"> </w:t>
          </w:r>
          <w:r w:rsidR="00D8294F" w:rsidRPr="00D8294F">
            <w:rPr>
              <w:noProof/>
              <w:sz w:val="24"/>
              <w:szCs w:val="24"/>
            </w:rPr>
            <w:t>(Koch, 2021)</w:t>
          </w:r>
          <w:r w:rsidR="00D8294F">
            <w:rPr>
              <w:sz w:val="24"/>
              <w:szCs w:val="24"/>
            </w:rPr>
            <w:fldChar w:fldCharType="end"/>
          </w:r>
        </w:sdtContent>
      </w:sdt>
      <w:r w:rsidR="00D8294F">
        <w:rPr>
          <w:sz w:val="24"/>
          <w:szCs w:val="24"/>
        </w:rPr>
        <w:t xml:space="preserve"> </w:t>
      </w:r>
    </w:p>
    <w:p w14:paraId="774DDE94" w14:textId="1CD97DED" w:rsidR="00187B11" w:rsidRDefault="00187B11" w:rsidP="00D11742">
      <w:pPr>
        <w:rPr>
          <w:sz w:val="24"/>
          <w:szCs w:val="24"/>
        </w:rPr>
      </w:pPr>
      <w:r>
        <w:rPr>
          <w:sz w:val="24"/>
          <w:szCs w:val="24"/>
        </w:rPr>
        <w:lastRenderedPageBreak/>
        <w:t xml:space="preserve">Lead </w:t>
      </w:r>
      <w:proofErr w:type="spellStart"/>
      <w:r>
        <w:rPr>
          <w:sz w:val="24"/>
          <w:szCs w:val="24"/>
        </w:rPr>
        <w:t>azide</w:t>
      </w:r>
      <w:proofErr w:type="spellEnd"/>
      <w:r>
        <w:rPr>
          <w:sz w:val="24"/>
          <w:szCs w:val="24"/>
        </w:rPr>
        <w:t xml:space="preserve"> </w:t>
      </w:r>
      <w:r w:rsidR="0036455B">
        <w:rPr>
          <w:sz w:val="24"/>
          <w:szCs w:val="24"/>
        </w:rPr>
        <w:t xml:space="preserve">was first invented in 1891and began early production by 1907 and by the end of ww1 many countries had began to consider transitioning to using lead </w:t>
      </w:r>
      <w:proofErr w:type="spellStart"/>
      <w:r w:rsidR="0036455B">
        <w:rPr>
          <w:sz w:val="24"/>
          <w:szCs w:val="24"/>
        </w:rPr>
        <w:t>azide</w:t>
      </w:r>
      <w:proofErr w:type="spellEnd"/>
      <w:r w:rsidR="0036455B">
        <w:rPr>
          <w:sz w:val="24"/>
          <w:szCs w:val="24"/>
        </w:rPr>
        <w:t xml:space="preserve"> in detonators, however its lead based nature made it difficult to manufacture or handle</w:t>
      </w:r>
      <w:r w:rsidR="008314F8">
        <w:rPr>
          <w:sz w:val="24"/>
          <w:szCs w:val="24"/>
        </w:rPr>
        <w:t xml:space="preserve">, leading to the development of diluted forms of lead </w:t>
      </w:r>
      <w:proofErr w:type="spellStart"/>
      <w:r w:rsidR="008314F8">
        <w:rPr>
          <w:sz w:val="24"/>
          <w:szCs w:val="24"/>
        </w:rPr>
        <w:t>azide</w:t>
      </w:r>
      <w:proofErr w:type="spellEnd"/>
      <w:r w:rsidR="008314F8">
        <w:rPr>
          <w:sz w:val="24"/>
          <w:szCs w:val="24"/>
        </w:rPr>
        <w:t xml:space="preserve"> such as by phlegmatizing it with Dextrin to improve handling safety, though this is less dense.</w:t>
      </w:r>
      <w:r w:rsidR="00D8294F">
        <w:rPr>
          <w:sz w:val="24"/>
          <w:szCs w:val="24"/>
        </w:rPr>
        <w:t xml:space="preserve"> </w:t>
      </w:r>
      <w:sdt>
        <w:sdtPr>
          <w:rPr>
            <w:sz w:val="24"/>
            <w:szCs w:val="24"/>
          </w:rPr>
          <w:id w:val="1157503485"/>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r w:rsidR="00D8294F">
        <w:rPr>
          <w:sz w:val="24"/>
          <w:szCs w:val="24"/>
        </w:rPr>
        <w:t xml:space="preserve"> </w:t>
      </w:r>
      <w:sdt>
        <w:sdtPr>
          <w:rPr>
            <w:sz w:val="24"/>
            <w:szCs w:val="24"/>
          </w:rPr>
          <w:id w:val="1984343885"/>
          <w:citation/>
        </w:sdtPr>
        <w:sdtContent>
          <w:r w:rsidR="00D8294F">
            <w:rPr>
              <w:sz w:val="24"/>
              <w:szCs w:val="24"/>
            </w:rPr>
            <w:fldChar w:fldCharType="begin"/>
          </w:r>
          <w:r w:rsidR="00D8294F">
            <w:rPr>
              <w:sz w:val="24"/>
              <w:szCs w:val="24"/>
            </w:rPr>
            <w:instrText xml:space="preserve"> CITATION Tro11 \l 2057 </w:instrText>
          </w:r>
          <w:r w:rsidR="00D8294F">
            <w:rPr>
              <w:sz w:val="24"/>
              <w:szCs w:val="24"/>
            </w:rPr>
            <w:fldChar w:fldCharType="separate"/>
          </w:r>
          <w:r w:rsidR="00D8294F" w:rsidRPr="00D8294F">
            <w:rPr>
              <w:noProof/>
              <w:sz w:val="24"/>
              <w:szCs w:val="24"/>
            </w:rPr>
            <w:t>(Trotsuk AV, 2011)</w:t>
          </w:r>
          <w:r w:rsidR="00D8294F">
            <w:rPr>
              <w:sz w:val="24"/>
              <w:szCs w:val="24"/>
            </w:rPr>
            <w:fldChar w:fldCharType="end"/>
          </w:r>
        </w:sdtContent>
      </w:sdt>
    </w:p>
    <w:p w14:paraId="571EC7EF" w14:textId="481207D4" w:rsidR="008314F8" w:rsidRDefault="008314F8" w:rsidP="00D11742">
      <w:pPr>
        <w:rPr>
          <w:sz w:val="24"/>
          <w:szCs w:val="24"/>
        </w:rPr>
      </w:pPr>
      <w:r>
        <w:rPr>
          <w:sz w:val="24"/>
          <w:szCs w:val="24"/>
        </w:rPr>
        <w:t xml:space="preserve">Despite many attempts and much research leads </w:t>
      </w:r>
      <w:proofErr w:type="spellStart"/>
      <w:r>
        <w:rPr>
          <w:sz w:val="24"/>
          <w:szCs w:val="24"/>
        </w:rPr>
        <w:t>azide</w:t>
      </w:r>
      <w:proofErr w:type="spellEnd"/>
      <w:r>
        <w:rPr>
          <w:sz w:val="24"/>
          <w:szCs w:val="24"/>
        </w:rPr>
        <w:t xml:space="preserve"> is still used widely, with efforts to produce affordable and safe alternatives a continuous process, though silver </w:t>
      </w:r>
      <w:proofErr w:type="spellStart"/>
      <w:r>
        <w:rPr>
          <w:sz w:val="24"/>
          <w:szCs w:val="24"/>
        </w:rPr>
        <w:t>azide’s</w:t>
      </w:r>
      <w:proofErr w:type="spellEnd"/>
      <w:r>
        <w:rPr>
          <w:sz w:val="24"/>
          <w:szCs w:val="24"/>
        </w:rPr>
        <w:t xml:space="preserve"> use as an alternative has increased.</w:t>
      </w:r>
      <w:r w:rsidR="00D8294F">
        <w:rPr>
          <w:sz w:val="24"/>
          <w:szCs w:val="24"/>
        </w:rPr>
        <w:t xml:space="preserve"> </w:t>
      </w:r>
      <w:sdt>
        <w:sdtPr>
          <w:rPr>
            <w:sz w:val="24"/>
            <w:szCs w:val="24"/>
          </w:rPr>
          <w:id w:val="749088266"/>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677E2464" w14:textId="06DCB22C" w:rsidR="008314F8" w:rsidRDefault="008314F8" w:rsidP="008314F8">
      <w:pPr>
        <w:rPr>
          <w:sz w:val="24"/>
          <w:szCs w:val="24"/>
        </w:rPr>
      </w:pPr>
      <w:r>
        <w:rPr>
          <w:sz w:val="24"/>
          <w:szCs w:val="24"/>
        </w:rPr>
        <w:t xml:space="preserve">The key properties of </w:t>
      </w:r>
      <w:r w:rsidR="00F475CE">
        <w:rPr>
          <w:sz w:val="24"/>
          <w:szCs w:val="24"/>
        </w:rPr>
        <w:t xml:space="preserve">Lead </w:t>
      </w:r>
      <w:proofErr w:type="spellStart"/>
      <w:r w:rsidR="00F475CE">
        <w:rPr>
          <w:sz w:val="24"/>
          <w:szCs w:val="24"/>
        </w:rPr>
        <w:t>Azide</w:t>
      </w:r>
      <w:proofErr w:type="spellEnd"/>
      <w:r>
        <w:rPr>
          <w:sz w:val="24"/>
          <w:szCs w:val="24"/>
        </w:rPr>
        <w:t xml:space="preserve"> are:</w:t>
      </w:r>
    </w:p>
    <w:p w14:paraId="771A7BCA" w14:textId="6400023B" w:rsidR="008314F8" w:rsidRDefault="008314F8" w:rsidP="008314F8">
      <w:pPr>
        <w:rPr>
          <w:sz w:val="24"/>
          <w:szCs w:val="24"/>
        </w:rPr>
      </w:pPr>
      <w:r>
        <w:rPr>
          <w:sz w:val="24"/>
          <w:szCs w:val="24"/>
        </w:rPr>
        <w:t xml:space="preserve">The theoretical max density of Lead </w:t>
      </w:r>
      <w:proofErr w:type="spellStart"/>
      <w:r>
        <w:rPr>
          <w:sz w:val="24"/>
          <w:szCs w:val="24"/>
        </w:rPr>
        <w:t>Azide</w:t>
      </w:r>
      <w:proofErr w:type="spellEnd"/>
      <w:r>
        <w:rPr>
          <w:sz w:val="24"/>
          <w:szCs w:val="24"/>
        </w:rPr>
        <w:t xml:space="preserve"> is 4.716 g/cm^3 </w:t>
      </w:r>
      <w:r w:rsidR="00206F2F">
        <w:rPr>
          <w:sz w:val="24"/>
          <w:szCs w:val="24"/>
        </w:rPr>
        <w:t xml:space="preserve">and most lead </w:t>
      </w:r>
      <w:proofErr w:type="spellStart"/>
      <w:r w:rsidR="00206F2F">
        <w:rPr>
          <w:sz w:val="24"/>
          <w:szCs w:val="24"/>
        </w:rPr>
        <w:t>azide</w:t>
      </w:r>
      <w:proofErr w:type="spellEnd"/>
      <w:r w:rsidR="00206F2F">
        <w:rPr>
          <w:sz w:val="24"/>
          <w:szCs w:val="24"/>
        </w:rPr>
        <w:t xml:space="preserve"> is produced with densities between 4.68 and 4.716</w:t>
      </w:r>
      <w:r w:rsidR="00F475CE">
        <w:rPr>
          <w:sz w:val="24"/>
          <w:szCs w:val="24"/>
        </w:rPr>
        <w:t xml:space="preserve"> g/cm^3.</w:t>
      </w:r>
      <w:r w:rsidR="00A21E4B">
        <w:rPr>
          <w:sz w:val="24"/>
          <w:szCs w:val="24"/>
        </w:rPr>
        <w:t xml:space="preserve"> Silver </w:t>
      </w:r>
      <w:proofErr w:type="spellStart"/>
      <w:r w:rsidR="00A21E4B">
        <w:rPr>
          <w:sz w:val="24"/>
          <w:szCs w:val="24"/>
        </w:rPr>
        <w:t>Azide</w:t>
      </w:r>
      <w:proofErr w:type="spellEnd"/>
      <w:r w:rsidR="00A21E4B">
        <w:rPr>
          <w:sz w:val="24"/>
          <w:szCs w:val="24"/>
        </w:rPr>
        <w:t xml:space="preserve"> for comparison has a density of 5.1 g/cm^3</w:t>
      </w:r>
      <w:r w:rsidR="00D8294F">
        <w:rPr>
          <w:sz w:val="24"/>
          <w:szCs w:val="24"/>
        </w:rPr>
        <w:t xml:space="preserve">. </w:t>
      </w:r>
      <w:sdt>
        <w:sdtPr>
          <w:rPr>
            <w:sz w:val="24"/>
            <w:szCs w:val="24"/>
          </w:rPr>
          <w:id w:val="1562896997"/>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5BA254E0" w14:textId="735E7A75" w:rsidR="002D5777" w:rsidRDefault="002D5777" w:rsidP="008314F8">
      <w:pPr>
        <w:rPr>
          <w:sz w:val="24"/>
          <w:szCs w:val="24"/>
        </w:rPr>
      </w:pPr>
      <w:r>
        <w:rPr>
          <w:sz w:val="24"/>
          <w:szCs w:val="24"/>
        </w:rPr>
        <w:t xml:space="preserve">Getting reliable values for the critical density of Lead </w:t>
      </w:r>
      <w:proofErr w:type="spellStart"/>
      <w:r>
        <w:rPr>
          <w:sz w:val="24"/>
          <w:szCs w:val="24"/>
        </w:rPr>
        <w:t>Azide</w:t>
      </w:r>
      <w:proofErr w:type="spellEnd"/>
      <w:r>
        <w:rPr>
          <w:sz w:val="24"/>
          <w:szCs w:val="24"/>
        </w:rPr>
        <w:t xml:space="preserve"> is very difficult, as it can detonate even with very small amounts</w:t>
      </w:r>
      <w:r w:rsidR="00F475CE">
        <w:rPr>
          <w:sz w:val="24"/>
          <w:szCs w:val="24"/>
        </w:rPr>
        <w:t>, however the lowest value I could find evidence for was a computer model calculation that went as low as 1.5 g/cm^3 and predicted a detonation</w:t>
      </w:r>
      <w:r w:rsidR="00E23CC1">
        <w:rPr>
          <w:sz w:val="24"/>
          <w:szCs w:val="24"/>
        </w:rPr>
        <w:t xml:space="preserve">, notably both Silver and Lead </w:t>
      </w:r>
      <w:proofErr w:type="spellStart"/>
      <w:r w:rsidR="00E23CC1">
        <w:rPr>
          <w:sz w:val="24"/>
          <w:szCs w:val="24"/>
        </w:rPr>
        <w:t>azide</w:t>
      </w:r>
      <w:proofErr w:type="spellEnd"/>
      <w:r w:rsidR="00E23CC1">
        <w:rPr>
          <w:sz w:val="24"/>
          <w:szCs w:val="24"/>
        </w:rPr>
        <w:t xml:space="preserve"> cannot be dead-pressed.</w:t>
      </w:r>
      <w:r w:rsidR="00D8294F">
        <w:rPr>
          <w:sz w:val="24"/>
          <w:szCs w:val="24"/>
        </w:rPr>
        <w:t xml:space="preserve"> </w:t>
      </w:r>
      <w:sdt>
        <w:sdtPr>
          <w:rPr>
            <w:sz w:val="24"/>
            <w:szCs w:val="24"/>
          </w:rPr>
          <w:id w:val="-36900922"/>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sdt>
        <w:sdtPr>
          <w:rPr>
            <w:sz w:val="24"/>
            <w:szCs w:val="24"/>
          </w:rPr>
          <w:id w:val="-1568805920"/>
          <w:citation/>
        </w:sdtPr>
        <w:sdtContent>
          <w:r w:rsidR="00D8294F">
            <w:rPr>
              <w:sz w:val="24"/>
              <w:szCs w:val="24"/>
            </w:rPr>
            <w:fldChar w:fldCharType="begin"/>
          </w:r>
          <w:r w:rsidR="00D8294F">
            <w:rPr>
              <w:sz w:val="24"/>
              <w:szCs w:val="24"/>
            </w:rPr>
            <w:instrText xml:space="preserve"> CITATION Tro11 \l 2057 </w:instrText>
          </w:r>
          <w:r w:rsidR="00D8294F">
            <w:rPr>
              <w:sz w:val="24"/>
              <w:szCs w:val="24"/>
            </w:rPr>
            <w:fldChar w:fldCharType="separate"/>
          </w:r>
          <w:r w:rsidR="00D8294F">
            <w:rPr>
              <w:noProof/>
              <w:sz w:val="24"/>
              <w:szCs w:val="24"/>
            </w:rPr>
            <w:t xml:space="preserve"> </w:t>
          </w:r>
          <w:r w:rsidR="00D8294F" w:rsidRPr="00D8294F">
            <w:rPr>
              <w:noProof/>
              <w:sz w:val="24"/>
              <w:szCs w:val="24"/>
            </w:rPr>
            <w:t>(Trotsuk AV, 2011)</w:t>
          </w:r>
          <w:r w:rsidR="00D8294F">
            <w:rPr>
              <w:sz w:val="24"/>
              <w:szCs w:val="24"/>
            </w:rPr>
            <w:fldChar w:fldCharType="end"/>
          </w:r>
        </w:sdtContent>
      </w:sdt>
      <w:r w:rsidR="00D8294F">
        <w:rPr>
          <w:sz w:val="24"/>
          <w:szCs w:val="24"/>
        </w:rPr>
        <w:t xml:space="preserve"> </w:t>
      </w:r>
    </w:p>
    <w:p w14:paraId="454B42D7" w14:textId="0A8CC8A7" w:rsidR="002D5777" w:rsidRDefault="002D5777" w:rsidP="008314F8">
      <w:pPr>
        <w:rPr>
          <w:sz w:val="24"/>
          <w:szCs w:val="24"/>
        </w:rPr>
      </w:pPr>
      <w:r>
        <w:rPr>
          <w:sz w:val="24"/>
          <w:szCs w:val="24"/>
        </w:rPr>
        <w:t>The heat of products of detonation is -</w:t>
      </w:r>
      <w:r>
        <w:rPr>
          <w:sz w:val="24"/>
          <w:szCs w:val="24"/>
        </w:rPr>
        <w:t>1.638 k</w:t>
      </w:r>
      <w:r>
        <w:rPr>
          <w:sz w:val="24"/>
          <w:szCs w:val="24"/>
        </w:rPr>
        <w:t xml:space="preserve">J/g. </w:t>
      </w:r>
      <w:r>
        <w:rPr>
          <w:sz w:val="24"/>
          <w:szCs w:val="24"/>
        </w:rPr>
        <w:t xml:space="preserve">this relatively high value is a key part of lead </w:t>
      </w:r>
      <w:proofErr w:type="spellStart"/>
      <w:r>
        <w:rPr>
          <w:sz w:val="24"/>
          <w:szCs w:val="24"/>
        </w:rPr>
        <w:t>azide’s</w:t>
      </w:r>
      <w:proofErr w:type="spellEnd"/>
      <w:r>
        <w:rPr>
          <w:sz w:val="24"/>
          <w:szCs w:val="24"/>
        </w:rPr>
        <w:t xml:space="preserve"> usefulness as a primary explosive as</w:t>
      </w:r>
      <w:r w:rsidR="00E23CC1">
        <w:rPr>
          <w:sz w:val="24"/>
          <w:szCs w:val="24"/>
        </w:rPr>
        <w:t xml:space="preserve"> it can thus consistently act as an ignition source for even less sensitive secondary explosives.</w:t>
      </w:r>
      <w:r w:rsidR="00D8294F">
        <w:rPr>
          <w:sz w:val="24"/>
          <w:szCs w:val="24"/>
        </w:rPr>
        <w:t xml:space="preserve"> </w:t>
      </w:r>
      <w:sdt>
        <w:sdtPr>
          <w:rPr>
            <w:sz w:val="24"/>
            <w:szCs w:val="24"/>
          </w:rPr>
          <w:id w:val="1876122177"/>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r w:rsidR="00D8294F">
        <w:rPr>
          <w:sz w:val="24"/>
          <w:szCs w:val="24"/>
        </w:rPr>
        <w:t xml:space="preserve"> </w:t>
      </w:r>
    </w:p>
    <w:p w14:paraId="06131A80" w14:textId="1260446E" w:rsidR="002D5777" w:rsidRDefault="002D5777" w:rsidP="002D5777">
      <w:pPr>
        <w:rPr>
          <w:sz w:val="24"/>
          <w:szCs w:val="24"/>
        </w:rPr>
      </w:pPr>
      <w:r>
        <w:rPr>
          <w:sz w:val="24"/>
          <w:szCs w:val="24"/>
        </w:rPr>
        <w:t xml:space="preserve">Getting reliable values for the critical </w:t>
      </w:r>
      <w:r>
        <w:rPr>
          <w:sz w:val="24"/>
          <w:szCs w:val="24"/>
        </w:rPr>
        <w:t>diameter</w:t>
      </w:r>
      <w:r>
        <w:rPr>
          <w:sz w:val="24"/>
          <w:szCs w:val="24"/>
        </w:rPr>
        <w:t xml:space="preserve"> of Lead </w:t>
      </w:r>
      <w:proofErr w:type="spellStart"/>
      <w:r>
        <w:rPr>
          <w:sz w:val="24"/>
          <w:szCs w:val="24"/>
        </w:rPr>
        <w:t>Azide</w:t>
      </w:r>
      <w:proofErr w:type="spellEnd"/>
      <w:r>
        <w:rPr>
          <w:sz w:val="24"/>
          <w:szCs w:val="24"/>
        </w:rPr>
        <w:t xml:space="preserve"> is very difficult, as it can detonate even with very small amounts</w:t>
      </w:r>
      <w:r w:rsidR="00206F2F">
        <w:rPr>
          <w:sz w:val="24"/>
          <w:szCs w:val="24"/>
        </w:rPr>
        <w:t>, however</w:t>
      </w:r>
      <w:r w:rsidR="004B22B9">
        <w:rPr>
          <w:sz w:val="24"/>
          <w:szCs w:val="24"/>
        </w:rPr>
        <w:t xml:space="preserve"> some evidence suggests successful detonation can occur with as little as 2mm diameter.</w:t>
      </w:r>
      <w:r w:rsidR="00D8294F">
        <w:rPr>
          <w:sz w:val="24"/>
          <w:szCs w:val="24"/>
        </w:rPr>
        <w:t xml:space="preserve"> </w:t>
      </w:r>
      <w:sdt>
        <w:sdtPr>
          <w:rPr>
            <w:sz w:val="24"/>
            <w:szCs w:val="24"/>
          </w:rPr>
          <w:id w:val="-711658710"/>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2C00B3C8" w14:textId="174137D1" w:rsidR="002D5777" w:rsidRDefault="00F475CE" w:rsidP="008314F8">
      <w:pPr>
        <w:rPr>
          <w:sz w:val="24"/>
          <w:szCs w:val="24"/>
        </w:rPr>
      </w:pPr>
      <w:r>
        <w:rPr>
          <w:sz w:val="24"/>
          <w:szCs w:val="24"/>
        </w:rPr>
        <w:t xml:space="preserve">The initiation conditions for Lead </w:t>
      </w:r>
      <w:proofErr w:type="spellStart"/>
      <w:r>
        <w:rPr>
          <w:sz w:val="24"/>
          <w:szCs w:val="24"/>
        </w:rPr>
        <w:t>Azide</w:t>
      </w:r>
      <w:proofErr w:type="spellEnd"/>
      <w:r>
        <w:rPr>
          <w:sz w:val="24"/>
          <w:szCs w:val="24"/>
        </w:rPr>
        <w:t xml:space="preserve"> are similarly difficult due to the low values involved, however Is around 0.5-4j and 0.3-0.5N, numbers that when compared to TNT demonstrate an exceptionally higher sensitivity.</w:t>
      </w:r>
      <w:r w:rsidR="00E23CC1">
        <w:rPr>
          <w:sz w:val="24"/>
          <w:szCs w:val="24"/>
        </w:rPr>
        <w:t xml:space="preserve"> Notably Silver </w:t>
      </w:r>
      <w:proofErr w:type="spellStart"/>
      <w:r w:rsidR="00E23CC1">
        <w:rPr>
          <w:sz w:val="24"/>
          <w:szCs w:val="24"/>
        </w:rPr>
        <w:t>azide</w:t>
      </w:r>
      <w:proofErr w:type="spellEnd"/>
      <w:r w:rsidR="00E23CC1">
        <w:rPr>
          <w:sz w:val="24"/>
          <w:szCs w:val="24"/>
        </w:rPr>
        <w:t xml:space="preserve"> has similar impact sensitivity as lead </w:t>
      </w:r>
      <w:proofErr w:type="spellStart"/>
      <w:r w:rsidR="00E23CC1">
        <w:rPr>
          <w:sz w:val="24"/>
          <w:szCs w:val="24"/>
        </w:rPr>
        <w:t>azide</w:t>
      </w:r>
      <w:proofErr w:type="spellEnd"/>
      <w:r w:rsidR="00E23CC1">
        <w:rPr>
          <w:sz w:val="24"/>
          <w:szCs w:val="24"/>
        </w:rPr>
        <w:t xml:space="preserve"> at about 1-4j and similarly low friction sensitivity. </w:t>
      </w:r>
      <w:r w:rsidR="00D8294F">
        <w:rPr>
          <w:sz w:val="24"/>
          <w:szCs w:val="24"/>
        </w:rPr>
        <w:t xml:space="preserve"> </w:t>
      </w:r>
      <w:sdt>
        <w:sdtPr>
          <w:rPr>
            <w:sz w:val="24"/>
            <w:szCs w:val="24"/>
          </w:rPr>
          <w:id w:val="-769473046"/>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1A4854D6" w14:textId="04C55483" w:rsidR="00D11742" w:rsidRDefault="005823D3" w:rsidP="00D11742">
      <w:pPr>
        <w:rPr>
          <w:sz w:val="24"/>
          <w:szCs w:val="24"/>
        </w:rPr>
      </w:pPr>
      <w:r>
        <w:rPr>
          <w:sz w:val="24"/>
          <w:szCs w:val="24"/>
        </w:rPr>
        <w:t xml:space="preserve">The velocity of detonation however is 3880 m/s at 2 g/cm^3 and can reach up to about 6000 m/s, very powerful but notably weaker than TNT and such a range of values </w:t>
      </w:r>
      <w:proofErr w:type="gramStart"/>
      <w:r>
        <w:rPr>
          <w:sz w:val="24"/>
          <w:szCs w:val="24"/>
        </w:rPr>
        <w:t>helps</w:t>
      </w:r>
      <w:proofErr w:type="gramEnd"/>
      <w:r>
        <w:rPr>
          <w:sz w:val="24"/>
          <w:szCs w:val="24"/>
        </w:rPr>
        <w:t xml:space="preserve"> allow for charges to be as low as they can while still initiating the larger secondary charges.</w:t>
      </w:r>
      <w:r w:rsidR="00E23CC1">
        <w:rPr>
          <w:sz w:val="24"/>
          <w:szCs w:val="24"/>
        </w:rPr>
        <w:t xml:space="preserve"> Silver </w:t>
      </w:r>
      <w:proofErr w:type="spellStart"/>
      <w:r w:rsidR="00E23CC1">
        <w:rPr>
          <w:sz w:val="24"/>
          <w:szCs w:val="24"/>
        </w:rPr>
        <w:t>azide</w:t>
      </w:r>
      <w:proofErr w:type="spellEnd"/>
      <w:r w:rsidR="00E23CC1">
        <w:rPr>
          <w:sz w:val="24"/>
          <w:szCs w:val="24"/>
        </w:rPr>
        <w:t xml:space="preserve"> is very similar, with 3830 m/s at 2 g/cm^3</w:t>
      </w:r>
      <w:r w:rsidR="0030607E">
        <w:rPr>
          <w:sz w:val="24"/>
          <w:szCs w:val="24"/>
        </w:rPr>
        <w:t>.</w:t>
      </w:r>
      <w:r w:rsidR="00D8294F">
        <w:rPr>
          <w:sz w:val="24"/>
          <w:szCs w:val="24"/>
        </w:rPr>
        <w:t xml:space="preserve"> </w:t>
      </w:r>
      <w:sdt>
        <w:sdtPr>
          <w:rPr>
            <w:sz w:val="24"/>
            <w:szCs w:val="24"/>
          </w:rPr>
          <w:id w:val="-2112734657"/>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53E2C24E" w14:textId="01AAF615" w:rsidR="00D11742" w:rsidRDefault="0030607E" w:rsidP="00C057A5">
      <w:pPr>
        <w:rPr>
          <w:sz w:val="24"/>
          <w:szCs w:val="24"/>
        </w:rPr>
      </w:pPr>
      <w:r>
        <w:rPr>
          <w:sz w:val="24"/>
          <w:szCs w:val="24"/>
        </w:rPr>
        <w:t xml:space="preserve">Considering these it becomes </w:t>
      </w:r>
      <w:r w:rsidR="0036147D">
        <w:rPr>
          <w:sz w:val="24"/>
          <w:szCs w:val="24"/>
        </w:rPr>
        <w:t>apparent</w:t>
      </w:r>
      <w:r>
        <w:rPr>
          <w:sz w:val="24"/>
          <w:szCs w:val="24"/>
        </w:rPr>
        <w:t xml:space="preserve"> that both lead </w:t>
      </w:r>
      <w:proofErr w:type="spellStart"/>
      <w:r>
        <w:rPr>
          <w:sz w:val="24"/>
          <w:szCs w:val="24"/>
        </w:rPr>
        <w:t>azide</w:t>
      </w:r>
      <w:proofErr w:type="spellEnd"/>
      <w:r>
        <w:rPr>
          <w:sz w:val="24"/>
          <w:szCs w:val="24"/>
        </w:rPr>
        <w:t xml:space="preserve"> and silver </w:t>
      </w:r>
      <w:proofErr w:type="spellStart"/>
      <w:r>
        <w:rPr>
          <w:sz w:val="24"/>
          <w:szCs w:val="24"/>
        </w:rPr>
        <w:t>azide</w:t>
      </w:r>
      <w:proofErr w:type="spellEnd"/>
      <w:r>
        <w:rPr>
          <w:sz w:val="24"/>
          <w:szCs w:val="24"/>
        </w:rPr>
        <w:t xml:space="preserve"> have very similar properties, yet </w:t>
      </w:r>
      <w:proofErr w:type="gramStart"/>
      <w:r>
        <w:rPr>
          <w:sz w:val="24"/>
          <w:szCs w:val="24"/>
        </w:rPr>
        <w:t>ultimately</w:t>
      </w:r>
      <w:proofErr w:type="gramEnd"/>
      <w:r>
        <w:rPr>
          <w:sz w:val="24"/>
          <w:szCs w:val="24"/>
        </w:rPr>
        <w:t xml:space="preserve"> we use lead </w:t>
      </w:r>
      <w:proofErr w:type="spellStart"/>
      <w:r>
        <w:rPr>
          <w:sz w:val="24"/>
          <w:szCs w:val="24"/>
        </w:rPr>
        <w:t>azide</w:t>
      </w:r>
      <w:proofErr w:type="spellEnd"/>
      <w:r>
        <w:rPr>
          <w:sz w:val="24"/>
          <w:szCs w:val="24"/>
        </w:rPr>
        <w:t xml:space="preserve"> more despite its relative toxicity,</w:t>
      </w:r>
      <w:r w:rsidR="00D869D7">
        <w:rPr>
          <w:sz w:val="24"/>
          <w:szCs w:val="24"/>
        </w:rPr>
        <w:t xml:space="preserve"> this is because of the use of Tetracene </w:t>
      </w:r>
      <w:proofErr w:type="gramStart"/>
      <w:r w:rsidR="00D869D7">
        <w:rPr>
          <w:sz w:val="24"/>
          <w:szCs w:val="24"/>
        </w:rPr>
        <w:t>as a way to</w:t>
      </w:r>
      <w:proofErr w:type="gramEnd"/>
      <w:r w:rsidR="00D869D7">
        <w:rPr>
          <w:sz w:val="24"/>
          <w:szCs w:val="24"/>
        </w:rPr>
        <w:t xml:space="preserve"> further sensitise primary explosives, which it can do for lead </w:t>
      </w:r>
      <w:proofErr w:type="spellStart"/>
      <w:r w:rsidR="00D869D7">
        <w:rPr>
          <w:sz w:val="24"/>
          <w:szCs w:val="24"/>
        </w:rPr>
        <w:t>azide</w:t>
      </w:r>
      <w:proofErr w:type="spellEnd"/>
      <w:r w:rsidR="00D869D7">
        <w:rPr>
          <w:sz w:val="24"/>
          <w:szCs w:val="24"/>
        </w:rPr>
        <w:t xml:space="preserve">, but is not compatible with silver </w:t>
      </w:r>
      <w:proofErr w:type="spellStart"/>
      <w:r w:rsidR="00D869D7">
        <w:rPr>
          <w:sz w:val="24"/>
          <w:szCs w:val="24"/>
        </w:rPr>
        <w:t>azide</w:t>
      </w:r>
      <w:proofErr w:type="spellEnd"/>
      <w:r w:rsidR="00D869D7">
        <w:rPr>
          <w:sz w:val="24"/>
          <w:szCs w:val="24"/>
        </w:rPr>
        <w:t>.</w:t>
      </w:r>
      <w:r w:rsidR="00D8294F">
        <w:rPr>
          <w:sz w:val="24"/>
          <w:szCs w:val="24"/>
        </w:rPr>
        <w:t xml:space="preserve"> </w:t>
      </w:r>
      <w:sdt>
        <w:sdtPr>
          <w:rPr>
            <w:sz w:val="24"/>
            <w:szCs w:val="24"/>
          </w:rPr>
          <w:id w:val="-1076817373"/>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2696ED4C" w14:textId="77777777" w:rsidR="0036147D" w:rsidRDefault="0036147D" w:rsidP="00C057A5">
      <w:pPr>
        <w:rPr>
          <w:sz w:val="24"/>
          <w:szCs w:val="24"/>
        </w:rPr>
      </w:pPr>
    </w:p>
    <w:p w14:paraId="39162D59" w14:textId="22D676D1" w:rsidR="0036147D" w:rsidRDefault="0036147D" w:rsidP="0036147D">
      <w:pPr>
        <w:jc w:val="center"/>
        <w:rPr>
          <w:sz w:val="40"/>
          <w:szCs w:val="40"/>
        </w:rPr>
      </w:pPr>
      <w:r>
        <w:rPr>
          <w:sz w:val="40"/>
          <w:szCs w:val="40"/>
        </w:rPr>
        <w:t>Detonation Transition Between</w:t>
      </w:r>
    </w:p>
    <w:p w14:paraId="3DFC6535" w14:textId="013D7E94" w:rsidR="0036147D" w:rsidRDefault="0036147D" w:rsidP="0036147D">
      <w:pPr>
        <w:rPr>
          <w:sz w:val="24"/>
          <w:szCs w:val="24"/>
        </w:rPr>
      </w:pPr>
      <w:r>
        <w:rPr>
          <w:sz w:val="24"/>
          <w:szCs w:val="24"/>
        </w:rPr>
        <w:lastRenderedPageBreak/>
        <w:t xml:space="preserve">For a detonation to successfully transition from the primary explosive to the secondary explosive the primary explosive must firstly be able to detonate itself, secondly the secondary explosive must also have met its critical values to itself detonate, thirdly the primary explosive must meet at least one of the initiation conditions of the secondary explosive. </w:t>
      </w:r>
    </w:p>
    <w:p w14:paraId="6B5D9FD6" w14:textId="64757859" w:rsidR="003E6CD9" w:rsidRDefault="00060B3C" w:rsidP="0036147D">
      <w:pPr>
        <w:rPr>
          <w:sz w:val="24"/>
          <w:szCs w:val="24"/>
        </w:rPr>
      </w:pPr>
      <w:r>
        <w:rPr>
          <w:sz w:val="24"/>
          <w:szCs w:val="24"/>
        </w:rPr>
        <w:t>The primary way by which a subsequent detonation on an explosive train occurs is via impact, as the shockwave from the primary explosive moves through the secondary explosive, forcing the crystals together and creating hot spots and a subsequent detonation.</w:t>
      </w:r>
      <w:sdt>
        <w:sdtPr>
          <w:rPr>
            <w:sz w:val="24"/>
            <w:szCs w:val="24"/>
          </w:rPr>
          <w:id w:val="650407436"/>
          <w:citation/>
        </w:sdtPr>
        <w:sdtContent>
          <w:r w:rsidR="00D8294F">
            <w:rPr>
              <w:sz w:val="24"/>
              <w:szCs w:val="24"/>
            </w:rPr>
            <w:fldChar w:fldCharType="begin"/>
          </w:r>
          <w:r w:rsidR="00D8294F">
            <w:rPr>
              <w:sz w:val="24"/>
              <w:szCs w:val="24"/>
            </w:rPr>
            <w:instrText xml:space="preserve"> CITATION Tro11 \l 2057 </w:instrText>
          </w:r>
          <w:r w:rsidR="00D8294F">
            <w:rPr>
              <w:sz w:val="24"/>
              <w:szCs w:val="24"/>
            </w:rPr>
            <w:fldChar w:fldCharType="separate"/>
          </w:r>
          <w:r w:rsidR="00D8294F">
            <w:rPr>
              <w:noProof/>
              <w:sz w:val="24"/>
              <w:szCs w:val="24"/>
            </w:rPr>
            <w:t xml:space="preserve"> </w:t>
          </w:r>
          <w:r w:rsidR="00D8294F" w:rsidRPr="00D8294F">
            <w:rPr>
              <w:noProof/>
              <w:sz w:val="24"/>
              <w:szCs w:val="24"/>
            </w:rPr>
            <w:t>(Trotsuk AV, 2011)</w:t>
          </w:r>
          <w:r w:rsidR="00D8294F">
            <w:rPr>
              <w:sz w:val="24"/>
              <w:szCs w:val="24"/>
            </w:rPr>
            <w:fldChar w:fldCharType="end"/>
          </w:r>
        </w:sdtContent>
      </w:sdt>
      <w:sdt>
        <w:sdtPr>
          <w:rPr>
            <w:sz w:val="24"/>
            <w:szCs w:val="24"/>
          </w:rPr>
          <w:id w:val="1377273005"/>
          <w:citation/>
        </w:sdtPr>
        <w:sdtContent>
          <w:r w:rsidR="00D8294F">
            <w:rPr>
              <w:sz w:val="24"/>
              <w:szCs w:val="24"/>
            </w:rPr>
            <w:fldChar w:fldCharType="begin"/>
          </w:r>
          <w:r w:rsidR="00D8294F">
            <w:rPr>
              <w:sz w:val="24"/>
              <w:szCs w:val="24"/>
            </w:rPr>
            <w:instrText xml:space="preserve"> CITATION Alf55 \l 2057 </w:instrText>
          </w:r>
          <w:r w:rsidR="00D8294F">
            <w:rPr>
              <w:sz w:val="24"/>
              <w:szCs w:val="24"/>
            </w:rPr>
            <w:fldChar w:fldCharType="separate"/>
          </w:r>
          <w:r w:rsidR="00D8294F">
            <w:rPr>
              <w:noProof/>
              <w:sz w:val="24"/>
              <w:szCs w:val="24"/>
            </w:rPr>
            <w:t xml:space="preserve"> </w:t>
          </w:r>
          <w:r w:rsidR="00D8294F" w:rsidRPr="00D8294F">
            <w:rPr>
              <w:noProof/>
              <w:sz w:val="24"/>
              <w:szCs w:val="24"/>
            </w:rPr>
            <w:t>(Alfred m.Anzalone, 1955)</w:t>
          </w:r>
          <w:r w:rsidR="00D8294F">
            <w:rPr>
              <w:sz w:val="24"/>
              <w:szCs w:val="24"/>
            </w:rPr>
            <w:fldChar w:fldCharType="end"/>
          </w:r>
        </w:sdtContent>
      </w:sdt>
    </w:p>
    <w:p w14:paraId="7139760C" w14:textId="6002D9A0" w:rsidR="00932F3D" w:rsidRDefault="00932F3D" w:rsidP="0036147D">
      <w:pPr>
        <w:rPr>
          <w:sz w:val="24"/>
          <w:szCs w:val="24"/>
        </w:rPr>
      </w:pPr>
      <w:r>
        <w:rPr>
          <w:sz w:val="24"/>
          <w:szCs w:val="24"/>
        </w:rPr>
        <w:t xml:space="preserve">For this example, Lead </w:t>
      </w:r>
      <w:proofErr w:type="spellStart"/>
      <w:r>
        <w:rPr>
          <w:sz w:val="24"/>
          <w:szCs w:val="24"/>
        </w:rPr>
        <w:t>azide</w:t>
      </w:r>
      <w:proofErr w:type="spellEnd"/>
      <w:r>
        <w:rPr>
          <w:sz w:val="24"/>
          <w:szCs w:val="24"/>
        </w:rPr>
        <w:t xml:space="preserve"> is initiated by</w:t>
      </w:r>
      <w:r w:rsidR="00C4703B">
        <w:rPr>
          <w:sz w:val="24"/>
          <w:szCs w:val="24"/>
        </w:rPr>
        <w:t xml:space="preserve"> burning oil at a minimum of 350 degrees C </w:t>
      </w:r>
      <w:r>
        <w:rPr>
          <w:sz w:val="24"/>
          <w:szCs w:val="24"/>
        </w:rPr>
        <w:t xml:space="preserve">detonating a minimum of 0.7g of lead </w:t>
      </w:r>
      <w:proofErr w:type="spellStart"/>
      <w:r>
        <w:rPr>
          <w:sz w:val="24"/>
          <w:szCs w:val="24"/>
        </w:rPr>
        <w:t>azide</w:t>
      </w:r>
      <w:proofErr w:type="spellEnd"/>
      <w:r>
        <w:rPr>
          <w:sz w:val="24"/>
          <w:szCs w:val="24"/>
        </w:rPr>
        <w:t>, which in turn detonates adjacent TNT with a diameter of a minimum of 13mm</w:t>
      </w:r>
      <w:r w:rsidR="00C4703B">
        <w:rPr>
          <w:sz w:val="24"/>
          <w:szCs w:val="24"/>
        </w:rPr>
        <w:t xml:space="preserve"> when </w:t>
      </w:r>
      <w:r w:rsidR="00D8294F">
        <w:rPr>
          <w:sz w:val="24"/>
          <w:szCs w:val="24"/>
        </w:rPr>
        <w:t>unconfined</w:t>
      </w:r>
      <w:r w:rsidR="00C4703B">
        <w:rPr>
          <w:sz w:val="24"/>
          <w:szCs w:val="24"/>
        </w:rPr>
        <w:t>.</w:t>
      </w:r>
      <w:sdt>
        <w:sdtPr>
          <w:rPr>
            <w:sz w:val="24"/>
            <w:szCs w:val="24"/>
          </w:rPr>
          <w:id w:val="-764841081"/>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Pr>
              <w:noProof/>
              <w:sz w:val="24"/>
              <w:szCs w:val="24"/>
            </w:rPr>
            <w:t xml:space="preserve"> </w:t>
          </w:r>
          <w:r w:rsidR="00D8294F" w:rsidRPr="00D8294F">
            <w:rPr>
              <w:noProof/>
              <w:sz w:val="24"/>
              <w:szCs w:val="24"/>
            </w:rPr>
            <w:t>(Koch, 2021)</w:t>
          </w:r>
          <w:r w:rsidR="00D8294F">
            <w:rPr>
              <w:sz w:val="24"/>
              <w:szCs w:val="24"/>
            </w:rPr>
            <w:fldChar w:fldCharType="end"/>
          </w:r>
        </w:sdtContent>
      </w:sdt>
    </w:p>
    <w:p w14:paraId="620827AB" w14:textId="77777777" w:rsidR="0036147D" w:rsidRDefault="0036147D" w:rsidP="0036147D">
      <w:pPr>
        <w:jc w:val="center"/>
        <w:rPr>
          <w:sz w:val="40"/>
          <w:szCs w:val="40"/>
        </w:rPr>
      </w:pPr>
      <w:r>
        <w:rPr>
          <w:sz w:val="40"/>
          <w:szCs w:val="40"/>
        </w:rPr>
        <w:t>Effects of confinement</w:t>
      </w:r>
    </w:p>
    <w:p w14:paraId="64BDD7AE" w14:textId="3B78CB5D" w:rsidR="0036147D" w:rsidRDefault="0036147D" w:rsidP="0036147D">
      <w:pPr>
        <w:rPr>
          <w:sz w:val="24"/>
          <w:szCs w:val="24"/>
        </w:rPr>
      </w:pPr>
      <w:r>
        <w:rPr>
          <w:sz w:val="24"/>
          <w:szCs w:val="24"/>
        </w:rPr>
        <w:t>The detonation of an explosive produces a reaction front, were the velocity of detonation occurs, there is a direct causal link between the rate velocity of detonation and the pressure of the resultant shockwave with the same explosive</w:t>
      </w:r>
      <w:r w:rsidR="003E6CD9">
        <w:rPr>
          <w:sz w:val="24"/>
          <w:szCs w:val="24"/>
        </w:rPr>
        <w:t xml:space="preserve">, given that the shockwave is typically the primary cause of damage produced by an explosive and that a high velocity must be reached for the transition from deflagration to detonation to occur, velocity of detonation is one of the most important properties of an explosive. </w:t>
      </w:r>
      <w:sdt>
        <w:sdtPr>
          <w:rPr>
            <w:sz w:val="24"/>
            <w:szCs w:val="24"/>
          </w:rPr>
          <w:id w:val="95449848"/>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p>
    <w:p w14:paraId="091AB4F1" w14:textId="7EB565D5" w:rsidR="003E6CD9" w:rsidRDefault="003E6CD9" w:rsidP="0036147D">
      <w:pPr>
        <w:rPr>
          <w:sz w:val="24"/>
          <w:szCs w:val="24"/>
        </w:rPr>
      </w:pPr>
      <w:r>
        <w:rPr>
          <w:sz w:val="24"/>
          <w:szCs w:val="24"/>
        </w:rPr>
        <w:t>As an explosive detonates, the shockwave moves out in all directions, however when it meets resistance, either from self-</w:t>
      </w:r>
      <w:r w:rsidR="00D8294F">
        <w:rPr>
          <w:sz w:val="24"/>
          <w:szCs w:val="24"/>
        </w:rPr>
        <w:t>confinement</w:t>
      </w:r>
      <w:r>
        <w:rPr>
          <w:sz w:val="24"/>
          <w:szCs w:val="24"/>
        </w:rPr>
        <w:t xml:space="preserve"> by </w:t>
      </w:r>
      <w:r w:rsidR="00D8294F">
        <w:rPr>
          <w:sz w:val="24"/>
          <w:szCs w:val="24"/>
        </w:rPr>
        <w:t>interference</w:t>
      </w:r>
      <w:r>
        <w:rPr>
          <w:sz w:val="24"/>
          <w:szCs w:val="24"/>
        </w:rPr>
        <w:t xml:space="preserve"> by the detonation of </w:t>
      </w:r>
      <w:r w:rsidR="00D8294F">
        <w:rPr>
          <w:sz w:val="24"/>
          <w:szCs w:val="24"/>
        </w:rPr>
        <w:t>adjacent</w:t>
      </w:r>
      <w:r>
        <w:rPr>
          <w:sz w:val="24"/>
          <w:szCs w:val="24"/>
        </w:rPr>
        <w:t xml:space="preserve"> explosive material, or external confinement by a casing or shell, some of the shockwave is reflected and gas cannot as easily escape, this reflection and the constructive interference with he original shock wave </w:t>
      </w:r>
      <w:r w:rsidR="00D8294F">
        <w:rPr>
          <w:sz w:val="24"/>
          <w:szCs w:val="24"/>
        </w:rPr>
        <w:t>along</w:t>
      </w:r>
      <w:r>
        <w:rPr>
          <w:sz w:val="24"/>
          <w:szCs w:val="24"/>
        </w:rPr>
        <w:t xml:space="preserve"> the reaction zone increase the velocity of detonation. </w:t>
      </w:r>
      <w:sdt>
        <w:sdtPr>
          <w:rPr>
            <w:sz w:val="24"/>
            <w:szCs w:val="24"/>
          </w:rPr>
          <w:id w:val="1960532953"/>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sidRPr="00D8294F">
            <w:rPr>
              <w:noProof/>
              <w:sz w:val="24"/>
              <w:szCs w:val="24"/>
            </w:rPr>
            <w:t>(Koch, 2021)</w:t>
          </w:r>
          <w:r w:rsidR="00D8294F">
            <w:rPr>
              <w:sz w:val="24"/>
              <w:szCs w:val="24"/>
            </w:rPr>
            <w:fldChar w:fldCharType="end"/>
          </w:r>
        </w:sdtContent>
      </w:sdt>
      <w:sdt>
        <w:sdtPr>
          <w:rPr>
            <w:sz w:val="24"/>
            <w:szCs w:val="24"/>
          </w:rPr>
          <w:id w:val="1909418212"/>
          <w:citation/>
        </w:sdtPr>
        <w:sdtContent>
          <w:r w:rsidR="00D8294F">
            <w:rPr>
              <w:sz w:val="24"/>
              <w:szCs w:val="24"/>
            </w:rPr>
            <w:fldChar w:fldCharType="begin"/>
          </w:r>
          <w:r w:rsidR="00D8294F">
            <w:rPr>
              <w:sz w:val="24"/>
              <w:szCs w:val="24"/>
            </w:rPr>
            <w:instrText xml:space="preserve"> CITATION Kre09 \l 2057 </w:instrText>
          </w:r>
          <w:r w:rsidR="00D8294F">
            <w:rPr>
              <w:sz w:val="24"/>
              <w:szCs w:val="24"/>
            </w:rPr>
            <w:fldChar w:fldCharType="separate"/>
          </w:r>
          <w:r w:rsidR="00D8294F">
            <w:rPr>
              <w:noProof/>
              <w:sz w:val="24"/>
              <w:szCs w:val="24"/>
            </w:rPr>
            <w:t xml:space="preserve"> </w:t>
          </w:r>
          <w:r w:rsidR="00D8294F" w:rsidRPr="00D8294F">
            <w:rPr>
              <w:noProof/>
              <w:sz w:val="24"/>
              <w:szCs w:val="24"/>
            </w:rPr>
            <w:t>(Krehl, 2009)</w:t>
          </w:r>
          <w:r w:rsidR="00D8294F">
            <w:rPr>
              <w:sz w:val="24"/>
              <w:szCs w:val="24"/>
            </w:rPr>
            <w:fldChar w:fldCharType="end"/>
          </w:r>
        </w:sdtContent>
      </w:sdt>
    </w:p>
    <w:p w14:paraId="4889FE2E" w14:textId="0E2E7B3D" w:rsidR="003E6CD9" w:rsidRDefault="003E6CD9" w:rsidP="0036147D">
      <w:pPr>
        <w:rPr>
          <w:sz w:val="24"/>
          <w:szCs w:val="24"/>
        </w:rPr>
      </w:pPr>
      <w:r>
        <w:rPr>
          <w:sz w:val="24"/>
          <w:szCs w:val="24"/>
        </w:rPr>
        <w:t xml:space="preserve">Because of this </w:t>
      </w:r>
      <w:r w:rsidR="00D8294F">
        <w:rPr>
          <w:sz w:val="24"/>
          <w:szCs w:val="24"/>
        </w:rPr>
        <w:t>confinement</w:t>
      </w:r>
      <w:r>
        <w:rPr>
          <w:sz w:val="24"/>
          <w:szCs w:val="24"/>
        </w:rPr>
        <w:t xml:space="preserve"> is a powerful tool, used in nearly all explosives </w:t>
      </w:r>
      <w:proofErr w:type="gramStart"/>
      <w:r>
        <w:rPr>
          <w:sz w:val="24"/>
          <w:szCs w:val="24"/>
        </w:rPr>
        <w:t>as a way to</w:t>
      </w:r>
      <w:proofErr w:type="gramEnd"/>
      <w:r>
        <w:rPr>
          <w:sz w:val="24"/>
          <w:szCs w:val="24"/>
        </w:rPr>
        <w:t xml:space="preserve"> maximise the effectiveness and minimise the material and space needed.</w:t>
      </w:r>
      <w:sdt>
        <w:sdtPr>
          <w:rPr>
            <w:sz w:val="24"/>
            <w:szCs w:val="24"/>
          </w:rPr>
          <w:id w:val="-604507777"/>
          <w:citation/>
        </w:sdtPr>
        <w:sdtContent>
          <w:r w:rsidR="00D8294F">
            <w:rPr>
              <w:sz w:val="24"/>
              <w:szCs w:val="24"/>
            </w:rPr>
            <w:fldChar w:fldCharType="begin"/>
          </w:r>
          <w:r w:rsidR="00D8294F">
            <w:rPr>
              <w:sz w:val="24"/>
              <w:szCs w:val="24"/>
            </w:rPr>
            <w:instrText xml:space="preserve"> CITATION Ern21 \l 2057 </w:instrText>
          </w:r>
          <w:r w:rsidR="00D8294F">
            <w:rPr>
              <w:sz w:val="24"/>
              <w:szCs w:val="24"/>
            </w:rPr>
            <w:fldChar w:fldCharType="separate"/>
          </w:r>
          <w:r w:rsidR="00D8294F">
            <w:rPr>
              <w:noProof/>
              <w:sz w:val="24"/>
              <w:szCs w:val="24"/>
            </w:rPr>
            <w:t xml:space="preserve"> </w:t>
          </w:r>
          <w:r w:rsidR="00D8294F" w:rsidRPr="00D8294F">
            <w:rPr>
              <w:noProof/>
              <w:sz w:val="24"/>
              <w:szCs w:val="24"/>
            </w:rPr>
            <w:t>(Koch, 2021)</w:t>
          </w:r>
          <w:r w:rsidR="00D8294F">
            <w:rPr>
              <w:sz w:val="24"/>
              <w:szCs w:val="24"/>
            </w:rPr>
            <w:fldChar w:fldCharType="end"/>
          </w:r>
        </w:sdtContent>
      </w:sdt>
    </w:p>
    <w:p w14:paraId="058162B9" w14:textId="02623665" w:rsidR="00C4703B" w:rsidRDefault="00C4703B" w:rsidP="00C4703B">
      <w:pPr>
        <w:jc w:val="center"/>
        <w:rPr>
          <w:sz w:val="40"/>
          <w:szCs w:val="40"/>
        </w:rPr>
      </w:pPr>
    </w:p>
    <w:p w14:paraId="536482A7" w14:textId="66C09783" w:rsidR="00C4703B" w:rsidRDefault="00C4703B" w:rsidP="00C4703B">
      <w:pPr>
        <w:jc w:val="center"/>
        <w:rPr>
          <w:sz w:val="40"/>
          <w:szCs w:val="40"/>
        </w:rPr>
      </w:pPr>
      <w:r>
        <w:rPr>
          <w:sz w:val="40"/>
          <w:szCs w:val="40"/>
        </w:rPr>
        <w:t>Possible Detonation Conditions</w:t>
      </w:r>
    </w:p>
    <w:p w14:paraId="15A7F076" w14:textId="44BC4C77" w:rsidR="00C4703B" w:rsidRDefault="00C4703B" w:rsidP="00C4703B">
      <w:pPr>
        <w:rPr>
          <w:sz w:val="24"/>
          <w:szCs w:val="24"/>
        </w:rPr>
      </w:pPr>
      <w:r>
        <w:rPr>
          <w:sz w:val="24"/>
          <w:szCs w:val="24"/>
        </w:rPr>
        <w:t>The densities and diameters that can allow for a successful detonation ultimately require a velocity greater than the speed of sound through TNT</w:t>
      </w:r>
      <w:r w:rsidR="0054756F">
        <w:rPr>
          <w:sz w:val="24"/>
          <w:szCs w:val="24"/>
        </w:rPr>
        <w:t>. Below is a graph of the densities and diameters that can achieve detonation for a confined sample of TNT.</w:t>
      </w:r>
    </w:p>
    <w:p w14:paraId="1416831C" w14:textId="16F21837" w:rsidR="0054756F" w:rsidRDefault="0054756F" w:rsidP="00C4703B">
      <w:pPr>
        <w:rPr>
          <w:sz w:val="24"/>
          <w:szCs w:val="24"/>
        </w:rPr>
      </w:pPr>
      <w:r>
        <w:rPr>
          <w:noProof/>
          <w:sz w:val="24"/>
          <w:szCs w:val="24"/>
        </w:rPr>
        <w:lastRenderedPageBreak/>
        <w:drawing>
          <wp:inline distT="0" distB="0" distL="0" distR="0" wp14:anchorId="6097C148" wp14:editId="57C683F8">
            <wp:extent cx="5509737" cy="4610500"/>
            <wp:effectExtent l="0" t="0" r="0" b="0"/>
            <wp:docPr id="46444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4415" name="Picture 46444415"/>
                    <pic:cNvPicPr/>
                  </pic:nvPicPr>
                  <pic:blipFill>
                    <a:blip r:embed="rId7">
                      <a:extLst>
                        <a:ext uri="{28A0092B-C50C-407E-A947-70E740481C1C}">
                          <a14:useLocalDpi xmlns:a14="http://schemas.microsoft.com/office/drawing/2010/main" val="0"/>
                        </a:ext>
                      </a:extLst>
                    </a:blip>
                    <a:stretch>
                      <a:fillRect/>
                    </a:stretch>
                  </pic:blipFill>
                  <pic:spPr>
                    <a:xfrm>
                      <a:off x="0" y="0"/>
                      <a:ext cx="5509737" cy="4610500"/>
                    </a:xfrm>
                    <a:prstGeom prst="rect">
                      <a:avLst/>
                    </a:prstGeom>
                  </pic:spPr>
                </pic:pic>
              </a:graphicData>
            </a:graphic>
          </wp:inline>
        </w:drawing>
      </w:r>
    </w:p>
    <w:p w14:paraId="6BC51E16" w14:textId="77777777" w:rsidR="0054756F" w:rsidRDefault="0054756F" w:rsidP="00C4703B">
      <w:pPr>
        <w:rPr>
          <w:sz w:val="24"/>
          <w:szCs w:val="24"/>
        </w:rPr>
      </w:pPr>
    </w:p>
    <w:p w14:paraId="31EC512E" w14:textId="44ABF78C" w:rsidR="0054756F" w:rsidRDefault="0054756F" w:rsidP="00C4703B">
      <w:pPr>
        <w:rPr>
          <w:sz w:val="24"/>
          <w:szCs w:val="24"/>
        </w:rPr>
      </w:pPr>
      <w:r>
        <w:rPr>
          <w:sz w:val="24"/>
          <w:szCs w:val="24"/>
        </w:rPr>
        <w:t>Here we can see the relationship between diameter and fraction theoretical maximum density, notably the critical diameter is significantly lower, due to the confined nature of these charges, demonstrating a clear benefit.</w:t>
      </w:r>
      <w:sdt>
        <w:sdtPr>
          <w:rPr>
            <w:sz w:val="24"/>
            <w:szCs w:val="24"/>
          </w:rPr>
          <w:id w:val="7035024"/>
          <w:citation/>
        </w:sdtPr>
        <w:sdtContent>
          <w:r w:rsidR="00D8294F">
            <w:rPr>
              <w:sz w:val="24"/>
              <w:szCs w:val="24"/>
            </w:rPr>
            <w:fldChar w:fldCharType="begin"/>
          </w:r>
          <w:r w:rsidR="00D8294F">
            <w:rPr>
              <w:sz w:val="24"/>
              <w:szCs w:val="24"/>
            </w:rPr>
            <w:instrText xml:space="preserve"> CITATION Don81 \l 2057 </w:instrText>
          </w:r>
          <w:r w:rsidR="00D8294F">
            <w:rPr>
              <w:sz w:val="24"/>
              <w:szCs w:val="24"/>
            </w:rPr>
            <w:fldChar w:fldCharType="separate"/>
          </w:r>
          <w:r w:rsidR="00D8294F">
            <w:rPr>
              <w:noProof/>
              <w:sz w:val="24"/>
              <w:szCs w:val="24"/>
            </w:rPr>
            <w:t xml:space="preserve"> </w:t>
          </w:r>
          <w:r w:rsidR="00D8294F" w:rsidRPr="00D8294F">
            <w:rPr>
              <w:noProof/>
              <w:sz w:val="24"/>
              <w:szCs w:val="24"/>
            </w:rPr>
            <w:t>(Price, 1981)</w:t>
          </w:r>
          <w:r w:rsidR="00D8294F">
            <w:rPr>
              <w:sz w:val="24"/>
              <w:szCs w:val="24"/>
            </w:rPr>
            <w:fldChar w:fldCharType="end"/>
          </w:r>
        </w:sdtContent>
      </w:sdt>
    </w:p>
    <w:p w14:paraId="60D6A9A2" w14:textId="06CE42FB" w:rsidR="0054756F" w:rsidRDefault="0054756F" w:rsidP="00C4703B">
      <w:pPr>
        <w:rPr>
          <w:sz w:val="24"/>
          <w:szCs w:val="24"/>
        </w:rPr>
      </w:pPr>
      <w:r>
        <w:rPr>
          <w:sz w:val="24"/>
          <w:szCs w:val="24"/>
        </w:rPr>
        <w:t>And below this a variety of values for successful detonation for unconfined TNT produced with different methods.</w:t>
      </w:r>
    </w:p>
    <w:p w14:paraId="213512EB" w14:textId="3CCAA207" w:rsidR="0054756F" w:rsidRDefault="0054756F" w:rsidP="0054756F">
      <w:pPr>
        <w:jc w:val="both"/>
        <w:rPr>
          <w:sz w:val="24"/>
          <w:szCs w:val="24"/>
        </w:rPr>
      </w:pPr>
      <w:r>
        <w:rPr>
          <w:noProof/>
          <w:sz w:val="24"/>
          <w:szCs w:val="24"/>
        </w:rPr>
        <w:lastRenderedPageBreak/>
        <w:drawing>
          <wp:inline distT="0" distB="0" distL="0" distR="0" wp14:anchorId="6FC47CBD" wp14:editId="43401AA1">
            <wp:extent cx="3123526" cy="5211271"/>
            <wp:effectExtent l="0" t="0" r="1270" b="8890"/>
            <wp:docPr id="1731467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467530" name="Picture 1731467530"/>
                    <pic:cNvPicPr/>
                  </pic:nvPicPr>
                  <pic:blipFill>
                    <a:blip r:embed="rId8">
                      <a:extLst>
                        <a:ext uri="{28A0092B-C50C-407E-A947-70E740481C1C}">
                          <a14:useLocalDpi xmlns:a14="http://schemas.microsoft.com/office/drawing/2010/main" val="0"/>
                        </a:ext>
                      </a:extLst>
                    </a:blip>
                    <a:stretch>
                      <a:fillRect/>
                    </a:stretch>
                  </pic:blipFill>
                  <pic:spPr>
                    <a:xfrm>
                      <a:off x="0" y="0"/>
                      <a:ext cx="3123526" cy="5211271"/>
                    </a:xfrm>
                    <a:prstGeom prst="rect">
                      <a:avLst/>
                    </a:prstGeom>
                  </pic:spPr>
                </pic:pic>
              </a:graphicData>
            </a:graphic>
          </wp:inline>
        </w:drawing>
      </w:r>
    </w:p>
    <w:p w14:paraId="3291DAAE" w14:textId="782AB757" w:rsidR="0054756F" w:rsidRDefault="0054756F" w:rsidP="0054756F">
      <w:pPr>
        <w:jc w:val="both"/>
        <w:rPr>
          <w:sz w:val="24"/>
          <w:szCs w:val="24"/>
        </w:rPr>
      </w:pPr>
      <w:r>
        <w:rPr>
          <w:sz w:val="24"/>
          <w:szCs w:val="24"/>
        </w:rPr>
        <w:t xml:space="preserve">This consist of (b) the densities and </w:t>
      </w:r>
      <w:r w:rsidR="00D8294F">
        <w:rPr>
          <w:sz w:val="24"/>
          <w:szCs w:val="24"/>
        </w:rPr>
        <w:t xml:space="preserve">diameters of successful detonations for cast </w:t>
      </w:r>
      <w:proofErr w:type="spellStart"/>
      <w:r w:rsidR="00D8294F">
        <w:rPr>
          <w:sz w:val="24"/>
          <w:szCs w:val="24"/>
        </w:rPr>
        <w:t>tnt</w:t>
      </w:r>
      <w:proofErr w:type="spellEnd"/>
      <w:r w:rsidR="00D8294F">
        <w:rPr>
          <w:sz w:val="24"/>
          <w:szCs w:val="24"/>
        </w:rPr>
        <w:t xml:space="preserve"> and </w:t>
      </w:r>
      <w:proofErr w:type="spellStart"/>
      <w:r w:rsidR="00D8294F">
        <w:rPr>
          <w:sz w:val="24"/>
          <w:szCs w:val="24"/>
        </w:rPr>
        <w:t>tnt</w:t>
      </w:r>
      <w:proofErr w:type="spellEnd"/>
      <w:r w:rsidR="00D8294F">
        <w:rPr>
          <w:sz w:val="24"/>
          <w:szCs w:val="24"/>
        </w:rPr>
        <w:t xml:space="preserve"> pressed to either a set density (1 and 2) or </w:t>
      </w:r>
      <w:proofErr w:type="spellStart"/>
      <w:r w:rsidR="00D8294F">
        <w:rPr>
          <w:sz w:val="24"/>
          <w:szCs w:val="24"/>
        </w:rPr>
        <w:t>tnt</w:t>
      </w:r>
      <w:proofErr w:type="spellEnd"/>
      <w:r w:rsidR="00D8294F">
        <w:rPr>
          <w:sz w:val="24"/>
          <w:szCs w:val="24"/>
        </w:rPr>
        <w:t xml:space="preserve"> with different structure (3 and 4) or for high density TNT (5).</w:t>
      </w:r>
      <w:r w:rsidR="005708EF">
        <w:rPr>
          <w:sz w:val="24"/>
          <w:szCs w:val="24"/>
        </w:rPr>
        <w:t xml:space="preserve"> </w:t>
      </w:r>
      <w:sdt>
        <w:sdtPr>
          <w:rPr>
            <w:sz w:val="24"/>
            <w:szCs w:val="24"/>
          </w:rPr>
          <w:id w:val="1232654639"/>
          <w:citation/>
        </w:sdtPr>
        <w:sdtContent>
          <w:r w:rsidR="005708EF">
            <w:rPr>
              <w:sz w:val="24"/>
              <w:szCs w:val="24"/>
            </w:rPr>
            <w:fldChar w:fldCharType="begin"/>
          </w:r>
          <w:r w:rsidR="005708EF">
            <w:rPr>
              <w:sz w:val="24"/>
              <w:szCs w:val="24"/>
            </w:rPr>
            <w:instrText xml:space="preserve"> CITATION Moh20 \l 2057 </w:instrText>
          </w:r>
          <w:r w:rsidR="005708EF">
            <w:rPr>
              <w:sz w:val="24"/>
              <w:szCs w:val="24"/>
            </w:rPr>
            <w:fldChar w:fldCharType="separate"/>
          </w:r>
          <w:r w:rsidR="005708EF">
            <w:rPr>
              <w:noProof/>
              <w:sz w:val="24"/>
              <w:szCs w:val="24"/>
            </w:rPr>
            <w:t xml:space="preserve"> </w:t>
          </w:r>
          <w:r w:rsidR="005708EF" w:rsidRPr="005708EF">
            <w:rPr>
              <w:noProof/>
              <w:sz w:val="24"/>
              <w:szCs w:val="24"/>
            </w:rPr>
            <w:t>(Mohammed Almuntaga Ahmed, 2020)</w:t>
          </w:r>
          <w:r w:rsidR="005708EF">
            <w:rPr>
              <w:sz w:val="24"/>
              <w:szCs w:val="24"/>
            </w:rPr>
            <w:fldChar w:fldCharType="end"/>
          </w:r>
        </w:sdtContent>
      </w:sdt>
    </w:p>
    <w:p w14:paraId="180F5AD1" w14:textId="600080DD" w:rsidR="00D8294F" w:rsidRDefault="00D8294F" w:rsidP="0054756F">
      <w:pPr>
        <w:jc w:val="both"/>
        <w:rPr>
          <w:sz w:val="24"/>
          <w:szCs w:val="24"/>
        </w:rPr>
      </w:pPr>
      <w:r>
        <w:rPr>
          <w:sz w:val="24"/>
          <w:szCs w:val="24"/>
        </w:rPr>
        <w:t>A on the other hand shows the length of charge needed for different densities and critical diameters.</w:t>
      </w:r>
    </w:p>
    <w:p w14:paraId="317A7EAE" w14:textId="21852404" w:rsidR="00D8294F" w:rsidRPr="0036147D" w:rsidRDefault="00D8294F" w:rsidP="0054756F">
      <w:pPr>
        <w:jc w:val="both"/>
        <w:rPr>
          <w:sz w:val="24"/>
          <w:szCs w:val="24"/>
        </w:rPr>
      </w:pPr>
      <w:r>
        <w:rPr>
          <w:sz w:val="24"/>
          <w:szCs w:val="24"/>
        </w:rPr>
        <w:t>The detonation, dependant on whether confined or not and the density of the charge, can occur at speeds between 6740 and 7380, though I was unable to find a table of data or graph to show the relationship between them directly.</w:t>
      </w:r>
    </w:p>
    <w:sectPr w:rsidR="00D8294F" w:rsidRPr="0036147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0E9CE" w14:textId="77777777" w:rsidR="00040FEB" w:rsidRDefault="00040FEB" w:rsidP="00C4703B">
      <w:pPr>
        <w:spacing w:after="0" w:line="240" w:lineRule="auto"/>
      </w:pPr>
      <w:r>
        <w:separator/>
      </w:r>
    </w:p>
  </w:endnote>
  <w:endnote w:type="continuationSeparator" w:id="0">
    <w:p w14:paraId="1064B308" w14:textId="77777777" w:rsidR="00040FEB" w:rsidRDefault="00040FEB" w:rsidP="00C47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6154047"/>
      <w:docPartObj>
        <w:docPartGallery w:val="Page Numbers (Bottom of Page)"/>
        <w:docPartUnique/>
      </w:docPartObj>
    </w:sdtPr>
    <w:sdtEndPr>
      <w:rPr>
        <w:noProof/>
      </w:rPr>
    </w:sdtEndPr>
    <w:sdtContent>
      <w:p w14:paraId="7762EF13" w14:textId="5E60A536" w:rsidR="00C4703B" w:rsidRDefault="00C470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8B9747" w14:textId="77777777" w:rsidR="00C4703B" w:rsidRDefault="00C47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EDA64" w14:textId="77777777" w:rsidR="00040FEB" w:rsidRDefault="00040FEB" w:rsidP="00C4703B">
      <w:pPr>
        <w:spacing w:after="0" w:line="240" w:lineRule="auto"/>
      </w:pPr>
      <w:r>
        <w:separator/>
      </w:r>
    </w:p>
  </w:footnote>
  <w:footnote w:type="continuationSeparator" w:id="0">
    <w:p w14:paraId="25C9CCFA" w14:textId="77777777" w:rsidR="00040FEB" w:rsidRDefault="00040FEB" w:rsidP="00C47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520062"/>
      <w:docPartObj>
        <w:docPartGallery w:val="Page Numbers (Top of Page)"/>
        <w:docPartUnique/>
      </w:docPartObj>
    </w:sdtPr>
    <w:sdtEndPr>
      <w:rPr>
        <w:noProof/>
      </w:rPr>
    </w:sdtEndPr>
    <w:sdtContent>
      <w:p w14:paraId="1ADB0F37" w14:textId="0E6C4FDC" w:rsidR="00C4703B" w:rsidRDefault="00C4703B">
        <w:pPr>
          <w:pStyle w:val="Header"/>
        </w:pPr>
        <w:r>
          <w:fldChar w:fldCharType="begin"/>
        </w:r>
        <w:r>
          <w:instrText xml:space="preserve"> PAGE   \* MERGEFORMAT </w:instrText>
        </w:r>
        <w:r>
          <w:fldChar w:fldCharType="separate"/>
        </w:r>
        <w:r>
          <w:rPr>
            <w:noProof/>
          </w:rPr>
          <w:t>2</w:t>
        </w:r>
        <w:r>
          <w:rPr>
            <w:noProof/>
          </w:rPr>
          <w:fldChar w:fldCharType="end"/>
        </w:r>
      </w:p>
    </w:sdtContent>
  </w:sdt>
  <w:p w14:paraId="65F0FE15" w14:textId="77777777" w:rsidR="00C4703B" w:rsidRDefault="00C470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EBB"/>
    <w:rsid w:val="00040FEB"/>
    <w:rsid w:val="00060B3C"/>
    <w:rsid w:val="00066375"/>
    <w:rsid w:val="000C681C"/>
    <w:rsid w:val="000D2EB7"/>
    <w:rsid w:val="00172E4A"/>
    <w:rsid w:val="001757C6"/>
    <w:rsid w:val="00187B11"/>
    <w:rsid w:val="001A183C"/>
    <w:rsid w:val="00206F2F"/>
    <w:rsid w:val="00206FB9"/>
    <w:rsid w:val="002860E3"/>
    <w:rsid w:val="002D5777"/>
    <w:rsid w:val="0030045F"/>
    <w:rsid w:val="0030607E"/>
    <w:rsid w:val="0036147D"/>
    <w:rsid w:val="0036455B"/>
    <w:rsid w:val="00394F1F"/>
    <w:rsid w:val="003E2618"/>
    <w:rsid w:val="003E6CD9"/>
    <w:rsid w:val="00460314"/>
    <w:rsid w:val="004B22B9"/>
    <w:rsid w:val="0054756F"/>
    <w:rsid w:val="0056103E"/>
    <w:rsid w:val="005708EF"/>
    <w:rsid w:val="00573714"/>
    <w:rsid w:val="005823D3"/>
    <w:rsid w:val="0061798F"/>
    <w:rsid w:val="006C66CE"/>
    <w:rsid w:val="006C67DC"/>
    <w:rsid w:val="006E63D1"/>
    <w:rsid w:val="006E6561"/>
    <w:rsid w:val="007B50A9"/>
    <w:rsid w:val="008314F8"/>
    <w:rsid w:val="008431A8"/>
    <w:rsid w:val="00844057"/>
    <w:rsid w:val="008C7F80"/>
    <w:rsid w:val="008D79C2"/>
    <w:rsid w:val="008E59AF"/>
    <w:rsid w:val="00911A53"/>
    <w:rsid w:val="009256E2"/>
    <w:rsid w:val="00932F3D"/>
    <w:rsid w:val="00993FE5"/>
    <w:rsid w:val="00A06FA8"/>
    <w:rsid w:val="00A17488"/>
    <w:rsid w:val="00A21E4B"/>
    <w:rsid w:val="00A72B33"/>
    <w:rsid w:val="00A832AF"/>
    <w:rsid w:val="00B93A76"/>
    <w:rsid w:val="00BF71C5"/>
    <w:rsid w:val="00C057A5"/>
    <w:rsid w:val="00C274E4"/>
    <w:rsid w:val="00C34F3E"/>
    <w:rsid w:val="00C4703B"/>
    <w:rsid w:val="00C9213B"/>
    <w:rsid w:val="00D11742"/>
    <w:rsid w:val="00D47949"/>
    <w:rsid w:val="00D8294F"/>
    <w:rsid w:val="00D869D7"/>
    <w:rsid w:val="00DF2101"/>
    <w:rsid w:val="00DF29DC"/>
    <w:rsid w:val="00DF3833"/>
    <w:rsid w:val="00E1166B"/>
    <w:rsid w:val="00E12EBB"/>
    <w:rsid w:val="00E23CC1"/>
    <w:rsid w:val="00E25654"/>
    <w:rsid w:val="00E85951"/>
    <w:rsid w:val="00E94704"/>
    <w:rsid w:val="00F475CE"/>
    <w:rsid w:val="00FD6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37214"/>
  <w15:chartTrackingRefBased/>
  <w15:docId w15:val="{50D29AB0-6457-413F-997B-CFDCB51EE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E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E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E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E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E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E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E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E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E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E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E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E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E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E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E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E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E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EBB"/>
    <w:rPr>
      <w:rFonts w:eastAsiaTheme="majorEastAsia" w:cstheme="majorBidi"/>
      <w:color w:val="272727" w:themeColor="text1" w:themeTint="D8"/>
    </w:rPr>
  </w:style>
  <w:style w:type="paragraph" w:styleId="Title">
    <w:name w:val="Title"/>
    <w:basedOn w:val="Normal"/>
    <w:next w:val="Normal"/>
    <w:link w:val="TitleChar"/>
    <w:uiPriority w:val="10"/>
    <w:qFormat/>
    <w:rsid w:val="00E12E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E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E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E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EBB"/>
    <w:pPr>
      <w:spacing w:before="160"/>
      <w:jc w:val="center"/>
    </w:pPr>
    <w:rPr>
      <w:i/>
      <w:iCs/>
      <w:color w:val="404040" w:themeColor="text1" w:themeTint="BF"/>
    </w:rPr>
  </w:style>
  <w:style w:type="character" w:customStyle="1" w:styleId="QuoteChar">
    <w:name w:val="Quote Char"/>
    <w:basedOn w:val="DefaultParagraphFont"/>
    <w:link w:val="Quote"/>
    <w:uiPriority w:val="29"/>
    <w:rsid w:val="00E12EBB"/>
    <w:rPr>
      <w:i/>
      <w:iCs/>
      <w:color w:val="404040" w:themeColor="text1" w:themeTint="BF"/>
    </w:rPr>
  </w:style>
  <w:style w:type="paragraph" w:styleId="ListParagraph">
    <w:name w:val="List Paragraph"/>
    <w:basedOn w:val="Normal"/>
    <w:uiPriority w:val="34"/>
    <w:qFormat/>
    <w:rsid w:val="00E12EBB"/>
    <w:pPr>
      <w:ind w:left="720"/>
      <w:contextualSpacing/>
    </w:pPr>
  </w:style>
  <w:style w:type="character" w:styleId="IntenseEmphasis">
    <w:name w:val="Intense Emphasis"/>
    <w:basedOn w:val="DefaultParagraphFont"/>
    <w:uiPriority w:val="21"/>
    <w:qFormat/>
    <w:rsid w:val="00E12EBB"/>
    <w:rPr>
      <w:i/>
      <w:iCs/>
      <w:color w:val="0F4761" w:themeColor="accent1" w:themeShade="BF"/>
    </w:rPr>
  </w:style>
  <w:style w:type="paragraph" w:styleId="IntenseQuote">
    <w:name w:val="Intense Quote"/>
    <w:basedOn w:val="Normal"/>
    <w:next w:val="Normal"/>
    <w:link w:val="IntenseQuoteChar"/>
    <w:uiPriority w:val="30"/>
    <w:qFormat/>
    <w:rsid w:val="00E12E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EBB"/>
    <w:rPr>
      <w:i/>
      <w:iCs/>
      <w:color w:val="0F4761" w:themeColor="accent1" w:themeShade="BF"/>
    </w:rPr>
  </w:style>
  <w:style w:type="character" w:styleId="IntenseReference">
    <w:name w:val="Intense Reference"/>
    <w:basedOn w:val="DefaultParagraphFont"/>
    <w:uiPriority w:val="32"/>
    <w:qFormat/>
    <w:rsid w:val="00E12EBB"/>
    <w:rPr>
      <w:b/>
      <w:bCs/>
      <w:smallCaps/>
      <w:color w:val="0F4761" w:themeColor="accent1" w:themeShade="BF"/>
      <w:spacing w:val="5"/>
    </w:rPr>
  </w:style>
  <w:style w:type="paragraph" w:styleId="Header">
    <w:name w:val="header"/>
    <w:basedOn w:val="Normal"/>
    <w:link w:val="HeaderChar"/>
    <w:uiPriority w:val="99"/>
    <w:unhideWhenUsed/>
    <w:rsid w:val="00C47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03B"/>
  </w:style>
  <w:style w:type="paragraph" w:styleId="Footer">
    <w:name w:val="footer"/>
    <w:basedOn w:val="Normal"/>
    <w:link w:val="FooterChar"/>
    <w:uiPriority w:val="99"/>
    <w:unhideWhenUsed/>
    <w:rsid w:val="00C47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5472">
      <w:bodyDiv w:val="1"/>
      <w:marLeft w:val="0"/>
      <w:marRight w:val="0"/>
      <w:marTop w:val="0"/>
      <w:marBottom w:val="0"/>
      <w:divBdr>
        <w:top w:val="none" w:sz="0" w:space="0" w:color="auto"/>
        <w:left w:val="none" w:sz="0" w:space="0" w:color="auto"/>
        <w:bottom w:val="none" w:sz="0" w:space="0" w:color="auto"/>
        <w:right w:val="none" w:sz="0" w:space="0" w:color="auto"/>
      </w:divBdr>
    </w:div>
    <w:div w:id="59519457">
      <w:bodyDiv w:val="1"/>
      <w:marLeft w:val="0"/>
      <w:marRight w:val="0"/>
      <w:marTop w:val="0"/>
      <w:marBottom w:val="0"/>
      <w:divBdr>
        <w:top w:val="none" w:sz="0" w:space="0" w:color="auto"/>
        <w:left w:val="none" w:sz="0" w:space="0" w:color="auto"/>
        <w:bottom w:val="none" w:sz="0" w:space="0" w:color="auto"/>
        <w:right w:val="none" w:sz="0" w:space="0" w:color="auto"/>
      </w:divBdr>
    </w:div>
    <w:div w:id="179046225">
      <w:bodyDiv w:val="1"/>
      <w:marLeft w:val="0"/>
      <w:marRight w:val="0"/>
      <w:marTop w:val="0"/>
      <w:marBottom w:val="0"/>
      <w:divBdr>
        <w:top w:val="none" w:sz="0" w:space="0" w:color="auto"/>
        <w:left w:val="none" w:sz="0" w:space="0" w:color="auto"/>
        <w:bottom w:val="none" w:sz="0" w:space="0" w:color="auto"/>
        <w:right w:val="none" w:sz="0" w:space="0" w:color="auto"/>
      </w:divBdr>
    </w:div>
    <w:div w:id="204417135">
      <w:bodyDiv w:val="1"/>
      <w:marLeft w:val="0"/>
      <w:marRight w:val="0"/>
      <w:marTop w:val="0"/>
      <w:marBottom w:val="0"/>
      <w:divBdr>
        <w:top w:val="none" w:sz="0" w:space="0" w:color="auto"/>
        <w:left w:val="none" w:sz="0" w:space="0" w:color="auto"/>
        <w:bottom w:val="none" w:sz="0" w:space="0" w:color="auto"/>
        <w:right w:val="none" w:sz="0" w:space="0" w:color="auto"/>
      </w:divBdr>
    </w:div>
    <w:div w:id="443231363">
      <w:bodyDiv w:val="1"/>
      <w:marLeft w:val="0"/>
      <w:marRight w:val="0"/>
      <w:marTop w:val="0"/>
      <w:marBottom w:val="0"/>
      <w:divBdr>
        <w:top w:val="none" w:sz="0" w:space="0" w:color="auto"/>
        <w:left w:val="none" w:sz="0" w:space="0" w:color="auto"/>
        <w:bottom w:val="none" w:sz="0" w:space="0" w:color="auto"/>
        <w:right w:val="none" w:sz="0" w:space="0" w:color="auto"/>
      </w:divBdr>
    </w:div>
    <w:div w:id="477579527">
      <w:bodyDiv w:val="1"/>
      <w:marLeft w:val="0"/>
      <w:marRight w:val="0"/>
      <w:marTop w:val="0"/>
      <w:marBottom w:val="0"/>
      <w:divBdr>
        <w:top w:val="none" w:sz="0" w:space="0" w:color="auto"/>
        <w:left w:val="none" w:sz="0" w:space="0" w:color="auto"/>
        <w:bottom w:val="none" w:sz="0" w:space="0" w:color="auto"/>
        <w:right w:val="none" w:sz="0" w:space="0" w:color="auto"/>
      </w:divBdr>
    </w:div>
    <w:div w:id="561865499">
      <w:bodyDiv w:val="1"/>
      <w:marLeft w:val="0"/>
      <w:marRight w:val="0"/>
      <w:marTop w:val="0"/>
      <w:marBottom w:val="0"/>
      <w:divBdr>
        <w:top w:val="none" w:sz="0" w:space="0" w:color="auto"/>
        <w:left w:val="none" w:sz="0" w:space="0" w:color="auto"/>
        <w:bottom w:val="none" w:sz="0" w:space="0" w:color="auto"/>
        <w:right w:val="none" w:sz="0" w:space="0" w:color="auto"/>
      </w:divBdr>
    </w:div>
    <w:div w:id="576090440">
      <w:bodyDiv w:val="1"/>
      <w:marLeft w:val="0"/>
      <w:marRight w:val="0"/>
      <w:marTop w:val="0"/>
      <w:marBottom w:val="0"/>
      <w:divBdr>
        <w:top w:val="none" w:sz="0" w:space="0" w:color="auto"/>
        <w:left w:val="none" w:sz="0" w:space="0" w:color="auto"/>
        <w:bottom w:val="none" w:sz="0" w:space="0" w:color="auto"/>
        <w:right w:val="none" w:sz="0" w:space="0" w:color="auto"/>
      </w:divBdr>
    </w:div>
    <w:div w:id="646518971">
      <w:bodyDiv w:val="1"/>
      <w:marLeft w:val="0"/>
      <w:marRight w:val="0"/>
      <w:marTop w:val="0"/>
      <w:marBottom w:val="0"/>
      <w:divBdr>
        <w:top w:val="none" w:sz="0" w:space="0" w:color="auto"/>
        <w:left w:val="none" w:sz="0" w:space="0" w:color="auto"/>
        <w:bottom w:val="none" w:sz="0" w:space="0" w:color="auto"/>
        <w:right w:val="none" w:sz="0" w:space="0" w:color="auto"/>
      </w:divBdr>
    </w:div>
    <w:div w:id="654382311">
      <w:bodyDiv w:val="1"/>
      <w:marLeft w:val="0"/>
      <w:marRight w:val="0"/>
      <w:marTop w:val="0"/>
      <w:marBottom w:val="0"/>
      <w:divBdr>
        <w:top w:val="none" w:sz="0" w:space="0" w:color="auto"/>
        <w:left w:val="none" w:sz="0" w:space="0" w:color="auto"/>
        <w:bottom w:val="none" w:sz="0" w:space="0" w:color="auto"/>
        <w:right w:val="none" w:sz="0" w:space="0" w:color="auto"/>
      </w:divBdr>
    </w:div>
    <w:div w:id="747267901">
      <w:bodyDiv w:val="1"/>
      <w:marLeft w:val="0"/>
      <w:marRight w:val="0"/>
      <w:marTop w:val="0"/>
      <w:marBottom w:val="0"/>
      <w:divBdr>
        <w:top w:val="none" w:sz="0" w:space="0" w:color="auto"/>
        <w:left w:val="none" w:sz="0" w:space="0" w:color="auto"/>
        <w:bottom w:val="none" w:sz="0" w:space="0" w:color="auto"/>
        <w:right w:val="none" w:sz="0" w:space="0" w:color="auto"/>
      </w:divBdr>
    </w:div>
    <w:div w:id="891312772">
      <w:bodyDiv w:val="1"/>
      <w:marLeft w:val="0"/>
      <w:marRight w:val="0"/>
      <w:marTop w:val="0"/>
      <w:marBottom w:val="0"/>
      <w:divBdr>
        <w:top w:val="none" w:sz="0" w:space="0" w:color="auto"/>
        <w:left w:val="none" w:sz="0" w:space="0" w:color="auto"/>
        <w:bottom w:val="none" w:sz="0" w:space="0" w:color="auto"/>
        <w:right w:val="none" w:sz="0" w:space="0" w:color="auto"/>
      </w:divBdr>
    </w:div>
    <w:div w:id="1090278432">
      <w:bodyDiv w:val="1"/>
      <w:marLeft w:val="0"/>
      <w:marRight w:val="0"/>
      <w:marTop w:val="0"/>
      <w:marBottom w:val="0"/>
      <w:divBdr>
        <w:top w:val="none" w:sz="0" w:space="0" w:color="auto"/>
        <w:left w:val="none" w:sz="0" w:space="0" w:color="auto"/>
        <w:bottom w:val="none" w:sz="0" w:space="0" w:color="auto"/>
        <w:right w:val="none" w:sz="0" w:space="0" w:color="auto"/>
      </w:divBdr>
    </w:div>
    <w:div w:id="1156266658">
      <w:bodyDiv w:val="1"/>
      <w:marLeft w:val="0"/>
      <w:marRight w:val="0"/>
      <w:marTop w:val="0"/>
      <w:marBottom w:val="0"/>
      <w:divBdr>
        <w:top w:val="none" w:sz="0" w:space="0" w:color="auto"/>
        <w:left w:val="none" w:sz="0" w:space="0" w:color="auto"/>
        <w:bottom w:val="none" w:sz="0" w:space="0" w:color="auto"/>
        <w:right w:val="none" w:sz="0" w:space="0" w:color="auto"/>
      </w:divBdr>
    </w:div>
    <w:div w:id="1242057986">
      <w:bodyDiv w:val="1"/>
      <w:marLeft w:val="0"/>
      <w:marRight w:val="0"/>
      <w:marTop w:val="0"/>
      <w:marBottom w:val="0"/>
      <w:divBdr>
        <w:top w:val="none" w:sz="0" w:space="0" w:color="auto"/>
        <w:left w:val="none" w:sz="0" w:space="0" w:color="auto"/>
        <w:bottom w:val="none" w:sz="0" w:space="0" w:color="auto"/>
        <w:right w:val="none" w:sz="0" w:space="0" w:color="auto"/>
      </w:divBdr>
    </w:div>
    <w:div w:id="1258976248">
      <w:bodyDiv w:val="1"/>
      <w:marLeft w:val="0"/>
      <w:marRight w:val="0"/>
      <w:marTop w:val="0"/>
      <w:marBottom w:val="0"/>
      <w:divBdr>
        <w:top w:val="none" w:sz="0" w:space="0" w:color="auto"/>
        <w:left w:val="none" w:sz="0" w:space="0" w:color="auto"/>
        <w:bottom w:val="none" w:sz="0" w:space="0" w:color="auto"/>
        <w:right w:val="none" w:sz="0" w:space="0" w:color="auto"/>
      </w:divBdr>
    </w:div>
    <w:div w:id="1265074172">
      <w:bodyDiv w:val="1"/>
      <w:marLeft w:val="0"/>
      <w:marRight w:val="0"/>
      <w:marTop w:val="0"/>
      <w:marBottom w:val="0"/>
      <w:divBdr>
        <w:top w:val="none" w:sz="0" w:space="0" w:color="auto"/>
        <w:left w:val="none" w:sz="0" w:space="0" w:color="auto"/>
        <w:bottom w:val="none" w:sz="0" w:space="0" w:color="auto"/>
        <w:right w:val="none" w:sz="0" w:space="0" w:color="auto"/>
      </w:divBdr>
    </w:div>
    <w:div w:id="1313173674">
      <w:bodyDiv w:val="1"/>
      <w:marLeft w:val="0"/>
      <w:marRight w:val="0"/>
      <w:marTop w:val="0"/>
      <w:marBottom w:val="0"/>
      <w:divBdr>
        <w:top w:val="none" w:sz="0" w:space="0" w:color="auto"/>
        <w:left w:val="none" w:sz="0" w:space="0" w:color="auto"/>
        <w:bottom w:val="none" w:sz="0" w:space="0" w:color="auto"/>
        <w:right w:val="none" w:sz="0" w:space="0" w:color="auto"/>
      </w:divBdr>
    </w:div>
    <w:div w:id="1334064405">
      <w:bodyDiv w:val="1"/>
      <w:marLeft w:val="0"/>
      <w:marRight w:val="0"/>
      <w:marTop w:val="0"/>
      <w:marBottom w:val="0"/>
      <w:divBdr>
        <w:top w:val="none" w:sz="0" w:space="0" w:color="auto"/>
        <w:left w:val="none" w:sz="0" w:space="0" w:color="auto"/>
        <w:bottom w:val="none" w:sz="0" w:space="0" w:color="auto"/>
        <w:right w:val="none" w:sz="0" w:space="0" w:color="auto"/>
      </w:divBdr>
    </w:div>
    <w:div w:id="1356615729">
      <w:bodyDiv w:val="1"/>
      <w:marLeft w:val="0"/>
      <w:marRight w:val="0"/>
      <w:marTop w:val="0"/>
      <w:marBottom w:val="0"/>
      <w:divBdr>
        <w:top w:val="none" w:sz="0" w:space="0" w:color="auto"/>
        <w:left w:val="none" w:sz="0" w:space="0" w:color="auto"/>
        <w:bottom w:val="none" w:sz="0" w:space="0" w:color="auto"/>
        <w:right w:val="none" w:sz="0" w:space="0" w:color="auto"/>
      </w:divBdr>
    </w:div>
    <w:div w:id="1409186318">
      <w:bodyDiv w:val="1"/>
      <w:marLeft w:val="0"/>
      <w:marRight w:val="0"/>
      <w:marTop w:val="0"/>
      <w:marBottom w:val="0"/>
      <w:divBdr>
        <w:top w:val="none" w:sz="0" w:space="0" w:color="auto"/>
        <w:left w:val="none" w:sz="0" w:space="0" w:color="auto"/>
        <w:bottom w:val="none" w:sz="0" w:space="0" w:color="auto"/>
        <w:right w:val="none" w:sz="0" w:space="0" w:color="auto"/>
      </w:divBdr>
    </w:div>
    <w:div w:id="1436512044">
      <w:bodyDiv w:val="1"/>
      <w:marLeft w:val="0"/>
      <w:marRight w:val="0"/>
      <w:marTop w:val="0"/>
      <w:marBottom w:val="0"/>
      <w:divBdr>
        <w:top w:val="none" w:sz="0" w:space="0" w:color="auto"/>
        <w:left w:val="none" w:sz="0" w:space="0" w:color="auto"/>
        <w:bottom w:val="none" w:sz="0" w:space="0" w:color="auto"/>
        <w:right w:val="none" w:sz="0" w:space="0" w:color="auto"/>
      </w:divBdr>
    </w:div>
    <w:div w:id="1446079116">
      <w:bodyDiv w:val="1"/>
      <w:marLeft w:val="0"/>
      <w:marRight w:val="0"/>
      <w:marTop w:val="0"/>
      <w:marBottom w:val="0"/>
      <w:divBdr>
        <w:top w:val="none" w:sz="0" w:space="0" w:color="auto"/>
        <w:left w:val="none" w:sz="0" w:space="0" w:color="auto"/>
        <w:bottom w:val="none" w:sz="0" w:space="0" w:color="auto"/>
        <w:right w:val="none" w:sz="0" w:space="0" w:color="auto"/>
      </w:divBdr>
    </w:div>
    <w:div w:id="1450589754">
      <w:bodyDiv w:val="1"/>
      <w:marLeft w:val="0"/>
      <w:marRight w:val="0"/>
      <w:marTop w:val="0"/>
      <w:marBottom w:val="0"/>
      <w:divBdr>
        <w:top w:val="none" w:sz="0" w:space="0" w:color="auto"/>
        <w:left w:val="none" w:sz="0" w:space="0" w:color="auto"/>
        <w:bottom w:val="none" w:sz="0" w:space="0" w:color="auto"/>
        <w:right w:val="none" w:sz="0" w:space="0" w:color="auto"/>
      </w:divBdr>
    </w:div>
    <w:div w:id="1504977936">
      <w:bodyDiv w:val="1"/>
      <w:marLeft w:val="0"/>
      <w:marRight w:val="0"/>
      <w:marTop w:val="0"/>
      <w:marBottom w:val="0"/>
      <w:divBdr>
        <w:top w:val="none" w:sz="0" w:space="0" w:color="auto"/>
        <w:left w:val="none" w:sz="0" w:space="0" w:color="auto"/>
        <w:bottom w:val="none" w:sz="0" w:space="0" w:color="auto"/>
        <w:right w:val="none" w:sz="0" w:space="0" w:color="auto"/>
      </w:divBdr>
    </w:div>
    <w:div w:id="1534147587">
      <w:bodyDiv w:val="1"/>
      <w:marLeft w:val="0"/>
      <w:marRight w:val="0"/>
      <w:marTop w:val="0"/>
      <w:marBottom w:val="0"/>
      <w:divBdr>
        <w:top w:val="none" w:sz="0" w:space="0" w:color="auto"/>
        <w:left w:val="none" w:sz="0" w:space="0" w:color="auto"/>
        <w:bottom w:val="none" w:sz="0" w:space="0" w:color="auto"/>
        <w:right w:val="none" w:sz="0" w:space="0" w:color="auto"/>
      </w:divBdr>
    </w:div>
    <w:div w:id="1646154719">
      <w:bodyDiv w:val="1"/>
      <w:marLeft w:val="0"/>
      <w:marRight w:val="0"/>
      <w:marTop w:val="0"/>
      <w:marBottom w:val="0"/>
      <w:divBdr>
        <w:top w:val="none" w:sz="0" w:space="0" w:color="auto"/>
        <w:left w:val="none" w:sz="0" w:space="0" w:color="auto"/>
        <w:bottom w:val="none" w:sz="0" w:space="0" w:color="auto"/>
        <w:right w:val="none" w:sz="0" w:space="0" w:color="auto"/>
      </w:divBdr>
    </w:div>
    <w:div w:id="1661227413">
      <w:bodyDiv w:val="1"/>
      <w:marLeft w:val="0"/>
      <w:marRight w:val="0"/>
      <w:marTop w:val="0"/>
      <w:marBottom w:val="0"/>
      <w:divBdr>
        <w:top w:val="none" w:sz="0" w:space="0" w:color="auto"/>
        <w:left w:val="none" w:sz="0" w:space="0" w:color="auto"/>
        <w:bottom w:val="none" w:sz="0" w:space="0" w:color="auto"/>
        <w:right w:val="none" w:sz="0" w:space="0" w:color="auto"/>
      </w:divBdr>
    </w:div>
    <w:div w:id="1661231231">
      <w:bodyDiv w:val="1"/>
      <w:marLeft w:val="0"/>
      <w:marRight w:val="0"/>
      <w:marTop w:val="0"/>
      <w:marBottom w:val="0"/>
      <w:divBdr>
        <w:top w:val="none" w:sz="0" w:space="0" w:color="auto"/>
        <w:left w:val="none" w:sz="0" w:space="0" w:color="auto"/>
        <w:bottom w:val="none" w:sz="0" w:space="0" w:color="auto"/>
        <w:right w:val="none" w:sz="0" w:space="0" w:color="auto"/>
      </w:divBdr>
    </w:div>
    <w:div w:id="1667125153">
      <w:bodyDiv w:val="1"/>
      <w:marLeft w:val="0"/>
      <w:marRight w:val="0"/>
      <w:marTop w:val="0"/>
      <w:marBottom w:val="0"/>
      <w:divBdr>
        <w:top w:val="none" w:sz="0" w:space="0" w:color="auto"/>
        <w:left w:val="none" w:sz="0" w:space="0" w:color="auto"/>
        <w:bottom w:val="none" w:sz="0" w:space="0" w:color="auto"/>
        <w:right w:val="none" w:sz="0" w:space="0" w:color="auto"/>
      </w:divBdr>
    </w:div>
    <w:div w:id="1924217434">
      <w:bodyDiv w:val="1"/>
      <w:marLeft w:val="0"/>
      <w:marRight w:val="0"/>
      <w:marTop w:val="0"/>
      <w:marBottom w:val="0"/>
      <w:divBdr>
        <w:top w:val="none" w:sz="0" w:space="0" w:color="auto"/>
        <w:left w:val="none" w:sz="0" w:space="0" w:color="auto"/>
        <w:bottom w:val="none" w:sz="0" w:space="0" w:color="auto"/>
        <w:right w:val="none" w:sz="0" w:space="0" w:color="auto"/>
      </w:divBdr>
    </w:div>
    <w:div w:id="1930625314">
      <w:bodyDiv w:val="1"/>
      <w:marLeft w:val="0"/>
      <w:marRight w:val="0"/>
      <w:marTop w:val="0"/>
      <w:marBottom w:val="0"/>
      <w:divBdr>
        <w:top w:val="none" w:sz="0" w:space="0" w:color="auto"/>
        <w:left w:val="none" w:sz="0" w:space="0" w:color="auto"/>
        <w:bottom w:val="none" w:sz="0" w:space="0" w:color="auto"/>
        <w:right w:val="none" w:sz="0" w:space="0" w:color="auto"/>
      </w:divBdr>
    </w:div>
    <w:div w:id="1978105208">
      <w:bodyDiv w:val="1"/>
      <w:marLeft w:val="0"/>
      <w:marRight w:val="0"/>
      <w:marTop w:val="0"/>
      <w:marBottom w:val="0"/>
      <w:divBdr>
        <w:top w:val="none" w:sz="0" w:space="0" w:color="auto"/>
        <w:left w:val="none" w:sz="0" w:space="0" w:color="auto"/>
        <w:bottom w:val="none" w:sz="0" w:space="0" w:color="auto"/>
        <w:right w:val="none" w:sz="0" w:space="0" w:color="auto"/>
      </w:divBdr>
    </w:div>
    <w:div w:id="2013793800">
      <w:bodyDiv w:val="1"/>
      <w:marLeft w:val="0"/>
      <w:marRight w:val="0"/>
      <w:marTop w:val="0"/>
      <w:marBottom w:val="0"/>
      <w:divBdr>
        <w:top w:val="none" w:sz="0" w:space="0" w:color="auto"/>
        <w:left w:val="none" w:sz="0" w:space="0" w:color="auto"/>
        <w:bottom w:val="none" w:sz="0" w:space="0" w:color="auto"/>
        <w:right w:val="none" w:sz="0" w:space="0" w:color="auto"/>
      </w:divBdr>
    </w:div>
    <w:div w:id="2032755982">
      <w:bodyDiv w:val="1"/>
      <w:marLeft w:val="0"/>
      <w:marRight w:val="0"/>
      <w:marTop w:val="0"/>
      <w:marBottom w:val="0"/>
      <w:divBdr>
        <w:top w:val="none" w:sz="0" w:space="0" w:color="auto"/>
        <w:left w:val="none" w:sz="0" w:space="0" w:color="auto"/>
        <w:bottom w:val="none" w:sz="0" w:space="0" w:color="auto"/>
        <w:right w:val="none" w:sz="0" w:space="0" w:color="auto"/>
      </w:divBdr>
    </w:div>
    <w:div w:id="212010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Ern21</b:Tag>
    <b:SourceType>Book</b:SourceType>
    <b:Guid>{DFD0C7C8-F6B1-458D-8959-01419793D03F}</b:Guid>
    <b:Author>
      <b:Author>
        <b:NameList>
          <b:Person>
            <b:Last>Koch</b:Last>
            <b:First>Ernst-</b:First>
            <b:Middle>Christian</b:Middle>
          </b:Person>
        </b:NameList>
      </b:Author>
    </b:Author>
    <b:Title>High Explosives, Propellants, Pyrotechnics</b:Title>
    <b:Year>2021</b:Year>
    <b:City>Berlin/Boston</b:City>
    <b:Publisher> Deutsche Nationalbibliothek</b:Publisher>
    <b:RefOrder>2</b:RefOrder>
  </b:Source>
  <b:Source>
    <b:Tag>Moh20</b:Tag>
    <b:SourceType>JournalArticle</b:SourceType>
    <b:Guid>{ED51AE4B-92D3-445B-9AE5-29A6876B35AA}</b:Guid>
    <b:Title>Determination Physical and Explosion Properties </b:Title>
    <b:Year>2020</b:Year>
    <b:Author>
      <b:Author>
        <b:NameList>
          <b:Person>
            <b:Last>Mohammed Almuntaga Ahmed</b:Last>
            <b:First>Mohammed</b:First>
            <b:Middle>H.M. Abuuznien, Adil. A. Mohammed</b:Middle>
          </b:Person>
        </b:NameList>
      </b:Author>
    </b:Author>
    <b:JournalName>European Academic Research</b:JournalName>
    <b:Pages>9</b:Pages>
    <b:RefOrder>3</b:RefOrder>
  </b:Source>
  <b:Source>
    <b:Tag>Yue</b:Tag>
    <b:SourceType>JournalArticle</b:SourceType>
    <b:Guid>{2F35176F-1854-432D-BBCA-F75875CE3C1B}</b:Guid>
    <b:Author>
      <b:Author>
        <b:NameList>
          <b:Person>
            <b:Last>Yue Peng</b:Last>
            <b:First>Lei</b:First>
            <b:Middle>Zhang, Mingwai Xie, Qingying Meng</b:Middle>
          </b:Person>
        </b:NameList>
      </b:Author>
    </b:Author>
    <b:Title>Analysis and comparative study on the detonation performance of different heavy metal azides through theoretical calculations</b:Title>
    <b:JournalName>Journel of Physics: Conference Series</b:JournalName>
    <b:Pages>14</b:Pages>
    <b:RefOrder>7</b:RefOrder>
  </b:Source>
  <b:Source>
    <b:Tag>Alf55</b:Tag>
    <b:SourceType>Report</b:SourceType>
    <b:Guid>{441FB914-A7B7-4BB4-B7CA-60E4A522D009}</b:Guid>
    <b:Author>
      <b:Author>
        <b:NameList>
          <b:Person>
            <b:Last>Alfred m.Anzalone</b:Last>
            <b:First>James</b:First>
            <b:Middle>E. Able, Arthur C. Forsyth</b:Middle>
          </b:Person>
        </b:NameList>
      </b:Author>
    </b:Author>
    <b:Title>Characteristics of explosive substences for application in ammunition</b:Title>
    <b:JournalName>Technical Report 2179</b:JournalName>
    <b:Year>1955</b:Year>
    <b:Publisher>Technical Report 2179 US Gov</b:Publisher>
    <b:RefOrder>4</b:RefOrder>
  </b:Source>
  <b:Source>
    <b:Tag>Don81</b:Tag>
    <b:SourceType>Report</b:SourceType>
    <b:Guid>{0CC527B0-6C88-43CC-A155-2EF0FE882396}</b:Guid>
    <b:Author>
      <b:Author>
        <b:NameList>
          <b:Person>
            <b:Last>Price</b:Last>
            <b:First>Donna</b:First>
          </b:Person>
        </b:NameList>
      </b:Author>
    </b:Author>
    <b:Title>Critical Parameter for detonation propergation and initiation of solid explosives.</b:Title>
    <b:Year>1981</b:Year>
    <b:Publisher>Naval Surface weapons centre</b:Publisher>
    <b:City>Silver Spring, Maryland</b:City>
    <b:RefOrder>5</b:RefOrder>
  </b:Source>
  <b:Source>
    <b:Tag>Tro11</b:Tag>
    <b:SourceType>JournalArticle</b:SourceType>
    <b:Guid>{77E4975C-0141-442E-99A6-CC2E858BDEE2}</b:Guid>
    <b:Author>
      <b:Author>
        <b:NameList>
          <b:Person>
            <b:Last>Trotsuk AV</b:Last>
            <b:First>Boris</b:First>
            <b:Middle>A. Khasainov, Presles HN Damamme G.</b:Middle>
          </b:Person>
        </b:NameList>
      </b:Author>
    </b:Author>
    <b:Title>Numerical Study of Lead Azide Detonation Initiation and Propagation</b:Title>
    <b:Year>2011</b:Year>
    <b:Publisher>37th international Pyrotechnics seminar</b:Publisher>
    <b:RefOrder>6</b:RefOrder>
  </b:Source>
  <b:Source>
    <b:Tag>RHF61</b:Tag>
    <b:SourceType>Report</b:SourceType>
    <b:Guid>{FA1D603A-3447-4C1C-BF41-AD0D30F1EE25}</b:Guid>
    <b:Title>Observations of the effects of loading density on the initiation and growth of detonation in azides</b:Title>
    <b:Year>1961</b:Year>
    <b:Author>
      <b:Author>
        <b:NameList>
          <b:Person>
            <b:Last>R.H.F Stresau</b:Last>
            <b:First>M.H.Rowe</b:First>
          </b:Person>
        </b:NameList>
      </b:Author>
    </b:Author>
    <b:Publisher>USNOL</b:Publisher>
    <b:City>White Oak, Maryland</b:City>
    <b:RefOrder>8</b:RefOrder>
  </b:Source>
  <b:Source>
    <b:Tag>Kre09</b:Tag>
    <b:SourceType>Book</b:SourceType>
    <b:Guid>{C1EE3DAC-87E6-451E-91A1-EB206F840FBF}</b:Guid>
    <b:Author>
      <b:Author>
        <b:NameList>
          <b:Person>
            <b:Last>Krehl</b:Last>
            <b:First>D.K</b:First>
          </b:Person>
        </b:NameList>
      </b:Author>
    </b:Author>
    <b:Title>History of Shock Waves, Explosions and Impact</b:Title>
    <b:Year>2009</b:Year>
    <b:Publisher>Springer</b:Publisher>
    <b:RefOrder>1</b:RefOrder>
  </b:Source>
</b:Sources>
</file>

<file path=customXml/itemProps1.xml><?xml version="1.0" encoding="utf-8"?>
<ds:datastoreItem xmlns:ds="http://schemas.openxmlformats.org/officeDocument/2006/customXml" ds:itemID="{089E6014-F8C2-45DF-B5A0-D5C9C4C88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5566</TotalTime>
  <Pages>7</Pages>
  <Words>1940</Words>
  <Characters>11059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Lucius Galloway (2427096)</dc:creator>
  <cp:keywords/>
  <dc:description/>
  <cp:lastModifiedBy>Lucius Galloway (2427096)</cp:lastModifiedBy>
  <cp:revision>3</cp:revision>
  <dcterms:created xsi:type="dcterms:W3CDTF">2025-12-05T11:55:00Z</dcterms:created>
  <dcterms:modified xsi:type="dcterms:W3CDTF">2025-12-19T14:00:00Z</dcterms:modified>
</cp:coreProperties>
</file>