
<file path=[Content_Types].xml><?xml version="1.0" encoding="utf-8"?>
<Types xmlns="http://schemas.openxmlformats.org/package/2006/content-types">
  <Override PartName="/word/diagrams/quickStyle1.xml" ContentType="application/vnd.openxmlformats-officedocument.drawingml.diagramStyle+xml"/>
  <Default Extension="png" ContentType="image/png"/>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0013" w:rsidRDefault="00980013" w:rsidP="00980013">
      <w:pPr>
        <w:spacing w:line="480" w:lineRule="auto"/>
        <w:rPr>
          <w:rFonts w:ascii="Times New Roman" w:hAnsi="Times New Roman" w:cs="Times New Roman"/>
          <w:sz w:val="24"/>
          <w:szCs w:val="24"/>
        </w:rPr>
      </w:pPr>
      <w:r>
        <w:rPr>
          <w:rFonts w:ascii="Times New Roman" w:hAnsi="Times New Roman" w:cs="Times New Roman"/>
          <w:sz w:val="24"/>
          <w:szCs w:val="24"/>
        </w:rPr>
        <w:t>Student's Name</w:t>
      </w:r>
      <w:r w:rsidR="00EC3081">
        <w:rPr>
          <w:rFonts w:ascii="Times New Roman" w:hAnsi="Times New Roman" w:cs="Times New Roman"/>
          <w:sz w:val="24"/>
          <w:szCs w:val="24"/>
        </w:rPr>
        <w:t xml:space="preserve">; </w:t>
      </w:r>
      <w:proofErr w:type="spellStart"/>
      <w:r w:rsidR="00EC3081">
        <w:rPr>
          <w:rFonts w:ascii="Times New Roman" w:hAnsi="Times New Roman" w:cs="Times New Roman"/>
          <w:sz w:val="24"/>
          <w:szCs w:val="24"/>
        </w:rPr>
        <w:t>Cosmin</w:t>
      </w:r>
      <w:proofErr w:type="spellEnd"/>
      <w:r w:rsidR="00EC3081">
        <w:rPr>
          <w:rFonts w:ascii="Times New Roman" w:hAnsi="Times New Roman" w:cs="Times New Roman"/>
          <w:sz w:val="24"/>
          <w:szCs w:val="24"/>
        </w:rPr>
        <w:t xml:space="preserve"> </w:t>
      </w:r>
      <w:proofErr w:type="spellStart"/>
      <w:r w:rsidR="00EC3081">
        <w:rPr>
          <w:rFonts w:ascii="Times New Roman" w:hAnsi="Times New Roman" w:cs="Times New Roman"/>
          <w:sz w:val="24"/>
          <w:szCs w:val="24"/>
        </w:rPr>
        <w:t>Constantin</w:t>
      </w:r>
      <w:proofErr w:type="spellEnd"/>
      <w:r w:rsidR="00EC3081">
        <w:rPr>
          <w:rFonts w:ascii="Times New Roman" w:hAnsi="Times New Roman" w:cs="Times New Roman"/>
          <w:sz w:val="24"/>
          <w:szCs w:val="24"/>
        </w:rPr>
        <w:t xml:space="preserve"> </w:t>
      </w:r>
      <w:proofErr w:type="spellStart"/>
      <w:r w:rsidR="00EC3081">
        <w:rPr>
          <w:rFonts w:ascii="Times New Roman" w:hAnsi="Times New Roman" w:cs="Times New Roman"/>
          <w:sz w:val="24"/>
          <w:szCs w:val="24"/>
        </w:rPr>
        <w:t>Mihai</w:t>
      </w:r>
      <w:proofErr w:type="spellEnd"/>
      <w:r w:rsidR="00EC3081">
        <w:rPr>
          <w:rFonts w:ascii="Times New Roman" w:hAnsi="Times New Roman" w:cs="Times New Roman"/>
          <w:sz w:val="24"/>
          <w:szCs w:val="24"/>
        </w:rPr>
        <w:t xml:space="preserve"> </w:t>
      </w:r>
    </w:p>
    <w:p w:rsidR="00980013" w:rsidRPr="00EC3081" w:rsidRDefault="00980013" w:rsidP="00980013">
      <w:pPr>
        <w:spacing w:line="480" w:lineRule="auto"/>
        <w:rPr>
          <w:rFonts w:ascii="Times New Roman" w:hAnsi="Times New Roman" w:cs="Times New Roman"/>
          <w:sz w:val="16"/>
          <w:szCs w:val="24"/>
        </w:rPr>
      </w:pPr>
      <w:r>
        <w:rPr>
          <w:rFonts w:ascii="Times New Roman" w:hAnsi="Times New Roman" w:cs="Times New Roman"/>
          <w:sz w:val="24"/>
          <w:szCs w:val="24"/>
        </w:rPr>
        <w:t>Name of Professor</w:t>
      </w:r>
      <w:r w:rsidR="00EC3081">
        <w:rPr>
          <w:rFonts w:ascii="Times New Roman" w:hAnsi="Times New Roman" w:cs="Times New Roman"/>
          <w:sz w:val="24"/>
          <w:szCs w:val="24"/>
        </w:rPr>
        <w:t>;</w:t>
      </w:r>
      <w:r w:rsidR="00EC3081" w:rsidRPr="00EC3081">
        <w:rPr>
          <w:rFonts w:ascii="Times New Roman" w:hAnsi="Times New Roman" w:cs="Times New Roman"/>
          <w:b/>
          <w:bCs/>
          <w:i/>
          <w:caps/>
          <w:color w:val="948A54" w:themeColor="background2" w:themeShade="80"/>
          <w:sz w:val="36"/>
          <w:szCs w:val="24"/>
        </w:rPr>
        <w:t xml:space="preserve"> </w:t>
      </w:r>
      <w:r w:rsidR="00EC3081" w:rsidRPr="00EC3081">
        <w:rPr>
          <w:rFonts w:ascii="Times New Roman" w:hAnsi="Times New Roman" w:cs="Times New Roman"/>
          <w:bCs/>
          <w:caps/>
          <w:szCs w:val="24"/>
        </w:rPr>
        <w:t>Hossein Shokri</w:t>
      </w:r>
    </w:p>
    <w:p w:rsidR="00EC3081" w:rsidRPr="00EC3081" w:rsidRDefault="00980013" w:rsidP="00EC3081">
      <w:pPr>
        <w:spacing w:line="360" w:lineRule="auto"/>
        <w:rPr>
          <w:rFonts w:asciiTheme="majorHAnsi" w:hAnsiTheme="majorHAnsi" w:cs="Times New Roman"/>
          <w:b/>
          <w:bCs/>
          <w:sz w:val="44"/>
          <w:szCs w:val="56"/>
        </w:rPr>
      </w:pPr>
      <w:r>
        <w:rPr>
          <w:rFonts w:ascii="Times New Roman" w:hAnsi="Times New Roman" w:cs="Times New Roman"/>
          <w:sz w:val="24"/>
          <w:szCs w:val="24"/>
        </w:rPr>
        <w:t>Course Code/Title</w:t>
      </w:r>
      <w:r w:rsidR="00EC3081">
        <w:rPr>
          <w:rFonts w:ascii="Times New Roman" w:hAnsi="Times New Roman" w:cs="Times New Roman"/>
          <w:sz w:val="24"/>
          <w:szCs w:val="24"/>
        </w:rPr>
        <w:t>;</w:t>
      </w:r>
      <w:r w:rsidR="00EC3081" w:rsidRPr="00EC3081">
        <w:rPr>
          <w:rFonts w:asciiTheme="majorHAnsi" w:hAnsiTheme="majorHAnsi" w:cs="Times New Roman"/>
          <w:b/>
          <w:bCs/>
          <w:color w:val="0070C0"/>
          <w:sz w:val="56"/>
          <w:szCs w:val="56"/>
        </w:rPr>
        <w:t xml:space="preserve"> </w:t>
      </w:r>
      <w:r w:rsidR="00EC3081" w:rsidRPr="00EC3081">
        <w:rPr>
          <w:rFonts w:asciiTheme="majorHAnsi" w:hAnsiTheme="majorHAnsi" w:cs="Times New Roman"/>
          <w:b/>
          <w:bCs/>
          <w:sz w:val="24"/>
          <w:szCs w:val="56"/>
        </w:rPr>
        <w:t>Problem solving and decision making</w:t>
      </w:r>
      <w:r w:rsidR="00EC3081">
        <w:rPr>
          <w:b/>
          <w:color w:val="948A54" w:themeColor="background2" w:themeShade="80"/>
          <w:sz w:val="36"/>
          <w:szCs w:val="36"/>
        </w:rPr>
        <w:t>-</w:t>
      </w:r>
      <w:r w:rsidR="00EC3081" w:rsidRPr="00EC3081">
        <w:rPr>
          <w:b/>
          <w:sz w:val="24"/>
          <w:szCs w:val="36"/>
        </w:rPr>
        <w:t>BMSW4004_LON</w:t>
      </w:r>
    </w:p>
    <w:p w:rsidR="00EC3081" w:rsidRPr="00563A6F" w:rsidRDefault="00EC3081" w:rsidP="00EC3081">
      <w:pPr>
        <w:spacing w:line="360" w:lineRule="auto"/>
        <w:rPr>
          <w:rFonts w:asciiTheme="majorHAnsi" w:hAnsiTheme="majorHAnsi" w:cs="Times New Roman"/>
          <w:b/>
          <w:bCs/>
          <w:color w:val="0070C0"/>
          <w:sz w:val="56"/>
          <w:szCs w:val="56"/>
        </w:rPr>
      </w:pPr>
    </w:p>
    <w:p w:rsidR="00980013" w:rsidRDefault="00980013" w:rsidP="00980013">
      <w:pPr>
        <w:spacing w:line="480" w:lineRule="auto"/>
        <w:rPr>
          <w:rFonts w:ascii="Times New Roman" w:hAnsi="Times New Roman" w:cs="Times New Roman"/>
          <w:sz w:val="24"/>
          <w:szCs w:val="24"/>
        </w:rPr>
      </w:pPr>
    </w:p>
    <w:p w:rsidR="00980013" w:rsidRDefault="00980013" w:rsidP="00980013">
      <w:pPr>
        <w:spacing w:line="480" w:lineRule="auto"/>
        <w:rPr>
          <w:rFonts w:ascii="Times New Roman" w:hAnsi="Times New Roman" w:cs="Times New Roman"/>
          <w:sz w:val="24"/>
          <w:szCs w:val="24"/>
        </w:rPr>
      </w:pPr>
    </w:p>
    <w:p w:rsidR="00980013" w:rsidRDefault="00980013" w:rsidP="00980013">
      <w:pPr>
        <w:spacing w:line="480" w:lineRule="auto"/>
        <w:rPr>
          <w:rFonts w:ascii="Times New Roman" w:hAnsi="Times New Roman" w:cs="Times New Roman"/>
          <w:sz w:val="24"/>
          <w:szCs w:val="24"/>
        </w:rPr>
      </w:pPr>
    </w:p>
    <w:p w:rsidR="00980013" w:rsidRDefault="00980013" w:rsidP="00980013">
      <w:pPr>
        <w:spacing w:line="480" w:lineRule="auto"/>
        <w:rPr>
          <w:rFonts w:ascii="Times New Roman" w:hAnsi="Times New Roman" w:cs="Times New Roman"/>
          <w:sz w:val="24"/>
          <w:szCs w:val="24"/>
        </w:rPr>
      </w:pPr>
    </w:p>
    <w:p w:rsidR="00980013" w:rsidRPr="00980013" w:rsidRDefault="00980013" w:rsidP="00980013">
      <w:pPr>
        <w:spacing w:line="480" w:lineRule="auto"/>
        <w:jc w:val="center"/>
        <w:rPr>
          <w:rFonts w:ascii="Times New Roman" w:hAnsi="Times New Roman" w:cs="Times New Roman"/>
          <w:b/>
          <w:sz w:val="36"/>
          <w:szCs w:val="24"/>
        </w:rPr>
      </w:pPr>
      <w:r w:rsidRPr="00980013">
        <w:rPr>
          <w:rFonts w:ascii="Times New Roman" w:hAnsi="Times New Roman" w:cs="Times New Roman"/>
          <w:b/>
          <w:sz w:val="36"/>
          <w:szCs w:val="24"/>
        </w:rPr>
        <w:t>William Hill Company</w:t>
      </w:r>
    </w:p>
    <w:p w:rsidR="00980013" w:rsidRPr="00980013" w:rsidRDefault="00980013" w:rsidP="00980013">
      <w:pPr>
        <w:spacing w:line="480" w:lineRule="auto"/>
        <w:rPr>
          <w:rFonts w:ascii="Times New Roman" w:hAnsi="Times New Roman" w:cs="Times New Roman"/>
          <w:sz w:val="36"/>
          <w:szCs w:val="24"/>
        </w:rPr>
      </w:pPr>
      <w:r w:rsidRPr="00980013">
        <w:rPr>
          <w:rFonts w:ascii="Times New Roman" w:hAnsi="Times New Roman" w:cs="Times New Roman"/>
          <w:b/>
          <w:bCs/>
          <w:sz w:val="36"/>
          <w:szCs w:val="24"/>
        </w:rPr>
        <w:t>THE ACTUAL ISSUE THAT DISSASTISFIED STAFF</w:t>
      </w:r>
    </w:p>
    <w:p w:rsidR="00980013" w:rsidRPr="00980013" w:rsidRDefault="00980013" w:rsidP="00980013">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980013">
        <w:rPr>
          <w:rFonts w:asciiTheme="majorHAnsi" w:eastAsia="Times New Roman" w:hAnsiTheme="majorHAnsi" w:cs="Times New Roman"/>
          <w:color w:val="000000"/>
          <w:sz w:val="36"/>
          <w:szCs w:val="36"/>
        </w:rPr>
        <w:t>Organizations with poor cultures tend to have negative beliefs, communication, and behavior within the workplace.</w:t>
      </w:r>
    </w:p>
    <w:p w:rsidR="00980013" w:rsidRPr="00980013" w:rsidRDefault="00980013" w:rsidP="00980013">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980013">
        <w:rPr>
          <w:rFonts w:asciiTheme="majorHAnsi" w:eastAsia="Times New Roman" w:hAnsiTheme="majorHAnsi" w:cs="Times New Roman"/>
          <w:color w:val="000000"/>
          <w:sz w:val="36"/>
          <w:szCs w:val="36"/>
        </w:rPr>
        <w:t>At its core, a toxic culture is one in which top management does not invest in the growth of the organization, either in terms of people or procedures.</w:t>
      </w:r>
    </w:p>
    <w:p w:rsidR="00980013" w:rsidRPr="00980013" w:rsidRDefault="00980013" w:rsidP="00980013">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980013">
        <w:rPr>
          <w:rFonts w:asciiTheme="majorHAnsi" w:eastAsia="Times New Roman" w:hAnsiTheme="majorHAnsi" w:cs="Times New Roman"/>
          <w:color w:val="000000"/>
          <w:sz w:val="36"/>
          <w:szCs w:val="36"/>
        </w:rPr>
        <w:t>It is not communicated or enforced what behavior is acceptable and what is expected.</w:t>
      </w:r>
    </w:p>
    <w:p w:rsidR="00980013" w:rsidRPr="00980013" w:rsidRDefault="00980013" w:rsidP="00980013">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980013">
        <w:rPr>
          <w:rFonts w:asciiTheme="majorHAnsi" w:eastAsia="Times New Roman" w:hAnsiTheme="majorHAnsi" w:cs="Times New Roman"/>
          <w:color w:val="000000"/>
          <w:sz w:val="36"/>
          <w:szCs w:val="36"/>
        </w:rPr>
        <w:lastRenderedPageBreak/>
        <w:t>The William Hill Company is a well-known bookmaker based in London, United Kingdom. Despite the prohibition of gambling in 1934, the company was able to establish a foothold in the industry over time. A gaming commission was constituted when the authorities codified gaming legislation (</w:t>
      </w:r>
      <w:proofErr w:type="spellStart"/>
      <w:r w:rsidRPr="00980013">
        <w:rPr>
          <w:rFonts w:asciiTheme="majorHAnsi" w:eastAsia="Times New Roman" w:hAnsiTheme="majorHAnsi" w:cs="Times New Roman"/>
          <w:color w:val="000000"/>
          <w:sz w:val="36"/>
          <w:szCs w:val="36"/>
        </w:rPr>
        <w:t>Kunc</w:t>
      </w:r>
      <w:proofErr w:type="spellEnd"/>
      <w:r w:rsidRPr="00980013">
        <w:rPr>
          <w:rFonts w:asciiTheme="majorHAnsi" w:eastAsia="Times New Roman" w:hAnsiTheme="majorHAnsi" w:cs="Times New Roman"/>
          <w:color w:val="000000"/>
          <w:sz w:val="36"/>
          <w:szCs w:val="36"/>
        </w:rPr>
        <w:t>, 2019). This resulted in the bookmaker becoming a major player on the European and global market. The company specializes in bookmaking, internet gambling, and gaming stores. The purpose of this study is to provide insight into the company's bad culture.</w:t>
      </w:r>
    </w:p>
    <w:p w:rsidR="00980013" w:rsidRPr="00980013" w:rsidRDefault="00980013" w:rsidP="00980013">
      <w:pPr>
        <w:shd w:val="clear" w:color="auto" w:fill="FFFFFF"/>
        <w:spacing w:before="100" w:beforeAutospacing="1" w:after="100" w:afterAutospacing="1" w:line="349" w:lineRule="atLeast"/>
        <w:ind w:firstLine="720"/>
        <w:rPr>
          <w:rFonts w:asciiTheme="majorHAnsi" w:eastAsia="Times New Roman" w:hAnsiTheme="majorHAnsi" w:cs="Arial"/>
          <w:color w:val="000000"/>
          <w:sz w:val="24"/>
          <w:szCs w:val="18"/>
        </w:rPr>
      </w:pPr>
      <w:r w:rsidRPr="00980013">
        <w:rPr>
          <w:rFonts w:asciiTheme="majorHAnsi" w:eastAsia="Times New Roman" w:hAnsiTheme="majorHAnsi" w:cs="Times New Roman"/>
          <w:bCs/>
          <w:color w:val="000000"/>
          <w:sz w:val="36"/>
          <w:szCs w:val="24"/>
        </w:rPr>
        <w:t>There has been a strong perception on the part of William Hill workers that they are working in a poor company culture that is characterized by poor communication and poor relationships, which, in turn, has led them to lose their satisfaction, to not be so productive and not to be so engaged with their work.</w:t>
      </w:r>
    </w:p>
    <w:p w:rsidR="00980013" w:rsidRPr="00980013" w:rsidRDefault="00980013" w:rsidP="00980013">
      <w:pPr>
        <w:shd w:val="clear" w:color="auto" w:fill="FFFFFF"/>
        <w:spacing w:before="100" w:beforeAutospacing="1" w:after="100" w:afterAutospacing="1" w:line="349" w:lineRule="atLeast"/>
        <w:ind w:firstLine="720"/>
        <w:rPr>
          <w:rFonts w:asciiTheme="majorHAnsi" w:eastAsia="Times New Roman" w:hAnsiTheme="majorHAnsi" w:cs="Arial"/>
          <w:color w:val="000000"/>
          <w:sz w:val="24"/>
          <w:szCs w:val="18"/>
        </w:rPr>
      </w:pPr>
      <w:r w:rsidRPr="00980013">
        <w:rPr>
          <w:rFonts w:asciiTheme="majorHAnsi" w:eastAsia="Times New Roman" w:hAnsiTheme="majorHAnsi" w:cs="Times New Roman"/>
          <w:bCs/>
          <w:color w:val="000000"/>
          <w:sz w:val="36"/>
          <w:szCs w:val="24"/>
        </w:rPr>
        <w:t>In spite of the model's success, the company's approach, culture, roles, and unique selling propositions have not been clearly defined, which could result in competition from other businesses in the industry sector, as workers dissatisfaction might result in high turnover of employees. Despite the fact that William Hill is one of the most prominent companies in the area in which it operates, the company's culture has made it difficult for it to expand into additional product markets.</w:t>
      </w:r>
    </w:p>
    <w:p w:rsidR="00980013" w:rsidRPr="00980013" w:rsidRDefault="00980013" w:rsidP="00980013">
      <w:pPr>
        <w:shd w:val="clear" w:color="auto" w:fill="FFFFFF"/>
        <w:spacing w:before="100" w:beforeAutospacing="1" w:after="100" w:afterAutospacing="1" w:line="349" w:lineRule="atLeast"/>
        <w:ind w:firstLine="720"/>
        <w:rPr>
          <w:rFonts w:asciiTheme="majorHAnsi" w:eastAsia="Times New Roman" w:hAnsiTheme="majorHAnsi" w:cs="Arial"/>
          <w:color w:val="000000"/>
          <w:sz w:val="24"/>
          <w:szCs w:val="18"/>
        </w:rPr>
      </w:pPr>
      <w:r w:rsidRPr="00980013">
        <w:rPr>
          <w:rFonts w:asciiTheme="majorHAnsi" w:eastAsia="Times New Roman" w:hAnsiTheme="majorHAnsi" w:cs="Times New Roman"/>
          <w:color w:val="000000"/>
          <w:sz w:val="36"/>
          <w:szCs w:val="24"/>
        </w:rPr>
        <w:t xml:space="preserve">As compared with the fastest-growing subsidiaries of the firm, development and research expenditures at the company are much lower. While William Hill Company </w:t>
      </w:r>
      <w:r w:rsidRPr="00980013">
        <w:rPr>
          <w:rFonts w:asciiTheme="majorHAnsi" w:eastAsia="Times New Roman" w:hAnsiTheme="majorHAnsi" w:cs="Times New Roman"/>
          <w:color w:val="000000"/>
          <w:sz w:val="36"/>
          <w:szCs w:val="24"/>
        </w:rPr>
        <w:lastRenderedPageBreak/>
        <w:t>spends more than the average company in its industry on research and development, it falls short of the leading companies when it comes to innovation. As a result of its status as an accomplished firm, it seems that it is developing new products in accordance with the trends recognized in the industry at this time.</w:t>
      </w:r>
    </w:p>
    <w:p w:rsidR="00980013" w:rsidRPr="00980013" w:rsidRDefault="00980013" w:rsidP="00980013">
      <w:pPr>
        <w:shd w:val="clear" w:color="auto" w:fill="FFFFFF"/>
        <w:spacing w:before="100" w:beforeAutospacing="1" w:after="100" w:afterAutospacing="1" w:line="349" w:lineRule="atLeast"/>
        <w:ind w:firstLine="720"/>
        <w:rPr>
          <w:rFonts w:asciiTheme="majorHAnsi" w:eastAsia="Times New Roman" w:hAnsiTheme="majorHAnsi" w:cs="Arial"/>
          <w:color w:val="000000"/>
          <w:sz w:val="24"/>
          <w:szCs w:val="18"/>
        </w:rPr>
      </w:pPr>
      <w:r w:rsidRPr="00980013">
        <w:rPr>
          <w:rFonts w:asciiTheme="majorHAnsi" w:eastAsia="Times New Roman" w:hAnsiTheme="majorHAnsi" w:cs="Times New Roman"/>
          <w:color w:val="000000"/>
          <w:sz w:val="36"/>
          <w:szCs w:val="24"/>
        </w:rPr>
        <w:t xml:space="preserve">In this way, the company has a lower rate of missed opportunities than its competitors as a result of this strategy. When it comes to the delivery route, William Hill has more inventory than any of its competitors because it has failed to anticipate needs in a timely manner, which has led </w:t>
      </w:r>
      <w:proofErr w:type="spellStart"/>
      <w:r w:rsidRPr="00980013">
        <w:rPr>
          <w:rFonts w:asciiTheme="majorHAnsi" w:eastAsia="Times New Roman" w:hAnsiTheme="majorHAnsi" w:cs="Times New Roman"/>
          <w:color w:val="000000"/>
          <w:sz w:val="36"/>
          <w:szCs w:val="24"/>
        </w:rPr>
        <w:t>toAs</w:t>
      </w:r>
      <w:proofErr w:type="spellEnd"/>
      <w:r w:rsidRPr="00980013">
        <w:rPr>
          <w:rFonts w:asciiTheme="majorHAnsi" w:eastAsia="Times New Roman" w:hAnsiTheme="majorHAnsi" w:cs="Times New Roman"/>
          <w:color w:val="000000"/>
          <w:sz w:val="36"/>
          <w:szCs w:val="24"/>
        </w:rPr>
        <w:t xml:space="preserve"> a result of its present administrative structure, the firm is not able to expand into new product categories in the near future (</w:t>
      </w:r>
      <w:proofErr w:type="spellStart"/>
      <w:r w:rsidRPr="00980013">
        <w:rPr>
          <w:rFonts w:asciiTheme="majorHAnsi" w:eastAsia="Times New Roman" w:hAnsiTheme="majorHAnsi" w:cs="Times New Roman"/>
          <w:color w:val="000000"/>
          <w:sz w:val="36"/>
          <w:szCs w:val="24"/>
        </w:rPr>
        <w:t>Kunc</w:t>
      </w:r>
      <w:proofErr w:type="spellEnd"/>
      <w:r w:rsidRPr="00980013">
        <w:rPr>
          <w:rFonts w:asciiTheme="majorHAnsi" w:eastAsia="Times New Roman" w:hAnsiTheme="majorHAnsi" w:cs="Times New Roman"/>
          <w:color w:val="000000"/>
          <w:sz w:val="36"/>
          <w:szCs w:val="24"/>
        </w:rPr>
        <w:t>, 2019).</w:t>
      </w:r>
      <w:proofErr w:type="spellStart"/>
      <w:r w:rsidRPr="00980013">
        <w:rPr>
          <w:rFonts w:asciiTheme="majorHAnsi" w:eastAsia="Times New Roman" w:hAnsiTheme="majorHAnsi" w:cs="Times New Roman"/>
          <w:color w:val="000000"/>
          <w:sz w:val="36"/>
          <w:szCs w:val="24"/>
        </w:rPr>
        <w:t>ow</w:t>
      </w:r>
      <w:proofErr w:type="spellEnd"/>
      <w:r w:rsidRPr="00980013">
        <w:rPr>
          <w:rFonts w:asciiTheme="majorHAnsi" w:eastAsia="Times New Roman" w:hAnsiTheme="majorHAnsi" w:cs="Times New Roman"/>
          <w:color w:val="000000"/>
          <w:sz w:val="36"/>
          <w:szCs w:val="24"/>
        </w:rPr>
        <w:t xml:space="preserve"> it to develop into new item categories (</w:t>
      </w:r>
      <w:proofErr w:type="spellStart"/>
      <w:r w:rsidRPr="00980013">
        <w:rPr>
          <w:rFonts w:asciiTheme="majorHAnsi" w:eastAsia="Times New Roman" w:hAnsiTheme="majorHAnsi" w:cs="Times New Roman"/>
          <w:color w:val="000000"/>
          <w:sz w:val="36"/>
          <w:szCs w:val="24"/>
        </w:rPr>
        <w:t>Kunc</w:t>
      </w:r>
      <w:proofErr w:type="spellEnd"/>
      <w:r w:rsidRPr="00980013">
        <w:rPr>
          <w:rFonts w:asciiTheme="majorHAnsi" w:eastAsia="Times New Roman" w:hAnsiTheme="majorHAnsi" w:cs="Times New Roman"/>
          <w:color w:val="000000"/>
          <w:sz w:val="36"/>
          <w:szCs w:val="24"/>
        </w:rPr>
        <w:t xml:space="preserve">, 2019). There is a lot that can be done in order to increase the visibility of a company. As </w:t>
      </w:r>
      <w:proofErr w:type="gramStart"/>
      <w:r w:rsidRPr="00980013">
        <w:rPr>
          <w:rFonts w:asciiTheme="majorHAnsi" w:eastAsia="Times New Roman" w:hAnsiTheme="majorHAnsi" w:cs="Times New Roman"/>
          <w:color w:val="000000"/>
          <w:sz w:val="36"/>
          <w:szCs w:val="24"/>
        </w:rPr>
        <w:t>a result of the model's success, the company's approach as well as its unique selling propositions are</w:t>
      </w:r>
      <w:proofErr w:type="gramEnd"/>
      <w:r w:rsidRPr="00980013">
        <w:rPr>
          <w:rFonts w:asciiTheme="majorHAnsi" w:eastAsia="Times New Roman" w:hAnsiTheme="majorHAnsi" w:cs="Times New Roman"/>
          <w:color w:val="000000"/>
          <w:sz w:val="36"/>
          <w:szCs w:val="24"/>
        </w:rPr>
        <w:t xml:space="preserve"> not clearly defined, which could result in competition from other businesses in the industry sector in the future. While William Hill is one of the most prominent corporations within its area, the organization's culture has made it difficult for it to expand into other product categories as a result of its culture.</w:t>
      </w:r>
    </w:p>
    <w:p w:rsidR="004A6A2F" w:rsidRDefault="00980013">
      <w:pPr>
        <w:rPr>
          <w:rFonts w:asciiTheme="majorHAnsi" w:hAnsiTheme="majorHAnsi"/>
          <w:b/>
          <w:bCs/>
          <w:sz w:val="40"/>
        </w:rPr>
      </w:pPr>
      <w:r w:rsidRPr="00980013">
        <w:rPr>
          <w:rFonts w:asciiTheme="majorHAnsi" w:hAnsiTheme="majorHAnsi"/>
          <w:b/>
          <w:bCs/>
          <w:sz w:val="40"/>
        </w:rPr>
        <w:t>What is Fishbone Analysis</w:t>
      </w:r>
    </w:p>
    <w:p w:rsidR="000615A9" w:rsidRDefault="000615A9">
      <w:pPr>
        <w:rPr>
          <w:rFonts w:asciiTheme="majorHAnsi" w:hAnsiTheme="majorHAnsi"/>
          <w:i/>
          <w:color w:val="000000"/>
          <w:sz w:val="36"/>
          <w:szCs w:val="18"/>
          <w:shd w:val="clear" w:color="auto" w:fill="FFFFFF"/>
        </w:rPr>
      </w:pPr>
      <w:r w:rsidRPr="000615A9">
        <w:rPr>
          <w:rFonts w:asciiTheme="majorHAnsi" w:hAnsiTheme="majorHAnsi"/>
          <w:color w:val="000000"/>
          <w:sz w:val="36"/>
          <w:szCs w:val="18"/>
          <w:shd w:val="clear" w:color="auto" w:fill="FFFFFF"/>
        </w:rPr>
        <w:t xml:space="preserve">It is possible to determine the cause and effect of flaws, variances, or breakdowns at the William Hill Company by tracing the chain of events that led up to these events in a fishbone analysis. In order to put it simply, it simplifies the </w:t>
      </w:r>
      <w:r w:rsidRPr="000615A9">
        <w:rPr>
          <w:rFonts w:asciiTheme="majorHAnsi" w:hAnsiTheme="majorHAnsi"/>
          <w:color w:val="000000"/>
          <w:sz w:val="36"/>
          <w:szCs w:val="18"/>
          <w:shd w:val="clear" w:color="auto" w:fill="FFFFFF"/>
        </w:rPr>
        <w:lastRenderedPageBreak/>
        <w:t xml:space="preserve">process of identifying and addressing the causes of an impact in order to prevent it from happening in the future (Jonathan, 2020).event it from happening in the future (Jonathan, 2020). When placing an order, it is important to have a regular and predictable procedure in </w:t>
      </w:r>
      <w:proofErr w:type="spellStart"/>
      <w:r w:rsidRPr="000615A9">
        <w:rPr>
          <w:rFonts w:asciiTheme="majorHAnsi" w:hAnsiTheme="majorHAnsi"/>
          <w:color w:val="000000"/>
          <w:sz w:val="36"/>
          <w:szCs w:val="18"/>
          <w:shd w:val="clear" w:color="auto" w:fill="FFFFFF"/>
        </w:rPr>
        <w:t>place.ular</w:t>
      </w:r>
      <w:proofErr w:type="spellEnd"/>
      <w:r w:rsidRPr="000615A9">
        <w:rPr>
          <w:rFonts w:asciiTheme="majorHAnsi" w:hAnsiTheme="majorHAnsi"/>
          <w:color w:val="000000"/>
          <w:sz w:val="36"/>
          <w:szCs w:val="18"/>
          <w:shd w:val="clear" w:color="auto" w:fill="FFFFFF"/>
        </w:rPr>
        <w:t xml:space="preserve"> and predictable one. There is a possibility that minor variations in the procedure might affect the final outcome and it is not uncommon for that to happen. In order to prevent faults from occurring and breakdowns from happening in the future, flowcharts are a wonderful way of identifying potential causes of faults and breakdowns</w:t>
      </w:r>
      <w:r>
        <w:rPr>
          <w:rFonts w:asciiTheme="majorHAnsi" w:hAnsiTheme="majorHAnsi"/>
          <w:i/>
          <w:color w:val="000000"/>
          <w:sz w:val="36"/>
          <w:szCs w:val="18"/>
          <w:shd w:val="clear" w:color="auto" w:fill="FFFFFF"/>
        </w:rPr>
        <w:t>.</w:t>
      </w:r>
    </w:p>
    <w:p w:rsidR="000615A9" w:rsidRDefault="000615A9" w:rsidP="000615A9">
      <w:pPr>
        <w:rPr>
          <w:rFonts w:asciiTheme="majorHAnsi" w:hAnsiTheme="majorHAnsi"/>
          <w:b/>
          <w:color w:val="000000"/>
          <w:sz w:val="36"/>
          <w:szCs w:val="18"/>
          <w:shd w:val="clear" w:color="auto" w:fill="FFFFFF"/>
        </w:rPr>
      </w:pPr>
      <w:r w:rsidRPr="000615A9">
        <w:rPr>
          <w:rFonts w:asciiTheme="majorHAnsi" w:hAnsiTheme="majorHAnsi"/>
          <w:b/>
          <w:color w:val="000000"/>
          <w:sz w:val="36"/>
          <w:szCs w:val="18"/>
          <w:shd w:val="clear" w:color="auto" w:fill="FFFFFF"/>
        </w:rPr>
        <w:t xml:space="preserve">Fishbone analyses </w:t>
      </w:r>
    </w:p>
    <w:p w:rsidR="000615A9" w:rsidRPr="000615A9" w:rsidRDefault="000615A9" w:rsidP="000615A9">
      <w:pPr>
        <w:rPr>
          <w:rFonts w:asciiTheme="majorHAnsi" w:hAnsiTheme="majorHAnsi"/>
          <w:b/>
          <w:color w:val="000000"/>
          <w:sz w:val="36"/>
          <w:szCs w:val="18"/>
          <w:shd w:val="clear" w:color="auto" w:fill="FFFFFF"/>
        </w:rPr>
      </w:pPr>
      <w:r w:rsidRPr="000615A9">
        <w:rPr>
          <w:rFonts w:asciiTheme="majorHAnsi" w:eastAsia="Times New Roman" w:hAnsiTheme="majorHAnsi" w:cs="Times New Roman"/>
          <w:color w:val="000000"/>
          <w:sz w:val="36"/>
          <w:szCs w:val="36"/>
        </w:rPr>
        <w:t xml:space="preserve">In the </w:t>
      </w:r>
      <w:proofErr w:type="spellStart"/>
      <w:r w:rsidRPr="000615A9">
        <w:rPr>
          <w:rFonts w:asciiTheme="majorHAnsi" w:eastAsia="Times New Roman" w:hAnsiTheme="majorHAnsi" w:cs="Times New Roman"/>
          <w:color w:val="000000"/>
          <w:sz w:val="36"/>
          <w:szCs w:val="36"/>
        </w:rPr>
        <w:t>Fisborne</w:t>
      </w:r>
      <w:proofErr w:type="spellEnd"/>
      <w:r w:rsidRPr="000615A9">
        <w:rPr>
          <w:rFonts w:asciiTheme="majorHAnsi" w:eastAsia="Times New Roman" w:hAnsiTheme="majorHAnsi" w:cs="Times New Roman"/>
          <w:color w:val="000000"/>
          <w:sz w:val="36"/>
          <w:szCs w:val="36"/>
        </w:rPr>
        <w:t xml:space="preserve"> Diagram, it is very easy to spot the problem that is causing the negative culture of the company, which is actually the cause of the problem facing the company. Through the process of brainstorming, we have been able to determine the categories and the roots of the problems present in the company, which are poor communication, bad management, hyper competition, and a lack of focus on the workers themselves. As a result of that, it can be seen that the negative culture in the organization has resulted in a lack of productivity of the workers, poor attendance, low attention, lack of attention et.al. </w:t>
      </w:r>
      <w:proofErr w:type="gramStart"/>
      <w:r w:rsidRPr="000615A9">
        <w:rPr>
          <w:rFonts w:asciiTheme="majorHAnsi" w:eastAsia="Times New Roman" w:hAnsiTheme="majorHAnsi" w:cs="Times New Roman"/>
          <w:color w:val="000000"/>
          <w:sz w:val="36"/>
          <w:szCs w:val="36"/>
        </w:rPr>
        <w:t>(FFU 2020).</w:t>
      </w:r>
      <w:proofErr w:type="gramEnd"/>
    </w:p>
    <w:p w:rsidR="000615A9" w:rsidRPr="000615A9" w:rsidRDefault="000615A9" w:rsidP="000615A9">
      <w:pPr>
        <w:shd w:val="clear" w:color="auto" w:fill="FFFFFF"/>
        <w:spacing w:before="100" w:beforeAutospacing="1" w:after="100" w:afterAutospacing="1" w:line="349" w:lineRule="atLeast"/>
        <w:rPr>
          <w:rFonts w:asciiTheme="majorHAnsi" w:eastAsia="Times New Roman" w:hAnsiTheme="majorHAnsi" w:cs="Times New Roman"/>
          <w:b/>
          <w:color w:val="000000"/>
          <w:sz w:val="36"/>
          <w:szCs w:val="36"/>
        </w:rPr>
      </w:pPr>
      <w:r w:rsidRPr="000615A9">
        <w:rPr>
          <w:rFonts w:asciiTheme="majorHAnsi" w:eastAsia="Times New Roman" w:hAnsiTheme="majorHAnsi" w:cs="Times New Roman"/>
          <w:color w:val="000000"/>
          <w:sz w:val="36"/>
          <w:szCs w:val="36"/>
        </w:rPr>
        <w:t>In conclusion, it has been found that what has resulted in workers dissatisfaction within the company is due to the implications and the consequences of a negative culture.</w:t>
      </w:r>
    </w:p>
    <w:p w:rsidR="000615A9" w:rsidRPr="000615A9" w:rsidRDefault="000615A9" w:rsidP="000615A9">
      <w:pPr>
        <w:shd w:val="clear" w:color="auto" w:fill="FFFFFF"/>
        <w:spacing w:before="100" w:beforeAutospacing="1" w:after="100" w:afterAutospacing="1" w:line="349" w:lineRule="atLeast"/>
        <w:rPr>
          <w:rFonts w:asciiTheme="majorHAnsi" w:eastAsia="Times New Roman" w:hAnsiTheme="majorHAnsi" w:cs="Arial"/>
          <w:b/>
          <w:color w:val="000000"/>
          <w:sz w:val="36"/>
          <w:szCs w:val="36"/>
        </w:rPr>
      </w:pPr>
      <w:r w:rsidRPr="000615A9">
        <w:rPr>
          <w:rFonts w:asciiTheme="majorHAnsi" w:eastAsia="Times New Roman" w:hAnsiTheme="majorHAnsi" w:cs="Times New Roman"/>
          <w:b/>
          <w:color w:val="000000"/>
          <w:sz w:val="36"/>
          <w:szCs w:val="36"/>
        </w:rPr>
        <w:lastRenderedPageBreak/>
        <w:t>Solution:</w:t>
      </w:r>
    </w:p>
    <w:p w:rsidR="000615A9" w:rsidRDefault="000615A9">
      <w:pPr>
        <w:rPr>
          <w:rFonts w:asciiTheme="majorHAnsi" w:hAnsiTheme="majorHAnsi" w:cs="Arial"/>
          <w:color w:val="000000"/>
          <w:sz w:val="36"/>
          <w:szCs w:val="36"/>
          <w:shd w:val="clear" w:color="auto" w:fill="FFFFFF"/>
        </w:rPr>
      </w:pPr>
      <w:r w:rsidRPr="000615A9">
        <w:rPr>
          <w:rFonts w:asciiTheme="majorHAnsi" w:hAnsiTheme="majorHAnsi" w:cs="Arial"/>
          <w:color w:val="000000"/>
          <w:sz w:val="36"/>
          <w:szCs w:val="36"/>
          <w:shd w:val="clear" w:color="auto" w:fill="FFFFFF"/>
        </w:rPr>
        <w:t xml:space="preserve">       A creative problem solving approach is a way to identify opportunities or solve problems when conventional thinking has failed to provide a solution. As a result, you will be encouraged to come up with innovative solutions and to seek out fresh perspectives, so that you will be able to formulate a plan to overcome obstacles and reach your goals. As an innovative approach to problem-solving, it is an approach in which the answer is generated freely, as opposed to being acquired through the process of education in a controlled </w:t>
      </w:r>
      <w:proofErr w:type="spellStart"/>
      <w:r w:rsidRPr="000615A9">
        <w:rPr>
          <w:rFonts w:asciiTheme="majorHAnsi" w:hAnsiTheme="majorHAnsi" w:cs="Arial"/>
          <w:color w:val="000000"/>
          <w:sz w:val="36"/>
          <w:szCs w:val="36"/>
          <w:shd w:val="clear" w:color="auto" w:fill="FFFFFF"/>
        </w:rPr>
        <w:t>manner.ocess</w:t>
      </w:r>
      <w:proofErr w:type="spellEnd"/>
      <w:r w:rsidRPr="000615A9">
        <w:rPr>
          <w:rFonts w:asciiTheme="majorHAnsi" w:hAnsiTheme="majorHAnsi" w:cs="Arial"/>
          <w:color w:val="000000"/>
          <w:sz w:val="36"/>
          <w:szCs w:val="36"/>
          <w:shd w:val="clear" w:color="auto" w:fill="FFFFFF"/>
        </w:rPr>
        <w:t xml:space="preserve"> of education in a controlled manner. The ability to find innovative solutions to creative challenges requires ingenuity on the part of the individual. In order to reduce the negative and poor working environment, the company might take steps to implement creative problem solving as its first option, which is to offer different holidays and trips to the workers as a means of fostering strong relationships and reducing the negative and poor working environment. As a result, it might be important for the company's leader to participate in these trips and to ensure that there is good communication and a good working policy within the company in order to assure that these trips will be a success. </w:t>
      </w:r>
      <w:proofErr w:type="gramStart"/>
      <w:r w:rsidRPr="000615A9">
        <w:rPr>
          <w:rFonts w:asciiTheme="majorHAnsi" w:hAnsiTheme="majorHAnsi" w:cs="Arial"/>
          <w:color w:val="000000"/>
          <w:sz w:val="36"/>
          <w:szCs w:val="36"/>
          <w:shd w:val="clear" w:color="auto" w:fill="FFFFFF"/>
        </w:rPr>
        <w:t>As part of the KUNC 2019</w:t>
      </w:r>
      <w:r>
        <w:rPr>
          <w:rFonts w:asciiTheme="majorHAnsi" w:hAnsiTheme="majorHAnsi" w:cs="Arial"/>
          <w:color w:val="000000"/>
          <w:sz w:val="36"/>
          <w:szCs w:val="36"/>
          <w:shd w:val="clear" w:color="auto" w:fill="FFFFFF"/>
        </w:rPr>
        <w:t>.</w:t>
      </w:r>
      <w:proofErr w:type="gramEnd"/>
    </w:p>
    <w:p w:rsidR="000615A9" w:rsidRDefault="00802684">
      <w:pPr>
        <w:rPr>
          <w:rFonts w:asciiTheme="majorHAnsi" w:hAnsiTheme="majorHAnsi"/>
          <w:b/>
          <w:sz w:val="36"/>
          <w:szCs w:val="36"/>
        </w:rPr>
      </w:pPr>
      <w:r>
        <w:rPr>
          <w:rFonts w:asciiTheme="majorHAnsi" w:hAnsiTheme="majorHAnsi"/>
          <w:b/>
          <w:sz w:val="36"/>
          <w:szCs w:val="36"/>
        </w:rPr>
        <w:t xml:space="preserve">Pestle analyses </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b/>
          <w:bCs/>
          <w:color w:val="000000"/>
          <w:sz w:val="36"/>
          <w:szCs w:val="36"/>
        </w:rPr>
        <w:t>Application of Pestle on the Company and Suggestions on how it can arrive at the Issue</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lastRenderedPageBreak/>
        <w:t>Political:</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 There are many factors that play a significant role in William Hill Plc's long-term success in a particular country or market. In the ever-changing travel and leisure business across numerous countries, it is crucial to diversify threats related to both politics and the environment in order to achieve success.</w:t>
      </w:r>
    </w:p>
    <w:p w:rsidR="00802684" w:rsidRPr="00802684" w:rsidRDefault="00802684" w:rsidP="00802684">
      <w:pPr>
        <w:shd w:val="clear" w:color="auto" w:fill="FFFFFF"/>
        <w:spacing w:before="100" w:beforeAutospacing="1" w:after="100" w:afterAutospacing="1" w:line="349" w:lineRule="atLeast"/>
        <w:ind w:firstLine="720"/>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Economic: </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There are a number of factors that affect the firm's business, such as savings, inflation, interest rates, currency conversion trends, and business cycles, that have an impact on the firm's business.</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Currently, all of these factors are at a very high level in the UK due to a number of factors.</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Societies: </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The competition requirements, for example, have a significant impact on a corporation's competitive advantage. It has been shown that the environment in which a company works as well as how individuals conduct their day-to-day operations significantly affect a company's culture (Fern Fort University, 2022). The company received pressure in terms of customer trends that have changed over the years: e-commerce, healthy products, and sustainability.</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Marketing </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lastRenderedPageBreak/>
        <w:t>When trying to determine who their prospective clients are in a particular industry and how to best communicate with them, William Hill Plc heavily relies on the common perceptions and sentiments of the general public in order to get a better understanding of who their prospective clients are. As a result of the demographics and skill level of the people at William Hill Plc, the leadership should investigate the class structures, hierarchical or power frameworks in culture as part of a PESTEL study, conducted by the Fern Fort University in the year 2022.</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Technological:</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It is crucial that the firm understands the consequences of technological analysis, including current technological breakthroughs by its rivals, as well as how technology impacts the product portfolios of competitors. </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Environment:</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 As a result, the UK government has signed the goal for sustainability, which asks all companies to reduce their impact on the environment as much as possible. As a result, this has again had a negative impact on the company's environment.</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Legal: </w:t>
      </w:r>
    </w:p>
    <w:p w:rsidR="00802684" w:rsidRDefault="00802684" w:rsidP="00802684">
      <w:pPr>
        <w:shd w:val="clear" w:color="auto" w:fill="FFFFFF"/>
        <w:spacing w:before="100" w:beforeAutospacing="1" w:after="100" w:afterAutospacing="1" w:line="349" w:lineRule="atLeast"/>
        <w:rPr>
          <w:rFonts w:asciiTheme="majorHAnsi" w:eastAsia="Times New Roman" w:hAnsiTheme="majorHAnsi" w:cs="Times New Roman"/>
          <w:color w:val="000000"/>
          <w:sz w:val="36"/>
          <w:szCs w:val="36"/>
        </w:rPr>
      </w:pPr>
      <w:r w:rsidRPr="00802684">
        <w:rPr>
          <w:rFonts w:asciiTheme="majorHAnsi" w:eastAsia="Times New Roman" w:hAnsiTheme="majorHAnsi" w:cs="Times New Roman"/>
          <w:color w:val="000000"/>
          <w:sz w:val="36"/>
          <w:szCs w:val="36"/>
        </w:rPr>
        <w:t>It is important that the company addresses all of these issues such as consumer protection, Minimum Wages, etc.</w:t>
      </w:r>
    </w:p>
    <w:p w:rsidR="00802684" w:rsidRPr="00802684" w:rsidRDefault="00802684" w:rsidP="00802684">
      <w:pPr>
        <w:shd w:val="clear" w:color="auto" w:fill="FFFFFF"/>
        <w:spacing w:before="100" w:beforeAutospacing="1" w:after="100" w:afterAutospacing="1" w:line="349" w:lineRule="atLeast"/>
        <w:rPr>
          <w:rFonts w:asciiTheme="majorHAnsi" w:eastAsia="Times New Roman" w:hAnsiTheme="majorHAnsi" w:cs="Arial"/>
          <w:b/>
          <w:color w:val="000000"/>
          <w:sz w:val="40"/>
          <w:szCs w:val="36"/>
        </w:rPr>
      </w:pPr>
      <w:proofErr w:type="spellStart"/>
      <w:r w:rsidRPr="00802684">
        <w:rPr>
          <w:rFonts w:asciiTheme="majorHAnsi" w:eastAsia="Times New Roman" w:hAnsiTheme="majorHAnsi" w:cs="Times New Roman"/>
          <w:b/>
          <w:color w:val="000000"/>
          <w:sz w:val="40"/>
          <w:szCs w:val="36"/>
        </w:rPr>
        <w:t>Swot</w:t>
      </w:r>
      <w:proofErr w:type="spellEnd"/>
      <w:r w:rsidRPr="00802684">
        <w:rPr>
          <w:rFonts w:asciiTheme="majorHAnsi" w:eastAsia="Times New Roman" w:hAnsiTheme="majorHAnsi" w:cs="Times New Roman"/>
          <w:b/>
          <w:color w:val="000000"/>
          <w:sz w:val="40"/>
          <w:szCs w:val="36"/>
        </w:rPr>
        <w:t xml:space="preserve"> analyses </w:t>
      </w:r>
    </w:p>
    <w:p w:rsidR="00802684" w:rsidRPr="00802684" w:rsidRDefault="00802684" w:rsidP="00802684">
      <w:pPr>
        <w:shd w:val="clear" w:color="auto" w:fill="FFFFFF"/>
        <w:spacing w:before="100" w:beforeAutospacing="1" w:after="100" w:afterAutospacing="1" w:line="349" w:lineRule="atLeast"/>
        <w:ind w:left="360"/>
        <w:rPr>
          <w:rFonts w:asciiTheme="majorHAnsi" w:eastAsia="Times New Roman" w:hAnsiTheme="majorHAnsi" w:cs="Arial"/>
          <w:color w:val="000000"/>
          <w:sz w:val="36"/>
          <w:szCs w:val="36"/>
        </w:rPr>
      </w:pPr>
      <w:r w:rsidRPr="00802684">
        <w:rPr>
          <w:rFonts w:asciiTheme="majorHAnsi" w:eastAsia="Times New Roman" w:hAnsiTheme="majorHAnsi" w:cs="Times New Roman"/>
          <w:bCs/>
          <w:color w:val="000000"/>
          <w:sz w:val="36"/>
          <w:szCs w:val="36"/>
        </w:rPr>
        <w:lastRenderedPageBreak/>
        <w:t>The external environment has resulted in the company currently being under a lot of pressure, and the company has a huge amount of pressure to deal with and resolve the cultural problem within a short period of time.</w:t>
      </w:r>
    </w:p>
    <w:p w:rsidR="00802684" w:rsidRPr="00802684" w:rsidRDefault="00802684" w:rsidP="00802684">
      <w:pPr>
        <w:shd w:val="clear" w:color="auto" w:fill="FFFFFF"/>
        <w:spacing w:before="100" w:beforeAutospacing="1" w:after="100" w:afterAutospacing="1" w:line="349" w:lineRule="atLeast"/>
        <w:ind w:left="360"/>
        <w:rPr>
          <w:rFonts w:asciiTheme="majorHAnsi" w:eastAsia="Times New Roman" w:hAnsiTheme="majorHAnsi" w:cs="Arial"/>
          <w:color w:val="000000"/>
          <w:sz w:val="36"/>
          <w:szCs w:val="36"/>
        </w:rPr>
      </w:pPr>
      <w:r w:rsidRPr="00802684">
        <w:rPr>
          <w:rFonts w:asciiTheme="majorHAnsi" w:eastAsia="Times New Roman" w:hAnsiTheme="majorHAnsi" w:cs="Times New Roman"/>
          <w:color w:val="000000"/>
          <w:sz w:val="36"/>
          <w:szCs w:val="36"/>
        </w:rPr>
        <w:t>   </w:t>
      </w:r>
      <w:r w:rsidRPr="00802684">
        <w:rPr>
          <w:rFonts w:asciiTheme="majorHAnsi" w:eastAsia="Times New Roman" w:hAnsiTheme="majorHAnsi" w:cs="Times New Roman"/>
          <w:bCs/>
          <w:color w:val="000000"/>
          <w:sz w:val="36"/>
          <w:szCs w:val="36"/>
        </w:rPr>
        <w:t>Moreover, the external environment with its factors has also contributed to the deterioration of the organization's culture, as well as contributing to an increase in dissatisfaction of the workers, which in turn contributes to the deterioration of the organization's culture and the consequent increase in worker dissatisfaction.</w:t>
      </w:r>
    </w:p>
    <w:p w:rsidR="00802684" w:rsidRPr="00802684" w:rsidRDefault="00802684" w:rsidP="00802684">
      <w:pPr>
        <w:shd w:val="clear" w:color="auto" w:fill="FFFFFF"/>
        <w:spacing w:before="100" w:beforeAutospacing="1" w:after="100" w:afterAutospacing="1" w:line="349" w:lineRule="atLeast"/>
        <w:ind w:left="360"/>
        <w:rPr>
          <w:rFonts w:asciiTheme="majorHAnsi" w:eastAsia="Times New Roman" w:hAnsiTheme="majorHAnsi" w:cs="Arial"/>
          <w:color w:val="000000"/>
          <w:sz w:val="36"/>
          <w:szCs w:val="36"/>
        </w:rPr>
      </w:pPr>
      <w:r w:rsidRPr="00802684">
        <w:rPr>
          <w:rFonts w:asciiTheme="majorHAnsi" w:eastAsia="Times New Roman" w:hAnsiTheme="majorHAnsi" w:cs="Times New Roman"/>
          <w:bCs/>
          <w:color w:val="000000"/>
          <w:sz w:val="36"/>
          <w:szCs w:val="36"/>
        </w:rPr>
        <w:t>The company and its employees are once again facing pressure as a result of the high inflation rate as a result of the high inflation rate as a result of the high inflation rate as a result of this situation.</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STRENGHTS:</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xml:space="preserve">In addition to being a world leader in its field, William Hill Plc possesses several strengths that enable it to thrive in the industry. Additionally, these features help the company to gain a foothold in new markets as well as maintain its current market position as a result of these attributes. It is important to note that one of the firm's strengths is its well-trained and well-educated workforce. William Hill Plc has made significant investments in its employee's education and training in order to create a highly motivated and well-versed team of professionals. As a result, the company has created a workforce that is both well-versed and driven to </w:t>
      </w:r>
      <w:r w:rsidRPr="00687128">
        <w:rPr>
          <w:rFonts w:asciiTheme="majorHAnsi" w:eastAsia="Times New Roman" w:hAnsiTheme="majorHAnsi" w:cs="Times New Roman"/>
          <w:color w:val="000000"/>
          <w:sz w:val="36"/>
          <w:szCs w:val="36"/>
        </w:rPr>
        <w:lastRenderedPageBreak/>
        <w:t>succeed. As a result of reasons that are not readily apparent, the company has lost a significant share of its market to growing competitors in niche markets (FFU, 2020).</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Weaknesses:</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xml:space="preserve">In order to address these concerns, William Hill must establish an internal review process that incorporates the firm's direct selling staff as part of its efforts. The company's products are not available on the market at this time. A new player may be able to establish themselves in the market with a good chance of being able to establish </w:t>
      </w:r>
      <w:proofErr w:type="gramStart"/>
      <w:r w:rsidRPr="00687128">
        <w:rPr>
          <w:rFonts w:asciiTheme="majorHAnsi" w:eastAsia="Times New Roman" w:hAnsiTheme="majorHAnsi" w:cs="Times New Roman"/>
          <w:color w:val="000000"/>
          <w:sz w:val="36"/>
          <w:szCs w:val="36"/>
        </w:rPr>
        <w:t>themselves</w:t>
      </w:r>
      <w:proofErr w:type="gramEnd"/>
      <w:r w:rsidRPr="00687128">
        <w:rPr>
          <w:rFonts w:asciiTheme="majorHAnsi" w:eastAsia="Times New Roman" w:hAnsiTheme="majorHAnsi" w:cs="Times New Roman"/>
          <w:color w:val="000000"/>
          <w:sz w:val="36"/>
          <w:szCs w:val="36"/>
        </w:rPr>
        <w:t xml:space="preserve"> in the long run. FFU was able to enter a newly emerging market as a result of the administration's support for the development of new technology requirements and an equitable trade agreement (FFU, 2020).</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Opportunities:</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In the wake of years of downturn and slow growth in the industry, William Hill has an opportunity to win new customers and extend its market share in the near future.</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Threats:</w:t>
      </w:r>
    </w:p>
    <w:p w:rsidR="00687128" w:rsidRPr="00687128" w:rsidRDefault="00687128" w:rsidP="00687128">
      <w:pPr>
        <w:shd w:val="clear" w:color="auto" w:fill="FFFFFF"/>
        <w:spacing w:before="100" w:beforeAutospacing="1" w:after="100" w:afterAutospacing="1" w:line="349" w:lineRule="atLeast"/>
        <w:rPr>
          <w:rFonts w:asciiTheme="majorHAnsi" w:eastAsia="Times New Roman" w:hAnsiTheme="majorHAnsi" w:cs="Arial"/>
          <w:color w:val="000000"/>
          <w:sz w:val="36"/>
          <w:szCs w:val="36"/>
        </w:rPr>
      </w:pPr>
      <w:r w:rsidRPr="00687128">
        <w:rPr>
          <w:rFonts w:asciiTheme="majorHAnsi" w:eastAsia="Times New Roman" w:hAnsiTheme="majorHAnsi" w:cs="Times New Roman"/>
          <w:color w:val="000000"/>
          <w:sz w:val="36"/>
          <w:szCs w:val="36"/>
        </w:rPr>
        <w:t xml:space="preserve">The current distribution network design may face challenges due to shifts in client buying behavior brought about by the </w:t>
      </w:r>
      <w:r w:rsidRPr="00687128">
        <w:rPr>
          <w:rFonts w:asciiTheme="majorHAnsi" w:eastAsia="Times New Roman" w:hAnsiTheme="majorHAnsi" w:cs="Times New Roman"/>
          <w:color w:val="000000"/>
          <w:sz w:val="36"/>
          <w:szCs w:val="36"/>
        </w:rPr>
        <w:lastRenderedPageBreak/>
        <w:t>online route, which may pose challenges to the current distribution network design. There is a possibility that, as the United Kingdom economy becomes more isolated, other governments may follow suit, resulting in a decrease in foreign trade.</w:t>
      </w:r>
    </w:p>
    <w:p w:rsidR="00802684" w:rsidRDefault="00687128">
      <w:pPr>
        <w:rPr>
          <w:rFonts w:asciiTheme="majorHAnsi" w:hAnsiTheme="majorHAnsi"/>
          <w:b/>
          <w:sz w:val="36"/>
          <w:szCs w:val="36"/>
        </w:rPr>
      </w:pPr>
      <w:r>
        <w:rPr>
          <w:rFonts w:asciiTheme="majorHAnsi" w:hAnsiTheme="majorHAnsi"/>
          <w:b/>
          <w:sz w:val="36"/>
          <w:szCs w:val="36"/>
        </w:rPr>
        <w:t xml:space="preserve">Conclusion </w:t>
      </w:r>
    </w:p>
    <w:p w:rsidR="00687128" w:rsidRDefault="00687128">
      <w:pPr>
        <w:rPr>
          <w:rFonts w:asciiTheme="majorHAnsi" w:hAnsiTheme="majorHAnsi"/>
          <w:bCs/>
          <w:color w:val="000000"/>
          <w:sz w:val="36"/>
          <w:szCs w:val="36"/>
          <w:shd w:val="clear" w:color="auto" w:fill="FFFFFF"/>
        </w:rPr>
      </w:pPr>
      <w:r w:rsidRPr="00687128">
        <w:rPr>
          <w:rFonts w:asciiTheme="majorHAnsi" w:hAnsiTheme="majorHAnsi"/>
          <w:bCs/>
          <w:color w:val="000000"/>
          <w:sz w:val="36"/>
          <w:szCs w:val="36"/>
          <w:shd w:val="clear" w:color="auto" w:fill="FFFFFF"/>
        </w:rPr>
        <w:t xml:space="preserve">An organization should carefully evaluate the environmental requirements necessary to operate in a niche market or a new venture in an established market before joining. It is important for the company to consider laws governing environmental damage, climate, and temperature in advance. When William Hill Plc formulates its strategic plan, it must take into account economic characteristics, such as the type of financial structure in the states in which it </w:t>
      </w:r>
      <w:proofErr w:type="gramStart"/>
      <w:r w:rsidRPr="00687128">
        <w:rPr>
          <w:rFonts w:asciiTheme="majorHAnsi" w:hAnsiTheme="majorHAnsi"/>
          <w:bCs/>
          <w:color w:val="000000"/>
          <w:sz w:val="36"/>
          <w:szCs w:val="36"/>
          <w:shd w:val="clear" w:color="auto" w:fill="FFFFFF"/>
        </w:rPr>
        <w:t>operates,</w:t>
      </w:r>
      <w:proofErr w:type="gramEnd"/>
      <w:r w:rsidRPr="00687128">
        <w:rPr>
          <w:rFonts w:asciiTheme="majorHAnsi" w:hAnsiTheme="majorHAnsi"/>
          <w:bCs/>
          <w:color w:val="000000"/>
          <w:sz w:val="36"/>
          <w:szCs w:val="36"/>
          <w:shd w:val="clear" w:color="auto" w:fill="FFFFFF"/>
        </w:rPr>
        <w:t xml:space="preserve"> the security of that financial structure, and government interference in the free economy and associated consumption services. Additionally, the corporation must consider the sustainability of the host nation's currency and its relationship to the value of the currency. (</w:t>
      </w:r>
      <w:proofErr w:type="spellStart"/>
      <w:r w:rsidRPr="00687128">
        <w:rPr>
          <w:rFonts w:asciiTheme="majorHAnsi" w:hAnsiTheme="majorHAnsi"/>
          <w:bCs/>
          <w:color w:val="000000"/>
          <w:sz w:val="36"/>
          <w:szCs w:val="36"/>
          <w:shd w:val="clear" w:color="auto" w:fill="FFFFFF"/>
        </w:rPr>
        <w:t>Kurnc</w:t>
      </w:r>
      <w:proofErr w:type="spellEnd"/>
      <w:r w:rsidRPr="00687128">
        <w:rPr>
          <w:rFonts w:asciiTheme="majorHAnsi" w:hAnsiTheme="majorHAnsi"/>
          <w:bCs/>
          <w:color w:val="000000"/>
          <w:sz w:val="36"/>
          <w:szCs w:val="36"/>
          <w:shd w:val="clear" w:color="auto" w:fill="FFFFFF"/>
        </w:rPr>
        <w:t>, 2019)</w:t>
      </w:r>
    </w:p>
    <w:p w:rsidR="00687128" w:rsidRDefault="00687128">
      <w:pPr>
        <w:rPr>
          <w:rFonts w:asciiTheme="majorHAnsi" w:hAnsiTheme="majorHAnsi"/>
          <w:bCs/>
          <w:color w:val="000000"/>
          <w:sz w:val="36"/>
          <w:szCs w:val="36"/>
          <w:shd w:val="clear" w:color="auto" w:fill="FFFFFF"/>
        </w:rPr>
      </w:pPr>
    </w:p>
    <w:p w:rsidR="00687128" w:rsidRDefault="00687128">
      <w:pPr>
        <w:rPr>
          <w:rFonts w:asciiTheme="majorHAnsi" w:hAnsiTheme="majorHAnsi"/>
          <w:bCs/>
          <w:color w:val="000000"/>
          <w:sz w:val="36"/>
          <w:szCs w:val="36"/>
          <w:shd w:val="clear" w:color="auto" w:fill="FFFFFF"/>
        </w:rPr>
      </w:pPr>
      <w:r>
        <w:rPr>
          <w:rFonts w:asciiTheme="majorHAnsi" w:hAnsiTheme="majorHAnsi"/>
          <w:bCs/>
          <w:color w:val="000000"/>
          <w:sz w:val="36"/>
          <w:szCs w:val="36"/>
          <w:shd w:val="clear" w:color="auto" w:fill="FFFFFF"/>
        </w:rPr>
        <w:t xml:space="preserve">References </w:t>
      </w:r>
    </w:p>
    <w:p w:rsidR="00687128" w:rsidRDefault="00687128">
      <w:pPr>
        <w:rPr>
          <w:rFonts w:asciiTheme="majorHAnsi" w:hAnsiTheme="majorHAnsi"/>
          <w:bCs/>
          <w:color w:val="000000"/>
          <w:sz w:val="36"/>
          <w:szCs w:val="36"/>
          <w:shd w:val="clear" w:color="auto" w:fill="FFFFFF"/>
        </w:rPr>
      </w:pPr>
    </w:p>
    <w:p w:rsidR="00687128" w:rsidRDefault="00687128">
      <w:pPr>
        <w:rPr>
          <w:rFonts w:asciiTheme="majorHAnsi" w:hAnsiTheme="majorHAnsi"/>
          <w:bCs/>
          <w:color w:val="000000"/>
          <w:sz w:val="36"/>
          <w:szCs w:val="36"/>
          <w:shd w:val="clear" w:color="auto" w:fill="FFFFFF"/>
        </w:rPr>
      </w:pPr>
    </w:p>
    <w:p w:rsidR="00687128" w:rsidRDefault="00687128" w:rsidP="00687128">
      <w:pPr>
        <w:spacing w:line="480" w:lineRule="auto"/>
        <w:ind w:left="720" w:hanging="720"/>
        <w:rPr>
          <w:rFonts w:ascii="Times New Roman" w:hAnsi="Times New Roman" w:cs="Times New Roman"/>
          <w:sz w:val="24"/>
          <w:szCs w:val="24"/>
        </w:rPr>
      </w:pPr>
      <w:proofErr w:type="gramStart"/>
      <w:r>
        <w:rPr>
          <w:rFonts w:ascii="Times New Roman" w:hAnsi="Times New Roman" w:cs="Times New Roman"/>
          <w:sz w:val="24"/>
          <w:szCs w:val="24"/>
        </w:rPr>
        <w:t>FFU</w:t>
      </w:r>
      <w:r w:rsidRPr="00DD3CB5">
        <w:rPr>
          <w:rFonts w:ascii="Times New Roman" w:hAnsi="Times New Roman" w:cs="Times New Roman"/>
          <w:sz w:val="24"/>
          <w:szCs w:val="24"/>
        </w:rPr>
        <w:t>, (2020).</w:t>
      </w:r>
      <w:proofErr w:type="gramEnd"/>
      <w:r w:rsidRPr="00DD3CB5">
        <w:rPr>
          <w:rFonts w:ascii="Times New Roman" w:hAnsi="Times New Roman" w:cs="Times New Roman"/>
          <w:sz w:val="24"/>
          <w:szCs w:val="24"/>
        </w:rPr>
        <w:t xml:space="preserve"> </w:t>
      </w:r>
      <w:proofErr w:type="gramStart"/>
      <w:r w:rsidRPr="00DD3CB5">
        <w:rPr>
          <w:rFonts w:ascii="Times New Roman" w:hAnsi="Times New Roman" w:cs="Times New Roman"/>
          <w:sz w:val="24"/>
          <w:szCs w:val="24"/>
        </w:rPr>
        <w:t>William Hill Plc SWOT Analysis / Matrix.</w:t>
      </w:r>
      <w:proofErr w:type="gramEnd"/>
      <w:r w:rsidRPr="00DD3CB5">
        <w:rPr>
          <w:rFonts w:ascii="Times New Roman" w:hAnsi="Times New Roman" w:cs="Times New Roman"/>
          <w:sz w:val="24"/>
          <w:szCs w:val="24"/>
        </w:rPr>
        <w:t xml:space="preserve"> </w:t>
      </w:r>
      <w:hyperlink r:id="rId4" w:history="1">
        <w:r w:rsidRPr="00DD3CB5">
          <w:rPr>
            <w:rStyle w:val="Hyperlink"/>
            <w:rFonts w:ascii="Times New Roman" w:hAnsi="Times New Roman" w:cs="Times New Roman"/>
            <w:sz w:val="24"/>
            <w:szCs w:val="24"/>
          </w:rPr>
          <w:t>http://fernfortuniversity.com/term-papers/swot/nyse/6923-william-hill-plc.php</w:t>
        </w:r>
      </w:hyperlink>
    </w:p>
    <w:p w:rsidR="00687128" w:rsidRDefault="00687128" w:rsidP="00687128">
      <w:pPr>
        <w:spacing w:line="480" w:lineRule="auto"/>
        <w:ind w:left="720" w:hanging="720"/>
        <w:rPr>
          <w:rFonts w:ascii="Times New Roman" w:hAnsi="Times New Roman" w:cs="Times New Roman"/>
          <w:sz w:val="24"/>
          <w:szCs w:val="24"/>
        </w:rPr>
      </w:pPr>
      <w:proofErr w:type="gramStart"/>
      <w:r w:rsidRPr="0076423C">
        <w:rPr>
          <w:rFonts w:ascii="Times New Roman" w:hAnsi="Times New Roman" w:cs="Times New Roman"/>
          <w:sz w:val="24"/>
          <w:szCs w:val="24"/>
        </w:rPr>
        <w:lastRenderedPageBreak/>
        <w:t>Fern Fort University, (2022).</w:t>
      </w:r>
      <w:proofErr w:type="gramEnd"/>
      <w:r w:rsidRPr="0076423C">
        <w:rPr>
          <w:rFonts w:ascii="Times New Roman" w:hAnsi="Times New Roman" w:cs="Times New Roman"/>
          <w:sz w:val="24"/>
          <w:szCs w:val="24"/>
        </w:rPr>
        <w:t xml:space="preserve"> </w:t>
      </w:r>
      <w:proofErr w:type="gramStart"/>
      <w:r w:rsidRPr="0076423C">
        <w:rPr>
          <w:rFonts w:ascii="Times New Roman" w:hAnsi="Times New Roman" w:cs="Times New Roman"/>
          <w:sz w:val="24"/>
          <w:szCs w:val="24"/>
        </w:rPr>
        <w:t>William Hill Plc PESTEL &amp; Environment Analysis.</w:t>
      </w:r>
      <w:proofErr w:type="gramEnd"/>
      <w:r w:rsidRPr="0076423C">
        <w:rPr>
          <w:rFonts w:ascii="Times New Roman" w:hAnsi="Times New Roman" w:cs="Times New Roman"/>
          <w:sz w:val="24"/>
          <w:szCs w:val="24"/>
        </w:rPr>
        <w:t xml:space="preserve"> </w:t>
      </w:r>
      <w:hyperlink r:id="rId5" w:history="1">
        <w:r w:rsidRPr="0076423C">
          <w:rPr>
            <w:rStyle w:val="Hyperlink"/>
            <w:rFonts w:ascii="Times New Roman" w:hAnsi="Times New Roman" w:cs="Times New Roman"/>
            <w:sz w:val="24"/>
            <w:szCs w:val="24"/>
          </w:rPr>
          <w:t>http://fernfortuniversity.com/term-papers/pestel/nyse4/6923-william-hill-plc.php</w:t>
        </w:r>
      </w:hyperlink>
    </w:p>
    <w:p w:rsidR="00687128" w:rsidRDefault="00687128" w:rsidP="00687128">
      <w:pPr>
        <w:spacing w:line="480" w:lineRule="auto"/>
        <w:ind w:left="720" w:hanging="720"/>
        <w:rPr>
          <w:rFonts w:ascii="Times New Roman" w:hAnsi="Times New Roman" w:cs="Times New Roman"/>
          <w:sz w:val="24"/>
          <w:szCs w:val="24"/>
        </w:rPr>
      </w:pPr>
      <w:r w:rsidRPr="00DE0D42">
        <w:rPr>
          <w:rFonts w:ascii="Times New Roman" w:hAnsi="Times New Roman" w:cs="Times New Roman"/>
          <w:sz w:val="24"/>
          <w:szCs w:val="24"/>
        </w:rPr>
        <w:t xml:space="preserve">Jonathan T. (2020). Fishbone Diagram: Determining Cause and Effect. </w:t>
      </w:r>
      <w:hyperlink r:id="rId6" w:history="1">
        <w:r w:rsidRPr="00DE0D42">
          <w:rPr>
            <w:rStyle w:val="Hyperlink"/>
            <w:rFonts w:ascii="Times New Roman" w:hAnsi="Times New Roman" w:cs="Times New Roman"/>
            <w:sz w:val="24"/>
            <w:szCs w:val="24"/>
          </w:rPr>
          <w:t>https://www.reliableplant.com/fishbone-diagram-31877</w:t>
        </w:r>
      </w:hyperlink>
    </w:p>
    <w:p w:rsidR="00687128" w:rsidRDefault="00687128" w:rsidP="00687128">
      <w:pPr>
        <w:spacing w:line="480" w:lineRule="auto"/>
        <w:ind w:left="720" w:hanging="720"/>
        <w:rPr>
          <w:rFonts w:ascii="Times New Roman" w:hAnsi="Times New Roman" w:cs="Times New Roman"/>
          <w:sz w:val="24"/>
          <w:szCs w:val="24"/>
        </w:rPr>
      </w:pPr>
      <w:proofErr w:type="spellStart"/>
      <w:proofErr w:type="gramStart"/>
      <w:r w:rsidRPr="00AC3962">
        <w:rPr>
          <w:rFonts w:ascii="Times New Roman" w:hAnsi="Times New Roman" w:cs="Times New Roman"/>
          <w:sz w:val="24"/>
          <w:szCs w:val="24"/>
        </w:rPr>
        <w:t>Kunc</w:t>
      </w:r>
      <w:proofErr w:type="spellEnd"/>
      <w:r w:rsidRPr="00AC3962">
        <w:rPr>
          <w:rFonts w:ascii="Times New Roman" w:hAnsi="Times New Roman" w:cs="Times New Roman"/>
          <w:sz w:val="24"/>
          <w:szCs w:val="24"/>
        </w:rPr>
        <w:t>, M. (2019, December).</w:t>
      </w:r>
      <w:proofErr w:type="gramEnd"/>
      <w:r w:rsidRPr="00AC3962">
        <w:rPr>
          <w:rFonts w:ascii="Times New Roman" w:hAnsi="Times New Roman" w:cs="Times New Roman"/>
          <w:sz w:val="24"/>
          <w:szCs w:val="24"/>
        </w:rPr>
        <w:t xml:space="preserve"> Strategic planning: The role of hybrid </w:t>
      </w:r>
      <w:proofErr w:type="spellStart"/>
      <w:r w:rsidRPr="00AC3962">
        <w:rPr>
          <w:rFonts w:ascii="Times New Roman" w:hAnsi="Times New Roman" w:cs="Times New Roman"/>
          <w:sz w:val="24"/>
          <w:szCs w:val="24"/>
        </w:rPr>
        <w:t>modelling</w:t>
      </w:r>
      <w:proofErr w:type="spellEnd"/>
      <w:r w:rsidRPr="00AC3962">
        <w:rPr>
          <w:rFonts w:ascii="Times New Roman" w:hAnsi="Times New Roman" w:cs="Times New Roman"/>
          <w:sz w:val="24"/>
          <w:szCs w:val="24"/>
        </w:rPr>
        <w:t xml:space="preserve">. In 2019 Winter Simulation Conference (WSC) (pp. 1280-1291). </w:t>
      </w:r>
      <w:proofErr w:type="gramStart"/>
      <w:r w:rsidRPr="00AC3962">
        <w:rPr>
          <w:rFonts w:ascii="Times New Roman" w:hAnsi="Times New Roman" w:cs="Times New Roman"/>
          <w:sz w:val="24"/>
          <w:szCs w:val="24"/>
        </w:rPr>
        <w:t>IEEE.</w:t>
      </w:r>
      <w:proofErr w:type="gramEnd"/>
    </w:p>
    <w:p w:rsidR="00687128" w:rsidRDefault="00EC3081">
      <w:pPr>
        <w:rPr>
          <w:rFonts w:asciiTheme="majorHAnsi" w:hAnsiTheme="majorHAnsi"/>
          <w:b/>
          <w:sz w:val="36"/>
          <w:szCs w:val="36"/>
        </w:rPr>
      </w:pPr>
      <w:r w:rsidRPr="00EC3081">
        <w:rPr>
          <w:rFonts w:asciiTheme="majorHAnsi" w:hAnsiTheme="majorHAnsi"/>
          <w:b/>
          <w:sz w:val="36"/>
          <w:szCs w:val="36"/>
        </w:rPr>
        <w:t xml:space="preserve">Appendix </w:t>
      </w:r>
    </w:p>
    <w:p w:rsidR="00EC3081" w:rsidRDefault="00EC3081">
      <w:pPr>
        <w:rPr>
          <w:rFonts w:asciiTheme="majorHAnsi" w:hAnsiTheme="majorHAnsi"/>
          <w:b/>
          <w:sz w:val="36"/>
          <w:szCs w:val="36"/>
        </w:rPr>
      </w:pPr>
    </w:p>
    <w:p w:rsidR="00EC3081" w:rsidRDefault="00EC3081">
      <w:pPr>
        <w:rPr>
          <w:rFonts w:asciiTheme="majorHAnsi" w:hAnsiTheme="majorHAnsi"/>
          <w:b/>
          <w:sz w:val="36"/>
          <w:szCs w:val="36"/>
        </w:rPr>
      </w:pPr>
      <w:r w:rsidRPr="00EC3081">
        <w:rPr>
          <w:rFonts w:asciiTheme="majorHAnsi" w:hAnsiTheme="majorHAnsi"/>
          <w:b/>
          <w:sz w:val="36"/>
          <w:szCs w:val="36"/>
        </w:rPr>
        <w:drawing>
          <wp:inline distT="0" distB="0" distL="0" distR="0">
            <wp:extent cx="5943600" cy="3166745"/>
            <wp:effectExtent l="0" t="0" r="0"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418387" cy="3420262"/>
                      <a:chOff x="369276" y="677008"/>
                      <a:chExt cx="6418387" cy="3420262"/>
                    </a:xfrm>
                  </a:grpSpPr>
                  <a:sp>
                    <a:nvSpPr>
                      <a:cNvPr id="2" name="TextBox 1"/>
                      <a:cNvSpPr txBox="1"/>
                    </a:nvSpPr>
                    <a:spPr>
                      <a:xfrm>
                        <a:off x="3727939" y="677008"/>
                        <a:ext cx="3059724"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Table of content </a:t>
                          </a:r>
                          <a:endParaRPr lang="en-US" dirty="0"/>
                        </a:p>
                      </a:txBody>
                      <a:useSpRect/>
                    </a:txSp>
                  </a:sp>
                  <a:sp>
                    <a:nvSpPr>
                      <a:cNvPr id="3" name="TextBox 2"/>
                      <a:cNvSpPr txBox="1"/>
                    </a:nvSpPr>
                    <a:spPr>
                      <a:xfrm>
                        <a:off x="369276" y="1969477"/>
                        <a:ext cx="2857500"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Problem and its impact </a:t>
                          </a:r>
                          <a:endParaRPr lang="en-US" dirty="0"/>
                        </a:p>
                      </a:txBody>
                      <a:useSpRect/>
                    </a:txSp>
                  </a:sp>
                  <a:sp>
                    <a:nvSpPr>
                      <a:cNvPr id="4" name="TextBox 3"/>
                      <a:cNvSpPr txBox="1"/>
                    </a:nvSpPr>
                    <a:spPr>
                      <a:xfrm>
                        <a:off x="404445" y="3130062"/>
                        <a:ext cx="3147647"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Pestle analyses </a:t>
                          </a:r>
                          <a:endParaRPr lang="en-US" dirty="0"/>
                        </a:p>
                      </a:txBody>
                      <a:useSpRect/>
                    </a:txSp>
                  </a:sp>
                  <a:sp>
                    <a:nvSpPr>
                      <a:cNvPr id="5" name="TextBox 4"/>
                      <a:cNvSpPr txBox="1"/>
                    </a:nvSpPr>
                    <a:spPr>
                      <a:xfrm>
                        <a:off x="413239" y="2523392"/>
                        <a:ext cx="3305908"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Fishbone analyses </a:t>
                          </a:r>
                          <a:endParaRPr lang="en-US" dirty="0"/>
                        </a:p>
                      </a:txBody>
                      <a:useSpRect/>
                    </a:txSp>
                  </a:sp>
                  <a:sp>
                    <a:nvSpPr>
                      <a:cNvPr id="7" name="TextBox 6"/>
                      <a:cNvSpPr txBox="1"/>
                    </a:nvSpPr>
                    <a:spPr>
                      <a:xfrm>
                        <a:off x="457200" y="3727938"/>
                        <a:ext cx="2497015"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Swot analyses </a:t>
                          </a:r>
                          <a:endParaRPr lang="en-US" dirty="0"/>
                        </a:p>
                      </a:txBody>
                      <a:useSpRect/>
                    </a:txSp>
                  </a:sp>
                </lc:lockedCanvas>
              </a:graphicData>
            </a:graphic>
          </wp:inline>
        </w:drawing>
      </w:r>
    </w:p>
    <w:p w:rsid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lastRenderedPageBreak/>
        <w:drawing>
          <wp:inline distT="0" distB="0" distL="0" distR="0">
            <wp:extent cx="5943600" cy="1160145"/>
            <wp:effectExtent l="0" t="0" r="0" b="0"/>
            <wp:docPr id="3"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586491" cy="1286160"/>
                      <a:chOff x="2899237" y="347914"/>
                      <a:chExt cx="6586491" cy="1286160"/>
                    </a:xfrm>
                  </a:grpSpPr>
                  <a:sp>
                    <a:nvSpPr>
                      <a:cNvPr id="2" name="Title 1">
                        <a:extLst>
                          <a:ext uri="{FF2B5EF4-FFF2-40B4-BE49-F238E27FC236}">
                            <a16:creationId xmlns:p="http://schemas.openxmlformats.org/presentationml/2006/main" xmlns:a16="http://schemas.microsoft.com/office/drawing/2014/main" xmlns="" id="{4910BAD1-7999-B29E-CB23-576AB0C4B99F}"/>
                          </a:ext>
                        </a:extLst>
                      </a:cNvPr>
                      <a:cNvSpPr>
                        <a:spLocks noGrp="1"/>
                      </a:cNvSpPr>
                    </a:nvSpPr>
                    <a:spPr>
                      <a:xfrm>
                        <a:off x="2899237" y="347914"/>
                        <a:ext cx="6586491" cy="1286160"/>
                      </a:xfrm>
                      <a:prstGeom prst="rect">
                        <a:avLst/>
                      </a:prstGeom>
                    </a:spPr>
                    <a:txSp>
                      <a:txBody>
                        <a:bodyPr vert="horz" rtlCol="0" anchor="b">
                          <a:normAutofit/>
                          <a:scene3d>
                            <a:camera prst="orthographicFront"/>
                            <a:lightRig rig="soft" dir="t"/>
                          </a:scene3d>
                          <a:sp3d prstMaterial="softEdge">
                            <a:bevelT w="25400" h="25400"/>
                          </a:sp3d>
                        </a:bodyPr>
                        <a:lstStyle>
                          <a:lvl1pPr algn="l" rtl="0" eaLnBrk="1" latinLnBrk="0" hangingPunct="1">
                            <a:spcBef>
                              <a:spcPct val="0"/>
                            </a:spcBef>
                            <a:buNone/>
                            <a:defRPr kumimoji="0" sz="4100" b="1" kern="1200">
                              <a:solidFill>
                                <a:schemeClr val="tx2"/>
                              </a:solidFill>
                              <a:effectLst>
                                <a:outerShdw blurRad="31750" dist="25400" dir="5400000" algn="tl" rotWithShape="0">
                                  <a:srgbClr val="000000">
                                    <a:alpha val="25000"/>
                                  </a:srgbClr>
                                </a:outerShdw>
                              </a:effectLst>
                              <a:latin typeface="+mj-lt"/>
                              <a:ea typeface="+mj-ea"/>
                              <a:cs typeface="+mj-cs"/>
                            </a:defRPr>
                          </a:lvl1pPr>
                          <a:extLst/>
                        </a:lstStyle>
                        <a:p>
                          <a:r>
                            <a:rPr lang="x-none" sz="2400"/>
                            <a:t>POOR CULTURE leads to dissastified workers</a:t>
                          </a:r>
                        </a:p>
                      </a:txBody>
                      <a:useSpRect/>
                    </a:txSp>
                  </a:sp>
                </lc:lockedCanvas>
              </a:graphicData>
            </a:graphic>
          </wp:inline>
        </w:drawing>
      </w:r>
    </w:p>
    <w:p w:rsid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drawing>
          <wp:inline distT="0" distB="0" distL="0" distR="0">
            <wp:extent cx="5943600" cy="2548255"/>
            <wp:effectExtent l="0" t="0" r="0" b="0"/>
            <wp:docPr id="4" name="Diagram 4">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94E00FEE-0728-9704-B668-EC076C08951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drawing>
          <wp:inline distT="0" distB="0" distL="0" distR="0">
            <wp:extent cx="5943600" cy="3033395"/>
            <wp:effectExtent l="0" t="0" r="0" b="0"/>
            <wp:docPr id="5" name="Objec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871593" cy="4528038"/>
                      <a:chOff x="351539" y="334108"/>
                      <a:chExt cx="8871593" cy="4528038"/>
                    </a:xfrm>
                  </a:grpSpPr>
                  <a:graphicFrame>
                    <a:nvGraphicFramePr>
                      <a:cNvPr id="5" name="Content Placeholder 2">
                        <a:extLst>
                          <a:ext uri="{FF2B5EF4-FFF2-40B4-BE49-F238E27FC236}">
                            <a16:creationId xmlns:p="http://schemas.openxmlformats.org/presentationml/2006/main" xmlns:a16="http://schemas.microsoft.com/office/drawing/2014/main" xmlns="" id="{36A964D2-2DC7-FC05-3C72-0F566EDAABD8}"/>
                          </a:ext>
                        </a:extLst>
                      </a:cNvPr>
                      <a:cNvGraphicFramePr>
                        <a:graphicFrameLocks noGrp="1"/>
                      </a:cNvGraphicFramePr>
                    </a:nvGraphicFramePr>
                    <a:graphic>
                      <a:graphicData uri="http://schemas.openxmlformats.org/drawingml/2006/diagram">
                        <dgm:relIds xmlns:dgm="http://schemas.openxmlformats.org/drawingml/2006/diagram" xmlns:r="http://schemas.openxmlformats.org/officeDocument/2006/relationships" r:dm="rId11" r:lo="rId12" r:qs="rId13" r:cs="rId14"/>
                      </a:graphicData>
                    </a:graphic>
                    <a:xfrm>
                      <a:off x="351539" y="2906584"/>
                      <a:ext cx="6713552" cy="1955562"/>
                    </a:xfrm>
                  </a:graphicFrame>
                  <a:sp>
                    <a:nvSpPr>
                      <a:cNvPr id="2" name="Title 1">
                        <a:extLst>
                          <a:ext uri="{FF2B5EF4-FFF2-40B4-BE49-F238E27FC236}">
                            <a16:creationId xmlns:p="http://schemas.openxmlformats.org/presentationml/2006/main" xmlns:a16="http://schemas.microsoft.com/office/drawing/2014/main" xmlns="" id="{09C7E0B8-8744-0003-1053-B9018BBA637F}"/>
                          </a:ext>
                        </a:extLst>
                      </a:cNvPr>
                      <a:cNvSpPr>
                        <a:spLocks noGrp="1"/>
                      </a:cNvSpPr>
                    </a:nvSpPr>
                    <a:spPr>
                      <a:xfrm>
                        <a:off x="2348540" y="334108"/>
                        <a:ext cx="6874592" cy="969569"/>
                      </a:xfrm>
                      <a:prstGeom prst="rect">
                        <a:avLst/>
                      </a:prstGeom>
                    </a:spPr>
                    <a:txSp>
                      <a:txBody>
                        <a:bodyPr vert="horz" rtlCol="0" anchor="b">
                          <a:normAutofit/>
                          <a:scene3d>
                            <a:camera prst="orthographicFront"/>
                            <a:lightRig rig="soft" dir="t"/>
                          </a:scene3d>
                          <a:sp3d prstMaterial="softEdge">
                            <a:bevelT w="25400" h="25400"/>
                          </a:sp3d>
                        </a:bodyPr>
                        <a:lstStyle>
                          <a:lvl1pPr algn="l" rtl="0" eaLnBrk="1" latinLnBrk="0" hangingPunct="1">
                            <a:spcBef>
                              <a:spcPct val="0"/>
                            </a:spcBef>
                            <a:buNone/>
                            <a:defRPr kumimoji="0" sz="4100" b="1" kern="1200">
                              <a:solidFill>
                                <a:schemeClr val="tx2"/>
                              </a:solidFill>
                              <a:effectLst>
                                <a:outerShdw blurRad="31750" dist="25400" dir="5400000" algn="tl" rotWithShape="0">
                                  <a:srgbClr val="000000">
                                    <a:alpha val="25000"/>
                                  </a:srgbClr>
                                </a:outerShdw>
                              </a:effectLst>
                              <a:latin typeface="+mj-lt"/>
                              <a:ea typeface="+mj-ea"/>
                              <a:cs typeface="+mj-cs"/>
                            </a:defRPr>
                          </a:lvl1pPr>
                          <a:extLst/>
                        </a:lstStyle>
                        <a:p>
                          <a:r>
                            <a:rPr lang="x-none" sz="2800"/>
                            <a:t>COMPANY DESCRIPTION:</a:t>
                          </a:r>
                        </a:p>
                      </a:txBody>
                      <a:useSpRect/>
                    </a:txSp>
                  </a:sp>
                </lc:lockedCanvas>
              </a:graphicData>
            </a:graphic>
          </wp:inline>
        </w:drawing>
      </w:r>
    </w:p>
    <w:p w:rsidR="00EC3081" w:rsidRP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p>
    <w:p w:rsidR="00EC3081" w:rsidRDefault="00EC3081" w:rsidP="00EC3081">
      <w:pPr>
        <w:ind w:firstLine="720"/>
        <w:rPr>
          <w:rFonts w:asciiTheme="majorHAnsi" w:hAnsiTheme="majorHAnsi"/>
          <w:sz w:val="36"/>
          <w:szCs w:val="36"/>
        </w:rPr>
      </w:pPr>
      <w:r w:rsidRPr="00EC3081">
        <w:rPr>
          <w:rFonts w:asciiTheme="majorHAnsi" w:hAnsiTheme="majorHAnsi"/>
          <w:sz w:val="36"/>
          <w:szCs w:val="36"/>
        </w:rPr>
        <w:drawing>
          <wp:inline distT="0" distB="0" distL="0" distR="0">
            <wp:extent cx="5943600" cy="1635125"/>
            <wp:effectExtent l="0" t="0" r="0" b="0"/>
            <wp:docPr id="6" name="Object 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7845669" cy="2158609"/>
                      <a:chOff x="594946" y="615433"/>
                      <a:chExt cx="7845669" cy="2158609"/>
                    </a:xfrm>
                  </a:grpSpPr>
                  <a:sp>
                    <a:nvSpPr>
                      <a:cNvPr id="3" name="Rectangle 2"/>
                      <a:cNvSpPr/>
                    </a:nvSpPr>
                    <a:spPr>
                      <a:xfrm>
                        <a:off x="944931" y="615433"/>
                        <a:ext cx="5396029"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THE ACTUAL ISSUE THAT DISSASTISFIED STAFF</a:t>
                          </a:r>
                          <a:endParaRPr lang="en-US" dirty="0"/>
                        </a:p>
                      </a:txBody>
                      <a:useSpRect/>
                    </a:txSp>
                  </a:sp>
                  <a:sp>
                    <a:nvSpPr>
                      <a:cNvPr id="6" name="Rectangle 5"/>
                      <a:cNvSpPr/>
                    </a:nvSpPr>
                    <a:spPr>
                      <a:xfrm>
                        <a:off x="594946" y="1850712"/>
                        <a:ext cx="7845669"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William Hill employees have stated numerous times that they are working in an environment where there is a poor culture and poor communication.</a:t>
                          </a:r>
                          <a:endParaRPr lang="en-US" dirty="0"/>
                        </a:p>
                      </a:txBody>
                      <a:useSpRect/>
                    </a:txSp>
                  </a:sp>
                </lc:lockedCanvas>
              </a:graphicData>
            </a:graphic>
          </wp:inline>
        </w:drawing>
      </w:r>
    </w:p>
    <w:p w:rsidR="00EC3081" w:rsidRDefault="00EC3081" w:rsidP="00EC3081">
      <w:pPr>
        <w:rPr>
          <w:rFonts w:asciiTheme="majorHAnsi" w:hAnsiTheme="majorHAnsi"/>
          <w:sz w:val="36"/>
          <w:szCs w:val="36"/>
        </w:rPr>
      </w:pPr>
    </w:p>
    <w:p w:rsidR="00EC3081" w:rsidRDefault="00EC3081" w:rsidP="00EC3081">
      <w:pPr>
        <w:tabs>
          <w:tab w:val="left" w:pos="1025"/>
        </w:tabs>
        <w:rPr>
          <w:rFonts w:asciiTheme="majorHAnsi" w:hAnsiTheme="majorHAnsi"/>
          <w:sz w:val="36"/>
          <w:szCs w:val="36"/>
        </w:rPr>
      </w:pPr>
      <w:r>
        <w:rPr>
          <w:rFonts w:asciiTheme="majorHAnsi" w:hAnsiTheme="majorHAnsi"/>
          <w:sz w:val="36"/>
          <w:szCs w:val="36"/>
        </w:rPr>
        <w:tab/>
      </w:r>
      <w:r w:rsidRPr="00EC3081">
        <w:rPr>
          <w:rFonts w:asciiTheme="majorHAnsi" w:hAnsiTheme="majorHAnsi"/>
          <w:sz w:val="36"/>
          <w:szCs w:val="36"/>
        </w:rPr>
        <w:drawing>
          <wp:inline distT="0" distB="0" distL="0" distR="0">
            <wp:extent cx="5943600" cy="3315970"/>
            <wp:effectExtent l="0" t="0" r="0" b="0"/>
            <wp:docPr id="7" name="Object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283462" cy="6295348"/>
                      <a:chOff x="445476" y="210988"/>
                      <a:chExt cx="11283462" cy="6295348"/>
                    </a:xfrm>
                  </a:grpSpPr>
                  <a:sp>
                    <a:nvSpPr>
                      <a:cNvPr id="2" name="Rectangle 1"/>
                      <a:cNvSpPr/>
                    </a:nvSpPr>
                    <a:spPr>
                      <a:xfrm>
                        <a:off x="445476" y="1068197"/>
                        <a:ext cx="11283462"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By tracing the chain of events at the William Hill Company, it is possible to identify the causes and effects of flaws, variances, or breakdowns. </a:t>
                          </a:r>
                          <a:endParaRPr lang="en-US" dirty="0"/>
                        </a:p>
                      </a:txBody>
                      <a:useSpRect/>
                    </a:txSp>
                  </a:sp>
                  <a:sp>
                    <a:nvSpPr>
                      <a:cNvPr id="3" name="Rectangle 2"/>
                      <a:cNvSpPr/>
                    </a:nvSpPr>
                    <a:spPr>
                      <a:xfrm>
                        <a:off x="484562" y="210988"/>
                        <a:ext cx="4004622"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z="2400" smtClean="0"/>
                            <a:t>What is Fishborne Analsis</a:t>
                          </a:r>
                          <a:endParaRPr lang="en-US" sz="2400" dirty="0"/>
                        </a:p>
                      </a:txBody>
                      <a:useSpRect/>
                    </a:txSp>
                  </a:sp>
                  <a:cxnSp>
                    <a:nvCxnSpPr>
                      <a:cNvPr id="5" name="Straight Arrow Connector 4"/>
                      <a:cNvCxnSpPr/>
                    </a:nvCxnSpPr>
                    <a:spPr>
                      <a:xfrm rot="16200000" flipH="1">
                        <a:off x="6503377" y="2069123"/>
                        <a:ext cx="2068286" cy="2046514"/>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6" name="Rectangle 5"/>
                      <a:cNvSpPr/>
                    </a:nvSpPr>
                    <a:spPr>
                      <a:xfrm>
                        <a:off x="7968079" y="3130034"/>
                        <a:ext cx="2709396"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dirty="0" smtClean="0"/>
                            <a:t>L</a:t>
                          </a:r>
                          <a:r>
                            <a:rPr lang="x-none" smtClean="0"/>
                            <a:t>ow attention to detail</a:t>
                          </a:r>
                          <a:endParaRPr lang="x-none" dirty="0"/>
                        </a:p>
                      </a:txBody>
                      <a:useSpRect/>
                    </a:txSp>
                  </a:sp>
                  <a:sp>
                    <a:nvSpPr>
                      <a:cNvPr id="7" name="Rectangle 6"/>
                      <a:cNvSpPr/>
                    </a:nvSpPr>
                    <a:spPr>
                      <a:xfrm>
                        <a:off x="6758528" y="1934280"/>
                        <a:ext cx="2279791"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micromanagement</a:t>
                          </a:r>
                          <a:endParaRPr lang="en-US" dirty="0"/>
                        </a:p>
                      </a:txBody>
                      <a:useSpRect/>
                    </a:txSp>
                  </a:sp>
                  <a:cxnSp>
                    <a:nvCxnSpPr>
                      <a:cNvPr id="8" name="Straight Arrow Connector 7"/>
                      <a:cNvCxnSpPr/>
                    </a:nvCxnSpPr>
                    <a:spPr>
                      <a:xfrm>
                        <a:off x="2880528" y="2146999"/>
                        <a:ext cx="1959428" cy="1926770"/>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9" name="Rectangle 8"/>
                      <a:cNvSpPr/>
                    </a:nvSpPr>
                    <a:spPr>
                      <a:xfrm>
                        <a:off x="4516075" y="3323465"/>
                        <a:ext cx="1999265"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dirty="0" smtClean="0"/>
                            <a:t>P</a:t>
                          </a:r>
                          <a:r>
                            <a:rPr lang="x-none" smtClean="0"/>
                            <a:t>oor attendance</a:t>
                          </a:r>
                          <a:endParaRPr lang="x-none" dirty="0"/>
                        </a:p>
                      </a:txBody>
                      <a:useSpRect/>
                    </a:txSp>
                  </a:sp>
                  <a:sp>
                    <a:nvSpPr>
                      <a:cNvPr id="10" name="Rectangle 9"/>
                      <a:cNvSpPr/>
                    </a:nvSpPr>
                    <a:spPr>
                      <a:xfrm>
                        <a:off x="1569681" y="2989357"/>
                        <a:ext cx="2124299"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dirty="0" smtClean="0"/>
                            <a:t>Bad management</a:t>
                          </a:r>
                          <a:endParaRPr lang="x-none" dirty="0"/>
                        </a:p>
                      </a:txBody>
                      <a:useSpRect/>
                    </a:txSp>
                  </a:sp>
                  <a:sp>
                    <a:nvSpPr>
                      <a:cNvPr id="11" name="Rectangle 10"/>
                      <a:cNvSpPr/>
                    </a:nvSpPr>
                    <a:spPr>
                      <a:xfrm>
                        <a:off x="3304896" y="2136503"/>
                        <a:ext cx="1590500"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Lack of trust</a:t>
                          </a:r>
                          <a:endParaRPr lang="en-US" dirty="0"/>
                        </a:p>
                      </a:txBody>
                      <a:useSpRect/>
                    </a:txSp>
                  </a:sp>
                  <a:sp>
                    <a:nvSpPr>
                      <a:cNvPr id="12" name="Rectangle 11"/>
                      <a:cNvSpPr/>
                    </a:nvSpPr>
                    <a:spPr>
                      <a:xfrm>
                        <a:off x="9210634" y="4070810"/>
                        <a:ext cx="2387192" cy="369332"/>
                      </a:xfrm>
                      <a:prstGeom prst="rect">
                        <a:avLst/>
                      </a:prstGeom>
                      <a:solidFill>
                        <a:srgbClr val="00B050"/>
                      </a:solidFill>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NEGATIVE CULTURE</a:t>
                          </a:r>
                          <a:endParaRPr lang="en-US" dirty="0"/>
                        </a:p>
                      </a:txBody>
                      <a:useSpRect/>
                    </a:txSp>
                  </a:sp>
                  <a:sp>
                    <a:nvSpPr>
                      <a:cNvPr id="13" name="Rectangle 12"/>
                      <a:cNvSpPr/>
                    </a:nvSpPr>
                    <a:spPr>
                      <a:xfrm>
                        <a:off x="1344629" y="5336903"/>
                        <a:ext cx="2451312"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dirty="0" smtClean="0"/>
                            <a:t>L</a:t>
                          </a:r>
                          <a:r>
                            <a:rPr lang="x-none" smtClean="0"/>
                            <a:t>ack of engagement</a:t>
                          </a:r>
                          <a:endParaRPr lang="x-none" dirty="0"/>
                        </a:p>
                      </a:txBody>
                      <a:useSpRect/>
                    </a:txSp>
                  </a:sp>
                  <a:cxnSp>
                    <a:nvCxnSpPr>
                      <a:cNvPr id="14" name="Straight Arrow Connector 13"/>
                      <a:cNvCxnSpPr/>
                    </a:nvCxnSpPr>
                    <a:spPr>
                      <a:xfrm rot="5400000" flipH="1" flipV="1">
                        <a:off x="3489710" y="4521340"/>
                        <a:ext cx="1563772" cy="1439010"/>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16" name="Rectangle 15"/>
                      <a:cNvSpPr/>
                    </a:nvSpPr>
                    <a:spPr>
                      <a:xfrm>
                        <a:off x="4595789" y="4914873"/>
                        <a:ext cx="2230098"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hyper competition</a:t>
                          </a:r>
                          <a:endParaRPr lang="en-US" dirty="0"/>
                        </a:p>
                      </a:txBody>
                      <a:useSpRect/>
                    </a:txSp>
                  </a:sp>
                  <a:cxnSp>
                    <a:nvCxnSpPr>
                      <a:cNvPr id="17" name="Straight Arrow Connector 16"/>
                      <a:cNvCxnSpPr/>
                    </a:nvCxnSpPr>
                    <a:spPr>
                      <a:xfrm rot="5400000" flipH="1" flipV="1">
                        <a:off x="6857169" y="4873873"/>
                        <a:ext cx="2002547" cy="1191987"/>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19" name="Rectangle 18"/>
                      <a:cNvSpPr/>
                    </a:nvSpPr>
                    <a:spPr>
                      <a:xfrm>
                        <a:off x="8305830" y="4818157"/>
                        <a:ext cx="2965877"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dirty="0" smtClean="0"/>
                            <a:t>L</a:t>
                          </a:r>
                          <a:r>
                            <a:rPr lang="x-none" smtClean="0"/>
                            <a:t>ack of work life balance</a:t>
                          </a:r>
                          <a:endParaRPr lang="x-none" dirty="0"/>
                        </a:p>
                      </a:txBody>
                      <a:useSpRect/>
                    </a:txSp>
                  </a:sp>
                  <a:sp>
                    <a:nvSpPr>
                      <a:cNvPr id="20" name="Rectangle 19"/>
                      <a:cNvSpPr/>
                    </a:nvSpPr>
                    <a:spPr>
                      <a:xfrm>
                        <a:off x="7453631" y="6137004"/>
                        <a:ext cx="2489784"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Poor communication</a:t>
                          </a:r>
                          <a:endParaRPr lang="en-US" dirty="0"/>
                        </a:p>
                      </a:txBody>
                      <a:useSpRect/>
                    </a:txSp>
                  </a:sp>
                </lc:lockedCanvas>
              </a:graphicData>
            </a:graphic>
          </wp:inline>
        </w:drawing>
      </w:r>
    </w:p>
    <w:p w:rsidR="00EC3081" w:rsidRPr="00EC3081" w:rsidRDefault="00EC3081" w:rsidP="00EC3081">
      <w:pPr>
        <w:rPr>
          <w:rFonts w:asciiTheme="majorHAnsi" w:hAnsiTheme="majorHAnsi"/>
          <w:sz w:val="36"/>
          <w:szCs w:val="36"/>
        </w:rPr>
      </w:pPr>
    </w:p>
    <w:p w:rsidR="00EC3081" w:rsidRPr="00EC3081" w:rsidRDefault="00EC3081" w:rsidP="00EC3081">
      <w:pPr>
        <w:rPr>
          <w:rFonts w:asciiTheme="majorHAnsi" w:hAnsiTheme="majorHAnsi"/>
          <w:sz w:val="36"/>
          <w:szCs w:val="36"/>
        </w:rPr>
      </w:pPr>
    </w:p>
    <w:p w:rsidR="00EC3081" w:rsidRP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lastRenderedPageBreak/>
        <w:drawing>
          <wp:inline distT="0" distB="0" distL="0" distR="0">
            <wp:extent cx="5943600" cy="2378075"/>
            <wp:effectExtent l="0" t="0" r="0" b="0"/>
            <wp:docPr id="8" name="Object 8"/>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29422" cy="4852640"/>
                      <a:chOff x="408493" y="325287"/>
                      <a:chExt cx="12129422" cy="4852640"/>
                    </a:xfrm>
                  </a:grpSpPr>
                  <a:sp>
                    <a:nvSpPr>
                      <a:cNvPr id="2" name="Rectangle 1"/>
                      <a:cNvSpPr/>
                    </a:nvSpPr>
                    <a:spPr>
                      <a:xfrm>
                        <a:off x="408493" y="325287"/>
                        <a:ext cx="3145413"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Analysis of the FISHBORNE</a:t>
                          </a:r>
                          <a:endParaRPr lang="en-US" dirty="0"/>
                        </a:p>
                      </a:txBody>
                      <a:useSpRect/>
                    </a:txSp>
                  </a:sp>
                  <a:sp>
                    <a:nvSpPr>
                      <a:cNvPr id="3" name="Rectangle 2"/>
                      <a:cNvSpPr/>
                    </a:nvSpPr>
                    <a:spPr>
                      <a:xfrm>
                        <a:off x="410307" y="1114171"/>
                        <a:ext cx="9498624" cy="1477328"/>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In analyzing the Fishbone Diagram, it is easy to identify the problem with the c</a:t>
                          </a:r>
                        </a:p>
                        <a:p>
                          <a:r>
                            <a:rPr lang="en-US" dirty="0" smtClean="0"/>
                            <a:t>communication system</a:t>
                          </a:r>
                        </a:p>
                        <a:p>
                          <a:endParaRPr lang="en-US" dirty="0" smtClean="0"/>
                        </a:p>
                        <a:p>
                          <a:pPr>
                            <a:buFont typeface="Wingdings" pitchFamily="2" charset="2"/>
                            <a:buChar char="ü"/>
                          </a:pPr>
                          <a:r>
                            <a:rPr lang="en-US" dirty="0" smtClean="0"/>
                            <a:t>As a result, the company has a negative culture.</a:t>
                          </a:r>
                        </a:p>
                        <a:p>
                          <a:r>
                            <a:rPr lang="en-US" dirty="0" smtClean="0"/>
                            <a:t> </a:t>
                          </a:r>
                          <a:endParaRPr lang="en-US" dirty="0"/>
                        </a:p>
                      </a:txBody>
                      <a:useSpRect/>
                    </a:txSp>
                  </a:sp>
                  <a:sp>
                    <a:nvSpPr>
                      <a:cNvPr id="4" name="Rectangle 3"/>
                      <a:cNvSpPr/>
                    </a:nvSpPr>
                    <a:spPr>
                      <a:xfrm>
                        <a:off x="419184" y="2534251"/>
                        <a:ext cx="12118731"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CONLCUSION: </a:t>
                          </a:r>
                        </a:p>
                        <a:p>
                          <a:r>
                            <a:rPr lang="en-US" dirty="0" smtClean="0"/>
                            <a:t>Thus, the consequences and implications of a negative culture have resulted in workers dissatisfaction.</a:t>
                          </a:r>
                          <a:endParaRPr lang="en-US" dirty="0"/>
                        </a:p>
                      </a:txBody>
                      <a:useSpRect/>
                    </a:txSp>
                  </a:sp>
                  <a:sp>
                    <a:nvSpPr>
                      <a:cNvPr id="5" name="Rectangle 4"/>
                      <a:cNvSpPr/>
                    </a:nvSpPr>
                    <a:spPr>
                      <a:xfrm>
                        <a:off x="440491" y="3634951"/>
                        <a:ext cx="5676554"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mtClean="0"/>
                            <a:t>Solution to be imlemented within the com</a:t>
                          </a:r>
                          <a:r>
                            <a:rPr lang="en-US" dirty="0" smtClean="0"/>
                            <a:t>p</a:t>
                          </a:r>
                          <a:r>
                            <a:rPr lang="x-none" smtClean="0"/>
                            <a:t>any</a:t>
                          </a:r>
                          <a:r>
                            <a:rPr lang="en-US" dirty="0" smtClean="0"/>
                            <a:t>:</a:t>
                          </a:r>
                          <a:endParaRPr lang="en-US" dirty="0"/>
                        </a:p>
                      </a:txBody>
                      <a:useSpRect/>
                    </a:txSp>
                  </a:sp>
                  <a:sp>
                    <a:nvSpPr>
                      <a:cNvPr id="6" name="Rectangle 5"/>
                      <a:cNvSpPr/>
                    </a:nvSpPr>
                    <a:spPr>
                      <a:xfrm>
                        <a:off x="517864" y="4254597"/>
                        <a:ext cx="7756124"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The purpose of creative problem solving is to identify opportunities or solve problems when conventional thinking has failed.</a:t>
                          </a:r>
                          <a:endParaRPr lang="en-US" dirty="0"/>
                        </a:p>
                      </a:txBody>
                      <a:useSpRect/>
                    </a:txSp>
                  </a:sp>
                </lc:lockedCanvas>
              </a:graphicData>
            </a:graphic>
          </wp:inline>
        </w:drawing>
      </w:r>
    </w:p>
    <w:p w:rsidR="00EC3081" w:rsidRDefault="00EC3081" w:rsidP="00EC3081">
      <w:pPr>
        <w:tabs>
          <w:tab w:val="left" w:pos="2062"/>
        </w:tabs>
        <w:rPr>
          <w:rFonts w:asciiTheme="majorHAnsi" w:hAnsiTheme="majorHAnsi"/>
          <w:sz w:val="36"/>
          <w:szCs w:val="36"/>
        </w:rPr>
      </w:pPr>
      <w:r>
        <w:rPr>
          <w:rFonts w:asciiTheme="majorHAnsi" w:hAnsiTheme="majorHAnsi"/>
          <w:sz w:val="36"/>
          <w:szCs w:val="36"/>
        </w:rPr>
        <w:tab/>
      </w:r>
      <w:r w:rsidRPr="00EC3081">
        <w:rPr>
          <w:rFonts w:asciiTheme="majorHAnsi" w:hAnsiTheme="majorHAnsi"/>
          <w:sz w:val="36"/>
          <w:szCs w:val="36"/>
        </w:rPr>
        <w:drawing>
          <wp:inline distT="0" distB="0" distL="0" distR="0">
            <wp:extent cx="5943600" cy="2905760"/>
            <wp:effectExtent l="0" t="0" r="0" b="0"/>
            <wp:docPr id="9" name="Object 9"/>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258908" cy="4037985"/>
                      <a:chOff x="507022" y="857181"/>
                      <a:chExt cx="8258908" cy="4037985"/>
                    </a:xfrm>
                  </a:grpSpPr>
                  <a:sp>
                    <a:nvSpPr>
                      <a:cNvPr id="2" name="Rectangle 1"/>
                      <a:cNvSpPr/>
                    </a:nvSpPr>
                    <a:spPr>
                      <a:xfrm>
                        <a:off x="507022" y="857181"/>
                        <a:ext cx="7379677"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An innovative method of problem-solving in which the solution is generated spontaneously rather than acquired in the course of education. </a:t>
                          </a:r>
                          <a:endParaRPr lang="en-US" dirty="0"/>
                        </a:p>
                      </a:txBody>
                      <a:useSpRect/>
                    </a:txSp>
                  </a:sp>
                  <a:sp>
                    <a:nvSpPr>
                      <a:cNvPr id="3" name="Rectangle 2"/>
                      <a:cNvSpPr/>
                    </a:nvSpPr>
                    <a:spPr>
                      <a:xfrm>
                        <a:off x="542191" y="2424390"/>
                        <a:ext cx="8223739" cy="1200329"/>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•Solution 1:</a:t>
                          </a:r>
                        </a:p>
                        <a:p>
                          <a:pPr>
                            <a:buFont typeface="Wingdings" pitchFamily="2" charset="2"/>
                            <a:buChar char="ü"/>
                          </a:pPr>
                          <a:r>
                            <a:rPr lang="en-US" dirty="0" smtClean="0"/>
                            <a:t> Following the implementation of creative problem solving, the first option that could be implemented by the company is to offer different holidays, trips for the employees</a:t>
                          </a:r>
                          <a:endParaRPr lang="en-US" dirty="0"/>
                        </a:p>
                      </a:txBody>
                      <a:useSpRect/>
                    </a:txSp>
                  </a:sp>
                  <a:sp>
                    <a:nvSpPr>
                      <a:cNvPr id="4" name="Rectangle 3"/>
                      <a:cNvSpPr/>
                    </a:nvSpPr>
                    <a:spPr>
                      <a:xfrm>
                        <a:off x="542192" y="3971836"/>
                        <a:ext cx="8214945"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Afterwards, it may be useful for the company's leader to attend these trips and to ensure good communication and good working practices. In 2019 (</a:t>
                          </a:r>
                          <a:r>
                            <a:rPr lang="en-US" dirty="0" err="1" smtClean="0"/>
                            <a:t>kUNC</a:t>
                          </a:r>
                          <a:r>
                            <a:rPr lang="en-US" dirty="0" smtClean="0"/>
                            <a:t>)</a:t>
                          </a:r>
                          <a:endParaRPr lang="en-US" dirty="0"/>
                        </a:p>
                      </a:txBody>
                      <a:useSpRect/>
                    </a:txSp>
                  </a:sp>
                </lc:lockedCanvas>
              </a:graphicData>
            </a:graphic>
          </wp:inline>
        </w:drawing>
      </w:r>
    </w:p>
    <w:p w:rsidR="00EC3081" w:rsidRPr="00EC3081" w:rsidRDefault="00EC3081" w:rsidP="00EC3081">
      <w:pPr>
        <w:rPr>
          <w:rFonts w:asciiTheme="majorHAnsi" w:hAnsiTheme="majorHAnsi"/>
          <w:sz w:val="36"/>
          <w:szCs w:val="36"/>
        </w:rPr>
      </w:pPr>
    </w:p>
    <w:p w:rsidR="00EC3081" w:rsidRP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lastRenderedPageBreak/>
        <w:drawing>
          <wp:inline distT="0" distB="0" distL="0" distR="0">
            <wp:extent cx="5943600" cy="3522345"/>
            <wp:effectExtent l="0" t="0" r="0" b="0"/>
            <wp:docPr id="10" name="Object 10"/>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153400" cy="4831444"/>
                      <a:chOff x="498231" y="553914"/>
                      <a:chExt cx="8153400" cy="4831444"/>
                    </a:xfrm>
                  </a:grpSpPr>
                  <a:sp>
                    <a:nvSpPr>
                      <a:cNvPr id="3" name="Rectangle 2"/>
                      <a:cNvSpPr/>
                    </a:nvSpPr>
                    <a:spPr>
                      <a:xfrm>
                        <a:off x="542193" y="1331966"/>
                        <a:ext cx="7784122"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Political:</a:t>
                          </a:r>
                        </a:p>
                        <a:p>
                          <a:r>
                            <a:rPr lang="en-US" dirty="0" smtClean="0"/>
                            <a:t>The political environment heavily influences the long-term success of William Hill Plc in a particular country or market.</a:t>
                          </a:r>
                          <a:endParaRPr lang="en-US" dirty="0"/>
                        </a:p>
                      </a:txBody>
                      <a:useSpRect/>
                    </a:txSp>
                  </a:sp>
                  <a:sp>
                    <a:nvSpPr>
                      <a:cNvPr id="4" name="TextBox 3"/>
                      <a:cNvSpPr txBox="1"/>
                    </a:nvSpPr>
                    <a:spPr>
                      <a:xfrm>
                        <a:off x="606669" y="553914"/>
                        <a:ext cx="5336931"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Pestle analyses </a:t>
                          </a:r>
                          <a:endParaRPr lang="en-US" dirty="0"/>
                        </a:p>
                      </a:txBody>
                      <a:useSpRect/>
                    </a:txSp>
                  </a:sp>
                  <a:sp>
                    <a:nvSpPr>
                      <a:cNvPr id="5" name="Rectangle 4"/>
                      <a:cNvSpPr/>
                    </a:nvSpPr>
                    <a:spPr>
                      <a:xfrm>
                        <a:off x="533400" y="2457381"/>
                        <a:ext cx="6096000" cy="1200329"/>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Economic:</a:t>
                          </a:r>
                        </a:p>
                        <a:p>
                          <a:r>
                            <a:rPr lang="en-US" dirty="0" smtClean="0"/>
                            <a:t> Businesses are affected by a variety of factors, such as savings, inflation, interest rates, currency exchange rates, and business cycles.</a:t>
                          </a:r>
                          <a:endParaRPr lang="en-US" dirty="0"/>
                        </a:p>
                      </a:txBody>
                      <a:useSpRect/>
                    </a:txSp>
                  </a:sp>
                  <a:sp>
                    <a:nvSpPr>
                      <a:cNvPr id="6" name="Rectangle 5"/>
                      <a:cNvSpPr/>
                    </a:nvSpPr>
                    <a:spPr>
                      <a:xfrm>
                        <a:off x="621322" y="3730088"/>
                        <a:ext cx="7098323"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dirty="0" smtClean="0"/>
                            <a:t>As a result of all of these factors being very high in the UK at the present time</a:t>
                          </a:r>
                          <a:endParaRPr lang="en-US" dirty="0"/>
                        </a:p>
                      </a:txBody>
                      <a:useSpRect/>
                    </a:txSp>
                  </a:sp>
                  <a:sp>
                    <a:nvSpPr>
                      <a:cNvPr id="7" name="Rectangle 6"/>
                      <a:cNvSpPr/>
                    </a:nvSpPr>
                    <a:spPr>
                      <a:xfrm>
                        <a:off x="498231" y="4462028"/>
                        <a:ext cx="8153400"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Social : </a:t>
                          </a:r>
                        </a:p>
                        <a:p>
                          <a:r>
                            <a:rPr lang="en-US" dirty="0" smtClean="0"/>
                            <a:t>For example, a corporation's commercial advantage may be affected by its competition requirements</a:t>
                          </a:r>
                          <a:endParaRPr lang="en-US" dirty="0"/>
                        </a:p>
                      </a:txBody>
                      <a:useSpRect/>
                    </a:txSp>
                  </a:sp>
                </lc:lockedCanvas>
              </a:graphicData>
            </a:graphic>
          </wp:inline>
        </w:drawing>
      </w:r>
    </w:p>
    <w:p w:rsidR="00EC3081" w:rsidRDefault="00EC3081" w:rsidP="00EC3081">
      <w:pPr>
        <w:tabs>
          <w:tab w:val="left" w:pos="1909"/>
        </w:tabs>
        <w:rPr>
          <w:rFonts w:asciiTheme="majorHAnsi" w:hAnsiTheme="majorHAnsi"/>
          <w:sz w:val="36"/>
          <w:szCs w:val="36"/>
        </w:rPr>
      </w:pPr>
      <w:r>
        <w:rPr>
          <w:rFonts w:asciiTheme="majorHAnsi" w:hAnsiTheme="majorHAnsi"/>
          <w:sz w:val="36"/>
          <w:szCs w:val="36"/>
        </w:rPr>
        <w:tab/>
      </w:r>
      <w:r w:rsidRPr="00EC3081">
        <w:rPr>
          <w:rFonts w:asciiTheme="majorHAnsi" w:hAnsiTheme="majorHAnsi"/>
          <w:sz w:val="36"/>
          <w:szCs w:val="36"/>
        </w:rPr>
        <w:drawing>
          <wp:inline distT="0" distB="0" distL="0" distR="0">
            <wp:extent cx="5943600" cy="3065780"/>
            <wp:effectExtent l="0" t="0" r="0" b="0"/>
            <wp:docPr id="11" name="Object 1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507415" cy="4904069"/>
                      <a:chOff x="348761" y="588974"/>
                      <a:chExt cx="9507415" cy="4904069"/>
                    </a:xfrm>
                  </a:grpSpPr>
                  <a:sp>
                    <a:nvSpPr>
                      <a:cNvPr id="2" name="Rectangle 1"/>
                      <a:cNvSpPr/>
                    </a:nvSpPr>
                    <a:spPr>
                      <a:xfrm>
                        <a:off x="348761" y="588974"/>
                        <a:ext cx="8944707"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A large part of William Hill Plc's marketing strategy is based on the sentiment and views of the general public</a:t>
                          </a:r>
                        </a:p>
                        <a:p>
                          <a:r>
                            <a:rPr lang="en-US" dirty="0" smtClean="0"/>
                            <a:t> </a:t>
                          </a:r>
                          <a:endParaRPr lang="en-US" dirty="0"/>
                        </a:p>
                      </a:txBody>
                      <a:useSpRect/>
                    </a:txSp>
                  </a:sp>
                  <a:sp>
                    <a:nvSpPr>
                      <a:cNvPr id="3" name="Rectangle 2"/>
                      <a:cNvSpPr/>
                    </a:nvSpPr>
                    <a:spPr>
                      <a:xfrm>
                        <a:off x="427891" y="1503375"/>
                        <a:ext cx="9428285" cy="1200329"/>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Technological: </a:t>
                          </a:r>
                        </a:p>
                        <a:p>
                          <a:r>
                            <a:rPr lang="en-US" dirty="0" smtClean="0"/>
                            <a:t>The firm must be aware of the following consequences of technological analysis: current technological breakthroughs by its competitors and the effect of technology on their product portfolios. </a:t>
                          </a:r>
                          <a:endParaRPr lang="en-US" dirty="0"/>
                        </a:p>
                      </a:txBody>
                      <a:useSpRect/>
                    </a:txSp>
                  </a:sp>
                  <a:sp>
                    <a:nvSpPr>
                      <a:cNvPr id="4" name="Rectangle 3"/>
                      <a:cNvSpPr/>
                    </a:nvSpPr>
                    <a:spPr>
                      <a:xfrm>
                        <a:off x="426032" y="2866265"/>
                        <a:ext cx="3942105"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x-none" smtClean="0"/>
                            <a:t>CONCLUSION FROM THE PESTLE</a:t>
                          </a:r>
                          <a:endParaRPr lang="en-US" dirty="0"/>
                        </a:p>
                      </a:txBody>
                      <a:useSpRect/>
                    </a:txSp>
                  </a:sp>
                  <a:sp>
                    <a:nvSpPr>
                      <a:cNvPr id="5" name="Rectangle 4"/>
                      <a:cNvSpPr/>
                    </a:nvSpPr>
                    <a:spPr>
                      <a:xfrm>
                        <a:off x="427891" y="3319027"/>
                        <a:ext cx="7432431" cy="369332"/>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In order to resolve the negative culture issue.</a:t>
                          </a:r>
                          <a:endParaRPr lang="en-US" dirty="0"/>
                        </a:p>
                      </a:txBody>
                      <a:useSpRect/>
                    </a:txSp>
                  </a:sp>
                  <a:sp>
                    <a:nvSpPr>
                      <a:cNvPr id="6" name="Rectangle 5"/>
                      <a:cNvSpPr/>
                    </a:nvSpPr>
                    <a:spPr>
                      <a:xfrm>
                        <a:off x="436684" y="3791635"/>
                        <a:ext cx="7951177"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In addition, the external environment and its factors have put pressure on the workers. </a:t>
                          </a:r>
                          <a:endParaRPr lang="en-US" dirty="0"/>
                        </a:p>
                      </a:txBody>
                      <a:useSpRect/>
                    </a:txSp>
                  </a:sp>
                  <a:sp>
                    <a:nvSpPr>
                      <a:cNvPr id="7" name="Rectangle 6"/>
                      <a:cNvSpPr/>
                    </a:nvSpPr>
                    <a:spPr>
                      <a:xfrm>
                        <a:off x="471853" y="4846712"/>
                        <a:ext cx="8232531"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As a result of the high inflation rate, the company and its employees are again under pressure</a:t>
                          </a:r>
                          <a:endParaRPr lang="en-US" dirty="0"/>
                        </a:p>
                      </a:txBody>
                      <a:useSpRect/>
                    </a:txSp>
                  </a:sp>
                </lc:lockedCanvas>
              </a:graphicData>
            </a:graphic>
          </wp:inline>
        </w:drawing>
      </w:r>
    </w:p>
    <w:p w:rsidR="00EC3081" w:rsidRDefault="00EC3081" w:rsidP="00EC3081">
      <w:pPr>
        <w:tabs>
          <w:tab w:val="left" w:pos="1462"/>
        </w:tabs>
        <w:rPr>
          <w:rFonts w:asciiTheme="majorHAnsi" w:hAnsiTheme="majorHAnsi"/>
          <w:sz w:val="36"/>
          <w:szCs w:val="36"/>
        </w:rPr>
      </w:pPr>
      <w:r>
        <w:rPr>
          <w:rFonts w:asciiTheme="majorHAnsi" w:hAnsiTheme="majorHAnsi"/>
          <w:sz w:val="36"/>
          <w:szCs w:val="36"/>
        </w:rPr>
        <w:lastRenderedPageBreak/>
        <w:tab/>
      </w:r>
      <w:r w:rsidRPr="00EC3081">
        <w:rPr>
          <w:rFonts w:asciiTheme="majorHAnsi" w:hAnsiTheme="majorHAnsi"/>
          <w:sz w:val="36"/>
          <w:szCs w:val="36"/>
        </w:rPr>
        <w:drawing>
          <wp:inline distT="0" distB="0" distL="0" distR="0">
            <wp:extent cx="5943600" cy="4290695"/>
            <wp:effectExtent l="0" t="0" r="0" b="0"/>
            <wp:docPr id="12" name="Object 1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175130" cy="4457755"/>
                      <a:chOff x="181708" y="439587"/>
                      <a:chExt cx="6175130" cy="4457755"/>
                    </a:xfrm>
                  </a:grpSpPr>
                  <a:sp>
                    <a:nvSpPr>
                      <a:cNvPr id="4" name="Rectangle 3"/>
                      <a:cNvSpPr/>
                    </a:nvSpPr>
                    <a:spPr>
                      <a:xfrm>
                        <a:off x="226360" y="439587"/>
                        <a:ext cx="3650358"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PROBLEM SOLVING APPROACH </a:t>
                          </a:r>
                          <a:endParaRPr lang="en-US" dirty="0"/>
                        </a:p>
                      </a:txBody>
                      <a:useSpRect/>
                    </a:txSp>
                  </a:sp>
                  <a:sp>
                    <a:nvSpPr>
                      <a:cNvPr id="5" name="Rectangle 4"/>
                      <a:cNvSpPr/>
                    </a:nvSpPr>
                    <a:spPr>
                      <a:xfrm>
                        <a:off x="181708" y="1083604"/>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Scientific method refers to a method for solving problems that relies heavily on trial and error.</a:t>
                          </a:r>
                          <a:endParaRPr lang="en-US" dirty="0"/>
                        </a:p>
                      </a:txBody>
                      <a:useSpRect/>
                    </a:txSp>
                  </a:sp>
                  <a:sp>
                    <a:nvSpPr>
                      <a:cNvPr id="6" name="Rectangle 5"/>
                      <a:cNvSpPr/>
                    </a:nvSpPr>
                    <a:spPr>
                      <a:xfrm>
                        <a:off x="260838" y="1918874"/>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The practice is characterized by repetitive and varying attempts </a:t>
                          </a:r>
                          <a:endParaRPr lang="en-US" dirty="0"/>
                        </a:p>
                      </a:txBody>
                      <a:useSpRect/>
                    </a:txSp>
                  </a:sp>
                  <a:sp>
                    <a:nvSpPr>
                      <a:cNvPr id="7" name="Rectangle 6"/>
                      <a:cNvSpPr/>
                    </a:nvSpPr>
                    <a:spPr>
                      <a:xfrm>
                        <a:off x="243253" y="2949750"/>
                        <a:ext cx="6096000" cy="923330"/>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CONCLUSION:</a:t>
                          </a:r>
                        </a:p>
                        <a:p>
                          <a:pPr>
                            <a:buFont typeface="Wingdings" pitchFamily="2" charset="2"/>
                            <a:buChar char="ü"/>
                          </a:pPr>
                          <a:r>
                            <a:rPr lang="en-US" dirty="0" smtClean="0"/>
                            <a:t>Environmental requirements should be thoroughly assessed by the company </a:t>
                          </a:r>
                          <a:endParaRPr lang="en-US" dirty="0"/>
                        </a:p>
                      </a:txBody>
                      <a:useSpRect/>
                    </a:txSp>
                  </a:sp>
                  <a:sp>
                    <a:nvSpPr>
                      <a:cNvPr id="8" name="Rectangle 7"/>
                      <a:cNvSpPr/>
                    </a:nvSpPr>
                    <a:spPr>
                      <a:xfrm>
                        <a:off x="421288" y="4528010"/>
                        <a:ext cx="1976823"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SWOT ANALYSIS</a:t>
                          </a:r>
                          <a:endParaRPr lang="en-US" dirty="0"/>
                        </a:p>
                      </a:txBody>
                      <a:useSpRect/>
                    </a:txSp>
                  </a:sp>
                </lc:lockedCanvas>
              </a:graphicData>
            </a:graphic>
          </wp:inline>
        </w:drawing>
      </w:r>
    </w:p>
    <w:p w:rsidR="00EC3081" w:rsidRDefault="00EC3081" w:rsidP="00EC3081">
      <w:pPr>
        <w:ind w:firstLine="720"/>
        <w:rPr>
          <w:rFonts w:asciiTheme="majorHAnsi" w:hAnsiTheme="majorHAnsi"/>
          <w:sz w:val="36"/>
          <w:szCs w:val="36"/>
        </w:rPr>
      </w:pPr>
      <w:r w:rsidRPr="00EC3081">
        <w:rPr>
          <w:rFonts w:asciiTheme="majorHAnsi" w:hAnsiTheme="majorHAnsi"/>
          <w:sz w:val="36"/>
          <w:szCs w:val="36"/>
        </w:rPr>
        <w:drawing>
          <wp:inline distT="0" distB="0" distL="0" distR="0">
            <wp:extent cx="5943600" cy="2518410"/>
            <wp:effectExtent l="0" t="0" r="0" b="0"/>
            <wp:docPr id="13" name="Object 1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010118" cy="5088625"/>
                      <a:chOff x="234461" y="369249"/>
                      <a:chExt cx="12010118" cy="5088625"/>
                    </a:xfrm>
                  </a:grpSpPr>
                  <a:sp>
                    <a:nvSpPr>
                      <a:cNvPr id="2" name="Rectangle 1"/>
                      <a:cNvSpPr/>
                    </a:nvSpPr>
                    <a:spPr>
                      <a:xfrm>
                        <a:off x="278423" y="467895"/>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STRENGHTS:</a:t>
                          </a:r>
                        </a:p>
                        <a:p>
                          <a:endParaRPr lang="x-none" smtClean="0"/>
                        </a:p>
                      </a:txBody>
                      <a:useSpRect/>
                    </a:txSp>
                  </a:sp>
                  <a:sp>
                    <a:nvSpPr>
                      <a:cNvPr id="4" name="Rectangle 3"/>
                      <a:cNvSpPr/>
                    </a:nvSpPr>
                    <a:spPr>
                      <a:xfrm>
                        <a:off x="234461" y="1534189"/>
                        <a:ext cx="6096000" cy="923330"/>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b="1" dirty="0" smtClean="0"/>
                            <a:t>As well as maintaining its current market position, these attributes enable the company to expand into new markets</a:t>
                          </a:r>
                          <a:endParaRPr lang="en-US" dirty="0"/>
                        </a:p>
                      </a:txBody>
                      <a:useSpRect/>
                    </a:txSp>
                  </a:sp>
                  <a:sp>
                    <a:nvSpPr>
                      <a:cNvPr id="5" name="Rectangle 4"/>
                      <a:cNvSpPr/>
                    </a:nvSpPr>
                    <a:spPr>
                      <a:xfrm>
                        <a:off x="6581220" y="369249"/>
                        <a:ext cx="1596912"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Weaknesses:</a:t>
                          </a:r>
                          <a:endParaRPr lang="x-none" dirty="0"/>
                        </a:p>
                      </a:txBody>
                      <a:useSpRect/>
                    </a:txSp>
                  </a:sp>
                  <a:sp>
                    <a:nvSpPr>
                      <a:cNvPr id="6" name="Rectangle 5"/>
                      <a:cNvSpPr/>
                    </a:nvSpPr>
                    <a:spPr>
                      <a:xfrm>
                        <a:off x="6427176" y="936312"/>
                        <a:ext cx="5764823"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b="1" dirty="0" smtClean="0"/>
                            <a:t>In order to address these concerns, William Hill must establish an internal review process that involves its direct sales staff.</a:t>
                          </a:r>
                          <a:endParaRPr lang="en-US" dirty="0"/>
                        </a:p>
                      </a:txBody>
                      <a:useSpRect/>
                    </a:txSp>
                  </a:sp>
                  <a:sp>
                    <a:nvSpPr>
                      <a:cNvPr id="7" name="Rectangle 6"/>
                      <a:cNvSpPr/>
                    </a:nvSpPr>
                    <a:spPr>
                      <a:xfrm>
                        <a:off x="6459021" y="2004619"/>
                        <a:ext cx="5785558"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b="1" dirty="0" smtClean="0"/>
                            <a:t> There is no market for the company's products.</a:t>
                          </a:r>
                          <a:endParaRPr lang="en-US" dirty="0"/>
                        </a:p>
                      </a:txBody>
                      <a:useSpRect/>
                    </a:txSp>
                  </a:sp>
                  <a:sp>
                    <a:nvSpPr>
                      <a:cNvPr id="8" name="Rectangle 7"/>
                      <a:cNvSpPr/>
                    </a:nvSpPr>
                    <a:spPr>
                      <a:xfrm>
                        <a:off x="430419" y="3156411"/>
                        <a:ext cx="1729961"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Opportunities</a:t>
                          </a:r>
                          <a:endParaRPr lang="en-US" dirty="0"/>
                        </a:p>
                      </a:txBody>
                      <a:useSpRect/>
                    </a:txSp>
                  </a:sp>
                  <a:sp>
                    <a:nvSpPr>
                      <a:cNvPr id="9" name="Rectangle 8"/>
                      <a:cNvSpPr/>
                    </a:nvSpPr>
                    <a:spPr>
                      <a:xfrm>
                        <a:off x="6637154" y="3094864"/>
                        <a:ext cx="1027845"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x-none" smtClean="0"/>
                            <a:t>Threats</a:t>
                          </a:r>
                          <a:endParaRPr lang="en-US" dirty="0"/>
                        </a:p>
                      </a:txBody>
                      <a:useSpRect/>
                    </a:txSp>
                  </a:sp>
                  <a:sp>
                    <a:nvSpPr>
                      <a:cNvPr id="10" name="Rectangle 9"/>
                      <a:cNvSpPr/>
                    </a:nvSpPr>
                    <a:spPr>
                      <a:xfrm>
                        <a:off x="322385" y="3661927"/>
                        <a:ext cx="5383823"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b="1" dirty="0" smtClean="0"/>
                            <a:t>Following years of downturn and slow growth, William Hill has an opportunity to win new customers. </a:t>
                          </a:r>
                          <a:endParaRPr lang="en-US" dirty="0"/>
                        </a:p>
                      </a:txBody>
                      <a:useSpRect/>
                    </a:txSp>
                  </a:sp>
                  <a:sp>
                    <a:nvSpPr>
                      <a:cNvPr id="12" name="Rectangle 11"/>
                      <a:cNvSpPr/>
                    </a:nvSpPr>
                    <a:spPr>
                      <a:xfrm>
                        <a:off x="6462346" y="3732266"/>
                        <a:ext cx="5729654"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b="1" dirty="0" smtClean="0"/>
                            <a:t> Foreign commerce may decrease as the United Kingdom economy becomes more isolated.ase in foreign trade.</a:t>
                          </a:r>
                          <a:endParaRPr lang="en-US" dirty="0"/>
                        </a:p>
                      </a:txBody>
                      <a:useSpRect/>
                    </a:txSp>
                  </a:sp>
                  <a:sp>
                    <a:nvSpPr>
                      <a:cNvPr id="13" name="Rectangle 12"/>
                      <a:cNvSpPr/>
                    </a:nvSpPr>
                    <a:spPr>
                      <a:xfrm>
                        <a:off x="6567854" y="4811543"/>
                        <a:ext cx="5624145"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Online buying behavior may pose challenges to the current distribution network design</a:t>
                          </a:r>
                          <a:endParaRPr lang="en-US" dirty="0"/>
                        </a:p>
                      </a:txBody>
                      <a:useSpRect/>
                    </a:txSp>
                  </a:sp>
                </lc:lockedCanvas>
              </a:graphicData>
            </a:graphic>
          </wp:inline>
        </w:drawing>
      </w:r>
    </w:p>
    <w:p w:rsidR="00EC3081" w:rsidRDefault="00EC3081" w:rsidP="00EC3081">
      <w:pPr>
        <w:rPr>
          <w:rFonts w:asciiTheme="majorHAnsi" w:hAnsiTheme="majorHAnsi"/>
          <w:sz w:val="36"/>
          <w:szCs w:val="36"/>
        </w:rPr>
      </w:pPr>
    </w:p>
    <w:p w:rsidR="00EC3081" w:rsidRDefault="00EC3081" w:rsidP="00EC3081">
      <w:pPr>
        <w:ind w:firstLine="720"/>
        <w:rPr>
          <w:rFonts w:asciiTheme="majorHAnsi" w:hAnsiTheme="majorHAnsi"/>
          <w:sz w:val="36"/>
          <w:szCs w:val="36"/>
        </w:rPr>
      </w:pPr>
      <w:r w:rsidRPr="00EC3081">
        <w:rPr>
          <w:rFonts w:asciiTheme="majorHAnsi" w:hAnsiTheme="majorHAnsi"/>
          <w:sz w:val="36"/>
          <w:szCs w:val="36"/>
        </w:rPr>
        <w:lastRenderedPageBreak/>
        <w:drawing>
          <wp:inline distT="0" distB="0" distL="0" distR="0">
            <wp:extent cx="5943600" cy="2049780"/>
            <wp:effectExtent l="0" t="0" r="0" b="0"/>
            <wp:docPr id="14" name="Object 1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351736" cy="3915077"/>
                      <a:chOff x="390730" y="248335"/>
                      <a:chExt cx="11351736" cy="3915077"/>
                    </a:xfrm>
                  </a:grpSpPr>
                  <a:sp>
                    <a:nvSpPr>
                      <a:cNvPr id="2" name="Rectangle 1"/>
                      <a:cNvSpPr/>
                    </a:nvSpPr>
                    <a:spPr>
                      <a:xfrm>
                        <a:off x="410307" y="248335"/>
                        <a:ext cx="3528647" cy="369332"/>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Conclusion </a:t>
                          </a:r>
                          <a:endParaRPr lang="en-US" dirty="0"/>
                        </a:p>
                      </a:txBody>
                      <a:useSpRect/>
                    </a:txSp>
                  </a:sp>
                  <a:pic>
                    <a:nvPicPr>
                      <a:cNvPr id="4" name="table"/>
                      <a:cNvPicPr>
                        <a:picLocks noChangeAspect="1"/>
                      </a:cNvPicPr>
                    </a:nvPicPr>
                    <a:blipFill>
                      <a:blip r:embed="rId15"/>
                      <a:stretch>
                        <a:fillRect/>
                      </a:stretch>
                    </a:blipFill>
                    <a:spPr>
                      <a:xfrm>
                        <a:off x="390730" y="1456553"/>
                        <a:ext cx="11351736" cy="2706859"/>
                      </a:xfrm>
                      <a:prstGeom prst="rect">
                        <a:avLst/>
                      </a:prstGeom>
                    </a:spPr>
                  </a:pic>
                </lc:lockedCanvas>
              </a:graphicData>
            </a:graphic>
          </wp:inline>
        </w:drawing>
      </w:r>
    </w:p>
    <w:p w:rsidR="00EC3081" w:rsidRPr="00EC3081" w:rsidRDefault="00EC3081" w:rsidP="00EC3081">
      <w:pPr>
        <w:rPr>
          <w:rFonts w:asciiTheme="majorHAnsi" w:hAnsiTheme="majorHAnsi"/>
          <w:sz w:val="36"/>
          <w:szCs w:val="36"/>
        </w:rPr>
      </w:pPr>
    </w:p>
    <w:p w:rsidR="00EC3081" w:rsidRPr="00EC3081" w:rsidRDefault="00EC3081" w:rsidP="00EC3081">
      <w:pPr>
        <w:rPr>
          <w:rFonts w:asciiTheme="majorHAnsi" w:hAnsiTheme="majorHAnsi"/>
          <w:sz w:val="36"/>
          <w:szCs w:val="36"/>
        </w:rPr>
      </w:pPr>
    </w:p>
    <w:p w:rsidR="00EC3081" w:rsidRPr="00EC3081" w:rsidRDefault="00EC3081" w:rsidP="00EC3081">
      <w:pPr>
        <w:rPr>
          <w:rFonts w:asciiTheme="majorHAnsi" w:hAnsiTheme="majorHAnsi"/>
          <w:sz w:val="36"/>
          <w:szCs w:val="36"/>
        </w:rPr>
      </w:pPr>
      <w:r w:rsidRPr="00EC3081">
        <w:rPr>
          <w:rFonts w:asciiTheme="majorHAnsi" w:hAnsiTheme="majorHAnsi"/>
          <w:sz w:val="36"/>
          <w:szCs w:val="36"/>
        </w:rPr>
        <w:drawing>
          <wp:inline distT="0" distB="0" distL="0" distR="0">
            <wp:extent cx="5943600" cy="3178810"/>
            <wp:effectExtent l="19050" t="0" r="0" b="0"/>
            <wp:docPr id="16" name="Object 1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0515600" cy="5624156"/>
                      <a:chOff x="858982" y="619534"/>
                      <a:chExt cx="10515600" cy="5624156"/>
                    </a:xfrm>
                  </a:grpSpPr>
                  <a:graphicFrame>
                    <a:nvGraphicFramePr>
                      <a:cNvPr id="4" name="Content Placeholder 2">
                        <a:extLst>
                          <a:ext uri="{FF2B5EF4-FFF2-40B4-BE49-F238E27FC236}">
                            <a16:creationId xmlns:p="http://schemas.openxmlformats.org/presentationml/2006/main" xmlns:a16="http://schemas.microsoft.com/office/drawing/2014/main" xmlns="" id="{652F9E99-105F-1C0F-522A-F9D60906A1D0}"/>
                          </a:ext>
                        </a:extLst>
                      </a:cNvPr>
                      <a:cNvGraphicFramePr>
                        <a:graphicFrameLocks/>
                      </a:cNvGraphicFramePr>
                    </a:nvGraphicFramePr>
                    <a:graphic>
                      <a:graphicData uri="http://schemas.openxmlformats.org/drawingml/2006/diagram">
                        <dgm:relIds xmlns:dgm="http://schemas.openxmlformats.org/drawingml/2006/diagram" xmlns:r="http://schemas.openxmlformats.org/officeDocument/2006/relationships" r:dm="rId16" r:lo="rId17" r:qs="rId18" r:cs="rId19"/>
                      </a:graphicData>
                    </a:graphic>
                    <a:xfrm>
                      <a:off x="858982" y="1891146"/>
                      <a:ext cx="10515600" cy="4352544"/>
                    </a:xfrm>
                  </a:graphicFrame>
                  <a:sp>
                    <a:nvSpPr>
                      <a:cNvPr id="5" name="Title 1">
                        <a:extLst>
                          <a:ext uri="{FF2B5EF4-FFF2-40B4-BE49-F238E27FC236}">
                            <a16:creationId xmlns:p="http://schemas.openxmlformats.org/presentationml/2006/main" xmlns:a16="http://schemas.microsoft.com/office/drawing/2014/main" xmlns="" id="{7F9FB206-9F73-2BD2-BE3C-F6D899BE201B}"/>
                          </a:ext>
                        </a:extLst>
                      </a:cNvPr>
                      <a:cNvSpPr txBox="1">
                        <a:spLocks/>
                      </a:cNvSpPr>
                    </a:nvSpPr>
                    <a:spPr>
                      <a:xfrm>
                        <a:off x="858982" y="619534"/>
                        <a:ext cx="10515600" cy="1133499"/>
                      </a:xfrm>
                      <a:prstGeom prst="rect">
                        <a:avLst/>
                      </a:prstGeom>
                    </a:spPr>
                    <a:txSp>
                      <a:txBody>
                        <a:bodyPr vert="horz" rtlCol="0" anchor="ctr">
                          <a:normAutofit/>
                          <a:scene3d>
                            <a:camera prst="orthographicFront"/>
                            <a:lightRig rig="soft" dir="t"/>
                          </a:scene3d>
                          <a:sp3d prstMaterial="softEdge">
                            <a:bevelT w="25400" h="25400"/>
                          </a:sp3d>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marL="0" marR="0" lvl="0" indent="0" algn="ctr" defTabSz="914400" rtl="0" eaLnBrk="1" fontAlgn="auto" latinLnBrk="0" hangingPunct="1">
                            <a:lnSpc>
                              <a:spcPct val="100000"/>
                            </a:lnSpc>
                            <a:spcBef>
                              <a:spcPct val="0"/>
                            </a:spcBef>
                            <a:spcAft>
                              <a:spcPts val="0"/>
                            </a:spcAft>
                            <a:buClrTx/>
                            <a:buSzTx/>
                            <a:buFontTx/>
                            <a:buNone/>
                            <a:tabLst/>
                            <a:defRPr/>
                          </a:pPr>
                          <a:r>
                            <a:rPr kumimoji="0" lang="x-none" sz="5200" b="1" i="0" u="none" strike="noStrike" kern="1200" cap="none" spc="0" normalizeH="0" baseline="0" noProof="0" smtClean="0">
                              <a:ln>
                                <a:noFill/>
                              </a:ln>
                              <a:solidFill>
                                <a:schemeClr val="tx2"/>
                              </a:solidFill>
                              <a:effectLst>
                                <a:outerShdw blurRad="31750" dist="25400" dir="5400000" algn="tl" rotWithShape="0">
                                  <a:srgbClr val="000000">
                                    <a:alpha val="25000"/>
                                  </a:srgbClr>
                                </a:outerShdw>
                              </a:effectLst>
                              <a:uLnTx/>
                              <a:uFillTx/>
                              <a:latin typeface="+mj-lt"/>
                              <a:ea typeface="+mj-ea"/>
                              <a:cs typeface="+mj-cs"/>
                            </a:rPr>
                            <a:t>Refference list:</a:t>
                          </a:r>
                          <a:endParaRPr kumimoji="0" lang="x-none" sz="5200" b="1" i="0" u="none" strike="noStrike" kern="1200" cap="none" spc="0" normalizeH="0" baseline="0" noProof="0">
                            <a:ln>
                              <a:noFill/>
                            </a:ln>
                            <a:solidFill>
                              <a:schemeClr val="tx2"/>
                            </a:solidFill>
                            <a:effectLst>
                              <a:outerShdw blurRad="31750" dist="25400" dir="5400000" algn="tl" rotWithShape="0">
                                <a:srgbClr val="000000">
                                  <a:alpha val="25000"/>
                                </a:srgbClr>
                              </a:outerShdw>
                            </a:effectLst>
                            <a:uLnTx/>
                            <a:uFillTx/>
                            <a:latin typeface="+mj-lt"/>
                            <a:ea typeface="+mj-ea"/>
                            <a:cs typeface="+mj-cs"/>
                          </a:endParaRPr>
                        </a:p>
                      </a:txBody>
                      <a:useSpRect/>
                    </a:txSp>
                  </a:sp>
                </lc:lockedCanvas>
              </a:graphicData>
            </a:graphic>
          </wp:inline>
        </w:drawing>
      </w:r>
    </w:p>
    <w:p w:rsidR="00EC3081" w:rsidRPr="00EC3081" w:rsidRDefault="00EC3081" w:rsidP="00EC3081">
      <w:pPr>
        <w:rPr>
          <w:rFonts w:asciiTheme="majorHAnsi" w:hAnsiTheme="majorHAnsi"/>
          <w:sz w:val="36"/>
          <w:szCs w:val="36"/>
        </w:rPr>
      </w:pPr>
    </w:p>
    <w:p w:rsidR="00EC3081" w:rsidRDefault="00EC3081" w:rsidP="00EC3081">
      <w:pPr>
        <w:rPr>
          <w:rFonts w:asciiTheme="majorHAnsi" w:hAnsiTheme="majorHAnsi"/>
          <w:sz w:val="36"/>
          <w:szCs w:val="36"/>
        </w:rPr>
      </w:pPr>
      <w:r w:rsidRPr="00EC3081">
        <w:rPr>
          <w:rFonts w:asciiTheme="majorHAnsi" w:hAnsiTheme="majorHAnsi"/>
          <w:sz w:val="36"/>
          <w:szCs w:val="36"/>
        </w:rPr>
        <w:lastRenderedPageBreak/>
        <w:drawing>
          <wp:inline distT="0" distB="0" distL="0" distR="0">
            <wp:extent cx="5943600" cy="2459990"/>
            <wp:effectExtent l="0" t="0" r="19050" b="0"/>
            <wp:docPr id="15" name="Diagram 15">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652F9E99-105F-1C0F-522A-F9D60906A1D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EC3081" w:rsidRPr="00EC3081" w:rsidRDefault="00EC3081" w:rsidP="00EC3081">
      <w:pPr>
        <w:ind w:firstLine="720"/>
        <w:rPr>
          <w:rFonts w:asciiTheme="majorHAnsi" w:hAnsiTheme="majorHAnsi"/>
          <w:sz w:val="36"/>
          <w:szCs w:val="36"/>
        </w:rPr>
      </w:pPr>
    </w:p>
    <w:sectPr w:rsidR="00EC3081" w:rsidRPr="00EC3081" w:rsidSect="004A6A2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980013"/>
    <w:rsid w:val="00044036"/>
    <w:rsid w:val="000615A9"/>
    <w:rsid w:val="004A6A2F"/>
    <w:rsid w:val="00687128"/>
    <w:rsid w:val="00802684"/>
    <w:rsid w:val="00980013"/>
    <w:rsid w:val="00EC308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0013"/>
    <w:pPr>
      <w:spacing w:after="160" w:line="259"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7128"/>
    <w:rPr>
      <w:color w:val="0000FF" w:themeColor="hyperlink"/>
      <w:u w:val="single"/>
    </w:rPr>
  </w:style>
  <w:style w:type="paragraph" w:styleId="BalloonText">
    <w:name w:val="Balloon Text"/>
    <w:basedOn w:val="Normal"/>
    <w:link w:val="BalloonTextChar"/>
    <w:uiPriority w:val="99"/>
    <w:semiHidden/>
    <w:unhideWhenUsed/>
    <w:rsid w:val="00EC3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08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048387">
      <w:bodyDiv w:val="1"/>
      <w:marLeft w:val="0"/>
      <w:marRight w:val="0"/>
      <w:marTop w:val="0"/>
      <w:marBottom w:val="0"/>
      <w:divBdr>
        <w:top w:val="none" w:sz="0" w:space="0" w:color="auto"/>
        <w:left w:val="none" w:sz="0" w:space="0" w:color="auto"/>
        <w:bottom w:val="none" w:sz="0" w:space="0" w:color="auto"/>
        <w:right w:val="none" w:sz="0" w:space="0" w:color="auto"/>
      </w:divBdr>
    </w:div>
    <w:div w:id="324164977">
      <w:bodyDiv w:val="1"/>
      <w:marLeft w:val="0"/>
      <w:marRight w:val="0"/>
      <w:marTop w:val="0"/>
      <w:marBottom w:val="0"/>
      <w:divBdr>
        <w:top w:val="none" w:sz="0" w:space="0" w:color="auto"/>
        <w:left w:val="none" w:sz="0" w:space="0" w:color="auto"/>
        <w:bottom w:val="none" w:sz="0" w:space="0" w:color="auto"/>
        <w:right w:val="none" w:sz="0" w:space="0" w:color="auto"/>
      </w:divBdr>
    </w:div>
    <w:div w:id="560018310">
      <w:bodyDiv w:val="1"/>
      <w:marLeft w:val="0"/>
      <w:marRight w:val="0"/>
      <w:marTop w:val="0"/>
      <w:marBottom w:val="0"/>
      <w:divBdr>
        <w:top w:val="none" w:sz="0" w:space="0" w:color="auto"/>
        <w:left w:val="none" w:sz="0" w:space="0" w:color="auto"/>
        <w:bottom w:val="none" w:sz="0" w:space="0" w:color="auto"/>
        <w:right w:val="none" w:sz="0" w:space="0" w:color="auto"/>
      </w:divBdr>
    </w:div>
    <w:div w:id="713040689">
      <w:bodyDiv w:val="1"/>
      <w:marLeft w:val="0"/>
      <w:marRight w:val="0"/>
      <w:marTop w:val="0"/>
      <w:marBottom w:val="0"/>
      <w:divBdr>
        <w:top w:val="none" w:sz="0" w:space="0" w:color="auto"/>
        <w:left w:val="none" w:sz="0" w:space="0" w:color="auto"/>
        <w:bottom w:val="none" w:sz="0" w:space="0" w:color="auto"/>
        <w:right w:val="none" w:sz="0" w:space="0" w:color="auto"/>
      </w:divBdr>
    </w:div>
    <w:div w:id="1950238459">
      <w:bodyDiv w:val="1"/>
      <w:marLeft w:val="0"/>
      <w:marRight w:val="0"/>
      <w:marTop w:val="0"/>
      <w:marBottom w:val="0"/>
      <w:divBdr>
        <w:top w:val="none" w:sz="0" w:space="0" w:color="auto"/>
        <w:left w:val="none" w:sz="0" w:space="0" w:color="auto"/>
        <w:bottom w:val="none" w:sz="0" w:space="0" w:color="auto"/>
        <w:right w:val="none" w:sz="0" w:space="0" w:color="auto"/>
      </w:divBdr>
    </w:div>
    <w:div w:id="2060860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webSettings" Target="webSettings.xml"/><Relationship Id="rId21" Type="http://schemas.openxmlformats.org/officeDocument/2006/relationships/diagramLayout" Target="diagrams/layout4.xml"/><Relationship Id="rId7" Type="http://schemas.openxmlformats.org/officeDocument/2006/relationships/diagramData" Target="diagrams/data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diagramData" Target="diagrams/data3.xml"/><Relationship Id="rId20" Type="http://schemas.openxmlformats.org/officeDocument/2006/relationships/diagramData" Target="diagrams/data4.xml"/><Relationship Id="rId1" Type="http://schemas.openxmlformats.org/officeDocument/2006/relationships/styles" Target="styles.xml"/><Relationship Id="rId6" Type="http://schemas.openxmlformats.org/officeDocument/2006/relationships/hyperlink" Target="https://www.reliableplant.com/fishbone-diagram-31877" TargetMode="External"/><Relationship Id="rId11" Type="http://schemas.openxmlformats.org/officeDocument/2006/relationships/diagramData" Target="diagrams/data2.xml"/><Relationship Id="rId24" Type="http://schemas.openxmlformats.org/officeDocument/2006/relationships/fontTable" Target="fontTable.xml"/><Relationship Id="rId5" Type="http://schemas.openxmlformats.org/officeDocument/2006/relationships/hyperlink" Target="http://fernfortuniversity.com/term-papers/pestel/nyse4/6923-william-hill-plc.php" TargetMode="External"/><Relationship Id="rId15" Type="http://schemas.openxmlformats.org/officeDocument/2006/relationships/image" Target="media/image4.png"/><Relationship Id="rId23" Type="http://schemas.openxmlformats.org/officeDocument/2006/relationships/diagramColors" Target="diagrams/colors4.xml"/><Relationship Id="rId10" Type="http://schemas.openxmlformats.org/officeDocument/2006/relationships/diagramColors" Target="diagrams/colors1.xml"/><Relationship Id="rId19" Type="http://schemas.openxmlformats.org/officeDocument/2006/relationships/diagramColors" Target="diagrams/colors3.xml"/><Relationship Id="rId4" Type="http://schemas.openxmlformats.org/officeDocument/2006/relationships/hyperlink" Target="http://fernfortuniversity.com/term-papers/swot/nyse/6923-william-hill-plc.php" TargetMode="External"/><Relationship Id="rId9" Type="http://schemas.openxmlformats.org/officeDocument/2006/relationships/diagramQuickStyle" Target="diagrams/quickStyle1.xml"/><Relationship Id="rId14" Type="http://schemas.openxmlformats.org/officeDocument/2006/relationships/diagramColors" Target="diagrams/colors2.xml"/><Relationship Id="rId22" Type="http://schemas.openxmlformats.org/officeDocument/2006/relationships/diagramQuickStyle" Target="diagrams/quickStyle4.xml"/></Relationships>
</file>

<file path=word/diagrams/_rels/data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48674A-6B24-4E68-B751-767EC246BF59}" type="doc">
      <dgm:prSet loTypeId="urn:microsoft.com/office/officeart/2018/2/layout/IconLabelList" loCatId="icon" qsTypeId="urn:microsoft.com/office/officeart/2005/8/quickstyle/simple1" qsCatId="simple" csTypeId="urn:microsoft.com/office/officeart/2018/5/colors/Iconchunking_neutralbg_colorful1" csCatId="colorful" phldr="1"/>
      <dgm:spPr/>
      <dgm:t>
        <a:bodyPr/>
        <a:lstStyle/>
        <a:p>
          <a:endParaRPr lang="en-US"/>
        </a:p>
      </dgm:t>
    </dgm:pt>
    <dgm:pt modelId="{C60C4E6B-4656-4BC9-B914-955E0AB29F7E}">
      <dgm:prSet/>
      <dgm:spPr/>
      <dgm:t>
        <a:bodyPr/>
        <a:lstStyle/>
        <a:p>
          <a:pPr>
            <a:lnSpc>
              <a:spcPct val="100000"/>
            </a:lnSpc>
          </a:pPr>
          <a:r>
            <a:rPr lang="en-US" dirty="0"/>
            <a:t>Poor culture is characterized by negative beliefs, communication , </a:t>
          </a:r>
          <a:r>
            <a:rPr lang="en-US" dirty="0" err="1"/>
            <a:t>attidutines</a:t>
          </a:r>
          <a:r>
            <a:rPr lang="en-US" dirty="0"/>
            <a:t> within the workplace of an organization.</a:t>
          </a:r>
        </a:p>
      </dgm:t>
    </dgm:pt>
    <dgm:pt modelId="{1F3E6E7D-221B-4AA0-A2F0-A9FC3E40EADA}" type="parTrans" cxnId="{EF6231B3-FF04-4075-88C9-7606A9C1EB02}">
      <dgm:prSet/>
      <dgm:spPr/>
      <dgm:t>
        <a:bodyPr/>
        <a:lstStyle/>
        <a:p>
          <a:endParaRPr lang="en-US"/>
        </a:p>
      </dgm:t>
    </dgm:pt>
    <dgm:pt modelId="{AB57DBFE-E8E3-408B-8E1E-5E12FE010CC8}" type="sibTrans" cxnId="{EF6231B3-FF04-4075-88C9-7606A9C1EB02}">
      <dgm:prSet/>
      <dgm:spPr/>
      <dgm:t>
        <a:bodyPr/>
        <a:lstStyle/>
        <a:p>
          <a:endParaRPr lang="en-US"/>
        </a:p>
      </dgm:t>
    </dgm:pt>
    <dgm:pt modelId="{AE063856-4519-4B2D-B0A8-593D8EF6FC24}">
      <dgm:prSet/>
      <dgm:spPr/>
      <dgm:t>
        <a:bodyPr/>
        <a:lstStyle/>
        <a:p>
          <a:pPr>
            <a:lnSpc>
              <a:spcPct val="100000"/>
            </a:lnSpc>
          </a:pPr>
          <a:r>
            <a:rPr lang="en-US" dirty="0"/>
            <a:t>In its most basic form, a toxic culture is one in which top management does not invest in the growth of the </a:t>
          </a:r>
          <a:r>
            <a:rPr lang="en-US" dirty="0" smtClean="0"/>
            <a:t>organization, </a:t>
          </a:r>
          <a:r>
            <a:rPr lang="en-US" dirty="0"/>
            <a:t>either in terms of its people or its procedures.</a:t>
          </a:r>
        </a:p>
      </dgm:t>
    </dgm:pt>
    <dgm:pt modelId="{F7797804-1DB7-48BE-9D88-0F71786692CD}" type="parTrans" cxnId="{CA660420-946E-42D3-A5DB-DE1A3CAC3BBA}">
      <dgm:prSet/>
      <dgm:spPr/>
      <dgm:t>
        <a:bodyPr/>
        <a:lstStyle/>
        <a:p>
          <a:endParaRPr lang="en-US"/>
        </a:p>
      </dgm:t>
    </dgm:pt>
    <dgm:pt modelId="{BAA5392A-3057-43CC-B4FA-F7F4EB342FC7}" type="sibTrans" cxnId="{CA660420-946E-42D3-A5DB-DE1A3CAC3BBA}">
      <dgm:prSet/>
      <dgm:spPr/>
      <dgm:t>
        <a:bodyPr/>
        <a:lstStyle/>
        <a:p>
          <a:endParaRPr lang="en-US"/>
        </a:p>
      </dgm:t>
    </dgm:pt>
    <dgm:pt modelId="{4F03523C-0215-49C2-8AEC-B20E7B673F68}">
      <dgm:prSet/>
      <dgm:spPr/>
      <dgm:t>
        <a:bodyPr/>
        <a:lstStyle/>
        <a:p>
          <a:pPr>
            <a:lnSpc>
              <a:spcPct val="100000"/>
            </a:lnSpc>
          </a:pPr>
          <a:r>
            <a:rPr lang="en-US" dirty="0"/>
            <a:t>There is neither communication nor enforcement of what </a:t>
          </a:r>
          <a:r>
            <a:rPr lang="en-US" dirty="0" smtClean="0"/>
            <a:t>behaviors </a:t>
          </a:r>
          <a:r>
            <a:rPr lang="en-US" dirty="0"/>
            <a:t>are considered acceptable and what </a:t>
          </a:r>
          <a:r>
            <a:rPr lang="en-US" dirty="0" smtClean="0"/>
            <a:t>behaviors </a:t>
          </a:r>
          <a:r>
            <a:rPr lang="en-US" dirty="0"/>
            <a:t>are anticipated. </a:t>
          </a:r>
        </a:p>
      </dgm:t>
    </dgm:pt>
    <dgm:pt modelId="{4E17A68E-CE26-431B-AE58-F993DC77B3C5}" type="parTrans" cxnId="{797DAE52-FC35-437C-B020-181963D1AAEF}">
      <dgm:prSet/>
      <dgm:spPr/>
      <dgm:t>
        <a:bodyPr/>
        <a:lstStyle/>
        <a:p>
          <a:endParaRPr lang="en-US"/>
        </a:p>
      </dgm:t>
    </dgm:pt>
    <dgm:pt modelId="{F07FD7EB-34F7-4463-85E7-6EA788E687BE}" type="sibTrans" cxnId="{797DAE52-FC35-437C-B020-181963D1AAEF}">
      <dgm:prSet/>
      <dgm:spPr/>
      <dgm:t>
        <a:bodyPr/>
        <a:lstStyle/>
        <a:p>
          <a:endParaRPr lang="en-US"/>
        </a:p>
      </dgm:t>
    </dgm:pt>
    <dgm:pt modelId="{DC02B16E-763B-4816-908B-CA2E1E127FE1}" type="pres">
      <dgm:prSet presAssocID="{3E48674A-6B24-4E68-B751-767EC246BF59}" presName="root" presStyleCnt="0">
        <dgm:presLayoutVars>
          <dgm:dir/>
          <dgm:resizeHandles val="exact"/>
        </dgm:presLayoutVars>
      </dgm:prSet>
      <dgm:spPr/>
      <dgm:t>
        <a:bodyPr/>
        <a:lstStyle/>
        <a:p>
          <a:endParaRPr lang="en-US"/>
        </a:p>
      </dgm:t>
    </dgm:pt>
    <dgm:pt modelId="{EA428848-A233-4613-8D47-FFCFE4C87591}" type="pres">
      <dgm:prSet presAssocID="{C60C4E6B-4656-4BC9-B914-955E0AB29F7E}" presName="compNode" presStyleCnt="0"/>
      <dgm:spPr/>
    </dgm:pt>
    <dgm:pt modelId="{8796CDB8-353D-4499-A9AD-337D74AD021A}" type="pres">
      <dgm:prSet presAssocID="{C60C4E6B-4656-4BC9-B914-955E0AB29F7E}" presName="iconRect" presStyleLbl="node1" presStyleIdx="0" presStyleCnt="3"/>
      <dgm:spPr>
        <a:blipFill>
          <a:blip xmlns:r="http://schemas.openxmlformats.org/officeDocument/2006/relationships" r:embed="rId1">
            <a:extLst>
              <a:ext uri="{28A0092B-C50C-407E-A947-70E740481C1C}">
                <a14:useLocalDpi xmlns:a14="http://schemas.microsoft.com/office/drawing/2010/main" xmlns="" val="0"/>
              </a:ext>
              <a:ext uri="{96DAC541-7B7A-43D3-8B79-37D633B846F1}">
                <asvg:svgBlip xmlns:asvg="http://schemas.microsoft.com/office/drawing/2016/SVG/main" xmlns="" r:embed=""/>
              </a:ext>
            </a:extLst>
          </a:blip>
          <a:stretch>
            <a:fillRect/>
          </a:stretch>
        </a:blipFill>
        <a:ln>
          <a:noFill/>
        </a:ln>
      </dgm:spPr>
      <dgm:extLst>
        <a:ext uri="{E40237B7-FDA0-4F09-8148-C483321AD2D9}">
          <dgm14:cNvPr xmlns:dgm14="http://schemas.microsoft.com/office/drawing/2010/diagram" xmlns="" id="0" name="" descr="Group of People"/>
        </a:ext>
      </dgm:extLst>
    </dgm:pt>
    <dgm:pt modelId="{86EA9C77-9D6E-4ECB-8B6C-8678E7C1B508}" type="pres">
      <dgm:prSet presAssocID="{C60C4E6B-4656-4BC9-B914-955E0AB29F7E}" presName="spaceRect" presStyleCnt="0"/>
      <dgm:spPr/>
    </dgm:pt>
    <dgm:pt modelId="{05D5A3F7-4130-4D14-8BB6-1E593339FED3}" type="pres">
      <dgm:prSet presAssocID="{C60C4E6B-4656-4BC9-B914-955E0AB29F7E}" presName="textRect" presStyleLbl="revTx" presStyleIdx="0" presStyleCnt="3">
        <dgm:presLayoutVars>
          <dgm:chMax val="1"/>
          <dgm:chPref val="1"/>
        </dgm:presLayoutVars>
      </dgm:prSet>
      <dgm:spPr/>
      <dgm:t>
        <a:bodyPr/>
        <a:lstStyle/>
        <a:p>
          <a:endParaRPr lang="en-US"/>
        </a:p>
      </dgm:t>
    </dgm:pt>
    <dgm:pt modelId="{A24F39B2-4BC8-473F-B53F-5AD900BA6A67}" type="pres">
      <dgm:prSet presAssocID="{AB57DBFE-E8E3-408B-8E1E-5E12FE010CC8}" presName="sibTrans" presStyleCnt="0"/>
      <dgm:spPr/>
    </dgm:pt>
    <dgm:pt modelId="{615B693C-165B-4234-B78C-7F41F2876425}" type="pres">
      <dgm:prSet presAssocID="{AE063856-4519-4B2D-B0A8-593D8EF6FC24}" presName="compNode" presStyleCnt="0"/>
      <dgm:spPr/>
    </dgm:pt>
    <dgm:pt modelId="{FCEA9A42-C2C4-49CE-B040-3E2B8EF989F2}" type="pres">
      <dgm:prSet presAssocID="{AE063856-4519-4B2D-B0A8-593D8EF6FC24}" presName="iconRect" presStyleLbl="node1" presStyleIdx="1" presStyleCnt="3"/>
      <dgm:spPr>
        <a:blipFill>
          <a:blip xmlns:r="http://schemas.openxmlformats.org/officeDocument/2006/relationships" r:embed="rId2">
            <a:extLst>
              <a:ext uri="{28A0092B-C50C-407E-A947-70E740481C1C}">
                <a14:useLocalDpi xmlns:a14="http://schemas.microsoft.com/office/drawing/2010/main" xmlns="" val="0"/>
              </a:ext>
              <a:ext uri="{96DAC541-7B7A-43D3-8B79-37D633B846F1}">
                <asvg:svgBlip xmlns:asvg="http://schemas.microsoft.com/office/drawing/2016/SVG/main" xmlns="" r:embed=""/>
              </a:ext>
            </a:extLst>
          </a:blip>
          <a:stretch>
            <a:fillRect/>
          </a:stretch>
        </a:blipFill>
        <a:ln>
          <a:noFill/>
        </a:ln>
      </dgm:spPr>
      <dgm:extLst>
        <a:ext uri="{E40237B7-FDA0-4F09-8148-C483321AD2D9}">
          <dgm14:cNvPr xmlns:dgm14="http://schemas.microsoft.com/office/drawing/2010/diagram" xmlns="" id="0" name="" descr="Hierarchy"/>
        </a:ext>
      </dgm:extLst>
    </dgm:pt>
    <dgm:pt modelId="{C4EC487E-C702-4739-B8FB-10DCA486086C}" type="pres">
      <dgm:prSet presAssocID="{AE063856-4519-4B2D-B0A8-593D8EF6FC24}" presName="spaceRect" presStyleCnt="0"/>
      <dgm:spPr/>
    </dgm:pt>
    <dgm:pt modelId="{E846B9B0-9777-46C0-9324-73FF89A1DE6B}" type="pres">
      <dgm:prSet presAssocID="{AE063856-4519-4B2D-B0A8-593D8EF6FC24}" presName="textRect" presStyleLbl="revTx" presStyleIdx="1" presStyleCnt="3">
        <dgm:presLayoutVars>
          <dgm:chMax val="1"/>
          <dgm:chPref val="1"/>
        </dgm:presLayoutVars>
      </dgm:prSet>
      <dgm:spPr/>
      <dgm:t>
        <a:bodyPr/>
        <a:lstStyle/>
        <a:p>
          <a:endParaRPr lang="en-US"/>
        </a:p>
      </dgm:t>
    </dgm:pt>
    <dgm:pt modelId="{42185AEB-958F-42A5-9A0F-9D2DF76C73B8}" type="pres">
      <dgm:prSet presAssocID="{BAA5392A-3057-43CC-B4FA-F7F4EB342FC7}" presName="sibTrans" presStyleCnt="0"/>
      <dgm:spPr/>
    </dgm:pt>
    <dgm:pt modelId="{94CA782E-A255-4CD4-ADCB-0A3665B1C57F}" type="pres">
      <dgm:prSet presAssocID="{4F03523C-0215-49C2-8AEC-B20E7B673F68}" presName="compNode" presStyleCnt="0"/>
      <dgm:spPr/>
    </dgm:pt>
    <dgm:pt modelId="{3B5E7161-5DF9-4583-9A15-13F3C0D4B09A}" type="pres">
      <dgm:prSet presAssocID="{4F03523C-0215-49C2-8AEC-B20E7B673F68}" presName="iconRect" presStyleLbl="node1" presStyleIdx="2" presStyleCnt="3"/>
      <dgm:spPr>
        <a:blipFill>
          <a:blip xmlns:r="http://schemas.openxmlformats.org/officeDocument/2006/relationships" r:embed="rId3">
            <a:extLst>
              <a:ext uri="{28A0092B-C50C-407E-A947-70E740481C1C}">
                <a14:useLocalDpi xmlns:a14="http://schemas.microsoft.com/office/drawing/2010/main" xmlns="" val="0"/>
              </a:ext>
              <a:ext uri="{96DAC541-7B7A-43D3-8B79-37D633B846F1}">
                <asvg:svgBlip xmlns:asvg="http://schemas.microsoft.com/office/drawing/2016/SVG/main" xmlns="" r:embed=""/>
              </a:ext>
            </a:extLst>
          </a:blip>
          <a:stretch>
            <a:fillRect/>
          </a:stretch>
        </a:blipFill>
        <a:ln>
          <a:noFill/>
        </a:ln>
      </dgm:spPr>
      <dgm:extLst>
        <a:ext uri="{E40237B7-FDA0-4F09-8148-C483321AD2D9}">
          <dgm14:cNvPr xmlns:dgm14="http://schemas.microsoft.com/office/drawing/2010/diagram" xmlns="" id="0" name="" descr="Irritant"/>
        </a:ext>
      </dgm:extLst>
    </dgm:pt>
    <dgm:pt modelId="{B3D784F1-CA53-4496-8C70-85633E878567}" type="pres">
      <dgm:prSet presAssocID="{4F03523C-0215-49C2-8AEC-B20E7B673F68}" presName="spaceRect" presStyleCnt="0"/>
      <dgm:spPr/>
    </dgm:pt>
    <dgm:pt modelId="{7AD5330A-E68F-4F0C-9849-2C189E1CAD1F}" type="pres">
      <dgm:prSet presAssocID="{4F03523C-0215-49C2-8AEC-B20E7B673F68}" presName="textRect" presStyleLbl="revTx" presStyleIdx="2" presStyleCnt="3">
        <dgm:presLayoutVars>
          <dgm:chMax val="1"/>
          <dgm:chPref val="1"/>
        </dgm:presLayoutVars>
      </dgm:prSet>
      <dgm:spPr/>
      <dgm:t>
        <a:bodyPr/>
        <a:lstStyle/>
        <a:p>
          <a:endParaRPr lang="en-US"/>
        </a:p>
      </dgm:t>
    </dgm:pt>
  </dgm:ptLst>
  <dgm:cxnLst>
    <dgm:cxn modelId="{EF6231B3-FF04-4075-88C9-7606A9C1EB02}" srcId="{3E48674A-6B24-4E68-B751-767EC246BF59}" destId="{C60C4E6B-4656-4BC9-B914-955E0AB29F7E}" srcOrd="0" destOrd="0" parTransId="{1F3E6E7D-221B-4AA0-A2F0-A9FC3E40EADA}" sibTransId="{AB57DBFE-E8E3-408B-8E1E-5E12FE010CC8}"/>
    <dgm:cxn modelId="{5F3AE519-A42D-4E3B-ADED-020ED33379FC}" type="presOf" srcId="{C60C4E6B-4656-4BC9-B914-955E0AB29F7E}" destId="{05D5A3F7-4130-4D14-8BB6-1E593339FED3}" srcOrd="0" destOrd="0" presId="urn:microsoft.com/office/officeart/2018/2/layout/IconLabelList"/>
    <dgm:cxn modelId="{797DAE52-FC35-437C-B020-181963D1AAEF}" srcId="{3E48674A-6B24-4E68-B751-767EC246BF59}" destId="{4F03523C-0215-49C2-8AEC-B20E7B673F68}" srcOrd="2" destOrd="0" parTransId="{4E17A68E-CE26-431B-AE58-F993DC77B3C5}" sibTransId="{F07FD7EB-34F7-4463-85E7-6EA788E687BE}"/>
    <dgm:cxn modelId="{5A4A9BD9-6C10-49F6-86C2-BA3CA482E75C}" type="presOf" srcId="{3E48674A-6B24-4E68-B751-767EC246BF59}" destId="{DC02B16E-763B-4816-908B-CA2E1E127FE1}" srcOrd="0" destOrd="0" presId="urn:microsoft.com/office/officeart/2018/2/layout/IconLabelList"/>
    <dgm:cxn modelId="{94771BC3-540A-4ECA-BEB3-CC0435A085B5}" type="presOf" srcId="{4F03523C-0215-49C2-8AEC-B20E7B673F68}" destId="{7AD5330A-E68F-4F0C-9849-2C189E1CAD1F}" srcOrd="0" destOrd="0" presId="urn:microsoft.com/office/officeart/2018/2/layout/IconLabelList"/>
    <dgm:cxn modelId="{79171AED-86C3-4186-860A-D59A75BBF579}" type="presOf" srcId="{AE063856-4519-4B2D-B0A8-593D8EF6FC24}" destId="{E846B9B0-9777-46C0-9324-73FF89A1DE6B}" srcOrd="0" destOrd="0" presId="urn:microsoft.com/office/officeart/2018/2/layout/IconLabelList"/>
    <dgm:cxn modelId="{CA660420-946E-42D3-A5DB-DE1A3CAC3BBA}" srcId="{3E48674A-6B24-4E68-B751-767EC246BF59}" destId="{AE063856-4519-4B2D-B0A8-593D8EF6FC24}" srcOrd="1" destOrd="0" parTransId="{F7797804-1DB7-48BE-9D88-0F71786692CD}" sibTransId="{BAA5392A-3057-43CC-B4FA-F7F4EB342FC7}"/>
    <dgm:cxn modelId="{CC751942-985C-46A5-A462-19110230751B}" type="presParOf" srcId="{DC02B16E-763B-4816-908B-CA2E1E127FE1}" destId="{EA428848-A233-4613-8D47-FFCFE4C87591}" srcOrd="0" destOrd="0" presId="urn:microsoft.com/office/officeart/2018/2/layout/IconLabelList"/>
    <dgm:cxn modelId="{BAAFD74D-E442-4446-A153-CBE33EC48C09}" type="presParOf" srcId="{EA428848-A233-4613-8D47-FFCFE4C87591}" destId="{8796CDB8-353D-4499-A9AD-337D74AD021A}" srcOrd="0" destOrd="0" presId="urn:microsoft.com/office/officeart/2018/2/layout/IconLabelList"/>
    <dgm:cxn modelId="{8313274E-2819-415B-ABEF-051CC79B4338}" type="presParOf" srcId="{EA428848-A233-4613-8D47-FFCFE4C87591}" destId="{86EA9C77-9D6E-4ECB-8B6C-8678E7C1B508}" srcOrd="1" destOrd="0" presId="urn:microsoft.com/office/officeart/2018/2/layout/IconLabelList"/>
    <dgm:cxn modelId="{EDC2C045-768E-4746-A76C-4E0199D62F24}" type="presParOf" srcId="{EA428848-A233-4613-8D47-FFCFE4C87591}" destId="{05D5A3F7-4130-4D14-8BB6-1E593339FED3}" srcOrd="2" destOrd="0" presId="urn:microsoft.com/office/officeart/2018/2/layout/IconLabelList"/>
    <dgm:cxn modelId="{5A54787F-4B9F-44CD-8205-0ED8131C47DF}" type="presParOf" srcId="{DC02B16E-763B-4816-908B-CA2E1E127FE1}" destId="{A24F39B2-4BC8-473F-B53F-5AD900BA6A67}" srcOrd="1" destOrd="0" presId="urn:microsoft.com/office/officeart/2018/2/layout/IconLabelList"/>
    <dgm:cxn modelId="{2A1853E7-7C53-437A-928D-A1E866A17CD1}" type="presParOf" srcId="{DC02B16E-763B-4816-908B-CA2E1E127FE1}" destId="{615B693C-165B-4234-B78C-7F41F2876425}" srcOrd="2" destOrd="0" presId="urn:microsoft.com/office/officeart/2018/2/layout/IconLabelList"/>
    <dgm:cxn modelId="{24E16A41-9773-49DA-BEB4-E30B3283E851}" type="presParOf" srcId="{615B693C-165B-4234-B78C-7F41F2876425}" destId="{FCEA9A42-C2C4-49CE-B040-3E2B8EF989F2}" srcOrd="0" destOrd="0" presId="urn:microsoft.com/office/officeart/2018/2/layout/IconLabelList"/>
    <dgm:cxn modelId="{FAD94A68-CBCC-46D0-8E2A-6103FA8FB60D}" type="presParOf" srcId="{615B693C-165B-4234-B78C-7F41F2876425}" destId="{C4EC487E-C702-4739-B8FB-10DCA486086C}" srcOrd="1" destOrd="0" presId="urn:microsoft.com/office/officeart/2018/2/layout/IconLabelList"/>
    <dgm:cxn modelId="{084FA696-F5CD-4B31-8B9E-20EFF1570256}" type="presParOf" srcId="{615B693C-165B-4234-B78C-7F41F2876425}" destId="{E846B9B0-9777-46C0-9324-73FF89A1DE6B}" srcOrd="2" destOrd="0" presId="urn:microsoft.com/office/officeart/2018/2/layout/IconLabelList"/>
    <dgm:cxn modelId="{45CBD296-C476-4A89-ADFD-AB573DEC1FA8}" type="presParOf" srcId="{DC02B16E-763B-4816-908B-CA2E1E127FE1}" destId="{42185AEB-958F-42A5-9A0F-9D2DF76C73B8}" srcOrd="3" destOrd="0" presId="urn:microsoft.com/office/officeart/2018/2/layout/IconLabelList"/>
    <dgm:cxn modelId="{9B58F411-8E59-436E-B789-0C210966D66E}" type="presParOf" srcId="{DC02B16E-763B-4816-908B-CA2E1E127FE1}" destId="{94CA782E-A255-4CD4-ADCB-0A3665B1C57F}" srcOrd="4" destOrd="0" presId="urn:microsoft.com/office/officeart/2018/2/layout/IconLabelList"/>
    <dgm:cxn modelId="{9480368F-FA1F-4F02-875E-0F59825339EF}" type="presParOf" srcId="{94CA782E-A255-4CD4-ADCB-0A3665B1C57F}" destId="{3B5E7161-5DF9-4583-9A15-13F3C0D4B09A}" srcOrd="0" destOrd="0" presId="urn:microsoft.com/office/officeart/2018/2/layout/IconLabelList"/>
    <dgm:cxn modelId="{3C7185FC-7687-44FA-A468-F2CC057F5E82}" type="presParOf" srcId="{94CA782E-A255-4CD4-ADCB-0A3665B1C57F}" destId="{B3D784F1-CA53-4496-8C70-85633E878567}" srcOrd="1" destOrd="0" presId="urn:microsoft.com/office/officeart/2018/2/layout/IconLabelList"/>
    <dgm:cxn modelId="{3611D041-42ED-465B-A19D-03556765F6D0}" type="presParOf" srcId="{94CA782E-A255-4CD4-ADCB-0A3665B1C57F}" destId="{7AD5330A-E68F-4F0C-9849-2C189E1CAD1F}" srcOrd="2" destOrd="0" presId="urn:microsoft.com/office/officeart/2018/2/layout/IconLabelList"/>
  </dgm:cxnLst>
  <dgm:bg/>
  <dgm:whole/>
</dgm:dataModel>
</file>

<file path=word/diagrams/data2.xml><?xml version="1.0" encoding="utf-8"?>
<dgm:dataModel xmlns:dgm="http://schemas.openxmlformats.org/drawingml/2006/diagram" xmlns:a="http://schemas.openxmlformats.org/drawingml/2006/main">
  <dgm:ptLst>
    <dgm:pt modelId="{0899784E-D3FC-495C-88F9-D80A4F4DF10D}" type="doc">
      <dgm:prSet loTypeId="urn:microsoft.com/office/officeart/2008/layout/LinedList" loCatId="list" qsTypeId="urn:microsoft.com/office/officeart/2005/8/quickstyle/simple2" qsCatId="simple" csTypeId="urn:microsoft.com/office/officeart/2005/8/colors/colorful5" csCatId="colorful" phldr="1"/>
      <dgm:spPr/>
      <dgm:t>
        <a:bodyPr/>
        <a:lstStyle/>
        <a:p>
          <a:endParaRPr lang="en-US"/>
        </a:p>
      </dgm:t>
    </dgm:pt>
    <dgm:pt modelId="{2910002B-FB24-45D0-9C99-120F65472A45}">
      <dgm:prSet custT="1"/>
      <dgm:spPr/>
      <dgm:t>
        <a:bodyPr/>
        <a:lstStyle/>
        <a:p>
          <a:r>
            <a:rPr lang="en-US" sz="1800" b="1" dirty="0"/>
            <a:t>William Hill </a:t>
          </a:r>
          <a:r>
            <a:rPr lang="en-US" sz="1800" dirty="0"/>
            <a:t>is a well-known bookmaker located in London, the United Kingdom. While gambling was still prohibited in 1934, the company was able to build a foothold in the industry over time. </a:t>
          </a:r>
        </a:p>
      </dgm:t>
    </dgm:pt>
    <dgm:pt modelId="{4EA237A9-3350-4AD2-9E49-276ECD4F901F}" type="parTrans" cxnId="{83AC096C-DD70-4589-AD72-1EBE1B63E9AD}">
      <dgm:prSet/>
      <dgm:spPr/>
      <dgm:t>
        <a:bodyPr/>
        <a:lstStyle/>
        <a:p>
          <a:endParaRPr lang="en-US"/>
        </a:p>
      </dgm:t>
    </dgm:pt>
    <dgm:pt modelId="{FA5AE4B6-F089-4C5A-8AC2-4E9DE550FD9F}" type="sibTrans" cxnId="{83AC096C-DD70-4589-AD72-1EBE1B63E9AD}">
      <dgm:prSet/>
      <dgm:spPr/>
      <dgm:t>
        <a:bodyPr/>
        <a:lstStyle/>
        <a:p>
          <a:endParaRPr lang="en-US"/>
        </a:p>
      </dgm:t>
    </dgm:pt>
    <dgm:pt modelId="{87C1EE85-E0CB-7444-BF31-2D5B962EAD4C}" type="pres">
      <dgm:prSet presAssocID="{0899784E-D3FC-495C-88F9-D80A4F4DF10D}" presName="vert0" presStyleCnt="0">
        <dgm:presLayoutVars>
          <dgm:dir/>
          <dgm:animOne val="branch"/>
          <dgm:animLvl val="lvl"/>
        </dgm:presLayoutVars>
      </dgm:prSet>
      <dgm:spPr/>
      <dgm:t>
        <a:bodyPr/>
        <a:lstStyle/>
        <a:p>
          <a:endParaRPr lang="en-US"/>
        </a:p>
      </dgm:t>
    </dgm:pt>
    <dgm:pt modelId="{0A3D35A1-4B75-B64B-8BED-E4D955BED53C}" type="pres">
      <dgm:prSet presAssocID="{2910002B-FB24-45D0-9C99-120F65472A45}" presName="thickLine" presStyleLbl="alignNode1" presStyleIdx="0" presStyleCnt="1"/>
      <dgm:spPr/>
    </dgm:pt>
    <dgm:pt modelId="{019BCDB9-0B0F-EF4B-B6E8-0AA9B1B5E925}" type="pres">
      <dgm:prSet presAssocID="{2910002B-FB24-45D0-9C99-120F65472A45}" presName="horz1" presStyleCnt="0"/>
      <dgm:spPr/>
    </dgm:pt>
    <dgm:pt modelId="{2FE2658E-8FB7-5A40-8F8C-46E1C9837206}" type="pres">
      <dgm:prSet presAssocID="{2910002B-FB24-45D0-9C99-120F65472A45}" presName="tx1" presStyleLbl="revTx" presStyleIdx="0" presStyleCnt="1"/>
      <dgm:spPr/>
      <dgm:t>
        <a:bodyPr/>
        <a:lstStyle/>
        <a:p>
          <a:endParaRPr lang="en-US"/>
        </a:p>
      </dgm:t>
    </dgm:pt>
    <dgm:pt modelId="{01F97477-E22F-4C4C-A2B2-C1157878CCFC}" type="pres">
      <dgm:prSet presAssocID="{2910002B-FB24-45D0-9C99-120F65472A45}" presName="vert1" presStyleCnt="0"/>
      <dgm:spPr/>
    </dgm:pt>
  </dgm:ptLst>
  <dgm:cxnLst>
    <dgm:cxn modelId="{83AC096C-DD70-4589-AD72-1EBE1B63E9AD}" srcId="{0899784E-D3FC-495C-88F9-D80A4F4DF10D}" destId="{2910002B-FB24-45D0-9C99-120F65472A45}" srcOrd="0" destOrd="0" parTransId="{4EA237A9-3350-4AD2-9E49-276ECD4F901F}" sibTransId="{FA5AE4B6-F089-4C5A-8AC2-4E9DE550FD9F}"/>
    <dgm:cxn modelId="{B7811544-E35B-42F9-9DDF-79A42D610F63}" type="presOf" srcId="{0899784E-D3FC-495C-88F9-D80A4F4DF10D}" destId="{87C1EE85-E0CB-7444-BF31-2D5B962EAD4C}" srcOrd="0" destOrd="0" presId="urn:microsoft.com/office/officeart/2008/layout/LinedList"/>
    <dgm:cxn modelId="{CA284D2E-D206-4D0C-9C94-D7A9968B1D50}" type="presOf" srcId="{2910002B-FB24-45D0-9C99-120F65472A45}" destId="{2FE2658E-8FB7-5A40-8F8C-46E1C9837206}" srcOrd="0" destOrd="0" presId="urn:microsoft.com/office/officeart/2008/layout/LinedList"/>
    <dgm:cxn modelId="{396F2B09-5E46-4A79-BE6B-5E9C8BE90C1D}" type="presParOf" srcId="{87C1EE85-E0CB-7444-BF31-2D5B962EAD4C}" destId="{0A3D35A1-4B75-B64B-8BED-E4D955BED53C}" srcOrd="0" destOrd="0" presId="urn:microsoft.com/office/officeart/2008/layout/LinedList"/>
    <dgm:cxn modelId="{1781FBFA-AE32-43AB-A310-77C456935EC8}" type="presParOf" srcId="{87C1EE85-E0CB-7444-BF31-2D5B962EAD4C}" destId="{019BCDB9-0B0F-EF4B-B6E8-0AA9B1B5E925}" srcOrd="1" destOrd="0" presId="urn:microsoft.com/office/officeart/2008/layout/LinedList"/>
    <dgm:cxn modelId="{D9C65D75-4DEC-4F76-BB85-016D0D468781}" type="presParOf" srcId="{019BCDB9-0B0F-EF4B-B6E8-0AA9B1B5E925}" destId="{2FE2658E-8FB7-5A40-8F8C-46E1C9837206}" srcOrd="0" destOrd="0" presId="urn:microsoft.com/office/officeart/2008/layout/LinedList"/>
    <dgm:cxn modelId="{821E07B2-A0A7-4E18-A238-4107AE2ED022}" type="presParOf" srcId="{019BCDB9-0B0F-EF4B-B6E8-0AA9B1B5E925}" destId="{01F97477-E22F-4C4C-A2B2-C1157878CCFC}" srcOrd="1" destOrd="0" presId="urn:microsoft.com/office/officeart/2008/layout/LinedList"/>
  </dgm:cxnLst>
  <dgm:bg/>
  <dgm:whole/>
</dgm:dataModel>
</file>

<file path=word/diagrams/data3.xml><?xml version="1.0" encoding="utf-8"?>
<dgm:dataModel xmlns:dgm="http://schemas.openxmlformats.org/drawingml/2006/diagram" xmlns:a="http://schemas.openxmlformats.org/drawingml/2006/main">
  <dgm:ptLst>
    <dgm:pt modelId="{E4C7B03A-04E4-46E6-8F9A-ED26DDF8808C}" type="doc">
      <dgm:prSet loTypeId="urn:microsoft.com/office/officeart/2005/8/layout/vList2" loCatId="list" qsTypeId="urn:microsoft.com/office/officeart/2005/8/quickstyle/simple1" qsCatId="simple" csTypeId="urn:microsoft.com/office/officeart/2005/8/colors/accent3_2" csCatId="accent3" phldr="1"/>
      <dgm:spPr/>
      <dgm:t>
        <a:bodyPr/>
        <a:lstStyle/>
        <a:p>
          <a:endParaRPr lang="en-US"/>
        </a:p>
      </dgm:t>
    </dgm:pt>
    <dgm:pt modelId="{905022AD-A5A0-A848-A022-E20766E1764B}">
      <dgm:prSet/>
      <dgm:spPr>
        <a:solidFill>
          <a:schemeClr val="bg1"/>
        </a:solidFill>
      </dgm:spPr>
      <dgm:t>
        <a:bodyPr/>
        <a:lstStyle/>
        <a:p>
          <a:r>
            <a:rPr lang="en-US" dirty="0">
              <a:solidFill>
                <a:schemeClr val="tx1"/>
              </a:solidFill>
            </a:rPr>
            <a:t>FFU, (2020). </a:t>
          </a:r>
          <a:r>
            <a:rPr lang="en-US" i="1" dirty="0">
              <a:solidFill>
                <a:schemeClr val="tx1"/>
              </a:solidFill>
            </a:rPr>
            <a:t>William Hill Plc </a:t>
          </a:r>
          <a:r>
            <a:rPr lang="en-US" dirty="0">
              <a:solidFill>
                <a:schemeClr val="tx1"/>
              </a:solidFill>
            </a:rPr>
            <a:t>SWOT Analysis / Matrix. http://fernfortuniversity.com/term-papers/swot/nyse/6923-william-hill-plc.php</a:t>
          </a:r>
          <a:endParaRPr lang="x-none" dirty="0">
            <a:solidFill>
              <a:schemeClr val="tx1"/>
            </a:solidFill>
          </a:endParaRPr>
        </a:p>
      </dgm:t>
    </dgm:pt>
    <dgm:pt modelId="{765FFB65-90CA-AE4D-98F9-35C3EB9C0136}" type="parTrans" cxnId="{E30EFF07-9FD9-5544-82F4-01C34271D93A}">
      <dgm:prSet/>
      <dgm:spPr/>
      <dgm:t>
        <a:bodyPr/>
        <a:lstStyle/>
        <a:p>
          <a:endParaRPr lang="en-US"/>
        </a:p>
      </dgm:t>
    </dgm:pt>
    <dgm:pt modelId="{1CF07240-A2FA-BA4B-AF83-F9C1D12231F4}" type="sibTrans" cxnId="{E30EFF07-9FD9-5544-82F4-01C34271D93A}">
      <dgm:prSet/>
      <dgm:spPr/>
      <dgm:t>
        <a:bodyPr/>
        <a:lstStyle/>
        <a:p>
          <a:endParaRPr lang="en-US"/>
        </a:p>
      </dgm:t>
    </dgm:pt>
    <dgm:pt modelId="{ABB554E1-9DC0-0F40-93AF-669A045A3B1F}">
      <dgm:prSet/>
      <dgm:spPr>
        <a:solidFill>
          <a:schemeClr val="bg1"/>
        </a:solidFill>
      </dgm:spPr>
      <dgm:t>
        <a:bodyPr/>
        <a:lstStyle/>
        <a:p>
          <a:r>
            <a:rPr lang="en-US" dirty="0">
              <a:solidFill>
                <a:schemeClr val="tx1"/>
              </a:solidFill>
            </a:rPr>
            <a:t>Fern Fort University, (2022). </a:t>
          </a:r>
          <a:r>
            <a:rPr lang="en-US" i="1" dirty="0">
              <a:solidFill>
                <a:schemeClr val="tx1"/>
              </a:solidFill>
            </a:rPr>
            <a:t>William Hill Plc PESTEL &amp; Environment Analysis. </a:t>
          </a:r>
          <a:r>
            <a:rPr lang="en-US" dirty="0">
              <a:solidFill>
                <a:schemeClr val="tx1"/>
              </a:solidFill>
            </a:rPr>
            <a:t>http://fernfortuniversity.com/term-papers/pestel/nyse4/6923-william-hill-plc.php</a:t>
          </a:r>
          <a:endParaRPr lang="x-none" dirty="0">
            <a:solidFill>
              <a:schemeClr val="tx1"/>
            </a:solidFill>
          </a:endParaRPr>
        </a:p>
      </dgm:t>
    </dgm:pt>
    <dgm:pt modelId="{34E53DB1-DD85-3241-AE6C-0BEBC0462417}" type="parTrans" cxnId="{A3E2EE02-4662-F84D-8F6F-4A0E3FA34E5F}">
      <dgm:prSet/>
      <dgm:spPr/>
      <dgm:t>
        <a:bodyPr/>
        <a:lstStyle/>
        <a:p>
          <a:endParaRPr lang="en-US"/>
        </a:p>
      </dgm:t>
    </dgm:pt>
    <dgm:pt modelId="{E8DF8E10-1F36-5A44-86D7-0B86E0F7F08C}" type="sibTrans" cxnId="{A3E2EE02-4662-F84D-8F6F-4A0E3FA34E5F}">
      <dgm:prSet/>
      <dgm:spPr/>
      <dgm:t>
        <a:bodyPr/>
        <a:lstStyle/>
        <a:p>
          <a:endParaRPr lang="en-US"/>
        </a:p>
      </dgm:t>
    </dgm:pt>
    <dgm:pt modelId="{1B2F2E2F-9CB7-F54D-8458-9289814BCB1C}">
      <dgm:prSet/>
      <dgm:spPr>
        <a:solidFill>
          <a:schemeClr val="bg1"/>
        </a:solidFill>
      </dgm:spPr>
      <dgm:t>
        <a:bodyPr/>
        <a:lstStyle/>
        <a:p>
          <a:r>
            <a:rPr lang="en-US" dirty="0">
              <a:solidFill>
                <a:schemeClr val="tx1"/>
              </a:solidFill>
            </a:rPr>
            <a:t>Jonathan T. (2020). </a:t>
          </a:r>
          <a:r>
            <a:rPr lang="en-US" i="1" dirty="0">
              <a:solidFill>
                <a:schemeClr val="tx1"/>
              </a:solidFill>
            </a:rPr>
            <a:t>Fishbone Diagram: Determining </a:t>
          </a:r>
          <a:r>
            <a:rPr lang="en-US" dirty="0">
              <a:solidFill>
                <a:schemeClr val="tx1"/>
              </a:solidFill>
            </a:rPr>
            <a:t>Cause and Effect. https://www.reliableplant.com/fishbone-diagram-31877</a:t>
          </a:r>
          <a:endParaRPr lang="x-none" dirty="0">
            <a:solidFill>
              <a:schemeClr val="tx1"/>
            </a:solidFill>
          </a:endParaRPr>
        </a:p>
      </dgm:t>
    </dgm:pt>
    <dgm:pt modelId="{0761FAC2-9E99-774C-A412-78C3F36519A5}" type="parTrans" cxnId="{EFB6A39E-ED4C-F148-BAA2-B8F22ABAD865}">
      <dgm:prSet/>
      <dgm:spPr/>
      <dgm:t>
        <a:bodyPr/>
        <a:lstStyle/>
        <a:p>
          <a:endParaRPr lang="en-US"/>
        </a:p>
      </dgm:t>
    </dgm:pt>
    <dgm:pt modelId="{5F2BFA8F-F0C9-BB40-8D96-30CA5308D4B8}" type="sibTrans" cxnId="{EFB6A39E-ED4C-F148-BAA2-B8F22ABAD865}">
      <dgm:prSet/>
      <dgm:spPr/>
      <dgm:t>
        <a:bodyPr/>
        <a:lstStyle/>
        <a:p>
          <a:endParaRPr lang="en-US"/>
        </a:p>
      </dgm:t>
    </dgm:pt>
    <dgm:pt modelId="{C64C2067-6881-5245-9442-0558598D8979}">
      <dgm:prSet/>
      <dgm:spPr>
        <a:solidFill>
          <a:schemeClr val="bg1"/>
        </a:solidFill>
      </dgm:spPr>
      <dgm:t>
        <a:bodyPr/>
        <a:lstStyle/>
        <a:p>
          <a:r>
            <a:rPr lang="en-US" dirty="0" err="1">
              <a:solidFill>
                <a:schemeClr val="tx1"/>
              </a:solidFill>
            </a:rPr>
            <a:t>Kunc</a:t>
          </a:r>
          <a:r>
            <a:rPr lang="en-US" dirty="0">
              <a:solidFill>
                <a:schemeClr val="tx1"/>
              </a:solidFill>
            </a:rPr>
            <a:t>, M. (2019, December). Strategic planning: The role of hybrid modelling. In 2019 </a:t>
          </a:r>
          <a:r>
            <a:rPr lang="en-US" i="1" dirty="0">
              <a:solidFill>
                <a:schemeClr val="tx1"/>
              </a:solidFill>
            </a:rPr>
            <a:t>Winter Simulation Conference </a:t>
          </a:r>
          <a:r>
            <a:rPr lang="en-US" dirty="0">
              <a:solidFill>
                <a:schemeClr val="tx1"/>
              </a:solidFill>
            </a:rPr>
            <a:t>(WSC) (pp. 1280-1291). IEEE.</a:t>
          </a:r>
          <a:endParaRPr lang="x-none" dirty="0">
            <a:solidFill>
              <a:schemeClr val="tx1"/>
            </a:solidFill>
          </a:endParaRPr>
        </a:p>
      </dgm:t>
    </dgm:pt>
    <dgm:pt modelId="{3387350F-D00B-1D4C-B770-A0E65824A0A7}" type="parTrans" cxnId="{E7A2CC51-3C58-524F-885F-4FE3056E0E6F}">
      <dgm:prSet/>
      <dgm:spPr/>
      <dgm:t>
        <a:bodyPr/>
        <a:lstStyle/>
        <a:p>
          <a:endParaRPr lang="en-US"/>
        </a:p>
      </dgm:t>
    </dgm:pt>
    <dgm:pt modelId="{1B37E915-98AB-D647-9C95-62D7CD89A9C1}" type="sibTrans" cxnId="{E7A2CC51-3C58-524F-885F-4FE3056E0E6F}">
      <dgm:prSet/>
      <dgm:spPr/>
      <dgm:t>
        <a:bodyPr/>
        <a:lstStyle/>
        <a:p>
          <a:endParaRPr lang="en-US"/>
        </a:p>
      </dgm:t>
    </dgm:pt>
    <dgm:pt modelId="{9AEEAA00-4C2A-944D-9ABE-1DE1CE3206CC}" type="pres">
      <dgm:prSet presAssocID="{E4C7B03A-04E4-46E6-8F9A-ED26DDF8808C}" presName="linear" presStyleCnt="0">
        <dgm:presLayoutVars>
          <dgm:animLvl val="lvl"/>
          <dgm:resizeHandles val="exact"/>
        </dgm:presLayoutVars>
      </dgm:prSet>
      <dgm:spPr/>
      <dgm:t>
        <a:bodyPr/>
        <a:lstStyle/>
        <a:p>
          <a:endParaRPr lang="en-US"/>
        </a:p>
      </dgm:t>
    </dgm:pt>
    <dgm:pt modelId="{2B63976B-5EDC-AC42-B6C7-8288BE7E6764}" type="pres">
      <dgm:prSet presAssocID="{905022AD-A5A0-A848-A022-E20766E1764B}" presName="parentText" presStyleLbl="node1" presStyleIdx="0" presStyleCnt="4">
        <dgm:presLayoutVars>
          <dgm:chMax val="0"/>
          <dgm:bulletEnabled val="1"/>
        </dgm:presLayoutVars>
      </dgm:prSet>
      <dgm:spPr/>
      <dgm:t>
        <a:bodyPr/>
        <a:lstStyle/>
        <a:p>
          <a:endParaRPr lang="en-US"/>
        </a:p>
      </dgm:t>
    </dgm:pt>
    <dgm:pt modelId="{FD0B71A7-6622-A64A-A92C-21E797F70DF9}" type="pres">
      <dgm:prSet presAssocID="{1CF07240-A2FA-BA4B-AF83-F9C1D12231F4}" presName="spacer" presStyleCnt="0"/>
      <dgm:spPr/>
    </dgm:pt>
    <dgm:pt modelId="{AAE0F9B9-5C25-104C-8E9C-3D2A3FF72B43}" type="pres">
      <dgm:prSet presAssocID="{ABB554E1-9DC0-0F40-93AF-669A045A3B1F}" presName="parentText" presStyleLbl="node1" presStyleIdx="1" presStyleCnt="4">
        <dgm:presLayoutVars>
          <dgm:chMax val="0"/>
          <dgm:bulletEnabled val="1"/>
        </dgm:presLayoutVars>
      </dgm:prSet>
      <dgm:spPr/>
      <dgm:t>
        <a:bodyPr/>
        <a:lstStyle/>
        <a:p>
          <a:endParaRPr lang="en-US"/>
        </a:p>
      </dgm:t>
    </dgm:pt>
    <dgm:pt modelId="{42248125-C603-5A47-A2E5-EDD464EE8EDF}" type="pres">
      <dgm:prSet presAssocID="{E8DF8E10-1F36-5A44-86D7-0B86E0F7F08C}" presName="spacer" presStyleCnt="0"/>
      <dgm:spPr/>
    </dgm:pt>
    <dgm:pt modelId="{1CD6BF72-ADD0-3F42-AD13-204027540EF1}" type="pres">
      <dgm:prSet presAssocID="{1B2F2E2F-9CB7-F54D-8458-9289814BCB1C}" presName="parentText" presStyleLbl="node1" presStyleIdx="2" presStyleCnt="4">
        <dgm:presLayoutVars>
          <dgm:chMax val="0"/>
          <dgm:bulletEnabled val="1"/>
        </dgm:presLayoutVars>
      </dgm:prSet>
      <dgm:spPr/>
      <dgm:t>
        <a:bodyPr/>
        <a:lstStyle/>
        <a:p>
          <a:endParaRPr lang="en-US"/>
        </a:p>
      </dgm:t>
    </dgm:pt>
    <dgm:pt modelId="{078954FA-9FEC-E44C-BA64-33EE1DCE2B0F}" type="pres">
      <dgm:prSet presAssocID="{5F2BFA8F-F0C9-BB40-8D96-30CA5308D4B8}" presName="spacer" presStyleCnt="0"/>
      <dgm:spPr/>
    </dgm:pt>
    <dgm:pt modelId="{CDC52F71-A444-CB4F-B0B1-BB799EEE801B}" type="pres">
      <dgm:prSet presAssocID="{C64C2067-6881-5245-9442-0558598D8979}" presName="parentText" presStyleLbl="node1" presStyleIdx="3" presStyleCnt="4">
        <dgm:presLayoutVars>
          <dgm:chMax val="0"/>
          <dgm:bulletEnabled val="1"/>
        </dgm:presLayoutVars>
      </dgm:prSet>
      <dgm:spPr/>
      <dgm:t>
        <a:bodyPr/>
        <a:lstStyle/>
        <a:p>
          <a:endParaRPr lang="en-US"/>
        </a:p>
      </dgm:t>
    </dgm:pt>
  </dgm:ptLst>
  <dgm:cxnLst>
    <dgm:cxn modelId="{721BF104-B379-4897-A782-46713F66683E}" type="presOf" srcId="{ABB554E1-9DC0-0F40-93AF-669A045A3B1F}" destId="{AAE0F9B9-5C25-104C-8E9C-3D2A3FF72B43}" srcOrd="0" destOrd="0" presId="urn:microsoft.com/office/officeart/2005/8/layout/vList2"/>
    <dgm:cxn modelId="{215911C6-3F2E-4A2F-B416-57BB5E9B342C}" type="presOf" srcId="{C64C2067-6881-5245-9442-0558598D8979}" destId="{CDC52F71-A444-CB4F-B0B1-BB799EEE801B}" srcOrd="0" destOrd="0" presId="urn:microsoft.com/office/officeart/2005/8/layout/vList2"/>
    <dgm:cxn modelId="{3FDB363F-E78F-459A-A0E6-01BF511F6196}" type="presOf" srcId="{1B2F2E2F-9CB7-F54D-8458-9289814BCB1C}" destId="{1CD6BF72-ADD0-3F42-AD13-204027540EF1}" srcOrd="0" destOrd="0" presId="urn:microsoft.com/office/officeart/2005/8/layout/vList2"/>
    <dgm:cxn modelId="{E30EFF07-9FD9-5544-82F4-01C34271D93A}" srcId="{E4C7B03A-04E4-46E6-8F9A-ED26DDF8808C}" destId="{905022AD-A5A0-A848-A022-E20766E1764B}" srcOrd="0" destOrd="0" parTransId="{765FFB65-90CA-AE4D-98F9-35C3EB9C0136}" sibTransId="{1CF07240-A2FA-BA4B-AF83-F9C1D12231F4}"/>
    <dgm:cxn modelId="{22F60585-91F0-48CB-8925-8D9E44F80606}" type="presOf" srcId="{E4C7B03A-04E4-46E6-8F9A-ED26DDF8808C}" destId="{9AEEAA00-4C2A-944D-9ABE-1DE1CE3206CC}" srcOrd="0" destOrd="0" presId="urn:microsoft.com/office/officeart/2005/8/layout/vList2"/>
    <dgm:cxn modelId="{9419F72B-B958-46BF-AD40-751A1609E320}" type="presOf" srcId="{905022AD-A5A0-A848-A022-E20766E1764B}" destId="{2B63976B-5EDC-AC42-B6C7-8288BE7E6764}" srcOrd="0" destOrd="0" presId="urn:microsoft.com/office/officeart/2005/8/layout/vList2"/>
    <dgm:cxn modelId="{E7A2CC51-3C58-524F-885F-4FE3056E0E6F}" srcId="{E4C7B03A-04E4-46E6-8F9A-ED26DDF8808C}" destId="{C64C2067-6881-5245-9442-0558598D8979}" srcOrd="3" destOrd="0" parTransId="{3387350F-D00B-1D4C-B770-A0E65824A0A7}" sibTransId="{1B37E915-98AB-D647-9C95-62D7CD89A9C1}"/>
    <dgm:cxn modelId="{A3E2EE02-4662-F84D-8F6F-4A0E3FA34E5F}" srcId="{E4C7B03A-04E4-46E6-8F9A-ED26DDF8808C}" destId="{ABB554E1-9DC0-0F40-93AF-669A045A3B1F}" srcOrd="1" destOrd="0" parTransId="{34E53DB1-DD85-3241-AE6C-0BEBC0462417}" sibTransId="{E8DF8E10-1F36-5A44-86D7-0B86E0F7F08C}"/>
    <dgm:cxn modelId="{EFB6A39E-ED4C-F148-BAA2-B8F22ABAD865}" srcId="{E4C7B03A-04E4-46E6-8F9A-ED26DDF8808C}" destId="{1B2F2E2F-9CB7-F54D-8458-9289814BCB1C}" srcOrd="2" destOrd="0" parTransId="{0761FAC2-9E99-774C-A412-78C3F36519A5}" sibTransId="{5F2BFA8F-F0C9-BB40-8D96-30CA5308D4B8}"/>
    <dgm:cxn modelId="{50E9FD79-74BF-41CA-BF25-A5ED3255836D}" type="presParOf" srcId="{9AEEAA00-4C2A-944D-9ABE-1DE1CE3206CC}" destId="{2B63976B-5EDC-AC42-B6C7-8288BE7E6764}" srcOrd="0" destOrd="0" presId="urn:microsoft.com/office/officeart/2005/8/layout/vList2"/>
    <dgm:cxn modelId="{0698E372-721B-4F54-9B7D-6E582753D655}" type="presParOf" srcId="{9AEEAA00-4C2A-944D-9ABE-1DE1CE3206CC}" destId="{FD0B71A7-6622-A64A-A92C-21E797F70DF9}" srcOrd="1" destOrd="0" presId="urn:microsoft.com/office/officeart/2005/8/layout/vList2"/>
    <dgm:cxn modelId="{3E2E22E8-A701-4154-A107-B01963656032}" type="presParOf" srcId="{9AEEAA00-4C2A-944D-9ABE-1DE1CE3206CC}" destId="{AAE0F9B9-5C25-104C-8E9C-3D2A3FF72B43}" srcOrd="2" destOrd="0" presId="urn:microsoft.com/office/officeart/2005/8/layout/vList2"/>
    <dgm:cxn modelId="{15934A1A-6F83-46B1-A737-998BE755319E}" type="presParOf" srcId="{9AEEAA00-4C2A-944D-9ABE-1DE1CE3206CC}" destId="{42248125-C603-5A47-A2E5-EDD464EE8EDF}" srcOrd="3" destOrd="0" presId="urn:microsoft.com/office/officeart/2005/8/layout/vList2"/>
    <dgm:cxn modelId="{43B2F15F-D512-4B39-86F3-92AA3D9A2005}" type="presParOf" srcId="{9AEEAA00-4C2A-944D-9ABE-1DE1CE3206CC}" destId="{1CD6BF72-ADD0-3F42-AD13-204027540EF1}" srcOrd="4" destOrd="0" presId="urn:microsoft.com/office/officeart/2005/8/layout/vList2"/>
    <dgm:cxn modelId="{D7201C6F-623D-4E36-A9C6-5865E86225B5}" type="presParOf" srcId="{9AEEAA00-4C2A-944D-9ABE-1DE1CE3206CC}" destId="{078954FA-9FEC-E44C-BA64-33EE1DCE2B0F}" srcOrd="5" destOrd="0" presId="urn:microsoft.com/office/officeart/2005/8/layout/vList2"/>
    <dgm:cxn modelId="{6B3CF4E2-5E69-45C6-A33F-FE68BA052504}" type="presParOf" srcId="{9AEEAA00-4C2A-944D-9ABE-1DE1CE3206CC}" destId="{CDC52F71-A444-CB4F-B0B1-BB799EEE801B}" srcOrd="6" destOrd="0" presId="urn:microsoft.com/office/officeart/2005/8/layout/vList2"/>
  </dgm:cxnLst>
  <dgm:bg/>
  <dgm:whole/>
</dgm:dataModel>
</file>

<file path=word/diagrams/data4.xml><?xml version="1.0" encoding="utf-8"?>
<dgm:dataModel xmlns:dgm="http://schemas.openxmlformats.org/drawingml/2006/diagram" xmlns:a="http://schemas.openxmlformats.org/drawingml/2006/main">
  <dgm:ptLst>
    <dgm:pt modelId="{E4C7B03A-04E4-46E6-8F9A-ED26DDF8808C}" type="doc">
      <dgm:prSet loTypeId="urn:microsoft.com/office/officeart/2005/8/layout/vList2" loCatId="list" qsTypeId="urn:microsoft.com/office/officeart/2005/8/quickstyle/simple1" qsCatId="simple" csTypeId="urn:microsoft.com/office/officeart/2005/8/colors/accent3_2" csCatId="accent3" phldr="1"/>
      <dgm:spPr/>
      <dgm:t>
        <a:bodyPr/>
        <a:lstStyle/>
        <a:p>
          <a:endParaRPr lang="en-US"/>
        </a:p>
      </dgm:t>
    </dgm:pt>
    <dgm:pt modelId="{905022AD-A5A0-A848-A022-E20766E1764B}">
      <dgm:prSet/>
      <dgm:spPr>
        <a:solidFill>
          <a:schemeClr val="bg1"/>
        </a:solidFill>
      </dgm:spPr>
      <dgm:t>
        <a:bodyPr/>
        <a:lstStyle/>
        <a:p>
          <a:r>
            <a:rPr lang="en-US" dirty="0">
              <a:solidFill>
                <a:schemeClr val="tx1"/>
              </a:solidFill>
            </a:rPr>
            <a:t>FFU, (2020). </a:t>
          </a:r>
          <a:r>
            <a:rPr lang="en-US" i="1" dirty="0">
              <a:solidFill>
                <a:schemeClr val="tx1"/>
              </a:solidFill>
            </a:rPr>
            <a:t>William Hill Plc </a:t>
          </a:r>
          <a:r>
            <a:rPr lang="en-US" dirty="0">
              <a:solidFill>
                <a:schemeClr val="tx1"/>
              </a:solidFill>
            </a:rPr>
            <a:t>SWOT Analysis / Matrix. http://fernfortuniversity.com/term-papers/swot/nyse/6923-william-hill-plc.php</a:t>
          </a:r>
          <a:endParaRPr lang="x-none" dirty="0">
            <a:solidFill>
              <a:schemeClr val="tx1"/>
            </a:solidFill>
          </a:endParaRPr>
        </a:p>
      </dgm:t>
    </dgm:pt>
    <dgm:pt modelId="{765FFB65-90CA-AE4D-98F9-35C3EB9C0136}" type="parTrans" cxnId="{E30EFF07-9FD9-5544-82F4-01C34271D93A}">
      <dgm:prSet/>
      <dgm:spPr/>
      <dgm:t>
        <a:bodyPr/>
        <a:lstStyle/>
        <a:p>
          <a:endParaRPr lang="en-US"/>
        </a:p>
      </dgm:t>
    </dgm:pt>
    <dgm:pt modelId="{1CF07240-A2FA-BA4B-AF83-F9C1D12231F4}" type="sibTrans" cxnId="{E30EFF07-9FD9-5544-82F4-01C34271D93A}">
      <dgm:prSet/>
      <dgm:spPr/>
      <dgm:t>
        <a:bodyPr/>
        <a:lstStyle/>
        <a:p>
          <a:endParaRPr lang="en-US"/>
        </a:p>
      </dgm:t>
    </dgm:pt>
    <dgm:pt modelId="{ABB554E1-9DC0-0F40-93AF-669A045A3B1F}">
      <dgm:prSet/>
      <dgm:spPr>
        <a:solidFill>
          <a:schemeClr val="bg1"/>
        </a:solidFill>
      </dgm:spPr>
      <dgm:t>
        <a:bodyPr/>
        <a:lstStyle/>
        <a:p>
          <a:r>
            <a:rPr lang="en-US" dirty="0">
              <a:solidFill>
                <a:schemeClr val="tx1"/>
              </a:solidFill>
            </a:rPr>
            <a:t>Fern Fort University, (2022). </a:t>
          </a:r>
          <a:r>
            <a:rPr lang="en-US" i="1" dirty="0">
              <a:solidFill>
                <a:schemeClr val="tx1"/>
              </a:solidFill>
            </a:rPr>
            <a:t>William Hill Plc PESTEL &amp; Environment Analysis. </a:t>
          </a:r>
          <a:r>
            <a:rPr lang="en-US" dirty="0">
              <a:solidFill>
                <a:schemeClr val="tx1"/>
              </a:solidFill>
            </a:rPr>
            <a:t>http://fernfortuniversity.com/term-papers/pestel/nyse4/6923-william-hill-plc.php</a:t>
          </a:r>
          <a:endParaRPr lang="x-none" dirty="0">
            <a:solidFill>
              <a:schemeClr val="tx1"/>
            </a:solidFill>
          </a:endParaRPr>
        </a:p>
      </dgm:t>
    </dgm:pt>
    <dgm:pt modelId="{34E53DB1-DD85-3241-AE6C-0BEBC0462417}" type="parTrans" cxnId="{A3E2EE02-4662-F84D-8F6F-4A0E3FA34E5F}">
      <dgm:prSet/>
      <dgm:spPr/>
      <dgm:t>
        <a:bodyPr/>
        <a:lstStyle/>
        <a:p>
          <a:endParaRPr lang="en-US"/>
        </a:p>
      </dgm:t>
    </dgm:pt>
    <dgm:pt modelId="{E8DF8E10-1F36-5A44-86D7-0B86E0F7F08C}" type="sibTrans" cxnId="{A3E2EE02-4662-F84D-8F6F-4A0E3FA34E5F}">
      <dgm:prSet/>
      <dgm:spPr/>
      <dgm:t>
        <a:bodyPr/>
        <a:lstStyle/>
        <a:p>
          <a:endParaRPr lang="en-US"/>
        </a:p>
      </dgm:t>
    </dgm:pt>
    <dgm:pt modelId="{1B2F2E2F-9CB7-F54D-8458-9289814BCB1C}">
      <dgm:prSet/>
      <dgm:spPr>
        <a:solidFill>
          <a:schemeClr val="bg1"/>
        </a:solidFill>
      </dgm:spPr>
      <dgm:t>
        <a:bodyPr/>
        <a:lstStyle/>
        <a:p>
          <a:r>
            <a:rPr lang="en-US" dirty="0">
              <a:solidFill>
                <a:schemeClr val="tx1"/>
              </a:solidFill>
            </a:rPr>
            <a:t>Jonathan T. (2020). </a:t>
          </a:r>
          <a:r>
            <a:rPr lang="en-US" i="1" dirty="0">
              <a:solidFill>
                <a:schemeClr val="tx1"/>
              </a:solidFill>
            </a:rPr>
            <a:t>Fishbone Diagram: Determining </a:t>
          </a:r>
          <a:r>
            <a:rPr lang="en-US" dirty="0">
              <a:solidFill>
                <a:schemeClr val="tx1"/>
              </a:solidFill>
            </a:rPr>
            <a:t>Cause and Effect. https://www.reliableplant.com/fishbone-diagram-31877</a:t>
          </a:r>
          <a:endParaRPr lang="x-none" dirty="0">
            <a:solidFill>
              <a:schemeClr val="tx1"/>
            </a:solidFill>
          </a:endParaRPr>
        </a:p>
      </dgm:t>
    </dgm:pt>
    <dgm:pt modelId="{0761FAC2-9E99-774C-A412-78C3F36519A5}" type="parTrans" cxnId="{EFB6A39E-ED4C-F148-BAA2-B8F22ABAD865}">
      <dgm:prSet/>
      <dgm:spPr/>
      <dgm:t>
        <a:bodyPr/>
        <a:lstStyle/>
        <a:p>
          <a:endParaRPr lang="en-US"/>
        </a:p>
      </dgm:t>
    </dgm:pt>
    <dgm:pt modelId="{5F2BFA8F-F0C9-BB40-8D96-30CA5308D4B8}" type="sibTrans" cxnId="{EFB6A39E-ED4C-F148-BAA2-B8F22ABAD865}">
      <dgm:prSet/>
      <dgm:spPr/>
      <dgm:t>
        <a:bodyPr/>
        <a:lstStyle/>
        <a:p>
          <a:endParaRPr lang="en-US"/>
        </a:p>
      </dgm:t>
    </dgm:pt>
    <dgm:pt modelId="{C64C2067-6881-5245-9442-0558598D8979}">
      <dgm:prSet/>
      <dgm:spPr>
        <a:solidFill>
          <a:schemeClr val="bg1"/>
        </a:solidFill>
      </dgm:spPr>
      <dgm:t>
        <a:bodyPr/>
        <a:lstStyle/>
        <a:p>
          <a:r>
            <a:rPr lang="en-US" dirty="0" err="1">
              <a:solidFill>
                <a:schemeClr val="tx1"/>
              </a:solidFill>
            </a:rPr>
            <a:t>Kunc</a:t>
          </a:r>
          <a:r>
            <a:rPr lang="en-US" dirty="0">
              <a:solidFill>
                <a:schemeClr val="tx1"/>
              </a:solidFill>
            </a:rPr>
            <a:t>, M. (2019, December). Strategic planning: The role of hybrid modelling. In 2019 </a:t>
          </a:r>
          <a:r>
            <a:rPr lang="en-US" i="1" dirty="0">
              <a:solidFill>
                <a:schemeClr val="tx1"/>
              </a:solidFill>
            </a:rPr>
            <a:t>Winter Simulation Conference </a:t>
          </a:r>
          <a:r>
            <a:rPr lang="en-US" dirty="0">
              <a:solidFill>
                <a:schemeClr val="tx1"/>
              </a:solidFill>
            </a:rPr>
            <a:t>(WSC) (pp. 1280-1291). IEEE.</a:t>
          </a:r>
          <a:endParaRPr lang="x-none" dirty="0">
            <a:solidFill>
              <a:schemeClr val="tx1"/>
            </a:solidFill>
          </a:endParaRPr>
        </a:p>
      </dgm:t>
    </dgm:pt>
    <dgm:pt modelId="{3387350F-D00B-1D4C-B770-A0E65824A0A7}" type="parTrans" cxnId="{E7A2CC51-3C58-524F-885F-4FE3056E0E6F}">
      <dgm:prSet/>
      <dgm:spPr/>
      <dgm:t>
        <a:bodyPr/>
        <a:lstStyle/>
        <a:p>
          <a:endParaRPr lang="en-US"/>
        </a:p>
      </dgm:t>
    </dgm:pt>
    <dgm:pt modelId="{1B37E915-98AB-D647-9C95-62D7CD89A9C1}" type="sibTrans" cxnId="{E7A2CC51-3C58-524F-885F-4FE3056E0E6F}">
      <dgm:prSet/>
      <dgm:spPr/>
      <dgm:t>
        <a:bodyPr/>
        <a:lstStyle/>
        <a:p>
          <a:endParaRPr lang="en-US"/>
        </a:p>
      </dgm:t>
    </dgm:pt>
    <dgm:pt modelId="{9AEEAA00-4C2A-944D-9ABE-1DE1CE3206CC}" type="pres">
      <dgm:prSet presAssocID="{E4C7B03A-04E4-46E6-8F9A-ED26DDF8808C}" presName="linear" presStyleCnt="0">
        <dgm:presLayoutVars>
          <dgm:animLvl val="lvl"/>
          <dgm:resizeHandles val="exact"/>
        </dgm:presLayoutVars>
      </dgm:prSet>
      <dgm:spPr/>
      <dgm:t>
        <a:bodyPr/>
        <a:lstStyle/>
        <a:p>
          <a:endParaRPr lang="en-US"/>
        </a:p>
      </dgm:t>
    </dgm:pt>
    <dgm:pt modelId="{2B63976B-5EDC-AC42-B6C7-8288BE7E6764}" type="pres">
      <dgm:prSet presAssocID="{905022AD-A5A0-A848-A022-E20766E1764B}" presName="parentText" presStyleLbl="node1" presStyleIdx="0" presStyleCnt="4">
        <dgm:presLayoutVars>
          <dgm:chMax val="0"/>
          <dgm:bulletEnabled val="1"/>
        </dgm:presLayoutVars>
      </dgm:prSet>
      <dgm:spPr/>
      <dgm:t>
        <a:bodyPr/>
        <a:lstStyle/>
        <a:p>
          <a:endParaRPr lang="en-US"/>
        </a:p>
      </dgm:t>
    </dgm:pt>
    <dgm:pt modelId="{FD0B71A7-6622-A64A-A92C-21E797F70DF9}" type="pres">
      <dgm:prSet presAssocID="{1CF07240-A2FA-BA4B-AF83-F9C1D12231F4}" presName="spacer" presStyleCnt="0"/>
      <dgm:spPr/>
    </dgm:pt>
    <dgm:pt modelId="{AAE0F9B9-5C25-104C-8E9C-3D2A3FF72B43}" type="pres">
      <dgm:prSet presAssocID="{ABB554E1-9DC0-0F40-93AF-669A045A3B1F}" presName="parentText" presStyleLbl="node1" presStyleIdx="1" presStyleCnt="4">
        <dgm:presLayoutVars>
          <dgm:chMax val="0"/>
          <dgm:bulletEnabled val="1"/>
        </dgm:presLayoutVars>
      </dgm:prSet>
      <dgm:spPr/>
      <dgm:t>
        <a:bodyPr/>
        <a:lstStyle/>
        <a:p>
          <a:endParaRPr lang="en-US"/>
        </a:p>
      </dgm:t>
    </dgm:pt>
    <dgm:pt modelId="{42248125-C603-5A47-A2E5-EDD464EE8EDF}" type="pres">
      <dgm:prSet presAssocID="{E8DF8E10-1F36-5A44-86D7-0B86E0F7F08C}" presName="spacer" presStyleCnt="0"/>
      <dgm:spPr/>
    </dgm:pt>
    <dgm:pt modelId="{1CD6BF72-ADD0-3F42-AD13-204027540EF1}" type="pres">
      <dgm:prSet presAssocID="{1B2F2E2F-9CB7-F54D-8458-9289814BCB1C}" presName="parentText" presStyleLbl="node1" presStyleIdx="2" presStyleCnt="4">
        <dgm:presLayoutVars>
          <dgm:chMax val="0"/>
          <dgm:bulletEnabled val="1"/>
        </dgm:presLayoutVars>
      </dgm:prSet>
      <dgm:spPr/>
      <dgm:t>
        <a:bodyPr/>
        <a:lstStyle/>
        <a:p>
          <a:endParaRPr lang="en-US"/>
        </a:p>
      </dgm:t>
    </dgm:pt>
    <dgm:pt modelId="{078954FA-9FEC-E44C-BA64-33EE1DCE2B0F}" type="pres">
      <dgm:prSet presAssocID="{5F2BFA8F-F0C9-BB40-8D96-30CA5308D4B8}" presName="spacer" presStyleCnt="0"/>
      <dgm:spPr/>
    </dgm:pt>
    <dgm:pt modelId="{CDC52F71-A444-CB4F-B0B1-BB799EEE801B}" type="pres">
      <dgm:prSet presAssocID="{C64C2067-6881-5245-9442-0558598D8979}" presName="parentText" presStyleLbl="node1" presStyleIdx="3" presStyleCnt="4">
        <dgm:presLayoutVars>
          <dgm:chMax val="0"/>
          <dgm:bulletEnabled val="1"/>
        </dgm:presLayoutVars>
      </dgm:prSet>
      <dgm:spPr/>
      <dgm:t>
        <a:bodyPr/>
        <a:lstStyle/>
        <a:p>
          <a:endParaRPr lang="en-US"/>
        </a:p>
      </dgm:t>
    </dgm:pt>
  </dgm:ptLst>
  <dgm:cxnLst>
    <dgm:cxn modelId="{988CBA83-A287-4530-B387-F3AD7B6A2634}" type="presOf" srcId="{C64C2067-6881-5245-9442-0558598D8979}" destId="{CDC52F71-A444-CB4F-B0B1-BB799EEE801B}" srcOrd="0" destOrd="0" presId="urn:microsoft.com/office/officeart/2005/8/layout/vList2"/>
    <dgm:cxn modelId="{1CE2C37E-3234-4654-8E34-4295B4D4348D}" type="presOf" srcId="{1B2F2E2F-9CB7-F54D-8458-9289814BCB1C}" destId="{1CD6BF72-ADD0-3F42-AD13-204027540EF1}" srcOrd="0" destOrd="0" presId="urn:microsoft.com/office/officeart/2005/8/layout/vList2"/>
    <dgm:cxn modelId="{E30EFF07-9FD9-5544-82F4-01C34271D93A}" srcId="{E4C7B03A-04E4-46E6-8F9A-ED26DDF8808C}" destId="{905022AD-A5A0-A848-A022-E20766E1764B}" srcOrd="0" destOrd="0" parTransId="{765FFB65-90CA-AE4D-98F9-35C3EB9C0136}" sibTransId="{1CF07240-A2FA-BA4B-AF83-F9C1D12231F4}"/>
    <dgm:cxn modelId="{0A3B0AAC-60F1-48EB-B580-25CEB242E41E}" type="presOf" srcId="{ABB554E1-9DC0-0F40-93AF-669A045A3B1F}" destId="{AAE0F9B9-5C25-104C-8E9C-3D2A3FF72B43}" srcOrd="0" destOrd="0" presId="urn:microsoft.com/office/officeart/2005/8/layout/vList2"/>
    <dgm:cxn modelId="{E7A2CC51-3C58-524F-885F-4FE3056E0E6F}" srcId="{E4C7B03A-04E4-46E6-8F9A-ED26DDF8808C}" destId="{C64C2067-6881-5245-9442-0558598D8979}" srcOrd="3" destOrd="0" parTransId="{3387350F-D00B-1D4C-B770-A0E65824A0A7}" sibTransId="{1B37E915-98AB-D647-9C95-62D7CD89A9C1}"/>
    <dgm:cxn modelId="{96EAADAC-E02F-45E0-9AAA-B3B176EADAFE}" type="presOf" srcId="{905022AD-A5A0-A848-A022-E20766E1764B}" destId="{2B63976B-5EDC-AC42-B6C7-8288BE7E6764}" srcOrd="0" destOrd="0" presId="urn:microsoft.com/office/officeart/2005/8/layout/vList2"/>
    <dgm:cxn modelId="{8232B220-5FA1-4338-B311-1A7FB308AB1C}" type="presOf" srcId="{E4C7B03A-04E4-46E6-8F9A-ED26DDF8808C}" destId="{9AEEAA00-4C2A-944D-9ABE-1DE1CE3206CC}" srcOrd="0" destOrd="0" presId="urn:microsoft.com/office/officeart/2005/8/layout/vList2"/>
    <dgm:cxn modelId="{A3E2EE02-4662-F84D-8F6F-4A0E3FA34E5F}" srcId="{E4C7B03A-04E4-46E6-8F9A-ED26DDF8808C}" destId="{ABB554E1-9DC0-0F40-93AF-669A045A3B1F}" srcOrd="1" destOrd="0" parTransId="{34E53DB1-DD85-3241-AE6C-0BEBC0462417}" sibTransId="{E8DF8E10-1F36-5A44-86D7-0B86E0F7F08C}"/>
    <dgm:cxn modelId="{EFB6A39E-ED4C-F148-BAA2-B8F22ABAD865}" srcId="{E4C7B03A-04E4-46E6-8F9A-ED26DDF8808C}" destId="{1B2F2E2F-9CB7-F54D-8458-9289814BCB1C}" srcOrd="2" destOrd="0" parTransId="{0761FAC2-9E99-774C-A412-78C3F36519A5}" sibTransId="{5F2BFA8F-F0C9-BB40-8D96-30CA5308D4B8}"/>
    <dgm:cxn modelId="{5EFA3B38-7892-4EA3-B6E9-B16587C4E65A}" type="presParOf" srcId="{9AEEAA00-4C2A-944D-9ABE-1DE1CE3206CC}" destId="{2B63976B-5EDC-AC42-B6C7-8288BE7E6764}" srcOrd="0" destOrd="0" presId="urn:microsoft.com/office/officeart/2005/8/layout/vList2"/>
    <dgm:cxn modelId="{7B28E23E-CA19-4A59-A79E-1589BE3F8EAA}" type="presParOf" srcId="{9AEEAA00-4C2A-944D-9ABE-1DE1CE3206CC}" destId="{FD0B71A7-6622-A64A-A92C-21E797F70DF9}" srcOrd="1" destOrd="0" presId="urn:microsoft.com/office/officeart/2005/8/layout/vList2"/>
    <dgm:cxn modelId="{19C19AE0-75B8-4DAA-ACF3-655DB767C8B4}" type="presParOf" srcId="{9AEEAA00-4C2A-944D-9ABE-1DE1CE3206CC}" destId="{AAE0F9B9-5C25-104C-8E9C-3D2A3FF72B43}" srcOrd="2" destOrd="0" presId="urn:microsoft.com/office/officeart/2005/8/layout/vList2"/>
    <dgm:cxn modelId="{7B086BC4-6A0E-4E18-B5AE-A8B106807577}" type="presParOf" srcId="{9AEEAA00-4C2A-944D-9ABE-1DE1CE3206CC}" destId="{42248125-C603-5A47-A2E5-EDD464EE8EDF}" srcOrd="3" destOrd="0" presId="urn:microsoft.com/office/officeart/2005/8/layout/vList2"/>
    <dgm:cxn modelId="{C2C4BD12-84AC-4844-9290-9AD86B4B925F}" type="presParOf" srcId="{9AEEAA00-4C2A-944D-9ABE-1DE1CE3206CC}" destId="{1CD6BF72-ADD0-3F42-AD13-204027540EF1}" srcOrd="4" destOrd="0" presId="urn:microsoft.com/office/officeart/2005/8/layout/vList2"/>
    <dgm:cxn modelId="{A16E1A5F-4CEA-46CE-AFAA-974D5AFAF8ED}" type="presParOf" srcId="{9AEEAA00-4C2A-944D-9ABE-1DE1CE3206CC}" destId="{078954FA-9FEC-E44C-BA64-33EE1DCE2B0F}" srcOrd="5" destOrd="0" presId="urn:microsoft.com/office/officeart/2005/8/layout/vList2"/>
    <dgm:cxn modelId="{89C08E74-1A5D-4AAA-A962-BCFFBF88F48D}" type="presParOf" srcId="{9AEEAA00-4C2A-944D-9ABE-1DE1CE3206CC}" destId="{CDC52F71-A444-CB4F-B0B1-BB799EEE801B}" srcOrd="6" destOrd="0" presId="urn:microsoft.com/office/officeart/2005/8/layout/vList2"/>
  </dgm:cxnLst>
  <dgm:bg/>
  <dgm:whole/>
</dgm:dataModel>
</file>

<file path=word/diagrams/layout1.xml><?xml version="1.0" encoding="utf-8"?>
<dgm:layoutDef xmlns:dgm="http://schemas.openxmlformats.org/drawingml/2006/diagram" xmlns:a="http://schemas.openxmlformats.org/drawingml/2006/main" uniqueId="urn:microsoft.com/office/officeart/2018/2/layout/IconLabelList">
  <dgm:title val="Icon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grDir" val="tL"/>
          <dgm:param type="flowDir" val="row"/>
          <dgm:param type="contDir" val="sameDir"/>
          <dgm:param type="off" val="ctr"/>
          <dgm:param type="vertAlign" val="mid"/>
          <dgm:param type="horzAlign" val="ctr"/>
        </dgm:alg>
      </dgm:if>
      <dgm:else name="Name2">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20"/>
          <dgm:constr type="w" for="ch" forName="sibTrans" refType="w" refFor="ch" refForName="compNode" fact="0.175"/>
          <dgm:constr type="sp" refType="w" refFor="ch" refForName="compNode" op="equ" fact="0.25"/>
          <dgm:constr type="primFontSz" for="des" ptType="node" op="equ" val="50"/>
          <dgm:constr type="h" for="des" forName="compNode" op="equ"/>
          <dgm:constr type="h" for="des" forName="textRect" op="equ"/>
        </dgm:constrLst>
      </dgm:if>
      <dgm:if name="Name5"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6"/>
          <dgm:constr type="h" for="des" forName="compNode" op="equ"/>
          <dgm:constr type="h" for="des" forName="textRect" op="equ"/>
        </dgm:constrLst>
      </dgm:if>
      <dgm:else name="Name6">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7" axis="ch" ptType="node">
      <dgm:layoutNode name="compNode">
        <dgm:alg type="composite"/>
        <dgm:shape xmlns:r="http://schemas.openxmlformats.org/officeDocument/2006/relationships" r:blip="">
          <dgm:adjLst/>
        </dgm:shape>
        <dgm:presOf axis="self"/>
        <dgm:constrLst>
          <dgm:constr type="w" for="ch" forName="iconRect" refType="w" fact="0.45"/>
          <dgm:constr type="h" for="ch" forName="iconRect" refType="w" refFor="ch" refForName="iconRect"/>
          <dgm:constr type="ctrX" for="ch" forName="iconRect" refType="w" fact="0.5"/>
          <dgm:constr type="t" for="ch" forName="iconRect"/>
          <dgm:constr type="h" for="ch" forName="spaceRect" refType="h" fact="0.15"/>
          <dgm:constr type="w" for="ch" forName="spaceRect" refType="w"/>
          <dgm:constr type="l" for="ch" forName="spaceRect"/>
          <dgm:constr type="t" for="ch" forName="spaceRect" refType="b" refFor="ch" refForName="icon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8"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xmlns="">
        <a:lvl1pPr>
          <a:lnSpc>
            <a:spcPct val="100000"/>
          </a:lnSpc>
        </a:lvl1pPr>
      </dgm1612:lstStyle>
    </a:ext>
  </dgm:extLst>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18</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13129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2</cp:revision>
  <dcterms:created xsi:type="dcterms:W3CDTF">2022-09-03T17:44:00Z</dcterms:created>
  <dcterms:modified xsi:type="dcterms:W3CDTF">2022-09-03T20:40:00Z</dcterms:modified>
</cp:coreProperties>
</file>