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10304" w14:textId="77777777" w:rsidR="004A0A3C" w:rsidRPr="000958F6" w:rsidRDefault="004A0A3C" w:rsidP="004A0A3C">
      <w:pPr>
        <w:jc w:val="center"/>
        <w:rPr>
          <w:b/>
          <w:sz w:val="28"/>
          <w:szCs w:val="28"/>
        </w:rPr>
      </w:pPr>
      <w:r>
        <w:rPr>
          <w:b/>
          <w:sz w:val="28"/>
          <w:szCs w:val="28"/>
        </w:rPr>
        <w:t>Descartes and Locke on</w:t>
      </w:r>
      <w:r w:rsidRPr="000958F6">
        <w:rPr>
          <w:b/>
          <w:sz w:val="28"/>
          <w:szCs w:val="28"/>
        </w:rPr>
        <w:t xml:space="preserve"> disengagement</w:t>
      </w:r>
    </w:p>
    <w:p w14:paraId="64ED9B00" w14:textId="77777777" w:rsidR="004A0A3C" w:rsidRDefault="004A0A3C" w:rsidP="004A0A3C">
      <w:pPr>
        <w:spacing w:after="200" w:line="276" w:lineRule="auto"/>
        <w:rPr>
          <w:rFonts w:eastAsia="Calibri"/>
        </w:rPr>
      </w:pPr>
    </w:p>
    <w:p w14:paraId="0A603415" w14:textId="77777777" w:rsidR="004A0A3C" w:rsidRPr="00282347" w:rsidRDefault="004A0A3C" w:rsidP="004A0A3C">
      <w:pPr>
        <w:spacing w:after="200" w:line="276" w:lineRule="auto"/>
        <w:rPr>
          <w:rFonts w:eastAsia="Calibri"/>
        </w:rPr>
      </w:pPr>
      <w:r w:rsidRPr="00282347">
        <w:rPr>
          <w:rFonts w:eastAsia="Calibri"/>
        </w:rPr>
        <w:t xml:space="preserve">‘Know then thyself, presume not God to scan; The proper study of Mankind is Man’ (Pope, </w:t>
      </w:r>
      <w:r w:rsidRPr="00282347">
        <w:rPr>
          <w:rFonts w:eastAsia="Calibri"/>
          <w:i/>
          <w:iCs/>
        </w:rPr>
        <w:t xml:space="preserve">An Essay on Man </w:t>
      </w:r>
      <w:r w:rsidRPr="00282347">
        <w:rPr>
          <w:rFonts w:eastAsia="Calibri"/>
        </w:rPr>
        <w:t>(1744), Epistle II, lines 1-2)</w:t>
      </w:r>
      <w:r>
        <w:rPr>
          <w:rFonts w:eastAsia="Calibri"/>
        </w:rPr>
        <w:t xml:space="preserve">. </w:t>
      </w:r>
      <w:r w:rsidRPr="00282347">
        <w:rPr>
          <w:rFonts w:eastAsia="Calibri"/>
        </w:rPr>
        <w:t xml:space="preserve">‘There is no question of importance whose decision is not </w:t>
      </w:r>
      <w:proofErr w:type="spellStart"/>
      <w:r w:rsidRPr="00282347">
        <w:rPr>
          <w:rFonts w:eastAsia="Calibri"/>
        </w:rPr>
        <w:t>compriz’d</w:t>
      </w:r>
      <w:proofErr w:type="spellEnd"/>
      <w:r w:rsidRPr="00282347">
        <w:rPr>
          <w:rFonts w:eastAsia="Calibri"/>
        </w:rPr>
        <w:t xml:space="preserve"> in the science of man’ (David Hume, </w:t>
      </w:r>
      <w:r w:rsidRPr="00282347">
        <w:rPr>
          <w:rFonts w:eastAsia="Calibri"/>
          <w:i/>
        </w:rPr>
        <w:t xml:space="preserve">A </w:t>
      </w:r>
      <w:r w:rsidRPr="00282347">
        <w:rPr>
          <w:rFonts w:eastAsia="Calibri"/>
          <w:i/>
          <w:iCs/>
        </w:rPr>
        <w:t xml:space="preserve">Treatise of Human Nature, </w:t>
      </w:r>
      <w:r w:rsidRPr="00282347">
        <w:rPr>
          <w:rFonts w:eastAsia="Calibri"/>
        </w:rPr>
        <w:t>Introduction)</w:t>
      </w:r>
      <w:r>
        <w:rPr>
          <w:rFonts w:eastAsia="Calibri"/>
        </w:rPr>
        <w:t xml:space="preserve">. </w:t>
      </w:r>
      <w:r w:rsidRPr="00282347">
        <w:rPr>
          <w:rFonts w:eastAsia="Calibri"/>
        </w:rPr>
        <w:t xml:space="preserve">“the perception of the operations of our own mind within us, as it is employed about the ideas it </w:t>
      </w:r>
      <w:r>
        <w:rPr>
          <w:rFonts w:eastAsia="Calibri"/>
        </w:rPr>
        <w:t>has got” [Locke, Book II, I, 4]</w:t>
      </w:r>
    </w:p>
    <w:p w14:paraId="27BABE61" w14:textId="77777777" w:rsidR="004A0A3C" w:rsidRPr="00282347" w:rsidRDefault="004A0A3C" w:rsidP="004A0A3C">
      <w:pPr>
        <w:spacing w:after="200" w:line="276" w:lineRule="auto"/>
        <w:rPr>
          <w:rFonts w:eastAsia="Calibri"/>
        </w:rPr>
      </w:pPr>
      <w:r w:rsidRPr="00282347">
        <w:rPr>
          <w:rFonts w:eastAsia="Calibri"/>
        </w:rPr>
        <w:t xml:space="preserve">“[The principles of my new physics] opened my mind to the possibility of gaining knowledge which would be very useful in life, and of discovering a practical philosophy which might replace the speculative philosophy taught in the schools. Through this philosophy we could know the power and action of fire, water, ear, the stars, the heavens and all the other bodies in our environment, as distinctly as we know the various crafts of our artisans; and we could use this knowledge is the artisans use theirs for all the purposes for which it is appropriate and thus make ourselves the masters and possessors of nature.” [Descartes, </w:t>
      </w:r>
      <w:r w:rsidRPr="00282347">
        <w:rPr>
          <w:rFonts w:eastAsia="Calibri"/>
          <w:i/>
        </w:rPr>
        <w:t>Discourse</w:t>
      </w:r>
      <w:r>
        <w:rPr>
          <w:rFonts w:eastAsia="Calibri"/>
          <w:i/>
        </w:rPr>
        <w:t xml:space="preserve">, </w:t>
      </w:r>
      <w:r w:rsidRPr="00282347">
        <w:rPr>
          <w:rFonts w:eastAsia="Calibri"/>
        </w:rPr>
        <w:t>Part 6]</w:t>
      </w:r>
    </w:p>
    <w:p w14:paraId="42266448" w14:textId="77777777" w:rsidR="004A0A3C" w:rsidRPr="00282347" w:rsidRDefault="004A0A3C" w:rsidP="004A0A3C">
      <w:pPr>
        <w:spacing w:after="200" w:line="276" w:lineRule="auto"/>
        <w:rPr>
          <w:rFonts w:eastAsia="Calibri"/>
          <w:iCs/>
        </w:rPr>
      </w:pPr>
      <w:r w:rsidRPr="00282347">
        <w:rPr>
          <w:rFonts w:eastAsia="Calibri"/>
        </w:rPr>
        <w:t xml:space="preserve">“For even the mind depends so much on the temperament and disposition of the bodily organs that if it is possible to find some means of making men in general wiser and more skilful than they have been up till now, I believe we must look for it in medicine”. [Descartes, </w:t>
      </w:r>
      <w:r w:rsidRPr="00282347">
        <w:rPr>
          <w:rFonts w:eastAsia="Calibri"/>
          <w:i/>
          <w:iCs/>
        </w:rPr>
        <w:t xml:space="preserve">Discourse, </w:t>
      </w:r>
      <w:r w:rsidRPr="00282347">
        <w:rPr>
          <w:rFonts w:eastAsia="Calibri"/>
          <w:iCs/>
        </w:rPr>
        <w:t>Part 6]</w:t>
      </w:r>
    </w:p>
    <w:p w14:paraId="55E1FE37" w14:textId="77777777" w:rsidR="004A0A3C" w:rsidRPr="00282347" w:rsidRDefault="004A0A3C" w:rsidP="004A0A3C">
      <w:r w:rsidRPr="00282347">
        <w:t xml:space="preserve"> ‘My third maxim was to try to master myself rather than </w:t>
      </w:r>
      <w:proofErr w:type="gramStart"/>
      <w:r w:rsidRPr="00282347">
        <w:t>fortune, and</w:t>
      </w:r>
      <w:proofErr w:type="gramEnd"/>
      <w:r w:rsidRPr="00282347">
        <w:t xml:space="preserve"> change my desires rather than the order of the world. In </w:t>
      </w:r>
      <w:proofErr w:type="gramStart"/>
      <w:r w:rsidRPr="00282347">
        <w:t>general</w:t>
      </w:r>
      <w:proofErr w:type="gramEnd"/>
      <w:r w:rsidRPr="00282347">
        <w:t xml:space="preserve"> I would become accustomed to believing that nothing lies entirely within our power except our own thoughts, so that after doing our best in dealing with things external to us, whatever we failed to achieve is absolutely impossible so far as we are concerned… In this, I believe, the secret of those philosophers who earlier time were able to escape from the Dominion watch and, despite suffering and poverty, rival the gods and happiness”. [</w:t>
      </w:r>
      <w:r>
        <w:t xml:space="preserve">Descartes, </w:t>
      </w:r>
      <w:r w:rsidRPr="00282347">
        <w:rPr>
          <w:i/>
          <w:iCs/>
        </w:rPr>
        <w:t>Discourse</w:t>
      </w:r>
      <w:r w:rsidRPr="00282347">
        <w:t xml:space="preserve">, Part Three.] </w:t>
      </w:r>
    </w:p>
    <w:p w14:paraId="14CC54E2" w14:textId="7DE10E15" w:rsidR="004A0A3C" w:rsidRDefault="004A0A3C" w:rsidP="004A0A3C">
      <w:bookmarkStart w:id="0" w:name="_GoBack"/>
      <w:bookmarkEnd w:id="0"/>
    </w:p>
    <w:p w14:paraId="16FE2B69" w14:textId="77777777" w:rsidR="004A0A3C" w:rsidRPr="004A0A3C" w:rsidRDefault="004A0A3C" w:rsidP="004A0A3C">
      <w:pPr>
        <w:keepNext/>
        <w:outlineLvl w:val="0"/>
        <w:rPr>
          <w:b/>
          <w:bCs/>
        </w:rPr>
      </w:pPr>
      <w:r w:rsidRPr="004A0A3C">
        <w:rPr>
          <w:b/>
          <w:bCs/>
        </w:rPr>
        <w:t>Exercises on Locke</w:t>
      </w:r>
    </w:p>
    <w:p w14:paraId="2FD41CC8" w14:textId="77777777" w:rsidR="004A0A3C" w:rsidRPr="004A0A3C" w:rsidRDefault="004A0A3C" w:rsidP="004A0A3C"/>
    <w:p w14:paraId="776102FD" w14:textId="77777777" w:rsidR="004A0A3C" w:rsidRPr="004A0A3C" w:rsidRDefault="004A0A3C" w:rsidP="004A0A3C">
      <w:r w:rsidRPr="004A0A3C">
        <w:t xml:space="preserve">1. Descartes and Locke suggest that many of the properties that we normally take to be </w:t>
      </w:r>
      <w:r w:rsidRPr="004A0A3C">
        <w:rPr>
          <w:i/>
          <w:iCs/>
        </w:rPr>
        <w:t>in the world</w:t>
      </w:r>
      <w:r w:rsidRPr="004A0A3C">
        <w:t xml:space="preserve"> are, in fact, </w:t>
      </w:r>
      <w:r w:rsidRPr="004A0A3C">
        <w:rPr>
          <w:i/>
          <w:iCs/>
        </w:rPr>
        <w:t>projections of</w:t>
      </w:r>
      <w:r w:rsidRPr="004A0A3C">
        <w:t xml:space="preserve"> </w:t>
      </w:r>
      <w:r w:rsidRPr="004A0A3C">
        <w:rPr>
          <w:i/>
          <w:iCs/>
        </w:rPr>
        <w:t>features of ourselves</w:t>
      </w:r>
      <w:r w:rsidRPr="004A0A3C">
        <w:t xml:space="preserve"> – experiences produced in us by what is objectively out there – onto the world. Assess this suggestion in the light of Taylor’s two examples below.</w:t>
      </w:r>
    </w:p>
    <w:p w14:paraId="5FBC980C" w14:textId="77777777" w:rsidR="004A0A3C" w:rsidRPr="004A0A3C" w:rsidRDefault="004A0A3C" w:rsidP="004A0A3C"/>
    <w:p w14:paraId="6121F32D" w14:textId="77777777" w:rsidR="004A0A3C" w:rsidRPr="004A0A3C" w:rsidRDefault="004A0A3C" w:rsidP="004A0A3C">
      <w:r w:rsidRPr="004A0A3C">
        <w:t>(</w:t>
      </w:r>
      <w:proofErr w:type="spellStart"/>
      <w:r w:rsidRPr="004A0A3C">
        <w:t>i</w:t>
      </w:r>
      <w:proofErr w:type="spellEnd"/>
      <w:r w:rsidRPr="004A0A3C">
        <w:t>) “[Descartes invites as to adopt] a stance to ourselves which takes us out of our normal way of experiencing the world and ourselves. We can see what this means if we return to the examples which played a central role in Descartes's thought: secondary properties, and bodily sensations.</w:t>
      </w:r>
    </w:p>
    <w:p w14:paraId="6E7AF7FC" w14:textId="77777777" w:rsidR="004A0A3C" w:rsidRPr="004A0A3C" w:rsidRDefault="004A0A3C" w:rsidP="004A0A3C">
      <w:r w:rsidRPr="004A0A3C">
        <w:t xml:space="preserve">     The mistake of obscure and confused thought is to see these as 'in' the bodies concerned. The normal, unreflecting person thinks of colour or sweetness as being in the dress or the candy; places the pain in the tooth, the tingling in the foot. The real ontological locus of all these, Descartes asserts, is in the mind. They are all ideas which are, indeed, brought about by certain properties of dress, candy, tooth, foot, but their place is in the mind. In this, they are like the ideas of primary qualities—figure, number, size. But unlike these, they fail to represent anything in the object. The body isn't red in the way it is square.</w:t>
      </w:r>
    </w:p>
    <w:p w14:paraId="7E887B4D" w14:textId="77777777" w:rsidR="004A0A3C" w:rsidRPr="004A0A3C" w:rsidRDefault="004A0A3C" w:rsidP="004A0A3C">
      <w:r w:rsidRPr="004A0A3C">
        <w:lastRenderedPageBreak/>
        <w:t xml:space="preserve">    To see things this way is to have a clear and distinct understanding of them. But this involves withdrawing from our normal way of being in the world. As we live normally through them, our experiences of the red dress or of a toothache are the ways in which these objects are there for us. The red dress is present for me, through my seeing it; the tooth insistently clamours that it is in pain. I attend to the object through the experience, as Merleau-Ponty and Michael Polanyi have variously described it. What Descartes calls on us to do is to stop living 'in' or 'through' the experience, to treat it itself as an object, or what is the same thing, as an experience which could just as well have been someone else's. In doing this, I suspend the 'intentional' dimension of the experience, that is, what makes it the experience of something. I take note, of course, that this experience makes a claim to be of something, or that it inescapably suggests to us its (supposed) intentional object. But I treat it on all fours with quite non-intentional experiences like inner sensations; and as in the case of these, I relate it no longer to a putative object but to an external cause. In objectifying the experience, I no longer accept it as what sets my norm for what it is to have knowledge of these properties”. [Charles Taylor, </w:t>
      </w:r>
      <w:r w:rsidRPr="004A0A3C">
        <w:rPr>
          <w:i/>
          <w:iCs/>
        </w:rPr>
        <w:t>Sources of the Self,</w:t>
      </w:r>
      <w:r w:rsidRPr="004A0A3C">
        <w:t xml:space="preserve"> 161-2]</w:t>
      </w:r>
    </w:p>
    <w:p w14:paraId="54EF2372" w14:textId="77777777" w:rsidR="004A0A3C" w:rsidRPr="004A0A3C" w:rsidRDefault="004A0A3C" w:rsidP="004A0A3C"/>
    <w:p w14:paraId="752FAA99" w14:textId="77777777" w:rsidR="004A0A3C" w:rsidRPr="004A0A3C" w:rsidRDefault="004A0A3C" w:rsidP="004A0A3C">
      <w:r w:rsidRPr="004A0A3C">
        <w:t>(ii) “To take everyday instances, when we see something surprising, or something which disconcerts us, or which we can't quite see, we normally react by setting ourselves to look more closely; we alter our stance, perhaps rub our eyes, concentrate, and the like. Rather than disengaging, we throw ourselves more fully into the experience, as it were. There is a kind of search which involves being "all there", being more attentively 'in' our experience. A more important context is the one in which we try to get clearer on what we feel about some person or event. This involves reflexivity and self-awareness, but precisely not of the disengaging kind. Rather we think of that person or event, we allow our feelings full reign, precisely as the way we experience the person concerned.</w:t>
      </w:r>
    </w:p>
    <w:p w14:paraId="40B095C9" w14:textId="77777777" w:rsidR="004A0A3C" w:rsidRPr="004A0A3C" w:rsidRDefault="004A0A3C" w:rsidP="004A0A3C">
      <w:r w:rsidRPr="004A0A3C">
        <w:t xml:space="preserve">    To attempt to disengage from our feelings involves something quite different. Here as above, we try to withdraw from the intentional dimension. Perhaps you find Aunt Mabel's sense of humour irritating. It seems strained and pushy, calculated to take over and grab attention. But you tell yourself that you're overreacting. It's just something about you, which makes you react like this to a perfectly normal way of being. You try to strangle the reaction by treating it as just a reaction, not a valid perception of annoying features. We do something similar when we decide that we oughtn't to feel guilty for something we do or feel and treat the spasms like some irrational holdover from our childhood training. Disengagement and what we might call engaged exploration are two quite different things. They carry us in contrary directions and are extremely difficult to combine.” [Taylor, 163-4]</w:t>
      </w:r>
    </w:p>
    <w:p w14:paraId="516F1091" w14:textId="77777777" w:rsidR="004A0A3C" w:rsidRPr="004A0A3C" w:rsidRDefault="004A0A3C" w:rsidP="004A0A3C"/>
    <w:p w14:paraId="2CDB6EA2" w14:textId="77777777" w:rsidR="004A0A3C" w:rsidRPr="004A0A3C" w:rsidRDefault="004A0A3C" w:rsidP="004A0A3C">
      <w:r w:rsidRPr="004A0A3C">
        <w:rPr>
          <w:i/>
          <w:iCs/>
        </w:rPr>
        <w:t xml:space="preserve">Another question to think about in relation to Taylor: </w:t>
      </w:r>
      <w:r w:rsidRPr="004A0A3C">
        <w:t xml:space="preserve">If I am to think of </w:t>
      </w:r>
      <w:r w:rsidRPr="004A0A3C">
        <w:rPr>
          <w:i/>
          <w:iCs/>
        </w:rPr>
        <w:t>all</w:t>
      </w:r>
      <w:r w:rsidRPr="004A0A3C">
        <w:t xml:space="preserve"> my qualities – my patterns of thought, my emotional tendencies, my character – as being open to a project of radical remaking, is it clear what is the </w:t>
      </w:r>
      <w:r w:rsidRPr="004A0A3C">
        <w:rPr>
          <w:i/>
          <w:iCs/>
        </w:rPr>
        <w:t>self</w:t>
      </w:r>
      <w:r w:rsidRPr="004A0A3C">
        <w:t xml:space="preserve"> that does the remaking?</w:t>
      </w:r>
    </w:p>
    <w:p w14:paraId="3DE62D5F" w14:textId="77777777" w:rsidR="004A0A3C" w:rsidRDefault="004A0A3C" w:rsidP="004A0A3C"/>
    <w:sectPr w:rsidR="004A0A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1C0"/>
    <w:rsid w:val="004A0A3C"/>
    <w:rsid w:val="006D63D6"/>
    <w:rsid w:val="008E214F"/>
    <w:rsid w:val="008F799C"/>
    <w:rsid w:val="00A061C0"/>
    <w:rsid w:val="00D41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120BA"/>
  <w15:chartTrackingRefBased/>
  <w15:docId w15:val="{BF5CEE45-E1E7-4C35-857F-37BC9CC2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A3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981</Words>
  <Characters>5593</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Exercises on Locke</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3</cp:revision>
  <dcterms:created xsi:type="dcterms:W3CDTF">2018-05-17T08:42:00Z</dcterms:created>
  <dcterms:modified xsi:type="dcterms:W3CDTF">2018-07-03T06:28:00Z</dcterms:modified>
</cp:coreProperties>
</file>