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04855" w:rsidP="06F855AA" w:rsidRDefault="06F855AA" w14:paraId="621DE6BD" w14:textId="427A875E">
      <w:pPr>
        <w:jc w:val="center"/>
        <w:rPr>
          <w:rFonts w:ascii="Calibri" w:hAnsi="Calibri" w:eastAsia="Calibri" w:cs="Calibri"/>
          <w:b/>
          <w:bCs/>
          <w:color w:val="000000" w:themeColor="text1"/>
          <w:lang w:val="en-GB"/>
        </w:rPr>
      </w:pPr>
      <w:r w:rsidRPr="06F855AA">
        <w:rPr>
          <w:rFonts w:ascii="Arial" w:hAnsi="Arial" w:eastAsia="Arial" w:cs="Arial"/>
          <w:b/>
          <w:bCs/>
          <w:color w:val="000000" w:themeColor="text1"/>
          <w:sz w:val="28"/>
          <w:szCs w:val="28"/>
          <w:lang w:val="en-GB"/>
        </w:rPr>
        <w:t xml:space="preserve">Postgraduate/Distance Learning </w:t>
      </w:r>
    </w:p>
    <w:p w:rsidR="00604855" w:rsidP="6A900AC6" w:rsidRDefault="06F855AA" w14:paraId="32C02977" w14:textId="7FB664A2">
      <w:pPr>
        <w:jc w:val="center"/>
      </w:pPr>
      <w:r w:rsidRPr="06F855AA">
        <w:rPr>
          <w:rFonts w:ascii="Arial" w:hAnsi="Arial" w:eastAsia="Arial" w:cs="Arial"/>
          <w:b/>
          <w:bCs/>
          <w:color w:val="000000" w:themeColor="text1"/>
          <w:sz w:val="28"/>
          <w:szCs w:val="28"/>
          <w:lang w:val="en-GB"/>
        </w:rPr>
        <w:t>Assignment coversheet &amp; feedback form</w:t>
      </w:r>
    </w:p>
    <w:p w:rsidR="00604855" w:rsidP="6A900AC6" w:rsidRDefault="06F855AA" w14:paraId="4FA59B99" w14:textId="38A92441">
      <w:pPr>
        <w:jc w:val="center"/>
      </w:pPr>
      <w:r w:rsidRPr="06F855AA">
        <w:rPr>
          <w:rFonts w:ascii="Arial" w:hAnsi="Arial" w:eastAsia="Arial" w:cs="Arial"/>
          <w:color w:val="000000" w:themeColor="text1"/>
          <w:sz w:val="28"/>
          <w:szCs w:val="28"/>
          <w:lang w:val="en-GB"/>
        </w:rPr>
        <w:t xml:space="preserve"> </w:t>
      </w:r>
    </w:p>
    <w:p w:rsidR="00604855" w:rsidP="06F855AA" w:rsidRDefault="06F855AA" w14:paraId="0A05B022" w14:textId="380AE684">
      <w:pPr>
        <w:pStyle w:val="Heading3"/>
      </w:pPr>
      <w:r w:rsidRPr="06F855AA">
        <w:rPr>
          <w:rFonts w:ascii="Tahoma" w:hAnsi="Tahoma" w:eastAsia="Tahoma" w:cs="Tahoma"/>
          <w:b/>
          <w:bCs/>
          <w:sz w:val="20"/>
          <w:szCs w:val="20"/>
          <w:lang w:val="en-GB"/>
        </w:rPr>
        <w:t>THIS SHEET MUST BE THE FIRST PAGE OF THE ASSIGNMENT YOU ARE SUBMITTING  (DO NOT SEND AS A SEPARATE FILE)</w:t>
      </w:r>
    </w:p>
    <w:p w:rsidR="00604855" w:rsidP="06F855AA" w:rsidRDefault="06F855AA" w14:paraId="1B9987BC" w14:textId="6043257B">
      <w:pPr>
        <w:pStyle w:val="Heading3"/>
      </w:pPr>
      <w:r w:rsidRPr="06F855AA">
        <w:rPr>
          <w:rFonts w:ascii="Trebuchet MS" w:hAnsi="Trebuchet MS" w:eastAsia="Trebuchet MS" w:cs="Trebuchet MS"/>
          <w:b/>
          <w:bCs/>
          <w:sz w:val="20"/>
          <w:szCs w:val="20"/>
          <w:lang w:val="en-GB"/>
        </w:rPr>
        <w:t xml:space="preserve"> </w:t>
      </w:r>
    </w:p>
    <w:tbl>
      <w:tblPr>
        <w:tblW w:w="0" w:type="auto"/>
        <w:tblLayout w:type="fixed"/>
        <w:tblLook w:val="04A0" w:firstRow="1" w:lastRow="0" w:firstColumn="1" w:lastColumn="0" w:noHBand="0" w:noVBand="1"/>
      </w:tblPr>
      <w:tblGrid>
        <w:gridCol w:w="3135"/>
        <w:gridCol w:w="420"/>
        <w:gridCol w:w="1200"/>
        <w:gridCol w:w="285"/>
        <w:gridCol w:w="1725"/>
      </w:tblGrid>
      <w:tr w:rsidR="06F855AA" w:rsidTr="355FDBB9" w14:paraId="2D85557A" w14:textId="77777777">
        <w:trPr>
          <w:trHeight w:val="61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6F855AA" w:rsidRDefault="06F855AA" w14:paraId="5E4E144A" w14:textId="46A1B360">
            <w:r w:rsidRPr="06F855AA">
              <w:rPr>
                <w:rFonts w:ascii="Arial" w:hAnsi="Arial" w:eastAsia="Arial" w:cs="Arial"/>
                <w:b/>
                <w:bCs/>
                <w:color w:val="000000" w:themeColor="text1"/>
              </w:rPr>
              <w:t>For completion by the student</w:t>
            </w:r>
            <w:r w:rsidRPr="06F855AA">
              <w:rPr>
                <w:rFonts w:ascii="Arial" w:hAnsi="Arial" w:eastAsia="Arial" w:cs="Arial"/>
                <w:color w:val="000000" w:themeColor="text1"/>
              </w:rPr>
              <w:t>:</w:t>
            </w:r>
          </w:p>
        </w:tc>
      </w:tr>
      <w:tr w:rsidR="06F855AA" w:rsidTr="355FDBB9" w14:paraId="2797CED5" w14:textId="77777777">
        <w:trPr>
          <w:trHeight w:val="72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6F855AA" w:rsidRDefault="06F855AA" w14:paraId="02593931" w14:textId="4D025376">
            <w:r w:rsidRPr="06F855AA">
              <w:rPr>
                <w:rFonts w:ascii="Arial" w:hAnsi="Arial" w:eastAsia="Arial" w:cs="Arial"/>
                <w:color w:val="000000" w:themeColor="text1"/>
              </w:rPr>
              <w:t>Student Name:</w:t>
            </w:r>
          </w:p>
          <w:p w:rsidR="06F855AA" w:rsidRDefault="06F855AA" w14:paraId="42C96C9A" w14:textId="657E5B02">
            <w:r w:rsidRPr="06F855AA">
              <w:rPr>
                <w:rFonts w:ascii="Arial" w:hAnsi="Arial" w:eastAsia="Arial" w:cs="Arial"/>
                <w:color w:val="000000" w:themeColor="text1"/>
              </w:rPr>
              <w:t xml:space="preserve"> Leon Hicks</w:t>
            </w:r>
          </w:p>
          <w:p w:rsidR="06F855AA" w:rsidP="06F855AA" w:rsidRDefault="06F855AA" w14:paraId="067CD1B2" w14:textId="3611AD0D">
            <w:pPr>
              <w:rPr>
                <w:rFonts w:ascii="Lato" w:hAnsi="Lato" w:eastAsia="Lato" w:cs="Lato"/>
                <w:sz w:val="24"/>
                <w:szCs w:val="24"/>
              </w:rPr>
            </w:pPr>
            <w:r w:rsidRPr="7F8594A9" w:rsidR="7F8594A9">
              <w:rPr>
                <w:rFonts w:ascii="Arial" w:hAnsi="Arial" w:eastAsia="Arial" w:cs="Arial"/>
                <w:color w:val="000000" w:themeColor="text1" w:themeTint="FF" w:themeShade="FF"/>
              </w:rPr>
              <w:t xml:space="preserve">Student </w:t>
            </w:r>
            <w:r w:rsidRPr="7F8594A9" w:rsidR="7F8594A9">
              <w:rPr>
                <w:rFonts w:ascii="Arial" w:hAnsi="Arial" w:eastAsia="Arial" w:cs="Arial"/>
                <w:b w:val="1"/>
                <w:bCs w:val="1"/>
                <w:color w:val="000000" w:themeColor="text1" w:themeTint="FF" w:themeShade="FF"/>
                <w:u w:val="single"/>
              </w:rPr>
              <w:t>University</w:t>
            </w:r>
            <w:r w:rsidRPr="7F8594A9" w:rsidR="7F8594A9">
              <w:rPr>
                <w:rFonts w:ascii="Arial" w:hAnsi="Arial" w:eastAsia="Arial" w:cs="Arial"/>
                <w:color w:val="000000" w:themeColor="text1" w:themeTint="FF" w:themeShade="FF"/>
                <w:u w:val="single"/>
              </w:rPr>
              <w:t xml:space="preserve"> </w:t>
            </w:r>
            <w:r w:rsidRPr="7F8594A9" w:rsidR="7F8594A9">
              <w:rPr>
                <w:rFonts w:ascii="Arial" w:hAnsi="Arial" w:eastAsia="Arial" w:cs="Arial"/>
                <w:color w:val="000000" w:themeColor="text1" w:themeTint="FF" w:themeShade="FF"/>
              </w:rPr>
              <w:t>Email: 2022572@student.uwtsd.ac.uk</w:t>
            </w:r>
          </w:p>
        </w:tc>
      </w:tr>
      <w:tr w:rsidR="06F855AA" w:rsidTr="355FDBB9" w14:paraId="044A8D1D" w14:textId="77777777">
        <w:trPr>
          <w:trHeight w:val="855"/>
        </w:trPr>
        <w:tc>
          <w:tcPr>
            <w:tcW w:w="313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6F855AA" w:rsidRDefault="06F855AA" w14:paraId="704BDE52" w14:textId="36D600FB">
            <w:r w:rsidRPr="06F855AA">
              <w:rPr>
                <w:rFonts w:ascii="Arial" w:hAnsi="Arial" w:eastAsia="Arial" w:cs="Arial"/>
                <w:color w:val="000000" w:themeColor="text1"/>
              </w:rPr>
              <w:t>Module code: HPCA7015</w:t>
            </w:r>
          </w:p>
          <w:p w:rsidR="06F855AA" w:rsidRDefault="06F855AA" w14:paraId="11236EEC" w14:textId="56782006">
            <w:r w:rsidRPr="06F855AA">
              <w:rPr>
                <w:rFonts w:ascii="Arial" w:hAnsi="Arial" w:eastAsia="Arial" w:cs="Arial"/>
                <w:color w:val="000000" w:themeColor="text1"/>
              </w:rPr>
              <w:t xml:space="preserve"> </w:t>
            </w:r>
          </w:p>
          <w:p w:rsidR="06F855AA" w:rsidRDefault="06F855AA" w14:paraId="1042764E" w14:textId="465EE78D">
            <w:r w:rsidRPr="06F855AA">
              <w:rPr>
                <w:rFonts w:ascii="Arial" w:hAnsi="Arial" w:eastAsia="Arial" w:cs="Arial"/>
                <w:color w:val="000000" w:themeColor="text1"/>
              </w:rPr>
              <w:t>Module title: Foundations in Cultural Astronomy and Astrology</w:t>
            </w:r>
          </w:p>
          <w:p w:rsidR="06F855AA" w:rsidRDefault="06F855AA" w14:paraId="268FD8D3" w14:textId="2EC80AE4">
            <w:r w:rsidRPr="06F855AA">
              <w:rPr>
                <w:rFonts w:ascii="Arial" w:hAnsi="Arial" w:eastAsia="Arial" w:cs="Arial"/>
                <w:color w:val="000000" w:themeColor="text1"/>
              </w:rPr>
              <w:t xml:space="preserve"> </w:t>
            </w:r>
          </w:p>
          <w:p w:rsidR="06F855AA" w:rsidRDefault="06F855AA" w14:paraId="2C4D41E8" w14:textId="1847B507">
            <w:r w:rsidRPr="06F855AA">
              <w:rPr>
                <w:rFonts w:ascii="Arial" w:hAnsi="Arial" w:eastAsia="Arial" w:cs="Arial"/>
                <w:color w:val="000000" w:themeColor="text1"/>
              </w:rPr>
              <w:t xml:space="preserve"> </w:t>
            </w:r>
          </w:p>
        </w:tc>
        <w:tc>
          <w:tcPr>
            <w:tcW w:w="1905" w:type="dxa"/>
            <w:gridSpan w:val="3"/>
            <w:tcBorders>
              <w:top w:val="nil"/>
              <w:left w:val="single" w:color="000000" w:themeColor="text1" w:sz="8" w:space="0"/>
              <w:bottom w:val="single" w:color="000000" w:themeColor="text1" w:sz="8" w:space="0"/>
              <w:right w:val="single" w:color="000000" w:themeColor="text1" w:sz="8" w:space="0"/>
            </w:tcBorders>
            <w:tcMar/>
          </w:tcPr>
          <w:p w:rsidR="06F855AA" w:rsidRDefault="06F855AA" w14:paraId="43A5969B" w14:textId="088CDD59">
            <w:r w:rsidRPr="7F8594A9" w:rsidR="7F8594A9">
              <w:rPr>
                <w:rFonts w:ascii="Arial" w:hAnsi="Arial" w:eastAsia="Arial" w:cs="Arial"/>
                <w:color w:val="000000" w:themeColor="text1" w:themeTint="FF" w:themeShade="FF"/>
              </w:rPr>
              <w:t>Student ID number: 2022572</w:t>
            </w:r>
          </w:p>
        </w:tc>
        <w:tc>
          <w:tcPr>
            <w:tcW w:w="1725" w:type="dxa"/>
            <w:tcBorders>
              <w:top w:val="nil"/>
              <w:left w:val="nil"/>
              <w:bottom w:val="single" w:color="000000" w:themeColor="text1" w:sz="8" w:space="0"/>
              <w:right w:val="single" w:color="000000" w:themeColor="text1" w:sz="8" w:space="0"/>
            </w:tcBorders>
            <w:tcMar/>
          </w:tcPr>
          <w:p w:rsidR="06F855AA" w:rsidRDefault="06F855AA" w14:paraId="1C19D190" w14:textId="7633ADD4">
            <w:r w:rsidRPr="06F855AA">
              <w:rPr>
                <w:rFonts w:ascii="Arial" w:hAnsi="Arial" w:eastAsia="Arial" w:cs="Arial"/>
                <w:color w:val="000000" w:themeColor="text1"/>
              </w:rPr>
              <w:t xml:space="preserve">Educational support needs: </w:t>
            </w:r>
          </w:p>
          <w:p w:rsidR="06F855AA" w:rsidRDefault="06F855AA" w14:paraId="2750942A" w14:textId="2E0EFA7A">
            <w:r w:rsidRPr="06F855AA">
              <w:rPr>
                <w:rFonts w:ascii="Arial" w:hAnsi="Arial" w:eastAsia="Arial" w:cs="Arial"/>
                <w:color w:val="000000" w:themeColor="text1"/>
              </w:rPr>
              <w:t>Y</w:t>
            </w:r>
            <w:r w:rsidRPr="06F855AA">
              <w:rPr>
                <w:rFonts w:ascii="Arial" w:hAnsi="Arial" w:eastAsia="Arial" w:cs="Arial"/>
              </w:rPr>
              <w:t>es/No</w:t>
            </w:r>
          </w:p>
          <w:p w:rsidR="06F855AA" w:rsidP="06F855AA" w:rsidRDefault="06F855AA" w14:paraId="49DD3422" w14:textId="574EB6A3">
            <w:pPr>
              <w:rPr>
                <w:rFonts w:ascii="Arial" w:hAnsi="Arial" w:eastAsia="Arial" w:cs="Arial"/>
              </w:rPr>
            </w:pPr>
          </w:p>
          <w:p w:rsidR="06F855AA" w:rsidP="06F855AA" w:rsidRDefault="06F855AA" w14:paraId="6E632CA1" w14:textId="314E5CBF">
            <w:pPr>
              <w:rPr>
                <w:rFonts w:ascii="Arial" w:hAnsi="Arial" w:eastAsia="Arial" w:cs="Arial"/>
              </w:rPr>
            </w:pPr>
            <w:r w:rsidRPr="06F855AA">
              <w:rPr>
                <w:rFonts w:ascii="Arial" w:hAnsi="Arial" w:eastAsia="Arial" w:cs="Arial"/>
              </w:rPr>
              <w:t>No</w:t>
            </w:r>
          </w:p>
        </w:tc>
      </w:tr>
      <w:tr w:rsidR="06F855AA" w:rsidTr="355FDBB9" w14:paraId="5323E1E2" w14:textId="77777777">
        <w:trPr>
          <w:trHeight w:val="114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6F855AA" w:rsidRDefault="06F855AA" w14:paraId="2EEAAEEF" w14:textId="4C5C6BEF">
            <w:r w:rsidRPr="06F855AA">
              <w:rPr>
                <w:rFonts w:ascii="Arial" w:hAnsi="Arial" w:eastAsia="Arial" w:cs="Arial"/>
                <w:color w:val="000000" w:themeColor="text1"/>
              </w:rPr>
              <w:t>Assignment title:</w:t>
            </w:r>
          </w:p>
          <w:p w:rsidR="06F855AA" w:rsidRDefault="06F855AA" w14:paraId="14BF364A" w14:textId="734422BD">
            <w:r w:rsidRPr="355FDBB9" w:rsidR="355FDBB9">
              <w:rPr>
                <w:rFonts w:ascii="Arial" w:hAnsi="Arial" w:eastAsia="Arial" w:cs="Arial"/>
                <w:color w:val="000000" w:themeColor="text1" w:themeTint="FF" w:themeShade="FF"/>
              </w:rPr>
              <w:t>Critical Comparison of Two JSTOR Papers</w:t>
            </w:r>
          </w:p>
          <w:p w:rsidR="06F855AA" w:rsidRDefault="06F855AA" w14:paraId="0925801C" w14:textId="46E7BE7E">
            <w:r w:rsidRPr="06F855AA">
              <w:rPr>
                <w:rFonts w:ascii="Arial" w:hAnsi="Arial" w:eastAsia="Arial" w:cs="Arial"/>
                <w:color w:val="000000" w:themeColor="text1"/>
              </w:rPr>
              <w:t xml:space="preserve"> </w:t>
            </w:r>
          </w:p>
          <w:p w:rsidR="06F855AA" w:rsidP="06F855AA" w:rsidRDefault="06F855AA" w14:paraId="3A818B4C" w14:textId="504A815C">
            <w:pPr>
              <w:rPr>
                <w:rFonts w:ascii="Arial" w:hAnsi="Arial" w:eastAsia="Arial" w:cs="Arial"/>
                <w:color w:val="000000" w:themeColor="text1"/>
              </w:rPr>
            </w:pPr>
            <w:r w:rsidRPr="06F855AA">
              <w:rPr>
                <w:rFonts w:ascii="Arial" w:hAnsi="Arial" w:eastAsia="Arial" w:cs="Arial"/>
                <w:color w:val="000000" w:themeColor="text1"/>
              </w:rPr>
              <w:t>Assignment due date: November 4</w:t>
            </w:r>
            <w:r w:rsidRPr="06F855AA">
              <w:rPr>
                <w:rFonts w:ascii="Arial" w:hAnsi="Arial" w:eastAsia="Arial" w:cs="Arial"/>
                <w:color w:val="000000" w:themeColor="text1"/>
                <w:vertAlign w:val="superscript"/>
              </w:rPr>
              <w:t>th</w:t>
            </w:r>
          </w:p>
        </w:tc>
      </w:tr>
      <w:tr w:rsidR="06F855AA" w:rsidTr="355FDBB9" w14:paraId="795B6C5C" w14:textId="77777777">
        <w:trPr>
          <w:trHeight w:val="97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6F855AA" w:rsidRDefault="06F855AA" w14:paraId="4EB7B5DD" w14:textId="01CB9CFD">
            <w:r w:rsidRPr="06F855AA">
              <w:rPr>
                <w:rFonts w:ascii="Arial" w:hAnsi="Arial" w:eastAsia="Arial" w:cs="Arial"/>
                <w:color w:val="000000" w:themeColor="text1"/>
              </w:rPr>
              <w:t xml:space="preserve">This assignment is for the       </w:t>
            </w:r>
            <w:r w:rsidRPr="06F855AA">
              <w:rPr>
                <w:rFonts w:ascii="Arial" w:hAnsi="Arial" w:eastAsia="Arial" w:cs="Arial"/>
              </w:rPr>
              <w:t>1</w:t>
            </w:r>
            <w:r w:rsidRPr="06F855AA">
              <w:rPr>
                <w:rFonts w:ascii="Arial" w:hAnsi="Arial" w:eastAsia="Arial" w:cs="Arial"/>
                <w:vertAlign w:val="superscript"/>
              </w:rPr>
              <w:t xml:space="preserve">st </w:t>
            </w:r>
            <w:r w:rsidRPr="06F855AA">
              <w:rPr>
                <w:rFonts w:ascii="Arial" w:hAnsi="Arial" w:eastAsia="Arial" w:cs="Arial"/>
                <w:color w:val="000000" w:themeColor="text1"/>
              </w:rPr>
              <w:t xml:space="preserve">    2</w:t>
            </w:r>
            <w:r w:rsidRPr="06F855AA">
              <w:rPr>
                <w:rFonts w:ascii="Arial" w:hAnsi="Arial" w:eastAsia="Arial" w:cs="Arial"/>
                <w:color w:val="000000" w:themeColor="text1"/>
                <w:vertAlign w:val="superscript"/>
              </w:rPr>
              <w:t>nd</w:t>
            </w:r>
            <w:r w:rsidRPr="06F855AA">
              <w:rPr>
                <w:rFonts w:ascii="Arial" w:hAnsi="Arial" w:eastAsia="Arial" w:cs="Arial"/>
                <w:color w:val="000000" w:themeColor="text1"/>
              </w:rPr>
              <w:t xml:space="preserve">       3</w:t>
            </w:r>
            <w:r w:rsidRPr="06F855AA">
              <w:rPr>
                <w:rFonts w:ascii="Arial" w:hAnsi="Arial" w:eastAsia="Arial" w:cs="Arial"/>
                <w:color w:val="000000" w:themeColor="text1"/>
                <w:vertAlign w:val="superscript"/>
              </w:rPr>
              <w:t>rd</w:t>
            </w:r>
            <w:r w:rsidRPr="06F855AA">
              <w:rPr>
                <w:rFonts w:ascii="Arial" w:hAnsi="Arial" w:eastAsia="Arial" w:cs="Arial"/>
                <w:color w:val="000000" w:themeColor="text1"/>
              </w:rPr>
              <w:t xml:space="preserve">        4</w:t>
            </w:r>
            <w:r w:rsidRPr="06F855AA">
              <w:rPr>
                <w:rFonts w:ascii="Arial" w:hAnsi="Arial" w:eastAsia="Arial" w:cs="Arial"/>
                <w:color w:val="000000" w:themeColor="text1"/>
                <w:vertAlign w:val="superscript"/>
              </w:rPr>
              <w:t>th</w:t>
            </w:r>
            <w:r w:rsidRPr="06F855AA">
              <w:rPr>
                <w:rFonts w:ascii="Arial" w:hAnsi="Arial" w:eastAsia="Arial" w:cs="Arial"/>
                <w:color w:val="000000" w:themeColor="text1"/>
              </w:rPr>
              <w:t xml:space="preserve">       5</w:t>
            </w:r>
            <w:r w:rsidRPr="06F855AA">
              <w:rPr>
                <w:rFonts w:ascii="Arial" w:hAnsi="Arial" w:eastAsia="Arial" w:cs="Arial"/>
                <w:color w:val="000000" w:themeColor="text1"/>
                <w:vertAlign w:val="superscript"/>
              </w:rPr>
              <w:t>th</w:t>
            </w:r>
            <w:r w:rsidRPr="06F855AA">
              <w:rPr>
                <w:rFonts w:ascii="Arial" w:hAnsi="Arial" w:eastAsia="Arial" w:cs="Arial"/>
                <w:color w:val="000000" w:themeColor="text1"/>
              </w:rPr>
              <w:t xml:space="preserve">       6</w:t>
            </w:r>
            <w:r w:rsidRPr="06F855AA">
              <w:rPr>
                <w:rFonts w:ascii="Arial" w:hAnsi="Arial" w:eastAsia="Arial" w:cs="Arial"/>
                <w:color w:val="000000" w:themeColor="text1"/>
                <w:vertAlign w:val="superscript"/>
              </w:rPr>
              <w:t>th</w:t>
            </w:r>
            <w:r w:rsidRPr="06F855AA">
              <w:rPr>
                <w:rFonts w:ascii="Arial" w:hAnsi="Arial" w:eastAsia="Arial" w:cs="Arial"/>
                <w:color w:val="000000" w:themeColor="text1"/>
              </w:rPr>
              <w:t xml:space="preserve"> </w:t>
            </w:r>
            <w:r w:rsidRPr="06F855AA">
              <w:rPr>
                <w:rFonts w:ascii="Arial" w:hAnsi="Arial" w:eastAsia="Arial" w:cs="Arial"/>
                <w:b/>
                <w:bCs/>
                <w:color w:val="000000" w:themeColor="text1"/>
              </w:rPr>
              <w:t xml:space="preserve">   </w:t>
            </w:r>
            <w:r w:rsidRPr="06F855AA">
              <w:rPr>
                <w:rFonts w:ascii="Arial" w:hAnsi="Arial" w:eastAsia="Arial" w:cs="Arial"/>
                <w:color w:val="000000" w:themeColor="text1"/>
              </w:rPr>
              <w:t>module of the degree</w:t>
            </w:r>
          </w:p>
        </w:tc>
      </w:tr>
      <w:tr w:rsidR="06F855AA" w:rsidTr="355FDBB9" w14:paraId="33806A34" w14:textId="77777777">
        <w:trPr>
          <w:trHeight w:val="97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tcPr>
          <w:p w:rsidR="06F855AA" w:rsidRDefault="06F855AA" w14:paraId="25FAC307" w14:textId="655A6A0B">
            <w:r w:rsidRPr="06F855AA">
              <w:rPr>
                <w:rFonts w:ascii="Arial" w:hAnsi="Arial" w:eastAsia="Arial" w:cs="Arial"/>
                <w:color w:val="000000" w:themeColor="text1"/>
              </w:rPr>
              <w:t>I confirm that this is my original work and that I have adhered to the University policy on plagiarism.</w:t>
            </w:r>
          </w:p>
          <w:p w:rsidR="06F855AA" w:rsidRDefault="06F855AA" w14:paraId="18371865" w14:textId="74008057">
            <w:r w:rsidRPr="06F855AA">
              <w:rPr>
                <w:rFonts w:ascii="Arial" w:hAnsi="Arial" w:eastAsia="Arial" w:cs="Arial"/>
                <w:color w:val="000000" w:themeColor="text1"/>
              </w:rPr>
              <w:t>Signed ……Leon Hicks………………………………………………………</w:t>
            </w:r>
          </w:p>
          <w:p w:rsidR="06F855AA" w:rsidRDefault="06F855AA" w14:paraId="7000C7AF" w14:textId="2D3AB8AE">
            <w:r w:rsidRPr="06F855AA">
              <w:rPr>
                <w:rFonts w:ascii="Calibri" w:hAnsi="Calibri" w:eastAsia="Calibri" w:cs="Calibri"/>
                <w:b/>
                <w:bCs/>
                <w:color w:val="000000" w:themeColor="text1"/>
                <w:sz w:val="24"/>
                <w:szCs w:val="24"/>
              </w:rPr>
              <w:t xml:space="preserve">Email submission:if you are submitting this form via email, please tick this box </w:t>
            </w:r>
            <w:r w:rsidRPr="06F855AA">
              <w:rPr>
                <w:rFonts w:ascii="Calibri" w:hAnsi="Calibri" w:eastAsia="Calibri" w:cs="Calibri"/>
                <w:b/>
                <w:bCs/>
                <w:color w:val="000000" w:themeColor="text1"/>
                <w:sz w:val="44"/>
                <w:szCs w:val="44"/>
              </w:rPr>
              <w:t>□</w:t>
            </w:r>
          </w:p>
          <w:p w:rsidR="06F855AA" w:rsidRDefault="06F855AA" w14:paraId="441F9185" w14:textId="38CE37F9">
            <w:r w:rsidRPr="06F855AA">
              <w:rPr>
                <w:rFonts w:ascii="Calibri" w:hAnsi="Calibri" w:eastAsia="Calibri" w:cs="Calibri"/>
                <w:b/>
                <w:bCs/>
                <w:color w:val="000000" w:themeColor="text1"/>
                <w:sz w:val="24"/>
                <w:szCs w:val="24"/>
              </w:rPr>
              <w:t>(as a substitute for your signature) to confirm that you agree to the above declaration.</w:t>
            </w:r>
          </w:p>
        </w:tc>
      </w:tr>
      <w:tr w:rsidR="06F855AA" w:rsidTr="355FDBB9" w14:paraId="648BF45C" w14:textId="77777777">
        <w:trPr>
          <w:trHeight w:val="397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6F855AA" w:rsidRDefault="06F855AA" w14:paraId="0501C914" w14:textId="37974550">
            <w:r w:rsidRPr="06F855AA">
              <w:rPr>
                <w:rFonts w:ascii="Arial" w:hAnsi="Arial" w:eastAsia="Arial" w:cs="Arial"/>
                <w:b/>
                <w:bCs/>
                <w:color w:val="000000" w:themeColor="text1"/>
                <w:sz w:val="21"/>
                <w:szCs w:val="21"/>
              </w:rPr>
              <w:t xml:space="preserve"> </w:t>
            </w:r>
          </w:p>
          <w:p w:rsidR="06F855AA" w:rsidRDefault="06F855AA" w14:paraId="767CDC17" w14:textId="79D96BE3">
            <w:r w:rsidRPr="06F855AA">
              <w:rPr>
                <w:rFonts w:ascii="Arial" w:hAnsi="Arial" w:eastAsia="Arial" w:cs="Arial"/>
                <w:b/>
                <w:bCs/>
                <w:color w:val="000000" w:themeColor="text1"/>
                <w:sz w:val="21"/>
                <w:szCs w:val="21"/>
              </w:rPr>
              <w:t>Assignment Mark</w:t>
            </w:r>
          </w:p>
          <w:tbl>
            <w:tblPr>
              <w:tblW w:w="0" w:type="auto"/>
              <w:tblLayout w:type="fixed"/>
              <w:tblLook w:val="01E0" w:firstRow="1" w:lastRow="1" w:firstColumn="1" w:lastColumn="1" w:noHBand="0" w:noVBand="0"/>
            </w:tblPr>
            <w:tblGrid>
              <w:gridCol w:w="5364"/>
              <w:gridCol w:w="1281"/>
            </w:tblGrid>
            <w:tr w:rsidR="06F855AA" w:rsidTr="06F855AA" w14:paraId="24041738" w14:textId="77777777">
              <w:tc>
                <w:tcPr>
                  <w:tcW w:w="5364" w:type="dxa"/>
                  <w:tcBorders>
                    <w:top w:val="single" w:color="auto" w:sz="8" w:space="0"/>
                    <w:left w:val="single" w:color="auto" w:sz="8" w:space="0"/>
                    <w:bottom w:val="single" w:color="auto" w:sz="8" w:space="0"/>
                    <w:right w:val="single" w:color="auto" w:sz="8" w:space="0"/>
                  </w:tcBorders>
                </w:tcPr>
                <w:p w:rsidR="06F855AA" w:rsidRDefault="06F855AA" w14:paraId="447D97CE" w14:textId="5F2F8165">
                  <w:r w:rsidRPr="06F855AA">
                    <w:rPr>
                      <w:rFonts w:ascii="Arial" w:hAnsi="Arial" w:eastAsia="Arial" w:cs="Arial"/>
                      <w:color w:val="000000" w:themeColor="text1"/>
                      <w:sz w:val="20"/>
                      <w:szCs w:val="20"/>
                    </w:rPr>
                    <w:t xml:space="preserve"> </w:t>
                  </w:r>
                </w:p>
                <w:p w:rsidR="06F855AA" w:rsidRDefault="06F855AA" w14:paraId="67DC9822" w14:textId="25B41851">
                  <w:r w:rsidRPr="06F855AA">
                    <w:rPr>
                      <w:rFonts w:ascii="Arial" w:hAnsi="Arial" w:eastAsia="Arial" w:cs="Arial"/>
                      <w:color w:val="000000" w:themeColor="text1"/>
                      <w:sz w:val="20"/>
                      <w:szCs w:val="20"/>
                    </w:rPr>
                    <w:t>1</w:t>
                  </w:r>
                  <w:r w:rsidRPr="06F855AA">
                    <w:rPr>
                      <w:rFonts w:ascii="Arial" w:hAnsi="Arial" w:eastAsia="Arial" w:cs="Arial"/>
                      <w:color w:val="000000" w:themeColor="text1"/>
                      <w:sz w:val="20"/>
                      <w:szCs w:val="20"/>
                      <w:vertAlign w:val="superscript"/>
                    </w:rPr>
                    <w:t>st</w:t>
                  </w:r>
                  <w:r w:rsidRPr="06F855AA">
                    <w:rPr>
                      <w:rFonts w:ascii="Arial" w:hAnsi="Arial" w:eastAsia="Arial" w:cs="Arial"/>
                      <w:color w:val="000000" w:themeColor="text1"/>
                      <w:sz w:val="20"/>
                      <w:szCs w:val="20"/>
                    </w:rPr>
                    <w:t xml:space="preserve"> Marker’s Provisional mark</w:t>
                  </w:r>
                </w:p>
              </w:tc>
              <w:tc>
                <w:tcPr>
                  <w:tcW w:w="1281" w:type="dxa"/>
                  <w:tcBorders>
                    <w:top w:val="single" w:color="auto" w:sz="8" w:space="0"/>
                    <w:left w:val="single" w:color="auto" w:sz="8" w:space="0"/>
                    <w:bottom w:val="single" w:color="auto" w:sz="8" w:space="0"/>
                    <w:right w:val="single" w:color="auto" w:sz="8" w:space="0"/>
                  </w:tcBorders>
                </w:tcPr>
                <w:p w:rsidR="06F855AA" w:rsidRDefault="06F855AA" w14:paraId="2A8E81F2" w14:textId="5B48F05B">
                  <w:r w:rsidRPr="06F855AA">
                    <w:rPr>
                      <w:rFonts w:ascii="Arial" w:hAnsi="Arial" w:eastAsia="Arial" w:cs="Arial"/>
                      <w:color w:val="000000" w:themeColor="text1"/>
                      <w:sz w:val="20"/>
                      <w:szCs w:val="20"/>
                    </w:rPr>
                    <w:t xml:space="preserve"> </w:t>
                  </w:r>
                </w:p>
              </w:tc>
            </w:tr>
            <w:tr w:rsidR="06F855AA" w:rsidTr="06F855AA" w14:paraId="212F50FA" w14:textId="77777777">
              <w:tc>
                <w:tcPr>
                  <w:tcW w:w="5364" w:type="dxa"/>
                  <w:tcBorders>
                    <w:top w:val="single" w:color="auto" w:sz="8" w:space="0"/>
                    <w:left w:val="single" w:color="auto" w:sz="8" w:space="0"/>
                    <w:bottom w:val="single" w:color="auto" w:sz="8" w:space="0"/>
                    <w:right w:val="single" w:color="auto" w:sz="8" w:space="0"/>
                  </w:tcBorders>
                </w:tcPr>
                <w:p w:rsidR="06F855AA" w:rsidRDefault="06F855AA" w14:paraId="7096E26B" w14:textId="45C87FF7">
                  <w:r w:rsidRPr="06F855AA">
                    <w:rPr>
                      <w:rFonts w:ascii="Arial" w:hAnsi="Arial" w:eastAsia="Arial" w:cs="Arial"/>
                      <w:color w:val="000000" w:themeColor="text1"/>
                      <w:sz w:val="20"/>
                      <w:szCs w:val="20"/>
                    </w:rPr>
                    <w:t xml:space="preserve"> </w:t>
                  </w:r>
                </w:p>
                <w:p w:rsidR="06F855AA" w:rsidRDefault="06F855AA" w14:paraId="285D73EF" w14:textId="5149DCC0">
                  <w:r w:rsidRPr="06F855AA">
                    <w:rPr>
                      <w:rFonts w:ascii="Arial" w:hAnsi="Arial" w:eastAsia="Arial" w:cs="Arial"/>
                      <w:color w:val="000000" w:themeColor="text1"/>
                      <w:sz w:val="20"/>
                      <w:szCs w:val="20"/>
                    </w:rPr>
                    <w:t>2</w:t>
                  </w:r>
                  <w:r w:rsidRPr="06F855AA">
                    <w:rPr>
                      <w:rFonts w:ascii="Arial" w:hAnsi="Arial" w:eastAsia="Arial" w:cs="Arial"/>
                      <w:color w:val="000000" w:themeColor="text1"/>
                      <w:sz w:val="20"/>
                      <w:szCs w:val="20"/>
                      <w:vertAlign w:val="superscript"/>
                    </w:rPr>
                    <w:t>nd</w:t>
                  </w:r>
                  <w:r w:rsidRPr="06F855AA">
                    <w:rPr>
                      <w:rFonts w:ascii="Arial" w:hAnsi="Arial" w:eastAsia="Arial" w:cs="Arial"/>
                      <w:color w:val="000000" w:themeColor="text1"/>
                      <w:sz w:val="20"/>
                      <w:szCs w:val="20"/>
                    </w:rPr>
                    <w:t xml:space="preserve"> Marker’s/Moderator’s provisional mark</w:t>
                  </w:r>
                </w:p>
              </w:tc>
              <w:tc>
                <w:tcPr>
                  <w:tcW w:w="1281" w:type="dxa"/>
                  <w:tcBorders>
                    <w:top w:val="single" w:color="auto" w:sz="8" w:space="0"/>
                    <w:left w:val="single" w:color="auto" w:sz="8" w:space="0"/>
                    <w:bottom w:val="single" w:color="auto" w:sz="8" w:space="0"/>
                    <w:right w:val="single" w:color="auto" w:sz="8" w:space="0"/>
                  </w:tcBorders>
                </w:tcPr>
                <w:p w:rsidR="06F855AA" w:rsidRDefault="06F855AA" w14:paraId="020108BF" w14:textId="68877249">
                  <w:r w:rsidRPr="06F855AA">
                    <w:rPr>
                      <w:rFonts w:ascii="Arial" w:hAnsi="Arial" w:eastAsia="Arial" w:cs="Arial"/>
                      <w:color w:val="000000" w:themeColor="text1"/>
                      <w:sz w:val="20"/>
                      <w:szCs w:val="20"/>
                    </w:rPr>
                    <w:t xml:space="preserve"> </w:t>
                  </w:r>
                </w:p>
              </w:tc>
            </w:tr>
            <w:tr w:rsidR="06F855AA" w:rsidTr="06F855AA" w14:paraId="5A3B19BE" w14:textId="77777777">
              <w:tc>
                <w:tcPr>
                  <w:tcW w:w="5364" w:type="dxa"/>
                  <w:tcBorders>
                    <w:top w:val="single" w:color="auto" w:sz="8" w:space="0"/>
                    <w:left w:val="single" w:color="auto" w:sz="8" w:space="0"/>
                    <w:bottom w:val="single" w:color="auto" w:sz="8" w:space="0"/>
                    <w:right w:val="single" w:color="auto" w:sz="8" w:space="0"/>
                  </w:tcBorders>
                </w:tcPr>
                <w:p w:rsidR="06F855AA" w:rsidRDefault="06F855AA" w14:paraId="5FB5F2B3" w14:textId="1F6CBFA2">
                  <w:r w:rsidRPr="06F855AA">
                    <w:rPr>
                      <w:rFonts w:ascii="Arial" w:hAnsi="Arial" w:eastAsia="Arial" w:cs="Arial"/>
                      <w:color w:val="000000" w:themeColor="text1"/>
                      <w:sz w:val="20"/>
                      <w:szCs w:val="20"/>
                    </w:rPr>
                    <w:t xml:space="preserve"> </w:t>
                  </w:r>
                </w:p>
                <w:p w:rsidR="06F855AA" w:rsidRDefault="06F855AA" w14:paraId="73650A68" w14:textId="5F0BA1D5">
                  <w:r w:rsidRPr="06F855AA">
                    <w:rPr>
                      <w:rFonts w:ascii="Arial" w:hAnsi="Arial" w:eastAsia="Arial" w:cs="Arial"/>
                      <w:color w:val="000000" w:themeColor="text1"/>
                      <w:sz w:val="20"/>
                      <w:szCs w:val="20"/>
                    </w:rPr>
                    <w:t>External Examiner’s mark (if relevant)</w:t>
                  </w:r>
                </w:p>
              </w:tc>
              <w:tc>
                <w:tcPr>
                  <w:tcW w:w="1281" w:type="dxa"/>
                  <w:tcBorders>
                    <w:top w:val="single" w:color="auto" w:sz="8" w:space="0"/>
                    <w:left w:val="single" w:color="auto" w:sz="8" w:space="0"/>
                    <w:bottom w:val="single" w:color="auto" w:sz="8" w:space="0"/>
                    <w:right w:val="single" w:color="auto" w:sz="8" w:space="0"/>
                  </w:tcBorders>
                </w:tcPr>
                <w:p w:rsidR="06F855AA" w:rsidRDefault="06F855AA" w14:paraId="7237964F" w14:textId="77DE89F4">
                  <w:r w:rsidRPr="06F855AA">
                    <w:rPr>
                      <w:rFonts w:ascii="Arial" w:hAnsi="Arial" w:eastAsia="Arial" w:cs="Arial"/>
                      <w:color w:val="000000" w:themeColor="text1"/>
                      <w:sz w:val="20"/>
                      <w:szCs w:val="20"/>
                    </w:rPr>
                    <w:t xml:space="preserve"> </w:t>
                  </w:r>
                </w:p>
              </w:tc>
            </w:tr>
            <w:tr w:rsidR="06F855AA" w:rsidTr="06F855AA" w14:paraId="70F31F17" w14:textId="77777777">
              <w:tc>
                <w:tcPr>
                  <w:tcW w:w="5364" w:type="dxa"/>
                  <w:tcBorders>
                    <w:top w:val="single" w:color="auto" w:sz="8" w:space="0"/>
                    <w:left w:val="single" w:color="auto" w:sz="8" w:space="0"/>
                    <w:bottom w:val="single" w:color="auto" w:sz="8" w:space="0"/>
                    <w:right w:val="single" w:color="auto" w:sz="8" w:space="0"/>
                  </w:tcBorders>
                </w:tcPr>
                <w:p w:rsidR="06F855AA" w:rsidRDefault="06F855AA" w14:paraId="00A557BC" w14:textId="74321EE7">
                  <w:r w:rsidRPr="06F855AA">
                    <w:rPr>
                      <w:rFonts w:ascii="Arial" w:hAnsi="Arial" w:eastAsia="Arial" w:cs="Arial"/>
                      <w:color w:val="000000" w:themeColor="text1"/>
                      <w:sz w:val="20"/>
                      <w:szCs w:val="20"/>
                    </w:rPr>
                    <w:t xml:space="preserve"> </w:t>
                  </w:r>
                </w:p>
                <w:p w:rsidR="06F855AA" w:rsidRDefault="06F855AA" w14:paraId="098B756D" w14:textId="40FF527D">
                  <w:r w:rsidRPr="06F855AA">
                    <w:rPr>
                      <w:rFonts w:ascii="Arial" w:hAnsi="Arial" w:eastAsia="Arial" w:cs="Arial"/>
                      <w:b/>
                      <w:bCs/>
                      <w:color w:val="000000" w:themeColor="text1"/>
                      <w:sz w:val="20"/>
                      <w:szCs w:val="20"/>
                    </w:rPr>
                    <w:t>Final Mark</w:t>
                  </w:r>
                </w:p>
                <w:p w:rsidR="06F855AA" w:rsidRDefault="06F855AA" w14:paraId="7C18DFFD" w14:textId="501AE4AB">
                  <w:r w:rsidRPr="06F855AA">
                    <w:rPr>
                      <w:rFonts w:ascii="Arial" w:hAnsi="Arial" w:eastAsia="Arial" w:cs="Arial"/>
                      <w:color w:val="000000" w:themeColor="text1"/>
                      <w:sz w:val="20"/>
                      <w:szCs w:val="20"/>
                    </w:rPr>
                    <w:t xml:space="preserve"> </w:t>
                  </w:r>
                </w:p>
              </w:tc>
              <w:tc>
                <w:tcPr>
                  <w:tcW w:w="1281" w:type="dxa"/>
                  <w:tcBorders>
                    <w:top w:val="single" w:color="auto" w:sz="8" w:space="0"/>
                    <w:left w:val="single" w:color="auto" w:sz="8" w:space="0"/>
                    <w:bottom w:val="single" w:color="auto" w:sz="8" w:space="0"/>
                    <w:right w:val="single" w:color="auto" w:sz="8" w:space="0"/>
                  </w:tcBorders>
                </w:tcPr>
                <w:p w:rsidR="06F855AA" w:rsidRDefault="06F855AA" w14:paraId="6CAFD027" w14:textId="11CC3C9F">
                  <w:r w:rsidRPr="06F855AA">
                    <w:rPr>
                      <w:rFonts w:ascii="Arial" w:hAnsi="Arial" w:eastAsia="Arial" w:cs="Arial"/>
                      <w:color w:val="000000" w:themeColor="text1"/>
                      <w:sz w:val="20"/>
                      <w:szCs w:val="20"/>
                    </w:rPr>
                    <w:t xml:space="preserve"> </w:t>
                  </w:r>
                </w:p>
              </w:tc>
            </w:tr>
          </w:tbl>
          <w:p w:rsidR="06F855AA" w:rsidRDefault="06F855AA" w14:paraId="21ADF04D" w14:textId="121203A1">
            <w:r w:rsidRPr="06F855AA">
              <w:rPr>
                <w:rFonts w:ascii="Arial" w:hAnsi="Arial" w:eastAsia="Arial" w:cs="Arial"/>
                <w:b/>
                <w:bCs/>
                <w:color w:val="000000" w:themeColor="text1"/>
              </w:rPr>
              <w:t xml:space="preserve"> </w:t>
            </w:r>
          </w:p>
          <w:p w:rsidR="06F855AA" w:rsidRDefault="06F855AA" w14:paraId="1103D5B6" w14:textId="61CC2FEF">
            <w:r w:rsidRPr="06F855AA">
              <w:rPr>
                <w:rFonts w:ascii="Arial" w:hAnsi="Arial" w:eastAsia="Arial" w:cs="Arial"/>
                <w:b/>
                <w:bCs/>
                <w:color w:val="000000" w:themeColor="text1"/>
              </w:rPr>
              <w:t>NB.</w:t>
            </w:r>
            <w:r w:rsidRPr="06F855AA">
              <w:rPr>
                <w:rFonts w:ascii="Arial" w:hAnsi="Arial" w:eastAsia="Arial" w:cs="Arial"/>
                <w:color w:val="000000" w:themeColor="text1"/>
              </w:rPr>
              <w:t xml:space="preserve">  All marks are provisional until confirmed by the Final Examination Board.</w:t>
            </w:r>
          </w:p>
          <w:p w:rsidR="06F855AA" w:rsidRDefault="06F855AA" w14:paraId="30850462" w14:textId="416D58E9">
            <w:r w:rsidRPr="06F855AA">
              <w:rPr>
                <w:rFonts w:ascii="Arial" w:hAnsi="Arial" w:eastAsia="Arial" w:cs="Arial"/>
                <w:b/>
                <w:bCs/>
                <w:color w:val="000000" w:themeColor="text1"/>
              </w:rPr>
              <w:t xml:space="preserve"> </w:t>
            </w:r>
          </w:p>
          <w:p w:rsidR="06F855AA" w:rsidRDefault="06F855AA" w14:paraId="0BDA99D1" w14:textId="653A8B5E">
            <w:r w:rsidRPr="06F855AA">
              <w:rPr>
                <w:rFonts w:ascii="Arial" w:hAnsi="Arial" w:eastAsia="Arial" w:cs="Arial"/>
                <w:b/>
                <w:bCs/>
                <w:color w:val="000000" w:themeColor="text1"/>
              </w:rPr>
              <w:t xml:space="preserve"> </w:t>
            </w:r>
          </w:p>
          <w:p w:rsidR="06F855AA" w:rsidRDefault="06F855AA" w14:paraId="61D6E40D" w14:textId="4F47B083">
            <w:r w:rsidRPr="06F855AA">
              <w:rPr>
                <w:rFonts w:ascii="Arial" w:hAnsi="Arial" w:eastAsia="Arial" w:cs="Arial"/>
                <w:b/>
                <w:bCs/>
                <w:color w:val="000000" w:themeColor="text1"/>
              </w:rPr>
              <w:t xml:space="preserve"> </w:t>
            </w:r>
          </w:p>
          <w:p w:rsidR="06F855AA" w:rsidRDefault="06F855AA" w14:paraId="75F335D4" w14:textId="4DDB630F">
            <w:r w:rsidRPr="06F855AA">
              <w:rPr>
                <w:rFonts w:ascii="Arial" w:hAnsi="Arial" w:eastAsia="Arial" w:cs="Arial"/>
                <w:b/>
                <w:bCs/>
                <w:color w:val="000000" w:themeColor="text1"/>
              </w:rPr>
              <w:t xml:space="preserve"> </w:t>
            </w:r>
          </w:p>
          <w:p w:rsidR="06F855AA" w:rsidRDefault="06F855AA" w14:paraId="27AA72A9" w14:textId="0DCDAD61">
            <w:r w:rsidRPr="06F855AA">
              <w:rPr>
                <w:rFonts w:ascii="Arial" w:hAnsi="Arial" w:eastAsia="Arial" w:cs="Arial"/>
                <w:b/>
                <w:bCs/>
                <w:color w:val="000000" w:themeColor="text1"/>
              </w:rPr>
              <w:t xml:space="preserve"> </w:t>
            </w:r>
          </w:p>
          <w:p w:rsidR="06F855AA" w:rsidRDefault="06F855AA" w14:paraId="4FFF87DB" w14:textId="7E9BE0FC">
            <w:r w:rsidRPr="06F855AA">
              <w:rPr>
                <w:rFonts w:ascii="Arial" w:hAnsi="Arial" w:eastAsia="Arial" w:cs="Arial"/>
                <w:b/>
                <w:bCs/>
                <w:color w:val="000000" w:themeColor="text1"/>
              </w:rPr>
              <w:t>For completion by Marker 1 :</w:t>
            </w:r>
          </w:p>
          <w:p w:rsidR="06F855AA" w:rsidRDefault="06F855AA" w14:paraId="5F2F3B08" w14:textId="74440EA5">
            <w:r w:rsidRPr="06F855AA">
              <w:rPr>
                <w:rFonts w:ascii="Arial" w:hAnsi="Arial" w:eastAsia="Arial" w:cs="Arial"/>
                <w:color w:val="000000" w:themeColor="text1"/>
              </w:rPr>
              <w:t>Comments:</w:t>
            </w:r>
          </w:p>
          <w:p w:rsidR="06F855AA" w:rsidRDefault="06F855AA" w14:paraId="75EBE134" w14:textId="459988A1">
            <w:r w:rsidRPr="06F855AA">
              <w:rPr>
                <w:rFonts w:ascii="Arial" w:hAnsi="Arial" w:eastAsia="Arial" w:cs="Arial"/>
                <w:color w:val="000000" w:themeColor="text1"/>
              </w:rPr>
              <w:t xml:space="preserve"> </w:t>
            </w:r>
          </w:p>
        </w:tc>
      </w:tr>
      <w:tr w:rsidR="06F855AA" w:rsidTr="355FDBB9" w14:paraId="6107926C" w14:textId="77777777">
        <w:trPr>
          <w:trHeight w:val="495"/>
        </w:trPr>
        <w:tc>
          <w:tcPr>
            <w:tcW w:w="4755" w:type="dxa"/>
            <w:gridSpan w:val="3"/>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6F855AA" w:rsidRDefault="06F855AA" w14:paraId="385EC1CD" w14:textId="3C448A6F">
            <w:r w:rsidRPr="06F855AA">
              <w:rPr>
                <w:rFonts w:ascii="Arial" w:hAnsi="Arial" w:eastAsia="Arial" w:cs="Arial"/>
                <w:color w:val="000000" w:themeColor="text1"/>
              </w:rPr>
              <w:t>Marker’s signature:</w:t>
            </w:r>
          </w:p>
        </w:tc>
        <w:tc>
          <w:tcPr>
            <w:tcW w:w="2010" w:type="dxa"/>
            <w:gridSpan w:val="2"/>
            <w:tcBorders>
              <w:top w:val="nil"/>
              <w:left w:val="nil"/>
              <w:bottom w:val="single" w:color="000000" w:themeColor="text1" w:sz="8" w:space="0"/>
              <w:right w:val="single" w:color="000000" w:themeColor="text1" w:sz="8" w:space="0"/>
            </w:tcBorders>
            <w:tcMar/>
          </w:tcPr>
          <w:p w:rsidR="06F855AA" w:rsidRDefault="06F855AA" w14:paraId="22BD3826" w14:textId="26ECB554">
            <w:r w:rsidRPr="06F855AA">
              <w:rPr>
                <w:rFonts w:ascii="Arial" w:hAnsi="Arial" w:eastAsia="Arial" w:cs="Arial"/>
                <w:color w:val="000000" w:themeColor="text1"/>
              </w:rPr>
              <w:t>Date:</w:t>
            </w:r>
          </w:p>
        </w:tc>
      </w:tr>
      <w:tr w:rsidR="06F855AA" w:rsidTr="355FDBB9" w14:paraId="6B9C5DDC" w14:textId="77777777">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6F855AA" w:rsidRDefault="06F855AA" w14:paraId="1CB4B0D1" w14:textId="73D4C079">
            <w:r w:rsidRPr="06F855AA">
              <w:rPr>
                <w:rFonts w:ascii="Arial" w:hAnsi="Arial" w:eastAsia="Arial" w:cs="Arial"/>
                <w:i/>
                <w:iCs/>
                <w:color w:val="000000" w:themeColor="text1"/>
              </w:rPr>
              <w:t xml:space="preserve"> </w:t>
            </w:r>
          </w:p>
          <w:p w:rsidR="06F855AA" w:rsidRDefault="06F855AA" w14:paraId="0EB2AD0D" w14:textId="100AA5E9">
            <w:r w:rsidRPr="06F855AA">
              <w:rPr>
                <w:rFonts w:ascii="Arial" w:hAnsi="Arial" w:eastAsia="Arial" w:cs="Arial"/>
                <w:b/>
                <w:bCs/>
                <w:color w:val="000000" w:themeColor="text1"/>
              </w:rPr>
              <w:t>For completion by Marker 2/Moderator:</w:t>
            </w:r>
          </w:p>
          <w:p w:rsidR="06F855AA" w:rsidRDefault="06F855AA" w14:paraId="3352CC91" w14:textId="68BFFCF3">
            <w:r w:rsidRPr="06F855AA">
              <w:rPr>
                <w:rFonts w:ascii="Arial" w:hAnsi="Arial" w:eastAsia="Arial" w:cs="Arial"/>
                <w:b/>
                <w:bCs/>
                <w:color w:val="000000" w:themeColor="text1"/>
              </w:rPr>
              <w:t xml:space="preserve"> </w:t>
            </w:r>
          </w:p>
          <w:p w:rsidR="06F855AA" w:rsidRDefault="06F855AA" w14:paraId="2760554C" w14:textId="1C2456C5">
            <w:r w:rsidRPr="06F855AA">
              <w:rPr>
                <w:rFonts w:ascii="Arial" w:hAnsi="Arial" w:eastAsia="Arial" w:cs="Arial"/>
                <w:color w:val="000000" w:themeColor="text1"/>
              </w:rPr>
              <w:t>Comments:</w:t>
            </w:r>
          </w:p>
          <w:p w:rsidR="06F855AA" w:rsidRDefault="06F855AA" w14:paraId="27995178" w14:textId="0F472180">
            <w:r w:rsidRPr="06F855AA">
              <w:rPr>
                <w:rFonts w:ascii="Arial" w:hAnsi="Arial" w:eastAsia="Arial" w:cs="Arial"/>
                <w:color w:val="000000" w:themeColor="text1"/>
              </w:rPr>
              <w:t xml:space="preserve"> </w:t>
            </w:r>
          </w:p>
          <w:p w:rsidR="06F855AA" w:rsidRDefault="06F855AA" w14:paraId="5682D807" w14:textId="738FF431">
            <w:r w:rsidRPr="06F855AA">
              <w:rPr>
                <w:rFonts w:ascii="Arial" w:hAnsi="Arial" w:eastAsia="Arial" w:cs="Arial"/>
                <w:color w:val="000000" w:themeColor="text1"/>
              </w:rPr>
              <w:t xml:space="preserve"> </w:t>
            </w:r>
          </w:p>
          <w:p w:rsidR="06F855AA" w:rsidRDefault="06F855AA" w14:paraId="46C80900" w14:textId="1E08EAB7">
            <w:r w:rsidRPr="06F855AA">
              <w:rPr>
                <w:rFonts w:ascii="Arial" w:hAnsi="Arial" w:eastAsia="Arial" w:cs="Arial"/>
                <w:color w:val="000000" w:themeColor="text1"/>
              </w:rPr>
              <w:t xml:space="preserve"> </w:t>
            </w:r>
          </w:p>
          <w:p w:rsidR="06F855AA" w:rsidRDefault="06F855AA" w14:paraId="463585DE" w14:textId="4D84F943">
            <w:r w:rsidRPr="06F855AA">
              <w:rPr>
                <w:rFonts w:ascii="Arial" w:hAnsi="Arial" w:eastAsia="Arial" w:cs="Arial"/>
                <w:color w:val="000000" w:themeColor="text1"/>
              </w:rPr>
              <w:t xml:space="preserve"> </w:t>
            </w:r>
          </w:p>
          <w:p w:rsidR="06F855AA" w:rsidRDefault="06F855AA" w14:paraId="1AD0FF96" w14:textId="5F6521FD">
            <w:r w:rsidRPr="06F855AA">
              <w:rPr>
                <w:rFonts w:ascii="Arial" w:hAnsi="Arial" w:eastAsia="Arial" w:cs="Arial"/>
                <w:color w:val="000000" w:themeColor="text1"/>
              </w:rPr>
              <w:t xml:space="preserve"> </w:t>
            </w:r>
          </w:p>
          <w:p w:rsidR="06F855AA" w:rsidRDefault="06F855AA" w14:paraId="0659778C" w14:textId="050FF19B">
            <w:r w:rsidRPr="06F855AA">
              <w:rPr>
                <w:rFonts w:ascii="Arial" w:hAnsi="Arial" w:eastAsia="Arial" w:cs="Arial"/>
                <w:color w:val="000000" w:themeColor="text1"/>
              </w:rPr>
              <w:t xml:space="preserve"> </w:t>
            </w:r>
          </w:p>
          <w:p w:rsidR="06F855AA" w:rsidRDefault="06F855AA" w14:paraId="3CEFF544" w14:textId="0BBFADFB">
            <w:r w:rsidRPr="06F855AA">
              <w:rPr>
                <w:rFonts w:ascii="Arial" w:hAnsi="Arial" w:eastAsia="Arial" w:cs="Arial"/>
                <w:color w:val="000000" w:themeColor="text1"/>
              </w:rPr>
              <w:t xml:space="preserve"> </w:t>
            </w:r>
          </w:p>
          <w:p w:rsidR="06F855AA" w:rsidRDefault="06F855AA" w14:paraId="77B8D190" w14:textId="0BD02483">
            <w:r w:rsidRPr="06F855AA">
              <w:rPr>
                <w:rFonts w:ascii="Arial" w:hAnsi="Arial" w:eastAsia="Arial" w:cs="Arial"/>
                <w:color w:val="000000" w:themeColor="text1"/>
              </w:rPr>
              <w:t xml:space="preserve"> </w:t>
            </w:r>
          </w:p>
          <w:p w:rsidR="06F855AA" w:rsidRDefault="06F855AA" w14:paraId="3CAF0CBC" w14:textId="417D1289">
            <w:r w:rsidRPr="06F855AA">
              <w:rPr>
                <w:rFonts w:ascii="Arial" w:hAnsi="Arial" w:eastAsia="Arial" w:cs="Arial"/>
                <w:color w:val="000000" w:themeColor="text1"/>
              </w:rPr>
              <w:t xml:space="preserve"> </w:t>
            </w:r>
          </w:p>
          <w:p w:rsidR="06F855AA" w:rsidRDefault="06F855AA" w14:paraId="5DEBA6CD" w14:textId="716BEB73">
            <w:r w:rsidRPr="06F855AA">
              <w:rPr>
                <w:rFonts w:ascii="Arial" w:hAnsi="Arial" w:eastAsia="Arial" w:cs="Arial"/>
                <w:color w:val="000000" w:themeColor="text1"/>
              </w:rPr>
              <w:t xml:space="preserve"> </w:t>
            </w:r>
          </w:p>
          <w:p w:rsidR="06F855AA" w:rsidRDefault="06F855AA" w14:paraId="3AC092EE" w14:textId="737D7CE2">
            <w:r w:rsidRPr="06F855AA">
              <w:rPr>
                <w:rFonts w:ascii="Arial" w:hAnsi="Arial" w:eastAsia="Arial" w:cs="Arial"/>
                <w:color w:val="000000" w:themeColor="text1"/>
              </w:rPr>
              <w:t xml:space="preserve"> </w:t>
            </w:r>
          </w:p>
          <w:p w:rsidR="06F855AA" w:rsidRDefault="06F855AA" w14:paraId="601C5891" w14:textId="2AA370E2">
            <w:r w:rsidRPr="06F855AA">
              <w:rPr>
                <w:rFonts w:ascii="Arial" w:hAnsi="Arial" w:eastAsia="Arial" w:cs="Arial"/>
                <w:color w:val="000000" w:themeColor="text1"/>
              </w:rPr>
              <w:t xml:space="preserve"> </w:t>
            </w:r>
          </w:p>
        </w:tc>
      </w:tr>
      <w:tr w:rsidR="06F855AA" w:rsidTr="355FDBB9" w14:paraId="1522C640" w14:textId="77777777">
        <w:trPr>
          <w:trHeight w:val="720"/>
        </w:trPr>
        <w:tc>
          <w:tcPr>
            <w:tcW w:w="3555" w:type="dxa"/>
            <w:gridSpan w:val="2"/>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6F855AA" w:rsidRDefault="06F855AA" w14:paraId="7DB74FDF" w14:textId="70567264">
            <w:r w:rsidRPr="06F855AA">
              <w:rPr>
                <w:rFonts w:ascii="Arial" w:hAnsi="Arial" w:eastAsia="Arial" w:cs="Arial"/>
                <w:color w:val="000000" w:themeColor="text1"/>
              </w:rPr>
              <w:t>Marker’s Signature:</w:t>
            </w:r>
          </w:p>
        </w:tc>
        <w:tc>
          <w:tcPr>
            <w:tcW w:w="3210" w:type="dxa"/>
            <w:gridSpan w:val="3"/>
            <w:tcBorders>
              <w:top w:val="nil"/>
              <w:left w:val="nil"/>
              <w:bottom w:val="single" w:color="000000" w:themeColor="text1" w:sz="8" w:space="0"/>
              <w:right w:val="single" w:color="000000" w:themeColor="text1" w:sz="8" w:space="0"/>
            </w:tcBorders>
            <w:tcMar/>
          </w:tcPr>
          <w:p w:rsidR="06F855AA" w:rsidRDefault="06F855AA" w14:paraId="3CF87609" w14:textId="378A8227">
            <w:r w:rsidRPr="06F855AA">
              <w:rPr>
                <w:rFonts w:ascii="Arial" w:hAnsi="Arial" w:eastAsia="Arial" w:cs="Arial"/>
                <w:color w:val="000000" w:themeColor="text1"/>
              </w:rPr>
              <w:t>Date:</w:t>
            </w:r>
          </w:p>
        </w:tc>
      </w:tr>
      <w:tr w:rsidR="06F855AA" w:rsidTr="355FDBB9" w14:paraId="1DAC27C6" w14:textId="77777777">
        <w:trPr>
          <w:trHeight w:val="72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6F855AA" w:rsidRDefault="06F855AA" w14:paraId="626DBE6E" w14:textId="608057AD">
            <w:r w:rsidRPr="06F855AA">
              <w:rPr>
                <w:rFonts w:ascii="Arial" w:hAnsi="Arial" w:eastAsia="Arial" w:cs="Arial"/>
                <w:b/>
                <w:bCs/>
                <w:color w:val="000000" w:themeColor="text1"/>
              </w:rPr>
              <w:t>External Examiner’s comments (if relevant)</w:t>
            </w:r>
          </w:p>
          <w:p w:rsidR="06F855AA" w:rsidRDefault="06F855AA" w14:paraId="26330B7E" w14:textId="0BC38300">
            <w:r w:rsidRPr="06F855AA">
              <w:rPr>
                <w:rFonts w:ascii="Arial" w:hAnsi="Arial" w:eastAsia="Arial" w:cs="Arial"/>
                <w:color w:val="000000" w:themeColor="text1"/>
              </w:rPr>
              <w:t xml:space="preserve"> </w:t>
            </w:r>
          </w:p>
          <w:p w:rsidR="06F855AA" w:rsidRDefault="06F855AA" w14:paraId="531E8722" w14:textId="6DA5B8AD">
            <w:r w:rsidRPr="06F855AA">
              <w:rPr>
                <w:rFonts w:ascii="Arial" w:hAnsi="Arial" w:eastAsia="Arial" w:cs="Arial"/>
                <w:color w:val="000000" w:themeColor="text1"/>
              </w:rPr>
              <w:t xml:space="preserve"> </w:t>
            </w:r>
          </w:p>
          <w:p w:rsidR="06F855AA" w:rsidRDefault="06F855AA" w14:paraId="11255544" w14:textId="31B23DB1">
            <w:r w:rsidRPr="06F855AA">
              <w:rPr>
                <w:rFonts w:ascii="Arial" w:hAnsi="Arial" w:eastAsia="Arial" w:cs="Arial"/>
                <w:color w:val="000000" w:themeColor="text1"/>
              </w:rPr>
              <w:t xml:space="preserve"> </w:t>
            </w:r>
          </w:p>
          <w:p w:rsidR="06F855AA" w:rsidRDefault="06F855AA" w14:paraId="66C176FC" w14:textId="700485CA">
            <w:r w:rsidRPr="06F855AA">
              <w:rPr>
                <w:rFonts w:ascii="Arial" w:hAnsi="Arial" w:eastAsia="Arial" w:cs="Arial"/>
                <w:color w:val="000000" w:themeColor="text1"/>
              </w:rPr>
              <w:t xml:space="preserve"> </w:t>
            </w:r>
          </w:p>
          <w:p w:rsidR="06F855AA" w:rsidRDefault="06F855AA" w14:paraId="426BAFE8" w14:textId="3FB09FA6">
            <w:r w:rsidRPr="06F855AA">
              <w:rPr>
                <w:rFonts w:ascii="Arial" w:hAnsi="Arial" w:eastAsia="Arial" w:cs="Arial"/>
                <w:color w:val="000000" w:themeColor="text1"/>
              </w:rPr>
              <w:t xml:space="preserve"> </w:t>
            </w:r>
          </w:p>
          <w:p w:rsidR="06F855AA" w:rsidRDefault="06F855AA" w14:paraId="1D0E2C1A" w14:textId="71F81CBA">
            <w:r w:rsidRPr="06F855AA">
              <w:rPr>
                <w:rFonts w:ascii="Arial" w:hAnsi="Arial" w:eastAsia="Arial" w:cs="Arial"/>
                <w:color w:val="000000" w:themeColor="text1"/>
              </w:rPr>
              <w:t xml:space="preserve"> </w:t>
            </w:r>
          </w:p>
          <w:p w:rsidR="06F855AA" w:rsidRDefault="06F855AA" w14:paraId="72F300E1" w14:textId="087BC7C0">
            <w:r w:rsidRPr="06F855AA">
              <w:rPr>
                <w:rFonts w:ascii="Arial" w:hAnsi="Arial" w:eastAsia="Arial" w:cs="Arial"/>
                <w:color w:val="000000" w:themeColor="text1"/>
              </w:rPr>
              <w:t xml:space="preserve"> </w:t>
            </w:r>
          </w:p>
          <w:p w:rsidR="06F855AA" w:rsidRDefault="06F855AA" w14:paraId="3B848033" w14:textId="2E1A4025">
            <w:r w:rsidRPr="06F855AA">
              <w:rPr>
                <w:rFonts w:ascii="Arial" w:hAnsi="Arial" w:eastAsia="Arial" w:cs="Arial"/>
                <w:color w:val="000000" w:themeColor="text1"/>
              </w:rPr>
              <w:t xml:space="preserve"> </w:t>
            </w:r>
          </w:p>
          <w:p w:rsidR="06F855AA" w:rsidRDefault="06F855AA" w14:paraId="36A0123E" w14:textId="262BF409">
            <w:r w:rsidRPr="06F855AA">
              <w:rPr>
                <w:rFonts w:ascii="Arial" w:hAnsi="Arial" w:eastAsia="Arial" w:cs="Arial"/>
                <w:color w:val="000000" w:themeColor="text1"/>
              </w:rPr>
              <w:t xml:space="preserve"> </w:t>
            </w:r>
          </w:p>
          <w:p w:rsidR="06F855AA" w:rsidRDefault="06F855AA" w14:paraId="229ED62A" w14:textId="0FCAB482">
            <w:r w:rsidRPr="06F855AA">
              <w:rPr>
                <w:rFonts w:ascii="Arial" w:hAnsi="Arial" w:eastAsia="Arial" w:cs="Arial"/>
                <w:color w:val="000000" w:themeColor="text1"/>
              </w:rPr>
              <w:t xml:space="preserve"> </w:t>
            </w:r>
          </w:p>
          <w:p w:rsidR="06F855AA" w:rsidRDefault="06F855AA" w14:paraId="0B3E3A8F" w14:textId="057679D0">
            <w:r w:rsidRPr="06F855AA">
              <w:rPr>
                <w:rFonts w:ascii="Arial" w:hAnsi="Arial" w:eastAsia="Arial" w:cs="Arial"/>
                <w:color w:val="000000" w:themeColor="text1"/>
              </w:rPr>
              <w:t xml:space="preserve"> </w:t>
            </w:r>
          </w:p>
        </w:tc>
      </w:tr>
      <w:tr w:rsidR="06F855AA" w:rsidTr="355FDBB9" w14:paraId="520060B5" w14:textId="77777777">
        <w:trPr>
          <w:trHeight w:val="720"/>
        </w:trPr>
        <w:tc>
          <w:tcPr>
            <w:tcW w:w="3555" w:type="dxa"/>
            <w:gridSpan w:val="2"/>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6F855AA" w:rsidRDefault="06F855AA" w14:paraId="1154FE18" w14:textId="717089D0">
            <w:r w:rsidRPr="06F855AA">
              <w:rPr>
                <w:rFonts w:ascii="Arial" w:hAnsi="Arial" w:eastAsia="Arial" w:cs="Arial"/>
                <w:color w:val="000000" w:themeColor="text1"/>
              </w:rPr>
              <w:t>External Examiner’s Signature:</w:t>
            </w:r>
          </w:p>
        </w:tc>
        <w:tc>
          <w:tcPr>
            <w:tcW w:w="3210" w:type="dxa"/>
            <w:gridSpan w:val="3"/>
            <w:tcBorders>
              <w:top w:val="nil"/>
              <w:left w:val="nil"/>
              <w:bottom w:val="single" w:color="000000" w:themeColor="text1" w:sz="8" w:space="0"/>
              <w:right w:val="single" w:color="000000" w:themeColor="text1" w:sz="8" w:space="0"/>
            </w:tcBorders>
            <w:tcMar/>
          </w:tcPr>
          <w:p w:rsidR="06F855AA" w:rsidRDefault="06F855AA" w14:paraId="2FE26920" w14:textId="41E770A5">
            <w:r w:rsidRPr="06F855AA">
              <w:rPr>
                <w:rFonts w:ascii="Arial" w:hAnsi="Arial" w:eastAsia="Arial" w:cs="Arial"/>
                <w:color w:val="000000" w:themeColor="text1"/>
              </w:rPr>
              <w:t>Date:</w:t>
            </w:r>
          </w:p>
        </w:tc>
      </w:tr>
      <w:tr w:rsidR="06F855AA" w:rsidTr="355FDBB9" w14:paraId="14AF26B6" w14:textId="77777777">
        <w:tc>
          <w:tcPr>
            <w:tcW w:w="3135" w:type="dxa"/>
            <w:tcBorders>
              <w:top w:val="single" w:color="000000" w:themeColor="text1" w:sz="8" w:space="0"/>
              <w:left w:val="nil"/>
              <w:bottom w:val="nil"/>
              <w:right w:val="nil"/>
            </w:tcBorders>
            <w:tcMar/>
            <w:vAlign w:val="center"/>
          </w:tcPr>
          <w:p w:rsidR="06F855AA" w:rsidRDefault="06F855AA" w14:paraId="04BE981A" w14:textId="65F22604"/>
        </w:tc>
        <w:tc>
          <w:tcPr>
            <w:tcW w:w="420" w:type="dxa"/>
            <w:tcBorders>
              <w:top w:val="nil"/>
              <w:left w:val="nil"/>
              <w:bottom w:val="nil"/>
              <w:right w:val="nil"/>
            </w:tcBorders>
            <w:tcMar/>
            <w:vAlign w:val="center"/>
          </w:tcPr>
          <w:p w:rsidR="06F855AA" w:rsidRDefault="06F855AA" w14:paraId="6A2E834A" w14:textId="1F92E1BF"/>
        </w:tc>
        <w:tc>
          <w:tcPr>
            <w:tcW w:w="1200" w:type="dxa"/>
            <w:tcBorders>
              <w:top w:val="single" w:color="000000" w:themeColor="text1" w:sz="8" w:space="0"/>
              <w:left w:val="nil"/>
              <w:bottom w:val="nil"/>
              <w:right w:val="nil"/>
            </w:tcBorders>
            <w:tcMar/>
            <w:vAlign w:val="center"/>
          </w:tcPr>
          <w:p w:rsidR="06F855AA" w:rsidRDefault="06F855AA" w14:paraId="6025B710" w14:textId="16F1D31D"/>
        </w:tc>
        <w:tc>
          <w:tcPr>
            <w:tcW w:w="285" w:type="dxa"/>
            <w:tcBorders>
              <w:top w:val="nil"/>
              <w:left w:val="nil"/>
              <w:bottom w:val="nil"/>
              <w:right w:val="nil"/>
            </w:tcBorders>
            <w:tcMar/>
            <w:vAlign w:val="center"/>
          </w:tcPr>
          <w:p w:rsidR="06F855AA" w:rsidRDefault="06F855AA" w14:paraId="6762C33B" w14:textId="20557756"/>
        </w:tc>
        <w:tc>
          <w:tcPr>
            <w:tcW w:w="1725" w:type="dxa"/>
            <w:tcBorders>
              <w:top w:val="nil"/>
              <w:left w:val="nil"/>
              <w:bottom w:val="nil"/>
              <w:right w:val="nil"/>
            </w:tcBorders>
            <w:tcMar/>
            <w:vAlign w:val="center"/>
          </w:tcPr>
          <w:p w:rsidR="06F855AA" w:rsidRDefault="06F855AA" w14:paraId="1FA263C1" w14:textId="77A87B6F"/>
        </w:tc>
      </w:tr>
    </w:tbl>
    <w:p w:rsidR="00604855" w:rsidP="06F855AA" w:rsidRDefault="00604855" w14:paraId="6BCD3557" w14:textId="6030D02F">
      <w:pPr>
        <w:jc w:val="center"/>
        <w:rPr>
          <w:rFonts w:ascii="Calibri" w:hAnsi="Calibri" w:eastAsia="Calibri" w:cs="Calibri"/>
          <w:b/>
          <w:bCs/>
          <w:color w:val="000000" w:themeColor="text1"/>
          <w:lang w:val="en-GB"/>
        </w:rPr>
      </w:pPr>
    </w:p>
    <w:p w:rsidR="00604855" w:rsidP="5495F167" w:rsidRDefault="29ABFDEF" w14:paraId="43F30528" w14:textId="476137CF">
      <w:pPr>
        <w:jc w:val="center"/>
        <w:rPr>
          <w:rFonts w:ascii="Calibri" w:hAnsi="Calibri" w:eastAsia="Calibri" w:cs="Calibri"/>
          <w:b w:val="1"/>
          <w:bCs w:val="1"/>
          <w:color w:val="000000" w:themeColor="text1"/>
          <w:lang w:val="en-GB"/>
        </w:rPr>
      </w:pPr>
      <w:r w:rsidRPr="7F8594A9" w:rsidR="7F8594A9">
        <w:rPr>
          <w:rFonts w:ascii="Calibri" w:hAnsi="Calibri" w:eastAsia="Calibri" w:cs="Calibri"/>
          <w:b w:val="1"/>
          <w:bCs w:val="1"/>
          <w:color w:val="000000" w:themeColor="text1" w:themeTint="FF" w:themeShade="FF"/>
          <w:lang w:val="en-GB"/>
        </w:rPr>
        <w:t>A Critical Comparison of Two JSTOR Papers</w:t>
      </w:r>
    </w:p>
    <w:p w:rsidR="00604855" w:rsidP="5C942105" w:rsidRDefault="00604855" w14:paraId="163F0C03" w14:textId="425818C5">
      <w:pPr>
        <w:jc w:val="center"/>
        <w:rPr>
          <w:rFonts w:ascii="Calibri" w:hAnsi="Calibri" w:eastAsia="Calibri" w:cs="Calibri"/>
          <w:color w:val="000000" w:themeColor="text1"/>
        </w:rPr>
      </w:pPr>
    </w:p>
    <w:p w:rsidR="00604855" w:rsidP="7F8594A9" w:rsidRDefault="0C7D0F40" w14:paraId="36DD7FF0" w14:textId="331A8172">
      <w:pPr>
        <w:spacing w:line="480" w:lineRule="auto"/>
        <w:rPr>
          <w:rFonts w:ascii="Calibri" w:hAnsi="Calibri" w:eastAsia="Calibri" w:cs="Calibri" w:asciiTheme="minorAscii" w:hAnsiTheme="minorAscii" w:eastAsiaTheme="minorAscii" w:cstheme="minorAscii"/>
          <w:color w:val="000000" w:themeColor="text1"/>
          <w:sz w:val="22"/>
          <w:szCs w:val="22"/>
        </w:rPr>
      </w:pPr>
      <w:r w:rsidRPr="7F8594A9" w:rsidR="7F8594A9">
        <w:rPr>
          <w:rFonts w:ascii="Calibri" w:hAnsi="Calibri" w:eastAsia="Calibri" w:cs="Calibri" w:asciiTheme="minorAscii" w:hAnsiTheme="minorAscii" w:eastAsiaTheme="minorAscii" w:cstheme="minorAscii"/>
          <w:b w:val="1"/>
          <w:bCs w:val="1"/>
          <w:color w:val="000000" w:themeColor="text1" w:themeTint="FF" w:themeShade="FF"/>
          <w:sz w:val="22"/>
          <w:szCs w:val="22"/>
          <w:lang w:val="en-GB"/>
        </w:rPr>
        <w:t>Introduction</w:t>
      </w:r>
    </w:p>
    <w:p w:rsidR="00604855" w:rsidP="355FDBB9" w:rsidRDefault="29ABFDEF" w14:paraId="628AA159" w14:textId="7A4CF50C">
      <w:pPr>
        <w:pStyle w:val="Normal"/>
        <w:spacing w:line="480" w:lineRule="auto"/>
        <w:jc w:val="both"/>
        <w:rPr>
          <w:rStyle w:val="FootnoteReference"/>
          <w:rFonts w:ascii="Calibri" w:hAnsi="Calibri" w:eastAsia="Calibri" w:cs="Calibri" w:asciiTheme="minorAscii" w:hAnsiTheme="minorAscii" w:eastAsiaTheme="minorAscii" w:cstheme="minorAscii"/>
          <w:b w:val="0"/>
          <w:bCs w:val="0"/>
          <w:color w:val="auto"/>
          <w:sz w:val="22"/>
          <w:szCs w:val="22"/>
          <w:lang w:val="en-GB"/>
        </w:rPr>
      </w:pP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 xml:space="preserve">This essay critically </w:t>
      </w: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compared</w:t>
      </w: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 xml:space="preserve"> and contrasted two JSTOR papers.  Duane W. Hamacher and Ray P. Norris, ‘Bridging the Gap through Australian Cultural Astronomy,’ </w:t>
      </w:r>
      <w:r w:rsidRPr="7F8594A9" w:rsidR="00EF3EA3">
        <w:rPr>
          <w:rStyle w:val="FootnoteReference"/>
          <w:rFonts w:ascii="Calibri" w:hAnsi="Calibri" w:eastAsia="Calibri" w:cs="Calibri" w:asciiTheme="minorAscii" w:hAnsiTheme="minorAscii" w:eastAsiaTheme="minorAscii" w:cstheme="minorAscii"/>
          <w:b w:val="0"/>
          <w:bCs w:val="0"/>
          <w:color w:val="000000" w:themeColor="text1"/>
          <w:sz w:val="22"/>
          <w:szCs w:val="22"/>
          <w:lang w:val="en-GB"/>
        </w:rPr>
        <w:footnoteReference w:id="2"/>
      </w:r>
      <w:r w:rsidRPr="7F8594A9">
        <w:rPr>
          <w:rFonts w:ascii="Calibri" w:hAnsi="Calibri" w:eastAsia="Calibri" w:cs="Calibri" w:asciiTheme="minorAscii" w:hAnsiTheme="minorAscii" w:eastAsiaTheme="minorAscii" w:cstheme="minorAscii"/>
          <w:b w:val="0"/>
          <w:bCs w:val="0"/>
          <w:color w:val="000000" w:themeColor="text1"/>
          <w:sz w:val="22"/>
          <w:szCs w:val="22"/>
          <w:lang w:val="en-GB"/>
        </w:rPr>
        <w:t xml:space="preserve"> and David W. </w:t>
      </w:r>
      <w:proofErr w:type="spellStart"/>
      <w:r w:rsidRPr="7F8594A9">
        <w:rPr>
          <w:rFonts w:ascii="Calibri" w:hAnsi="Calibri" w:eastAsia="Calibri" w:cs="Calibri" w:asciiTheme="minorAscii" w:hAnsiTheme="minorAscii" w:eastAsiaTheme="minorAscii" w:cstheme="minorAscii"/>
          <w:b w:val="0"/>
          <w:bCs w:val="0"/>
          <w:color w:val="000000" w:themeColor="text1"/>
          <w:sz w:val="22"/>
          <w:szCs w:val="22"/>
          <w:lang w:val="en-GB"/>
        </w:rPr>
        <w:t xml:space="preserve">Pankenier</w:t>
      </w:r>
      <w:proofErr w:type="spellEnd"/>
      <w:r w:rsidRPr="7F8594A9">
        <w:rPr>
          <w:rFonts w:ascii="Calibri" w:hAnsi="Calibri" w:eastAsia="Calibri" w:cs="Calibri" w:asciiTheme="minorAscii" w:hAnsiTheme="minorAscii" w:eastAsiaTheme="minorAscii" w:cstheme="minorAscii"/>
          <w:b w:val="0"/>
          <w:bCs w:val="0"/>
          <w:color w:val="000000" w:themeColor="text1"/>
          <w:sz w:val="22"/>
          <w:szCs w:val="22"/>
          <w:lang w:val="en-GB"/>
        </w:rPr>
        <w:t xml:space="preserve">, ‘The Cosmic Center in Early China and Its Archaic Resonances.’ </w:t>
      </w:r>
      <w:r w:rsidRPr="7F8594A9" w:rsidR="00EF3EA3">
        <w:rPr>
          <w:rStyle w:val="FootnoteReference"/>
          <w:rFonts w:ascii="Calibri" w:hAnsi="Calibri" w:eastAsia="Calibri" w:cs="Calibri" w:asciiTheme="minorAscii" w:hAnsiTheme="minorAscii" w:eastAsiaTheme="minorAscii" w:cstheme="minorAscii"/>
          <w:b w:val="0"/>
          <w:bCs w:val="0"/>
          <w:color w:val="000000" w:themeColor="text1"/>
          <w:sz w:val="22"/>
          <w:szCs w:val="22"/>
          <w:lang w:val="en-GB"/>
        </w:rPr>
        <w:footnoteReference w:id="3"/>
      </w:r>
      <w:r w:rsidRPr="7F8594A9">
        <w:rPr>
          <w:rFonts w:ascii="Calibri" w:hAnsi="Calibri" w:eastAsia="Calibri" w:cs="Calibri" w:asciiTheme="minorAscii" w:hAnsiTheme="minorAscii" w:eastAsiaTheme="minorAscii" w:cstheme="minorAscii"/>
          <w:b w:val="0"/>
          <w:bCs w:val="0"/>
          <w:color w:val="000000" w:themeColor="text1"/>
          <w:sz w:val="22"/>
          <w:szCs w:val="22"/>
          <w:lang w:val="en-GB"/>
        </w:rPr>
        <w:t xml:space="preserve"> It was firstly necessary to define both ‘culture’ and ‘cultural astronomy’ as these terms are complex and used in the context of this essay. According to Terry Eagleton, ‘culture is what you have done before – even, perhaps, what your ancestors have done millions of times before.’ </w:t>
      </w:r>
      <w:r w:rsidRPr="7F8594A9" w:rsidR="00EF3EA3">
        <w:rPr>
          <w:rStyle w:val="FootnoteReference"/>
          <w:rFonts w:ascii="Calibri" w:hAnsi="Calibri" w:eastAsia="Calibri" w:cs="Calibri" w:asciiTheme="minorAscii" w:hAnsiTheme="minorAscii" w:eastAsiaTheme="minorAscii" w:cstheme="minorAscii"/>
          <w:b w:val="0"/>
          <w:bCs w:val="0"/>
          <w:color w:val="000000" w:themeColor="text1"/>
          <w:sz w:val="22"/>
          <w:szCs w:val="22"/>
          <w:lang w:val="en-GB"/>
        </w:rPr>
        <w:footnoteReference w:id="4"/>
      </w:r>
      <w:r w:rsidRPr="7F8594A9" w:rsidR="6A900AC6">
        <w:rPr>
          <w:rFonts w:ascii="Calibri" w:hAnsi="Calibri" w:eastAsia="Calibri" w:cs="Calibri" w:asciiTheme="minorAscii" w:hAnsiTheme="minorAscii" w:eastAsiaTheme="minorAscii" w:cstheme="minorAscii"/>
          <w:b w:val="0"/>
          <w:bCs w:val="0"/>
          <w:color w:val="000000" w:themeColor="text1"/>
          <w:sz w:val="22"/>
          <w:szCs w:val="22"/>
          <w:lang w:val="en-GB"/>
        </w:rPr>
        <w:t xml:space="preserve"> Whereas, cultural astronomy is ‘the use of astronomical knowledge, which includes such disciplines as ethnoastronomy and </w:t>
      </w:r>
      <w:r w:rsidRPr="7F8594A9" w:rsidR="6A900AC6">
        <w:rPr>
          <w:rFonts w:ascii="Calibri" w:hAnsi="Calibri" w:eastAsia="Calibri" w:cs="Calibri" w:asciiTheme="minorAscii" w:hAnsiTheme="minorAscii" w:eastAsiaTheme="minorAscii" w:cstheme="minorAscii"/>
          <w:b w:val="0"/>
          <w:bCs w:val="0"/>
          <w:color w:val="000000" w:themeColor="text1"/>
          <w:sz w:val="22"/>
          <w:szCs w:val="22"/>
          <w:lang w:val="en-GB"/>
        </w:rPr>
        <w:t xml:space="preserve">archeoastronomy,</w:t>
      </w:r>
      <w:r w:rsidRPr="7F8594A9" w:rsidR="6A900AC6">
        <w:rPr>
          <w:rFonts w:ascii="Calibri" w:hAnsi="Calibri" w:eastAsia="Calibri" w:cs="Calibri" w:asciiTheme="minorAscii" w:hAnsiTheme="minorAscii" w:eastAsiaTheme="minorAscii" w:cstheme="minorAscii"/>
          <w:b w:val="0"/>
          <w:bCs w:val="0"/>
          <w:color w:val="000000" w:themeColor="text1"/>
          <w:sz w:val="22"/>
          <w:szCs w:val="22"/>
          <w:lang w:val="en-GB"/>
        </w:rPr>
        <w:t xml:space="preserve">’ according to Nicholas Campion.</w:t>
      </w:r>
      <w:r w:rsidRPr="7F8594A9" w:rsidR="00EF3EA3">
        <w:rPr>
          <w:rStyle w:val="FootnoteReference"/>
          <w:rFonts w:ascii="Calibri" w:hAnsi="Calibri" w:eastAsia="Calibri" w:cs="Calibri" w:asciiTheme="minorAscii" w:hAnsiTheme="minorAscii" w:eastAsiaTheme="minorAscii" w:cstheme="minorAscii"/>
          <w:b w:val="0"/>
          <w:bCs w:val="0"/>
          <w:color w:val="000000" w:themeColor="text1"/>
          <w:sz w:val="22"/>
          <w:szCs w:val="22"/>
          <w:lang w:val="en-GB"/>
        </w:rPr>
        <w:footnoteReference w:id="5"/>
      </w:r>
      <w:r w:rsidRPr="355FDBB9" w:rsidR="355FDBB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While,</w:t>
      </w:r>
      <w:r w:rsidRPr="7F8594A9" w:rsidR="5ABA8FC9">
        <w:rPr>
          <w:rFonts w:ascii="Calibri" w:hAnsi="Calibri" w:eastAsia="Calibri" w:cs="Calibri" w:asciiTheme="minorAscii" w:hAnsiTheme="minorAscii" w:eastAsiaTheme="minorAscii" w:cstheme="minorAscii"/>
          <w:b w:val="0"/>
          <w:bCs w:val="0"/>
          <w:color w:val="000000" w:themeColor="text1"/>
          <w:sz w:val="22"/>
          <w:szCs w:val="22"/>
          <w:lang w:val="en-GB"/>
        </w:rPr>
        <w:t xml:space="preserve"> Clive Ruggles said, cultural astronomy and ethnoastronomy have in large previously provided significa</w:t>
      </w:r>
      <w:r w:rsidRPr="355FDBB9" w:rsidR="5ABA8FC9">
        <w:rPr>
          <w:rFonts w:ascii="Calibri" w:hAnsi="Calibri" w:eastAsia="Calibri" w:cs="Calibri" w:asciiTheme="minorAscii" w:hAnsiTheme="minorAscii" w:eastAsiaTheme="minorAscii" w:cstheme="minorAscii"/>
          <w:b w:val="0"/>
          <w:bCs w:val="0"/>
          <w:color w:val="auto" w:themeColor="text1"/>
          <w:sz w:val="22"/>
          <w:szCs w:val="22"/>
          <w:lang w:val="en-GB"/>
        </w:rPr>
        <w:t xml:space="preserve">nt ‘</w:t>
      </w:r>
      <w:r w:rsidRPr="355FDBB9" w:rsidR="355FDBB9">
        <w:rPr>
          <w:rFonts w:ascii="Calibri" w:hAnsi="Calibri" w:eastAsia="Calibri" w:cs="Calibri"/>
          <w:noProof w:val="0"/>
          <w:color w:val="auto"/>
          <w:sz w:val="22"/>
          <w:szCs w:val="22"/>
          <w:lang w:val="en-GB"/>
        </w:rPr>
        <w:t>evidence concerning other world-views—fundamentally different ways of conceptualising the cosmos—by focusing on (what we see as) an immutable visual resource common to all of humanity.’</w:t>
      </w:r>
      <w:r w:rsidRPr="355FDBB9">
        <w:rPr>
          <w:rStyle w:val="FootnoteReference"/>
          <w:rFonts w:ascii="Calibri" w:hAnsi="Calibri" w:eastAsia="Calibri" w:cs="Calibri" w:asciiTheme="minorAscii" w:hAnsiTheme="minorAscii" w:eastAsiaTheme="minorAscii" w:cstheme="minorAscii"/>
          <w:b w:val="0"/>
          <w:bCs w:val="0"/>
          <w:color w:val="auto"/>
          <w:sz w:val="22"/>
          <w:szCs w:val="22"/>
          <w:lang w:val="en-GB"/>
        </w:rPr>
        <w:footnoteReference w:id="13664"/>
      </w:r>
      <w:r w:rsidRPr="355FDBB9" w:rsidR="5ABA8FC9">
        <w:rPr>
          <w:rFonts w:ascii="Calibri" w:hAnsi="Calibri" w:eastAsia="Calibri" w:cs="Calibri" w:asciiTheme="minorAscii" w:hAnsiTheme="minorAscii" w:eastAsiaTheme="minorAscii" w:cstheme="minorAscii"/>
          <w:b w:val="0"/>
          <w:bCs w:val="0"/>
          <w:color w:val="auto" w:themeColor="text1"/>
          <w:sz w:val="22"/>
          <w:szCs w:val="22"/>
          <w:lang w:val="en-GB"/>
        </w:rPr>
        <w:t xml:space="preserve"> The section below described the author’s background and </w:t>
      </w:r>
      <w:r w:rsidRPr="355FDBB9" w:rsidR="5ABA8FC9">
        <w:rPr>
          <w:rFonts w:ascii="Calibri" w:hAnsi="Calibri" w:eastAsia="Calibri" w:cs="Calibri" w:asciiTheme="minorAscii" w:hAnsiTheme="minorAscii" w:eastAsiaTheme="minorAscii" w:cstheme="minorAscii"/>
          <w:b w:val="0"/>
          <w:bCs w:val="0"/>
          <w:color w:val="auto" w:themeColor="text1"/>
          <w:sz w:val="22"/>
          <w:szCs w:val="22"/>
          <w:lang w:val="en-GB"/>
        </w:rPr>
        <w:t xml:space="preserve">context</w:t>
      </w:r>
      <w:r w:rsidRPr="355FDBB9" w:rsidR="5ABA8FC9">
        <w:rPr>
          <w:rFonts w:ascii="Calibri" w:hAnsi="Calibri" w:eastAsia="Calibri" w:cs="Calibri" w:asciiTheme="minorAscii" w:hAnsiTheme="minorAscii" w:eastAsiaTheme="minorAscii" w:cstheme="minorAscii"/>
          <w:b w:val="0"/>
          <w:bCs w:val="0"/>
          <w:color w:val="auto" w:themeColor="text1"/>
          <w:sz w:val="22"/>
          <w:szCs w:val="22"/>
          <w:lang w:val="en-GB"/>
        </w:rPr>
        <w:t xml:space="preserve">.</w:t>
      </w:r>
    </w:p>
    <w:p w:rsidR="00604855" w:rsidP="355FDBB9" w:rsidRDefault="29ABFDEF" w14:paraId="635BF53B" w14:textId="4FDD2D46">
      <w:pPr>
        <w:pStyle w:val="Normal"/>
        <w:spacing w:line="480" w:lineRule="auto"/>
        <w:jc w:val="both"/>
        <w:rPr>
          <w:rFonts w:ascii="Calibri" w:hAnsi="Calibri" w:eastAsia="Calibri" w:cs="Calibri" w:asciiTheme="minorAscii" w:hAnsiTheme="minorAscii" w:eastAsiaTheme="minorAscii" w:cstheme="minorAscii"/>
          <w:b w:val="1"/>
          <w:bCs w:val="1"/>
          <w:color w:val="auto"/>
          <w:sz w:val="22"/>
          <w:szCs w:val="22"/>
          <w:lang w:val="en-GB"/>
        </w:rPr>
      </w:pPr>
    </w:p>
    <w:p w:rsidR="00604855" w:rsidP="355FDBB9" w:rsidRDefault="29ABFDEF" w14:paraId="37281B9D" w14:textId="286E6377">
      <w:pPr>
        <w:pStyle w:val="Normal"/>
        <w:spacing w:line="480" w:lineRule="auto"/>
        <w:jc w:val="both"/>
        <w:rPr>
          <w:rFonts w:ascii="Calibri" w:hAnsi="Calibri" w:eastAsia="Calibri" w:cs="Calibri" w:asciiTheme="minorAscii" w:hAnsiTheme="minorAscii" w:eastAsiaTheme="minorAscii" w:cstheme="minorAscii"/>
          <w:b w:val="1"/>
          <w:bCs w:val="1"/>
          <w:color w:val="auto" w:themeColor="text1"/>
          <w:sz w:val="22"/>
          <w:szCs w:val="22"/>
          <w:lang w:val="en-GB"/>
        </w:rPr>
      </w:pPr>
      <w:r w:rsidRPr="355FDBB9" w:rsidR="355FDBB9">
        <w:rPr>
          <w:rFonts w:ascii="Calibri" w:hAnsi="Calibri" w:eastAsia="Calibri" w:cs="Calibri" w:asciiTheme="minorAscii" w:hAnsiTheme="minorAscii" w:eastAsiaTheme="minorAscii" w:cstheme="minorAscii"/>
          <w:b w:val="1"/>
          <w:bCs w:val="1"/>
          <w:color w:val="auto"/>
          <w:sz w:val="22"/>
          <w:szCs w:val="22"/>
          <w:lang w:val="en-GB"/>
        </w:rPr>
        <w:t>Context</w:t>
      </w:r>
    </w:p>
    <w:p w:rsidR="00604855" w:rsidP="355FDBB9" w:rsidRDefault="7E70BB6B" w14:paraId="06DBDAA3" w14:textId="668E6724">
      <w:pPr>
        <w:pStyle w:val="Normal"/>
        <w:spacing w:after="160" w:line="480" w:lineRule="auto"/>
        <w:jc w:val="both"/>
        <w:rPr>
          <w:rFonts w:ascii="Calibri" w:hAnsi="Calibri" w:eastAsia="Calibri" w:cs="Calibri" w:asciiTheme="minorAscii" w:hAnsiTheme="minorAscii" w:eastAsiaTheme="minorAscii" w:cstheme="minorAscii"/>
          <w:sz w:val="22"/>
          <w:szCs w:val="22"/>
          <w:lang w:val="en-GB"/>
        </w:rPr>
      </w:pP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 xml:space="preserve">To enable the reader to critically engage with this essay, it was important to know some of the authors' background in this area. Turning to the first paper, which was written by Duane W. Hamacher and Ray P. Norris, and published in (2011).</w:t>
      </w:r>
      <w:r w:rsidRPr="355FDBB9">
        <w:rPr>
          <w:rStyle w:val="FootnoteReference"/>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footnoteReference w:id="16906"/>
      </w: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 xml:space="preserve"> It investigated the cultural astronomy of Aboriginal Australians, ‘</w:t>
      </w: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archeoastronomy</w:t>
      </w: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 xml:space="preserve">, </w:t>
      </w: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ethnoastronomy</w:t>
      </w: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 xml:space="preserve">, stone </w:t>
      </w: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arrangements</w:t>
      </w: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 xml:space="preserve">, eclipse’ and variable stars</w:t>
      </w: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w:t>
      </w: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 xml:space="preserve"> and </w:t>
      </w: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involved</w:t>
      </w:r>
      <w:r w:rsidRPr="7F8594A9" w:rsidR="7F8594A9">
        <w:rPr>
          <w:rFonts w:ascii="Calibri" w:hAnsi="Calibri" w:eastAsia="Calibri" w:cs="Calibri" w:asciiTheme="minorAscii" w:hAnsiTheme="minorAscii" w:eastAsiaTheme="minorAscii" w:cstheme="minorAscii"/>
          <w:b w:val="0"/>
          <w:bCs w:val="0"/>
          <w:color w:val="000000" w:themeColor="text1" w:themeTint="FF" w:themeShade="FF"/>
          <w:sz w:val="22"/>
          <w:szCs w:val="22"/>
          <w:lang w:val="en-GB"/>
        </w:rPr>
        <w:t xml:space="preserve"> research of written records from the nineteenth-century through to the date of this paper. </w:t>
      </w:r>
      <w:r w:rsidRPr="7F8594A9" w:rsidR="5C942105">
        <w:rPr>
          <w:rStyle w:val="FootnoteReference"/>
          <w:rFonts w:ascii="Calibri" w:hAnsi="Calibri" w:eastAsia="Calibri" w:cs="Calibri" w:asciiTheme="minorAscii" w:hAnsiTheme="minorAscii" w:eastAsiaTheme="minorAscii" w:cstheme="minorAscii"/>
          <w:b w:val="0"/>
          <w:bCs w:val="0"/>
          <w:sz w:val="22"/>
          <w:szCs w:val="22"/>
          <w:lang w:val="en-GB"/>
        </w:rPr>
        <w:footnoteReference w:id="6"/>
      </w:r>
      <w:r w:rsidRPr="7F8594A9" w:rsidR="5C942105">
        <w:rPr>
          <w:rFonts w:ascii="Calibri" w:hAnsi="Calibri" w:eastAsia="Calibri" w:cs="Calibri" w:asciiTheme="minorAscii" w:hAnsiTheme="minorAscii" w:eastAsiaTheme="minorAscii" w:cstheme="minorAscii"/>
          <w:b w:val="0"/>
          <w:bCs w:val="0"/>
          <w:sz w:val="22"/>
          <w:szCs w:val="22"/>
          <w:lang w:val="en-GB"/>
        </w:rPr>
        <w:t xml:space="preserve"> Whereases,</w:t>
      </w:r>
      <w:r w:rsidRPr="7F8594A9" w:rsidR="5C942105">
        <w:rPr>
          <w:rFonts w:ascii="Calibri" w:hAnsi="Calibri" w:eastAsia="Calibri" w:cs="Calibri" w:asciiTheme="minorAscii" w:hAnsiTheme="minorAscii" w:eastAsiaTheme="minorAscii" w:cstheme="minorAscii"/>
          <w:b w:val="0"/>
          <w:bCs w:val="0"/>
          <w:sz w:val="22"/>
          <w:szCs w:val="22"/>
          <w:lang w:val="en-GB"/>
        </w:rPr>
        <w:t xml:space="preserve"> </w:t>
      </w:r>
      <w:proofErr w:type="spellStart"/>
      <w:r w:rsidRPr="7F8594A9" w:rsidR="5C942105">
        <w:rPr>
          <w:rFonts w:ascii="Calibri" w:hAnsi="Calibri" w:eastAsia="Calibri" w:cs="Calibri" w:asciiTheme="minorAscii" w:hAnsiTheme="minorAscii" w:eastAsiaTheme="minorAscii" w:cstheme="minorAscii"/>
          <w:b w:val="0"/>
          <w:bCs w:val="0"/>
          <w:sz w:val="22"/>
          <w:szCs w:val="22"/>
          <w:lang w:val="en-GB"/>
        </w:rPr>
        <w:t xml:space="preserve">Pankenier</w:t>
      </w:r>
      <w:proofErr w:type="spellEnd"/>
      <w:r w:rsidRPr="7F8594A9" w:rsidR="5C942105">
        <w:rPr>
          <w:rFonts w:ascii="Calibri" w:hAnsi="Calibri" w:eastAsia="Calibri" w:cs="Calibri" w:asciiTheme="minorAscii" w:hAnsiTheme="minorAscii" w:eastAsiaTheme="minorAscii" w:cstheme="minorAscii"/>
          <w:b w:val="0"/>
          <w:bCs w:val="0"/>
          <w:sz w:val="22"/>
          <w:szCs w:val="22"/>
          <w:lang w:val="en-GB"/>
        </w:rPr>
        <w:t xml:space="preserve"> explored the ‘</w:t>
      </w:r>
      <w:r w:rsidRPr="355FDBB9" w:rsidR="355FDBB9">
        <w:rPr>
          <w:rFonts w:ascii="Calibri" w:hAnsi="Calibri" w:eastAsia="Calibri" w:cs="Calibri"/>
          <w:noProof w:val="0"/>
          <w:sz w:val="22"/>
          <w:szCs w:val="22"/>
          <w:lang w:val="en-GB"/>
        </w:rPr>
        <w:t xml:space="preserve">Qin Dynasty, Han Dynasty, astronomical alignment, axis mundi, Neolithic, </w:t>
      </w:r>
      <w:proofErr w:type="spellStart"/>
      <w:r w:rsidRPr="355FDBB9" w:rsidR="355FDBB9">
        <w:rPr>
          <w:rFonts w:ascii="Calibri" w:hAnsi="Calibri" w:eastAsia="Calibri" w:cs="Calibri"/>
          <w:noProof w:val="0"/>
          <w:sz w:val="22"/>
          <w:szCs w:val="22"/>
          <w:lang w:val="en-GB"/>
        </w:rPr>
        <w:t>Yangshao</w:t>
      </w:r>
      <w:proofErr w:type="spellEnd"/>
      <w:r w:rsidRPr="355FDBB9" w:rsidR="355FDBB9">
        <w:rPr>
          <w:rFonts w:ascii="Calibri" w:hAnsi="Calibri" w:eastAsia="Calibri" w:cs="Calibri"/>
          <w:noProof w:val="0"/>
          <w:sz w:val="22"/>
          <w:szCs w:val="22"/>
          <w:lang w:val="en-GB"/>
        </w:rPr>
        <w:t xml:space="preserve">, Puyang and </w:t>
      </w:r>
      <w:r w:rsidRPr="7F8594A9" w:rsidR="7F8594A9">
        <w:rPr>
          <w:rFonts w:ascii="Calibri" w:hAnsi="Calibri" w:eastAsia="Calibri" w:cs="Calibri"/>
          <w:b w:val="0"/>
          <w:bCs w:val="0"/>
          <w:noProof w:val="0"/>
          <w:sz w:val="22"/>
          <w:szCs w:val="22"/>
          <w:lang w:val="en-GB"/>
        </w:rPr>
        <w:t xml:space="preserve">the role of astronomical alignments in the built environment, in </w:t>
      </w:r>
      <w:r w:rsidRPr="355FDBB9" w:rsidR="355FDBB9">
        <w:rPr>
          <w:rFonts w:ascii="Calibri" w:hAnsi="Calibri" w:eastAsia="Calibri" w:cs="Calibri"/>
          <w:noProof w:val="0"/>
          <w:sz w:val="22"/>
          <w:szCs w:val="22"/>
          <w:lang w:val="en-GB"/>
        </w:rPr>
        <w:t>221–206 BCE.’ Additionally, it was also helpful to realise that, although, ‘some frameworks of cosmological though have persisted for generations, even millennia,’ this is no more ‘obvious’ than in ‘imperial China,’ according to Ruggles.</w:t>
      </w:r>
      <w:r w:rsidRPr="355FDBB9">
        <w:rPr>
          <w:rStyle w:val="FootnoteReference"/>
          <w:rFonts w:ascii="Calibri" w:hAnsi="Calibri" w:eastAsia="Calibri" w:cs="Calibri"/>
          <w:b w:val="0"/>
          <w:bCs w:val="0"/>
          <w:noProof w:val="0"/>
          <w:sz w:val="22"/>
          <w:szCs w:val="22"/>
          <w:lang w:val="en-GB"/>
        </w:rPr>
        <w:footnoteReference w:id="15578"/>
      </w:r>
      <w:r w:rsidRPr="7F8594A9">
        <w:rPr>
          <w:rFonts w:ascii="Calibri" w:hAnsi="Calibri" w:eastAsia="Calibri" w:cs="Calibri" w:asciiTheme="minorAscii" w:hAnsiTheme="minorAscii" w:eastAsiaTheme="minorAscii" w:cstheme="minorAscii"/>
          <w:sz w:val="22"/>
          <w:szCs w:val="22"/>
          <w:lang w:val="en-GB"/>
        </w:rPr>
        <w:t xml:space="preserve"> </w:t>
      </w:r>
    </w:p>
    <w:p w:rsidR="00604855" w:rsidP="355FDBB9" w:rsidRDefault="7E70BB6B" w14:paraId="4545C397" w14:textId="457DE7AE">
      <w:pPr>
        <w:pStyle w:val="Normal"/>
        <w:spacing w:after="160" w:line="480" w:lineRule="auto"/>
        <w:jc w:val="both"/>
        <w:rPr>
          <w:rFonts w:ascii="Calibri" w:hAnsi="Calibri" w:eastAsia="Calibri" w:cs="Calibri" w:asciiTheme="minorAscii" w:hAnsiTheme="minorAscii" w:eastAsiaTheme="minorAscii" w:cstheme="minorAscii"/>
          <w:sz w:val="22"/>
          <w:szCs w:val="22"/>
          <w:lang w:val="en-GB"/>
        </w:rPr>
      </w:pPr>
      <w:r w:rsidRPr="7F8594A9">
        <w:rPr>
          <w:rFonts w:ascii="Calibri" w:hAnsi="Calibri" w:eastAsia="Calibri" w:cs="Calibri" w:asciiTheme="minorAscii" w:hAnsiTheme="minorAscii" w:eastAsiaTheme="minorAscii" w:cstheme="minorAscii"/>
          <w:sz w:val="22"/>
          <w:szCs w:val="22"/>
          <w:lang w:val="en-GB"/>
        </w:rPr>
        <w:t>Let us now consider Hamacher’s personal biography, which states he is a Missouri (USA) born astronomer and associate professor of the University of Melbourne, Australia.</w:t>
      </w:r>
      <w:r w:rsidRPr="355FDBB9">
        <w:rPr>
          <w:rStyle w:val="FootnoteReference"/>
          <w:rFonts w:ascii="Calibri" w:hAnsi="Calibri" w:eastAsia="Calibri" w:cs="Calibri" w:asciiTheme="minorAscii" w:hAnsiTheme="minorAscii" w:eastAsiaTheme="minorAscii" w:cstheme="minorAscii"/>
          <w:sz w:val="22"/>
          <w:szCs w:val="22"/>
          <w:lang w:val="en-GB"/>
        </w:rPr>
        <w:footnoteReference w:id="20296"/>
      </w:r>
      <w:r w:rsidRPr="7F8594A9">
        <w:rPr>
          <w:rFonts w:ascii="Calibri" w:hAnsi="Calibri" w:eastAsia="Calibri" w:cs="Calibri" w:asciiTheme="minorAscii" w:hAnsiTheme="minorAscii" w:eastAsiaTheme="minorAscii" w:cstheme="minorAscii"/>
          <w:sz w:val="22"/>
          <w:szCs w:val="22"/>
          <w:lang w:val="en-GB"/>
        </w:rPr>
        <w:t xml:space="preserve"> Hamacher's multidisciplinary</w:t>
      </w:r>
      <w:r w:rsidRPr="7F8594A9">
        <w:rPr>
          <w:rFonts w:ascii="Calibri" w:hAnsi="Calibri" w:eastAsia="Calibri" w:cs="Calibri" w:asciiTheme="minorAscii" w:hAnsiTheme="minorAscii" w:eastAsiaTheme="minorAscii" w:cstheme="minorAscii"/>
          <w:color w:val="FF0000"/>
          <w:sz w:val="22"/>
          <w:szCs w:val="22"/>
          <w:lang w:val="en-GB"/>
        </w:rPr>
        <w:t xml:space="preserve"> </w:t>
      </w:r>
      <w:r w:rsidRPr="7F8594A9">
        <w:rPr>
          <w:rFonts w:ascii="Calibri" w:hAnsi="Calibri" w:eastAsia="Calibri" w:cs="Calibri" w:asciiTheme="minorAscii" w:hAnsiTheme="minorAscii" w:eastAsiaTheme="minorAscii" w:cstheme="minorAscii"/>
          <w:sz w:val="22"/>
          <w:szCs w:val="22"/>
          <w:lang w:val="en-GB"/>
        </w:rPr>
        <w:t xml:space="preserve">studies are focused upon Australian </w:t>
      </w:r>
      <w:r w:rsidRPr="7F8594A9">
        <w:rPr>
          <w:rFonts w:ascii="Calibri" w:hAnsi="Calibri" w:eastAsia="Calibri" w:cs="Calibri" w:asciiTheme="minorAscii" w:hAnsiTheme="minorAscii" w:eastAsiaTheme="minorAscii" w:cstheme="minorAscii"/>
          <w:color w:val="201F1E"/>
          <w:sz w:val="22"/>
          <w:szCs w:val="22"/>
          <w:lang w:val="en-GB"/>
        </w:rPr>
        <w:t>Cultural Astronomy, Dark Sky studies, astronomical heritage, and the history and philosophy of science.</w:t>
      </w:r>
      <w:r w:rsidRPr="7F8594A9">
        <w:rPr>
          <w:rStyle w:val="FootnoteReference"/>
          <w:rFonts w:ascii="Calibri" w:hAnsi="Calibri" w:eastAsia="Calibri" w:cs="Calibri" w:asciiTheme="minorAscii" w:hAnsiTheme="minorAscii" w:eastAsiaTheme="minorAscii" w:cstheme="minorAscii"/>
          <w:sz w:val="22"/>
          <w:szCs w:val="22"/>
          <w:lang w:val="en-GB"/>
        </w:rPr>
        <w:footnoteReference w:id="15950"/>
      </w:r>
      <w:r w:rsidRPr="7F8594A9">
        <w:rPr>
          <w:rFonts w:ascii="Calibri" w:hAnsi="Calibri" w:eastAsia="Calibri" w:cs="Calibri" w:asciiTheme="minorAscii" w:hAnsiTheme="minorAscii" w:eastAsiaTheme="minorAscii" w:cstheme="minorAscii"/>
          <w:sz w:val="22"/>
          <w:szCs w:val="22"/>
          <w:lang w:val="en-GB"/>
        </w:rPr>
        <w:t xml:space="preserve">  Considering </w:t>
      </w:r>
      <w:r w:rsidRPr="7F8594A9">
        <w:rPr>
          <w:rFonts w:ascii="Calibri" w:hAnsi="Calibri" w:eastAsia="Calibri" w:cs="Calibri" w:asciiTheme="minorAscii" w:hAnsiTheme="minorAscii" w:eastAsiaTheme="minorAscii" w:cstheme="minorAscii"/>
          <w:sz w:val="22"/>
          <w:szCs w:val="22"/>
          <w:lang w:val="en-GB"/>
        </w:rPr>
        <w:t>Norris, who is an English astrophysicist, born in (1953), spending his early years at Cambridge University, whilst earning his honours degree in Theoretical Physics; whilst later earning his PhD in Radioastronomy from the of University Manchester.</w:t>
      </w:r>
      <w:r w:rsidRPr="355FDBB9">
        <w:rPr>
          <w:rStyle w:val="FootnoteReference"/>
          <w:rFonts w:ascii="Calibri" w:hAnsi="Calibri" w:eastAsia="Calibri" w:cs="Calibri" w:asciiTheme="minorAscii" w:hAnsiTheme="minorAscii" w:eastAsiaTheme="minorAscii" w:cstheme="minorAscii"/>
          <w:sz w:val="22"/>
          <w:szCs w:val="22"/>
          <w:lang w:val="en-GB"/>
        </w:rPr>
        <w:footnoteReference w:id="32516"/>
      </w:r>
      <w:r w:rsidRPr="7F8594A9">
        <w:rPr>
          <w:rFonts w:ascii="Calibri" w:hAnsi="Calibri" w:eastAsia="Calibri" w:cs="Calibri" w:asciiTheme="minorAscii" w:hAnsiTheme="minorAscii" w:eastAsiaTheme="minorAscii" w:cstheme="minorAscii"/>
          <w:sz w:val="22"/>
          <w:szCs w:val="22"/>
          <w:lang w:val="en-GB"/>
        </w:rPr>
        <w:t xml:space="preserve"> He moved to Australia in 1983 to conduct research with the Commonwealth Scientific and Industrial Research Organisation, where he became head of Astrophysics, and began exploring Aboriginal astronomy.</w:t>
      </w:r>
      <w:r w:rsidRPr="7F8594A9" w:rsidR="00EF3EA3">
        <w:rPr>
          <w:rStyle w:val="FootnoteReference"/>
          <w:rFonts w:ascii="Calibri" w:hAnsi="Calibri" w:eastAsia="Calibri" w:cs="Calibri" w:asciiTheme="minorAscii" w:hAnsiTheme="minorAscii" w:eastAsiaTheme="minorAscii" w:cstheme="minorAscii"/>
          <w:sz w:val="22"/>
          <w:szCs w:val="22"/>
          <w:lang w:val="en-GB"/>
        </w:rPr>
        <w:footnoteReference w:id="9"/>
      </w:r>
    </w:p>
    <w:p w:rsidR="00604855" w:rsidP="355FDBB9" w:rsidRDefault="7E70BB6B" w14:paraId="5F8DEE30" w14:textId="3A52F17D">
      <w:pPr>
        <w:pStyle w:val="Normal"/>
        <w:spacing w:line="480" w:lineRule="auto"/>
        <w:jc w:val="both"/>
        <w:rPr>
          <w:rFonts w:ascii="Calibri" w:hAnsi="Calibri" w:eastAsia="Calibri" w:cs="Calibri" w:asciiTheme="minorAscii" w:hAnsiTheme="minorAscii" w:eastAsiaTheme="minorAscii" w:cstheme="minorAscii"/>
          <w:color w:val="000000" w:themeColor="text1" w:themeTint="FF" w:themeShade="FF"/>
          <w:sz w:val="22"/>
          <w:szCs w:val="22"/>
          <w:lang w:val="en-GB"/>
        </w:rPr>
      </w:pPr>
      <w:r w:rsidRPr="7F8594A9">
        <w:rPr>
          <w:rFonts w:ascii="Calibri" w:hAnsi="Calibri" w:eastAsia="Calibri" w:cs="Calibri" w:asciiTheme="minorAscii" w:hAnsiTheme="minorAscii" w:eastAsiaTheme="minorAscii" w:cstheme="minorAscii"/>
          <w:color w:val="000000" w:themeColor="text1"/>
          <w:sz w:val="22"/>
          <w:szCs w:val="22"/>
          <w:lang w:val="en-GB"/>
        </w:rPr>
        <w:t xml:space="preserve">Turning now to </w:t>
      </w:r>
      <w:proofErr w:type="spellStart"/>
      <w:proofErr w:type="spellStart"/>
      <w:r w:rsidRPr="7F8594A9">
        <w:rPr>
          <w:rFonts w:ascii="Calibri" w:hAnsi="Calibri" w:eastAsia="Calibri" w:cs="Calibri" w:asciiTheme="minorAscii" w:hAnsiTheme="minorAscii" w:eastAsiaTheme="minorAscii" w:cstheme="minorAscii"/>
          <w:color w:val="000000" w:themeColor="text1"/>
          <w:sz w:val="22"/>
          <w:szCs w:val="22"/>
          <w:lang w:val="en-GB"/>
        </w:rPr>
        <w:t>Pankenier</w:t>
      </w:r>
      <w:proofErr w:type="spellEnd"/>
      <w:r w:rsidRPr="7F8594A9">
        <w:rPr>
          <w:rFonts w:ascii="Calibri" w:hAnsi="Calibri" w:eastAsia="Calibri" w:cs="Calibri" w:asciiTheme="minorAscii" w:hAnsiTheme="minorAscii" w:eastAsiaTheme="minorAscii" w:cstheme="minorAscii"/>
          <w:color w:val="000000" w:themeColor="text1"/>
          <w:sz w:val="22"/>
          <w:szCs w:val="22"/>
          <w:lang w:val="en-GB"/>
        </w:rPr>
        <w:t>, who</w:t>
      </w:r>
      <w:proofErr w:type="spellEnd"/>
      <w:r w:rsidRPr="7F8594A9">
        <w:rPr>
          <w:rFonts w:ascii="Calibri" w:hAnsi="Calibri" w:eastAsia="Calibri" w:cs="Calibri" w:asciiTheme="minorAscii" w:hAnsiTheme="minorAscii" w:eastAsiaTheme="minorAscii" w:cstheme="minorAscii"/>
          <w:color w:val="000000" w:themeColor="text1"/>
          <w:sz w:val="22"/>
          <w:szCs w:val="22"/>
          <w:lang w:val="en-GB"/>
        </w:rPr>
        <w:t xml:space="preserve"> is an</w:t>
      </w:r>
      <w:r w:rsidRPr="355FDBB9">
        <w:rPr>
          <w:rFonts w:ascii="Calibri" w:hAnsi="Calibri" w:eastAsia="Calibri" w:cs="Calibri" w:asciiTheme="minorAscii" w:hAnsiTheme="minorAscii" w:eastAsiaTheme="minorAscii" w:cstheme="minorAscii"/>
          <w:i w:val="1"/>
          <w:iCs w:val="1"/>
          <w:color w:val="000000" w:themeColor="text1"/>
          <w:sz w:val="22"/>
          <w:szCs w:val="22"/>
          <w:lang w:val="en-GB"/>
        </w:rPr>
        <w:t xml:space="preserve"> emeritus</w:t>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professor of Chinese at Lehigh University in Pennsylvania.</w:t>
      </w:r>
      <w:r w:rsidRPr="355FDBB9">
        <w:rPr>
          <w:rStyle w:val="FootnoteReference"/>
          <w:rFonts w:ascii="Calibri" w:hAnsi="Calibri" w:eastAsia="Calibri" w:cs="Calibri" w:asciiTheme="minorAscii" w:hAnsiTheme="minorAscii" w:eastAsiaTheme="minorAscii" w:cstheme="minorAscii"/>
          <w:color w:val="000000" w:themeColor="text1" w:themeTint="FF" w:themeShade="FF"/>
          <w:sz w:val="22"/>
          <w:szCs w:val="22"/>
          <w:lang w:val="en-GB"/>
        </w:rPr>
        <w:footnoteReference w:id="23271"/>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His personal biography page describes his academic interests as the exploration of the relationship between political and military power and astronomical phenomena in ancient China.</w:t>
      </w:r>
      <w:r w:rsidRPr="355FDBB9">
        <w:rPr>
          <w:rStyle w:val="FootnoteReference"/>
          <w:rFonts w:ascii="Calibri" w:hAnsi="Calibri" w:eastAsia="Calibri" w:cs="Calibri" w:asciiTheme="minorAscii" w:hAnsiTheme="minorAscii" w:eastAsiaTheme="minorAscii" w:cstheme="minorAscii"/>
          <w:color w:val="000000" w:themeColor="text1" w:themeTint="FF" w:themeShade="FF"/>
          <w:sz w:val="22"/>
          <w:szCs w:val="22"/>
          <w:lang w:val="en-GB"/>
        </w:rPr>
        <w:footnoteReference w:id="18060"/>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Although his current research interests are in cultural astronomy, </w:t>
      </w:r>
      <w:proofErr w:type="spellStart"/>
      <w:r w:rsidRPr="7F8594A9">
        <w:rPr>
          <w:rFonts w:ascii="Calibri" w:hAnsi="Calibri" w:eastAsia="Calibri" w:cs="Calibri" w:asciiTheme="minorAscii" w:hAnsiTheme="minorAscii" w:eastAsiaTheme="minorAscii" w:cstheme="minorAscii"/>
          <w:color w:val="000000" w:themeColor="text1"/>
          <w:sz w:val="22"/>
          <w:szCs w:val="22"/>
          <w:lang w:val="en-GB"/>
        </w:rPr>
        <w:t>archeoastronomy</w:t>
      </w:r>
      <w:proofErr w:type="spellEnd"/>
      <w:r w:rsidRPr="7F8594A9">
        <w:rPr>
          <w:rFonts w:ascii="Calibri" w:hAnsi="Calibri" w:eastAsia="Calibri" w:cs="Calibri" w:asciiTheme="minorAscii" w:hAnsiTheme="minorAscii" w:eastAsiaTheme="minorAscii" w:cstheme="minorAscii"/>
          <w:color w:val="000000" w:themeColor="text1"/>
          <w:sz w:val="22"/>
          <w:szCs w:val="22"/>
          <w:lang w:val="en-GB"/>
        </w:rPr>
        <w:t xml:space="preserve">, </w:t>
      </w:r>
      <w:proofErr w:type="spellStart"/>
      <w:r w:rsidRPr="7F8594A9">
        <w:rPr>
          <w:rFonts w:ascii="Calibri" w:hAnsi="Calibri" w:eastAsia="Calibri" w:cs="Calibri" w:asciiTheme="minorAscii" w:hAnsiTheme="minorAscii" w:eastAsiaTheme="minorAscii" w:cstheme="minorAscii"/>
          <w:color w:val="000000" w:themeColor="text1"/>
          <w:sz w:val="22"/>
          <w:szCs w:val="22"/>
          <w:lang w:val="en-GB"/>
        </w:rPr>
        <w:t>ethnoastronomy</w:t>
      </w:r>
      <w:proofErr w:type="spellEnd"/>
      <w:r w:rsidRPr="7F8594A9">
        <w:rPr>
          <w:rFonts w:ascii="Calibri" w:hAnsi="Calibri" w:eastAsia="Calibri" w:cs="Calibri" w:asciiTheme="minorAscii" w:hAnsiTheme="minorAscii" w:eastAsiaTheme="minorAscii" w:cstheme="minorAscii"/>
          <w:color w:val="000000" w:themeColor="text1"/>
          <w:sz w:val="22"/>
          <w:szCs w:val="22"/>
          <w:lang w:val="en-GB"/>
        </w:rPr>
        <w:t xml:space="preserve"> and history of ideas in ancient China.</w:t>
      </w:r>
      <w:r w:rsidRPr="7F8594A9" w:rsidR="00EF3EA3">
        <w:rPr>
          <w:rStyle w:val="FootnoteReference"/>
          <w:rFonts w:ascii="Calibri" w:hAnsi="Calibri" w:eastAsia="Calibri" w:cs="Calibri" w:asciiTheme="minorAscii" w:hAnsiTheme="minorAscii" w:eastAsiaTheme="minorAscii" w:cstheme="minorAscii"/>
          <w:color w:val="000000" w:themeColor="text1"/>
          <w:sz w:val="22"/>
          <w:szCs w:val="22"/>
          <w:lang w:val="en-GB"/>
        </w:rPr>
        <w:footnoteReference w:id="10"/>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w:t>
      </w:r>
    </w:p>
    <w:p w:rsidR="00604855" w:rsidP="355FDBB9" w:rsidRDefault="7E70BB6B" w14:paraId="442A7820" w14:textId="41E89B8E">
      <w:pPr>
        <w:pStyle w:val="Normal"/>
        <w:spacing w:line="480" w:lineRule="auto"/>
        <w:jc w:val="both"/>
        <w:rPr>
          <w:rFonts w:ascii="Calibri" w:hAnsi="Calibri" w:eastAsia="Calibri" w:cs="Calibri" w:asciiTheme="minorAscii" w:hAnsiTheme="minorAscii" w:eastAsiaTheme="minorAscii" w:cstheme="minorAscii"/>
          <w:color w:val="000000" w:themeColor="text1" w:themeTint="FF" w:themeShade="FF"/>
          <w:sz w:val="22"/>
          <w:szCs w:val="22"/>
          <w:lang w:val="en-GB"/>
        </w:rPr>
      </w:pPr>
      <w:r w:rsidRPr="7F8594A9">
        <w:rPr>
          <w:rFonts w:ascii="Calibri" w:hAnsi="Calibri" w:eastAsia="Calibri" w:cs="Calibri" w:asciiTheme="minorAscii" w:hAnsiTheme="minorAscii" w:eastAsiaTheme="minorAscii" w:cstheme="minorAscii"/>
          <w:color w:val="000000" w:themeColor="text1"/>
          <w:sz w:val="22"/>
          <w:szCs w:val="22"/>
          <w:lang w:val="en-GB"/>
        </w:rPr>
        <w:t xml:space="preserve">Let us move on to the </w:t>
      </w:r>
      <w:r w:rsidRPr="7F8594A9">
        <w:rPr>
          <w:rFonts w:ascii="Calibri" w:hAnsi="Calibri" w:eastAsia="Calibri" w:cs="Calibri" w:asciiTheme="minorAscii" w:hAnsiTheme="minorAscii" w:eastAsiaTheme="minorAscii" w:cstheme="minorAscii"/>
          <w:color w:val="000000" w:themeColor="text1"/>
          <w:sz w:val="22"/>
          <w:szCs w:val="22"/>
          <w:lang w:val="en-GB"/>
        </w:rPr>
        <w:t>papers, which were</w:t>
      </w:r>
      <w:r w:rsidRPr="7F8594A9">
        <w:rPr>
          <w:rFonts w:ascii="Calibri" w:hAnsi="Calibri" w:eastAsia="Calibri" w:cs="Calibri" w:asciiTheme="minorAscii" w:hAnsiTheme="minorAscii" w:eastAsiaTheme="minorAscii" w:cstheme="minorAscii"/>
          <w:sz w:val="22"/>
          <w:szCs w:val="22"/>
        </w:rPr>
        <w:t xml:space="preserve"> published by Cambridge University and the Proceedings of the International Astronomical Union (IAU) in Oxford IX: International Symposium on </w:t>
      </w:r>
      <w:proofErr w:type="spellStart"/>
      <w:r w:rsidRPr="7F8594A9">
        <w:rPr>
          <w:rFonts w:ascii="Calibri" w:hAnsi="Calibri" w:eastAsia="Calibri" w:cs="Calibri" w:asciiTheme="minorAscii" w:hAnsiTheme="minorAscii" w:eastAsiaTheme="minorAscii" w:cstheme="minorAscii"/>
          <w:sz w:val="22"/>
          <w:szCs w:val="22"/>
        </w:rPr>
        <w:t xml:space="preserve">Archeoastronomy,</w:t>
      </w:r>
      <w:proofErr w:type="spellEnd"/>
      <w:r w:rsidRPr="7F8594A9">
        <w:rPr>
          <w:rFonts w:ascii="Calibri" w:hAnsi="Calibri" w:eastAsia="Calibri" w:cs="Calibri" w:asciiTheme="minorAscii" w:hAnsiTheme="minorAscii" w:eastAsiaTheme="minorAscii" w:cstheme="minorAscii"/>
          <w:sz w:val="22"/>
          <w:szCs w:val="22"/>
        </w:rPr>
        <w:t xml:space="preserve"> Volume 7 – January 2011.</w:t>
      </w:r>
      <w:r w:rsidRPr="355FDBB9">
        <w:rPr>
          <w:rStyle w:val="FootnoteReference"/>
          <w:rFonts w:ascii="Calibri" w:hAnsi="Calibri" w:eastAsia="Calibri" w:cs="Calibri" w:asciiTheme="minorAscii" w:hAnsiTheme="minorAscii" w:eastAsiaTheme="minorAscii" w:cstheme="minorAscii"/>
          <w:sz w:val="22"/>
          <w:szCs w:val="22"/>
        </w:rPr>
        <w:footnoteReference w:id="529"/>
      </w:r>
      <w:r w:rsidRPr="7F8594A9">
        <w:rPr>
          <w:rFonts w:ascii="Calibri" w:hAnsi="Calibri" w:eastAsia="Calibri" w:cs="Calibri" w:asciiTheme="minorAscii" w:hAnsiTheme="minorAscii" w:eastAsiaTheme="minorAscii" w:cstheme="minorAscii"/>
          <w:sz w:val="22"/>
          <w:szCs w:val="22"/>
          <w:lang w:val="en-GB"/>
        </w:rPr>
        <w:t xml:space="preserve"> Which were also edited by a well-known Astronomer, Archaeologist – Clive L. N. Ruggles.</w:t>
      </w:r>
      <w:r w:rsidRPr="7F8594A9" w:rsidR="6A900AC6">
        <w:rPr>
          <w:rStyle w:val="FootnoteReference"/>
          <w:rFonts w:ascii="Calibri" w:hAnsi="Calibri" w:eastAsia="Calibri" w:cs="Calibri" w:asciiTheme="minorAscii" w:hAnsiTheme="minorAscii" w:eastAsiaTheme="minorAscii" w:cstheme="minorAscii"/>
          <w:sz w:val="22"/>
          <w:szCs w:val="22"/>
          <w:lang w:val="en-GB"/>
        </w:rPr>
        <w:footnoteReference w:id="11"/>
      </w:r>
      <w:r w:rsidRPr="355FDBB9" w:rsidR="355FDBB9">
        <w:rPr>
          <w:rFonts w:ascii="Calibri" w:hAnsi="Calibri" w:eastAsia="Calibri" w:cs="Calibri" w:asciiTheme="minorAscii" w:hAnsiTheme="minorAscii" w:eastAsiaTheme="minorAscii" w:cstheme="minorAscii"/>
          <w:sz w:val="22"/>
          <w:szCs w:val="22"/>
          <w:lang w:val="en-GB"/>
        </w:rPr>
        <w:t xml:space="preserve"> Regarding both papers, which are secondary sources, with in-depth representations of their subject matter, neither relying on the conjecture of previous knowledge in their respective fields. T</w:t>
      </w:r>
      <w:r w:rsidRPr="355FDBB9" w:rsidR="355FDBB9">
        <w:rPr>
          <w:rFonts w:ascii="Calibri" w:hAnsi="Calibri" w:eastAsia="Calibri" w:cs="Calibri" w:asciiTheme="minorAscii" w:hAnsiTheme="minorAscii" w:eastAsiaTheme="minorAscii" w:cstheme="minorAscii"/>
          <w:color w:val="000000" w:themeColor="text1" w:themeTint="FF" w:themeShade="FF"/>
          <w:sz w:val="22"/>
          <w:szCs w:val="22"/>
          <w:lang w:val="en-GB"/>
        </w:rPr>
        <w:t>he professional context for both papers is academic, its intended readership those who are involved in the discipline of cultural astronomy. In the following section structure and writing styles were explored.</w:t>
      </w:r>
    </w:p>
    <w:p w:rsidR="00604855" w:rsidP="355FDBB9" w:rsidRDefault="7E70BB6B" w14:paraId="7465E576" w14:textId="5DF9154E">
      <w:pPr>
        <w:pStyle w:val="Normal"/>
        <w:spacing w:line="480" w:lineRule="auto"/>
        <w:jc w:val="both"/>
        <w:rPr>
          <w:rFonts w:ascii="Calibri" w:hAnsi="Calibri" w:eastAsia="Calibri" w:cs="Calibri" w:asciiTheme="minorAscii" w:hAnsiTheme="minorAscii" w:eastAsiaTheme="minorAscii" w:cstheme="minorAscii"/>
          <w:color w:val="000000" w:themeColor="text1" w:themeTint="FF" w:themeShade="FF"/>
          <w:sz w:val="22"/>
          <w:szCs w:val="22"/>
          <w:lang w:val="en-GB"/>
        </w:rPr>
      </w:pPr>
    </w:p>
    <w:p w:rsidR="00604855" w:rsidP="355FDBB9" w:rsidRDefault="7E70BB6B" w14:paraId="6621CB91" w14:textId="26B11808">
      <w:pPr>
        <w:pStyle w:val="Normal"/>
        <w:spacing w:line="480" w:lineRule="auto"/>
        <w:jc w:val="both"/>
        <w:rPr>
          <w:rFonts w:ascii="Calibri" w:hAnsi="Calibri" w:eastAsia="Calibri" w:cs="Calibri" w:asciiTheme="minorAscii" w:hAnsiTheme="minorAscii" w:eastAsiaTheme="minorAscii" w:cstheme="minorAscii"/>
          <w:b w:val="1"/>
          <w:bCs w:val="1"/>
          <w:color w:val="000000" w:themeColor="text1" w:themeTint="FF" w:themeShade="FF"/>
          <w:sz w:val="22"/>
          <w:szCs w:val="22"/>
          <w:lang w:val="en-GB"/>
        </w:rPr>
      </w:pPr>
      <w:r w:rsidRPr="355FDBB9" w:rsidR="355FDBB9">
        <w:rPr>
          <w:rFonts w:ascii="Calibri" w:hAnsi="Calibri" w:eastAsia="Calibri" w:cs="Calibri" w:asciiTheme="minorAscii" w:hAnsiTheme="minorAscii" w:eastAsiaTheme="minorAscii" w:cstheme="minorAscii"/>
          <w:b w:val="1"/>
          <w:bCs w:val="1"/>
          <w:color w:val="000000" w:themeColor="text1" w:themeTint="FF" w:themeShade="FF"/>
          <w:sz w:val="22"/>
          <w:szCs w:val="22"/>
          <w:lang w:val="en-GB"/>
        </w:rPr>
        <w:t>Structure</w:t>
      </w:r>
      <w:r w:rsidRPr="355FDBB9" w:rsidR="355FDBB9">
        <w:rPr>
          <w:rFonts w:ascii="Calibri" w:hAnsi="Calibri" w:eastAsia="Calibri" w:cs="Calibri" w:asciiTheme="minorAscii" w:hAnsiTheme="minorAscii" w:eastAsiaTheme="minorAscii" w:cstheme="minorAscii"/>
          <w:b w:val="1"/>
          <w:bCs w:val="1"/>
          <w:color w:val="000000" w:themeColor="text1" w:themeTint="FF" w:themeShade="FF"/>
          <w:sz w:val="22"/>
          <w:szCs w:val="22"/>
          <w:lang w:val="en-GB"/>
        </w:rPr>
        <w:t>/Writing Styles</w:t>
      </w:r>
      <w:proofErr w:type="spellStart"/>
      <w:proofErr w:type="spellEnd"/>
    </w:p>
    <w:p w:rsidR="00604855" w:rsidP="355FDBB9" w:rsidRDefault="6A900AC6" w14:paraId="46865F90" w14:textId="77459B1B">
      <w:pPr>
        <w:spacing w:line="480" w:lineRule="auto"/>
        <w:jc w:val="both"/>
        <w:rPr>
          <w:rFonts w:ascii="Calibri" w:hAnsi="Calibri" w:eastAsia="Calibri" w:cs="Calibri" w:asciiTheme="minorAscii" w:hAnsiTheme="minorAscii" w:eastAsiaTheme="minorAscii" w:cstheme="minorAscii"/>
          <w:color w:val="000000" w:themeColor="text1" w:themeTint="FF" w:themeShade="FF"/>
          <w:sz w:val="22"/>
          <w:szCs w:val="22"/>
          <w:lang w:val="en-GB"/>
        </w:rPr>
      </w:pPr>
      <w:r w:rsidRPr="7F8594A9">
        <w:rPr>
          <w:rFonts w:ascii="Calibri" w:hAnsi="Calibri" w:eastAsia="Calibri" w:cs="Calibri" w:asciiTheme="minorAscii" w:hAnsiTheme="minorAscii" w:eastAsiaTheme="minorAscii" w:cstheme="minorAscii"/>
          <w:color w:val="000000" w:themeColor="text1"/>
          <w:sz w:val="22"/>
          <w:szCs w:val="22"/>
          <w:lang w:val="en-GB"/>
        </w:rPr>
        <w:t xml:space="preserve">Comparatively, both papers were structured well, making them easy for the reader to navigate. </w:t>
      </w:r>
      <w:r w:rsidRPr="7F8594A9" w:rsidR="7E70BB6B">
        <w:rPr>
          <w:rFonts w:ascii="Calibri" w:hAnsi="Calibri" w:eastAsia="Calibri" w:cs="Calibri" w:asciiTheme="minorAscii" w:hAnsiTheme="minorAscii" w:eastAsiaTheme="minorAscii" w:cstheme="minorAscii"/>
          <w:color w:val="000000" w:themeColor="text1"/>
          <w:sz w:val="22"/>
          <w:szCs w:val="22"/>
          <w:lang w:val="en-GB"/>
        </w:rPr>
        <w:t xml:space="preserve">This is helpful according to Andrew S. C. Ehrenburg, in that ‘the structure of a paper – the order of its sections – is the key to its success.’ </w:t>
      </w:r>
      <w:r w:rsidRPr="7F8594A9">
        <w:rPr>
          <w:rStyle w:val="FootnoteReference"/>
          <w:rFonts w:ascii="Calibri" w:hAnsi="Calibri" w:eastAsia="Calibri" w:cs="Calibri" w:asciiTheme="minorAscii" w:hAnsiTheme="minorAscii" w:eastAsiaTheme="minorAscii" w:cstheme="minorAscii"/>
          <w:color w:val="000000" w:themeColor="text1" w:themeTint="FF" w:themeShade="FF"/>
          <w:sz w:val="22"/>
          <w:szCs w:val="22"/>
          <w:lang w:val="en-GB"/>
        </w:rPr>
        <w:footnoteReference w:id="29783"/>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Both writing </w:t>
      </w:r>
      <w:r w:rsidRPr="355FDBB9">
        <w:rPr>
          <w:rFonts w:ascii="Calibri" w:hAnsi="Calibri" w:eastAsia="Calibri" w:cs="Calibri" w:asciiTheme="minorAscii" w:hAnsiTheme="minorAscii" w:eastAsiaTheme="minorAscii" w:cstheme="minorAscii"/>
          <w:i w:val="1"/>
          <w:iCs w:val="1"/>
          <w:color w:val="000000" w:themeColor="text1"/>
          <w:sz w:val="22"/>
          <w:szCs w:val="22"/>
          <w:lang w:val="en-GB"/>
        </w:rPr>
        <w:t xml:space="preserve">styles</w:t>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were fluid, transitioned well and were simple for the reader to follow in most sections. This is important according to Paul R. Heinmiller and Alice S Allen, as ‘style covers three areas – fundamentals, mechanics, and editorial. All contribute to the publications style. ‘ </w:t>
      </w:r>
      <w:r w:rsidRPr="7F8594A9">
        <w:rPr>
          <w:rStyle w:val="FootnoteReference"/>
          <w:rFonts w:ascii="Calibri" w:hAnsi="Calibri" w:eastAsia="Calibri" w:cs="Calibri" w:asciiTheme="minorAscii" w:hAnsiTheme="minorAscii" w:eastAsiaTheme="minorAscii" w:cstheme="minorAscii"/>
          <w:color w:val="000000" w:themeColor="text1" w:themeTint="FF" w:themeShade="FF"/>
          <w:sz w:val="22"/>
          <w:szCs w:val="22"/>
          <w:lang w:val="en-GB"/>
        </w:rPr>
        <w:footnoteReference w:id="11133"/>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Hamacher and Norris’ paper avoided using technical language, which allowed the pros to flow well, as a result the reader does not have to search for words they may not understand.</w:t>
      </w:r>
      <w:r w:rsidRPr="7F8594A9" w:rsidR="00EF3EA3">
        <w:rPr>
          <w:rStyle w:val="FootnoteReference"/>
          <w:rFonts w:ascii="Calibri" w:hAnsi="Calibri" w:eastAsia="Calibri" w:cs="Calibri" w:asciiTheme="minorAscii" w:hAnsiTheme="minorAscii" w:eastAsiaTheme="minorAscii" w:cstheme="minorAscii"/>
          <w:color w:val="000000" w:themeColor="text1"/>
          <w:sz w:val="22"/>
          <w:szCs w:val="22"/>
          <w:lang w:val="en-GB"/>
        </w:rPr>
        <w:footnoteReference w:id="14"/>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w:t>
      </w:r>
      <w:r w:rsidRPr="7F8594A9">
        <w:rPr>
          <w:rFonts w:ascii="Calibri" w:hAnsi="Calibri" w:eastAsia="Calibri" w:cs="Calibri" w:asciiTheme="minorAscii" w:hAnsiTheme="minorAscii" w:eastAsiaTheme="minorAscii" w:cstheme="minorAscii"/>
          <w:color w:val="000000" w:themeColor="text1"/>
          <w:sz w:val="22"/>
          <w:szCs w:val="22"/>
          <w:lang w:val="en-GB"/>
        </w:rPr>
        <w:t xml:space="preserve">Contrastingly, </w:t>
      </w:r>
      <w:proofErr w:type="spellStart"/>
      <w:proofErr w:type="spellStart"/>
      <w:r w:rsidRPr="7F8594A9">
        <w:rPr>
          <w:rFonts w:ascii="Calibri" w:hAnsi="Calibri" w:eastAsia="Calibri" w:cs="Calibri" w:asciiTheme="minorAscii" w:hAnsiTheme="minorAscii" w:eastAsiaTheme="minorAscii" w:cstheme="minorAscii"/>
          <w:color w:val="000000" w:themeColor="text1"/>
          <w:sz w:val="22"/>
          <w:szCs w:val="22"/>
          <w:lang w:val="en-GB"/>
        </w:rPr>
        <w:t>Pankenier’s</w:t>
      </w:r>
      <w:proofErr w:type="spellEnd"/>
      <w:proofErr w:type="spellEnd"/>
      <w:r w:rsidRPr="7F8594A9">
        <w:rPr>
          <w:rFonts w:ascii="Calibri" w:hAnsi="Calibri" w:eastAsia="Calibri" w:cs="Calibri" w:asciiTheme="minorAscii" w:hAnsiTheme="minorAscii" w:eastAsiaTheme="minorAscii" w:cstheme="minorAscii"/>
          <w:color w:val="000000" w:themeColor="text1"/>
          <w:sz w:val="22"/>
          <w:szCs w:val="22"/>
          <w:lang w:val="en-GB"/>
        </w:rPr>
        <w:t xml:space="preserve"> wording is technical in some areas. For example, for the reader to pronounce, ‘Xianyang’ and ‘Zhang </w:t>
      </w:r>
      <w:proofErr w:type="spellStart"/>
      <w:proofErr w:type="spellStart"/>
      <w:r w:rsidRPr="7F8594A9">
        <w:rPr>
          <w:rFonts w:ascii="Calibri" w:hAnsi="Calibri" w:eastAsia="Calibri" w:cs="Calibri" w:asciiTheme="minorAscii" w:hAnsiTheme="minorAscii" w:eastAsiaTheme="minorAscii" w:cstheme="minorAscii"/>
          <w:color w:val="000000" w:themeColor="text1"/>
          <w:sz w:val="22"/>
          <w:szCs w:val="22"/>
          <w:lang w:val="en-GB"/>
        </w:rPr>
        <w:t>Shoujie</w:t>
      </w:r>
      <w:proofErr w:type="spellEnd"/>
      <w:proofErr w:type="spellEnd"/>
      <w:r w:rsidRPr="7F8594A9">
        <w:rPr>
          <w:rFonts w:ascii="Calibri" w:hAnsi="Calibri" w:eastAsia="Calibri" w:cs="Calibri" w:asciiTheme="minorAscii" w:hAnsiTheme="minorAscii" w:eastAsiaTheme="minorAscii" w:cstheme="minorAscii"/>
          <w:color w:val="000000" w:themeColor="text1"/>
          <w:sz w:val="22"/>
          <w:szCs w:val="22"/>
          <w:lang w:val="en-GB"/>
        </w:rPr>
        <w:t>,’ one may have to search for the correct terms.</w:t>
      </w:r>
      <w:r w:rsidRPr="7F8594A9" w:rsidR="00EF3EA3">
        <w:rPr>
          <w:rStyle w:val="FootnoteReference"/>
          <w:rFonts w:ascii="Calibri" w:hAnsi="Calibri" w:eastAsia="Calibri" w:cs="Calibri" w:asciiTheme="minorAscii" w:hAnsiTheme="minorAscii" w:eastAsiaTheme="minorAscii" w:cstheme="minorAscii"/>
          <w:color w:val="000000" w:themeColor="text1"/>
          <w:sz w:val="22"/>
          <w:szCs w:val="22"/>
          <w:lang w:val="en-GB"/>
        </w:rPr>
        <w:footnoteReference w:id="15"/>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Campion also pointed this out, remarking of the numerous ’pitfalls for the unwary, </w:t>
      </w:r>
      <w:proofErr w:type="spellStart"/>
      <w:proofErr w:type="spellStart"/>
      <w:r w:rsidRPr="7F8594A9">
        <w:rPr>
          <w:rFonts w:ascii="Calibri" w:hAnsi="Calibri" w:eastAsia="Calibri" w:cs="Calibri" w:asciiTheme="minorAscii" w:hAnsiTheme="minorAscii" w:eastAsiaTheme="minorAscii" w:cstheme="minorAscii"/>
          <w:color w:val="000000" w:themeColor="text1"/>
          <w:sz w:val="22"/>
          <w:szCs w:val="22"/>
          <w:lang w:val="en-GB"/>
        </w:rPr>
        <w:t xml:space="preserve">non-Chinese</w:t>
      </w:r>
      <w:proofErr w:type="spellEnd"/>
      <w:proofErr w:type="spellEnd"/>
      <w:r w:rsidRPr="7F8594A9">
        <w:rPr>
          <w:rFonts w:ascii="Calibri" w:hAnsi="Calibri" w:eastAsia="Calibri" w:cs="Calibri" w:asciiTheme="minorAscii" w:hAnsiTheme="minorAscii" w:eastAsiaTheme="minorAscii" w:cstheme="minorAscii"/>
          <w:color w:val="000000" w:themeColor="text1"/>
          <w:sz w:val="22"/>
          <w:szCs w:val="22"/>
          <w:lang w:val="en-GB"/>
        </w:rPr>
        <w:t xml:space="preserve"> speaker, as the process of conversion from Chinese to English can be difficult and involves both translation and transliteration.’</w:t>
      </w:r>
      <w:r w:rsidRPr="7F8594A9">
        <w:rPr>
          <w:rStyle w:val="FootnoteReference"/>
          <w:rFonts w:ascii="Calibri" w:hAnsi="Calibri" w:eastAsia="Calibri" w:cs="Calibri" w:asciiTheme="minorAscii" w:hAnsiTheme="minorAscii" w:eastAsiaTheme="minorAscii" w:cstheme="minorAscii"/>
          <w:color w:val="000000" w:themeColor="text1" w:themeTint="FF" w:themeShade="FF"/>
          <w:sz w:val="22"/>
          <w:szCs w:val="22"/>
          <w:lang w:val="en-GB"/>
        </w:rPr>
        <w:footnoteReference w:id="12359"/>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Finally, both texts, although written in scholarly journals, gave the impression they were directed towards a general audience, this in turn allowed non-academic individuals to engage in their subject matter, along with academics, already in this area.  Nevertheless, both authors represented their papers in clear ways and both presented good arguments that were well structed. The following section described methodology and sources.</w:t>
      </w:r>
    </w:p>
    <w:p w:rsidR="00604855" w:rsidP="355FDBB9" w:rsidRDefault="6A900AC6" w14:paraId="0991390C" w14:textId="252624CD">
      <w:pPr>
        <w:pStyle w:val="Normal"/>
        <w:spacing w:line="480" w:lineRule="auto"/>
        <w:jc w:val="both"/>
        <w:rPr>
          <w:rFonts w:ascii="Calibri" w:hAnsi="Calibri" w:eastAsia="Calibri" w:cs="Calibri" w:asciiTheme="minorAscii" w:hAnsiTheme="minorAscii" w:eastAsiaTheme="minorAscii" w:cstheme="minorAscii"/>
          <w:color w:val="000000" w:themeColor="text1" w:themeTint="FF" w:themeShade="FF"/>
          <w:sz w:val="22"/>
          <w:szCs w:val="22"/>
          <w:lang w:val="en-GB"/>
        </w:rPr>
      </w:pPr>
    </w:p>
    <w:p w:rsidR="00604855" w:rsidP="355FDBB9" w:rsidRDefault="6A900AC6" w14:paraId="280C0F5A" w14:textId="289A77A5">
      <w:pPr>
        <w:pStyle w:val="Normal"/>
        <w:spacing w:line="480" w:lineRule="auto"/>
        <w:jc w:val="both"/>
        <w:rPr>
          <w:rFonts w:ascii="Calibri" w:hAnsi="Calibri" w:eastAsia="Calibri" w:cs="Calibri" w:asciiTheme="minorAscii" w:hAnsiTheme="minorAscii" w:eastAsiaTheme="minorAscii" w:cstheme="minorAscii"/>
          <w:color w:val="000000" w:themeColor="text1" w:themeTint="FF" w:themeShade="FF"/>
          <w:sz w:val="22"/>
          <w:szCs w:val="22"/>
          <w:lang w:val="en-GB"/>
        </w:rPr>
      </w:pPr>
      <w:r w:rsidRPr="355FDBB9" w:rsidR="355FDBB9">
        <w:rPr>
          <w:rFonts w:ascii="Calibri" w:hAnsi="Calibri" w:eastAsia="Calibri" w:cs="Calibri" w:asciiTheme="minorAscii" w:hAnsiTheme="minorAscii" w:eastAsiaTheme="minorAscii" w:cstheme="minorAscii"/>
          <w:b w:val="1"/>
          <w:bCs w:val="1"/>
          <w:color w:val="000000" w:themeColor="text1" w:themeTint="FF" w:themeShade="FF"/>
          <w:sz w:val="22"/>
          <w:szCs w:val="22"/>
          <w:lang w:val="en-GB"/>
        </w:rPr>
        <w:t>Methodology/Sources</w:t>
      </w:r>
    </w:p>
    <w:p w:rsidR="00604855" w:rsidP="355FDBB9" w:rsidRDefault="6A900AC6" w14:paraId="4E50693C" w14:textId="6830C9CB">
      <w:pPr>
        <w:pStyle w:val="Normal"/>
        <w:spacing w:line="480" w:lineRule="auto"/>
        <w:jc w:val="both"/>
        <w:rPr>
          <w:rFonts w:ascii="Calibri" w:hAnsi="Calibri" w:eastAsia="Calibri" w:cs="Calibri" w:asciiTheme="minorAscii" w:hAnsiTheme="minorAscii" w:eastAsiaTheme="minorAscii" w:cstheme="minorAscii"/>
          <w:color w:val="000000" w:themeColor="text1" w:themeTint="FF" w:themeShade="FF"/>
          <w:sz w:val="22"/>
          <w:szCs w:val="22"/>
          <w:lang w:val="en-GB"/>
        </w:rPr>
      </w:pPr>
      <w:r w:rsidRPr="355FDBB9" w:rsidR="355FDBB9">
        <w:rPr>
          <w:rFonts w:ascii="Calibri" w:hAnsi="Calibri" w:eastAsia="Calibri" w:cs="Calibri" w:asciiTheme="minorAscii" w:hAnsiTheme="minorAscii" w:eastAsiaTheme="minorAscii" w:cstheme="minorAscii"/>
          <w:b w:val="0"/>
          <w:bCs w:val="0"/>
          <w:color w:val="auto"/>
          <w:sz w:val="22"/>
          <w:szCs w:val="22"/>
          <w:lang w:val="en-GB"/>
        </w:rPr>
        <w:t>According to Ruggles, although there is no correct way of undertaking ethnoastronomical research, ‘</w:t>
      </w:r>
      <w:r w:rsidRPr="355FDBB9" w:rsidR="355FDBB9">
        <w:rPr>
          <w:rFonts w:ascii="Calibri" w:hAnsi="Calibri" w:eastAsia="Calibri" w:cs="Calibri"/>
          <w:b w:val="0"/>
          <w:bCs w:val="0"/>
          <w:noProof w:val="0"/>
          <w:color w:val="auto"/>
          <w:sz w:val="22"/>
          <w:szCs w:val="22"/>
          <w:lang w:val="en-GB"/>
        </w:rPr>
        <w:t xml:space="preserve">such research has to be guided by certain general principles that apply equally to ethnographic research in general.’ </w:t>
      </w:r>
      <w:r w:rsidRPr="355FDBB9">
        <w:rPr>
          <w:rStyle w:val="FootnoteReference"/>
          <w:rFonts w:ascii="Calibri" w:hAnsi="Calibri" w:eastAsia="Calibri" w:cs="Calibri"/>
          <w:b w:val="0"/>
          <w:bCs w:val="0"/>
          <w:noProof w:val="0"/>
          <w:color w:val="auto"/>
          <w:sz w:val="22"/>
          <w:szCs w:val="22"/>
          <w:lang w:val="en-GB"/>
        </w:rPr>
        <w:footnoteReference w:id="4810"/>
      </w:r>
      <w:r w:rsidRPr="355FDBB9">
        <w:rPr>
          <w:rFonts w:ascii="Calibri" w:hAnsi="Calibri" w:eastAsia="Calibri" w:cs="Calibri" w:asciiTheme="minorAscii" w:hAnsiTheme="minorAscii" w:eastAsiaTheme="minorAscii" w:cstheme="minorAscii"/>
          <w:b w:val="0"/>
          <w:bCs w:val="0"/>
          <w:color w:val="auto" w:themeColor="text1"/>
          <w:sz w:val="22"/>
          <w:szCs w:val="22"/>
          <w:lang w:val="en-GB"/>
        </w:rPr>
        <w:t xml:space="preserve"> Thus, wh</w:t>
      </w:r>
      <w:r w:rsidRPr="7F8594A9">
        <w:rPr>
          <w:rFonts w:ascii="Calibri" w:hAnsi="Calibri" w:eastAsia="Calibri" w:cs="Calibri" w:asciiTheme="minorAscii" w:hAnsiTheme="minorAscii" w:eastAsiaTheme="minorAscii" w:cstheme="minorAscii"/>
          <w:color w:val="000000" w:themeColor="text1"/>
          <w:sz w:val="22"/>
          <w:szCs w:val="22"/>
          <w:lang w:val="en-GB"/>
        </w:rPr>
        <w:t xml:space="preserve">en considering the </w:t>
      </w:r>
      <w:r w:rsidRPr="7F8594A9">
        <w:rPr>
          <w:rFonts w:ascii="Calibri" w:hAnsi="Calibri" w:eastAsia="Calibri" w:cs="Calibri" w:asciiTheme="minorAscii" w:hAnsiTheme="minorAscii" w:eastAsiaTheme="minorAscii" w:cstheme="minorAscii"/>
          <w:color w:val="000000" w:themeColor="text1"/>
          <w:sz w:val="22"/>
          <w:szCs w:val="22"/>
          <w:lang w:val="en-GB"/>
        </w:rPr>
        <w:t xml:space="preserve">methodology</w:t>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both papers dealt with fundamental concepts by each taking a similar </w:t>
      </w:r>
      <w:proofErr w:type="spellStart"/>
      <w:r w:rsidRPr="7F8594A9">
        <w:rPr>
          <w:rFonts w:ascii="Calibri" w:hAnsi="Calibri" w:eastAsia="Calibri" w:cs="Calibri" w:asciiTheme="minorAscii" w:hAnsiTheme="minorAscii" w:eastAsiaTheme="minorAscii" w:cstheme="minorAscii"/>
          <w:color w:val="000000" w:themeColor="text1"/>
          <w:sz w:val="22"/>
          <w:szCs w:val="22"/>
          <w:lang w:val="en-GB"/>
        </w:rPr>
        <w:t xml:space="preserve">approachs</w:t>
      </w:r>
      <w:proofErr w:type="spellEnd"/>
      <w:r w:rsidRPr="7F8594A9">
        <w:rPr>
          <w:rFonts w:ascii="Calibri" w:hAnsi="Calibri" w:eastAsia="Calibri" w:cs="Calibri" w:asciiTheme="minorAscii" w:hAnsiTheme="minorAscii" w:eastAsiaTheme="minorAscii" w:cstheme="minorAscii"/>
          <w:color w:val="000000" w:themeColor="text1"/>
          <w:sz w:val="22"/>
          <w:szCs w:val="22"/>
          <w:lang w:val="en-GB"/>
        </w:rPr>
        <w:t xml:space="preserve"> to their research. </w:t>
      </w:r>
      <w:r w:rsidRPr="7F8594A9" w:rsidR="29ABFDEF">
        <w:rPr>
          <w:rFonts w:ascii="Calibri" w:hAnsi="Calibri" w:eastAsia="Calibri" w:cs="Calibri" w:asciiTheme="minorAscii" w:hAnsiTheme="minorAscii" w:eastAsiaTheme="minorAscii" w:cstheme="minorAscii"/>
          <w:color w:val="000000" w:themeColor="text1"/>
          <w:sz w:val="22"/>
          <w:szCs w:val="22"/>
          <w:lang w:val="en-GB"/>
        </w:rPr>
        <w:t xml:space="preserve">Hamacher and Norris utilised a range of figures, </w:t>
      </w:r>
      <w:r w:rsidRPr="7F8594A9" w:rsidR="29ABFDEF">
        <w:rPr>
          <w:rFonts w:ascii="Calibri" w:hAnsi="Calibri" w:eastAsia="Calibri" w:cs="Calibri" w:asciiTheme="minorAscii" w:hAnsiTheme="minorAscii" w:eastAsiaTheme="minorAscii" w:cstheme="minorAscii"/>
          <w:color w:val="000000" w:themeColor="text1"/>
          <w:sz w:val="22"/>
          <w:szCs w:val="22"/>
          <w:lang w:val="en-GB"/>
        </w:rPr>
        <w:t>diagrams</w:t>
      </w:r>
      <w:r w:rsidRPr="7F8594A9" w:rsidR="29ABFDEF">
        <w:rPr>
          <w:rFonts w:ascii="Calibri" w:hAnsi="Calibri" w:eastAsia="Calibri" w:cs="Calibri" w:asciiTheme="minorAscii" w:hAnsiTheme="minorAscii" w:eastAsiaTheme="minorAscii" w:cstheme="minorAscii"/>
          <w:color w:val="000000" w:themeColor="text1"/>
          <w:sz w:val="22"/>
          <w:szCs w:val="22"/>
          <w:lang w:val="en-GB"/>
        </w:rPr>
        <w:t xml:space="preserve"> and graphs to portray the information gathered,</w:t>
      </w:r>
      <w:r w:rsidRPr="7F8594A9">
        <w:rPr>
          <w:rStyle w:val="FootnoteReference"/>
          <w:rFonts w:ascii="Calibri" w:hAnsi="Calibri" w:eastAsia="Calibri" w:cs="Calibri" w:asciiTheme="minorAscii" w:hAnsiTheme="minorAscii" w:eastAsiaTheme="minorAscii" w:cstheme="minorAscii"/>
          <w:color w:val="000000" w:themeColor="text1"/>
          <w:sz w:val="22"/>
          <w:szCs w:val="22"/>
          <w:lang w:val="en-GB"/>
        </w:rPr>
        <w:footnoteReference w:id="17"/>
      </w:r>
      <w:r w:rsidRPr="7F8594A9" w:rsidR="29ABFDEF">
        <w:rPr>
          <w:rFonts w:ascii="Calibri" w:hAnsi="Calibri" w:eastAsia="Calibri" w:cs="Calibri" w:asciiTheme="minorAscii" w:hAnsiTheme="minorAscii" w:eastAsiaTheme="minorAscii" w:cstheme="minorAscii"/>
          <w:color w:val="000000" w:themeColor="text1"/>
          <w:sz w:val="22"/>
          <w:szCs w:val="22"/>
          <w:lang w:val="en-GB"/>
        </w:rPr>
        <w:t xml:space="preserve"> as did </w:t>
      </w:r>
      <w:proofErr w:type="spellStart"/>
      <w:proofErr w:type="spellStart"/>
      <w:r w:rsidRPr="7F8594A9" w:rsidR="29ABFDEF">
        <w:rPr>
          <w:rFonts w:ascii="Calibri" w:hAnsi="Calibri" w:eastAsia="Calibri" w:cs="Calibri" w:asciiTheme="minorAscii" w:hAnsiTheme="minorAscii" w:eastAsiaTheme="minorAscii" w:cstheme="minorAscii"/>
          <w:color w:val="000000" w:themeColor="text1"/>
          <w:sz w:val="22"/>
          <w:szCs w:val="22"/>
          <w:lang w:val="en-GB"/>
        </w:rPr>
        <w:t xml:space="preserve">Pankeneir</w:t>
      </w:r>
      <w:proofErr w:type="spellEnd"/>
      <w:proofErr w:type="spellEnd"/>
      <w:r w:rsidRPr="7F8594A9" w:rsidR="29ABFDEF">
        <w:rPr>
          <w:rFonts w:ascii="Calibri" w:hAnsi="Calibri" w:eastAsia="Calibri" w:cs="Calibri" w:asciiTheme="minorAscii" w:hAnsiTheme="minorAscii" w:eastAsiaTheme="minorAscii" w:cstheme="minorAscii"/>
          <w:color w:val="000000" w:themeColor="text1"/>
          <w:sz w:val="22"/>
          <w:szCs w:val="22"/>
          <w:lang w:val="en-GB"/>
        </w:rPr>
        <w:t xml:space="preserve">, to illustrate his findings.</w:t>
      </w:r>
      <w:r w:rsidRPr="7F8594A9">
        <w:rPr>
          <w:rStyle w:val="FootnoteReference"/>
          <w:rFonts w:ascii="Calibri" w:hAnsi="Calibri" w:eastAsia="Calibri" w:cs="Calibri" w:asciiTheme="minorAscii" w:hAnsiTheme="minorAscii" w:eastAsiaTheme="minorAscii" w:cstheme="minorAscii"/>
          <w:color w:val="000000" w:themeColor="text1"/>
          <w:sz w:val="22"/>
          <w:szCs w:val="22"/>
          <w:lang w:val="en-GB"/>
        </w:rPr>
        <w:footnoteReference w:id="18"/>
      </w:r>
      <w:r w:rsidRPr="7F8594A9" w:rsidR="29ABFDEF">
        <w:rPr>
          <w:rFonts w:ascii="Calibri" w:hAnsi="Calibri" w:eastAsia="Calibri" w:cs="Calibri" w:asciiTheme="minorAscii" w:hAnsiTheme="minorAscii" w:eastAsiaTheme="minorAscii" w:cstheme="minorAscii"/>
          <w:color w:val="000000" w:themeColor="text1"/>
          <w:sz w:val="22"/>
          <w:szCs w:val="22"/>
          <w:lang w:val="en-GB"/>
        </w:rPr>
        <w:t xml:space="preserve"> This in turn added more depth to the paper's methodological context. </w:t>
      </w:r>
    </w:p>
    <w:p w:rsidR="00604855" w:rsidP="355FDBB9" w:rsidRDefault="6A900AC6" w14:textId="3E1903F8" w14:paraId="492317F5">
      <w:pPr>
        <w:pStyle w:val="Normal"/>
        <w:spacing w:line="480" w:lineRule="auto"/>
        <w:jc w:val="both"/>
        <w:rPr>
          <w:rFonts w:ascii="Calibri" w:hAnsi="Calibri" w:eastAsia="Calibri" w:cs="Calibri" w:asciiTheme="minorAscii" w:hAnsiTheme="minorAscii" w:eastAsiaTheme="minorAscii" w:cstheme="minorAscii"/>
          <w:color w:val="000000" w:themeColor="text1"/>
          <w:sz w:val="22"/>
          <w:szCs w:val="22"/>
          <w:lang w:val="en-GB"/>
        </w:rPr>
      </w:pPr>
      <w:r w:rsidRPr="7F8594A9">
        <w:rPr>
          <w:rFonts w:ascii="Calibri" w:hAnsi="Calibri" w:eastAsia="Calibri" w:cs="Calibri" w:asciiTheme="minorAscii" w:hAnsiTheme="minorAscii" w:eastAsiaTheme="minorAscii" w:cstheme="minorAscii"/>
          <w:sz w:val="22"/>
          <w:szCs w:val="22"/>
          <w:lang w:val="en-GB"/>
        </w:rPr>
        <w:t>In order to find out if Aboriginal Australians did in fact create astronomical measurements and observed the night sky, both Hamacher and Norris drew from their previous studies and archaeological research.</w:t>
      </w:r>
      <w:r w:rsidRPr="7F8594A9" w:rsidR="00EF3EA3">
        <w:rPr>
          <w:rStyle w:val="FootnoteReference"/>
          <w:rFonts w:ascii="Calibri" w:hAnsi="Calibri" w:eastAsia="Calibri" w:cs="Calibri" w:asciiTheme="minorAscii" w:hAnsiTheme="minorAscii" w:eastAsiaTheme="minorAscii" w:cstheme="minorAscii"/>
          <w:sz w:val="22"/>
          <w:szCs w:val="22"/>
          <w:lang w:val="en-GB"/>
        </w:rPr>
        <w:footnoteReference w:id="19"/>
      </w:r>
      <w:r w:rsidRPr="7F8594A9">
        <w:rPr>
          <w:rFonts w:ascii="Calibri" w:hAnsi="Calibri" w:eastAsia="Calibri" w:cs="Calibri" w:asciiTheme="minorAscii" w:hAnsiTheme="minorAscii" w:eastAsiaTheme="minorAscii" w:cstheme="minorAscii"/>
          <w:sz w:val="22"/>
          <w:szCs w:val="22"/>
          <w:lang w:val="en-GB"/>
        </w:rPr>
        <w:t xml:space="preserve"> They adopted a quantitative research methodology for their work, by conducting a survey of sixty stone cardinal alignments in New South Wales (NSW).</w:t>
      </w:r>
      <w:r w:rsidRPr="7F8594A9">
        <w:rPr>
          <w:rStyle w:val="FootnoteReference"/>
          <w:rFonts w:ascii="Calibri" w:hAnsi="Calibri" w:eastAsia="Calibri" w:cs="Calibri" w:asciiTheme="minorAscii" w:hAnsiTheme="minorAscii" w:eastAsiaTheme="minorAscii" w:cstheme="minorAscii"/>
          <w:sz w:val="22"/>
          <w:szCs w:val="22"/>
          <w:lang w:val="en-GB"/>
        </w:rPr>
        <w:footnoteReference w:id="20"/>
      </w:r>
      <w:r w:rsidRPr="7F8594A9">
        <w:rPr>
          <w:rFonts w:ascii="Calibri" w:hAnsi="Calibri" w:eastAsia="Calibri" w:cs="Calibri" w:asciiTheme="minorAscii" w:hAnsiTheme="minorAscii" w:eastAsiaTheme="minorAscii" w:cstheme="minorAscii"/>
          <w:sz w:val="22"/>
          <w:szCs w:val="22"/>
          <w:lang w:val="en-GB"/>
        </w:rPr>
        <w:t xml:space="preserve"> They also utilised a Monte Carlo Simulation to provide statistical proof that the survey was not pre-planned or happened by chance.</w:t>
      </w:r>
      <w:r w:rsidRPr="7F8594A9" w:rsidR="00EF3EA3">
        <w:rPr>
          <w:rStyle w:val="FootnoteReference"/>
          <w:rFonts w:ascii="Calibri" w:hAnsi="Calibri" w:eastAsia="Calibri" w:cs="Calibri" w:asciiTheme="minorAscii" w:hAnsiTheme="minorAscii" w:eastAsiaTheme="minorAscii" w:cstheme="minorAscii"/>
          <w:sz w:val="22"/>
          <w:szCs w:val="22"/>
        </w:rPr>
        <w:footnoteReference w:id="21"/>
      </w:r>
      <w:r w:rsidRPr="7F8594A9" w:rsidR="7E70BB6B">
        <w:rPr>
          <w:rFonts w:ascii="Calibri" w:hAnsi="Calibri" w:eastAsia="Calibri" w:cs="Calibri" w:asciiTheme="minorAscii" w:hAnsiTheme="minorAscii" w:eastAsiaTheme="minorAscii" w:cstheme="minorAscii"/>
          <w:sz w:val="22"/>
          <w:szCs w:val="22"/>
          <w:lang w:val="en-GB"/>
        </w:rPr>
        <w:t xml:space="preserve">They also </w:t>
      </w:r>
      <w:r w:rsidRPr="7F8594A9">
        <w:rPr>
          <w:rFonts w:ascii="Calibri" w:hAnsi="Calibri" w:eastAsia="Calibri" w:cs="Calibri" w:asciiTheme="minorAscii" w:hAnsiTheme="minorAscii" w:eastAsiaTheme="minorAscii" w:cstheme="minorAscii"/>
          <w:sz w:val="22"/>
          <w:szCs w:val="22"/>
        </w:rPr>
        <w:t>provided a varying range of academic sources, such as William Stanbridge’s seminal research of the nineteenth century, and from anthropological outlooks in similar areas, to more current ethnoastronomical research.</w:t>
      </w:r>
      <w:r w:rsidRPr="7F8594A9" w:rsidR="00EF3EA3">
        <w:rPr>
          <w:rStyle w:val="FootnoteReference"/>
          <w:rFonts w:ascii="Calibri" w:hAnsi="Calibri" w:eastAsia="Calibri" w:cs="Calibri" w:asciiTheme="minorAscii" w:hAnsiTheme="minorAscii" w:eastAsiaTheme="minorAscii" w:cstheme="minorAscii"/>
          <w:color w:val="000000" w:themeColor="text1"/>
          <w:sz w:val="22"/>
          <w:szCs w:val="22"/>
          <w:lang w:val="en-GB"/>
        </w:rPr>
        <w:footnoteReference w:id="22"/>
      </w:r>
      <w:r w:rsidRPr="7F8594A9" w:rsidR="7E70BB6B">
        <w:rPr>
          <w:rFonts w:ascii="Calibri" w:hAnsi="Calibri" w:eastAsia="Calibri" w:cs="Calibri" w:asciiTheme="minorAscii" w:hAnsiTheme="minorAscii" w:eastAsiaTheme="minorAscii" w:cstheme="minorAscii"/>
          <w:sz w:val="22"/>
          <w:szCs w:val="22"/>
        </w:rPr>
        <w:t xml:space="preserve"> Additionally, they </w:t>
      </w:r>
      <w:r w:rsidRPr="7F8594A9">
        <w:rPr>
          <w:rFonts w:ascii="Calibri" w:hAnsi="Calibri" w:eastAsia="Calibri" w:cs="Calibri" w:asciiTheme="minorAscii" w:hAnsiTheme="minorAscii" w:eastAsiaTheme="minorAscii" w:cstheme="minorAscii"/>
          <w:sz w:val="22"/>
          <w:szCs w:val="22"/>
        </w:rPr>
        <w:t>used several examples to</w:t>
      </w:r>
      <w:r w:rsidRPr="7F8594A9">
        <w:rPr>
          <w:rFonts w:ascii="Calibri" w:hAnsi="Calibri" w:eastAsia="Calibri" w:cs="Calibri" w:asciiTheme="minorAscii" w:hAnsiTheme="minorAscii" w:eastAsiaTheme="minorAscii" w:cstheme="minorAscii"/>
          <w:sz w:val="22"/>
          <w:szCs w:val="22"/>
        </w:rPr>
        <w:t xml:space="preserve"> exemplif</w:t>
      </w:r>
      <w:r w:rsidRPr="7F8594A9">
        <w:rPr>
          <w:rFonts w:ascii="Calibri" w:hAnsi="Calibri" w:eastAsia="Calibri" w:cs="Calibri" w:asciiTheme="minorAscii" w:hAnsiTheme="minorAscii" w:eastAsiaTheme="minorAscii" w:cstheme="minorAscii"/>
          <w:sz w:val="22"/>
          <w:szCs w:val="22"/>
        </w:rPr>
        <w:t>y the many ways in which Aboriginal Australians observed the celestial bodies and used their astronomical knowledge for different uses.</w:t>
      </w:r>
      <w:r w:rsidRPr="7F8594A9" w:rsidR="00EF3EA3">
        <w:rPr>
          <w:rStyle w:val="FootnoteReference"/>
          <w:rFonts w:ascii="Calibri" w:hAnsi="Calibri" w:eastAsia="Calibri" w:cs="Calibri" w:asciiTheme="minorAscii" w:hAnsiTheme="minorAscii" w:eastAsiaTheme="minorAscii" w:cstheme="minorAscii"/>
          <w:sz w:val="22"/>
          <w:szCs w:val="22"/>
        </w:rPr>
        <w:footnoteReference w:id="23"/>
      </w:r>
      <w:r w:rsidRPr="7F8594A9" w:rsidR="023890F2">
        <w:rPr>
          <w:rFonts w:ascii="Calibri" w:hAnsi="Calibri" w:eastAsia="Calibri" w:cs="Calibri" w:asciiTheme="minorAscii" w:hAnsiTheme="minorAscii" w:eastAsiaTheme="minorAscii" w:cstheme="minorAscii"/>
          <w:sz w:val="22"/>
          <w:szCs w:val="22"/>
        </w:rPr>
        <w:t xml:space="preserve"> </w:t>
      </w:r>
    </w:p>
    <w:p w:rsidR="00604855" w:rsidP="355FDBB9" w:rsidRDefault="5ABA8FC9" w14:textId="719EA3AE" w14:paraId="2EF7F7CE">
      <w:pPr>
        <w:spacing w:line="480" w:lineRule="auto"/>
        <w:jc w:val="both"/>
        <w:rPr>
          <w:rFonts w:ascii="Calibri" w:hAnsi="Calibri" w:eastAsia="Calibri" w:cs="Calibri" w:asciiTheme="minorAscii" w:hAnsiTheme="minorAscii" w:eastAsiaTheme="minorAscii" w:cstheme="minorAscii"/>
          <w:color w:val="000000" w:themeColor="text1" w:themeTint="FF" w:themeShade="FF"/>
          <w:sz w:val="22"/>
          <w:szCs w:val="22"/>
          <w:lang w:val="en-GB"/>
        </w:rPr>
      </w:pPr>
      <w:r w:rsidRPr="7F8594A9">
        <w:rPr>
          <w:rFonts w:ascii="Calibri" w:hAnsi="Calibri" w:eastAsia="Calibri" w:cs="Calibri" w:asciiTheme="minorAscii" w:hAnsiTheme="minorAscii" w:eastAsiaTheme="minorAscii" w:cstheme="minorAscii"/>
          <w:color w:val="000000" w:themeColor="text1"/>
          <w:sz w:val="22"/>
          <w:szCs w:val="22"/>
          <w:lang w:val="en-GB"/>
        </w:rPr>
        <w:t xml:space="preserve">Returning to </w:t>
      </w:r>
      <w:proofErr w:type="spellStart"/>
      <w:r w:rsidRPr="7F8594A9">
        <w:rPr>
          <w:rFonts w:ascii="Calibri" w:hAnsi="Calibri" w:eastAsia="Calibri" w:cs="Calibri" w:asciiTheme="minorAscii" w:hAnsiTheme="minorAscii" w:eastAsiaTheme="minorAscii" w:cstheme="minorAscii"/>
          <w:color w:val="000000" w:themeColor="text1"/>
          <w:sz w:val="22"/>
          <w:szCs w:val="22"/>
          <w:lang w:val="en-GB"/>
        </w:rPr>
        <w:t xml:space="preserve">Pankenier</w:t>
      </w:r>
      <w:proofErr w:type="spellEnd"/>
      <w:r w:rsidRPr="7F8594A9">
        <w:rPr>
          <w:rFonts w:ascii="Calibri" w:hAnsi="Calibri" w:eastAsia="Calibri" w:cs="Calibri" w:asciiTheme="minorAscii" w:hAnsiTheme="minorAscii" w:eastAsiaTheme="minorAscii" w:cstheme="minorAscii"/>
          <w:color w:val="000000" w:themeColor="text1"/>
          <w:sz w:val="22"/>
          <w:szCs w:val="22"/>
          <w:lang w:val="en-GB"/>
        </w:rPr>
        <w:t xml:space="preserve">, his use of primary sources was varied, although they spanned imperial texts, poetry, 10th century encyclopaedia entries, and cosmological diagrams. </w:t>
      </w:r>
      <w:proofErr w:type="spellStart"/>
      <w:r w:rsidRPr="7F8594A9">
        <w:rPr>
          <w:rFonts w:ascii="Calibri" w:hAnsi="Calibri" w:eastAsia="Calibri" w:cs="Calibri" w:asciiTheme="minorAscii" w:hAnsiTheme="minorAscii" w:eastAsiaTheme="minorAscii" w:cstheme="minorAscii"/>
          <w:color w:val="000000" w:themeColor="text1"/>
          <w:sz w:val="22"/>
          <w:szCs w:val="22"/>
          <w:lang w:val="en-GB"/>
        </w:rPr>
        <w:t xml:space="preserve">Pankeneir</w:t>
      </w:r>
      <w:proofErr w:type="spellEnd"/>
      <w:r w:rsidRPr="7F8594A9">
        <w:rPr>
          <w:rFonts w:ascii="Calibri" w:hAnsi="Calibri" w:eastAsia="Calibri" w:cs="Calibri" w:asciiTheme="minorAscii" w:hAnsiTheme="minorAscii" w:eastAsiaTheme="minorAscii" w:cstheme="minorAscii"/>
          <w:color w:val="000000" w:themeColor="text1"/>
          <w:sz w:val="22"/>
          <w:szCs w:val="22"/>
          <w:lang w:val="en-GB"/>
        </w:rPr>
        <w:t xml:space="preserve"> has </w:t>
      </w:r>
      <w:r w:rsidRPr="7F8594A9" w:rsidR="0558CFBF">
        <w:rPr>
          <w:rFonts w:ascii="Calibri" w:hAnsi="Calibri" w:eastAsia="Calibri" w:cs="Calibri" w:asciiTheme="minorAscii" w:hAnsiTheme="minorAscii" w:eastAsiaTheme="minorAscii" w:cstheme="minorAscii"/>
          <w:color w:val="000000" w:themeColor="text1"/>
          <w:sz w:val="22"/>
          <w:szCs w:val="22"/>
          <w:lang w:val="en-GB"/>
        </w:rPr>
        <w:t xml:space="preserve">many secondary sources which he engaged with, </w:t>
      </w:r>
      <w:r w:rsidRPr="7F8594A9" w:rsidR="0558CFBF">
        <w:rPr>
          <w:rFonts w:ascii="Calibri" w:hAnsi="Calibri" w:eastAsia="Calibri" w:cs="Calibri" w:asciiTheme="minorAscii" w:hAnsiTheme="minorAscii" w:eastAsiaTheme="minorAscii" w:cstheme="minorAscii"/>
          <w:color w:val="000000" w:themeColor="text1"/>
          <w:sz w:val="22"/>
          <w:szCs w:val="22"/>
          <w:lang w:val="en-GB"/>
        </w:rPr>
        <w:t xml:space="preserve">and also</w:t>
      </w:r>
      <w:r w:rsidRPr="7F8594A9" w:rsidR="0558CFBF">
        <w:rPr>
          <w:rFonts w:ascii="Calibri" w:hAnsi="Calibri" w:eastAsia="Calibri" w:cs="Calibri" w:asciiTheme="minorAscii" w:hAnsiTheme="minorAscii" w:eastAsiaTheme="minorAscii" w:cstheme="minorAscii"/>
          <w:color w:val="000000" w:themeColor="text1"/>
          <w:sz w:val="22"/>
          <w:szCs w:val="22"/>
          <w:lang w:val="en-GB"/>
        </w:rPr>
        <w:t xml:space="preserve"> finding fault with the points they made. He even went as far as proposing </w:t>
      </w:r>
      <w:r w:rsidRPr="7F8594A9" w:rsidR="0558CFBF">
        <w:rPr>
          <w:rFonts w:ascii="Calibri" w:hAnsi="Calibri" w:eastAsia="Calibri" w:cs="Calibri" w:asciiTheme="minorAscii" w:hAnsiTheme="minorAscii" w:eastAsiaTheme="minorAscii" w:cstheme="minorAscii"/>
          <w:color w:val="000000" w:themeColor="text1"/>
          <w:sz w:val="22"/>
          <w:szCs w:val="22"/>
          <w:lang w:val="en-GB"/>
        </w:rPr>
        <w:t xml:space="preserve">new solutions</w:t>
      </w:r>
      <w:r w:rsidRPr="7F8594A9" w:rsidR="0558CFBF">
        <w:rPr>
          <w:rFonts w:ascii="Calibri" w:hAnsi="Calibri" w:eastAsia="Calibri" w:cs="Calibri" w:asciiTheme="minorAscii" w:hAnsiTheme="minorAscii" w:eastAsiaTheme="minorAscii" w:cstheme="minorAscii"/>
          <w:color w:val="000000" w:themeColor="text1"/>
          <w:sz w:val="22"/>
          <w:szCs w:val="22"/>
          <w:lang w:val="en-GB"/>
        </w:rPr>
        <w:t xml:space="preserve">. However, the </w:t>
      </w:r>
      <w:r w:rsidRPr="7F8594A9" w:rsidR="7E70BB6B">
        <w:rPr>
          <w:rFonts w:ascii="Calibri" w:hAnsi="Calibri" w:eastAsia="Calibri" w:cs="Calibri" w:asciiTheme="minorAscii" w:hAnsiTheme="minorAscii" w:eastAsiaTheme="minorAscii" w:cstheme="minorAscii"/>
          <w:color w:val="000000" w:themeColor="text1"/>
          <w:sz w:val="22"/>
          <w:szCs w:val="22"/>
          <w:lang w:val="en-GB"/>
        </w:rPr>
        <w:t xml:space="preserve">use of those secondary sources is contentious in the contemporary manner, as he exploited what he perceived as flaws in the works of others to </w:t>
      </w:r>
      <w:r w:rsidRPr="7F8594A9" w:rsidR="7E70BB6B">
        <w:rPr>
          <w:rFonts w:ascii="Calibri" w:hAnsi="Calibri" w:eastAsia="Calibri" w:cs="Calibri" w:asciiTheme="minorAscii" w:hAnsiTheme="minorAscii" w:eastAsiaTheme="minorAscii" w:cstheme="minorAscii"/>
          <w:color w:val="000000" w:themeColor="text1"/>
          <w:sz w:val="22"/>
          <w:szCs w:val="22"/>
          <w:lang w:val="en-GB"/>
        </w:rPr>
        <w:t>provide</w:t>
      </w:r>
      <w:r w:rsidRPr="7F8594A9" w:rsidR="7E70BB6B">
        <w:rPr>
          <w:rFonts w:ascii="Calibri" w:hAnsi="Calibri" w:eastAsia="Calibri" w:cs="Calibri" w:asciiTheme="minorAscii" w:hAnsiTheme="minorAscii" w:eastAsiaTheme="minorAscii" w:cstheme="minorAscii"/>
          <w:color w:val="000000" w:themeColor="text1"/>
          <w:sz w:val="22"/>
          <w:szCs w:val="22"/>
          <w:lang w:val="en-GB"/>
        </w:rPr>
        <w:t xml:space="preserve"> support to his own.</w:t>
      </w:r>
      <w:r w:rsidRPr="7F8594A9">
        <w:rPr>
          <w:rStyle w:val="FootnoteReference"/>
          <w:rFonts w:ascii="Calibri" w:hAnsi="Calibri" w:eastAsia="Calibri" w:cs="Calibri" w:asciiTheme="minorAscii" w:hAnsiTheme="minorAscii" w:eastAsiaTheme="minorAscii" w:cstheme="minorAscii"/>
          <w:color w:val="000000" w:themeColor="text1"/>
          <w:sz w:val="22"/>
          <w:szCs w:val="22"/>
          <w:lang w:val="en-GB"/>
        </w:rPr>
        <w:footnoteReference w:id="24"/>
      </w:r>
      <w:r w:rsidRPr="7F8594A9" w:rsidR="29ABFDEF">
        <w:rPr>
          <w:rFonts w:ascii="Calibri" w:hAnsi="Calibri" w:eastAsia="Calibri" w:cs="Calibri" w:asciiTheme="minorAscii" w:hAnsiTheme="minorAscii" w:eastAsiaTheme="minorAscii" w:cstheme="minorAscii"/>
          <w:color w:val="000000" w:themeColor="text1"/>
          <w:sz w:val="22"/>
          <w:szCs w:val="22"/>
          <w:lang w:val="en-GB"/>
        </w:rPr>
        <w:t xml:space="preserve"> He also made </w:t>
      </w:r>
      <w:r w:rsidRPr="7F8594A9" w:rsidR="0558CFBF">
        <w:rPr>
          <w:rFonts w:ascii="Calibri" w:hAnsi="Calibri" w:eastAsia="Calibri" w:cs="Calibri" w:asciiTheme="minorAscii" w:hAnsiTheme="minorAscii" w:eastAsiaTheme="minorAscii" w:cstheme="minorAscii"/>
          <w:color w:val="000000" w:themeColor="text1"/>
          <w:sz w:val="22"/>
          <w:szCs w:val="22"/>
          <w:lang w:val="en-GB"/>
        </w:rPr>
        <w:t>unsupported claims</w:t>
      </w:r>
      <w:r w:rsidRPr="7F8594A9" w:rsidR="0558CFBF">
        <w:rPr>
          <w:rFonts w:ascii="Calibri" w:hAnsi="Calibri" w:eastAsia="Calibri" w:cs="Calibri" w:asciiTheme="minorAscii" w:hAnsiTheme="minorAscii" w:eastAsiaTheme="minorAscii" w:cstheme="minorAscii"/>
          <w:color w:val="000000" w:themeColor="text1"/>
          <w:sz w:val="22"/>
          <w:szCs w:val="22"/>
          <w:lang w:val="en-GB"/>
        </w:rPr>
        <w:t xml:space="preserve"> regardin</w:t>
      </w:r>
      <w:r w:rsidRPr="7F8594A9" w:rsidR="0558CFBF">
        <w:rPr>
          <w:rFonts w:ascii="Calibri" w:hAnsi="Calibri" w:eastAsia="Calibri" w:cs="Calibri" w:asciiTheme="minorAscii" w:hAnsiTheme="minorAscii" w:eastAsiaTheme="minorAscii" w:cstheme="minorAscii"/>
          <w:color w:val="000000" w:themeColor="text1"/>
          <w:sz w:val="22"/>
          <w:szCs w:val="22"/>
          <w:lang w:val="en-GB"/>
        </w:rPr>
        <w:t>g shell mosaics discovered in a Neolithic tomb.</w:t>
      </w:r>
      <w:r w:rsidRPr="7F8594A9">
        <w:rPr>
          <w:rStyle w:val="FootnoteReference"/>
          <w:rFonts w:ascii="Calibri" w:hAnsi="Calibri" w:eastAsia="Calibri" w:cs="Calibri" w:asciiTheme="minorAscii" w:hAnsiTheme="minorAscii" w:eastAsiaTheme="minorAscii" w:cstheme="minorAscii"/>
          <w:color w:val="000000" w:themeColor="text1"/>
          <w:sz w:val="22"/>
          <w:szCs w:val="22"/>
          <w:lang w:val="en-GB"/>
        </w:rPr>
        <w:footnoteReference w:id="25"/>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However, </w:t>
      </w:r>
      <w:r w:rsidRPr="7F8594A9" w:rsidR="29ABFDEF">
        <w:rPr>
          <w:rFonts w:ascii="Calibri" w:hAnsi="Calibri" w:eastAsia="Calibri" w:cs="Calibri" w:asciiTheme="minorAscii" w:hAnsiTheme="minorAscii" w:eastAsiaTheme="minorAscii" w:cstheme="minorAscii"/>
          <w:color w:val="000000" w:themeColor="text1"/>
          <w:sz w:val="22"/>
          <w:szCs w:val="22"/>
          <w:lang w:val="en-GB"/>
        </w:rPr>
        <w:t xml:space="preserve">both papers suffered</w:t>
      </w:r>
      <w:r w:rsidRPr="7F8594A9" w:rsidR="29ABFDEF">
        <w:rPr>
          <w:rFonts w:ascii="Calibri" w:hAnsi="Calibri" w:eastAsia="Calibri" w:cs="Calibri" w:asciiTheme="minorAscii" w:hAnsiTheme="minorAscii" w:eastAsiaTheme="minorAscii" w:cstheme="minorAscii"/>
          <w:color w:val="000000" w:themeColor="text1"/>
          <w:sz w:val="22"/>
          <w:szCs w:val="22"/>
          <w:lang w:val="en-GB"/>
        </w:rPr>
        <w:t xml:space="preserve"> somewhat wit</w:t>
      </w:r>
      <w:r w:rsidRPr="7F8594A9" w:rsidR="29ABFDEF">
        <w:rPr>
          <w:rFonts w:ascii="Calibri" w:hAnsi="Calibri" w:eastAsia="Calibri" w:cs="Calibri" w:asciiTheme="minorAscii" w:hAnsiTheme="minorAscii" w:eastAsiaTheme="minorAscii" w:cstheme="minorAscii"/>
          <w:color w:val="000000" w:themeColor="text1"/>
          <w:sz w:val="22"/>
          <w:szCs w:val="22"/>
          <w:lang w:val="en-GB"/>
        </w:rPr>
        <w:t xml:space="preserve">h regards to questions that hung over their primary sources. Yet </w:t>
      </w:r>
      <w:r w:rsidRPr="7F8594A9">
        <w:rPr>
          <w:rFonts w:ascii="Calibri" w:hAnsi="Calibri" w:eastAsia="Calibri" w:cs="Calibri" w:asciiTheme="minorAscii" w:hAnsiTheme="minorAscii" w:eastAsiaTheme="minorAscii" w:cstheme="minorAscii"/>
          <w:color w:val="000000" w:themeColor="text1"/>
          <w:sz w:val="22"/>
          <w:szCs w:val="22"/>
          <w:lang w:val="en-GB"/>
        </w:rPr>
        <w:t xml:space="preserve">their overall specialist use of sources were supportive and used to their advantage in helping build their arguments and to investigate their research areas in greater depth, which in turn gave a strong perspective on both papers. </w:t>
      </w:r>
      <w:r w:rsidRPr="7F8594A9" w:rsidR="7E70BB6B">
        <w:rPr>
          <w:rFonts w:ascii="Calibri" w:hAnsi="Calibri" w:eastAsia="Calibri" w:cs="Calibri" w:asciiTheme="minorAscii" w:hAnsiTheme="minorAscii" w:eastAsiaTheme="minorAscii" w:cstheme="minorAscii"/>
          <w:color w:val="000000" w:themeColor="text1"/>
          <w:sz w:val="22"/>
          <w:szCs w:val="22"/>
          <w:lang w:val="en-GB"/>
        </w:rPr>
        <w:t>This is important according to Eugene Garfield, who</w:t>
      </w:r>
      <w:r w:rsidRPr="7F8594A9" w:rsidR="7E70BB6B">
        <w:rPr>
          <w:rFonts w:ascii="Calibri" w:hAnsi="Calibri" w:eastAsia="Calibri" w:cs="Calibri" w:asciiTheme="minorAscii" w:hAnsiTheme="minorAscii" w:eastAsiaTheme="minorAscii" w:cstheme="minorAscii"/>
          <w:color w:val="000000" w:themeColor="text1"/>
          <w:sz w:val="22"/>
          <w:szCs w:val="22"/>
          <w:lang w:val="en-GB"/>
        </w:rPr>
        <w:t xml:space="preserve"> state</w:t>
      </w:r>
      <w:r w:rsidRPr="7F8594A9" w:rsidR="7E70BB6B">
        <w:rPr>
          <w:rFonts w:ascii="Calibri" w:hAnsi="Calibri" w:eastAsia="Calibri" w:cs="Calibri" w:asciiTheme="minorAscii" w:hAnsiTheme="minorAscii" w:eastAsiaTheme="minorAscii" w:cstheme="minorAscii"/>
          <w:color w:val="000000" w:themeColor="text1"/>
          <w:sz w:val="22"/>
          <w:szCs w:val="22"/>
          <w:lang w:val="en-GB"/>
        </w:rPr>
        <w:t>d ‘since referencing is both subjective and culturally based, there can be no absolutes about when to cite.’</w:t>
      </w:r>
      <w:r w:rsidRPr="7F8594A9">
        <w:rPr>
          <w:rStyle w:val="FootnoteReference"/>
          <w:rFonts w:ascii="Calibri" w:hAnsi="Calibri" w:eastAsia="Calibri" w:cs="Calibri" w:asciiTheme="minorAscii" w:hAnsiTheme="minorAscii" w:eastAsiaTheme="minorAscii" w:cstheme="minorAscii"/>
          <w:sz w:val="22"/>
          <w:szCs w:val="22"/>
          <w:lang w:val="en-GB"/>
        </w:rPr>
        <w:footnoteReference w:id="6895"/>
      </w:r>
      <w:r w:rsidRPr="7F8594A9">
        <w:rPr>
          <w:rFonts w:ascii="Calibri" w:hAnsi="Calibri" w:eastAsia="Calibri" w:cs="Calibri" w:asciiTheme="minorAscii" w:hAnsiTheme="minorAscii" w:eastAsiaTheme="minorAscii" w:cstheme="minorAscii"/>
          <w:sz w:val="22"/>
          <w:szCs w:val="22"/>
          <w:lang w:val="en-GB"/>
        </w:rPr>
        <w:t xml:space="preserve"> In the section is a description of the paper's strengths and weaknesses.</w:t>
      </w:r>
    </w:p>
    <w:p w:rsidR="00604855" w:rsidP="355FDBB9" w:rsidRDefault="5ABA8FC9" w14:paraId="75BA2035" w14:textId="02D28771">
      <w:pPr>
        <w:pStyle w:val="Normal"/>
        <w:spacing w:line="480" w:lineRule="auto"/>
        <w:jc w:val="both"/>
        <w:rPr>
          <w:rFonts w:ascii="Calibri" w:hAnsi="Calibri" w:eastAsia="Calibri" w:cs="Calibri" w:asciiTheme="minorAscii" w:hAnsiTheme="minorAscii" w:eastAsiaTheme="minorAscii" w:cstheme="minorAscii"/>
          <w:sz w:val="22"/>
          <w:szCs w:val="22"/>
          <w:lang w:val="en-GB"/>
        </w:rPr>
      </w:pPr>
    </w:p>
    <w:p w:rsidR="00604855" w:rsidP="355FDBB9" w:rsidRDefault="5ABA8FC9" w14:paraId="138943F9" w14:textId="6FF0701E">
      <w:pPr>
        <w:pStyle w:val="Normal"/>
        <w:spacing w:line="480" w:lineRule="auto"/>
        <w:jc w:val="both"/>
        <w:rPr>
          <w:rFonts w:ascii="Calibri" w:hAnsi="Calibri" w:eastAsia="Calibri" w:cs="Calibri" w:asciiTheme="minorAscii" w:hAnsiTheme="minorAscii" w:eastAsiaTheme="minorAscii" w:cstheme="minorAscii"/>
          <w:color w:val="000000" w:themeColor="text1" w:themeTint="FF" w:themeShade="FF"/>
          <w:sz w:val="22"/>
          <w:szCs w:val="22"/>
          <w:lang w:val="en-GB"/>
        </w:rPr>
      </w:pPr>
      <w:r w:rsidRPr="355FDBB9" w:rsidR="355FDBB9">
        <w:rPr>
          <w:rFonts w:ascii="Calibri" w:hAnsi="Calibri" w:eastAsia="Calibri" w:cs="Calibri" w:asciiTheme="minorAscii" w:hAnsiTheme="minorAscii" w:eastAsiaTheme="minorAscii" w:cstheme="minorAscii"/>
          <w:b w:val="1"/>
          <w:bCs w:val="1"/>
          <w:sz w:val="22"/>
          <w:szCs w:val="22"/>
          <w:lang w:val="en-GB"/>
        </w:rPr>
        <w:t>Strengths/Weaknesses</w:t>
      </w:r>
    </w:p>
    <w:p w:rsidR="00604855" w:rsidP="355FDBB9" w:rsidRDefault="5ABA8FC9" w14:textId="719EA3AE" w14:paraId="6887DC86">
      <w:pPr>
        <w:pStyle w:val="Normal"/>
        <w:spacing w:line="480" w:lineRule="auto"/>
        <w:jc w:val="both"/>
        <w:rPr>
          <w:rFonts w:ascii="Calibri" w:hAnsi="Calibri" w:eastAsia="Calibri" w:cs="Calibri" w:asciiTheme="minorAscii" w:hAnsiTheme="minorAscii" w:eastAsiaTheme="minorAscii" w:cstheme="minorAscii"/>
          <w:color w:val="000000" w:themeColor="text1" w:themeTint="FF" w:themeShade="FF"/>
          <w:sz w:val="22"/>
          <w:szCs w:val="22"/>
          <w:highlight w:val="yellow"/>
          <w:lang w:val="en-GB"/>
        </w:rPr>
      </w:pPr>
      <w:r w:rsidRPr="7F8594A9">
        <w:rPr>
          <w:rFonts w:ascii="Calibri" w:hAnsi="Calibri" w:eastAsia="Calibri" w:cs="Calibri" w:asciiTheme="minorAscii" w:hAnsiTheme="minorAscii" w:eastAsiaTheme="minorAscii" w:cstheme="minorAscii"/>
          <w:color w:val="000000" w:themeColor="text1"/>
          <w:sz w:val="22"/>
          <w:szCs w:val="22"/>
          <w:lang w:val="en-GB"/>
        </w:rPr>
        <w:t>Comparatively, both papers were written in the same decade (2011),</w:t>
      </w:r>
      <w:r w:rsidRPr="7F8594A9">
        <w:rPr>
          <w:rStyle w:val="FootnoteReference"/>
          <w:rFonts w:ascii="Calibri" w:hAnsi="Calibri" w:eastAsia="Calibri" w:cs="Calibri" w:asciiTheme="minorAscii" w:hAnsiTheme="minorAscii" w:eastAsiaTheme="minorAscii" w:cstheme="minorAscii"/>
          <w:color w:val="000000" w:themeColor="text1"/>
          <w:sz w:val="22"/>
          <w:szCs w:val="22"/>
          <w:lang w:val="en-GB"/>
        </w:rPr>
        <w:footnoteReference w:id="27"/>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are contemporary in style, included abstracts, are</w:t>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concis</w:t>
      </w:r>
      <w:r w:rsidRPr="7F8594A9">
        <w:rPr>
          <w:rFonts w:ascii="Calibri" w:hAnsi="Calibri" w:eastAsia="Calibri" w:cs="Calibri" w:asciiTheme="minorAscii" w:hAnsiTheme="minorAscii" w:eastAsiaTheme="minorAscii" w:cstheme="minorAscii"/>
          <w:color w:val="000000" w:themeColor="text1"/>
          <w:sz w:val="22"/>
          <w:szCs w:val="22"/>
          <w:lang w:val="en-GB"/>
        </w:rPr>
        <w:t xml:space="preserve">e with clear conclusions and</w:t>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connivingly bring their points to a persuasive end.</w:t>
      </w:r>
      <w:r w:rsidRPr="7F8594A9">
        <w:rPr>
          <w:rStyle w:val="FootnoteReference"/>
          <w:rFonts w:ascii="Calibri" w:hAnsi="Calibri" w:eastAsia="Calibri" w:cs="Calibri" w:asciiTheme="minorAscii" w:hAnsiTheme="minorAscii" w:eastAsiaTheme="minorAscii" w:cstheme="minorAscii"/>
          <w:color w:val="000000" w:themeColor="text1"/>
          <w:sz w:val="22"/>
          <w:szCs w:val="22"/>
          <w:lang w:val="en-GB"/>
        </w:rPr>
        <w:footnoteReference w:id="28"/>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This a clear strength of both papers, as researchers in the same subject area</w:t>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are able t</w:t>
      </w:r>
      <w:r w:rsidRPr="7F8594A9">
        <w:rPr>
          <w:rFonts w:ascii="Calibri" w:hAnsi="Calibri" w:eastAsia="Calibri" w:cs="Calibri" w:asciiTheme="minorAscii" w:hAnsiTheme="minorAscii" w:eastAsiaTheme="minorAscii" w:cstheme="minorAscii"/>
          <w:color w:val="000000" w:themeColor="text1"/>
          <w:sz w:val="22"/>
          <w:szCs w:val="22"/>
          <w:lang w:val="en-GB"/>
        </w:rPr>
        <w:t xml:space="preserve">o compare their findings to theirs, if they so wish. </w:t>
      </w:r>
    </w:p>
    <w:p w:rsidR="00604855" w:rsidP="355FDBB9" w:rsidRDefault="5ABA8FC9" w14:paraId="5212866B" w14:textId="6AC74A64">
      <w:pPr>
        <w:pStyle w:val="Normal"/>
        <w:spacing w:line="480" w:lineRule="auto"/>
        <w:jc w:val="both"/>
        <w:rPr>
          <w:rFonts w:ascii="Calibri" w:hAnsi="Calibri" w:eastAsia="Calibri" w:cs="Calibri" w:asciiTheme="minorAscii" w:hAnsiTheme="minorAscii" w:eastAsiaTheme="minorAscii" w:cstheme="minorAscii"/>
          <w:color w:val="000000" w:themeColor="text1" w:themeTint="FF" w:themeShade="FF"/>
          <w:sz w:val="22"/>
          <w:szCs w:val="22"/>
          <w:highlight w:val="yellow"/>
          <w:lang w:val="en-GB"/>
        </w:rPr>
      </w:pPr>
      <w:r w:rsidRPr="7F8594A9">
        <w:rPr>
          <w:rFonts w:ascii="Calibri" w:hAnsi="Calibri" w:eastAsia="Calibri" w:cs="Calibri" w:asciiTheme="minorAscii" w:hAnsiTheme="minorAscii" w:eastAsiaTheme="minorAscii" w:cstheme="minorAscii"/>
          <w:color w:val="000000" w:themeColor="text1"/>
          <w:sz w:val="22"/>
          <w:szCs w:val="22"/>
          <w:lang w:val="en-GB"/>
        </w:rPr>
        <w:t xml:space="preserve">Although, a weakness in </w:t>
      </w:r>
      <w:r w:rsidRPr="7F8594A9" w:rsidR="6A900AC6">
        <w:rPr>
          <w:rFonts w:ascii="Calibri" w:hAnsi="Calibri" w:eastAsia="Calibri" w:cs="Calibri" w:asciiTheme="minorAscii" w:hAnsiTheme="minorAscii" w:eastAsiaTheme="minorAscii" w:cstheme="minorAscii"/>
          <w:color w:val="000000" w:themeColor="text1"/>
          <w:sz w:val="22"/>
          <w:szCs w:val="22"/>
          <w:lang w:val="en-GB"/>
        </w:rPr>
        <w:t>Hamacher and Norris paper was their research only accounted for sixty archaeological sites in one area, thus, one could assume they were making a generalised collective assumption of all Aboriginal Australians.</w:t>
      </w:r>
      <w:r w:rsidRPr="7F8594A9" w:rsidR="00EF3EA3">
        <w:rPr>
          <w:rStyle w:val="FootnoteReference"/>
          <w:rFonts w:ascii="Calibri" w:hAnsi="Calibri" w:eastAsia="Calibri" w:cs="Calibri" w:asciiTheme="minorAscii" w:hAnsiTheme="minorAscii" w:eastAsiaTheme="minorAscii" w:cstheme="minorAscii"/>
          <w:color w:val="000000" w:themeColor="text1"/>
          <w:sz w:val="22"/>
          <w:szCs w:val="22"/>
          <w:lang w:val="en-GB"/>
        </w:rPr>
        <w:footnoteReference w:id="29"/>
      </w:r>
      <w:r w:rsidRPr="355FDBB9" w:rsidR="355FDBB9">
        <w:rPr>
          <w:rFonts w:ascii="Calibri" w:hAnsi="Calibri" w:eastAsia="Calibri" w:cs="Calibri" w:asciiTheme="minorAscii" w:hAnsiTheme="minorAscii" w:eastAsiaTheme="minorAscii" w:cstheme="minorAscii"/>
          <w:color w:val="000000" w:themeColor="text1" w:themeTint="FF" w:themeShade="FF"/>
          <w:sz w:val="22"/>
          <w:szCs w:val="22"/>
          <w:lang w:val="en-GB"/>
        </w:rPr>
        <w:t xml:space="preserve">  This study also failed to consider that </w:t>
      </w:r>
      <w:r w:rsidRPr="7F8594A9" w:rsidR="6A900AC6">
        <w:rPr>
          <w:rFonts w:ascii="Calibri" w:hAnsi="Calibri" w:eastAsia="Calibri" w:cs="Calibri" w:asciiTheme="minorAscii" w:hAnsiTheme="minorAscii" w:eastAsiaTheme="minorAscii" w:cstheme="minorAscii"/>
          <w:sz w:val="22"/>
          <w:szCs w:val="22"/>
          <w:lang w:val="en-GB"/>
        </w:rPr>
        <w:t xml:space="preserve">the results of their survey were based upon a relatively inconsiderable number of samples in a certain region, thus, it would seem more relevant to suggest that </w:t>
      </w:r>
      <w:r w:rsidRPr="7F8594A9" w:rsidR="6A900AC6">
        <w:rPr>
          <w:rFonts w:ascii="Calibri" w:hAnsi="Calibri" w:eastAsia="Calibri" w:cs="Calibri" w:asciiTheme="minorAscii" w:hAnsiTheme="minorAscii" w:eastAsiaTheme="minorAscii" w:cstheme="minorAscii"/>
          <w:sz w:val="22"/>
          <w:szCs w:val="22"/>
          <w:lang w:val="en-GB"/>
        </w:rPr>
        <w:t>at least a small number of Aboriginal Australians made accurate observations and measurements of the night sky? Therefore, it may be necessary to conduct future research in this area to further understand their unique cultures, whilst being done in a respectful manner.</w:t>
      </w:r>
      <w:r w:rsidRPr="7F8594A9" w:rsidR="00EF3EA3">
        <w:rPr>
          <w:rStyle w:val="FootnoteReference"/>
          <w:rFonts w:ascii="Calibri" w:hAnsi="Calibri" w:eastAsia="Calibri" w:cs="Calibri" w:asciiTheme="minorAscii" w:hAnsiTheme="minorAscii" w:eastAsiaTheme="minorAscii" w:cstheme="minorAscii"/>
          <w:sz w:val="22"/>
          <w:szCs w:val="22"/>
        </w:rPr>
        <w:footnoteReference w:id="30"/>
      </w:r>
      <w:r w:rsidRPr="7F8594A9" w:rsidR="6A900AC6">
        <w:rPr>
          <w:rFonts w:ascii="Calibri" w:hAnsi="Calibri" w:eastAsia="Calibri" w:cs="Calibri" w:asciiTheme="minorAscii" w:hAnsiTheme="minorAscii" w:eastAsiaTheme="minorAscii" w:cstheme="minorAscii"/>
          <w:sz w:val="22"/>
          <w:szCs w:val="22"/>
        </w:rPr>
        <w:t xml:space="preserve"> </w:t>
      </w:r>
    </w:p>
    <w:p w:rsidR="00604855" w:rsidP="355FDBB9" w:rsidRDefault="5ABA8FC9" w14:paraId="32B7EA09" w14:textId="238B97B2">
      <w:pPr>
        <w:pStyle w:val="Normal"/>
        <w:spacing w:line="480" w:lineRule="auto"/>
        <w:jc w:val="both"/>
        <w:rPr>
          <w:rFonts w:ascii="Calibri" w:hAnsi="Calibri" w:eastAsia="Calibri" w:cs="Calibri" w:asciiTheme="minorAscii" w:hAnsiTheme="minorAscii" w:eastAsiaTheme="minorAscii" w:cstheme="minorAscii"/>
          <w:color w:val="000000" w:themeColor="text1" w:themeTint="FF" w:themeShade="FF"/>
          <w:sz w:val="22"/>
          <w:szCs w:val="22"/>
          <w:highlight w:val="yellow"/>
          <w:lang w:val="en-GB"/>
        </w:rPr>
      </w:pPr>
      <w:r w:rsidRPr="7F8594A9" w:rsidR="6A900AC6">
        <w:rPr>
          <w:rFonts w:ascii="Calibri" w:hAnsi="Calibri" w:eastAsia="Calibri" w:cs="Calibri" w:asciiTheme="minorAscii" w:hAnsiTheme="minorAscii" w:eastAsiaTheme="minorAscii" w:cstheme="minorAscii"/>
          <w:sz w:val="22"/>
          <w:szCs w:val="22"/>
        </w:rPr>
        <w:t xml:space="preserve">Turning again to Hamacher and Norris, who also recognized the detrimental effects colonialism had on the Aboriginal Australian’s lives, to which they felt very passionate about this matter, this in seen in the ‘Acknowledgments’ section of their paper.</w:t>
      </w:r>
      <w:r w:rsidRPr="7F8594A9" w:rsidR="00EF3EA3">
        <w:rPr>
          <w:rStyle w:val="FootnoteReference"/>
          <w:rFonts w:ascii="Calibri" w:hAnsi="Calibri" w:eastAsia="Calibri" w:cs="Calibri" w:asciiTheme="minorAscii" w:hAnsiTheme="minorAscii" w:eastAsiaTheme="minorAscii" w:cstheme="minorAscii"/>
          <w:sz w:val="22"/>
          <w:szCs w:val="22"/>
        </w:rPr>
        <w:footnoteReference w:id="31"/>
      </w:r>
      <w:r w:rsidRPr="355FDBB9" w:rsidR="355FDBB9">
        <w:rPr>
          <w:rFonts w:ascii="Calibri" w:hAnsi="Calibri" w:eastAsia="Calibri" w:cs="Calibri" w:asciiTheme="minorAscii" w:hAnsiTheme="minorAscii" w:eastAsiaTheme="minorAscii" w:cstheme="minorAscii"/>
          <w:sz w:val="22"/>
          <w:szCs w:val="22"/>
        </w:rPr>
        <w:t xml:space="preserve"> </w:t>
      </w:r>
      <w:r w:rsidRPr="7F8594A9" w:rsidR="29ABFDEF">
        <w:rPr>
          <w:rFonts w:ascii="Calibri" w:hAnsi="Calibri" w:eastAsia="Calibri" w:cs="Calibri" w:asciiTheme="minorAscii" w:hAnsiTheme="minorAscii" w:eastAsiaTheme="minorAscii" w:cstheme="minorAscii"/>
          <w:sz w:val="22"/>
          <w:szCs w:val="22"/>
        </w:rPr>
        <w:t xml:space="preserve">This can also be seen in a previous paper, ’The Astronomy of Aboriginal Australia.’</w:t>
      </w:r>
      <w:r w:rsidRPr="7F8594A9">
        <w:rPr>
          <w:rStyle w:val="FootnoteReference"/>
          <w:rFonts w:ascii="Calibri" w:hAnsi="Calibri" w:eastAsia="Calibri" w:cs="Calibri" w:asciiTheme="minorAscii" w:hAnsiTheme="minorAscii" w:eastAsiaTheme="minorAscii" w:cstheme="minorAscii"/>
          <w:sz w:val="22"/>
          <w:szCs w:val="22"/>
        </w:rPr>
        <w:footnoteReference w:id="32"/>
      </w:r>
      <w:r w:rsidRPr="355FDBB9" w:rsidR="355FDBB9">
        <w:rPr>
          <w:rFonts w:ascii="Calibri" w:hAnsi="Calibri" w:eastAsia="Calibri" w:cs="Calibri" w:asciiTheme="minorAscii" w:hAnsiTheme="minorAscii" w:eastAsiaTheme="minorAscii" w:cstheme="minorAscii"/>
          <w:sz w:val="22"/>
          <w:szCs w:val="22"/>
        </w:rPr>
        <w:t xml:space="preserve"> However, according to Ruggles ethnographers are notorious for ’trying to grasp the native’s point of view.’</w:t>
      </w:r>
      <w:r w:rsidRPr="355FDBB9">
        <w:rPr>
          <w:rStyle w:val="FootnoteReference"/>
          <w:rFonts w:ascii="Calibri" w:hAnsi="Calibri" w:eastAsia="Calibri" w:cs="Calibri" w:asciiTheme="minorAscii" w:hAnsiTheme="minorAscii" w:eastAsiaTheme="minorAscii" w:cstheme="minorAscii"/>
          <w:sz w:val="22"/>
          <w:szCs w:val="22"/>
        </w:rPr>
        <w:footnoteReference w:id="25875"/>
      </w:r>
      <w:r w:rsidRPr="7F8594A9" w:rsidR="6A900AC6">
        <w:rPr>
          <w:rFonts w:ascii="Calibri" w:hAnsi="Calibri" w:eastAsia="Calibri" w:cs="Calibri" w:asciiTheme="minorAscii" w:hAnsiTheme="minorAscii" w:eastAsiaTheme="minorAscii" w:cstheme="minorAscii"/>
          <w:sz w:val="22"/>
          <w:szCs w:val="22"/>
        </w:rPr>
        <w:t xml:space="preserve"> Thus, this might suggest they were only interested in their research and nothing else. However, Hamacher and Norris said they did their best to avoid any bias,</w:t>
      </w:r>
      <w:r w:rsidRPr="7F8594A9" w:rsidR="6A900AC6">
        <w:rPr>
          <w:rStyle w:val="FootnoteReference"/>
          <w:rFonts w:ascii="Calibri" w:hAnsi="Calibri" w:eastAsia="Calibri" w:cs="Calibri" w:asciiTheme="minorAscii" w:hAnsiTheme="minorAscii" w:eastAsiaTheme="minorAscii" w:cstheme="minorAscii"/>
          <w:sz w:val="22"/>
          <w:szCs w:val="22"/>
        </w:rPr>
        <w:footnoteReference w:id="33"/>
      </w:r>
      <w:r w:rsidRPr="7F8594A9" w:rsidR="29ABFDEF">
        <w:rPr>
          <w:rFonts w:ascii="Calibri" w:hAnsi="Calibri" w:eastAsia="Calibri" w:cs="Calibri" w:asciiTheme="minorAscii" w:hAnsiTheme="minorAscii" w:eastAsiaTheme="minorAscii" w:cstheme="minorAscii"/>
          <w:sz w:val="22"/>
          <w:szCs w:val="22"/>
        </w:rPr>
        <w:t xml:space="preserve"> as one could also assume the same for </w:t>
      </w:r>
      <w:proofErr w:type="spellStart"/>
      <w:r w:rsidRPr="7F8594A9" w:rsidR="29ABFDEF">
        <w:rPr>
          <w:rFonts w:ascii="Calibri" w:hAnsi="Calibri" w:eastAsia="Calibri" w:cs="Calibri" w:asciiTheme="minorAscii" w:hAnsiTheme="minorAscii" w:eastAsiaTheme="minorAscii" w:cstheme="minorAscii"/>
          <w:sz w:val="22"/>
          <w:szCs w:val="22"/>
        </w:rPr>
        <w:t xml:space="preserve">Pankenier</w:t>
      </w:r>
      <w:proofErr w:type="spellEnd"/>
      <w:r w:rsidRPr="7F8594A9" w:rsidR="29ABFDEF">
        <w:rPr>
          <w:rFonts w:ascii="Calibri" w:hAnsi="Calibri" w:eastAsia="Calibri" w:cs="Calibri" w:asciiTheme="minorAscii" w:hAnsiTheme="minorAscii" w:eastAsiaTheme="minorAscii" w:cstheme="minorAscii"/>
          <w:sz w:val="22"/>
          <w:szCs w:val="22"/>
        </w:rPr>
        <w:t xml:space="preserve">.</w:t>
      </w:r>
      <w:r w:rsidRPr="7F8594A9">
        <w:rPr>
          <w:rStyle w:val="FootnoteReference"/>
          <w:rFonts w:ascii="Calibri" w:hAnsi="Calibri" w:eastAsia="Calibri" w:cs="Calibri" w:asciiTheme="minorAscii" w:hAnsiTheme="minorAscii" w:eastAsiaTheme="minorAscii" w:cstheme="minorAscii"/>
          <w:sz w:val="22"/>
          <w:szCs w:val="22"/>
        </w:rPr>
        <w:footnoteReference w:id="34"/>
      </w:r>
      <w:r w:rsidRPr="7F8594A9" w:rsidR="29ABFDEF">
        <w:rPr>
          <w:rFonts w:ascii="Calibri" w:hAnsi="Calibri" w:eastAsia="Calibri" w:cs="Calibri" w:asciiTheme="minorAscii" w:hAnsiTheme="minorAscii" w:eastAsiaTheme="minorAscii" w:cstheme="minorAscii"/>
          <w:sz w:val="22"/>
          <w:szCs w:val="22"/>
        </w:rPr>
        <w:t xml:space="preserve"> Yet</w:t>
      </w:r>
      <w:r w:rsidRPr="7F8594A9" w:rsidR="6A900AC6">
        <w:rPr>
          <w:rFonts w:ascii="Calibri" w:hAnsi="Calibri" w:eastAsia="Calibri" w:cs="Calibri" w:asciiTheme="minorAscii" w:hAnsiTheme="minorAscii" w:eastAsiaTheme="minorAscii" w:cstheme="minorAscii"/>
          <w:sz w:val="22"/>
          <w:szCs w:val="22"/>
        </w:rPr>
        <w:t>, an issue recognized by Estelle Philips and Derek Pugh, was, ‘there is no such thing as unbiased observation.’</w:t>
      </w:r>
      <w:r w:rsidRPr="7F8594A9" w:rsidR="00EF3EA3">
        <w:rPr>
          <w:rStyle w:val="FootnoteReference"/>
          <w:rFonts w:ascii="Calibri" w:hAnsi="Calibri" w:eastAsia="Calibri" w:cs="Calibri" w:asciiTheme="minorAscii" w:hAnsiTheme="minorAscii" w:eastAsiaTheme="minorAscii" w:cstheme="minorAscii"/>
          <w:sz w:val="22"/>
          <w:szCs w:val="22"/>
        </w:rPr>
        <w:footnoteReference w:id="35"/>
      </w:r>
      <w:r w:rsidRPr="7F8594A9" w:rsidR="6A900AC6">
        <w:rPr>
          <w:rFonts w:ascii="Calibri" w:hAnsi="Calibri" w:eastAsia="Calibri" w:cs="Calibri" w:asciiTheme="minorAscii" w:hAnsiTheme="minorAscii" w:eastAsiaTheme="minorAscii" w:cstheme="minorAscii"/>
          <w:sz w:val="22"/>
          <w:szCs w:val="22"/>
        </w:rPr>
        <w:t xml:space="preserve">  </w:t>
      </w:r>
      <w:r w:rsidRPr="7F8594A9" w:rsidR="29ABFDEF">
        <w:rPr>
          <w:rFonts w:ascii="Calibri" w:hAnsi="Calibri" w:eastAsia="Calibri" w:cs="Calibri" w:asciiTheme="minorAscii" w:hAnsiTheme="minorAscii" w:eastAsiaTheme="minorAscii" w:cstheme="minorAscii"/>
          <w:sz w:val="22"/>
          <w:szCs w:val="22"/>
        </w:rPr>
        <w:t>Nevertheless, both papers highlighted the authors intriguing area of study, which was highly informative. This was also evident for their passion in this area. The final chapter concluded this essay.</w:t>
      </w:r>
    </w:p>
    <w:p w:rsidR="7F8594A9" w:rsidP="7F8594A9" w:rsidRDefault="7F8594A9" w14:paraId="0E5FE727" w14:textId="26AE7379">
      <w:pPr>
        <w:pStyle w:val="Normal"/>
        <w:spacing w:line="480" w:lineRule="auto"/>
        <w:jc w:val="both"/>
        <w:rPr>
          <w:rFonts w:ascii="Calibri" w:hAnsi="Calibri" w:eastAsia="Calibri" w:cs="Calibri" w:asciiTheme="minorAscii" w:hAnsiTheme="minorAscii" w:eastAsiaTheme="minorAscii" w:cstheme="minorAscii"/>
          <w:sz w:val="22"/>
          <w:szCs w:val="22"/>
        </w:rPr>
      </w:pPr>
    </w:p>
    <w:p w:rsidR="00604855" w:rsidP="7F8594A9" w:rsidRDefault="0C7D0F40" w14:paraId="4F257CA1" w14:textId="79B6CF63">
      <w:pPr>
        <w:spacing w:line="480" w:lineRule="auto"/>
        <w:jc w:val="both"/>
        <w:rPr>
          <w:rFonts w:ascii="Calibri" w:hAnsi="Calibri" w:eastAsia="Calibri" w:cs="Calibri" w:asciiTheme="minorAscii" w:hAnsiTheme="minorAscii" w:eastAsiaTheme="minorAscii" w:cstheme="minorAscii"/>
          <w:color w:val="000000" w:themeColor="text1"/>
          <w:sz w:val="22"/>
          <w:szCs w:val="22"/>
          <w:lang w:val="en-GB"/>
        </w:rPr>
      </w:pPr>
      <w:r w:rsidRPr="7F8594A9" w:rsidR="7F8594A9">
        <w:rPr>
          <w:rFonts w:ascii="Calibri" w:hAnsi="Calibri" w:eastAsia="Calibri" w:cs="Calibri" w:asciiTheme="minorAscii" w:hAnsiTheme="minorAscii" w:eastAsiaTheme="minorAscii" w:cstheme="minorAscii"/>
          <w:b w:val="1"/>
          <w:bCs w:val="1"/>
          <w:color w:val="000000" w:themeColor="text1" w:themeTint="FF" w:themeShade="FF"/>
          <w:sz w:val="22"/>
          <w:szCs w:val="22"/>
          <w:lang w:val="en-GB"/>
        </w:rPr>
        <w:t>Conclusion</w:t>
      </w:r>
    </w:p>
    <w:p w:rsidR="6A900AC6" w:rsidP="7F8594A9" w:rsidRDefault="6A900AC6" w14:paraId="0D94E690" w14:textId="4569E2AD">
      <w:pPr>
        <w:spacing w:line="480" w:lineRule="auto"/>
        <w:jc w:val="both"/>
        <w:rPr>
          <w:rFonts w:ascii="Calibri" w:hAnsi="Calibri" w:eastAsia="Calibri" w:cs="Calibri" w:asciiTheme="minorAscii" w:hAnsiTheme="minorAscii" w:eastAsiaTheme="minorAscii" w:cstheme="minorAscii"/>
          <w:color w:val="000000" w:themeColor="text1"/>
          <w:sz w:val="22"/>
          <w:szCs w:val="22"/>
          <w:lang w:val="en-GB"/>
        </w:rPr>
      </w:pPr>
      <w:r w:rsidRPr="7F8594A9">
        <w:rPr>
          <w:rFonts w:ascii="Calibri" w:hAnsi="Calibri" w:eastAsia="Calibri" w:cs="Calibri" w:asciiTheme="minorAscii" w:hAnsiTheme="minorAscii" w:eastAsiaTheme="minorAscii" w:cstheme="minorAscii"/>
          <w:color w:val="000000" w:themeColor="text1"/>
          <w:sz w:val="22"/>
          <w:szCs w:val="22"/>
          <w:lang w:val="en-GB"/>
        </w:rPr>
        <w:t xml:space="preserve">This essay set out to critically compare and contrast two academic papers, Duane, W. Hamacher., and Ray P. Norris, ‘Bridging the Gap’ through Australian Cultural Astronomy,’ </w:t>
      </w:r>
      <w:r w:rsidRPr="7F8594A9">
        <w:rPr>
          <w:rStyle w:val="FootnoteReference"/>
          <w:rFonts w:ascii="Calibri" w:hAnsi="Calibri" w:eastAsia="Calibri" w:cs="Calibri" w:asciiTheme="minorAscii" w:hAnsiTheme="minorAscii" w:eastAsiaTheme="minorAscii" w:cstheme="minorAscii"/>
          <w:color w:val="000000" w:themeColor="text1"/>
          <w:sz w:val="22"/>
          <w:szCs w:val="22"/>
          <w:lang w:val="en-GB"/>
        </w:rPr>
        <w:footnoteReference w:id="36"/>
      </w:r>
      <w:r w:rsidRPr="7F8594A9">
        <w:rPr>
          <w:rFonts w:ascii="Calibri" w:hAnsi="Calibri" w:eastAsia="Calibri" w:cs="Calibri" w:asciiTheme="minorAscii" w:hAnsiTheme="minorAscii" w:eastAsiaTheme="minorAscii" w:cstheme="minorAscii"/>
          <w:color w:val="000000" w:themeColor="text1"/>
          <w:sz w:val="22"/>
          <w:szCs w:val="22"/>
          <w:lang w:val="en-GB"/>
        </w:rPr>
        <w:t xml:space="preserve"> and David W. </w:t>
      </w:r>
      <w:proofErr w:type="spellStart"/>
      <w:r w:rsidRPr="7F8594A9">
        <w:rPr>
          <w:rFonts w:ascii="Calibri" w:hAnsi="Calibri" w:eastAsia="Calibri" w:cs="Calibri" w:asciiTheme="minorAscii" w:hAnsiTheme="minorAscii" w:eastAsiaTheme="minorAscii" w:cstheme="minorAscii"/>
          <w:color w:val="000000" w:themeColor="text1"/>
          <w:sz w:val="22"/>
          <w:szCs w:val="22"/>
          <w:lang w:val="en-GB"/>
        </w:rPr>
        <w:t xml:space="preserve">Pankenier</w:t>
      </w:r>
      <w:proofErr w:type="spellEnd"/>
      <w:r w:rsidRPr="7F8594A9">
        <w:rPr>
          <w:rFonts w:ascii="Calibri" w:hAnsi="Calibri" w:eastAsia="Calibri" w:cs="Calibri" w:asciiTheme="minorAscii" w:hAnsiTheme="minorAscii" w:eastAsiaTheme="minorAscii" w:cstheme="minorAscii"/>
          <w:color w:val="000000" w:themeColor="text1"/>
          <w:sz w:val="22"/>
          <w:szCs w:val="22"/>
          <w:lang w:val="en-GB"/>
        </w:rPr>
        <w:t xml:space="preserve">, 'The Cosmic Center in Early China and Its Archaic Resonances.’ </w:t>
      </w:r>
      <w:r w:rsidRPr="7F8594A9">
        <w:rPr>
          <w:rStyle w:val="FootnoteReference"/>
          <w:rFonts w:ascii="Calibri" w:hAnsi="Calibri" w:eastAsia="Calibri" w:cs="Calibri" w:asciiTheme="minorAscii" w:hAnsiTheme="minorAscii" w:eastAsiaTheme="minorAscii" w:cstheme="minorAscii"/>
          <w:color w:val="000000" w:themeColor="text1"/>
          <w:sz w:val="22"/>
          <w:szCs w:val="22"/>
          <w:lang w:val="en-GB"/>
        </w:rPr>
        <w:footnoteReference w:id="37"/>
      </w:r>
      <w:r w:rsidRPr="7F8594A9">
        <w:rPr>
          <w:rFonts w:ascii="Calibri" w:hAnsi="Calibri" w:eastAsia="Calibri" w:cs="Calibri" w:asciiTheme="minorAscii" w:hAnsiTheme="minorAscii" w:eastAsiaTheme="minorAscii" w:cstheme="minorAscii"/>
          <w:color w:val="000000" w:themeColor="text1"/>
          <w:sz w:val="22"/>
          <w:szCs w:val="22"/>
        </w:rPr>
        <w:t xml:space="preserve"> Firstly, both papers were structed well, with fluid writing styles. Secondly, both papers consisted of few dissimilarities, which this essay showed. More specifically, Hamacher and Norris’ paper used headings with numbers for their layout. </w:t>
      </w:r>
      <w:r w:rsidRPr="7F8594A9" w:rsidR="29ABFDEF">
        <w:rPr>
          <w:rFonts w:ascii="Calibri" w:hAnsi="Calibri" w:eastAsia="Calibri" w:cs="Calibri" w:asciiTheme="minorAscii" w:hAnsiTheme="minorAscii" w:eastAsiaTheme="minorAscii" w:cstheme="minorAscii"/>
          <w:color w:val="000000" w:themeColor="text1"/>
          <w:sz w:val="22"/>
          <w:szCs w:val="22"/>
        </w:rPr>
        <w:t xml:space="preserve">Whereases, </w:t>
      </w:r>
      <w:proofErr w:type="spellStart"/>
      <w:r w:rsidRPr="7F8594A9" w:rsidR="29ABFDEF">
        <w:rPr>
          <w:rFonts w:ascii="Calibri" w:hAnsi="Calibri" w:eastAsia="Calibri" w:cs="Calibri" w:asciiTheme="minorAscii" w:hAnsiTheme="minorAscii" w:eastAsiaTheme="minorAscii" w:cstheme="minorAscii"/>
          <w:color w:val="000000" w:themeColor="text1"/>
          <w:sz w:val="22"/>
          <w:szCs w:val="22"/>
        </w:rPr>
        <w:t xml:space="preserve">Pankeneir’s</w:t>
      </w:r>
      <w:proofErr w:type="spellEnd"/>
      <w:r w:rsidRPr="7F8594A9" w:rsidR="29ABFDEF">
        <w:rPr>
          <w:rFonts w:ascii="Calibri" w:hAnsi="Calibri" w:eastAsia="Calibri" w:cs="Calibri" w:asciiTheme="minorAscii" w:hAnsiTheme="minorAscii" w:eastAsiaTheme="minorAscii" w:cstheme="minorAscii"/>
          <w:color w:val="000000" w:themeColor="text1"/>
          <w:sz w:val="22"/>
          <w:szCs w:val="22"/>
        </w:rPr>
        <w:t xml:space="preserve"> paper did lack headings, deciding on a free-flowing structure, although, the paper had numbers instead of sub-headings. </w:t>
      </w:r>
      <w:r w:rsidRPr="355FDBB9" w:rsidR="355FDBB9">
        <w:rPr>
          <w:rFonts w:ascii="Calibri" w:hAnsi="Calibri" w:eastAsia="Calibri" w:cs="Calibri" w:asciiTheme="minorAscii" w:hAnsiTheme="minorAscii" w:eastAsiaTheme="minorAscii" w:cstheme="minorAscii"/>
          <w:color w:val="000000" w:themeColor="text1" w:themeTint="FF" w:themeShade="FF"/>
          <w:sz w:val="22"/>
          <w:szCs w:val="22"/>
        </w:rPr>
        <w:t xml:space="preserve">Hamacher and Norris used their sources well, drawing upon a varying body of evidence from more recent ethnoastronomical research, to nineteenth-century anthropological studies. Whilst </w:t>
      </w:r>
      <w:proofErr w:type="spellStart"/>
      <w:r w:rsidRPr="355FDBB9" w:rsidR="355FDBB9">
        <w:rPr>
          <w:rFonts w:ascii="Calibri" w:hAnsi="Calibri" w:eastAsia="Calibri" w:cs="Calibri" w:asciiTheme="minorAscii" w:hAnsiTheme="minorAscii" w:eastAsiaTheme="minorAscii" w:cstheme="minorAscii"/>
          <w:color w:val="000000" w:themeColor="text1" w:themeTint="FF" w:themeShade="FF"/>
          <w:sz w:val="22"/>
          <w:szCs w:val="22"/>
        </w:rPr>
        <w:t>Pankenier’s</w:t>
      </w:r>
      <w:proofErr w:type="spellEnd"/>
      <w:r w:rsidRPr="355FDBB9" w:rsidR="355FDBB9">
        <w:rPr>
          <w:rFonts w:ascii="Calibri" w:hAnsi="Calibri" w:eastAsia="Calibri" w:cs="Calibri" w:asciiTheme="minorAscii" w:hAnsiTheme="minorAscii" w:eastAsiaTheme="minorAscii" w:cstheme="minorAscii"/>
          <w:color w:val="000000" w:themeColor="text1" w:themeTint="FF" w:themeShade="FF"/>
          <w:sz w:val="22"/>
          <w:szCs w:val="22"/>
        </w:rPr>
        <w:t xml:space="preserve"> used </w:t>
      </w:r>
      <w:r w:rsidRPr="355FDBB9" w:rsidR="355FDBB9">
        <w:rPr>
          <w:rFonts w:ascii="Calibri" w:hAnsi="Calibri" w:eastAsia="Calibri" w:cs="Calibri" w:asciiTheme="minorAscii" w:hAnsiTheme="minorAscii" w:eastAsiaTheme="minorAscii" w:cstheme="minorAscii"/>
          <w:sz w:val="22"/>
          <w:szCs w:val="22"/>
        </w:rPr>
        <w:t xml:space="preserve">varied </w:t>
      </w:r>
      <w:r w:rsidRPr="355FDBB9" w:rsidR="355FDBB9">
        <w:rPr>
          <w:rFonts w:ascii="Calibri" w:hAnsi="Calibri" w:eastAsia="Calibri" w:cs="Calibri" w:asciiTheme="minorAscii" w:hAnsiTheme="minorAscii" w:eastAsiaTheme="minorAscii" w:cstheme="minorAscii"/>
          <w:color w:val="000000" w:themeColor="text1" w:themeTint="FF" w:themeShade="FF"/>
          <w:sz w:val="22"/>
          <w:szCs w:val="22"/>
        </w:rPr>
        <w:t xml:space="preserve">primary sources, along with his </w:t>
      </w:r>
      <w:r w:rsidRPr="355FDBB9" w:rsidR="355FDBB9">
        <w:rPr>
          <w:rFonts w:ascii="Calibri" w:hAnsi="Calibri" w:eastAsia="Calibri" w:cs="Calibri" w:asciiTheme="minorAscii" w:hAnsiTheme="minorAscii" w:eastAsiaTheme="minorAscii" w:cstheme="minorAscii"/>
          <w:color w:val="000000" w:themeColor="text1" w:themeTint="FF" w:themeShade="FF"/>
          <w:sz w:val="22"/>
          <w:szCs w:val="22"/>
          <w:lang w:val="en-GB"/>
        </w:rPr>
        <w:t xml:space="preserve">secondary sources being contentious in the contemporary manner, as he exploited what he perceives as flaws in the works of others to bolster his own. </w:t>
      </w:r>
      <w:r w:rsidRPr="355FDBB9" w:rsidR="355FDBB9">
        <w:rPr>
          <w:rFonts w:ascii="Calibri" w:hAnsi="Calibri" w:eastAsia="Calibri" w:cs="Calibri" w:asciiTheme="minorAscii" w:hAnsiTheme="minorAscii" w:eastAsiaTheme="minorAscii" w:cstheme="minorAscii"/>
          <w:color w:val="000000" w:themeColor="text1" w:themeTint="FF" w:themeShade="FF"/>
          <w:sz w:val="22"/>
          <w:szCs w:val="22"/>
        </w:rPr>
        <w:t xml:space="preserve">Hamacher and Norris, in terms of their methodology presented a quantitative study, which tried to refute previous academic assumptions which claimed Aboriginal Australians did not record astronomical measurements and observations of the night sky. However, they provided statistical proof and thus confirming their research. Specifically, their research of sixty stone arrangements in (NSW) provided statically significant proof that a small number of Aboriginal Australians deliberately observed the night sky and took astronomical measurements of the motions of bodies within it. Whilst </w:t>
      </w:r>
      <w:r w:rsidRPr="355FDBB9" w:rsidR="355FDBB9">
        <w:rPr>
          <w:rFonts w:ascii="Calibri" w:hAnsi="Calibri" w:eastAsia="Calibri" w:cs="Calibri" w:asciiTheme="minorAscii" w:hAnsiTheme="minorAscii" w:eastAsiaTheme="minorAscii" w:cstheme="minorAscii"/>
          <w:color w:val="000000" w:themeColor="text1" w:themeTint="FF" w:themeShade="FF"/>
          <w:sz w:val="22"/>
          <w:szCs w:val="22"/>
          <w:lang w:val="en-GB"/>
        </w:rPr>
        <w:t>Pankenier showed that the role of astronomical alignments was the main reason for the early Chinese successful urban planning and their connection with burials or gave sites, as they would put depictions of astronomical alignments in the tombs of the dead.</w:t>
      </w:r>
      <w:proofErr w:type="spellStart"/>
      <w:proofErr w:type="spellEnd"/>
      <w:proofErr w:type="spellStart"/>
      <w:proofErr w:type="spellEnd"/>
    </w:p>
    <w:p w:rsidR="6A900AC6" w:rsidP="355FDBB9" w:rsidRDefault="0C7D0F40" w14:paraId="5515F2E9" w14:textId="3344B9B6">
      <w:pPr>
        <w:spacing w:line="480" w:lineRule="auto"/>
        <w:jc w:val="both"/>
        <w:rPr>
          <w:rFonts w:ascii="Calibri" w:hAnsi="Calibri" w:eastAsia="Calibri" w:cs="Calibri" w:asciiTheme="minorAscii" w:hAnsiTheme="minorAscii" w:eastAsiaTheme="minorAscii" w:cstheme="minorAscii"/>
          <w:color w:val="000000" w:themeColor="text1" w:themeTint="FF" w:themeShade="FF"/>
          <w:sz w:val="22"/>
          <w:szCs w:val="22"/>
          <w:lang w:val="en-GB"/>
        </w:rPr>
      </w:pPr>
      <w:r w:rsidRPr="355FDBB9" w:rsidR="355FDBB9">
        <w:rPr>
          <w:rFonts w:ascii="Calibri" w:hAnsi="Calibri" w:eastAsia="Calibri" w:cs="Calibri" w:asciiTheme="minorAscii" w:hAnsiTheme="minorAscii" w:eastAsiaTheme="minorAscii" w:cstheme="minorAscii"/>
          <w:color w:val="000000" w:themeColor="text1" w:themeTint="FF" w:themeShade="FF"/>
          <w:sz w:val="22"/>
          <w:szCs w:val="22"/>
          <w:lang w:val="en-GB"/>
        </w:rPr>
        <w:t>Overall, both author’s research strengthened the idea that indigenous cultures were highly influenced by their perception of the night sky. This also showed their thinking was not static in time but dynamic and changing. Both papers, although with clearly distinct aims, approaches and structures, were informative and carefully conducted. Thus, leaving the reader with a deeper knowledge and respect of both Aboriginal Australian and early Chinese astronomy.</w:t>
      </w:r>
    </w:p>
    <w:p w:rsidR="6A900AC6" w:rsidP="355FDBB9" w:rsidRDefault="0C7D0F40" w14:paraId="45E688E2" w14:textId="6DB28237">
      <w:pPr>
        <w:pStyle w:val="Normal"/>
        <w:spacing w:line="480" w:lineRule="auto"/>
        <w:jc w:val="both"/>
        <w:rPr>
          <w:rFonts w:ascii="Calibri" w:hAnsi="Calibri" w:eastAsia="Calibri" w:cs="Calibri" w:asciiTheme="minorAscii" w:hAnsiTheme="minorAscii" w:eastAsiaTheme="minorAscii" w:cstheme="minorAscii"/>
          <w:color w:val="000000" w:themeColor="text1"/>
          <w:sz w:val="22"/>
          <w:szCs w:val="22"/>
          <w:lang w:val="en-GB"/>
        </w:rPr>
      </w:pPr>
    </w:p>
    <w:p w:rsidR="6A900AC6" w:rsidP="7F8594A9" w:rsidRDefault="6A900AC6" w14:paraId="67E05B7F" w14:textId="76BBD953">
      <w:pPr>
        <w:spacing w:line="480" w:lineRule="auto"/>
        <w:jc w:val="both"/>
        <w:rPr>
          <w:rFonts w:ascii="Calibri" w:hAnsi="Calibri" w:eastAsia="Calibri" w:cs="Calibri" w:asciiTheme="minorAscii" w:hAnsiTheme="minorAscii" w:eastAsiaTheme="minorAscii" w:cstheme="minorAscii"/>
          <w:color w:val="000000" w:themeColor="text1"/>
          <w:sz w:val="22"/>
          <w:szCs w:val="22"/>
          <w:lang w:val="en-GB"/>
        </w:rPr>
      </w:pPr>
    </w:p>
    <w:p w:rsidR="6A900AC6" w:rsidP="6A900AC6" w:rsidRDefault="6A900AC6" w14:paraId="097EF025" w14:textId="2D0B8A7A">
      <w:pPr>
        <w:jc w:val="both"/>
        <w:rPr>
          <w:rFonts w:ascii="Calibri" w:hAnsi="Calibri" w:eastAsia="Calibri" w:cs="Calibri"/>
          <w:color w:val="000000" w:themeColor="text1"/>
          <w:lang w:val="en-GB"/>
        </w:rPr>
      </w:pPr>
    </w:p>
    <w:p w:rsidR="6A900AC6" w:rsidP="7F8594A9" w:rsidRDefault="6A900AC6" w14:paraId="3DC71DF3" w14:textId="134417EE">
      <w:pPr>
        <w:jc w:val="both"/>
        <w:rPr>
          <w:rFonts w:ascii="Calibri" w:hAnsi="Calibri" w:eastAsia="Calibri" w:cs="Calibri"/>
          <w:b w:val="1"/>
          <w:bCs w:val="1"/>
          <w:color w:val="000000" w:themeColor="text1" w:themeTint="FF" w:themeShade="FF"/>
          <w:lang w:val="en-GB"/>
        </w:rPr>
      </w:pPr>
    </w:p>
    <w:p w:rsidR="6A900AC6" w:rsidP="7F8594A9" w:rsidRDefault="6A900AC6" w14:paraId="5BAF0027" w14:textId="6FEC6830">
      <w:pPr>
        <w:jc w:val="both"/>
        <w:rPr>
          <w:rFonts w:ascii="Calibri" w:hAnsi="Calibri" w:eastAsia="Calibri" w:cs="Calibri"/>
          <w:b w:val="1"/>
          <w:bCs w:val="1"/>
          <w:color w:val="000000" w:themeColor="text1" w:themeTint="FF" w:themeShade="FF"/>
          <w:lang w:val="en-GB"/>
        </w:rPr>
      </w:pPr>
    </w:p>
    <w:p w:rsidR="355FDBB9" w:rsidP="355FDBB9" w:rsidRDefault="355FDBB9" w14:paraId="58EE8B5F" w14:textId="14D71040">
      <w:pPr>
        <w:pStyle w:val="Normal"/>
        <w:jc w:val="both"/>
        <w:rPr>
          <w:rFonts w:ascii="Calibri" w:hAnsi="Calibri" w:eastAsia="Calibri" w:cs="Calibri"/>
          <w:b w:val="1"/>
          <w:bCs w:val="1"/>
          <w:color w:val="000000" w:themeColor="text1" w:themeTint="FF" w:themeShade="FF"/>
          <w:lang w:val="en-GB"/>
        </w:rPr>
      </w:pPr>
    </w:p>
    <w:p w:rsidR="355FDBB9" w:rsidP="355FDBB9" w:rsidRDefault="355FDBB9" w14:paraId="15F18948" w14:textId="2E352BBD">
      <w:pPr>
        <w:pStyle w:val="Normal"/>
        <w:jc w:val="both"/>
        <w:rPr>
          <w:rFonts w:ascii="Calibri" w:hAnsi="Calibri" w:eastAsia="Calibri" w:cs="Calibri"/>
          <w:b w:val="1"/>
          <w:bCs w:val="1"/>
          <w:color w:val="000000" w:themeColor="text1" w:themeTint="FF" w:themeShade="FF"/>
          <w:lang w:val="en-GB"/>
        </w:rPr>
      </w:pPr>
    </w:p>
    <w:p w:rsidR="355FDBB9" w:rsidP="355FDBB9" w:rsidRDefault="355FDBB9" w14:paraId="6F3352D9" w14:textId="573696BC">
      <w:pPr>
        <w:pStyle w:val="Normal"/>
        <w:jc w:val="both"/>
        <w:rPr>
          <w:rFonts w:ascii="Calibri" w:hAnsi="Calibri" w:eastAsia="Calibri" w:cs="Calibri"/>
          <w:b w:val="1"/>
          <w:bCs w:val="1"/>
          <w:color w:val="000000" w:themeColor="text1" w:themeTint="FF" w:themeShade="FF"/>
          <w:lang w:val="en-GB"/>
        </w:rPr>
      </w:pPr>
    </w:p>
    <w:p w:rsidR="355FDBB9" w:rsidP="355FDBB9" w:rsidRDefault="355FDBB9" w14:paraId="37228449" w14:textId="6E8D3231">
      <w:pPr>
        <w:pStyle w:val="Normal"/>
        <w:jc w:val="both"/>
        <w:rPr>
          <w:rFonts w:ascii="Calibri" w:hAnsi="Calibri" w:eastAsia="Calibri" w:cs="Calibri"/>
          <w:b w:val="1"/>
          <w:bCs w:val="1"/>
          <w:color w:val="000000" w:themeColor="text1" w:themeTint="FF" w:themeShade="FF"/>
          <w:lang w:val="en-GB"/>
        </w:rPr>
      </w:pPr>
    </w:p>
    <w:p w:rsidR="355FDBB9" w:rsidP="355FDBB9" w:rsidRDefault="355FDBB9" w14:paraId="74CB70BD" w14:textId="7910BC2B">
      <w:pPr>
        <w:pStyle w:val="Normal"/>
        <w:jc w:val="both"/>
        <w:rPr>
          <w:rFonts w:ascii="Calibri" w:hAnsi="Calibri" w:eastAsia="Calibri" w:cs="Calibri"/>
          <w:b w:val="1"/>
          <w:bCs w:val="1"/>
          <w:color w:val="000000" w:themeColor="text1" w:themeTint="FF" w:themeShade="FF"/>
          <w:lang w:val="en-GB"/>
        </w:rPr>
      </w:pPr>
    </w:p>
    <w:p w:rsidR="6A900AC6" w:rsidP="7F8594A9" w:rsidRDefault="6A900AC6" w14:paraId="0F453ED6" w14:textId="3E885023">
      <w:pPr>
        <w:pStyle w:val="Normal"/>
        <w:jc w:val="both"/>
        <w:rPr>
          <w:rFonts w:ascii="Calibri" w:hAnsi="Calibri" w:eastAsia="Calibri" w:cs="Calibri"/>
          <w:b w:val="1"/>
          <w:bCs w:val="1"/>
          <w:color w:val="000000" w:themeColor="text1"/>
          <w:lang w:val="en-GB"/>
        </w:rPr>
      </w:pPr>
      <w:r w:rsidRPr="355FDBB9" w:rsidR="355FDBB9">
        <w:rPr>
          <w:rFonts w:ascii="Calibri" w:hAnsi="Calibri" w:eastAsia="Calibri" w:cs="Calibri"/>
          <w:b w:val="1"/>
          <w:bCs w:val="1"/>
          <w:color w:val="000000" w:themeColor="text1" w:themeTint="FF" w:themeShade="FF"/>
          <w:lang w:val="en-GB"/>
        </w:rPr>
        <w:t>Bibliography</w:t>
      </w:r>
    </w:p>
    <w:p w:rsidR="7F8594A9" w:rsidP="7F8594A9" w:rsidRDefault="7F8594A9" w14:paraId="771612C9" w14:textId="25E4C15C">
      <w:pPr>
        <w:spacing w:line="240" w:lineRule="auto"/>
        <w:jc w:val="both"/>
        <w:rPr>
          <w:rFonts w:ascii="Calibri" w:hAnsi="Calibri" w:eastAsia="Calibri" w:cs="Calibri"/>
          <w:noProof w:val="0"/>
          <w:sz w:val="22"/>
          <w:szCs w:val="22"/>
          <w:lang w:val="en-US"/>
        </w:rPr>
      </w:pPr>
      <w:r w:rsidRPr="355FDBB9" w:rsidR="355FDBB9">
        <w:rPr>
          <w:rFonts w:ascii="Calibri" w:hAnsi="Calibri" w:eastAsia="Calibri" w:cs="Calibri"/>
          <w:noProof w:val="0"/>
          <w:sz w:val="22"/>
          <w:szCs w:val="22"/>
          <w:lang w:val="en-US"/>
        </w:rPr>
        <w:t>Hamacher Duane W. Hamacher and Norris, Ray P. Norris. 2011, ‘</w:t>
      </w:r>
      <w:r w:rsidRPr="355FDBB9" w:rsidR="355FDBB9">
        <w:rPr>
          <w:rFonts w:ascii="Calibri" w:hAnsi="Calibri" w:eastAsia="Calibri" w:cs="Calibri"/>
          <w:i w:val="1"/>
          <w:iCs w:val="1"/>
          <w:noProof w:val="0"/>
          <w:sz w:val="22"/>
          <w:szCs w:val="22"/>
          <w:lang w:val="en-US"/>
        </w:rPr>
        <w:t>Bridging the Gap through Australian Cultural Astronomy</w:t>
      </w:r>
      <w:r w:rsidRPr="355FDBB9" w:rsidR="355FDBB9">
        <w:rPr>
          <w:rFonts w:ascii="Calibri" w:hAnsi="Calibri" w:eastAsia="Calibri" w:cs="Calibri"/>
          <w:noProof w:val="0"/>
          <w:sz w:val="22"/>
          <w:szCs w:val="22"/>
          <w:lang w:val="en-US"/>
        </w:rPr>
        <w:t>.’ International Astronomical Union. Proceedings of the International Astronomical Union, 7, pp. 282-290.</w:t>
      </w:r>
    </w:p>
    <w:p w:rsidR="7F8594A9" w:rsidP="7F8594A9" w:rsidRDefault="7F8594A9" w14:paraId="462A7DE4" w14:textId="66FA77A8">
      <w:pPr>
        <w:spacing w:line="240" w:lineRule="auto"/>
        <w:jc w:val="both"/>
        <w:rPr>
          <w:rFonts w:ascii="Calibri" w:hAnsi="Calibri" w:eastAsia="Calibri" w:cs="Calibri"/>
          <w:noProof w:val="0"/>
          <w:sz w:val="22"/>
          <w:szCs w:val="22"/>
          <w:lang w:val="en-US"/>
        </w:rPr>
      </w:pPr>
      <w:r w:rsidRPr="355FDBB9" w:rsidR="355FDBB9">
        <w:rPr>
          <w:rFonts w:ascii="Calibri" w:hAnsi="Calibri" w:eastAsia="Calibri" w:cs="Calibri"/>
          <w:noProof w:val="0"/>
          <w:sz w:val="22"/>
          <w:szCs w:val="22"/>
          <w:lang w:val="en-US"/>
        </w:rPr>
        <w:t>Pankenier David, W. 2011, ‘</w:t>
      </w:r>
      <w:r w:rsidRPr="355FDBB9" w:rsidR="355FDBB9">
        <w:rPr>
          <w:rFonts w:ascii="Calibri" w:hAnsi="Calibri" w:eastAsia="Calibri" w:cs="Calibri"/>
          <w:i w:val="1"/>
          <w:iCs w:val="1"/>
          <w:noProof w:val="0"/>
          <w:sz w:val="22"/>
          <w:szCs w:val="22"/>
          <w:lang w:val="en-US"/>
        </w:rPr>
        <w:t>The Cosmic Center in Early China and Its Archaic Resonances</w:t>
      </w:r>
      <w:r w:rsidRPr="355FDBB9" w:rsidR="355FDBB9">
        <w:rPr>
          <w:rFonts w:ascii="Calibri" w:hAnsi="Calibri" w:eastAsia="Calibri" w:cs="Calibri"/>
          <w:noProof w:val="0"/>
          <w:sz w:val="22"/>
          <w:szCs w:val="22"/>
          <w:lang w:val="en-US"/>
        </w:rPr>
        <w:t>.’ International Astronomical Union. Proceedings of the International Astronomical Union, 7 pp. 298-307.</w:t>
      </w:r>
    </w:p>
    <w:p w:rsidR="7F8594A9" w:rsidP="7F8594A9" w:rsidRDefault="7F8594A9" w14:paraId="78BFC9A7" w14:textId="3E7D86ED">
      <w:pPr>
        <w:spacing w:line="240" w:lineRule="auto"/>
        <w:jc w:val="both"/>
        <w:rPr>
          <w:rFonts w:ascii="Calibri" w:hAnsi="Calibri" w:eastAsia="Calibri" w:cs="Calibri"/>
          <w:noProof w:val="0"/>
          <w:sz w:val="22"/>
          <w:szCs w:val="22"/>
          <w:lang w:val="en-US"/>
        </w:rPr>
      </w:pPr>
      <w:r w:rsidRPr="355FDBB9" w:rsidR="355FDBB9">
        <w:rPr>
          <w:rFonts w:ascii="Calibri" w:hAnsi="Calibri" w:eastAsia="Calibri" w:cs="Calibri"/>
          <w:noProof w:val="0"/>
          <w:sz w:val="22"/>
          <w:szCs w:val="22"/>
          <w:lang w:val="en-US"/>
        </w:rPr>
        <w:t>Eagleton, Terry. ‘</w:t>
      </w:r>
      <w:r w:rsidRPr="355FDBB9" w:rsidR="355FDBB9">
        <w:rPr>
          <w:rFonts w:ascii="Calibri" w:hAnsi="Calibri" w:eastAsia="Calibri" w:cs="Calibri"/>
          <w:i w:val="1"/>
          <w:iCs w:val="1"/>
          <w:noProof w:val="0"/>
          <w:sz w:val="22"/>
          <w:szCs w:val="22"/>
          <w:lang w:val="en-US"/>
        </w:rPr>
        <w:t>Culture</w:t>
      </w:r>
      <w:r w:rsidRPr="355FDBB9" w:rsidR="355FDBB9">
        <w:rPr>
          <w:rFonts w:ascii="Calibri" w:hAnsi="Calibri" w:eastAsia="Calibri" w:cs="Calibri"/>
          <w:noProof w:val="0"/>
          <w:sz w:val="22"/>
          <w:szCs w:val="22"/>
          <w:lang w:val="en-US"/>
        </w:rPr>
        <w:t>.’ United Kingdom: Yale University Press, 2016, p. 2.</w:t>
      </w:r>
    </w:p>
    <w:p w:rsidR="7F8594A9" w:rsidP="7F8594A9" w:rsidRDefault="7F8594A9" w14:paraId="0E840FA0" w14:textId="47AD4314">
      <w:pPr>
        <w:pStyle w:val="Normal"/>
        <w:spacing w:line="240" w:lineRule="auto"/>
        <w:jc w:val="both"/>
        <w:rPr>
          <w:rFonts w:ascii="Calibri" w:hAnsi="Calibri" w:eastAsia="Calibri" w:cs="Calibri"/>
          <w:noProof w:val="0"/>
          <w:sz w:val="22"/>
          <w:szCs w:val="22"/>
          <w:lang w:val="en-US"/>
        </w:rPr>
      </w:pPr>
      <w:r w:rsidRPr="355FDBB9" w:rsidR="355FDBB9">
        <w:rPr>
          <w:rFonts w:ascii="Calibri" w:hAnsi="Calibri" w:eastAsia="Calibri" w:cs="Calibri"/>
          <w:noProof w:val="0"/>
          <w:sz w:val="22"/>
          <w:szCs w:val="22"/>
          <w:lang w:val="en-US"/>
        </w:rPr>
        <w:t xml:space="preserve">Campion Nicholas. (2008). </w:t>
      </w:r>
      <w:r w:rsidRPr="355FDBB9" w:rsidR="355FDBB9">
        <w:rPr>
          <w:rFonts w:ascii="Calibri" w:hAnsi="Calibri" w:eastAsia="Calibri" w:cs="Calibri"/>
          <w:i w:val="1"/>
          <w:iCs w:val="1"/>
          <w:noProof w:val="0"/>
          <w:sz w:val="22"/>
          <w:szCs w:val="22"/>
          <w:lang w:val="en-US"/>
        </w:rPr>
        <w:t>Teaching Cultural Astronomy</w:t>
      </w:r>
      <w:r w:rsidRPr="355FDBB9" w:rsidR="355FDBB9">
        <w:rPr>
          <w:rFonts w:ascii="Calibri" w:hAnsi="Calibri" w:eastAsia="Calibri" w:cs="Calibri"/>
          <w:noProof w:val="0"/>
          <w:sz w:val="22"/>
          <w:szCs w:val="22"/>
          <w:lang w:val="en-US"/>
        </w:rPr>
        <w:t xml:space="preserve">: On the Development of </w:t>
      </w:r>
      <w:proofErr w:type="spellStart"/>
      <w:r w:rsidRPr="355FDBB9" w:rsidR="355FDBB9">
        <w:rPr>
          <w:rFonts w:ascii="Calibri" w:hAnsi="Calibri" w:eastAsia="Calibri" w:cs="Calibri"/>
          <w:noProof w:val="0"/>
          <w:sz w:val="22"/>
          <w:szCs w:val="22"/>
          <w:lang w:val="en-US"/>
        </w:rPr>
        <w:t>Evoloution</w:t>
      </w:r>
      <w:proofErr w:type="spellEnd"/>
      <w:r w:rsidRPr="355FDBB9" w:rsidR="355FDBB9">
        <w:rPr>
          <w:rFonts w:ascii="Calibri" w:hAnsi="Calibri" w:eastAsia="Calibri" w:cs="Calibri"/>
          <w:noProof w:val="0"/>
          <w:sz w:val="22"/>
          <w:szCs w:val="22"/>
          <w:lang w:val="en-US"/>
        </w:rPr>
        <w:t xml:space="preserve"> of the Syllabus at bath Spa University and the University of Wales, Lampeter. In: Holbrook J.C., </w:t>
      </w:r>
      <w:proofErr w:type="spellStart"/>
      <w:r w:rsidRPr="355FDBB9" w:rsidR="355FDBB9">
        <w:rPr>
          <w:rFonts w:ascii="Calibri" w:hAnsi="Calibri" w:eastAsia="Calibri" w:cs="Calibri"/>
          <w:noProof w:val="0"/>
          <w:sz w:val="22"/>
          <w:szCs w:val="22"/>
          <w:lang w:val="en-US"/>
        </w:rPr>
        <w:t>Urama</w:t>
      </w:r>
      <w:proofErr w:type="spellEnd"/>
      <w:r w:rsidRPr="355FDBB9" w:rsidR="355FDBB9">
        <w:rPr>
          <w:rFonts w:ascii="Calibri" w:hAnsi="Calibri" w:eastAsia="Calibri" w:cs="Calibri"/>
          <w:noProof w:val="0"/>
          <w:sz w:val="22"/>
          <w:szCs w:val="22"/>
          <w:lang w:val="en-US"/>
        </w:rPr>
        <w:t xml:space="preserve"> J.O., </w:t>
      </w:r>
      <w:proofErr w:type="spellStart"/>
      <w:r w:rsidRPr="355FDBB9" w:rsidR="355FDBB9">
        <w:rPr>
          <w:rFonts w:ascii="Calibri" w:hAnsi="Calibri" w:eastAsia="Calibri" w:cs="Calibri"/>
          <w:noProof w:val="0"/>
          <w:sz w:val="22"/>
          <w:szCs w:val="22"/>
          <w:lang w:val="en-US"/>
        </w:rPr>
        <w:t>Medupe</w:t>
      </w:r>
      <w:proofErr w:type="spellEnd"/>
      <w:r w:rsidRPr="355FDBB9" w:rsidR="355FDBB9">
        <w:rPr>
          <w:rFonts w:ascii="Calibri" w:hAnsi="Calibri" w:eastAsia="Calibri" w:cs="Calibri"/>
          <w:noProof w:val="0"/>
          <w:sz w:val="22"/>
          <w:szCs w:val="22"/>
          <w:lang w:val="en-US"/>
        </w:rPr>
        <w:t xml:space="preserve"> R.T. (eds) African Cultural Astronomy. Astrophysics and Space Science Prod=</w:t>
      </w:r>
      <w:proofErr w:type="spellStart"/>
      <w:r w:rsidRPr="355FDBB9" w:rsidR="355FDBB9">
        <w:rPr>
          <w:rFonts w:ascii="Calibri" w:hAnsi="Calibri" w:eastAsia="Calibri" w:cs="Calibri"/>
          <w:noProof w:val="0"/>
          <w:sz w:val="22"/>
          <w:szCs w:val="22"/>
          <w:lang w:val="en-US"/>
        </w:rPr>
        <w:t>ceedings</w:t>
      </w:r>
      <w:proofErr w:type="spellEnd"/>
      <w:r w:rsidRPr="355FDBB9" w:rsidR="355FDBB9">
        <w:rPr>
          <w:rFonts w:ascii="Calibri" w:hAnsi="Calibri" w:eastAsia="Calibri" w:cs="Calibri"/>
          <w:noProof w:val="0"/>
          <w:sz w:val="22"/>
          <w:szCs w:val="22"/>
          <w:lang w:val="en-US"/>
        </w:rPr>
        <w:t>. Spinger, Dordrecht, p. 1.</w:t>
      </w:r>
    </w:p>
    <w:p w:rsidR="7F8594A9" w:rsidP="7F8594A9" w:rsidRDefault="7F8594A9" w14:paraId="3ED003EE" w14:textId="4D5313D0">
      <w:pPr>
        <w:pStyle w:val="Normal"/>
        <w:spacing w:line="240" w:lineRule="auto"/>
        <w:jc w:val="both"/>
        <w:rPr>
          <w:rFonts w:ascii="Calibri" w:hAnsi="Calibri" w:eastAsia="Calibri" w:cs="Calibri"/>
          <w:noProof w:val="0"/>
          <w:sz w:val="22"/>
          <w:szCs w:val="22"/>
          <w:lang w:val="en-US"/>
        </w:rPr>
      </w:pPr>
      <w:r w:rsidRPr="355FDBB9" w:rsidR="355FDBB9">
        <w:rPr>
          <w:rFonts w:ascii="Calibri" w:hAnsi="Calibri" w:eastAsia="Calibri" w:cs="Calibri"/>
          <w:noProof w:val="0"/>
          <w:sz w:val="22"/>
          <w:szCs w:val="22"/>
          <w:lang w:val="en-US"/>
        </w:rPr>
        <w:t>Hamacher ,Duane W, ‘</w:t>
      </w:r>
      <w:r w:rsidRPr="355FDBB9" w:rsidR="355FDBB9">
        <w:rPr>
          <w:rFonts w:ascii="Calibri" w:hAnsi="Calibri" w:eastAsia="Calibri" w:cs="Calibri"/>
          <w:i w:val="1"/>
          <w:iCs w:val="1"/>
          <w:noProof w:val="0"/>
          <w:sz w:val="22"/>
          <w:szCs w:val="22"/>
          <w:lang w:val="en-US"/>
        </w:rPr>
        <w:t xml:space="preserve">The Conversation.’ </w:t>
      </w:r>
      <w:r w:rsidRPr="355FDBB9" w:rsidR="355FDBB9">
        <w:rPr>
          <w:rFonts w:ascii="Calibri" w:hAnsi="Calibri" w:eastAsia="Calibri" w:cs="Calibri"/>
          <w:noProof w:val="0"/>
          <w:sz w:val="22"/>
          <w:szCs w:val="22"/>
          <w:lang w:val="en-US"/>
        </w:rPr>
        <w:t xml:space="preserve">(2013). </w:t>
      </w:r>
      <w:hyperlink r:id="Ra353fa8330074fff">
        <w:r w:rsidRPr="355FDBB9" w:rsidR="355FDBB9">
          <w:rPr>
            <w:rStyle w:val="Hyperlink"/>
            <w:rFonts w:ascii="Calibri" w:hAnsi="Calibri" w:eastAsia="Calibri" w:cs="Calibri"/>
            <w:strike w:val="0"/>
            <w:dstrike w:val="0"/>
            <w:noProof w:val="0"/>
            <w:sz w:val="22"/>
            <w:szCs w:val="22"/>
            <w:lang w:val="en-US"/>
          </w:rPr>
          <w:t>https://theconversation.com/profiles/duane-w-hamacher-98016</w:t>
        </w:r>
      </w:hyperlink>
      <w:r w:rsidRPr="355FDBB9" w:rsidR="355FDBB9">
        <w:rPr>
          <w:rFonts w:ascii="Calibri" w:hAnsi="Calibri" w:eastAsia="Calibri" w:cs="Calibri"/>
          <w:noProof w:val="0"/>
          <w:sz w:val="22"/>
          <w:szCs w:val="22"/>
          <w:lang w:val="en-US"/>
        </w:rPr>
        <w:t>. [accessed 28</w:t>
      </w:r>
      <w:r w:rsidRPr="355FDBB9" w:rsidR="355FDBB9">
        <w:rPr>
          <w:rFonts w:ascii="Calibri" w:hAnsi="Calibri" w:eastAsia="Calibri" w:cs="Calibri"/>
          <w:noProof w:val="0"/>
          <w:sz w:val="22"/>
          <w:szCs w:val="22"/>
          <w:vertAlign w:val="superscript"/>
          <w:lang w:val="en-US"/>
        </w:rPr>
        <w:t>th</w:t>
      </w:r>
      <w:r w:rsidRPr="355FDBB9" w:rsidR="355FDBB9">
        <w:rPr>
          <w:rFonts w:ascii="Calibri" w:hAnsi="Calibri" w:eastAsia="Calibri" w:cs="Calibri"/>
          <w:noProof w:val="0"/>
          <w:sz w:val="22"/>
          <w:szCs w:val="22"/>
          <w:lang w:val="en-US"/>
        </w:rPr>
        <w:t xml:space="preserve"> October 2021].</w:t>
      </w:r>
    </w:p>
    <w:p w:rsidR="7F8594A9" w:rsidP="7F8594A9" w:rsidRDefault="7F8594A9" w14:paraId="1B233A16" w14:textId="55434B29">
      <w:pPr>
        <w:spacing w:line="240" w:lineRule="auto"/>
        <w:jc w:val="both"/>
        <w:rPr>
          <w:rFonts w:ascii="Calibri" w:hAnsi="Calibri" w:eastAsia="Calibri" w:cs="Calibri"/>
          <w:noProof w:val="0"/>
          <w:sz w:val="22"/>
          <w:szCs w:val="22"/>
          <w:lang w:val="en-US"/>
        </w:rPr>
      </w:pPr>
      <w:r w:rsidRPr="355FDBB9" w:rsidR="355FDBB9">
        <w:rPr>
          <w:rFonts w:ascii="Calibri" w:hAnsi="Calibri" w:eastAsia="Calibri" w:cs="Calibri"/>
          <w:noProof w:val="0"/>
          <w:sz w:val="22"/>
          <w:szCs w:val="22"/>
          <w:lang w:val="en-US"/>
        </w:rPr>
        <w:t xml:space="preserve">Norris Ray P. Australian Telescope National Facility (2013).  </w:t>
      </w:r>
      <w:hyperlink r:id="R187fed75afd348d0">
        <w:r w:rsidRPr="355FDBB9" w:rsidR="355FDBB9">
          <w:rPr>
            <w:rStyle w:val="Hyperlink"/>
            <w:rFonts w:ascii="Calibri" w:hAnsi="Calibri" w:eastAsia="Calibri" w:cs="Calibri"/>
            <w:strike w:val="0"/>
            <w:dstrike w:val="0"/>
            <w:noProof w:val="0"/>
            <w:sz w:val="22"/>
            <w:szCs w:val="22"/>
            <w:lang w:val="en-US"/>
          </w:rPr>
          <w:t>https://www.atnf.csiro.au/people/Ray.Norris/outreach/informal_bio.htm</w:t>
        </w:r>
      </w:hyperlink>
      <w:r w:rsidRPr="355FDBB9" w:rsidR="355FDBB9">
        <w:rPr>
          <w:rFonts w:ascii="Calibri" w:hAnsi="Calibri" w:eastAsia="Calibri" w:cs="Calibri"/>
          <w:noProof w:val="0"/>
          <w:sz w:val="22"/>
          <w:szCs w:val="22"/>
          <w:lang w:val="en-US"/>
        </w:rPr>
        <w:t xml:space="preserve">. </w:t>
      </w:r>
      <w:r w:rsidRPr="355FDBB9" w:rsidR="355FDBB9">
        <w:rPr>
          <w:rFonts w:ascii="Calibri" w:hAnsi="Calibri" w:eastAsia="Calibri" w:cs="Calibri"/>
          <w:noProof w:val="0"/>
          <w:color w:val="000000" w:themeColor="text1" w:themeTint="FF" w:themeShade="FF"/>
          <w:sz w:val="22"/>
          <w:szCs w:val="22"/>
          <w:lang w:val="en-US"/>
        </w:rPr>
        <w:t>[accessed 28</w:t>
      </w:r>
      <w:r w:rsidRPr="355FDBB9" w:rsidR="355FDBB9">
        <w:rPr>
          <w:rFonts w:ascii="Calibri" w:hAnsi="Calibri" w:eastAsia="Calibri" w:cs="Calibri"/>
          <w:noProof w:val="0"/>
          <w:color w:val="000000" w:themeColor="text1" w:themeTint="FF" w:themeShade="FF"/>
          <w:sz w:val="22"/>
          <w:szCs w:val="22"/>
          <w:vertAlign w:val="superscript"/>
          <w:lang w:val="en-US"/>
        </w:rPr>
        <w:t>th</w:t>
      </w:r>
      <w:r w:rsidRPr="355FDBB9" w:rsidR="355FDBB9">
        <w:rPr>
          <w:rFonts w:ascii="Calibri" w:hAnsi="Calibri" w:eastAsia="Calibri" w:cs="Calibri"/>
          <w:noProof w:val="0"/>
          <w:color w:val="000000" w:themeColor="text1" w:themeTint="FF" w:themeShade="FF"/>
          <w:sz w:val="22"/>
          <w:szCs w:val="22"/>
          <w:lang w:val="en-US"/>
        </w:rPr>
        <w:t xml:space="preserve"> October 2021].</w:t>
      </w:r>
    </w:p>
    <w:p w:rsidR="7F8594A9" w:rsidP="7F8594A9" w:rsidRDefault="7F8594A9" w14:paraId="772D1E8C" w14:textId="2DAAD4DE">
      <w:pPr>
        <w:pStyle w:val="Normal"/>
        <w:spacing w:line="240" w:lineRule="auto"/>
        <w:jc w:val="both"/>
        <w:rPr>
          <w:rFonts w:ascii="Calibri" w:hAnsi="Calibri" w:eastAsia="Calibri" w:cs="Calibri"/>
          <w:noProof w:val="0"/>
          <w:sz w:val="22"/>
          <w:szCs w:val="22"/>
          <w:lang w:val="en-US"/>
        </w:rPr>
      </w:pPr>
      <w:proofErr w:type="spellStart"/>
      <w:r w:rsidRPr="355FDBB9" w:rsidR="355FDBB9">
        <w:rPr>
          <w:rFonts w:ascii="Calibri" w:hAnsi="Calibri" w:eastAsia="Calibri" w:cs="Calibri"/>
          <w:noProof w:val="0"/>
          <w:sz w:val="22"/>
          <w:szCs w:val="22"/>
          <w:lang w:val="en-US"/>
        </w:rPr>
        <w:t>Pankenier</w:t>
      </w:r>
      <w:proofErr w:type="spellEnd"/>
      <w:r w:rsidRPr="355FDBB9" w:rsidR="355FDBB9">
        <w:rPr>
          <w:rFonts w:ascii="Calibri" w:hAnsi="Calibri" w:eastAsia="Calibri" w:cs="Calibri"/>
          <w:noProof w:val="0"/>
          <w:sz w:val="22"/>
          <w:szCs w:val="22"/>
          <w:lang w:val="en-US"/>
        </w:rPr>
        <w:t xml:space="preserve">, David W. </w:t>
      </w:r>
      <w:r w:rsidRPr="355FDBB9" w:rsidR="355FDBB9">
        <w:rPr>
          <w:rFonts w:ascii="Calibri" w:hAnsi="Calibri" w:eastAsia="Calibri" w:cs="Calibri"/>
          <w:i w:val="1"/>
          <w:iCs w:val="1"/>
          <w:noProof w:val="0"/>
          <w:sz w:val="22"/>
          <w:szCs w:val="22"/>
          <w:lang w:val="en-US"/>
        </w:rPr>
        <w:t xml:space="preserve">Department of Languages Literature, Lehigh University. </w:t>
      </w:r>
      <w:hyperlink r:id="R7e7c57dc8da9478a">
        <w:r w:rsidRPr="355FDBB9" w:rsidR="355FDBB9">
          <w:rPr>
            <w:rStyle w:val="Hyperlink"/>
            <w:rFonts w:ascii="Calibri" w:hAnsi="Calibri" w:eastAsia="Calibri" w:cs="Calibri"/>
            <w:strike w:val="0"/>
            <w:dstrike w:val="0"/>
            <w:noProof w:val="0"/>
            <w:sz w:val="22"/>
            <w:szCs w:val="22"/>
            <w:lang w:val="en-US"/>
          </w:rPr>
          <w:t>https://mll.cas.lehigh.edu/david-pankenier.</w:t>
        </w:r>
      </w:hyperlink>
      <w:r w:rsidRPr="355FDBB9" w:rsidR="355FDBB9">
        <w:rPr>
          <w:rFonts w:ascii="Calibri" w:hAnsi="Calibri" w:eastAsia="Calibri" w:cs="Calibri"/>
          <w:noProof w:val="0"/>
          <w:sz w:val="22"/>
          <w:szCs w:val="22"/>
          <w:lang w:val="en-US"/>
        </w:rPr>
        <w:t xml:space="preserve"> [accessed 28</w:t>
      </w:r>
      <w:r w:rsidRPr="355FDBB9" w:rsidR="355FDBB9">
        <w:rPr>
          <w:rFonts w:ascii="Calibri" w:hAnsi="Calibri" w:eastAsia="Calibri" w:cs="Calibri"/>
          <w:noProof w:val="0"/>
          <w:sz w:val="22"/>
          <w:szCs w:val="22"/>
          <w:vertAlign w:val="superscript"/>
          <w:lang w:val="en-US"/>
        </w:rPr>
        <w:t>th</w:t>
      </w:r>
      <w:r w:rsidRPr="355FDBB9" w:rsidR="355FDBB9">
        <w:rPr>
          <w:rFonts w:ascii="Calibri" w:hAnsi="Calibri" w:eastAsia="Calibri" w:cs="Calibri"/>
          <w:noProof w:val="0"/>
          <w:sz w:val="22"/>
          <w:szCs w:val="22"/>
          <w:lang w:val="en-US"/>
        </w:rPr>
        <w:t xml:space="preserve"> October 2021].</w:t>
      </w:r>
    </w:p>
    <w:p w:rsidR="7F8594A9" w:rsidP="7F8594A9" w:rsidRDefault="7F8594A9" w14:paraId="7526A950" w14:textId="1E537B23">
      <w:pPr>
        <w:spacing w:line="240" w:lineRule="auto"/>
        <w:jc w:val="both"/>
        <w:rPr>
          <w:rFonts w:ascii="Calibri" w:hAnsi="Calibri" w:eastAsia="Calibri" w:cs="Calibri"/>
          <w:noProof w:val="0"/>
          <w:sz w:val="22"/>
          <w:szCs w:val="22"/>
          <w:lang w:val="en-US"/>
        </w:rPr>
      </w:pPr>
      <w:r w:rsidRPr="355FDBB9" w:rsidR="355FDBB9">
        <w:rPr>
          <w:rFonts w:ascii="Calibri" w:hAnsi="Calibri" w:eastAsia="Calibri" w:cs="Calibri"/>
          <w:noProof w:val="0"/>
          <w:sz w:val="22"/>
          <w:szCs w:val="22"/>
          <w:lang w:val="en-US"/>
        </w:rPr>
        <w:t>Ehrenberg Andrew S. C. (1982). ’</w:t>
      </w:r>
      <w:r w:rsidRPr="355FDBB9" w:rsidR="355FDBB9">
        <w:rPr>
          <w:rFonts w:ascii="Calibri" w:hAnsi="Calibri" w:eastAsia="Calibri" w:cs="Calibri"/>
          <w:i w:val="1"/>
          <w:iCs w:val="1"/>
          <w:noProof w:val="0"/>
          <w:sz w:val="22"/>
          <w:szCs w:val="22"/>
          <w:lang w:val="en-US"/>
        </w:rPr>
        <w:t>Writing Technical Papers or Reports</w:t>
      </w:r>
      <w:r w:rsidRPr="355FDBB9" w:rsidR="355FDBB9">
        <w:rPr>
          <w:rFonts w:ascii="Calibri" w:hAnsi="Calibri" w:eastAsia="Calibri" w:cs="Calibri"/>
          <w:noProof w:val="0"/>
          <w:sz w:val="22"/>
          <w:szCs w:val="22"/>
          <w:lang w:val="en-US"/>
        </w:rPr>
        <w:t>.’ The American Statistician 36, no.4, p. 326.</w:t>
      </w:r>
    </w:p>
    <w:p w:rsidR="7F8594A9" w:rsidP="355FDBB9" w:rsidRDefault="7F8594A9" w14:paraId="14F6ED17" w14:textId="60CA1D6E">
      <w:pPr>
        <w:spacing w:line="240" w:lineRule="auto"/>
        <w:jc w:val="both"/>
        <w:rPr>
          <w:rFonts w:ascii="Calibri" w:hAnsi="Calibri" w:eastAsia="Calibri" w:cs="Calibri"/>
          <w:noProof w:val="0"/>
          <w:sz w:val="22"/>
          <w:szCs w:val="22"/>
          <w:lang w:val="en-US"/>
        </w:rPr>
      </w:pPr>
      <w:r w:rsidRPr="355FDBB9" w:rsidR="355FDBB9">
        <w:rPr>
          <w:rFonts w:ascii="Calibri" w:hAnsi="Calibri" w:eastAsia="Calibri" w:cs="Calibri"/>
          <w:noProof w:val="0"/>
          <w:sz w:val="22"/>
          <w:szCs w:val="22"/>
          <w:lang w:val="en-US"/>
        </w:rPr>
        <w:t>Heinmiller, Paul R, and Alice S. Allen. (1962). ’</w:t>
      </w:r>
      <w:r w:rsidRPr="355FDBB9" w:rsidR="355FDBB9">
        <w:rPr>
          <w:rFonts w:ascii="Calibri" w:hAnsi="Calibri" w:eastAsia="Calibri" w:cs="Calibri"/>
          <w:i w:val="1"/>
          <w:iCs w:val="1"/>
          <w:noProof w:val="0"/>
          <w:sz w:val="22"/>
          <w:szCs w:val="22"/>
          <w:lang w:val="en-US"/>
        </w:rPr>
        <w:t>Developing a Technical Writing Style</w:t>
      </w:r>
      <w:r w:rsidRPr="355FDBB9" w:rsidR="355FDBB9">
        <w:rPr>
          <w:rFonts w:ascii="Calibri" w:hAnsi="Calibri" w:eastAsia="Calibri" w:cs="Calibri"/>
          <w:noProof w:val="0"/>
          <w:sz w:val="22"/>
          <w:szCs w:val="22"/>
          <w:lang w:val="en-US"/>
        </w:rPr>
        <w:t>.’ STWP Review, 9, no 3, p. 5.</w:t>
      </w:r>
    </w:p>
    <w:p w:rsidR="7F8594A9" w:rsidP="7F8594A9" w:rsidRDefault="7F8594A9" w14:paraId="33D5333C" w14:textId="28FD71E8">
      <w:pPr>
        <w:spacing w:line="240" w:lineRule="auto"/>
        <w:jc w:val="both"/>
        <w:rPr>
          <w:rFonts w:ascii="Calibri" w:hAnsi="Calibri" w:eastAsia="Calibri" w:cs="Calibri"/>
          <w:noProof w:val="0"/>
          <w:sz w:val="22"/>
          <w:szCs w:val="22"/>
          <w:lang w:val="en-US"/>
        </w:rPr>
      </w:pPr>
      <w:r w:rsidRPr="355FDBB9" w:rsidR="355FDBB9">
        <w:rPr>
          <w:rFonts w:ascii="Calibri" w:hAnsi="Calibri" w:eastAsia="Calibri" w:cs="Calibri"/>
          <w:noProof w:val="0"/>
          <w:sz w:val="22"/>
          <w:szCs w:val="22"/>
          <w:lang w:val="en-US"/>
        </w:rPr>
        <w:t>Campion, Nicholas. ’</w:t>
      </w:r>
      <w:r w:rsidRPr="355FDBB9" w:rsidR="355FDBB9">
        <w:rPr>
          <w:rFonts w:ascii="Calibri" w:hAnsi="Calibri" w:eastAsia="Calibri" w:cs="Calibri"/>
          <w:i w:val="1"/>
          <w:iCs w:val="1"/>
          <w:noProof w:val="0"/>
          <w:sz w:val="22"/>
          <w:szCs w:val="22"/>
          <w:lang w:val="en-US"/>
        </w:rPr>
        <w:t>The Celestial Offices</w:t>
      </w:r>
      <w:r w:rsidRPr="355FDBB9" w:rsidR="355FDBB9">
        <w:rPr>
          <w:rFonts w:ascii="Calibri" w:hAnsi="Calibri" w:eastAsia="Calibri" w:cs="Calibri"/>
          <w:noProof w:val="0"/>
          <w:sz w:val="22"/>
          <w:szCs w:val="22"/>
          <w:lang w:val="en-US"/>
        </w:rPr>
        <w:t>.’ In Astrology and Cosmology in the World’s Religionss, NYU Press, 2012. P. 96.</w:t>
      </w:r>
    </w:p>
    <w:p w:rsidR="7F8594A9" w:rsidP="7F8594A9" w:rsidRDefault="7F8594A9" w14:paraId="0471F65B" w14:textId="1475450A">
      <w:pPr>
        <w:pStyle w:val="Normal"/>
        <w:spacing w:line="240" w:lineRule="auto"/>
        <w:jc w:val="both"/>
        <w:rPr>
          <w:rFonts w:ascii="Calibri" w:hAnsi="Calibri" w:eastAsia="Calibri" w:cs="Calibri"/>
          <w:noProof w:val="0"/>
          <w:sz w:val="22"/>
          <w:szCs w:val="22"/>
          <w:lang w:val="en-US"/>
        </w:rPr>
      </w:pPr>
      <w:r w:rsidRPr="355FDBB9" w:rsidR="355FDBB9">
        <w:rPr>
          <w:rFonts w:ascii="Calibri" w:hAnsi="Calibri" w:eastAsia="Calibri" w:cs="Calibri"/>
          <w:noProof w:val="0"/>
          <w:sz w:val="22"/>
          <w:szCs w:val="22"/>
          <w:lang w:val="en-US"/>
        </w:rPr>
        <w:t>Garfield, Eugene. ’</w:t>
      </w:r>
      <w:r w:rsidRPr="355FDBB9" w:rsidR="355FDBB9">
        <w:rPr>
          <w:rFonts w:ascii="Calibri" w:hAnsi="Calibri" w:eastAsia="Calibri" w:cs="Calibri"/>
          <w:i w:val="1"/>
          <w:iCs w:val="1"/>
          <w:noProof w:val="0"/>
          <w:sz w:val="22"/>
          <w:szCs w:val="22"/>
          <w:lang w:val="en-US"/>
        </w:rPr>
        <w:t>When to Cite</w:t>
      </w:r>
      <w:r w:rsidRPr="355FDBB9" w:rsidR="355FDBB9">
        <w:rPr>
          <w:rFonts w:ascii="Calibri" w:hAnsi="Calibri" w:eastAsia="Calibri" w:cs="Calibri"/>
          <w:noProof w:val="0"/>
          <w:sz w:val="22"/>
          <w:szCs w:val="22"/>
          <w:lang w:val="en-US"/>
        </w:rPr>
        <w:t>.’ The Library Quarterly: Information, Community, Policy 66, no, 4 (1996): p 449.</w:t>
      </w:r>
    </w:p>
    <w:p w:rsidR="7F8594A9" w:rsidP="7F8594A9" w:rsidRDefault="7F8594A9" w14:paraId="262B13C4" w14:textId="6ABC98B9">
      <w:pPr>
        <w:spacing w:line="240" w:lineRule="auto"/>
        <w:jc w:val="both"/>
        <w:rPr>
          <w:rFonts w:ascii="Calibri" w:hAnsi="Calibri" w:eastAsia="Calibri" w:cs="Calibri"/>
          <w:noProof w:val="0"/>
          <w:sz w:val="22"/>
          <w:szCs w:val="22"/>
          <w:lang w:val="en-US"/>
        </w:rPr>
      </w:pPr>
      <w:r w:rsidRPr="355FDBB9" w:rsidR="355FDBB9">
        <w:rPr>
          <w:rFonts w:ascii="Calibri" w:hAnsi="Calibri" w:eastAsia="Calibri" w:cs="Calibri"/>
          <w:noProof w:val="0"/>
          <w:sz w:val="22"/>
          <w:szCs w:val="22"/>
          <w:lang w:val="en-US"/>
        </w:rPr>
        <w:t>Norris, Ray P, and Hamacher Duane W. (2009). ’</w:t>
      </w:r>
      <w:r w:rsidRPr="355FDBB9" w:rsidR="355FDBB9">
        <w:rPr>
          <w:rFonts w:ascii="Calibri" w:hAnsi="Calibri" w:eastAsia="Calibri" w:cs="Calibri"/>
          <w:i w:val="1"/>
          <w:iCs w:val="1"/>
          <w:noProof w:val="0"/>
          <w:sz w:val="22"/>
          <w:szCs w:val="22"/>
          <w:lang w:val="en-US"/>
        </w:rPr>
        <w:t>The Astronomy of Aboriginal Australians</w:t>
      </w:r>
      <w:r w:rsidRPr="355FDBB9" w:rsidR="355FDBB9">
        <w:rPr>
          <w:rFonts w:ascii="Calibri" w:hAnsi="Calibri" w:eastAsia="Calibri" w:cs="Calibri"/>
          <w:noProof w:val="0"/>
          <w:sz w:val="22"/>
          <w:szCs w:val="22"/>
          <w:lang w:val="en-US"/>
        </w:rPr>
        <w:t>.’ International Astronomical Union Proceedings of the International Astronomical Union, 5, pp. 39-47.</w:t>
      </w:r>
    </w:p>
    <w:p w:rsidR="7F8594A9" w:rsidP="7F8594A9" w:rsidRDefault="7F8594A9" w14:paraId="63BB5311" w14:textId="2AC90D4F">
      <w:pPr>
        <w:pStyle w:val="Normal"/>
        <w:spacing w:line="240" w:lineRule="auto"/>
        <w:jc w:val="both"/>
        <w:rPr>
          <w:rFonts w:ascii="Calibri" w:hAnsi="Calibri" w:eastAsia="Calibri" w:cs="Calibri"/>
          <w:noProof w:val="0"/>
          <w:sz w:val="22"/>
          <w:szCs w:val="22"/>
          <w:lang w:val="en-US"/>
        </w:rPr>
      </w:pPr>
      <w:r w:rsidRPr="355FDBB9" w:rsidR="355FDBB9">
        <w:rPr>
          <w:rFonts w:ascii="Calibri" w:hAnsi="Calibri" w:eastAsia="Calibri" w:cs="Calibri"/>
          <w:noProof w:val="0"/>
          <w:sz w:val="22"/>
          <w:szCs w:val="22"/>
          <w:lang w:val="en-US"/>
        </w:rPr>
        <w:t xml:space="preserve">Phillips, Estelle Phillips and Pugh Derek. EBOOK: </w:t>
      </w:r>
      <w:r w:rsidRPr="355FDBB9" w:rsidR="355FDBB9">
        <w:rPr>
          <w:rFonts w:ascii="Calibri" w:hAnsi="Calibri" w:eastAsia="Calibri" w:cs="Calibri"/>
          <w:i w:val="1"/>
          <w:iCs w:val="1"/>
          <w:noProof w:val="0"/>
          <w:sz w:val="22"/>
          <w:szCs w:val="22"/>
          <w:lang w:val="en-US"/>
        </w:rPr>
        <w:t>How to Get a PhD: A Handbook for Students and Their Supervisors</w:t>
      </w:r>
      <w:r w:rsidRPr="355FDBB9" w:rsidR="355FDBB9">
        <w:rPr>
          <w:rFonts w:ascii="Calibri" w:hAnsi="Calibri" w:eastAsia="Calibri" w:cs="Calibri"/>
          <w:noProof w:val="0"/>
          <w:sz w:val="22"/>
          <w:szCs w:val="22"/>
          <w:lang w:val="en-US"/>
        </w:rPr>
        <w:t>. United Kingdom: McGraw-Hill Education, 2015.</w:t>
      </w:r>
    </w:p>
    <w:p w:rsidR="355FDBB9" w:rsidP="355FDBB9" w:rsidRDefault="355FDBB9" w14:paraId="0CD525AD" w14:textId="0F77DB8B">
      <w:pPr>
        <w:pStyle w:val="FootnoteText"/>
        <w:bidi w:val="0"/>
        <w:rPr>
          <w:i w:val="0"/>
          <w:iCs w:val="0"/>
          <w:sz w:val="22"/>
          <w:szCs w:val="22"/>
        </w:rPr>
      </w:pPr>
      <w:r w:rsidRPr="355FDBB9" w:rsidR="355FDBB9">
        <w:rPr>
          <w:sz w:val="22"/>
          <w:szCs w:val="22"/>
        </w:rPr>
        <w:t>Ruggles, Clive. (2010). ’</w:t>
      </w:r>
      <w:r w:rsidRPr="355FDBB9" w:rsidR="355FDBB9">
        <w:rPr>
          <w:i w:val="1"/>
          <w:iCs w:val="1"/>
          <w:sz w:val="22"/>
          <w:szCs w:val="22"/>
        </w:rPr>
        <w:t>Indigenous Astronomies and Progress in Modern Astronomy</w:t>
      </w:r>
      <w:r w:rsidRPr="355FDBB9" w:rsidR="355FDBB9">
        <w:rPr>
          <w:i w:val="0"/>
          <w:iCs w:val="0"/>
          <w:sz w:val="22"/>
          <w:szCs w:val="22"/>
        </w:rPr>
        <w:t>.’ Proceedings of Science, School of Archeology and Ancient History, University of Leicester, p. 8.</w:t>
      </w:r>
    </w:p>
    <w:p w:rsidR="355FDBB9" w:rsidP="355FDBB9" w:rsidRDefault="355FDBB9" w14:paraId="2005C8D2" w14:textId="34E7AF79">
      <w:pPr>
        <w:pStyle w:val="FootnoteText"/>
        <w:bidi w:val="0"/>
        <w:rPr>
          <w:i w:val="0"/>
          <w:iCs w:val="0"/>
          <w:sz w:val="20"/>
          <w:szCs w:val="20"/>
        </w:rPr>
      </w:pPr>
      <w:r w:rsidRPr="355FDBB9" w:rsidR="355FDBB9">
        <w:rPr>
          <w:i w:val="0"/>
          <w:iCs w:val="0"/>
          <w:sz w:val="20"/>
          <w:szCs w:val="20"/>
        </w:rPr>
        <w:t xml:space="preserve"> </w:t>
      </w:r>
    </w:p>
    <w:p w:rsidR="355FDBB9" w:rsidP="355FDBB9" w:rsidRDefault="355FDBB9" w14:paraId="41AEDE5D" w14:textId="798B72A3">
      <w:pPr>
        <w:pStyle w:val="FootnoteText"/>
        <w:ind w:firstLine="0"/>
        <w:rPr>
          <w:rFonts w:ascii="Calibri" w:hAnsi="Calibri" w:eastAsia="Calibri" w:cs="Calibri"/>
          <w:color w:val="181817"/>
          <w:sz w:val="22"/>
          <w:szCs w:val="22"/>
        </w:rPr>
      </w:pPr>
      <w:r w:rsidRPr="355FDBB9" w:rsidR="355FDBB9">
        <w:rPr>
          <w:rFonts w:ascii="Calibri" w:hAnsi="Calibri" w:eastAsia="Calibri" w:cs="Calibri"/>
          <w:color w:val="181817"/>
          <w:sz w:val="22"/>
          <w:szCs w:val="22"/>
        </w:rPr>
        <w:t>Ruggles Clive L. N. (2015). ’</w:t>
      </w:r>
      <w:r w:rsidRPr="355FDBB9" w:rsidR="355FDBB9">
        <w:rPr>
          <w:rFonts w:ascii="Calibri" w:hAnsi="Calibri" w:eastAsia="Calibri" w:cs="Calibri"/>
          <w:i w:val="1"/>
          <w:iCs w:val="1"/>
          <w:color w:val="181817"/>
          <w:sz w:val="22"/>
          <w:szCs w:val="22"/>
        </w:rPr>
        <w:t xml:space="preserve">Handbook of </w:t>
      </w:r>
      <w:r w:rsidRPr="355FDBB9" w:rsidR="355FDBB9">
        <w:rPr>
          <w:rFonts w:ascii="Calibri" w:hAnsi="Calibri" w:eastAsia="Calibri" w:cs="Calibri"/>
          <w:i w:val="1"/>
          <w:iCs w:val="1"/>
          <w:color w:val="181817"/>
          <w:sz w:val="22"/>
          <w:szCs w:val="22"/>
        </w:rPr>
        <w:t>Archeoastronomy</w:t>
      </w:r>
      <w:r w:rsidRPr="355FDBB9" w:rsidR="355FDBB9">
        <w:rPr>
          <w:rFonts w:ascii="Calibri" w:hAnsi="Calibri" w:eastAsia="Calibri" w:cs="Calibri"/>
          <w:i w:val="1"/>
          <w:iCs w:val="1"/>
          <w:color w:val="181817"/>
          <w:sz w:val="22"/>
          <w:szCs w:val="22"/>
        </w:rPr>
        <w:t xml:space="preserve"> and </w:t>
      </w:r>
      <w:r w:rsidRPr="355FDBB9" w:rsidR="355FDBB9">
        <w:rPr>
          <w:rFonts w:ascii="Calibri" w:hAnsi="Calibri" w:eastAsia="Calibri" w:cs="Calibri"/>
          <w:i w:val="1"/>
          <w:iCs w:val="1"/>
          <w:color w:val="181817"/>
          <w:sz w:val="22"/>
          <w:szCs w:val="22"/>
        </w:rPr>
        <w:t xml:space="preserve">Ethnoastronomy. </w:t>
      </w:r>
      <w:proofErr w:type="gramStart"/>
      <w:r w:rsidRPr="355FDBB9" w:rsidR="355FDBB9">
        <w:rPr>
          <w:rFonts w:ascii="Calibri" w:hAnsi="Calibri" w:eastAsia="Calibri" w:cs="Calibri"/>
          <w:i w:val="1"/>
          <w:iCs w:val="1"/>
          <w:color w:val="181817"/>
          <w:sz w:val="22"/>
          <w:szCs w:val="22"/>
        </w:rPr>
        <w:t>‘</w:t>
      </w:r>
      <w:r w:rsidRPr="355FDBB9" w:rsidR="355FDBB9">
        <w:rPr>
          <w:rFonts w:ascii="Calibri" w:hAnsi="Calibri" w:eastAsia="Calibri" w:cs="Calibri"/>
          <w:color w:val="181817"/>
          <w:sz w:val="22"/>
          <w:szCs w:val="22"/>
        </w:rPr>
        <w:t xml:space="preserve"> (</w:t>
      </w:r>
      <w:proofErr w:type="gramEnd"/>
      <w:r w:rsidRPr="355FDBB9" w:rsidR="355FDBB9">
        <w:rPr>
          <w:rFonts w:ascii="Calibri" w:hAnsi="Calibri" w:eastAsia="Calibri" w:cs="Calibri"/>
          <w:color w:val="181817"/>
          <w:sz w:val="22"/>
          <w:szCs w:val="22"/>
        </w:rPr>
        <w:t>1st ed. 2015.). Springer New York, pp. 15-30.</w:t>
      </w:r>
    </w:p>
    <w:p w:rsidR="355FDBB9" w:rsidP="355FDBB9" w:rsidRDefault="355FDBB9" w14:paraId="40675D50" w14:textId="48E0B347">
      <w:pPr>
        <w:pStyle w:val="FootnoteText"/>
        <w:bidi w:val="0"/>
        <w:rPr>
          <w:i w:val="0"/>
          <w:iCs w:val="0"/>
          <w:sz w:val="20"/>
          <w:szCs w:val="20"/>
        </w:rPr>
      </w:pPr>
    </w:p>
    <w:p w:rsidR="355FDBB9" w:rsidP="355FDBB9" w:rsidRDefault="355FDBB9" w14:paraId="6486F1CD" w14:textId="26ACDF5C">
      <w:pPr>
        <w:pStyle w:val="FootnoteText"/>
        <w:bidi w:val="0"/>
        <w:rPr>
          <w:sz w:val="22"/>
          <w:szCs w:val="22"/>
        </w:rPr>
      </w:pPr>
      <w:r w:rsidRPr="355FDBB9" w:rsidR="355FDBB9">
        <w:rPr>
          <w:sz w:val="22"/>
          <w:szCs w:val="22"/>
        </w:rPr>
        <w:t xml:space="preserve">Cambridge University Press. (2021). </w:t>
      </w:r>
      <w:r w:rsidRPr="355FDBB9" w:rsidR="355FDBB9">
        <w:rPr>
          <w:i w:val="1"/>
          <w:iCs w:val="1"/>
          <w:sz w:val="22"/>
          <w:szCs w:val="22"/>
        </w:rPr>
        <w:t>Proceedings of the International Astronomical Union</w:t>
      </w:r>
      <w:r w:rsidRPr="355FDBB9" w:rsidR="355FDBB9">
        <w:rPr>
          <w:i w:val="0"/>
          <w:iCs w:val="0"/>
          <w:sz w:val="22"/>
          <w:szCs w:val="22"/>
        </w:rPr>
        <w:t xml:space="preserve">.’ </w:t>
      </w:r>
      <w:hyperlink r:id="R09e0d6e0f682467d">
        <w:r w:rsidRPr="355FDBB9" w:rsidR="355FDBB9">
          <w:rPr>
            <w:rStyle w:val="Hyperlink"/>
            <w:sz w:val="22"/>
            <w:szCs w:val="22"/>
          </w:rPr>
          <w:t>https://www.cambridge.org/core/journals/proceedings-of-the-international-astronomical-union/issue/AB45A08EAC0792C2E2C9FB5CBE79E3D3</w:t>
        </w:r>
      </w:hyperlink>
      <w:r w:rsidRPr="355FDBB9" w:rsidR="355FDBB9">
        <w:rPr>
          <w:sz w:val="22"/>
          <w:szCs w:val="22"/>
        </w:rPr>
        <w:t xml:space="preserve"> [accessed 28</w:t>
      </w:r>
      <w:r w:rsidRPr="355FDBB9" w:rsidR="355FDBB9">
        <w:rPr>
          <w:sz w:val="22"/>
          <w:szCs w:val="22"/>
          <w:vertAlign w:val="superscript"/>
        </w:rPr>
        <w:t>th</w:t>
      </w:r>
      <w:r w:rsidRPr="355FDBB9" w:rsidR="355FDBB9">
        <w:rPr>
          <w:sz w:val="22"/>
          <w:szCs w:val="22"/>
        </w:rPr>
        <w:t xml:space="preserve"> October 2021].</w:t>
      </w:r>
    </w:p>
    <w:p w:rsidR="355FDBB9" w:rsidP="355FDBB9" w:rsidRDefault="355FDBB9" w14:paraId="0E86FCF9" w14:textId="564D997A">
      <w:pPr>
        <w:pStyle w:val="Normal"/>
        <w:spacing w:line="240" w:lineRule="auto"/>
        <w:jc w:val="both"/>
        <w:rPr>
          <w:rFonts w:ascii="Calibri" w:hAnsi="Calibri" w:eastAsia="Calibri" w:cs="Calibri"/>
          <w:noProof w:val="0"/>
          <w:sz w:val="22"/>
          <w:szCs w:val="22"/>
          <w:lang w:val="en-US"/>
        </w:rPr>
      </w:pPr>
    </w:p>
    <w:p w:rsidR="6A900AC6" w:rsidP="7F8594A9" w:rsidRDefault="6A900AC6" w14:paraId="0EE72DC9" w14:textId="49801192">
      <w:pPr>
        <w:spacing w:line="480" w:lineRule="auto"/>
        <w:jc w:val="both"/>
        <w:rPr>
          <w:rFonts w:ascii="Calibri" w:hAnsi="Calibri" w:eastAsia="Calibri" w:cs="Calibri"/>
        </w:rPr>
      </w:pPr>
    </w:p>
    <w:p w:rsidR="6A900AC6" w:rsidP="6A900AC6" w:rsidRDefault="6A900AC6" w14:paraId="008C0EB8" w14:textId="082ECEB4">
      <w:pPr>
        <w:jc w:val="both"/>
        <w:rPr>
          <w:rFonts w:ascii="Calibri" w:hAnsi="Calibri" w:eastAsia="Calibri" w:cs="Calibri"/>
        </w:rPr>
      </w:pPr>
    </w:p>
    <w:p w:rsidR="6A900AC6" w:rsidP="6A900AC6" w:rsidRDefault="6A900AC6" w14:paraId="1571B9BE" w14:textId="256E54DD">
      <w:pPr>
        <w:jc w:val="both"/>
        <w:rPr>
          <w:rFonts w:ascii="Calibri" w:hAnsi="Calibri" w:eastAsia="Calibri" w:cs="Calibri"/>
          <w:b/>
          <w:bCs/>
          <w:color w:val="000000" w:themeColor="text1"/>
          <w:lang w:val="en-GB"/>
        </w:rPr>
      </w:pPr>
    </w:p>
    <w:sectPr w:rsidR="6A900AC6">
      <w:headerReference w:type="default" r:id="rId11"/>
      <w:footerReference w:type="default" r:id="rId1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F3EA3" w:rsidRDefault="00EF3EA3" w14:paraId="744F5BCF" w14:textId="77777777">
      <w:pPr>
        <w:spacing w:after="0" w:line="240" w:lineRule="auto"/>
      </w:pPr>
      <w:r>
        <w:separator/>
      </w:r>
    </w:p>
  </w:endnote>
  <w:endnote w:type="continuationSeparator" w:id="0">
    <w:p w:rsidR="00EF3EA3" w:rsidRDefault="00EF3EA3" w14:paraId="49706CCB" w14:textId="77777777">
      <w:pPr>
        <w:spacing w:after="0" w:line="240" w:lineRule="auto"/>
      </w:pPr>
      <w:r>
        <w:continuationSeparator/>
      </w:r>
    </w:p>
  </w:endnote>
  <w:endnote w:type="continuationNotice" w:id="1">
    <w:p w:rsidR="00A14172" w:rsidRDefault="00A14172" w14:paraId="6375494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Lato">
    <w:panose1 w:val="020F0502020204030203"/>
    <w:charset w:val="00"/>
    <w:family w:val="swiss"/>
    <w:pitch w:val="variable"/>
    <w:sig w:usb0="E10002FF" w:usb1="5000ECFF" w:usb2="0000002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A900AC6" w:rsidTr="6A900AC6" w14:paraId="7C91CB4D" w14:textId="77777777">
      <w:tc>
        <w:tcPr>
          <w:tcW w:w="3120" w:type="dxa"/>
        </w:tcPr>
        <w:p w:rsidR="6A900AC6" w:rsidP="6A900AC6" w:rsidRDefault="6A900AC6" w14:paraId="005C8FCB" w14:textId="5A4B804D">
          <w:pPr>
            <w:pStyle w:val="Header"/>
            <w:ind w:left="-115"/>
          </w:pPr>
        </w:p>
      </w:tc>
      <w:tc>
        <w:tcPr>
          <w:tcW w:w="3120" w:type="dxa"/>
        </w:tcPr>
        <w:p w:rsidR="6A900AC6" w:rsidP="6A900AC6" w:rsidRDefault="6A900AC6" w14:paraId="564783E6" w14:textId="00EB5B54">
          <w:pPr>
            <w:pStyle w:val="Header"/>
            <w:jc w:val="center"/>
          </w:pPr>
        </w:p>
      </w:tc>
      <w:tc>
        <w:tcPr>
          <w:tcW w:w="3120" w:type="dxa"/>
        </w:tcPr>
        <w:p w:rsidR="6A900AC6" w:rsidP="6A900AC6" w:rsidRDefault="6A900AC6" w14:paraId="5A3AA243" w14:textId="589F3E03">
          <w:pPr>
            <w:pStyle w:val="Header"/>
            <w:ind w:right="-115"/>
            <w:jc w:val="right"/>
          </w:pPr>
          <w:r>
            <w:t>1</w:t>
          </w:r>
        </w:p>
      </w:tc>
    </w:tr>
  </w:tbl>
  <w:p w:rsidR="6A900AC6" w:rsidP="6A900AC6" w:rsidRDefault="6A900AC6" w14:paraId="44DBD74A" w14:textId="05A461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39C08E92" w:rsidRDefault="39C08E92" w14:paraId="6492B88B" w14:textId="3FBF3C08">
      <w:pPr>
        <w:spacing w:after="0" w:line="240" w:lineRule="auto"/>
      </w:pPr>
      <w:r>
        <w:separator/>
      </w:r>
    </w:p>
  </w:footnote>
  <w:footnote w:type="continuationSeparator" w:id="0">
    <w:p w:rsidR="39C08E92" w:rsidRDefault="39C08E92" w14:paraId="121BA166" w14:textId="0443AC92">
      <w:pPr>
        <w:spacing w:after="0" w:line="240" w:lineRule="auto"/>
      </w:pPr>
      <w:r>
        <w:continuationSeparator/>
      </w:r>
    </w:p>
  </w:footnote>
  <w:footnote w:type="continuationNotice" w:id="1">
    <w:p w:rsidR="00A14172" w:rsidRDefault="00A14172" w14:paraId="5BC50D3A" w14:textId="77777777">
      <w:pPr>
        <w:spacing w:after="0" w:line="240" w:lineRule="auto"/>
      </w:pPr>
    </w:p>
  </w:footnote>
  <w:footnote w:id="2">
    <w:p w:rsidR="6A900AC6" w:rsidP="7F8594A9" w:rsidRDefault="6A900AC6" w14:paraId="730B0B79" w14:textId="41F76F60">
      <w:pPr>
        <w:pStyle w:val="FootnoteText"/>
        <w:ind w:firstLine="0"/>
        <w:rPr>
          <w:rFonts w:ascii="Calibri" w:hAnsi="Calibri" w:eastAsia="Calibri" w:cs="Calibri" w:asciiTheme="minorAscii" w:hAnsiTheme="minorAscii" w:eastAsiaTheme="minorAscii" w:cstheme="minorAscii"/>
          <w:color w:val="555555"/>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Duane W. Hamacher and Ray P. Norris. (2011). ‘</w:t>
      </w:r>
      <w:r w:rsidRPr="355FDBB9">
        <w:rPr>
          <w:rFonts w:ascii="Calibri" w:hAnsi="Calibri" w:eastAsia="Calibri" w:cs="Calibri"/>
          <w:i w:val="1"/>
          <w:iCs w:val="1"/>
          <w:sz w:val="16"/>
          <w:szCs w:val="16"/>
        </w:rPr>
        <w:t xml:space="preserve">Bridging the Gap through Australian Cultural Astronomy</w:t>
      </w:r>
      <w:r w:rsidRPr="355FDBB9">
        <w:rPr>
          <w:rFonts w:ascii="Calibri" w:hAnsi="Calibri" w:eastAsia="Calibri" w:cs="Calibri"/>
          <w:i w:val="0"/>
          <w:iCs w:val="0"/>
          <w:sz w:val="16"/>
          <w:szCs w:val="16"/>
        </w:rPr>
        <w:t xml:space="preserve">.’ International Astronomical Union. Proceedings of the International Astronomical Union, 7, pp. 282-290.</w:t>
      </w:r>
    </w:p>
  </w:footnote>
  <w:footnote w:id="3">
    <w:p w:rsidR="6A900AC6" w:rsidP="7F8594A9" w:rsidRDefault="6A900AC6" w14:paraId="20816B8A" w14:textId="4565B975">
      <w:pPr>
        <w:pStyle w:val="FootnoteText"/>
        <w:ind w:firstLine="0"/>
        <w:rPr>
          <w:rFonts w:ascii="Calibri" w:hAnsi="Calibri" w:eastAsia="Calibri" w:cs="Calibri" w:asciiTheme="minorAscii" w:hAnsiTheme="minorAscii" w:eastAsiaTheme="minorAscii" w:cstheme="minorAscii"/>
          <w:color w:val="555555"/>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David W. </w:t>
      </w:r>
      <w:r w:rsidRPr="7F8594A9">
        <w:rPr>
          <w:rFonts w:ascii="Calibri" w:hAnsi="Calibri" w:eastAsia="Calibri" w:cs="Calibri"/>
          <w:sz w:val="16"/>
          <w:szCs w:val="16"/>
        </w:rPr>
        <w:t xml:space="preserve">Pankenier</w:t>
      </w:r>
      <w:r w:rsidRPr="7F8594A9">
        <w:rPr>
          <w:rFonts w:ascii="Calibri" w:hAnsi="Calibri" w:eastAsia="Calibri" w:cs="Calibri"/>
          <w:sz w:val="16"/>
          <w:szCs w:val="16"/>
        </w:rPr>
        <w:t xml:space="preserve">. (2011). ‘</w:t>
      </w:r>
      <w:r w:rsidRPr="355FDBB9">
        <w:rPr>
          <w:rFonts w:ascii="Calibri" w:hAnsi="Calibri" w:eastAsia="Calibri" w:cs="Calibri"/>
          <w:i w:val="1"/>
          <w:iCs w:val="1"/>
          <w:sz w:val="16"/>
          <w:szCs w:val="16"/>
        </w:rPr>
        <w:t xml:space="preserve">The Cosmic Center in Early China and Its Archaic Resonances</w:t>
      </w:r>
      <w:r w:rsidRPr="355FDBB9">
        <w:rPr>
          <w:rFonts w:ascii="Calibri" w:hAnsi="Calibri" w:eastAsia="Calibri" w:cs="Calibri"/>
          <w:i w:val="0"/>
          <w:iCs w:val="0"/>
          <w:sz w:val="16"/>
          <w:szCs w:val="16"/>
        </w:rPr>
        <w:t xml:space="preserve">.’ International Astronomical Union. Proceedings of the International Astronomical Union, 7 pp. 298-307.</w:t>
      </w:r>
    </w:p>
  </w:footnote>
  <w:footnote w:id="4">
    <w:p w:rsidR="6A900AC6" w:rsidP="355FDBB9" w:rsidRDefault="6A900AC6" w14:paraId="0FC037F4" w14:textId="2DAD7D8D">
      <w:pPr>
        <w:pStyle w:val="FootnoteText"/>
        <w:ind w:firstLine="0"/>
        <w:rPr>
          <w:rFonts w:ascii="Calibri" w:hAnsi="Calibri" w:eastAsia="Calibri" w:cs="Calibri" w:asciiTheme="minorAscii" w:hAnsiTheme="minorAscii" w:eastAsiaTheme="minorAscii" w:cstheme="minorAscii"/>
          <w:i w:val="0"/>
          <w:iCs w:val="0"/>
          <w:sz w:val="16"/>
          <w:szCs w:val="16"/>
        </w:rPr>
      </w:pPr>
      <w:r w:rsidRPr="7F8594A9">
        <w:rPr>
          <w:rStyle w:val="FootnoteReference"/>
          <w:rFonts w:ascii="Calibri" w:hAnsi="Calibri" w:eastAsia="Calibri" w:cs="Calibri" w:asciiTheme="minorAscii" w:hAnsiTheme="minorAscii" w:eastAsiaTheme="minorAscii" w:cstheme="minorAscii"/>
          <w:sz w:val="16"/>
          <w:szCs w:val="16"/>
        </w:rPr>
        <w:footnoteRef/>
      </w:r>
      <w:r w:rsidRPr="7F8594A9">
        <w:rPr>
          <w:rFonts w:ascii="Calibri" w:hAnsi="Calibri" w:eastAsia="Calibri" w:cs="Calibri" w:asciiTheme="minorAscii" w:hAnsiTheme="minorAscii" w:eastAsiaTheme="minorAscii" w:cstheme="minorAscii"/>
          <w:sz w:val="16"/>
          <w:szCs w:val="16"/>
        </w:rPr>
        <w:t xml:space="preserve"> Terry, Eagleton. ‘</w:t>
      </w:r>
      <w:r w:rsidRPr="355FDBB9">
        <w:rPr>
          <w:rFonts w:ascii="Calibri" w:hAnsi="Calibri" w:eastAsia="Calibri" w:cs="Calibri" w:asciiTheme="minorAscii" w:hAnsiTheme="minorAscii" w:eastAsiaTheme="minorAscii" w:cstheme="minorAscii"/>
          <w:i w:val="1"/>
          <w:iCs w:val="1"/>
          <w:sz w:val="16"/>
          <w:szCs w:val="16"/>
        </w:rPr>
        <w:t xml:space="preserve">Culture</w:t>
      </w:r>
      <w:r w:rsidRPr="355FDBB9">
        <w:rPr>
          <w:rFonts w:ascii="Calibri" w:hAnsi="Calibri" w:eastAsia="Calibri" w:cs="Calibri" w:asciiTheme="minorAscii" w:hAnsiTheme="minorAscii" w:eastAsiaTheme="minorAscii" w:cstheme="minorAscii"/>
          <w:i w:val="0"/>
          <w:iCs w:val="0"/>
          <w:sz w:val="16"/>
          <w:szCs w:val="16"/>
        </w:rPr>
        <w:t xml:space="preserve">.’ United Kingdom: Yale University Press, 2016, p. 2.</w:t>
      </w:r>
    </w:p>
  </w:footnote>
  <w:footnote w:id="5">
    <w:p w:rsidR="6A900AC6" w:rsidP="7F8594A9" w:rsidRDefault="6A900AC6" w14:paraId="6DEE4215" w14:textId="1F69992B">
      <w:pPr>
        <w:pStyle w:val="FootnoteText"/>
        <w:ind w:firstLine="0"/>
        <w:jc w:val="both"/>
        <w:rPr>
          <w:rFonts w:ascii="Calibri" w:hAnsi="Calibri" w:eastAsia="Calibri" w:cs="Calibri" w:asciiTheme="minorAscii" w:hAnsiTheme="minorAscii" w:eastAsiaTheme="minorAscii" w:cstheme="minorAscii"/>
          <w:color w:val="333333"/>
          <w:sz w:val="16"/>
          <w:szCs w:val="16"/>
        </w:rPr>
      </w:pPr>
      <w:r w:rsidRPr="7F8594A9">
        <w:rPr>
          <w:rStyle w:val="FootnoteReference"/>
          <w:rFonts w:ascii="Calibri" w:hAnsi="Calibri" w:eastAsia="Calibri" w:cs="Calibri" w:asciiTheme="minorAscii" w:hAnsiTheme="minorAscii" w:eastAsiaTheme="minorAscii" w:cstheme="minorAscii"/>
          <w:sz w:val="16"/>
          <w:szCs w:val="16"/>
        </w:rPr>
        <w:footnoteRef/>
      </w:r>
      <w:r w:rsidRPr="7F8594A9">
        <w:rPr>
          <w:rFonts w:ascii="Calibri" w:hAnsi="Calibri" w:eastAsia="Calibri" w:cs="Calibri" w:asciiTheme="minorAscii" w:hAnsiTheme="minorAscii" w:eastAsiaTheme="minorAscii" w:cstheme="minorAscii"/>
          <w:sz w:val="16"/>
          <w:szCs w:val="16"/>
        </w:rPr>
        <w:t xml:space="preserve"> Nicholas, </w:t>
      </w:r>
      <w:r w:rsidRPr="7F8594A9">
        <w:rPr>
          <w:rFonts w:ascii="Calibri" w:hAnsi="Calibri" w:eastAsia="Calibri" w:cs="Calibri" w:asciiTheme="minorAscii" w:hAnsiTheme="minorAscii" w:eastAsiaTheme="minorAscii" w:cstheme="minorAscii"/>
          <w:color w:val="333333"/>
          <w:sz w:val="16"/>
          <w:szCs w:val="16"/>
        </w:rPr>
        <w:t xml:space="preserve">Campion. (2008). </w:t>
      </w:r>
      <w:r w:rsidRPr="355FDBB9">
        <w:rPr>
          <w:rFonts w:ascii="Calibri" w:hAnsi="Calibri" w:eastAsia="Calibri" w:cs="Calibri" w:asciiTheme="minorAscii" w:hAnsiTheme="minorAscii" w:eastAsiaTheme="minorAscii" w:cstheme="minorAscii"/>
          <w:i w:val="1"/>
          <w:iCs w:val="1"/>
          <w:color w:val="333333"/>
          <w:sz w:val="16"/>
          <w:szCs w:val="16"/>
        </w:rPr>
        <w:t>Teaching Cultural Astronomy: On the Development and Evolution of the Syllabus at Bath Spa University and the University of Wales, Lampeter</w:t>
      </w:r>
      <w:r w:rsidRPr="7F8594A9">
        <w:rPr>
          <w:rFonts w:ascii="Calibri" w:hAnsi="Calibri" w:eastAsia="Calibri" w:cs="Calibri" w:asciiTheme="minorAscii" w:hAnsiTheme="minorAscii" w:eastAsiaTheme="minorAscii" w:cstheme="minorAscii"/>
          <w:color w:val="333333"/>
          <w:sz w:val="16"/>
          <w:szCs w:val="16"/>
        </w:rPr>
        <w:t xml:space="preserve">. In: Holbrook J.C., </w:t>
      </w:r>
      <w:proofErr w:type="spellStart"/>
      <w:r w:rsidRPr="7F8594A9">
        <w:rPr>
          <w:rFonts w:ascii="Calibri" w:hAnsi="Calibri" w:eastAsia="Calibri" w:cs="Calibri" w:asciiTheme="minorAscii" w:hAnsiTheme="minorAscii" w:eastAsiaTheme="minorAscii" w:cstheme="minorAscii"/>
          <w:color w:val="333333"/>
          <w:sz w:val="16"/>
          <w:szCs w:val="16"/>
        </w:rPr>
        <w:t>Urama</w:t>
      </w:r>
      <w:proofErr w:type="spellEnd"/>
      <w:r w:rsidRPr="7F8594A9">
        <w:rPr>
          <w:rFonts w:ascii="Calibri" w:hAnsi="Calibri" w:eastAsia="Calibri" w:cs="Calibri" w:asciiTheme="minorAscii" w:hAnsiTheme="minorAscii" w:eastAsiaTheme="minorAscii" w:cstheme="minorAscii"/>
          <w:color w:val="333333"/>
          <w:sz w:val="16"/>
          <w:szCs w:val="16"/>
        </w:rPr>
        <w:t xml:space="preserve"> J.O., </w:t>
      </w:r>
      <w:proofErr w:type="spellStart"/>
      <w:r w:rsidRPr="7F8594A9">
        <w:rPr>
          <w:rFonts w:ascii="Calibri" w:hAnsi="Calibri" w:eastAsia="Calibri" w:cs="Calibri" w:asciiTheme="minorAscii" w:hAnsiTheme="minorAscii" w:eastAsiaTheme="minorAscii" w:cstheme="minorAscii"/>
          <w:color w:val="333333"/>
          <w:sz w:val="16"/>
          <w:szCs w:val="16"/>
        </w:rPr>
        <w:t>Medupe</w:t>
      </w:r>
      <w:proofErr w:type="spellEnd"/>
      <w:r w:rsidRPr="7F8594A9">
        <w:rPr>
          <w:rFonts w:ascii="Calibri" w:hAnsi="Calibri" w:eastAsia="Calibri" w:cs="Calibri" w:asciiTheme="minorAscii" w:hAnsiTheme="minorAscii" w:eastAsiaTheme="minorAscii" w:cstheme="minorAscii"/>
          <w:color w:val="333333"/>
          <w:sz w:val="16"/>
          <w:szCs w:val="16"/>
        </w:rPr>
        <w:t xml:space="preserve"> R.T. (eds) African Cultural Astronomy. Astrophysics and Space Science Proceedings. Springer, Dordrecht, p 1.</w:t>
      </w:r>
    </w:p>
  </w:footnote>
  <w:footnote w:id="6">
    <w:p w:rsidR="7E70BB6B" w:rsidP="7F8594A9" w:rsidRDefault="7E70BB6B" w14:paraId="21F2C4E8" w14:textId="33552AC1">
      <w:pPr>
        <w:pStyle w:val="FootnoteText"/>
        <w:ind w:firstLine="0"/>
        <w:rPr>
          <w:rFonts w:ascii="Calibri" w:hAnsi="Calibri" w:eastAsia="Calibri" w:cs="Calibri" w:asciiTheme="minorAscii" w:hAnsiTheme="minorAscii" w:eastAsiaTheme="minorAscii" w:cstheme="minorAscii"/>
          <w:color w:val="555555"/>
        </w:rPr>
      </w:pPr>
      <w:r w:rsidRPr="7F8594A9">
        <w:rPr>
          <w:rStyle w:val="FootnoteReference"/>
          <w:rFonts w:ascii="Calibri" w:hAnsi="Calibri" w:eastAsia="Calibri" w:cs="Calibri" w:asciiTheme="minorAscii" w:hAnsiTheme="minorAscii" w:eastAsiaTheme="minorAscii" w:cstheme="minorAscii"/>
          <w:sz w:val="16"/>
          <w:szCs w:val="16"/>
        </w:rPr>
        <w:footnoteRef/>
      </w:r>
      <w:r w:rsidRPr="7F8594A9">
        <w:rPr>
          <w:rFonts w:ascii="Calibri" w:hAnsi="Calibri" w:eastAsia="Calibri" w:cs="Calibri" w:asciiTheme="minorAscii" w:hAnsiTheme="minorAscii" w:eastAsiaTheme="minorAscii" w:cstheme="minorAscii"/>
          <w:sz w:val="16"/>
          <w:szCs w:val="16"/>
        </w:rPr>
        <w:t xml:space="preserve"> Hamacher and Norris, ‘</w:t>
      </w:r>
      <w:r w:rsidRPr="7F8594A9">
        <w:rPr>
          <w:rFonts w:ascii="Calibri" w:hAnsi="Calibri" w:eastAsia="Calibri" w:cs="Calibri" w:asciiTheme="minorAscii" w:hAnsiTheme="minorAscii" w:eastAsiaTheme="minorAscii" w:cstheme="minorAscii"/>
          <w:i w:val="1"/>
          <w:iCs w:val="1"/>
          <w:sz w:val="16"/>
          <w:szCs w:val="16"/>
        </w:rPr>
        <w:t xml:space="preserve">Bridging the gap</w:t>
      </w:r>
      <w:r w:rsidRPr="7F8594A9">
        <w:rPr>
          <w:rFonts w:ascii="Calibri" w:hAnsi="Calibri" w:eastAsia="Calibri" w:cs="Calibri" w:asciiTheme="minorAscii" w:hAnsiTheme="minorAscii" w:eastAsiaTheme="minorAscii" w:cstheme="minorAscii"/>
          <w:i w:val="0"/>
          <w:iCs w:val="0"/>
          <w:sz w:val="16"/>
          <w:szCs w:val="16"/>
        </w:rPr>
        <w:t xml:space="preserve">,’ pp 282-283. </w:t>
      </w:r>
    </w:p>
  </w:footnote>
  <w:footnote w:id="9">
    <w:p w:rsidR="5C942105" w:rsidP="7F8594A9" w:rsidRDefault="5C942105" w14:paraId="092A7598" w14:textId="53DD9271">
      <w:pPr>
        <w:pStyle w:val="FootnoteText"/>
        <w:ind w:firstLine="0"/>
        <w:rPr>
          <w:sz w:val="16"/>
          <w:szCs w:val="16"/>
        </w:rPr>
      </w:pPr>
      <w:r w:rsidRPr="7F8594A9">
        <w:rPr>
          <w:rStyle w:val="FootnoteReference"/>
          <w:rFonts w:ascii="Calibri" w:hAnsi="Calibri" w:eastAsia="Calibri" w:cs="Calibri"/>
          <w:sz w:val="16"/>
          <w:szCs w:val="16"/>
        </w:rPr>
        <w:footnoteRef/>
      </w:r>
      <w:r w:rsidRPr="7F8594A9" w:rsidR="6A900AC6">
        <w:rPr>
          <w:rFonts w:ascii="Calibri" w:hAnsi="Calibri" w:eastAsia="Calibri" w:cs="Calibri"/>
          <w:sz w:val="16"/>
          <w:szCs w:val="16"/>
        </w:rPr>
        <w:t xml:space="preserve"> Ray P. Norris. ‘</w:t>
      </w:r>
      <w:r w:rsidRPr="355FDBB9" w:rsidR="6A900AC6">
        <w:rPr>
          <w:rFonts w:ascii="Calibri" w:hAnsi="Calibri" w:eastAsia="Calibri" w:cs="Calibri"/>
          <w:i w:val="1"/>
          <w:iCs w:val="1"/>
          <w:sz w:val="16"/>
          <w:szCs w:val="16"/>
        </w:rPr>
        <w:t xml:space="preserve">Australian Telescope National Facility.’</w:t>
      </w:r>
      <w:r w:rsidRPr="7F8594A9" w:rsidR="6A900AC6">
        <w:rPr>
          <w:rFonts w:ascii="Calibri" w:hAnsi="Calibri" w:eastAsia="Calibri" w:cs="Calibri"/>
          <w:sz w:val="16"/>
          <w:szCs w:val="16"/>
        </w:rPr>
        <w:t xml:space="preserve"> (2013). </w:t>
      </w:r>
      <w:hyperlink r:id="Rcb3a66d6e0674e72">
        <w:r w:rsidRPr="7F8594A9" w:rsidR="7F8594A9">
          <w:rPr>
            <w:rStyle w:val="Hyperlink"/>
            <w:rFonts w:ascii="Calibri" w:hAnsi="Calibri" w:eastAsia="Calibri" w:cs="Calibri"/>
            <w:sz w:val="16"/>
            <w:szCs w:val="16"/>
          </w:rPr>
          <w:t>https://www.atnf.csiro.au/people/Ray.Norris/outreach/informal_bio.htm</w:t>
        </w:r>
      </w:hyperlink>
      <w:r w:rsidRPr="7F8594A9" w:rsidR="6A900AC6">
        <w:rPr>
          <w:rFonts w:ascii="Calibri" w:hAnsi="Calibri" w:eastAsia="Calibri" w:cs="Calibri"/>
          <w:sz w:val="16"/>
          <w:szCs w:val="16"/>
        </w:rPr>
        <w:t>. [accessed 28</w:t>
      </w:r>
      <w:r w:rsidRPr="7F8594A9" w:rsidR="6A900AC6">
        <w:rPr>
          <w:rFonts w:ascii="Calibri" w:hAnsi="Calibri" w:eastAsia="Calibri" w:cs="Calibri"/>
          <w:sz w:val="16"/>
          <w:szCs w:val="16"/>
          <w:vertAlign w:val="superscript"/>
        </w:rPr>
        <w:t>th</w:t>
      </w:r>
      <w:r w:rsidRPr="7F8594A9" w:rsidR="6A900AC6">
        <w:rPr>
          <w:rFonts w:ascii="Calibri" w:hAnsi="Calibri" w:eastAsia="Calibri" w:cs="Calibri"/>
          <w:sz w:val="16"/>
          <w:szCs w:val="16"/>
        </w:rPr>
        <w:t xml:space="preserve"> October 2021].</w:t>
      </w:r>
    </w:p>
  </w:footnote>
  <w:footnote w:id="10">
    <w:p w:rsidR="5C942105" w:rsidP="7F8594A9" w:rsidRDefault="5C942105" w14:paraId="543DC272" w14:textId="179A9F8F">
      <w:pPr>
        <w:pStyle w:val="FootnoteText"/>
        <w:ind w:firstLine="0"/>
        <w:rPr>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r w:rsidRPr="7F8594A9" w:rsidR="6A900AC6">
        <w:rPr>
          <w:rFonts w:ascii="Calibri" w:hAnsi="Calibri" w:eastAsia="Calibri" w:cs="Calibri"/>
          <w:sz w:val="16"/>
          <w:szCs w:val="16"/>
        </w:rPr>
        <w:t xml:space="preserve">David W. </w:t>
      </w:r>
      <w:proofErr w:type="spellStart"/>
      <w:r w:rsidRPr="7F8594A9" w:rsidR="6A900AC6">
        <w:rPr>
          <w:rFonts w:ascii="Calibri" w:hAnsi="Calibri" w:eastAsia="Calibri" w:cs="Calibri"/>
          <w:sz w:val="16"/>
          <w:szCs w:val="16"/>
        </w:rPr>
        <w:t>Pankeneir</w:t>
      </w:r>
      <w:proofErr w:type="spellEnd"/>
      <w:r w:rsidRPr="7F8594A9" w:rsidR="6A900AC6">
        <w:rPr>
          <w:rFonts w:ascii="Calibri" w:hAnsi="Calibri" w:eastAsia="Calibri" w:cs="Calibri"/>
          <w:sz w:val="16"/>
          <w:szCs w:val="16"/>
        </w:rPr>
        <w:t>.</w:t>
      </w:r>
      <w:r w:rsidRPr="355FDBB9" w:rsidR="6A900AC6">
        <w:rPr>
          <w:rFonts w:ascii="Calibri" w:hAnsi="Calibri" w:eastAsia="Calibri" w:cs="Calibri"/>
          <w:i w:val="1"/>
          <w:iCs w:val="1"/>
          <w:sz w:val="16"/>
          <w:szCs w:val="16"/>
        </w:rPr>
        <w:t xml:space="preserve"> ’Department of Languages Literature, Lehigh University</w:t>
      </w:r>
      <w:r w:rsidRPr="7F8594A9" w:rsidR="6A900AC6">
        <w:rPr>
          <w:rFonts w:ascii="Calibri" w:hAnsi="Calibri" w:eastAsia="Calibri" w:cs="Calibri"/>
          <w:sz w:val="16"/>
          <w:szCs w:val="16"/>
        </w:rPr>
        <w:t xml:space="preserve">.‘ </w:t>
      </w:r>
      <w:hyperlink r:id="Ra2c32e95e4eb4189">
        <w:r w:rsidRPr="7F8594A9" w:rsidR="6A900AC6">
          <w:rPr>
            <w:rStyle w:val="Hyperlink"/>
            <w:rFonts w:ascii="Calibri" w:hAnsi="Calibri" w:eastAsia="Calibri" w:cs="Calibri"/>
            <w:sz w:val="16"/>
            <w:szCs w:val="16"/>
          </w:rPr>
          <w:t>https://mll.cas.lehigh.edu/david-pankenier.</w:t>
        </w:r>
      </w:hyperlink>
      <w:r w:rsidRPr="7F8594A9" w:rsidR="6A900AC6">
        <w:rPr>
          <w:rFonts w:ascii="Calibri" w:hAnsi="Calibri" w:eastAsia="Calibri" w:cs="Calibri"/>
          <w:sz w:val="16"/>
          <w:szCs w:val="16"/>
        </w:rPr>
        <w:t xml:space="preserve"> [accessed 28</w:t>
      </w:r>
      <w:r w:rsidRPr="7F8594A9" w:rsidR="6A900AC6">
        <w:rPr>
          <w:rFonts w:ascii="Calibri" w:hAnsi="Calibri" w:eastAsia="Calibri" w:cs="Calibri"/>
          <w:sz w:val="16"/>
          <w:szCs w:val="16"/>
          <w:vertAlign w:val="superscript"/>
        </w:rPr>
        <w:t>th</w:t>
      </w:r>
      <w:r w:rsidRPr="7F8594A9" w:rsidR="6A900AC6">
        <w:rPr>
          <w:rFonts w:ascii="Calibri" w:hAnsi="Calibri" w:eastAsia="Calibri" w:cs="Calibri"/>
          <w:sz w:val="16"/>
          <w:szCs w:val="16"/>
        </w:rPr>
        <w:t xml:space="preserve"> October 2021].</w:t>
      </w:r>
    </w:p>
  </w:footnote>
  <w:footnote w:id="11">
    <w:p w:rsidR="5ABA8FC9" w:rsidP="355FDBB9" w:rsidRDefault="5ABA8FC9" w14:paraId="740575F9" w14:textId="360C1A73">
      <w:pPr>
        <w:pStyle w:val="FootnoteText"/>
        <w:ind w:firstLine="0"/>
        <w:rPr>
          <w:rFonts w:ascii="Calibri" w:hAnsi="Calibri" w:eastAsia="Calibri" w:cs="Calibri"/>
          <w:color w:val="181817"/>
          <w:sz w:val="16"/>
          <w:szCs w:val="16"/>
        </w:rPr>
      </w:pPr>
      <w:r w:rsidRPr="7F8594A9">
        <w:rPr>
          <w:rStyle w:val="FootnoteReference"/>
          <w:rFonts w:ascii="Calibri" w:hAnsi="Calibri" w:eastAsia="Calibri" w:cs="Calibri"/>
          <w:sz w:val="16"/>
          <w:szCs w:val="16"/>
        </w:rPr>
        <w:footnoteRef/>
      </w:r>
      <w:r w:rsidRPr="355FDBB9" w:rsidR="355FDBB9">
        <w:rPr>
          <w:rFonts w:ascii="Calibri" w:hAnsi="Calibri" w:eastAsia="Calibri" w:cs="Calibri"/>
          <w:color w:val="181817"/>
          <w:sz w:val="16"/>
          <w:szCs w:val="16"/>
        </w:rPr>
        <w:t xml:space="preserve"> Clive L. N. Ruggles. (2015). ’</w:t>
      </w:r>
      <w:r w:rsidRPr="355FDBB9" w:rsidR="355FDBB9">
        <w:rPr>
          <w:rFonts w:ascii="Calibri" w:hAnsi="Calibri" w:eastAsia="Calibri" w:cs="Calibri"/>
          <w:i w:val="1"/>
          <w:iCs w:val="1"/>
          <w:color w:val="181817"/>
          <w:sz w:val="16"/>
          <w:szCs w:val="16"/>
        </w:rPr>
        <w:t xml:space="preserve">Handbook of Archeoastronomy and </w:t>
      </w:r>
      <w:r w:rsidRPr="355FDBB9" w:rsidR="355FDBB9">
        <w:rPr>
          <w:rFonts w:ascii="Calibri" w:hAnsi="Calibri" w:eastAsia="Calibri" w:cs="Calibri"/>
          <w:i w:val="1"/>
          <w:iCs w:val="1"/>
          <w:color w:val="181817"/>
          <w:sz w:val="16"/>
          <w:szCs w:val="16"/>
        </w:rPr>
        <w:t>Ethnoastronomy. ‘</w:t>
      </w:r>
      <w:r w:rsidRPr="355FDBB9" w:rsidR="355FDBB9">
        <w:rPr>
          <w:rFonts w:ascii="Calibri" w:hAnsi="Calibri" w:eastAsia="Calibri" w:cs="Calibri"/>
          <w:i w:val="1"/>
          <w:iCs w:val="1"/>
          <w:color w:val="181817"/>
          <w:sz w:val="16"/>
          <w:szCs w:val="16"/>
        </w:rPr>
        <w:t xml:space="preserve"> </w:t>
      </w:r>
      <w:r w:rsidRPr="355FDBB9" w:rsidR="355FDBB9">
        <w:rPr>
          <w:rFonts w:ascii="Calibri" w:hAnsi="Calibri" w:eastAsia="Calibri" w:cs="Calibri"/>
          <w:color w:val="181817"/>
          <w:sz w:val="16"/>
          <w:szCs w:val="16"/>
        </w:rPr>
        <w:t>(1st ed. 2015.). Springer New York, pp. 15-30.</w:t>
      </w:r>
    </w:p>
  </w:footnote>
  <w:footnote w:id="14">
    <w:p w:rsidR="6A900AC6" w:rsidP="7F8594A9" w:rsidRDefault="6A900AC6" w14:paraId="01093813" w14:textId="2D0D37B4">
      <w:pPr>
        <w:pStyle w:val="FootnoteText"/>
        <w:ind w:firstLine="0"/>
        <w:rPr>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Hamacher and Norris, ’</w:t>
      </w:r>
      <w:r w:rsidRPr="7F8594A9">
        <w:rPr>
          <w:rFonts w:ascii="Calibri" w:hAnsi="Calibri" w:eastAsia="Calibri" w:cs="Calibri"/>
          <w:i w:val="1"/>
          <w:iCs w:val="1"/>
          <w:sz w:val="16"/>
          <w:szCs w:val="16"/>
        </w:rPr>
        <w:t>Bridging the Gap’</w:t>
      </w:r>
      <w:r w:rsidRPr="7F8594A9">
        <w:rPr>
          <w:rFonts w:ascii="Calibri" w:hAnsi="Calibri" w:eastAsia="Calibri" w:cs="Calibri"/>
          <w:sz w:val="16"/>
          <w:szCs w:val="16"/>
        </w:rPr>
        <w:t xml:space="preserve"> pp. 284, 286-288.</w:t>
      </w:r>
    </w:p>
  </w:footnote>
  <w:footnote w:id="15">
    <w:p w:rsidR="6A900AC6" w:rsidP="7F8594A9" w:rsidRDefault="6A900AC6" w14:paraId="7D8DE5D2" w14:textId="5007D45D">
      <w:pPr>
        <w:pStyle w:val="FootnoteText"/>
        <w:ind w:firstLine="0"/>
        <w:rPr>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proofErr w:type="spellStart"/>
      <w:r w:rsidRPr="7F8594A9">
        <w:rPr>
          <w:rFonts w:ascii="Calibri" w:hAnsi="Calibri" w:eastAsia="Calibri" w:cs="Calibri"/>
          <w:sz w:val="16"/>
          <w:szCs w:val="16"/>
        </w:rPr>
        <w:t xml:space="preserve">Pankeneir</w:t>
      </w:r>
      <w:proofErr w:type="spellEnd"/>
      <w:r w:rsidRPr="7F8594A9">
        <w:rPr>
          <w:rFonts w:ascii="Calibri" w:hAnsi="Calibri" w:eastAsia="Calibri" w:cs="Calibri"/>
          <w:sz w:val="16"/>
          <w:szCs w:val="16"/>
        </w:rPr>
        <w:t xml:space="preserve">, ’</w:t>
      </w:r>
      <w:r w:rsidRPr="7F8594A9">
        <w:rPr>
          <w:rFonts w:ascii="Calibri" w:hAnsi="Calibri" w:eastAsia="Calibri" w:cs="Calibri"/>
          <w:i w:val="1"/>
          <w:iCs w:val="1"/>
          <w:sz w:val="16"/>
          <w:szCs w:val="16"/>
        </w:rPr>
        <w:t>The Cosmic Centre</w:t>
      </w:r>
      <w:r w:rsidRPr="7F8594A9">
        <w:rPr>
          <w:rFonts w:ascii="Calibri" w:hAnsi="Calibri" w:eastAsia="Calibri" w:cs="Calibri"/>
          <w:sz w:val="16"/>
          <w:szCs w:val="16"/>
        </w:rPr>
        <w:t>.</w:t>
      </w:r>
      <w:r w:rsidRPr="7F8594A9">
        <w:rPr>
          <w:rFonts w:ascii="Calibri" w:hAnsi="Calibri" w:eastAsia="Calibri" w:cs="Calibri"/>
          <w:i w:val="1"/>
          <w:iCs w:val="1"/>
          <w:sz w:val="16"/>
          <w:szCs w:val="16"/>
        </w:rPr>
        <w:t xml:space="preserve"> ‘</w:t>
      </w:r>
      <w:r w:rsidRPr="7F8594A9">
        <w:rPr>
          <w:rFonts w:ascii="Calibri" w:hAnsi="Calibri" w:eastAsia="Calibri" w:cs="Calibri"/>
          <w:sz w:val="16"/>
          <w:szCs w:val="16"/>
        </w:rPr>
        <w:t>pp</w:t>
      </w:r>
      <w:r w:rsidRPr="7F8594A9">
        <w:rPr>
          <w:rFonts w:ascii="Calibri" w:hAnsi="Calibri" w:eastAsia="Calibri" w:cs="Calibri"/>
          <w:i w:val="1"/>
          <w:iCs w:val="1"/>
          <w:sz w:val="16"/>
          <w:szCs w:val="16"/>
        </w:rPr>
        <w:t>.</w:t>
      </w:r>
      <w:r w:rsidRPr="7F8594A9">
        <w:rPr>
          <w:rFonts w:ascii="Calibri" w:hAnsi="Calibri" w:eastAsia="Calibri" w:cs="Calibri"/>
          <w:sz w:val="16"/>
          <w:szCs w:val="16"/>
        </w:rPr>
        <w:t xml:space="preserve"> 298-300.</w:t>
      </w:r>
    </w:p>
  </w:footnote>
  <w:footnote w:id="17">
    <w:p w:rsidR="29ABFDEF" w:rsidP="7F8594A9" w:rsidRDefault="29ABFDEF" w14:paraId="3F1FE577" w14:textId="59D4EF15">
      <w:pPr>
        <w:pStyle w:val="FootnoteText"/>
        <w:ind w:firstLine="0"/>
        <w:rPr>
          <w:i w:val="1"/>
          <w:iCs w:val="1"/>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r w:rsidRPr="7F8594A9">
        <w:rPr>
          <w:rFonts w:ascii="Calibri" w:hAnsi="Calibri" w:eastAsia="Calibri" w:cs="Calibri"/>
          <w:sz w:val="16"/>
          <w:szCs w:val="16"/>
        </w:rPr>
        <w:t>Hamacher and Norris, ’</w:t>
      </w:r>
      <w:r w:rsidRPr="7F8594A9">
        <w:rPr>
          <w:rFonts w:ascii="Calibri" w:hAnsi="Calibri" w:eastAsia="Calibri" w:cs="Calibri"/>
          <w:i w:val="1"/>
          <w:iCs w:val="1"/>
          <w:sz w:val="16"/>
          <w:szCs w:val="16"/>
        </w:rPr>
        <w:t xml:space="preserve">Bridging the Gap’ </w:t>
      </w:r>
      <w:r w:rsidRPr="7F8594A9">
        <w:rPr>
          <w:rFonts w:ascii="Calibri" w:hAnsi="Calibri" w:eastAsia="Calibri" w:cs="Calibri"/>
          <w:sz w:val="16"/>
          <w:szCs w:val="16"/>
        </w:rPr>
        <w:t>pp. 282-289.</w:t>
      </w:r>
    </w:p>
  </w:footnote>
  <w:footnote w:id="18">
    <w:p w:rsidR="29ABFDEF" w:rsidP="7F8594A9" w:rsidRDefault="29ABFDEF" w14:paraId="56C8BB23" w14:textId="41A50A73">
      <w:pPr>
        <w:pStyle w:val="FootnoteText"/>
        <w:ind w:firstLine="0"/>
        <w:rPr>
          <w:rFonts w:ascii="Calibri" w:hAnsi="Calibri" w:eastAsia="Calibri" w:cs="Calibri" w:asciiTheme="minorAscii" w:hAnsiTheme="minorAscii" w:eastAsiaTheme="minorAscii" w:cstheme="minorAscii"/>
          <w:i w:val="0"/>
          <w:iCs w:val="0"/>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proofErr w:type="spellStart"/>
      <w:r w:rsidRPr="7F8594A9">
        <w:rPr>
          <w:rFonts w:ascii="Calibri" w:hAnsi="Calibri" w:eastAsia="Calibri" w:cs="Calibri" w:asciiTheme="minorAscii" w:hAnsiTheme="minorAscii" w:eastAsiaTheme="minorAscii" w:cstheme="minorAscii"/>
          <w:sz w:val="16"/>
          <w:szCs w:val="16"/>
        </w:rPr>
        <w:t xml:space="preserve">Pankeneir</w:t>
      </w:r>
      <w:proofErr w:type="spellEnd"/>
      <w:r w:rsidRPr="7F8594A9">
        <w:rPr>
          <w:rFonts w:ascii="Calibri" w:hAnsi="Calibri" w:eastAsia="Calibri" w:cs="Calibri" w:asciiTheme="minorAscii" w:hAnsiTheme="minorAscii" w:eastAsiaTheme="minorAscii" w:cstheme="minorAscii"/>
          <w:sz w:val="16"/>
          <w:szCs w:val="16"/>
        </w:rPr>
        <w:t xml:space="preserve">, ’</w:t>
      </w:r>
      <w:r w:rsidRPr="7F8594A9">
        <w:rPr>
          <w:rFonts w:ascii="Calibri" w:hAnsi="Calibri" w:eastAsia="Calibri" w:cs="Calibri" w:asciiTheme="minorAscii" w:hAnsiTheme="minorAscii" w:eastAsiaTheme="minorAscii" w:cstheme="minorAscii"/>
          <w:i w:val="1"/>
          <w:iCs w:val="1"/>
          <w:sz w:val="16"/>
          <w:szCs w:val="16"/>
        </w:rPr>
        <w:t xml:space="preserve">The Cosmic Center</w:t>
      </w:r>
      <w:r w:rsidRPr="7F8594A9">
        <w:rPr>
          <w:rFonts w:ascii="Calibri" w:hAnsi="Calibri" w:eastAsia="Calibri" w:cs="Calibri" w:asciiTheme="minorAscii" w:hAnsiTheme="minorAscii" w:eastAsiaTheme="minorAscii" w:cstheme="minorAscii"/>
          <w:i w:val="0"/>
          <w:iCs w:val="0"/>
          <w:sz w:val="16"/>
          <w:szCs w:val="16"/>
        </w:rPr>
        <w:t xml:space="preserve">,’ pp. 302-305.</w:t>
      </w:r>
    </w:p>
  </w:footnote>
  <w:footnote w:id="19">
    <w:p w:rsidR="6A900AC6" w:rsidP="7F8594A9" w:rsidRDefault="6A900AC6" w14:paraId="69FCCD61" w14:textId="699C4FCD">
      <w:pPr>
        <w:pStyle w:val="FootnoteText"/>
        <w:ind w:firstLine="0"/>
        <w:rPr>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Hamacher and Norris, ’</w:t>
      </w:r>
      <w:r w:rsidRPr="7F8594A9">
        <w:rPr>
          <w:rFonts w:ascii="Calibri" w:hAnsi="Calibri" w:eastAsia="Calibri" w:cs="Calibri"/>
          <w:i w:val="1"/>
          <w:iCs w:val="1"/>
          <w:sz w:val="16"/>
          <w:szCs w:val="16"/>
        </w:rPr>
        <w:t xml:space="preserve">Bridging the Gap’ </w:t>
      </w:r>
      <w:r w:rsidRPr="7F8594A9">
        <w:rPr>
          <w:rFonts w:ascii="Calibri" w:hAnsi="Calibri" w:eastAsia="Calibri" w:cs="Calibri"/>
          <w:sz w:val="16"/>
          <w:szCs w:val="16"/>
        </w:rPr>
        <w:t>pp. 286-288.</w:t>
      </w:r>
    </w:p>
  </w:footnote>
  <w:footnote w:id="20">
    <w:p w:rsidR="7E70BB6B" w:rsidP="7F8594A9" w:rsidRDefault="7E70BB6B" w14:paraId="3A5D44E3" w14:textId="2601FD6A">
      <w:pPr>
        <w:pStyle w:val="FootnoteText"/>
        <w:ind w:firstLine="0"/>
        <w:rPr>
          <w:rFonts w:eastAsia="ＭＳ 明朝" w:eastAsiaTheme="minorEastAsia"/>
          <w:color w:val="555555"/>
        </w:rPr>
      </w:pPr>
      <w:r w:rsidRPr="7F8594A9">
        <w:rPr>
          <w:rStyle w:val="FootnoteReference"/>
          <w:rFonts w:ascii="Calibri" w:hAnsi="Calibri" w:eastAsia="Calibri" w:cs="Calibri"/>
          <w:sz w:val="16"/>
          <w:szCs w:val="16"/>
        </w:rPr>
        <w:footnoteRef/>
      </w:r>
      <w:r w:rsidRPr="7F8594A9">
        <w:rPr>
          <w:rFonts w:ascii="Calibri" w:hAnsi="Calibri" w:eastAsia="Calibri" w:cs="Calibri" w:asciiTheme="minorAscii" w:hAnsiTheme="minorAscii" w:eastAsiaTheme="minorAscii" w:cstheme="minorAscii"/>
          <w:sz w:val="16"/>
          <w:szCs w:val="16"/>
        </w:rPr>
        <w:t xml:space="preserve"> Hamacher and Norris, ’</w:t>
      </w:r>
      <w:r w:rsidRPr="355FDBB9">
        <w:rPr>
          <w:rFonts w:ascii="Calibri" w:hAnsi="Calibri" w:eastAsia="Calibri" w:cs="Calibri" w:asciiTheme="minorAscii" w:hAnsiTheme="minorAscii" w:eastAsiaTheme="minorAscii" w:cstheme="minorAscii"/>
          <w:i w:val="1"/>
          <w:iCs w:val="1"/>
          <w:sz w:val="16"/>
          <w:szCs w:val="16"/>
        </w:rPr>
        <w:t xml:space="preserve">Bridging the Gap</w:t>
      </w:r>
      <w:r w:rsidRPr="355FDBB9">
        <w:rPr>
          <w:rFonts w:ascii="Calibri" w:hAnsi="Calibri" w:eastAsia="Calibri" w:cs="Calibri" w:asciiTheme="minorAscii" w:hAnsiTheme="minorAscii" w:eastAsiaTheme="minorAscii" w:cstheme="minorAscii"/>
          <w:i w:val="0"/>
          <w:iCs w:val="0"/>
          <w:sz w:val="16"/>
          <w:szCs w:val="16"/>
        </w:rPr>
        <w:t xml:space="preserve">,’ pp. 286-288.</w:t>
      </w:r>
    </w:p>
  </w:footnote>
  <w:footnote w:id="21">
    <w:p w:rsidR="6A900AC6" w:rsidP="7F8594A9" w:rsidRDefault="6A900AC6" w14:textId="1A8F2EEE" w14:paraId="709BC130">
      <w:pPr>
        <w:pStyle w:val="FootnoteText"/>
        <w:ind w:firstLine="0"/>
        <w:rPr>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r w:rsidRPr="7F8594A9">
        <w:rPr>
          <w:rFonts w:ascii="Calibri" w:hAnsi="Calibri" w:eastAsia="Calibri" w:cs="Calibri"/>
          <w:sz w:val="16"/>
          <w:szCs w:val="16"/>
        </w:rPr>
        <w:t>Hamacher and Norris, ’</w:t>
      </w:r>
      <w:r w:rsidRPr="7F8594A9">
        <w:rPr>
          <w:rFonts w:ascii="Calibri" w:hAnsi="Calibri" w:eastAsia="Calibri" w:cs="Calibri"/>
          <w:i w:val="1"/>
          <w:iCs w:val="1"/>
          <w:sz w:val="16"/>
          <w:szCs w:val="16"/>
        </w:rPr>
        <w:t xml:space="preserve">Bridging the Gap’ </w:t>
      </w:r>
      <w:r w:rsidRPr="7F8594A9">
        <w:rPr>
          <w:rFonts w:ascii="Calibri" w:hAnsi="Calibri" w:eastAsia="Calibri" w:cs="Calibri"/>
          <w:sz w:val="16"/>
          <w:szCs w:val="16"/>
        </w:rPr>
        <w:t>pp. 286-288.</w:t>
      </w:r>
    </w:p>
  </w:footnote>
  <w:footnote w:id="22">
    <w:p w:rsidR="6A900AC6" w:rsidP="7F8594A9" w:rsidRDefault="6A900AC6" w14:textId="6229F02B" w14:paraId="4ECE80E9">
      <w:pPr>
        <w:pStyle w:val="FootnoteText"/>
        <w:ind w:firstLine="0"/>
        <w:rPr>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r w:rsidRPr="7F8594A9">
        <w:rPr>
          <w:rFonts w:ascii="Calibri" w:hAnsi="Calibri" w:eastAsia="Calibri" w:cs="Calibri"/>
          <w:sz w:val="16"/>
          <w:szCs w:val="16"/>
        </w:rPr>
        <w:t>Hamacher and Norris, ’</w:t>
      </w:r>
      <w:r w:rsidRPr="7F8594A9">
        <w:rPr>
          <w:rFonts w:ascii="Calibri" w:hAnsi="Calibri" w:eastAsia="Calibri" w:cs="Calibri"/>
          <w:i w:val="1"/>
          <w:iCs w:val="1"/>
          <w:sz w:val="16"/>
          <w:szCs w:val="16"/>
        </w:rPr>
        <w:t xml:space="preserve">Bridging the Gap’ </w:t>
      </w:r>
      <w:r w:rsidRPr="7F8594A9">
        <w:rPr>
          <w:rFonts w:ascii="Calibri" w:hAnsi="Calibri" w:eastAsia="Calibri" w:cs="Calibri"/>
          <w:sz w:val="16"/>
          <w:szCs w:val="16"/>
        </w:rPr>
        <w:t>pp. 286-288.</w:t>
      </w:r>
    </w:p>
  </w:footnote>
  <w:footnote w:id="23">
    <w:p w:rsidR="6A900AC6" w:rsidP="7F8594A9" w:rsidRDefault="6A900AC6" w14:textId="5976368B" w14:paraId="6B1F81C1">
      <w:pPr>
        <w:pStyle w:val="FootnoteText"/>
        <w:ind w:firstLine="0"/>
        <w:rPr>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r w:rsidRPr="7F8594A9">
        <w:rPr>
          <w:rFonts w:ascii="Calibri" w:hAnsi="Calibri" w:eastAsia="Calibri" w:cs="Calibri"/>
          <w:sz w:val="16"/>
          <w:szCs w:val="16"/>
        </w:rPr>
        <w:t>Hamacher and Norris, ’</w:t>
      </w:r>
      <w:r w:rsidRPr="7F8594A9">
        <w:rPr>
          <w:rFonts w:ascii="Calibri" w:hAnsi="Calibri" w:eastAsia="Calibri" w:cs="Calibri"/>
          <w:i w:val="1"/>
          <w:iCs w:val="1"/>
          <w:sz w:val="16"/>
          <w:szCs w:val="16"/>
        </w:rPr>
        <w:t xml:space="preserve">Bridging the Gap’ </w:t>
      </w:r>
      <w:r w:rsidRPr="7F8594A9">
        <w:rPr>
          <w:rFonts w:ascii="Calibri" w:hAnsi="Calibri" w:eastAsia="Calibri" w:cs="Calibri"/>
          <w:sz w:val="16"/>
          <w:szCs w:val="16"/>
        </w:rPr>
        <w:t>pp. 286-288.</w:t>
      </w:r>
    </w:p>
  </w:footnote>
  <w:footnote w:id="24">
    <w:p w:rsidR="29ABFDEF" w:rsidP="7F8594A9" w:rsidRDefault="29ABFDEF" w14:paraId="71FFB2F0" w14:textId="5E3858AA">
      <w:pPr>
        <w:pStyle w:val="FootnoteText"/>
        <w:ind w:firstLine="0"/>
      </w:pPr>
      <w:r w:rsidRPr="7F8594A9">
        <w:rPr>
          <w:rStyle w:val="FootnoteReference"/>
          <w:rFonts w:ascii="Calibri" w:hAnsi="Calibri" w:eastAsia="Calibri" w:cs="Calibri"/>
          <w:sz w:val="16"/>
          <w:szCs w:val="16"/>
        </w:rPr>
        <w:footnoteRef/>
      </w:r>
      <w:r w:rsidR="7F8594A9">
        <w:rPr/>
        <w:t xml:space="preserve"> </w:t>
      </w:r>
      <w:proofErr w:type="spellStart"/>
      <w:r w:rsidRPr="7F8594A9" w:rsidR="7F8594A9">
        <w:rPr>
          <w:sz w:val="16"/>
          <w:szCs w:val="16"/>
        </w:rPr>
        <w:t>Pankeneir</w:t>
      </w:r>
      <w:proofErr w:type="spellEnd"/>
      <w:r w:rsidRPr="7F8594A9" w:rsidR="7F8594A9">
        <w:rPr>
          <w:sz w:val="16"/>
          <w:szCs w:val="16"/>
        </w:rPr>
        <w:t>, ’</w:t>
      </w:r>
      <w:r w:rsidRPr="7F8594A9" w:rsidR="7F8594A9">
        <w:rPr>
          <w:i w:val="1"/>
          <w:iCs w:val="1"/>
          <w:sz w:val="16"/>
          <w:szCs w:val="16"/>
        </w:rPr>
        <w:t>The Cosmic Center</w:t>
      </w:r>
      <w:r w:rsidRPr="7F8594A9" w:rsidR="7F8594A9">
        <w:rPr>
          <w:i w:val="0"/>
          <w:iCs w:val="0"/>
          <w:sz w:val="16"/>
          <w:szCs w:val="16"/>
        </w:rPr>
        <w:t>,’ p. 301.</w:t>
      </w:r>
    </w:p>
  </w:footnote>
  <w:footnote w:id="25">
    <w:p w:rsidR="0558CFBF" w:rsidP="7F8594A9" w:rsidRDefault="0558CFBF" w14:paraId="28BF0B59" w14:textId="4FDD7064">
      <w:pPr>
        <w:pStyle w:val="FootnoteText"/>
        <w:ind w:firstLine="0"/>
        <w:rPr>
          <w:rFonts w:eastAsia="ＭＳ 明朝" w:eastAsiaTheme="minorEastAsia"/>
          <w:color w:val="555555"/>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r w:rsidRPr="7F8594A9">
        <w:rPr>
          <w:rFonts w:ascii="Calibri" w:hAnsi="Calibri" w:eastAsia="Calibri" w:cs="Calibri" w:asciiTheme="minorAscii" w:hAnsiTheme="minorAscii" w:eastAsiaTheme="minorAscii" w:cstheme="minorAscii"/>
          <w:sz w:val="16"/>
          <w:szCs w:val="16"/>
        </w:rPr>
        <w:t xml:space="preserve">Pankeneir</w:t>
      </w:r>
      <w:r w:rsidRPr="7F8594A9">
        <w:rPr>
          <w:rFonts w:ascii="Calibri" w:hAnsi="Calibri" w:eastAsia="Calibri" w:cs="Calibri" w:asciiTheme="minorAscii" w:hAnsiTheme="minorAscii" w:eastAsiaTheme="minorAscii" w:cstheme="minorAscii"/>
          <w:sz w:val="16"/>
          <w:szCs w:val="16"/>
        </w:rPr>
        <w:t xml:space="preserve">, ’</w:t>
      </w:r>
      <w:r w:rsidRPr="355FDBB9">
        <w:rPr>
          <w:rFonts w:ascii="Calibri" w:hAnsi="Calibri" w:eastAsia="Calibri" w:cs="Calibri" w:asciiTheme="minorAscii" w:hAnsiTheme="minorAscii" w:eastAsiaTheme="minorAscii" w:cstheme="minorAscii"/>
          <w:i w:val="1"/>
          <w:iCs w:val="1"/>
          <w:sz w:val="16"/>
          <w:szCs w:val="16"/>
        </w:rPr>
        <w:t xml:space="preserve">The Cosmic Center</w:t>
      </w:r>
      <w:r w:rsidRPr="355FDBB9">
        <w:rPr>
          <w:rFonts w:ascii="Calibri" w:hAnsi="Calibri" w:eastAsia="Calibri" w:cs="Calibri" w:asciiTheme="minorAscii" w:hAnsiTheme="minorAscii" w:eastAsiaTheme="minorAscii" w:cstheme="minorAscii"/>
          <w:i w:val="0"/>
          <w:iCs w:val="0"/>
          <w:sz w:val="16"/>
          <w:szCs w:val="16"/>
        </w:rPr>
        <w:t xml:space="preserve">,’ pp. 305-306.</w:t>
      </w:r>
    </w:p>
  </w:footnote>
  <w:footnote w:id="27">
    <w:p w:rsidR="29ABFDEF" w:rsidP="7F8594A9" w:rsidRDefault="29ABFDEF" w14:paraId="51CA6021" w14:textId="1B6407DD">
      <w:pPr>
        <w:pStyle w:val="FootnoteText"/>
        <w:ind w:firstLine="0"/>
        <w:rPr>
          <w:rFonts w:ascii="Calibri" w:hAnsi="Calibri" w:eastAsia="Calibri" w:cs="Calibri" w:asciiTheme="minorAscii" w:hAnsiTheme="minorAscii" w:eastAsiaTheme="minorAscii" w:cstheme="minorAscii"/>
          <w:i w:val="1"/>
          <w:iCs w:val="1"/>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r w:rsidRPr="7F8594A9">
        <w:rPr>
          <w:rFonts w:ascii="Calibri" w:hAnsi="Calibri" w:eastAsia="Calibri" w:cs="Calibri" w:asciiTheme="minorAscii" w:hAnsiTheme="minorAscii" w:eastAsiaTheme="minorAscii" w:cstheme="minorAscii"/>
          <w:sz w:val="16"/>
          <w:szCs w:val="16"/>
        </w:rPr>
        <w:t xml:space="preserve">Hamacher and Norris, ’</w:t>
      </w:r>
      <w:r w:rsidRPr="7F8594A9">
        <w:rPr>
          <w:rFonts w:ascii="Calibri" w:hAnsi="Calibri" w:eastAsia="Calibri" w:cs="Calibri" w:asciiTheme="minorAscii" w:hAnsiTheme="minorAscii" w:eastAsiaTheme="minorAscii" w:cstheme="minorAscii"/>
          <w:i w:val="1"/>
          <w:iCs w:val="1"/>
          <w:sz w:val="16"/>
          <w:szCs w:val="16"/>
        </w:rPr>
        <w:t xml:space="preserve">Bridging the Gap</w:t>
      </w:r>
      <w:r w:rsidRPr="7F8594A9">
        <w:rPr>
          <w:rFonts w:ascii="Calibri" w:hAnsi="Calibri" w:eastAsia="Calibri" w:cs="Calibri" w:asciiTheme="minorAscii" w:hAnsiTheme="minorAscii" w:eastAsiaTheme="minorAscii" w:cstheme="minorAscii"/>
          <w:i w:val="0"/>
          <w:iCs w:val="0"/>
          <w:sz w:val="16"/>
          <w:szCs w:val="16"/>
        </w:rPr>
        <w:t xml:space="preserve">,’ pp. 282-290.</w:t>
      </w:r>
    </w:p>
  </w:footnote>
  <w:footnote w:id="28">
    <w:p w:rsidR="29ABFDEF" w:rsidP="7F8594A9" w:rsidRDefault="29ABFDEF" w14:paraId="1A1F3E9D" w14:textId="371B08BA">
      <w:pPr>
        <w:pStyle w:val="FootnoteText"/>
        <w:ind w:firstLine="0"/>
        <w:rPr>
          <w:rFonts w:eastAsia="ＭＳ 明朝" w:eastAsiaTheme="minorEastAsia"/>
          <w:color w:val="555555"/>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proofErr w:type="spellStart"/>
      <w:r w:rsidRPr="7F8594A9">
        <w:rPr>
          <w:rFonts w:ascii="Calibri" w:hAnsi="Calibri" w:eastAsia="Calibri" w:cs="Calibri" w:asciiTheme="minorAscii" w:hAnsiTheme="minorAscii" w:eastAsiaTheme="minorAscii" w:cstheme="minorAscii"/>
          <w:sz w:val="16"/>
          <w:szCs w:val="16"/>
        </w:rPr>
        <w:t xml:space="preserve">Pankeneir</w:t>
      </w:r>
      <w:proofErr w:type="spellEnd"/>
      <w:r w:rsidRPr="7F8594A9">
        <w:rPr>
          <w:rFonts w:ascii="Calibri" w:hAnsi="Calibri" w:eastAsia="Calibri" w:cs="Calibri" w:asciiTheme="minorAscii" w:hAnsiTheme="minorAscii" w:eastAsiaTheme="minorAscii" w:cstheme="minorAscii"/>
          <w:sz w:val="16"/>
          <w:szCs w:val="16"/>
        </w:rPr>
        <w:t xml:space="preserve">, ’ </w:t>
      </w:r>
      <w:r w:rsidRPr="7F8594A9">
        <w:rPr>
          <w:rFonts w:ascii="Calibri" w:hAnsi="Calibri" w:eastAsia="Calibri" w:cs="Calibri" w:asciiTheme="minorAscii" w:hAnsiTheme="minorAscii" w:eastAsiaTheme="minorAscii" w:cstheme="minorAscii"/>
          <w:i w:val="1"/>
          <w:iCs w:val="1"/>
          <w:sz w:val="16"/>
          <w:szCs w:val="16"/>
        </w:rPr>
        <w:t xml:space="preserve">The Cosmic Center</w:t>
      </w:r>
      <w:r w:rsidRPr="7F8594A9">
        <w:rPr>
          <w:rFonts w:ascii="Calibri" w:hAnsi="Calibri" w:eastAsia="Calibri" w:cs="Calibri" w:asciiTheme="minorAscii" w:hAnsiTheme="minorAscii" w:eastAsiaTheme="minorAscii" w:cstheme="minorAscii"/>
          <w:i w:val="0"/>
          <w:iCs w:val="0"/>
          <w:sz w:val="16"/>
          <w:szCs w:val="16"/>
        </w:rPr>
        <w:t xml:space="preserve">,’ pp.298-307.</w:t>
      </w:r>
    </w:p>
  </w:footnote>
  <w:footnote w:id="29">
    <w:p w:rsidR="6A900AC6" w:rsidP="7F8594A9" w:rsidRDefault="6A900AC6" w14:textId="3F42E2CA" w14:paraId="211CE892">
      <w:pPr>
        <w:pStyle w:val="FootnoteText"/>
        <w:ind w:firstLine="0"/>
        <w:rPr>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r w:rsidRPr="7F8594A9">
        <w:rPr>
          <w:rFonts w:ascii="Calibri" w:hAnsi="Calibri" w:eastAsia="Calibri" w:cs="Calibri"/>
          <w:sz w:val="16"/>
          <w:szCs w:val="16"/>
        </w:rPr>
        <w:t>Hamacher and Norris, ’</w:t>
      </w:r>
      <w:r w:rsidRPr="7F8594A9">
        <w:rPr>
          <w:rFonts w:ascii="Calibri" w:hAnsi="Calibri" w:eastAsia="Calibri" w:cs="Calibri"/>
          <w:i w:val="1"/>
          <w:iCs w:val="1"/>
          <w:sz w:val="16"/>
          <w:szCs w:val="16"/>
        </w:rPr>
        <w:t xml:space="preserve">Bridging the Gap’ </w:t>
      </w:r>
      <w:r w:rsidRPr="7F8594A9">
        <w:rPr>
          <w:rFonts w:ascii="Calibri" w:hAnsi="Calibri" w:eastAsia="Calibri" w:cs="Calibri"/>
          <w:sz w:val="16"/>
          <w:szCs w:val="16"/>
        </w:rPr>
        <w:t>pp. 286-288.</w:t>
      </w:r>
    </w:p>
  </w:footnote>
  <w:footnote w:id="30">
    <w:p w:rsidR="6A900AC6" w:rsidP="7F8594A9" w:rsidRDefault="6A900AC6" w14:textId="0E17398D" w14:paraId="372CD662">
      <w:pPr>
        <w:pStyle w:val="FootnoteText"/>
        <w:ind w:firstLine="0"/>
        <w:rPr>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r w:rsidRPr="7F8594A9">
        <w:rPr>
          <w:rFonts w:ascii="Calibri" w:hAnsi="Calibri" w:eastAsia="Calibri" w:cs="Calibri"/>
          <w:sz w:val="16"/>
          <w:szCs w:val="16"/>
        </w:rPr>
        <w:t>Hamacher and Norris, ’</w:t>
      </w:r>
      <w:r w:rsidRPr="7F8594A9">
        <w:rPr>
          <w:rFonts w:ascii="Calibri" w:hAnsi="Calibri" w:eastAsia="Calibri" w:cs="Calibri"/>
          <w:i w:val="1"/>
          <w:iCs w:val="1"/>
          <w:sz w:val="16"/>
          <w:szCs w:val="16"/>
        </w:rPr>
        <w:t xml:space="preserve">Bridging the Gap’ </w:t>
      </w:r>
      <w:r w:rsidRPr="7F8594A9">
        <w:rPr>
          <w:rFonts w:ascii="Calibri" w:hAnsi="Calibri" w:eastAsia="Calibri" w:cs="Calibri"/>
          <w:sz w:val="16"/>
          <w:szCs w:val="16"/>
        </w:rPr>
        <w:t>pp. 286-288.</w:t>
      </w:r>
    </w:p>
  </w:footnote>
  <w:footnote w:id="31">
    <w:p w:rsidR="6A900AC6" w:rsidP="7F8594A9" w:rsidRDefault="6A900AC6" w14:textId="619E8D45" w14:paraId="22E86A3A">
      <w:pPr>
        <w:pStyle w:val="FootnoteText"/>
        <w:ind w:firstLine="0"/>
        <w:rPr>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r w:rsidRPr="7F8594A9">
        <w:rPr>
          <w:rFonts w:ascii="Calibri" w:hAnsi="Calibri" w:eastAsia="Calibri" w:cs="Calibri"/>
          <w:sz w:val="16"/>
          <w:szCs w:val="16"/>
        </w:rPr>
        <w:t>Hamacher and Norris, ’</w:t>
      </w:r>
      <w:r w:rsidRPr="7F8594A9">
        <w:rPr>
          <w:rFonts w:ascii="Calibri" w:hAnsi="Calibri" w:eastAsia="Calibri" w:cs="Calibri"/>
          <w:i w:val="1"/>
          <w:iCs w:val="1"/>
          <w:sz w:val="16"/>
          <w:szCs w:val="16"/>
        </w:rPr>
        <w:t xml:space="preserve">Bridging the Gap’ </w:t>
      </w:r>
      <w:r w:rsidRPr="7F8594A9">
        <w:rPr>
          <w:rFonts w:ascii="Calibri" w:hAnsi="Calibri" w:eastAsia="Calibri" w:cs="Calibri"/>
          <w:sz w:val="16"/>
          <w:szCs w:val="16"/>
        </w:rPr>
        <w:t>p. 289.</w:t>
      </w:r>
    </w:p>
  </w:footnote>
  <w:footnote w:id="32">
    <w:p w:rsidR="29ABFDEF" w:rsidP="7F8594A9" w:rsidRDefault="29ABFDEF" w14:paraId="3ECA1A35" w14:textId="3DD46A34">
      <w:pPr>
        <w:pStyle w:val="FootnoteText"/>
        <w:ind w:firstLine="0"/>
        <w:rPr>
          <w:i w:val="1"/>
          <w:iCs w:val="1"/>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Ray P. Norris, and Duane W. Hamacher, (2009). ’</w:t>
      </w:r>
      <w:r w:rsidRPr="7F8594A9">
        <w:rPr>
          <w:rFonts w:ascii="Calibri" w:hAnsi="Calibri" w:eastAsia="Calibri" w:cs="Calibri"/>
          <w:i w:val="1"/>
          <w:iCs w:val="1"/>
          <w:sz w:val="16"/>
          <w:szCs w:val="16"/>
        </w:rPr>
        <w:t>The Astronomy of Aboriginal Australians</w:t>
      </w:r>
      <w:r w:rsidRPr="7F8594A9">
        <w:rPr>
          <w:rFonts w:ascii="Calibri" w:hAnsi="Calibri" w:eastAsia="Calibri" w:cs="Calibri"/>
          <w:sz w:val="16"/>
          <w:szCs w:val="16"/>
        </w:rPr>
        <w:t>.’ International Astronomical Union Proceedings of the International Astronomical Union, 5, pp. 39-47.</w:t>
      </w:r>
    </w:p>
  </w:footnote>
  <w:footnote w:id="33">
    <w:p w:rsidR="7E70BB6B" w:rsidP="7F8594A9" w:rsidRDefault="7E70BB6B" w14:paraId="1AB78866" w14:textId="5E6F60E7">
      <w:pPr>
        <w:pStyle w:val="FootnoteText"/>
        <w:ind w:firstLine="0"/>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Hamacher and Norris,’ </w:t>
      </w:r>
      <w:r w:rsidRPr="7F8594A9">
        <w:rPr>
          <w:rFonts w:ascii="Calibri" w:hAnsi="Calibri" w:eastAsia="Calibri" w:cs="Calibri"/>
          <w:i w:val="1"/>
          <w:iCs w:val="1"/>
          <w:sz w:val="16"/>
          <w:szCs w:val="16"/>
        </w:rPr>
        <w:t xml:space="preserve">Bridging the </w:t>
      </w:r>
      <w:r w:rsidRPr="7F8594A9">
        <w:rPr>
          <w:rFonts w:ascii="Calibri" w:hAnsi="Calibri" w:eastAsia="Calibri" w:cs="Calibri"/>
          <w:i w:val="0"/>
          <w:iCs w:val="0"/>
          <w:sz w:val="16"/>
          <w:szCs w:val="16"/>
        </w:rPr>
        <w:t xml:space="preserve">Gap,’ pp.286-288. </w:t>
      </w:r>
    </w:p>
  </w:footnote>
  <w:footnote w:id="34">
    <w:p w:rsidR="29ABFDEF" w:rsidP="7F8594A9" w:rsidRDefault="29ABFDEF" w14:paraId="2BADA149" w14:textId="78D9A307">
      <w:pPr>
        <w:pStyle w:val="FootnoteText"/>
        <w:ind w:firstLine="0"/>
        <w:rPr>
          <w:rFonts w:ascii="Calibri" w:hAnsi="Calibri" w:eastAsia="Calibri" w:cs="Calibri"/>
          <w:sz w:val="16"/>
          <w:szCs w:val="16"/>
        </w:rPr>
      </w:pPr>
      <w:r w:rsidRPr="7F8594A9">
        <w:rPr>
          <w:rStyle w:val="FootnoteReference"/>
          <w:rFonts w:ascii="Calibri" w:hAnsi="Calibri" w:eastAsia="Calibri" w:cs="Calibri"/>
          <w:sz w:val="16"/>
          <w:szCs w:val="16"/>
        </w:rPr>
        <w:footnoteRef/>
      </w:r>
      <w:r w:rsidRPr="7F8594A9" w:rsidR="7F8594A9">
        <w:rPr>
          <w:rFonts w:ascii="Calibri" w:hAnsi="Calibri" w:eastAsia="Calibri" w:cs="Calibri"/>
          <w:sz w:val="16"/>
          <w:szCs w:val="16"/>
        </w:rPr>
        <w:t xml:space="preserve"> </w:t>
      </w:r>
      <w:r w:rsidRPr="7F8594A9" w:rsidR="7F8594A9">
        <w:rPr>
          <w:rFonts w:ascii="Calibri" w:hAnsi="Calibri" w:eastAsia="Calibri" w:cs="Calibri" w:asciiTheme="minorAscii" w:hAnsiTheme="minorAscii" w:eastAsiaTheme="minorAscii" w:cstheme="minorAscii"/>
          <w:sz w:val="16"/>
          <w:szCs w:val="16"/>
        </w:rPr>
        <w:t>Pankenier, ’</w:t>
      </w:r>
      <w:r w:rsidRPr="7F8594A9" w:rsidR="7F8594A9">
        <w:rPr>
          <w:rFonts w:ascii="Calibri" w:hAnsi="Calibri" w:eastAsia="Calibri" w:cs="Calibri" w:asciiTheme="minorAscii" w:hAnsiTheme="minorAscii" w:eastAsiaTheme="minorAscii" w:cstheme="minorAscii"/>
          <w:i w:val="1"/>
          <w:iCs w:val="1"/>
          <w:sz w:val="16"/>
          <w:szCs w:val="16"/>
        </w:rPr>
        <w:t>The Cosmic Center</w:t>
      </w:r>
      <w:r w:rsidRPr="7F8594A9" w:rsidR="7F8594A9">
        <w:rPr>
          <w:rFonts w:ascii="Calibri" w:hAnsi="Calibri" w:eastAsia="Calibri" w:cs="Calibri" w:asciiTheme="minorAscii" w:hAnsiTheme="minorAscii" w:eastAsiaTheme="minorAscii" w:cstheme="minorAscii"/>
          <w:i w:val="0"/>
          <w:iCs w:val="0"/>
          <w:sz w:val="16"/>
          <w:szCs w:val="16"/>
        </w:rPr>
        <w:t>,’ pp 298-307.</w:t>
      </w:r>
    </w:p>
  </w:footnote>
  <w:footnote w:id="35">
    <w:p w:rsidR="6A900AC6" w:rsidP="7F8594A9" w:rsidRDefault="6A900AC6" w14:paraId="7EFD564E" w14:textId="795ACCA1">
      <w:pPr>
        <w:pStyle w:val="FootnoteText"/>
        <w:ind w:firstLine="0"/>
        <w:rPr>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Estelle Phillips., Derek Pugh. EBOOK: </w:t>
      </w:r>
      <w:r w:rsidRPr="7F8594A9">
        <w:rPr>
          <w:rFonts w:ascii="Calibri" w:hAnsi="Calibri" w:eastAsia="Calibri" w:cs="Calibri"/>
          <w:i w:val="1"/>
          <w:iCs w:val="1"/>
          <w:sz w:val="16"/>
          <w:szCs w:val="16"/>
        </w:rPr>
        <w:t>How to Get a PhD: A Handbook for Students and Their Supervisors</w:t>
      </w:r>
      <w:r w:rsidRPr="7F8594A9">
        <w:rPr>
          <w:rFonts w:ascii="Calibri" w:hAnsi="Calibri" w:eastAsia="Calibri" w:cs="Calibri"/>
          <w:sz w:val="16"/>
          <w:szCs w:val="16"/>
        </w:rPr>
        <w:t>. United Kingdom: McGraw-Hill Education, 2015.</w:t>
      </w:r>
    </w:p>
  </w:footnote>
  <w:footnote w:id="36">
    <w:p w:rsidR="6A900AC6" w:rsidP="7F8594A9" w:rsidRDefault="6A900AC6" w14:paraId="4F91CB45" w14:textId="1A6A4A0C">
      <w:pPr>
        <w:pStyle w:val="FootnoteText"/>
        <w:ind w:firstLine="0"/>
        <w:rPr>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Hamacher and Norris, ’</w:t>
      </w:r>
      <w:r w:rsidRPr="7F8594A9">
        <w:rPr>
          <w:rFonts w:ascii="Calibri" w:hAnsi="Calibri" w:eastAsia="Calibri" w:cs="Calibri"/>
          <w:i w:val="1"/>
          <w:iCs w:val="1"/>
          <w:sz w:val="16"/>
          <w:szCs w:val="16"/>
        </w:rPr>
        <w:t xml:space="preserve">Bridging the Gap’ </w:t>
      </w:r>
      <w:r w:rsidRPr="7F8594A9">
        <w:rPr>
          <w:rFonts w:ascii="Calibri" w:hAnsi="Calibri" w:eastAsia="Calibri" w:cs="Calibri"/>
          <w:sz w:val="16"/>
          <w:szCs w:val="16"/>
        </w:rPr>
        <w:t>pp. 282-289.</w:t>
      </w:r>
    </w:p>
  </w:footnote>
  <w:footnote w:id="37">
    <w:p w:rsidR="6A900AC6" w:rsidP="7F8594A9" w:rsidRDefault="6A900AC6" w14:paraId="4B79A335" w14:textId="19EDFF73">
      <w:pPr>
        <w:pStyle w:val="FootnoteText"/>
        <w:ind w:firstLine="0"/>
        <w:rPr>
          <w:sz w:val="16"/>
          <w:szCs w:val="16"/>
        </w:rPr>
      </w:pPr>
      <w:r w:rsidRPr="7F8594A9">
        <w:rPr>
          <w:rStyle w:val="FootnoteReference"/>
          <w:rFonts w:ascii="Calibri" w:hAnsi="Calibri" w:eastAsia="Calibri" w:cs="Calibri"/>
          <w:sz w:val="16"/>
          <w:szCs w:val="16"/>
        </w:rPr>
        <w:footnoteRef/>
      </w:r>
      <w:r w:rsidRPr="7F8594A9">
        <w:rPr>
          <w:rFonts w:ascii="Calibri" w:hAnsi="Calibri" w:eastAsia="Calibri" w:cs="Calibri"/>
          <w:sz w:val="16"/>
          <w:szCs w:val="16"/>
        </w:rPr>
        <w:t xml:space="preserve"> </w:t>
      </w:r>
      <w:proofErr w:type="spellStart"/>
      <w:r w:rsidRPr="7F8594A9">
        <w:rPr>
          <w:rFonts w:ascii="Calibri" w:hAnsi="Calibri" w:eastAsia="Calibri" w:cs="Calibri"/>
          <w:sz w:val="16"/>
          <w:szCs w:val="16"/>
        </w:rPr>
        <w:t xml:space="preserve">Pankenier</w:t>
      </w:r>
      <w:proofErr w:type="spellEnd"/>
      <w:r w:rsidRPr="7F8594A9">
        <w:rPr>
          <w:rFonts w:ascii="Calibri" w:hAnsi="Calibri" w:eastAsia="Calibri" w:cs="Calibri"/>
          <w:sz w:val="16"/>
          <w:szCs w:val="16"/>
        </w:rPr>
        <w:t xml:space="preserve">, ’</w:t>
      </w:r>
      <w:r w:rsidRPr="7F8594A9">
        <w:rPr>
          <w:rFonts w:ascii="Calibri" w:hAnsi="Calibri" w:eastAsia="Calibri" w:cs="Calibri"/>
          <w:i w:val="1"/>
          <w:iCs w:val="1"/>
          <w:sz w:val="16"/>
          <w:szCs w:val="16"/>
        </w:rPr>
        <w:t xml:space="preserve">The Cosmic Centre’ </w:t>
      </w:r>
      <w:r w:rsidRPr="7F8594A9">
        <w:rPr>
          <w:rFonts w:ascii="Calibri" w:hAnsi="Calibri" w:eastAsia="Calibri" w:cs="Calibri"/>
          <w:sz w:val="16"/>
          <w:szCs w:val="16"/>
        </w:rPr>
        <w:t>pp. 298-306.</w:t>
      </w:r>
    </w:p>
  </w:footnote>
  <w:footnote w:id="12359">
    <w:p w:rsidR="7F8594A9" w:rsidP="7F8594A9" w:rsidRDefault="7F8594A9" w14:paraId="7DE442E0" w14:textId="775BF3E6">
      <w:pPr>
        <w:pStyle w:val="FootnoteText"/>
        <w:bidi w:val="0"/>
        <w:spacing w:before="0" w:beforeAutospacing="off" w:after="0" w:afterAutospacing="off" w:line="240" w:lineRule="auto"/>
        <w:ind w:left="0" w:right="0"/>
        <w:jc w:val="left"/>
        <w:rPr>
          <w:i w:val="0"/>
          <w:iCs w:val="0"/>
          <w:sz w:val="16"/>
          <w:szCs w:val="16"/>
        </w:rPr>
      </w:pPr>
      <w:r w:rsidRPr="7F8594A9">
        <w:rPr>
          <w:rStyle w:val="FootnoteReference"/>
          <w:sz w:val="16"/>
          <w:szCs w:val="16"/>
        </w:rPr>
        <w:footnoteRef/>
      </w:r>
      <w:r w:rsidRPr="7F8594A9" w:rsidR="7F8594A9">
        <w:rPr>
          <w:sz w:val="16"/>
          <w:szCs w:val="16"/>
        </w:rPr>
        <w:t xml:space="preserve"> Nicholas Campion. ’</w:t>
      </w:r>
      <w:r w:rsidRPr="7F8594A9" w:rsidR="7F8594A9">
        <w:rPr>
          <w:i w:val="1"/>
          <w:iCs w:val="1"/>
          <w:sz w:val="16"/>
          <w:szCs w:val="16"/>
        </w:rPr>
        <w:t>The Celestial Offices</w:t>
      </w:r>
      <w:r w:rsidRPr="7F8594A9" w:rsidR="7F8594A9">
        <w:rPr>
          <w:i w:val="0"/>
          <w:iCs w:val="0"/>
          <w:sz w:val="16"/>
          <w:szCs w:val="16"/>
        </w:rPr>
        <w:t>.’ In Astrology and Cosmology in the World’s Religionss, NYU Press, 2012. P. 96.</w:t>
      </w:r>
    </w:p>
  </w:footnote>
  <w:footnote w:id="29783">
    <w:p w:rsidR="7F8594A9" w:rsidP="7F8594A9" w:rsidRDefault="7F8594A9" w14:paraId="0C178DA9" w14:textId="58AF5669">
      <w:pPr>
        <w:pStyle w:val="FootnoteText"/>
        <w:bidi w:val="0"/>
        <w:rPr>
          <w:i w:val="0"/>
          <w:iCs w:val="0"/>
          <w:sz w:val="16"/>
          <w:szCs w:val="16"/>
        </w:rPr>
      </w:pPr>
      <w:r w:rsidRPr="7F8594A9">
        <w:rPr>
          <w:rStyle w:val="FootnoteReference"/>
          <w:sz w:val="16"/>
          <w:szCs w:val="16"/>
        </w:rPr>
        <w:footnoteRef/>
      </w:r>
      <w:r w:rsidRPr="7F8594A9" w:rsidR="7F8594A9">
        <w:rPr>
          <w:sz w:val="16"/>
          <w:szCs w:val="16"/>
        </w:rPr>
        <w:t xml:space="preserve"> Andrew S. C. Ehrenberg. (1982). ’</w:t>
      </w:r>
      <w:r w:rsidRPr="7F8594A9" w:rsidR="7F8594A9">
        <w:rPr>
          <w:i w:val="1"/>
          <w:iCs w:val="1"/>
          <w:sz w:val="16"/>
          <w:szCs w:val="16"/>
        </w:rPr>
        <w:t>Writing Technical Papers or Reports</w:t>
      </w:r>
      <w:r w:rsidRPr="7F8594A9" w:rsidR="7F8594A9">
        <w:rPr>
          <w:i w:val="0"/>
          <w:iCs w:val="0"/>
          <w:sz w:val="16"/>
          <w:szCs w:val="16"/>
        </w:rPr>
        <w:t>.’ The American Statistician 36, no.4, p. 326.</w:t>
      </w:r>
    </w:p>
  </w:footnote>
  <w:footnote w:id="11133">
    <w:p w:rsidR="7F8594A9" w:rsidP="7F8594A9" w:rsidRDefault="7F8594A9" w14:paraId="0260220A" w14:textId="74F226C0">
      <w:pPr>
        <w:pStyle w:val="FootnoteText"/>
        <w:bidi w:val="0"/>
        <w:rPr>
          <w:i w:val="0"/>
          <w:iCs w:val="0"/>
          <w:sz w:val="16"/>
          <w:szCs w:val="16"/>
        </w:rPr>
      </w:pPr>
      <w:r w:rsidRPr="7F8594A9">
        <w:rPr>
          <w:rStyle w:val="FootnoteReference"/>
          <w:sz w:val="16"/>
          <w:szCs w:val="16"/>
        </w:rPr>
        <w:footnoteRef/>
      </w:r>
      <w:r w:rsidRPr="7F8594A9" w:rsidR="7F8594A9">
        <w:rPr>
          <w:sz w:val="16"/>
          <w:szCs w:val="16"/>
        </w:rPr>
        <w:t xml:space="preserve"> Paul, R. Heinmiller and Alice S. Allen. (1962). ’</w:t>
      </w:r>
      <w:r w:rsidRPr="7F8594A9" w:rsidR="7F8594A9">
        <w:rPr>
          <w:i w:val="1"/>
          <w:iCs w:val="1"/>
          <w:sz w:val="16"/>
          <w:szCs w:val="16"/>
        </w:rPr>
        <w:t>Developing a Technical Writing Style</w:t>
      </w:r>
      <w:r w:rsidRPr="7F8594A9" w:rsidR="7F8594A9">
        <w:rPr>
          <w:i w:val="0"/>
          <w:iCs w:val="0"/>
          <w:sz w:val="16"/>
          <w:szCs w:val="16"/>
        </w:rPr>
        <w:t>.’ STWP Review, 9, no 3, p. 5.</w:t>
      </w:r>
    </w:p>
  </w:footnote>
  <w:footnote w:id="6895">
    <w:p w:rsidR="7F8594A9" w:rsidP="7F8594A9" w:rsidRDefault="7F8594A9" w14:paraId="08EC2E77" w14:textId="1895D85F">
      <w:pPr>
        <w:pStyle w:val="FootnoteText"/>
        <w:bidi w:val="0"/>
        <w:rPr>
          <w:i w:val="1"/>
          <w:iCs w:val="1"/>
          <w:sz w:val="16"/>
          <w:szCs w:val="16"/>
        </w:rPr>
      </w:pPr>
      <w:r w:rsidRPr="7F8594A9">
        <w:rPr>
          <w:rStyle w:val="FootnoteReference"/>
          <w:sz w:val="16"/>
          <w:szCs w:val="16"/>
        </w:rPr>
        <w:footnoteRef/>
      </w:r>
      <w:r w:rsidRPr="7F8594A9" w:rsidR="7F8594A9">
        <w:rPr>
          <w:sz w:val="16"/>
          <w:szCs w:val="16"/>
        </w:rPr>
        <w:t xml:space="preserve"> Eugene, Garfield. ’</w:t>
      </w:r>
      <w:r w:rsidRPr="7F8594A9" w:rsidR="7F8594A9">
        <w:rPr>
          <w:i w:val="1"/>
          <w:iCs w:val="1"/>
          <w:sz w:val="16"/>
          <w:szCs w:val="16"/>
        </w:rPr>
        <w:t>When to Cite</w:t>
      </w:r>
      <w:r w:rsidRPr="7F8594A9" w:rsidR="7F8594A9">
        <w:rPr>
          <w:i w:val="0"/>
          <w:iCs w:val="0"/>
          <w:sz w:val="16"/>
          <w:szCs w:val="16"/>
        </w:rPr>
        <w:t>.’ The Library Quarterly: Information, Community, Policy 66, no, 4 (1996): p 449.</w:t>
      </w:r>
    </w:p>
  </w:footnote>
  <w:footnote w:id="15950">
    <w:p w:rsidR="7F8594A9" w:rsidP="7F8594A9" w:rsidRDefault="7F8594A9" w14:paraId="37677CA4" w14:textId="111F4DE6">
      <w:pPr>
        <w:pStyle w:val="FootnoteText"/>
        <w:bidi w:val="0"/>
        <w:rPr>
          <w:rFonts w:ascii="Calibri" w:hAnsi="Calibri" w:eastAsia="Calibri" w:cs="Calibri" w:asciiTheme="minorAscii" w:hAnsiTheme="minorAscii" w:eastAsiaTheme="minorAscii" w:cstheme="minorAscii"/>
          <w:sz w:val="16"/>
          <w:szCs w:val="16"/>
        </w:rPr>
      </w:pPr>
      <w:r w:rsidRPr="7F8594A9">
        <w:rPr>
          <w:rStyle w:val="FootnoteReference"/>
          <w:sz w:val="16"/>
          <w:szCs w:val="16"/>
        </w:rPr>
        <w:footnoteRef/>
      </w:r>
      <w:r w:rsidRPr="7F8594A9" w:rsidR="7F8594A9">
        <w:rPr>
          <w:sz w:val="16"/>
          <w:szCs w:val="16"/>
        </w:rPr>
        <w:t xml:space="preserve"> Duane W. Hamacher. ‘</w:t>
      </w:r>
      <w:r w:rsidRPr="355FDBB9" w:rsidR="7F8594A9">
        <w:rPr>
          <w:i w:val="1"/>
          <w:iCs w:val="1"/>
          <w:sz w:val="16"/>
          <w:szCs w:val="16"/>
        </w:rPr>
        <w:t xml:space="preserve">The </w:t>
      </w:r>
      <w:r w:rsidRPr="355FDBB9" w:rsidR="7F8594A9">
        <w:rPr>
          <w:i w:val="1"/>
          <w:iCs w:val="1"/>
          <w:sz w:val="16"/>
          <w:szCs w:val="16"/>
        </w:rPr>
        <w:t>Conversation.’</w:t>
      </w:r>
      <w:r w:rsidRPr="355FDBB9" w:rsidR="7F8594A9">
        <w:rPr>
          <w:i w:val="1"/>
          <w:iCs w:val="1"/>
          <w:sz w:val="16"/>
          <w:szCs w:val="16"/>
        </w:rPr>
        <w:t xml:space="preserve"> </w:t>
      </w:r>
      <w:r w:rsidRPr="355FDBB9" w:rsidR="7F8594A9">
        <w:rPr>
          <w:i w:val="0"/>
          <w:iCs w:val="0"/>
          <w:sz w:val="16"/>
          <w:szCs w:val="16"/>
        </w:rPr>
        <w:t>(2013)</w:t>
      </w:r>
      <w:hyperlink r:id="R55aebce1a80943a8">
        <w:r w:rsidRPr="7F8594A9" w:rsidR="7F8594A9">
          <w:rPr>
            <w:rStyle w:val="Hyperlink"/>
            <w:rFonts w:ascii="Calibri" w:hAnsi="Calibri" w:eastAsia="Calibri" w:cs="Calibri" w:asciiTheme="minorAscii" w:hAnsiTheme="minorAscii" w:eastAsiaTheme="minorAscii" w:cstheme="minorAscii"/>
            <w:sz w:val="16"/>
            <w:szCs w:val="16"/>
          </w:rPr>
          <w:t>https://theconversation.com/profiles/duane-w-hamacher-98016</w:t>
        </w:r>
      </w:hyperlink>
      <w:r w:rsidRPr="7F8594A9" w:rsidR="7F8594A9">
        <w:rPr>
          <w:rFonts w:ascii="Calibri" w:hAnsi="Calibri" w:eastAsia="Calibri" w:cs="Calibri" w:asciiTheme="minorAscii" w:hAnsiTheme="minorAscii" w:eastAsiaTheme="minorAscii" w:cstheme="minorAscii"/>
          <w:sz w:val="16"/>
          <w:szCs w:val="16"/>
        </w:rPr>
        <w:t>. [accessed 28</w:t>
      </w:r>
      <w:r w:rsidRPr="7F8594A9" w:rsidR="7F8594A9">
        <w:rPr>
          <w:rFonts w:ascii="Calibri" w:hAnsi="Calibri" w:eastAsia="Calibri" w:cs="Calibri" w:asciiTheme="minorAscii" w:hAnsiTheme="minorAscii" w:eastAsiaTheme="minorAscii" w:cstheme="minorAscii"/>
          <w:sz w:val="16"/>
          <w:szCs w:val="16"/>
          <w:vertAlign w:val="superscript"/>
        </w:rPr>
        <w:t>th</w:t>
      </w:r>
      <w:r w:rsidRPr="7F8594A9" w:rsidR="7F8594A9">
        <w:rPr>
          <w:rFonts w:ascii="Calibri" w:hAnsi="Calibri" w:eastAsia="Calibri" w:cs="Calibri" w:asciiTheme="minorAscii" w:hAnsiTheme="minorAscii" w:eastAsiaTheme="minorAscii" w:cstheme="minorAscii"/>
          <w:sz w:val="16"/>
          <w:szCs w:val="16"/>
        </w:rPr>
        <w:t xml:space="preserve"> October 2021].</w:t>
      </w:r>
    </w:p>
  </w:footnote>
  <w:footnote w:id="13664">
    <w:p w:rsidR="355FDBB9" w:rsidP="355FDBB9" w:rsidRDefault="355FDBB9" w14:paraId="7DDF763E" w14:textId="7BABF8F0">
      <w:pPr>
        <w:pStyle w:val="FootnoteText"/>
        <w:bidi w:val="0"/>
        <w:rPr>
          <w:i w:val="0"/>
          <w:iCs w:val="0"/>
          <w:sz w:val="20"/>
          <w:szCs w:val="20"/>
        </w:rPr>
      </w:pPr>
      <w:r w:rsidRPr="355FDBB9">
        <w:rPr>
          <w:rStyle w:val="FootnoteReference"/>
          <w:sz w:val="20"/>
          <w:szCs w:val="20"/>
        </w:rPr>
        <w:footnoteRef/>
      </w:r>
      <w:r w:rsidRPr="355FDBB9" w:rsidR="355FDBB9">
        <w:rPr>
          <w:sz w:val="20"/>
          <w:szCs w:val="20"/>
        </w:rPr>
        <w:t xml:space="preserve"> </w:t>
      </w:r>
      <w:r w:rsidRPr="355FDBB9" w:rsidR="355FDBB9">
        <w:rPr>
          <w:sz w:val="16"/>
          <w:szCs w:val="16"/>
        </w:rPr>
        <w:t>Clive Ruggles. (2010). ’</w:t>
      </w:r>
      <w:r w:rsidRPr="355FDBB9" w:rsidR="355FDBB9">
        <w:rPr>
          <w:i w:val="1"/>
          <w:iCs w:val="1"/>
          <w:sz w:val="16"/>
          <w:szCs w:val="16"/>
        </w:rPr>
        <w:t>Indigenous Astronomies and Progress in Modern Astronomy</w:t>
      </w:r>
      <w:r w:rsidRPr="355FDBB9" w:rsidR="355FDBB9">
        <w:rPr>
          <w:i w:val="0"/>
          <w:iCs w:val="0"/>
          <w:sz w:val="16"/>
          <w:szCs w:val="16"/>
        </w:rPr>
        <w:t>.’ Proceedings of Science, School of Archeology and Ancient History, University of Leicester, p. 8.</w:t>
      </w:r>
    </w:p>
  </w:footnote>
  <w:footnote w:id="25875">
    <w:p w:rsidR="355FDBB9" w:rsidP="355FDBB9" w:rsidRDefault="355FDBB9" w14:paraId="4A2AF1DB" w14:textId="1E2FDF2C">
      <w:pPr>
        <w:pStyle w:val="FootnoteText"/>
        <w:bidi w:val="0"/>
        <w:rPr>
          <w:i w:val="0"/>
          <w:iCs w:val="0"/>
          <w:sz w:val="16"/>
          <w:szCs w:val="16"/>
        </w:rPr>
      </w:pPr>
      <w:r w:rsidRPr="355FDBB9">
        <w:rPr>
          <w:rStyle w:val="FootnoteReference"/>
          <w:sz w:val="16"/>
          <w:szCs w:val="16"/>
        </w:rPr>
        <w:footnoteRef/>
      </w:r>
      <w:r w:rsidRPr="355FDBB9" w:rsidR="355FDBB9">
        <w:rPr>
          <w:sz w:val="16"/>
          <w:szCs w:val="16"/>
        </w:rPr>
        <w:t xml:space="preserve"> Ruggles. ’</w:t>
      </w:r>
      <w:r w:rsidRPr="355FDBB9" w:rsidR="355FDBB9">
        <w:rPr>
          <w:i w:val="1"/>
          <w:iCs w:val="1"/>
          <w:sz w:val="16"/>
          <w:szCs w:val="16"/>
        </w:rPr>
        <w:t>Indigenous Astronomies and Progress in Modern Astronomy</w:t>
      </w:r>
      <w:r w:rsidRPr="355FDBB9" w:rsidR="355FDBB9">
        <w:rPr>
          <w:i w:val="0"/>
          <w:iCs w:val="0"/>
          <w:sz w:val="16"/>
          <w:szCs w:val="16"/>
        </w:rPr>
        <w:t>.’ P. 8.</w:t>
      </w:r>
    </w:p>
  </w:footnote>
  <w:footnote w:id="4810">
    <w:p w:rsidR="355FDBB9" w:rsidP="355FDBB9" w:rsidRDefault="355FDBB9" w14:paraId="1F3FF7FA" w14:textId="327B685B">
      <w:pPr>
        <w:pStyle w:val="FootnoteText"/>
        <w:bidi w:val="0"/>
        <w:rPr>
          <w:i w:val="0"/>
          <w:iCs w:val="0"/>
          <w:sz w:val="20"/>
          <w:szCs w:val="20"/>
        </w:rPr>
      </w:pPr>
      <w:r w:rsidRPr="355FDBB9">
        <w:rPr>
          <w:rStyle w:val="FootnoteReference"/>
          <w:sz w:val="20"/>
          <w:szCs w:val="20"/>
        </w:rPr>
        <w:footnoteRef/>
      </w:r>
      <w:r w:rsidRPr="355FDBB9" w:rsidR="355FDBB9">
        <w:rPr>
          <w:sz w:val="20"/>
          <w:szCs w:val="20"/>
        </w:rPr>
        <w:t xml:space="preserve"> </w:t>
      </w:r>
      <w:r w:rsidRPr="355FDBB9" w:rsidR="355FDBB9">
        <w:rPr>
          <w:sz w:val="16"/>
          <w:szCs w:val="16"/>
        </w:rPr>
        <w:t>Ruggles. ’</w:t>
      </w:r>
      <w:r w:rsidRPr="355FDBB9" w:rsidR="355FDBB9">
        <w:rPr>
          <w:i w:val="1"/>
          <w:iCs w:val="1"/>
          <w:sz w:val="16"/>
          <w:szCs w:val="16"/>
        </w:rPr>
        <w:t>Indigenous Astronomies and Progress in Modern Astronomy</w:t>
      </w:r>
      <w:r w:rsidRPr="355FDBB9" w:rsidR="355FDBB9">
        <w:rPr>
          <w:i w:val="0"/>
          <w:iCs w:val="0"/>
          <w:sz w:val="16"/>
          <w:szCs w:val="16"/>
        </w:rPr>
        <w:t>.’ P. 8.</w:t>
      </w:r>
    </w:p>
  </w:footnote>
  <w:footnote w:id="529">
    <w:p w:rsidR="355FDBB9" w:rsidP="355FDBB9" w:rsidRDefault="355FDBB9" w14:paraId="51DF465A" w14:textId="09C6F312">
      <w:pPr>
        <w:pStyle w:val="FootnoteText"/>
        <w:bidi w:val="0"/>
        <w:rPr>
          <w:sz w:val="16"/>
          <w:szCs w:val="16"/>
        </w:rPr>
      </w:pPr>
      <w:r w:rsidRPr="355FDBB9">
        <w:rPr>
          <w:rStyle w:val="FootnoteReference"/>
          <w:sz w:val="16"/>
          <w:szCs w:val="16"/>
        </w:rPr>
        <w:footnoteRef/>
      </w:r>
      <w:r w:rsidRPr="355FDBB9" w:rsidR="355FDBB9">
        <w:rPr>
          <w:sz w:val="16"/>
          <w:szCs w:val="16"/>
        </w:rPr>
        <w:t xml:space="preserve"> Cambridge University Press. (2021). ’</w:t>
      </w:r>
      <w:r w:rsidRPr="355FDBB9" w:rsidR="355FDBB9">
        <w:rPr>
          <w:i w:val="1"/>
          <w:iCs w:val="1"/>
          <w:sz w:val="16"/>
          <w:szCs w:val="16"/>
        </w:rPr>
        <w:t>Proceedings of the International Astronomical Union</w:t>
      </w:r>
      <w:r w:rsidRPr="355FDBB9" w:rsidR="355FDBB9">
        <w:rPr>
          <w:i w:val="0"/>
          <w:iCs w:val="0"/>
          <w:sz w:val="16"/>
          <w:szCs w:val="16"/>
        </w:rPr>
        <w:t xml:space="preserve">.’ </w:t>
      </w:r>
      <w:hyperlink r:id="R5eaaf67d3b634131">
        <w:r w:rsidRPr="355FDBB9" w:rsidR="355FDBB9">
          <w:rPr>
            <w:rStyle w:val="Hyperlink"/>
            <w:sz w:val="16"/>
            <w:szCs w:val="16"/>
          </w:rPr>
          <w:t>https://www.cambridge.org/core/journals/proceedings-of-the-international-astronomical-union/issue/AB45A08EAC0792C2E2C9FB5CBE79E3D3</w:t>
        </w:r>
      </w:hyperlink>
      <w:r w:rsidRPr="355FDBB9" w:rsidR="355FDBB9">
        <w:rPr>
          <w:sz w:val="16"/>
          <w:szCs w:val="16"/>
        </w:rPr>
        <w:t xml:space="preserve"> [accessed 28</w:t>
      </w:r>
      <w:r w:rsidRPr="355FDBB9" w:rsidR="355FDBB9">
        <w:rPr>
          <w:sz w:val="16"/>
          <w:szCs w:val="16"/>
          <w:vertAlign w:val="superscript"/>
        </w:rPr>
        <w:t>th</w:t>
      </w:r>
      <w:r w:rsidRPr="355FDBB9" w:rsidR="355FDBB9">
        <w:rPr>
          <w:sz w:val="16"/>
          <w:szCs w:val="16"/>
        </w:rPr>
        <w:t xml:space="preserve"> October 2021].</w:t>
      </w:r>
    </w:p>
  </w:footnote>
  <w:footnote w:id="15578">
    <w:p w:rsidR="355FDBB9" w:rsidP="355FDBB9" w:rsidRDefault="355FDBB9" w14:paraId="36A6CDCB" w14:textId="792FCC44">
      <w:pPr>
        <w:pStyle w:val="FootnoteText"/>
        <w:bidi w:val="0"/>
        <w:rPr>
          <w:i w:val="0"/>
          <w:iCs w:val="0"/>
          <w:sz w:val="20"/>
          <w:szCs w:val="20"/>
        </w:rPr>
      </w:pPr>
      <w:r w:rsidRPr="355FDBB9">
        <w:rPr>
          <w:rStyle w:val="FootnoteReference"/>
          <w:sz w:val="20"/>
          <w:szCs w:val="20"/>
        </w:rPr>
        <w:footnoteRef/>
      </w:r>
      <w:r w:rsidRPr="355FDBB9" w:rsidR="355FDBB9">
        <w:rPr>
          <w:sz w:val="20"/>
          <w:szCs w:val="20"/>
        </w:rPr>
        <w:t xml:space="preserve"> </w:t>
      </w:r>
      <w:r w:rsidRPr="355FDBB9" w:rsidR="355FDBB9">
        <w:rPr>
          <w:sz w:val="16"/>
          <w:szCs w:val="16"/>
        </w:rPr>
        <w:t>Clive Ruggles. (2010). ’</w:t>
      </w:r>
      <w:r w:rsidRPr="355FDBB9" w:rsidR="355FDBB9">
        <w:rPr>
          <w:i w:val="1"/>
          <w:iCs w:val="1"/>
          <w:sz w:val="16"/>
          <w:szCs w:val="16"/>
        </w:rPr>
        <w:t>Indigenous Astronomies and Progress in Modern Astronomy</w:t>
      </w:r>
      <w:r w:rsidRPr="355FDBB9" w:rsidR="355FDBB9">
        <w:rPr>
          <w:i w:val="0"/>
          <w:iCs w:val="0"/>
          <w:sz w:val="16"/>
          <w:szCs w:val="16"/>
        </w:rPr>
        <w:t>.’ P. 9.</w:t>
      </w:r>
    </w:p>
  </w:footnote>
  <w:footnote w:id="32516">
    <w:p w:rsidR="355FDBB9" w:rsidP="355FDBB9" w:rsidRDefault="355FDBB9" w14:paraId="7582C1EA" w14:textId="4D990FBC">
      <w:pPr>
        <w:pStyle w:val="FootnoteText"/>
        <w:bidi w:val="0"/>
        <w:rPr>
          <w:sz w:val="20"/>
          <w:szCs w:val="20"/>
        </w:rPr>
      </w:pPr>
      <w:r w:rsidRPr="355FDBB9">
        <w:rPr>
          <w:rStyle w:val="FootnoteReference"/>
          <w:sz w:val="20"/>
          <w:szCs w:val="20"/>
        </w:rPr>
        <w:footnoteRef/>
      </w:r>
      <w:r w:rsidRPr="355FDBB9" w:rsidR="355FDBB9">
        <w:rPr>
          <w:sz w:val="20"/>
          <w:szCs w:val="20"/>
        </w:rPr>
        <w:t xml:space="preserve"> </w:t>
      </w:r>
      <w:r w:rsidRPr="355FDBB9" w:rsidR="355FDBB9">
        <w:rPr>
          <w:rFonts w:ascii="Calibri" w:hAnsi="Calibri" w:eastAsia="Calibri" w:cs="Calibri"/>
          <w:sz w:val="16"/>
          <w:szCs w:val="16"/>
        </w:rPr>
        <w:t>Ray P. Norris. ‘</w:t>
      </w:r>
      <w:r w:rsidRPr="355FDBB9" w:rsidR="355FDBB9">
        <w:rPr>
          <w:rFonts w:ascii="Calibri" w:hAnsi="Calibri" w:eastAsia="Calibri" w:cs="Calibri"/>
          <w:i w:val="1"/>
          <w:iCs w:val="1"/>
          <w:sz w:val="16"/>
          <w:szCs w:val="16"/>
        </w:rPr>
        <w:t>Australian Telescope National Facility.’</w:t>
      </w:r>
      <w:r w:rsidRPr="355FDBB9" w:rsidR="355FDBB9">
        <w:rPr>
          <w:rFonts w:ascii="Calibri" w:hAnsi="Calibri" w:eastAsia="Calibri" w:cs="Calibri"/>
          <w:sz w:val="16"/>
          <w:szCs w:val="16"/>
        </w:rPr>
        <w:t xml:space="preserve"> (2013). </w:t>
      </w:r>
      <w:hyperlink r:id="R05752809552244c8">
        <w:r w:rsidRPr="355FDBB9" w:rsidR="355FDBB9">
          <w:rPr>
            <w:rStyle w:val="Hyperlink"/>
            <w:rFonts w:ascii="Calibri" w:hAnsi="Calibri" w:eastAsia="Calibri" w:cs="Calibri"/>
            <w:sz w:val="16"/>
            <w:szCs w:val="16"/>
          </w:rPr>
          <w:t>https://www.atnf.csiro.au/people/Ray.Norris/outreach/informal_bio.htm</w:t>
        </w:r>
      </w:hyperlink>
      <w:r w:rsidRPr="355FDBB9" w:rsidR="355FDBB9">
        <w:rPr>
          <w:rFonts w:ascii="Calibri" w:hAnsi="Calibri" w:eastAsia="Calibri" w:cs="Calibri"/>
          <w:sz w:val="16"/>
          <w:szCs w:val="16"/>
        </w:rPr>
        <w:t>. [accessed 28</w:t>
      </w:r>
      <w:r w:rsidRPr="355FDBB9" w:rsidR="355FDBB9">
        <w:rPr>
          <w:rFonts w:ascii="Calibri" w:hAnsi="Calibri" w:eastAsia="Calibri" w:cs="Calibri"/>
          <w:sz w:val="16"/>
          <w:szCs w:val="16"/>
          <w:vertAlign w:val="superscript"/>
        </w:rPr>
        <w:t>th</w:t>
      </w:r>
      <w:r w:rsidRPr="355FDBB9" w:rsidR="355FDBB9">
        <w:rPr>
          <w:rFonts w:ascii="Calibri" w:hAnsi="Calibri" w:eastAsia="Calibri" w:cs="Calibri"/>
          <w:sz w:val="16"/>
          <w:szCs w:val="16"/>
        </w:rPr>
        <w:t xml:space="preserve"> October 2021].</w:t>
      </w:r>
    </w:p>
  </w:footnote>
  <w:footnote w:id="23271">
    <w:p w:rsidR="355FDBB9" w:rsidP="355FDBB9" w:rsidRDefault="355FDBB9" w14:paraId="1006AAC7" w14:textId="083DC38E">
      <w:pPr>
        <w:pStyle w:val="FootnoteText"/>
        <w:bidi w:val="0"/>
        <w:rPr>
          <w:sz w:val="20"/>
          <w:szCs w:val="20"/>
        </w:rPr>
      </w:pPr>
      <w:r w:rsidRPr="355FDBB9">
        <w:rPr>
          <w:rStyle w:val="FootnoteReference"/>
          <w:sz w:val="20"/>
          <w:szCs w:val="20"/>
        </w:rPr>
        <w:footnoteRef/>
      </w:r>
      <w:r w:rsidRPr="355FDBB9" w:rsidR="355FDBB9">
        <w:rPr>
          <w:sz w:val="20"/>
          <w:szCs w:val="20"/>
        </w:rPr>
        <w:t xml:space="preserve"> </w:t>
      </w:r>
      <w:r w:rsidRPr="355FDBB9" w:rsidR="355FDBB9">
        <w:rPr>
          <w:rFonts w:ascii="Calibri" w:hAnsi="Calibri" w:eastAsia="Calibri" w:cs="Calibri"/>
          <w:sz w:val="16"/>
          <w:szCs w:val="16"/>
        </w:rPr>
        <w:t xml:space="preserve">David W. </w:t>
      </w:r>
      <w:proofErr w:type="spellStart"/>
      <w:r w:rsidRPr="355FDBB9" w:rsidR="355FDBB9">
        <w:rPr>
          <w:rFonts w:ascii="Calibri" w:hAnsi="Calibri" w:eastAsia="Calibri" w:cs="Calibri"/>
          <w:sz w:val="16"/>
          <w:szCs w:val="16"/>
        </w:rPr>
        <w:t>Pankeneir</w:t>
      </w:r>
      <w:proofErr w:type="spellEnd"/>
      <w:r w:rsidRPr="355FDBB9" w:rsidR="355FDBB9">
        <w:rPr>
          <w:rFonts w:ascii="Calibri" w:hAnsi="Calibri" w:eastAsia="Calibri" w:cs="Calibri"/>
          <w:sz w:val="16"/>
          <w:szCs w:val="16"/>
        </w:rPr>
        <w:t>.</w:t>
      </w:r>
      <w:r w:rsidRPr="355FDBB9" w:rsidR="355FDBB9">
        <w:rPr>
          <w:rFonts w:ascii="Calibri" w:hAnsi="Calibri" w:eastAsia="Calibri" w:cs="Calibri"/>
          <w:i w:val="1"/>
          <w:iCs w:val="1"/>
          <w:sz w:val="16"/>
          <w:szCs w:val="16"/>
        </w:rPr>
        <w:t xml:space="preserve"> ’Department of Languages Literature, Lehigh University</w:t>
      </w:r>
      <w:r w:rsidRPr="355FDBB9" w:rsidR="355FDBB9">
        <w:rPr>
          <w:rFonts w:ascii="Calibri" w:hAnsi="Calibri" w:eastAsia="Calibri" w:cs="Calibri"/>
          <w:sz w:val="16"/>
          <w:szCs w:val="16"/>
        </w:rPr>
        <w:t xml:space="preserve">.‘ </w:t>
      </w:r>
      <w:hyperlink r:id="R0e1292b7df5a40b0">
        <w:r w:rsidRPr="355FDBB9" w:rsidR="355FDBB9">
          <w:rPr>
            <w:rStyle w:val="Hyperlink"/>
            <w:rFonts w:ascii="Calibri" w:hAnsi="Calibri" w:eastAsia="Calibri" w:cs="Calibri"/>
            <w:sz w:val="16"/>
            <w:szCs w:val="16"/>
          </w:rPr>
          <w:t>https://mll.cas.lehigh.edu/david-pankenier.</w:t>
        </w:r>
      </w:hyperlink>
      <w:r w:rsidRPr="355FDBB9" w:rsidR="355FDBB9">
        <w:rPr>
          <w:rFonts w:ascii="Calibri" w:hAnsi="Calibri" w:eastAsia="Calibri" w:cs="Calibri"/>
          <w:sz w:val="16"/>
          <w:szCs w:val="16"/>
        </w:rPr>
        <w:t xml:space="preserve"> [accessed 28</w:t>
      </w:r>
      <w:r w:rsidRPr="355FDBB9" w:rsidR="355FDBB9">
        <w:rPr>
          <w:rFonts w:ascii="Calibri" w:hAnsi="Calibri" w:eastAsia="Calibri" w:cs="Calibri"/>
          <w:sz w:val="16"/>
          <w:szCs w:val="16"/>
          <w:vertAlign w:val="superscript"/>
        </w:rPr>
        <w:t>th</w:t>
      </w:r>
      <w:r w:rsidRPr="355FDBB9" w:rsidR="355FDBB9">
        <w:rPr>
          <w:rFonts w:ascii="Calibri" w:hAnsi="Calibri" w:eastAsia="Calibri" w:cs="Calibri"/>
          <w:sz w:val="16"/>
          <w:szCs w:val="16"/>
        </w:rPr>
        <w:t xml:space="preserve"> October 2021].</w:t>
      </w:r>
    </w:p>
  </w:footnote>
  <w:footnote w:id="18060">
    <w:p w:rsidR="355FDBB9" w:rsidP="355FDBB9" w:rsidRDefault="355FDBB9" w14:paraId="53266278" w14:textId="60A324D3">
      <w:pPr>
        <w:pStyle w:val="FootnoteText"/>
        <w:bidi w:val="0"/>
        <w:rPr>
          <w:sz w:val="20"/>
          <w:szCs w:val="20"/>
        </w:rPr>
      </w:pPr>
      <w:r w:rsidRPr="355FDBB9">
        <w:rPr>
          <w:rStyle w:val="FootnoteReference"/>
          <w:sz w:val="20"/>
          <w:szCs w:val="20"/>
        </w:rPr>
        <w:footnoteRef/>
      </w:r>
      <w:r w:rsidRPr="355FDBB9" w:rsidR="355FDBB9">
        <w:rPr>
          <w:sz w:val="20"/>
          <w:szCs w:val="20"/>
        </w:rPr>
        <w:t xml:space="preserve"> </w:t>
      </w:r>
      <w:r w:rsidRPr="355FDBB9" w:rsidR="355FDBB9">
        <w:rPr>
          <w:rFonts w:ascii="Calibri" w:hAnsi="Calibri" w:eastAsia="Calibri" w:cs="Calibri"/>
          <w:sz w:val="16"/>
          <w:szCs w:val="16"/>
        </w:rPr>
        <w:t xml:space="preserve">David W. </w:t>
      </w:r>
      <w:proofErr w:type="spellStart"/>
      <w:r w:rsidRPr="355FDBB9" w:rsidR="355FDBB9">
        <w:rPr>
          <w:rFonts w:ascii="Calibri" w:hAnsi="Calibri" w:eastAsia="Calibri" w:cs="Calibri"/>
          <w:sz w:val="16"/>
          <w:szCs w:val="16"/>
        </w:rPr>
        <w:t>Pankeneir</w:t>
      </w:r>
      <w:proofErr w:type="spellEnd"/>
      <w:r w:rsidRPr="355FDBB9" w:rsidR="355FDBB9">
        <w:rPr>
          <w:rFonts w:ascii="Calibri" w:hAnsi="Calibri" w:eastAsia="Calibri" w:cs="Calibri"/>
          <w:sz w:val="16"/>
          <w:szCs w:val="16"/>
        </w:rPr>
        <w:t>.</w:t>
      </w:r>
      <w:r w:rsidRPr="355FDBB9" w:rsidR="355FDBB9">
        <w:rPr>
          <w:rFonts w:ascii="Calibri" w:hAnsi="Calibri" w:eastAsia="Calibri" w:cs="Calibri"/>
          <w:i w:val="1"/>
          <w:iCs w:val="1"/>
          <w:sz w:val="16"/>
          <w:szCs w:val="16"/>
        </w:rPr>
        <w:t xml:space="preserve"> ’Department of Languages Literature, Lehigh University</w:t>
      </w:r>
      <w:r w:rsidRPr="355FDBB9" w:rsidR="355FDBB9">
        <w:rPr>
          <w:rFonts w:ascii="Calibri" w:hAnsi="Calibri" w:eastAsia="Calibri" w:cs="Calibri"/>
          <w:sz w:val="16"/>
          <w:szCs w:val="16"/>
        </w:rPr>
        <w:t xml:space="preserve">.‘ </w:t>
      </w:r>
      <w:hyperlink r:id="Redb7d887bc8048a8">
        <w:r w:rsidRPr="355FDBB9" w:rsidR="355FDBB9">
          <w:rPr>
            <w:rStyle w:val="Hyperlink"/>
            <w:rFonts w:ascii="Calibri" w:hAnsi="Calibri" w:eastAsia="Calibri" w:cs="Calibri"/>
            <w:sz w:val="16"/>
            <w:szCs w:val="16"/>
          </w:rPr>
          <w:t>https://mll.cas.lehigh.edu/david-pankenier.</w:t>
        </w:r>
      </w:hyperlink>
      <w:r w:rsidRPr="355FDBB9" w:rsidR="355FDBB9">
        <w:rPr>
          <w:rFonts w:ascii="Calibri" w:hAnsi="Calibri" w:eastAsia="Calibri" w:cs="Calibri"/>
          <w:sz w:val="16"/>
          <w:szCs w:val="16"/>
        </w:rPr>
        <w:t xml:space="preserve"> [accessed 28</w:t>
      </w:r>
      <w:r w:rsidRPr="355FDBB9" w:rsidR="355FDBB9">
        <w:rPr>
          <w:rFonts w:ascii="Calibri" w:hAnsi="Calibri" w:eastAsia="Calibri" w:cs="Calibri"/>
          <w:sz w:val="16"/>
          <w:szCs w:val="16"/>
          <w:vertAlign w:val="superscript"/>
        </w:rPr>
        <w:t>th</w:t>
      </w:r>
      <w:r w:rsidRPr="355FDBB9" w:rsidR="355FDBB9">
        <w:rPr>
          <w:rFonts w:ascii="Calibri" w:hAnsi="Calibri" w:eastAsia="Calibri" w:cs="Calibri"/>
          <w:sz w:val="16"/>
          <w:szCs w:val="16"/>
        </w:rPr>
        <w:t xml:space="preserve"> October 2021].</w:t>
      </w:r>
    </w:p>
  </w:footnote>
  <w:footnote w:id="20296">
    <w:p w:rsidR="355FDBB9" w:rsidP="355FDBB9" w:rsidRDefault="355FDBB9" w14:paraId="2B975786" w14:textId="56DEBB9F">
      <w:pPr>
        <w:pStyle w:val="FootnoteText"/>
        <w:bidi w:val="0"/>
        <w:rPr>
          <w:rFonts w:ascii="Calibri" w:hAnsi="Calibri" w:eastAsia="Calibri" w:cs="Calibri" w:asciiTheme="minorAscii" w:hAnsiTheme="minorAscii" w:eastAsiaTheme="minorAscii" w:cstheme="minorAscii"/>
          <w:sz w:val="20"/>
          <w:szCs w:val="20"/>
        </w:rPr>
      </w:pPr>
      <w:r w:rsidRPr="355FDBB9">
        <w:rPr>
          <w:rStyle w:val="FootnoteReference"/>
          <w:sz w:val="20"/>
          <w:szCs w:val="20"/>
        </w:rPr>
        <w:footnoteRef/>
      </w:r>
      <w:r w:rsidRPr="355FDBB9" w:rsidR="355FDBB9">
        <w:rPr>
          <w:sz w:val="20"/>
          <w:szCs w:val="20"/>
        </w:rPr>
        <w:t xml:space="preserve"> </w:t>
      </w:r>
      <w:r w:rsidRPr="355FDBB9" w:rsidR="355FDBB9">
        <w:rPr>
          <w:sz w:val="16"/>
          <w:szCs w:val="16"/>
        </w:rPr>
        <w:t>Duane W. Hamacher. ‘</w:t>
      </w:r>
      <w:r w:rsidRPr="355FDBB9" w:rsidR="355FDBB9">
        <w:rPr>
          <w:i w:val="1"/>
          <w:iCs w:val="1"/>
          <w:sz w:val="16"/>
          <w:szCs w:val="16"/>
        </w:rPr>
        <w:t xml:space="preserve">The Conversation.’ </w:t>
      </w:r>
      <w:r w:rsidRPr="355FDBB9" w:rsidR="355FDBB9">
        <w:rPr>
          <w:i w:val="0"/>
          <w:iCs w:val="0"/>
          <w:sz w:val="16"/>
          <w:szCs w:val="16"/>
        </w:rPr>
        <w:t>(2013)</w:t>
      </w:r>
      <w:hyperlink r:id="Rc368f620f71e4bf8">
        <w:r w:rsidRPr="355FDBB9" w:rsidR="355FDBB9">
          <w:rPr>
            <w:rStyle w:val="Hyperlink"/>
            <w:rFonts w:ascii="Calibri" w:hAnsi="Calibri" w:eastAsia="Calibri" w:cs="Calibri" w:asciiTheme="minorAscii" w:hAnsiTheme="minorAscii" w:eastAsiaTheme="minorAscii" w:cstheme="minorAscii"/>
            <w:sz w:val="16"/>
            <w:szCs w:val="16"/>
          </w:rPr>
          <w:t>https://theconversation.com/profiles/duane-w-hamacher-98016</w:t>
        </w:r>
      </w:hyperlink>
      <w:r w:rsidRPr="355FDBB9" w:rsidR="355FDBB9">
        <w:rPr>
          <w:rFonts w:ascii="Calibri" w:hAnsi="Calibri" w:eastAsia="Calibri" w:cs="Calibri" w:asciiTheme="minorAscii" w:hAnsiTheme="minorAscii" w:eastAsiaTheme="minorAscii" w:cstheme="minorAscii"/>
          <w:sz w:val="16"/>
          <w:szCs w:val="16"/>
        </w:rPr>
        <w:t>. [accessed 28</w:t>
      </w:r>
      <w:r w:rsidRPr="355FDBB9" w:rsidR="355FDBB9">
        <w:rPr>
          <w:rFonts w:ascii="Calibri" w:hAnsi="Calibri" w:eastAsia="Calibri" w:cs="Calibri" w:asciiTheme="minorAscii" w:hAnsiTheme="minorAscii" w:eastAsiaTheme="minorAscii" w:cstheme="minorAscii"/>
          <w:sz w:val="16"/>
          <w:szCs w:val="16"/>
          <w:vertAlign w:val="superscript"/>
        </w:rPr>
        <w:t>th</w:t>
      </w:r>
      <w:r w:rsidRPr="355FDBB9" w:rsidR="355FDBB9">
        <w:rPr>
          <w:rFonts w:ascii="Calibri" w:hAnsi="Calibri" w:eastAsia="Calibri" w:cs="Calibri" w:asciiTheme="minorAscii" w:hAnsiTheme="minorAscii" w:eastAsiaTheme="minorAscii" w:cstheme="minorAscii"/>
          <w:sz w:val="16"/>
          <w:szCs w:val="16"/>
        </w:rPr>
        <w:t xml:space="preserve"> October 2021].</w:t>
      </w:r>
    </w:p>
  </w:footnote>
  <w:footnote w:id="16906">
    <w:p w:rsidR="355FDBB9" w:rsidP="355FDBB9" w:rsidRDefault="355FDBB9" w14:paraId="42654EF8" w14:textId="0E7429A5">
      <w:pPr>
        <w:pStyle w:val="FootnoteText"/>
        <w:bidi w:val="0"/>
      </w:pPr>
      <w:r w:rsidRPr="355FDBB9">
        <w:rPr>
          <w:rStyle w:val="FootnoteReference"/>
          <w:sz w:val="20"/>
          <w:szCs w:val="20"/>
        </w:rPr>
        <w:footnoteRef/>
      </w:r>
      <w:r w:rsidRPr="355FDBB9" w:rsidR="355FDBB9">
        <w:rPr>
          <w:sz w:val="20"/>
          <w:szCs w:val="20"/>
        </w:rPr>
        <w:t xml:space="preserve"> </w:t>
      </w:r>
      <w:r w:rsidRPr="355FDBB9" w:rsidR="355FDBB9">
        <w:rPr>
          <w:sz w:val="16"/>
          <w:szCs w:val="16"/>
        </w:rPr>
        <w:t>Hamacher and Norris, ‘</w:t>
      </w:r>
      <w:r w:rsidRPr="355FDBB9" w:rsidR="355FDBB9">
        <w:rPr>
          <w:i w:val="1"/>
          <w:iCs w:val="1"/>
          <w:sz w:val="16"/>
          <w:szCs w:val="16"/>
        </w:rPr>
        <w:t xml:space="preserve">Bridging the Gap’ </w:t>
      </w:r>
      <w:r w:rsidRPr="355FDBB9" w:rsidR="355FDBB9">
        <w:rPr>
          <w:i w:val="0"/>
          <w:iCs w:val="0"/>
          <w:sz w:val="16"/>
          <w:szCs w:val="16"/>
        </w:rPr>
        <w:t>p. 282.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A900AC6" w:rsidTr="6A900AC6" w14:paraId="55A7F66E" w14:textId="77777777">
      <w:tc>
        <w:tcPr>
          <w:tcW w:w="3120" w:type="dxa"/>
        </w:tcPr>
        <w:p w:rsidR="6A900AC6" w:rsidP="6A900AC6" w:rsidRDefault="6A900AC6" w14:paraId="32E4B139" w14:textId="2A1EBB9B">
          <w:pPr>
            <w:pStyle w:val="Header"/>
            <w:ind w:left="-115"/>
          </w:pPr>
        </w:p>
      </w:tc>
      <w:tc>
        <w:tcPr>
          <w:tcW w:w="3120" w:type="dxa"/>
        </w:tcPr>
        <w:p w:rsidR="6A900AC6" w:rsidP="6A900AC6" w:rsidRDefault="6A900AC6" w14:paraId="079D7B95" w14:textId="7C16A438">
          <w:pPr>
            <w:pStyle w:val="Header"/>
            <w:jc w:val="center"/>
          </w:pPr>
        </w:p>
      </w:tc>
      <w:tc>
        <w:tcPr>
          <w:tcW w:w="3120" w:type="dxa"/>
        </w:tcPr>
        <w:p w:rsidR="6A900AC6" w:rsidP="6A900AC6" w:rsidRDefault="6A900AC6" w14:paraId="0EC28022" w14:textId="4A7F554D">
          <w:pPr>
            <w:pStyle w:val="Header"/>
            <w:ind w:right="-115"/>
            <w:jc w:val="right"/>
          </w:pPr>
        </w:p>
      </w:tc>
    </w:tr>
  </w:tbl>
  <w:p w:rsidR="6A900AC6" w:rsidP="6A900AC6" w:rsidRDefault="6A900AC6" w14:paraId="3A67A247" w14:textId="43DA034A">
    <w:pPr>
      <w:pStyle w:val="Header"/>
    </w:pPr>
  </w:p>
</w:hdr>
</file>

<file path=word/intelligence.xml><?xml version="1.0" encoding="utf-8"?>
<int:Intelligence xmlns:int="http://schemas.microsoft.com/office/intelligence/2019/intelligence">
  <int:IntelligenceSettings/>
  <int:Manifes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5FF03A"/>
    <w:rsid w:val="0007614D"/>
    <w:rsid w:val="00350E99"/>
    <w:rsid w:val="00604855"/>
    <w:rsid w:val="00625DBD"/>
    <w:rsid w:val="009624C2"/>
    <w:rsid w:val="009D6DBE"/>
    <w:rsid w:val="00A14172"/>
    <w:rsid w:val="00A439BC"/>
    <w:rsid w:val="00AA71F3"/>
    <w:rsid w:val="00CB5DA9"/>
    <w:rsid w:val="00CB7746"/>
    <w:rsid w:val="00CC54C2"/>
    <w:rsid w:val="00CE72CE"/>
    <w:rsid w:val="00D75A2C"/>
    <w:rsid w:val="00EF3EA3"/>
    <w:rsid w:val="021AC8D0"/>
    <w:rsid w:val="023890F2"/>
    <w:rsid w:val="0558CFBF"/>
    <w:rsid w:val="06F855AA"/>
    <w:rsid w:val="0C7D0F40"/>
    <w:rsid w:val="1925A046"/>
    <w:rsid w:val="27758C5E"/>
    <w:rsid w:val="27D58976"/>
    <w:rsid w:val="29ABFDEF"/>
    <w:rsid w:val="355FDBB9"/>
    <w:rsid w:val="35AE7C23"/>
    <w:rsid w:val="39C08E92"/>
    <w:rsid w:val="425FF03A"/>
    <w:rsid w:val="4C926009"/>
    <w:rsid w:val="511F6821"/>
    <w:rsid w:val="5495F167"/>
    <w:rsid w:val="5ABA8FC9"/>
    <w:rsid w:val="5C8F02A5"/>
    <w:rsid w:val="5C942105"/>
    <w:rsid w:val="5FAF4172"/>
    <w:rsid w:val="633771F2"/>
    <w:rsid w:val="6A900AC6"/>
    <w:rsid w:val="770AAA51"/>
    <w:rsid w:val="775F73F4"/>
    <w:rsid w:val="7E70BB6B"/>
    <w:rsid w:val="7F8594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F6821"/>
  <w15:chartTrackingRefBased/>
  <w15:docId w15:val="{C63E9134-55B6-4DFF-94E3-1899E3EEC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webSettings" Target="webSettings.xml" Id="rId3" /><Relationship Type="http://schemas.openxmlformats.org/officeDocument/2006/relationships/footer" Target="footer1.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11" /><Relationship Type="http://schemas.openxmlformats.org/officeDocument/2006/relationships/endnotes" Target="endnotes.xml" Id="rId5" /><Relationship Type="http://schemas.microsoft.com/office/2019/09/relationships/intelligence" Target="intelligence.xml" Id="R66b9085eb0cd4bb4" /><Relationship Type="http://schemas.openxmlformats.org/officeDocument/2006/relationships/footnotes" Target="footnotes.xml" Id="rId4" /><Relationship Type="http://schemas.openxmlformats.org/officeDocument/2006/relationships/theme" Target="theme/theme1.xml" Id="rId14" /><Relationship Type="http://schemas.openxmlformats.org/officeDocument/2006/relationships/hyperlink" Target="https://theconversation.com/profiles/duane-w-hamacher-98016" TargetMode="External" Id="Ra353fa8330074fff" /><Relationship Type="http://schemas.openxmlformats.org/officeDocument/2006/relationships/hyperlink" Target="https://www.atnf.csiro.au/people/Ray.Norris/outreach/informal_bio.htm" TargetMode="External" Id="R187fed75afd348d0" /><Relationship Type="http://schemas.openxmlformats.org/officeDocument/2006/relationships/hyperlink" Target="https://mll.cas.lehigh.edu/david-pankenier." TargetMode="External" Id="R7e7c57dc8da9478a" /><Relationship Type="http://schemas.openxmlformats.org/officeDocument/2006/relationships/hyperlink" Target="https://www.cambridge.org/core/journals/proceedings-of-the-international-astronomical-union/issue/AB45A08EAC0792C2E2C9FB5CBE79E3D3" TargetMode="External" Id="R09e0d6e0f682467d" /></Relationships>
</file>

<file path=word/_rels/footnotes.xml.rels>&#65279;<?xml version="1.0" encoding="utf-8"?><Relationships xmlns="http://schemas.openxmlformats.org/package/2006/relationships"><Relationship Type="http://schemas.openxmlformats.org/officeDocument/2006/relationships/hyperlink" Target="https://www.atnf.csiro.au/people/Ray.Norris/outreach/informal_bio.htm" TargetMode="External" Id="Rcb3a66d6e0674e72" /><Relationship Type="http://schemas.openxmlformats.org/officeDocument/2006/relationships/hyperlink" Target="https://mll.cas.lehigh.edu/david-pankenier." TargetMode="External" Id="Ra2c32e95e4eb4189" /><Relationship Type="http://schemas.openxmlformats.org/officeDocument/2006/relationships/hyperlink" Target="https://theconversation.com/profiles/duane-w-hamacher-98016" TargetMode="External" Id="R55aebce1a80943a8" /><Relationship Type="http://schemas.openxmlformats.org/officeDocument/2006/relationships/hyperlink" Target="https://www.cambridge.org/core/journals/proceedings-of-the-international-astronomical-union/issue/AB45A08EAC0792C2E2C9FB5CBE79E3D3" TargetMode="External" Id="R5eaaf67d3b634131" /><Relationship Type="http://schemas.openxmlformats.org/officeDocument/2006/relationships/hyperlink" Target="https://www.atnf.csiro.au/people/Ray.Norris/outreach/informal_bio.htm" TargetMode="External" Id="R05752809552244c8" /><Relationship Type="http://schemas.openxmlformats.org/officeDocument/2006/relationships/hyperlink" Target="https://mll.cas.lehigh.edu/david-pankenier." TargetMode="External" Id="R0e1292b7df5a40b0" /><Relationship Type="http://schemas.openxmlformats.org/officeDocument/2006/relationships/hyperlink" Target="https://mll.cas.lehigh.edu/david-pankenier." TargetMode="External" Id="Redb7d887bc8048a8" /><Relationship Type="http://schemas.openxmlformats.org/officeDocument/2006/relationships/hyperlink" Target="https://theconversation.com/profiles/duane-w-hamacher-98016" TargetMode="External" Id="Rc368f620f71e4bf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Leon Hicks</dc:creator>
  <keywords/>
  <dc:description/>
  <lastModifiedBy>Leon Hicks</lastModifiedBy>
  <revision>16</revision>
  <dcterms:created xsi:type="dcterms:W3CDTF">2021-11-02T08:58:00.0000000Z</dcterms:created>
  <dcterms:modified xsi:type="dcterms:W3CDTF">2021-11-04T11:56:08.9063739Z</dcterms:modified>
</coreProperties>
</file>