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11768" w14:textId="77777777" w:rsidR="00F25B00" w:rsidRDefault="00F25B00" w:rsidP="00F25B00">
      <w:pPr>
        <w:spacing w:line="360" w:lineRule="auto"/>
        <w:jc w:val="center"/>
        <w:rPr>
          <w:rFonts w:cs="Times New Roman"/>
          <w:b/>
          <w:bCs/>
          <w:szCs w:val="24"/>
        </w:rPr>
      </w:pPr>
      <w:r>
        <w:rPr>
          <w:noProof/>
          <w:lang w:eastAsia="en-GB"/>
        </w:rPr>
        <w:drawing>
          <wp:inline distT="0" distB="0" distL="0" distR="0" wp14:anchorId="680C5456" wp14:editId="3C0C601A">
            <wp:extent cx="3810635" cy="1000125"/>
            <wp:effectExtent l="0" t="0" r="0" b="9525"/>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5"/>
                    <a:stretch>
                      <a:fillRect/>
                    </a:stretch>
                  </pic:blipFill>
                  <pic:spPr>
                    <a:xfrm>
                      <a:off x="0" y="0"/>
                      <a:ext cx="3815405" cy="1001377"/>
                    </a:xfrm>
                    <a:prstGeom prst="rect">
                      <a:avLst/>
                    </a:prstGeom>
                  </pic:spPr>
                </pic:pic>
              </a:graphicData>
            </a:graphic>
          </wp:inline>
        </w:drawing>
      </w:r>
    </w:p>
    <w:p w14:paraId="28BBA023" w14:textId="77777777" w:rsidR="00F25B00" w:rsidRDefault="00F25B00" w:rsidP="00F25B00">
      <w:pPr>
        <w:spacing w:line="360" w:lineRule="auto"/>
        <w:jc w:val="center"/>
        <w:rPr>
          <w:rFonts w:cs="Times New Roman"/>
        </w:rPr>
      </w:pPr>
    </w:p>
    <w:p w14:paraId="40FB30C3" w14:textId="77777777" w:rsidR="00F25B00" w:rsidRDefault="00F25B00" w:rsidP="00F25B00">
      <w:pPr>
        <w:spacing w:line="360" w:lineRule="auto"/>
        <w:jc w:val="center"/>
        <w:rPr>
          <w:rFonts w:cs="Times New Roman"/>
        </w:rPr>
      </w:pPr>
    </w:p>
    <w:p w14:paraId="7F8A7EB4" w14:textId="77777777" w:rsidR="00F25B00" w:rsidRPr="00A67D13" w:rsidRDefault="00F25B00" w:rsidP="00F25B00">
      <w:pPr>
        <w:spacing w:line="276" w:lineRule="auto"/>
        <w:jc w:val="center"/>
        <w:rPr>
          <w:rFonts w:cs="Times New Roman"/>
        </w:rPr>
      </w:pPr>
      <w:r w:rsidRPr="00A67D13">
        <w:rPr>
          <w:rFonts w:cs="Times New Roman"/>
        </w:rPr>
        <w:t xml:space="preserve">PROGRAMME:  </w:t>
      </w:r>
      <w:r w:rsidRPr="00A67D13">
        <w:rPr>
          <w:rFonts w:eastAsia="Times New Roman" w:cs="Times New Roman"/>
          <w:sz w:val="32"/>
          <w:szCs w:val="24"/>
        </w:rPr>
        <w:t>Master of Business Administration</w:t>
      </w:r>
    </w:p>
    <w:p w14:paraId="7F2BC5BC" w14:textId="479E2901" w:rsidR="00F25B00" w:rsidRPr="00A67D13" w:rsidRDefault="00F25B00" w:rsidP="00F25B00">
      <w:pPr>
        <w:spacing w:line="276" w:lineRule="auto"/>
        <w:jc w:val="center"/>
        <w:rPr>
          <w:rFonts w:eastAsia="Times New Roman" w:cs="Times New Roman"/>
          <w:szCs w:val="24"/>
        </w:rPr>
      </w:pPr>
      <w:r>
        <w:rPr>
          <w:rFonts w:cs="Times New Roman"/>
        </w:rPr>
        <w:t xml:space="preserve">MODULE :  </w:t>
      </w:r>
      <w:r w:rsidR="00FF2B6E">
        <w:rPr>
          <w:rFonts w:eastAsia="Times New Roman" w:cs="Times New Roman"/>
          <w:szCs w:val="24"/>
        </w:rPr>
        <w:t>Marketing</w:t>
      </w:r>
      <w:r w:rsidRPr="00A67D13">
        <w:rPr>
          <w:rFonts w:eastAsia="Times New Roman" w:cs="Times New Roman"/>
          <w:szCs w:val="24"/>
        </w:rPr>
        <w:t xml:space="preserve"> Manage</w:t>
      </w:r>
      <w:r w:rsidR="00FF2B6E">
        <w:rPr>
          <w:rFonts w:eastAsia="Times New Roman" w:cs="Times New Roman"/>
          <w:szCs w:val="24"/>
        </w:rPr>
        <w:t>ment</w:t>
      </w:r>
    </w:p>
    <w:p w14:paraId="4D4DB15C" w14:textId="3E0DBAAE" w:rsidR="00F25B00" w:rsidRPr="00A67D13" w:rsidRDefault="00F25B00" w:rsidP="00F25B00">
      <w:pPr>
        <w:spacing w:line="276" w:lineRule="auto"/>
        <w:jc w:val="center"/>
        <w:rPr>
          <w:rFonts w:cs="Times New Roman"/>
        </w:rPr>
      </w:pPr>
      <w:r w:rsidRPr="00A67D13">
        <w:rPr>
          <w:rFonts w:cs="Times New Roman"/>
        </w:rPr>
        <w:t>MODULE CODE:   LCMB702</w:t>
      </w:r>
      <w:r w:rsidR="00FF2B6E">
        <w:rPr>
          <w:rFonts w:cs="Times New Roman"/>
        </w:rPr>
        <w:t>4</w:t>
      </w:r>
    </w:p>
    <w:p w14:paraId="3899FE33" w14:textId="77777777" w:rsidR="00F25B00" w:rsidRPr="00497DB1" w:rsidRDefault="00F25B00" w:rsidP="00F25B00">
      <w:pPr>
        <w:spacing w:line="276" w:lineRule="auto"/>
        <w:jc w:val="center"/>
        <w:rPr>
          <w:sz w:val="20"/>
          <w:szCs w:val="26"/>
        </w:rPr>
      </w:pPr>
      <w:r w:rsidRPr="00A67D13">
        <w:rPr>
          <w:sz w:val="20"/>
          <w:szCs w:val="26"/>
        </w:rPr>
        <w:t xml:space="preserve">STUDENT NAME :    </w:t>
      </w:r>
      <w:r w:rsidRPr="00497DB1">
        <w:rPr>
          <w:sz w:val="20"/>
          <w:szCs w:val="26"/>
        </w:rPr>
        <w:t>Sohel Zafariqbal Shaikh</w:t>
      </w:r>
    </w:p>
    <w:p w14:paraId="06B9B3F6" w14:textId="77777777" w:rsidR="00F25B00" w:rsidRDefault="00F25B00" w:rsidP="00F25B00">
      <w:pPr>
        <w:spacing w:line="276" w:lineRule="auto"/>
        <w:jc w:val="center"/>
        <w:rPr>
          <w:sz w:val="20"/>
          <w:szCs w:val="26"/>
        </w:rPr>
      </w:pPr>
      <w:r w:rsidRPr="00A67D13">
        <w:rPr>
          <w:sz w:val="20"/>
          <w:szCs w:val="26"/>
        </w:rPr>
        <w:t xml:space="preserve">STUDENT ID: </w:t>
      </w:r>
      <w:r w:rsidRPr="00497DB1">
        <w:rPr>
          <w:sz w:val="20"/>
          <w:szCs w:val="26"/>
        </w:rPr>
        <w:t>2426143</w:t>
      </w:r>
    </w:p>
    <w:p w14:paraId="1D399825" w14:textId="77777777" w:rsidR="00F25B00" w:rsidRPr="00A67D13" w:rsidRDefault="00A87FA9" w:rsidP="00F25B00">
      <w:pPr>
        <w:spacing w:line="276" w:lineRule="auto"/>
        <w:jc w:val="center"/>
        <w:rPr>
          <w:sz w:val="20"/>
          <w:szCs w:val="26"/>
        </w:rPr>
      </w:pPr>
      <w:r>
        <w:rPr>
          <w:sz w:val="20"/>
          <w:szCs w:val="26"/>
        </w:rPr>
        <w:t>WORD COUNT: 2500</w:t>
      </w:r>
    </w:p>
    <w:p w14:paraId="458E8AA0" w14:textId="35AEC8B6" w:rsidR="00F25B00" w:rsidRDefault="00F25B00" w:rsidP="00F25B00">
      <w:pPr>
        <w:spacing w:line="276" w:lineRule="auto"/>
        <w:jc w:val="center"/>
        <w:rPr>
          <w:rFonts w:eastAsia="Times New Roman"/>
          <w:bCs/>
        </w:rPr>
      </w:pPr>
      <w:r w:rsidRPr="00A67D13">
        <w:rPr>
          <w:sz w:val="20"/>
          <w:szCs w:val="26"/>
        </w:rPr>
        <w:t>NAME OF THE LECTURER:</w:t>
      </w:r>
      <w:r>
        <w:rPr>
          <w:sz w:val="20"/>
          <w:szCs w:val="26"/>
        </w:rPr>
        <w:t xml:space="preserve"> </w:t>
      </w:r>
      <w:r w:rsidR="00FF2B6E">
        <w:rPr>
          <w:rFonts w:eastAsia="Times New Roman"/>
          <w:bCs/>
        </w:rPr>
        <w:t>Tushara Balendran</w:t>
      </w:r>
    </w:p>
    <w:p w14:paraId="0868E509" w14:textId="1ACBFD85" w:rsidR="00F25B00" w:rsidRDefault="00F25B00" w:rsidP="00F25B00">
      <w:pPr>
        <w:spacing w:line="276" w:lineRule="auto"/>
        <w:jc w:val="center"/>
        <w:rPr>
          <w:rFonts w:eastAsia="Times New Roman"/>
          <w:bCs/>
        </w:rPr>
      </w:pPr>
      <w:r>
        <w:rPr>
          <w:rFonts w:eastAsia="Times New Roman"/>
          <w:bCs/>
        </w:rPr>
        <w:t>Submission date: 2</w:t>
      </w:r>
      <w:r w:rsidR="006D3FC5">
        <w:rPr>
          <w:rFonts w:eastAsia="Times New Roman"/>
          <w:bCs/>
        </w:rPr>
        <w:t>8</w:t>
      </w:r>
      <w:r>
        <w:rPr>
          <w:rFonts w:eastAsia="Times New Roman"/>
          <w:bCs/>
        </w:rPr>
        <w:t>/03/2025</w:t>
      </w:r>
    </w:p>
    <w:p w14:paraId="3B2733A1" w14:textId="1EA17382" w:rsidR="00F25B00" w:rsidRPr="00A67D13" w:rsidRDefault="006D3FC5" w:rsidP="00F25B00">
      <w:pPr>
        <w:spacing w:line="600" w:lineRule="auto"/>
        <w:jc w:val="center"/>
        <w:rPr>
          <w:rFonts w:eastAsia="Times New Roman"/>
          <w:bCs/>
        </w:rPr>
      </w:pPr>
      <w:r>
        <w:rPr>
          <w:rFonts w:eastAsia="Times New Roman"/>
          <w:bCs/>
        </w:rPr>
        <w:t>Term: 1</w:t>
      </w:r>
    </w:p>
    <w:p w14:paraId="69F48B84" w14:textId="77777777" w:rsidR="00F25B00" w:rsidRDefault="00F25B00" w:rsidP="00F25B00"/>
    <w:p w14:paraId="65993399" w14:textId="77777777" w:rsidR="00F25B00" w:rsidRDefault="00F25B00" w:rsidP="00885D31">
      <w:pPr>
        <w:pStyle w:val="Heading1"/>
        <w:jc w:val="both"/>
        <w:rPr>
          <w:rFonts w:eastAsia="Times New Roman"/>
          <w:lang w:eastAsia="en-GB"/>
        </w:rPr>
      </w:pPr>
    </w:p>
    <w:p w14:paraId="415D5CF5" w14:textId="77777777" w:rsidR="00F25B00" w:rsidRDefault="00F25B00" w:rsidP="00F25B00">
      <w:pPr>
        <w:rPr>
          <w:lang w:eastAsia="en-GB"/>
        </w:rPr>
      </w:pPr>
    </w:p>
    <w:p w14:paraId="35C3FDD1" w14:textId="77777777" w:rsidR="00F25B00" w:rsidRDefault="00F25B00" w:rsidP="00F25B00">
      <w:pPr>
        <w:rPr>
          <w:lang w:eastAsia="en-GB"/>
        </w:rPr>
      </w:pPr>
    </w:p>
    <w:p w14:paraId="3AED1A76" w14:textId="77777777" w:rsidR="00F25B00" w:rsidRDefault="00F25B00" w:rsidP="00F25B00">
      <w:pPr>
        <w:rPr>
          <w:lang w:eastAsia="en-GB"/>
        </w:rPr>
      </w:pPr>
    </w:p>
    <w:p w14:paraId="351CEB0C" w14:textId="77777777" w:rsidR="00F25B00" w:rsidRDefault="00F25B00" w:rsidP="00F25B00">
      <w:pPr>
        <w:rPr>
          <w:lang w:eastAsia="en-GB"/>
        </w:rPr>
      </w:pPr>
    </w:p>
    <w:p w14:paraId="3171FE75" w14:textId="77777777" w:rsidR="00F25B00" w:rsidRDefault="00F25B00" w:rsidP="00F25B00">
      <w:pPr>
        <w:rPr>
          <w:lang w:eastAsia="en-GB"/>
        </w:rPr>
      </w:pPr>
    </w:p>
    <w:p w14:paraId="7D3B92D6" w14:textId="77777777" w:rsidR="00F25B00" w:rsidRDefault="00F25B00" w:rsidP="00F25B00">
      <w:pPr>
        <w:rPr>
          <w:lang w:eastAsia="en-GB"/>
        </w:rPr>
      </w:pPr>
    </w:p>
    <w:p w14:paraId="717D0EC1" w14:textId="77777777" w:rsidR="00F25B00" w:rsidRDefault="00F25B00" w:rsidP="00F25B00">
      <w:pPr>
        <w:rPr>
          <w:lang w:eastAsia="en-GB"/>
        </w:rPr>
      </w:pPr>
    </w:p>
    <w:p w14:paraId="65ABFB6C" w14:textId="77777777" w:rsidR="00F25B00" w:rsidRDefault="00F25B00" w:rsidP="00F25B00">
      <w:pPr>
        <w:rPr>
          <w:lang w:eastAsia="en-GB"/>
        </w:rPr>
      </w:pPr>
    </w:p>
    <w:p w14:paraId="11D93B13" w14:textId="77777777" w:rsidR="00F25B00" w:rsidRDefault="00F25B00" w:rsidP="00F25B00">
      <w:pPr>
        <w:rPr>
          <w:lang w:eastAsia="en-GB"/>
        </w:rPr>
      </w:pPr>
    </w:p>
    <w:p w14:paraId="55BBFD66" w14:textId="77777777" w:rsidR="00F25B00" w:rsidRPr="00F25B00" w:rsidRDefault="00F25B00" w:rsidP="00F25B00">
      <w:pPr>
        <w:rPr>
          <w:lang w:eastAsia="en-GB"/>
        </w:rPr>
      </w:pPr>
    </w:p>
    <w:p w14:paraId="27F5266C" w14:textId="77777777" w:rsidR="00F66BFC" w:rsidRPr="00885D31" w:rsidRDefault="00F66BFC" w:rsidP="00885D31">
      <w:pPr>
        <w:pStyle w:val="Heading1"/>
        <w:jc w:val="both"/>
        <w:rPr>
          <w:rFonts w:eastAsia="Times New Roman"/>
          <w:lang w:eastAsia="en-GB"/>
        </w:rPr>
      </w:pPr>
      <w:r w:rsidRPr="00885D31">
        <w:rPr>
          <w:rFonts w:eastAsia="Times New Roman"/>
          <w:lang w:eastAsia="en-GB"/>
        </w:rPr>
        <w:lastRenderedPageBreak/>
        <w:t>Int</w:t>
      </w:r>
      <w:r w:rsidR="00885D31" w:rsidRPr="00885D31">
        <w:rPr>
          <w:rFonts w:eastAsia="Times New Roman"/>
          <w:lang w:eastAsia="en-GB"/>
        </w:rPr>
        <w:t xml:space="preserve">roduction </w:t>
      </w:r>
    </w:p>
    <w:p w14:paraId="02CFB416" w14:textId="77777777" w:rsidR="00B77042" w:rsidRPr="00B77042" w:rsidRDefault="00885D31" w:rsidP="00A33708">
      <w:pPr>
        <w:spacing w:before="120" w:after="120" w:line="360" w:lineRule="auto"/>
        <w:jc w:val="both"/>
        <w:rPr>
          <w:rFonts w:ascii="Arial" w:eastAsia="Times New Roman" w:hAnsi="Arial" w:cs="Arial"/>
          <w:sz w:val="24"/>
          <w:szCs w:val="24"/>
          <w:lang w:eastAsia="en-GB"/>
        </w:rPr>
      </w:pPr>
      <w:r w:rsidRPr="00885D31">
        <w:rPr>
          <w:rFonts w:ascii="Arial" w:eastAsia="Times New Roman" w:hAnsi="Arial" w:cs="Arial"/>
          <w:sz w:val="24"/>
          <w:szCs w:val="24"/>
          <w:lang w:eastAsia="en-GB"/>
        </w:rPr>
        <w:t xml:space="preserve">In the fast-moving business world today, bringing a new product or technology to market is a watershed moment for any organisation. One of the key choices businesses must make at this juncture is whether to be an imitator or an innovator. Pioneers, or first-movers, bring the new technologies or products to market, enjoying the benefit of leadership, customer loyalty, and the potential to establish industry standards. Followers are those who move into the market following the pioneer, enjoying the benefit of the </w:t>
      </w:r>
      <w:r w:rsidR="001E7DF6">
        <w:rPr>
          <w:rFonts w:ascii="Arial" w:eastAsia="Times New Roman" w:hAnsi="Arial" w:cs="Arial"/>
          <w:sz w:val="24"/>
          <w:szCs w:val="24"/>
          <w:lang w:eastAsia="en-GB"/>
        </w:rPr>
        <w:t>pioneer's experience and errors</w:t>
      </w:r>
      <w:r w:rsidRPr="00885D31">
        <w:rPr>
          <w:rFonts w:ascii="Arial" w:eastAsia="Times New Roman" w:hAnsi="Arial" w:cs="Arial"/>
          <w:sz w:val="24"/>
          <w:szCs w:val="24"/>
          <w:lang w:eastAsia="en-GB"/>
        </w:rPr>
        <w:t>. Both approaches enjoy their own set of benefits and drawbacks. For instance, market leaders like Apple in the telephony industry, through its iPhone, changed the game, and its imitators like Samsung profited from the popularity of the iPhone by producing price-equivalent models and duplicating its functions to ca</w:t>
      </w:r>
      <w:r w:rsidR="004E62CE">
        <w:rPr>
          <w:rFonts w:ascii="Arial" w:eastAsia="Times New Roman" w:hAnsi="Arial" w:cs="Arial"/>
          <w:sz w:val="24"/>
          <w:szCs w:val="24"/>
          <w:lang w:eastAsia="en-GB"/>
        </w:rPr>
        <w:t xml:space="preserve">ter to varying consumer needs </w:t>
      </w:r>
      <w:r w:rsidR="00EF6240">
        <w:rPr>
          <w:rFonts w:ascii="Arial" w:eastAsia="Times New Roman" w:hAnsi="Arial" w:cs="Arial"/>
          <w:sz w:val="24"/>
          <w:szCs w:val="24"/>
          <w:lang w:eastAsia="en-GB"/>
        </w:rPr>
        <w:fldChar w:fldCharType="begin"/>
      </w:r>
      <w:r w:rsidR="00EF6240">
        <w:rPr>
          <w:rFonts w:ascii="Arial" w:eastAsia="Times New Roman" w:hAnsi="Arial" w:cs="Arial"/>
          <w:sz w:val="24"/>
          <w:szCs w:val="24"/>
          <w:lang w:eastAsia="en-GB"/>
        </w:rPr>
        <w:instrText xml:space="preserve"> ADDIN EN.CITE &lt;EndNote&gt;&lt;Cite&gt;&lt;Author&gt;Temple&lt;/Author&gt;&lt;Year&gt;2010&lt;/Year&gt;&lt;RecNum&gt;548&lt;/RecNum&gt;&lt;DisplayText&gt;(Temple, 2010)&lt;/DisplayText&gt;&lt;record&gt;&lt;rec-number&gt;548&lt;/rec-number&gt;&lt;foreign-keys&gt;&lt;key app="EN" db-id="sve29p2v7eap0ge0ff3x95fqwf2x52505dxs" timestamp="1743062143"&gt;548&lt;/key&gt;&lt;/foreign-keys&gt;&lt;ref-type name="Journal Article"&gt;17&lt;/ref-type&gt;&lt;contributors&gt;&lt;authors&gt;&lt;author&gt;Temple, Cory Cameron&lt;/author&gt;&lt;/authors&gt;&lt;/contributors&gt;&lt;titles&gt;&lt;title&gt;A beggars&amp;apos; banquet?: copyright, compensation alternatives, and music in the digital economy&lt;/title&gt;&lt;/titles&gt;&lt;dates&gt;&lt;year&gt;2010&lt;/year&gt;&lt;/dates&gt;&lt;urls&gt;&lt;/urls&gt;&lt;/record&gt;&lt;/Cite&gt;&lt;/EndNote&gt;</w:instrText>
      </w:r>
      <w:r w:rsidR="00EF6240">
        <w:rPr>
          <w:rFonts w:ascii="Arial" w:eastAsia="Times New Roman" w:hAnsi="Arial" w:cs="Arial"/>
          <w:sz w:val="24"/>
          <w:szCs w:val="24"/>
          <w:lang w:eastAsia="en-GB"/>
        </w:rPr>
        <w:fldChar w:fldCharType="separate"/>
      </w:r>
      <w:r w:rsidR="00EF6240">
        <w:rPr>
          <w:rFonts w:ascii="Arial" w:eastAsia="Times New Roman" w:hAnsi="Arial" w:cs="Arial"/>
          <w:noProof/>
          <w:sz w:val="24"/>
          <w:szCs w:val="24"/>
          <w:lang w:eastAsia="en-GB"/>
        </w:rPr>
        <w:t>(Temple, 2010)</w:t>
      </w:r>
      <w:r w:rsidR="00EF6240">
        <w:rPr>
          <w:rFonts w:ascii="Arial" w:eastAsia="Times New Roman" w:hAnsi="Arial" w:cs="Arial"/>
          <w:sz w:val="24"/>
          <w:szCs w:val="24"/>
          <w:lang w:eastAsia="en-GB"/>
        </w:rPr>
        <w:fldChar w:fldCharType="end"/>
      </w:r>
      <w:r w:rsidR="00B77042" w:rsidRPr="00B77042">
        <w:rPr>
          <w:rFonts w:ascii="Arial" w:eastAsia="Times New Roman" w:hAnsi="Arial" w:cs="Arial"/>
          <w:sz w:val="24"/>
          <w:szCs w:val="24"/>
          <w:lang w:eastAsia="en-GB"/>
        </w:rPr>
        <w:t>.</w:t>
      </w:r>
    </w:p>
    <w:p w14:paraId="753C61F7" w14:textId="77777777" w:rsidR="00F66BFC" w:rsidRPr="00A33708" w:rsidRDefault="00885D31" w:rsidP="00A33708">
      <w:pPr>
        <w:spacing w:before="120" w:after="120" w:line="360" w:lineRule="auto"/>
        <w:jc w:val="both"/>
        <w:rPr>
          <w:rFonts w:ascii="Arial" w:eastAsia="Times New Roman" w:hAnsi="Arial" w:cs="Arial"/>
          <w:sz w:val="24"/>
          <w:szCs w:val="24"/>
          <w:lang w:eastAsia="en-GB"/>
        </w:rPr>
      </w:pPr>
      <w:r w:rsidRPr="00885D31">
        <w:rPr>
          <w:rFonts w:ascii="Arial" w:eastAsia="Times New Roman" w:hAnsi="Arial" w:cs="Arial"/>
          <w:sz w:val="24"/>
          <w:szCs w:val="24"/>
          <w:lang w:eastAsia="en-GB"/>
        </w:rPr>
        <w:t>This essay critically evaluates the pros and cons of both sets of approaches. Through a comparison of approaches adopted by pioneer firms such as Apple and imitator firms such</w:t>
      </w:r>
      <w:r w:rsidR="0062451D">
        <w:rPr>
          <w:rFonts w:ascii="Arial" w:eastAsia="Times New Roman" w:hAnsi="Arial" w:cs="Arial"/>
          <w:sz w:val="24"/>
          <w:szCs w:val="24"/>
          <w:lang w:eastAsia="en-GB"/>
        </w:rPr>
        <w:t xml:space="preserve"> as Samsung, it critically analys</w:t>
      </w:r>
      <w:r w:rsidRPr="00885D31">
        <w:rPr>
          <w:rFonts w:ascii="Arial" w:eastAsia="Times New Roman" w:hAnsi="Arial" w:cs="Arial"/>
          <w:sz w:val="24"/>
          <w:szCs w:val="24"/>
          <w:lang w:eastAsia="en-GB"/>
        </w:rPr>
        <w:t>e</w:t>
      </w:r>
      <w:r w:rsidR="0062451D">
        <w:rPr>
          <w:rFonts w:ascii="Arial" w:eastAsia="Times New Roman" w:hAnsi="Arial" w:cs="Arial"/>
          <w:sz w:val="24"/>
          <w:szCs w:val="24"/>
          <w:lang w:eastAsia="en-GB"/>
        </w:rPr>
        <w:t>s</w:t>
      </w:r>
      <w:r w:rsidRPr="00885D31">
        <w:rPr>
          <w:rFonts w:ascii="Arial" w:eastAsia="Times New Roman" w:hAnsi="Arial" w:cs="Arial"/>
          <w:sz w:val="24"/>
          <w:szCs w:val="24"/>
          <w:lang w:eastAsia="en-GB"/>
        </w:rPr>
        <w:t xml:space="preserve"> product life cycle approaches adopted during different stages, ranging from introduction to maturity, and their role towards long-term growth and competitive advantage. </w:t>
      </w:r>
      <w:r w:rsidR="0062451D">
        <w:rPr>
          <w:rFonts w:ascii="Arial" w:eastAsia="Times New Roman" w:hAnsi="Arial" w:cs="Arial"/>
          <w:sz w:val="24"/>
          <w:szCs w:val="24"/>
          <w:lang w:eastAsia="en-GB"/>
        </w:rPr>
        <w:t>From these case studies, we</w:t>
      </w:r>
      <w:r w:rsidRPr="00885D31">
        <w:rPr>
          <w:rFonts w:ascii="Arial" w:eastAsia="Times New Roman" w:hAnsi="Arial" w:cs="Arial"/>
          <w:sz w:val="24"/>
          <w:szCs w:val="24"/>
          <w:lang w:eastAsia="en-GB"/>
        </w:rPr>
        <w:t xml:space="preserve"> examine how firms adapt to problems of retaining their market position during the product life cycle and react to alterations in customer demand, technological changes, and conditions in the marketp</w:t>
      </w:r>
      <w:r w:rsidR="00BB161E">
        <w:rPr>
          <w:rFonts w:ascii="Arial" w:eastAsia="Times New Roman" w:hAnsi="Arial" w:cs="Arial"/>
          <w:sz w:val="24"/>
          <w:szCs w:val="24"/>
          <w:lang w:eastAsia="en-GB"/>
        </w:rPr>
        <w:t>lace</w:t>
      </w:r>
      <w:r w:rsidR="00B77042" w:rsidRPr="00B77042">
        <w:rPr>
          <w:rFonts w:ascii="Arial" w:eastAsia="Times New Roman" w:hAnsi="Arial" w:cs="Arial"/>
          <w:sz w:val="24"/>
          <w:szCs w:val="24"/>
          <w:lang w:eastAsia="en-GB"/>
        </w:rPr>
        <w:t>.</w:t>
      </w:r>
    </w:p>
    <w:p w14:paraId="288746DB" w14:textId="77777777" w:rsidR="00F66BFC" w:rsidRPr="00A33708" w:rsidRDefault="00F66BFC" w:rsidP="00D62532">
      <w:pPr>
        <w:pStyle w:val="Heading1"/>
        <w:rPr>
          <w:rFonts w:eastAsia="Times New Roman"/>
          <w:lang w:eastAsia="en-GB"/>
        </w:rPr>
      </w:pPr>
      <w:r w:rsidRPr="00A33708">
        <w:rPr>
          <w:rFonts w:eastAsia="Times New Roman"/>
          <w:lang w:eastAsia="en-GB"/>
        </w:rPr>
        <w:t>Body of the Essay</w:t>
      </w:r>
    </w:p>
    <w:p w14:paraId="68B60F5B" w14:textId="77777777" w:rsidR="00B77042" w:rsidRPr="00A33708" w:rsidRDefault="00B77042" w:rsidP="00D62532">
      <w:pPr>
        <w:pStyle w:val="Heading1"/>
      </w:pPr>
      <w:r w:rsidRPr="00A33708">
        <w:rPr>
          <w:rStyle w:val="Strong"/>
          <w:rFonts w:cs="Arial"/>
          <w:b/>
          <w:bCs w:val="0"/>
        </w:rPr>
        <w:t>A. Advantages of Being a Pioneer and Follower:</w:t>
      </w:r>
    </w:p>
    <w:p w14:paraId="2B78010F" w14:textId="77777777" w:rsidR="00B77042" w:rsidRPr="00C72EFF" w:rsidRDefault="00D62532" w:rsidP="00D62532">
      <w:pPr>
        <w:pStyle w:val="Heading4"/>
        <w:spacing w:before="120" w:beforeAutospacing="0" w:after="120" w:afterAutospacing="0" w:line="360" w:lineRule="auto"/>
        <w:jc w:val="both"/>
        <w:rPr>
          <w:rFonts w:ascii="Arial" w:hAnsi="Arial" w:cs="Arial"/>
        </w:rPr>
      </w:pPr>
      <w:r w:rsidRPr="00C72EFF">
        <w:rPr>
          <w:rStyle w:val="Strong"/>
          <w:rFonts w:ascii="Arial" w:hAnsi="Arial" w:cs="Arial"/>
          <w:b/>
          <w:bCs/>
        </w:rPr>
        <w:t>Pioneers</w:t>
      </w:r>
    </w:p>
    <w:p w14:paraId="35CD5E9D" w14:textId="77777777" w:rsidR="00D62532" w:rsidRPr="00C72EFF" w:rsidRDefault="005C4D07" w:rsidP="00D62532">
      <w:pPr>
        <w:spacing w:before="120" w:after="120" w:line="360" w:lineRule="auto"/>
        <w:jc w:val="both"/>
        <w:rPr>
          <w:rFonts w:ascii="Arial" w:hAnsi="Arial" w:cs="Arial"/>
          <w:sz w:val="24"/>
          <w:szCs w:val="24"/>
        </w:rPr>
      </w:pPr>
      <w:r>
        <w:rPr>
          <w:rFonts w:ascii="Arial" w:hAnsi="Arial" w:cs="Arial"/>
          <w:sz w:val="24"/>
          <w:szCs w:val="24"/>
        </w:rPr>
        <w:t>The biggest</w:t>
      </w:r>
      <w:r w:rsidR="00D62532" w:rsidRPr="00C72EFF">
        <w:rPr>
          <w:rFonts w:ascii="Arial" w:hAnsi="Arial" w:cs="Arial"/>
          <w:sz w:val="24"/>
          <w:szCs w:val="24"/>
        </w:rPr>
        <w:t xml:space="preserve"> benefit of being a pioneer is the first</w:t>
      </w:r>
      <w:r>
        <w:rPr>
          <w:rFonts w:ascii="Arial" w:hAnsi="Arial" w:cs="Arial"/>
          <w:sz w:val="24"/>
          <w:szCs w:val="24"/>
        </w:rPr>
        <w:t>-mover benefit, where an organis</w:t>
      </w:r>
      <w:r w:rsidR="00D62532" w:rsidRPr="00C72EFF">
        <w:rPr>
          <w:rFonts w:ascii="Arial" w:hAnsi="Arial" w:cs="Arial"/>
          <w:sz w:val="24"/>
          <w:szCs w:val="24"/>
        </w:rPr>
        <w:t>ation can attain market share before rivals move into the market. Through pioneering the launching of a new product or technology, pioneers gain brand awareness, define industry standards, and build customer loyalty. For instance, Apple changed the world of smartphones when it introduced the iPhone in 2007. Apple not only changed design and user experience, but it also built a devoted following that continues to support the company despite gr</w:t>
      </w:r>
      <w:r w:rsidR="00D50129">
        <w:rPr>
          <w:rFonts w:ascii="Arial" w:hAnsi="Arial" w:cs="Arial"/>
          <w:sz w:val="24"/>
          <w:szCs w:val="24"/>
        </w:rPr>
        <w:t xml:space="preserve">owing competition </w:t>
      </w:r>
      <w:r w:rsidR="00D50129">
        <w:rPr>
          <w:rFonts w:ascii="Arial" w:hAnsi="Arial" w:cs="Arial"/>
          <w:sz w:val="24"/>
          <w:szCs w:val="24"/>
        </w:rPr>
        <w:fldChar w:fldCharType="begin"/>
      </w:r>
      <w:r w:rsidR="00D50129">
        <w:rPr>
          <w:rFonts w:ascii="Arial" w:hAnsi="Arial" w:cs="Arial"/>
          <w:sz w:val="24"/>
          <w:szCs w:val="24"/>
        </w:rPr>
        <w:instrText xml:space="preserve"> ADDIN EN.CITE &lt;EndNote&gt;&lt;Cite&gt;&lt;Author&gt;Prahalad&lt;/Author&gt;&lt;Year&gt;2004&lt;/Year&gt;&lt;RecNum&gt;549&lt;/RecNum&gt;&lt;DisplayText&gt;(Prahalad &amp;amp; Ramaswamy, 2004)&lt;/DisplayText&gt;&lt;record&gt;&lt;rec-number&gt;549&lt;/rec-number&gt;&lt;foreign-keys&gt;&lt;key app="EN" db-id="sve29p2v7eap0ge0ff3x95fqwf2x52505dxs" timestamp="1743062424"&gt;549&lt;/key&gt;&lt;/foreign-keys&gt;&lt;ref-type name="Book"&gt;6&lt;/ref-type&gt;&lt;contributors&gt;&lt;authors&gt;&lt;author&gt;Prahalad, Coimbatore Krishna&lt;/author&gt;&lt;author&gt;Ramaswamy, Venkat&lt;/author&gt;&lt;/authors&gt;&lt;/contributors&gt;&lt;titles&gt;&lt;title&gt;The future of competition: Co-creating unique value with customers&lt;/title&gt;&lt;/titles&gt;&lt;dates&gt;&lt;year&gt;2004&lt;/year&gt;&lt;/dates&gt;&lt;publisher&gt;Harvard Business Press&lt;/publisher&gt;&lt;isbn&gt;1422160742&lt;/isbn&gt;&lt;urls&gt;&lt;/urls&gt;&lt;/record&gt;&lt;/Cite&gt;&lt;/EndNote&gt;</w:instrText>
      </w:r>
      <w:r w:rsidR="00D50129">
        <w:rPr>
          <w:rFonts w:ascii="Arial" w:hAnsi="Arial" w:cs="Arial"/>
          <w:sz w:val="24"/>
          <w:szCs w:val="24"/>
        </w:rPr>
        <w:fldChar w:fldCharType="separate"/>
      </w:r>
      <w:r w:rsidR="00D50129">
        <w:rPr>
          <w:rFonts w:ascii="Arial" w:hAnsi="Arial" w:cs="Arial"/>
          <w:noProof/>
          <w:sz w:val="24"/>
          <w:szCs w:val="24"/>
        </w:rPr>
        <w:t>(Prahalad &amp; Ramaswamy, 2004)</w:t>
      </w:r>
      <w:r w:rsidR="00D50129">
        <w:rPr>
          <w:rFonts w:ascii="Arial" w:hAnsi="Arial" w:cs="Arial"/>
          <w:sz w:val="24"/>
          <w:szCs w:val="24"/>
        </w:rPr>
        <w:fldChar w:fldCharType="end"/>
      </w:r>
      <w:r w:rsidR="00D62532" w:rsidRPr="00C72EFF">
        <w:rPr>
          <w:rFonts w:ascii="Arial" w:hAnsi="Arial" w:cs="Arial"/>
          <w:sz w:val="24"/>
          <w:szCs w:val="24"/>
        </w:rPr>
        <w:t xml:space="preserve">. The power to </w:t>
      </w:r>
      <w:r w:rsidR="00D62532" w:rsidRPr="00C72EFF">
        <w:rPr>
          <w:rFonts w:ascii="Arial" w:hAnsi="Arial" w:cs="Arial"/>
          <w:sz w:val="24"/>
          <w:szCs w:val="24"/>
        </w:rPr>
        <w:lastRenderedPageBreak/>
        <w:t>influence markets and continuous product innovation by the company enabled Apple to establish its leadership, with firm brand loyalty along with consumer confidence.</w:t>
      </w:r>
    </w:p>
    <w:p w14:paraId="22B36F6C" w14:textId="77777777" w:rsidR="00B77042" w:rsidRPr="00C72EFF" w:rsidRDefault="00E54477" w:rsidP="00D62532">
      <w:pPr>
        <w:spacing w:before="120" w:after="120" w:line="360" w:lineRule="auto"/>
        <w:jc w:val="both"/>
        <w:rPr>
          <w:rFonts w:ascii="Arial" w:hAnsi="Arial" w:cs="Arial"/>
          <w:sz w:val="24"/>
          <w:szCs w:val="24"/>
        </w:rPr>
      </w:pPr>
      <w:r w:rsidRPr="00E54477">
        <w:rPr>
          <w:rFonts w:ascii="Arial" w:hAnsi="Arial" w:cs="Arial"/>
          <w:color w:val="1F1F1F"/>
          <w:sz w:val="24"/>
        </w:rPr>
        <w:t>Research suggests that pioneers, due to their competitively distinct status, are often in a position to charge premium prices for their products</w:t>
      </w:r>
      <w:r>
        <w:rPr>
          <w:rFonts w:ascii="Georgia" w:hAnsi="Georgia"/>
          <w:color w:val="1F1F1F"/>
        </w:rPr>
        <w:t xml:space="preserve">. </w:t>
      </w:r>
      <w:r w:rsidR="00D62532" w:rsidRPr="00C72EFF">
        <w:rPr>
          <w:rFonts w:ascii="Arial" w:hAnsi="Arial" w:cs="Arial"/>
          <w:sz w:val="24"/>
          <w:szCs w:val="24"/>
        </w:rPr>
        <w:t>Also, pioneers occupy monopoly or near-monopoly positions early on that enable them to harvest enormous returns from first movers prior to increased competit</w:t>
      </w:r>
      <w:r w:rsidR="00D50129">
        <w:rPr>
          <w:rFonts w:ascii="Arial" w:hAnsi="Arial" w:cs="Arial"/>
          <w:sz w:val="24"/>
          <w:szCs w:val="24"/>
        </w:rPr>
        <w:t xml:space="preserve">ion with market development </w:t>
      </w:r>
      <w:r w:rsidR="00D50129">
        <w:rPr>
          <w:rFonts w:ascii="Arial" w:hAnsi="Arial" w:cs="Arial"/>
          <w:sz w:val="24"/>
          <w:szCs w:val="24"/>
        </w:rPr>
        <w:fldChar w:fldCharType="begin"/>
      </w:r>
      <w:r w:rsidR="00D50129">
        <w:rPr>
          <w:rFonts w:ascii="Arial" w:hAnsi="Arial" w:cs="Arial"/>
          <w:sz w:val="24"/>
          <w:szCs w:val="24"/>
        </w:rPr>
        <w:instrText xml:space="preserve"> ADDIN EN.CITE &lt;EndNote&gt;&lt;Cite&gt;&lt;Author&gt;Lieberman&lt;/Author&gt;&lt;Year&gt;1990&lt;/Year&gt;&lt;RecNum&gt;550&lt;/RecNum&gt;&lt;DisplayText&gt;(Lieberman &amp;amp; Montgomery, 1990)&lt;/DisplayText&gt;&lt;record&gt;&lt;rec-number&gt;550&lt;/rec-number&gt;&lt;foreign-keys&gt;&lt;key app="EN" db-id="sve29p2v7eap0ge0ff3x95fqwf2x52505dxs" timestamp="1743062474"&gt;550&lt;/key&gt;&lt;/foreign-keys&gt;&lt;ref-type name="Book"&gt;6&lt;/ref-type&gt;&lt;contributors&gt;&lt;authors&gt;&lt;author&gt;Lieberman, Marvin B&lt;/author&gt;&lt;author&gt;Montgomery, David B&lt;/author&gt;&lt;/authors&gt;&lt;/contributors&gt;&lt;titles&gt;&lt;title&gt;To pioneer or follow?: strategy of entry order&lt;/title&gt;&lt;/titles&gt;&lt;dates&gt;&lt;year&gt;1990&lt;/year&gt;&lt;/dates&gt;&lt;publisher&gt;Graduate School of Business, Stanford University&lt;/publisher&gt;&lt;urls&gt;&lt;/urls&gt;&lt;/record&gt;&lt;/Cite&gt;&lt;/EndNote&gt;</w:instrText>
      </w:r>
      <w:r w:rsidR="00D50129">
        <w:rPr>
          <w:rFonts w:ascii="Arial" w:hAnsi="Arial" w:cs="Arial"/>
          <w:sz w:val="24"/>
          <w:szCs w:val="24"/>
        </w:rPr>
        <w:fldChar w:fldCharType="separate"/>
      </w:r>
      <w:r w:rsidR="00D50129">
        <w:rPr>
          <w:rFonts w:ascii="Arial" w:hAnsi="Arial" w:cs="Arial"/>
          <w:noProof/>
          <w:sz w:val="24"/>
          <w:szCs w:val="24"/>
        </w:rPr>
        <w:t>(Lieberman &amp; Montgomery, 1990)</w:t>
      </w:r>
      <w:r w:rsidR="00D50129">
        <w:rPr>
          <w:rFonts w:ascii="Arial" w:hAnsi="Arial" w:cs="Arial"/>
          <w:sz w:val="24"/>
          <w:szCs w:val="24"/>
        </w:rPr>
        <w:fldChar w:fldCharType="end"/>
      </w:r>
      <w:r w:rsidR="00D62532" w:rsidRPr="00C72EFF">
        <w:rPr>
          <w:rFonts w:ascii="Arial" w:hAnsi="Arial" w:cs="Arial"/>
          <w:sz w:val="24"/>
          <w:szCs w:val="24"/>
        </w:rPr>
        <w:t>. Occupying such a position, pioneers are able to recover their vast investment in research and development (R&amp;D) within a relatively short period compared to others</w:t>
      </w:r>
      <w:r w:rsidR="00B77042" w:rsidRPr="00C72EFF">
        <w:rPr>
          <w:rFonts w:ascii="Arial" w:hAnsi="Arial" w:cs="Arial"/>
          <w:sz w:val="24"/>
          <w:szCs w:val="24"/>
        </w:rPr>
        <w:t>.</w:t>
      </w:r>
    </w:p>
    <w:p w14:paraId="58C65986" w14:textId="77777777" w:rsidR="00B77042" w:rsidRPr="00BC3ECC" w:rsidRDefault="00D62532" w:rsidP="00A33708">
      <w:pPr>
        <w:spacing w:before="120" w:after="120" w:line="360" w:lineRule="auto"/>
        <w:jc w:val="both"/>
        <w:rPr>
          <w:rFonts w:ascii="Arial" w:hAnsi="Arial" w:cs="Arial"/>
          <w:sz w:val="28"/>
          <w:szCs w:val="24"/>
        </w:rPr>
      </w:pPr>
      <w:r w:rsidRPr="00C72EFF">
        <w:rPr>
          <w:rFonts w:ascii="Arial" w:hAnsi="Arial" w:cs="Arial"/>
          <w:sz w:val="24"/>
          <w:szCs w:val="24"/>
        </w:rPr>
        <w:t>On the other hand, pioneering risks are also crucial.</w:t>
      </w:r>
      <w:r w:rsidR="0036147C">
        <w:rPr>
          <w:rFonts w:ascii="Georgia" w:hAnsi="Georgia"/>
          <w:color w:val="1F1F1F"/>
        </w:rPr>
        <w:t xml:space="preserve"> </w:t>
      </w:r>
      <w:r w:rsidR="0036147C" w:rsidRPr="0036147C">
        <w:rPr>
          <w:rFonts w:ascii="Arial" w:hAnsi="Arial" w:cs="Arial"/>
          <w:color w:val="1F1F1F"/>
          <w:sz w:val="24"/>
        </w:rPr>
        <w:t>Some manifestations of entrepreneurial behavior may have inherent value to established firms, research suggests that market pioneering is not necessarily, or perhaps even typically, a good idea</w:t>
      </w:r>
      <w:r w:rsidRPr="0036147C">
        <w:rPr>
          <w:rFonts w:ascii="Arial" w:hAnsi="Arial" w:cs="Arial"/>
          <w:sz w:val="28"/>
          <w:szCs w:val="24"/>
        </w:rPr>
        <w:t xml:space="preserve"> </w:t>
      </w:r>
      <w:r w:rsidRPr="00C72EFF">
        <w:rPr>
          <w:rFonts w:ascii="Arial" w:hAnsi="Arial" w:cs="Arial"/>
          <w:sz w:val="24"/>
          <w:szCs w:val="24"/>
        </w:rPr>
        <w:t xml:space="preserve">Spending on heavy capital in R&amp;D, marketing, and building is typical, and the risks of unforeseen customers' demand for a new product can lead to massive economic costs. </w:t>
      </w:r>
      <w:r w:rsidR="00BC3ECC" w:rsidRPr="00BC3ECC">
        <w:rPr>
          <w:rFonts w:ascii="Arial" w:hAnsi="Arial" w:cs="Arial"/>
          <w:color w:val="1F1F1F"/>
          <w:sz w:val="24"/>
        </w:rPr>
        <w:t>Typically affords pioneers the relative luxury of being less concerned than market followers over cost control issues. Market followers need to focus on cost containment more than pioneers because the former firms' products are, by definition, not as distinct. This relative lack of distinctiveness often forces followers into more of a price-based mode of competition. Because pioneers generally are not as compelled as followers to compete on a (low) price basis, the existence of a relatively advantageous cost structure is likely to be a significantly stronger predictor of firm growth among followers than among pioneers</w:t>
      </w:r>
      <w:r w:rsidR="00097407">
        <w:rPr>
          <w:rFonts w:ascii="Arial" w:hAnsi="Arial" w:cs="Arial"/>
          <w:color w:val="1F1F1F"/>
          <w:sz w:val="24"/>
        </w:rPr>
        <w:t xml:space="preserve"> {Covin, 2000 #568}. </w:t>
      </w:r>
    </w:p>
    <w:p w14:paraId="4C655AF9" w14:textId="77777777" w:rsidR="00B77042" w:rsidRPr="00C72EFF" w:rsidRDefault="00B77042" w:rsidP="00A33708">
      <w:pPr>
        <w:pStyle w:val="Heading4"/>
        <w:spacing w:before="120" w:beforeAutospacing="0" w:after="120" w:afterAutospacing="0" w:line="360" w:lineRule="auto"/>
        <w:jc w:val="both"/>
        <w:rPr>
          <w:rFonts w:ascii="Arial" w:hAnsi="Arial" w:cs="Arial"/>
        </w:rPr>
      </w:pPr>
      <w:r w:rsidRPr="00C72EFF">
        <w:rPr>
          <w:rStyle w:val="Strong"/>
          <w:rFonts w:ascii="Arial" w:hAnsi="Arial" w:cs="Arial"/>
          <w:b/>
          <w:bCs/>
        </w:rPr>
        <w:t>Followers:</w:t>
      </w:r>
    </w:p>
    <w:p w14:paraId="675FCE82" w14:textId="77777777" w:rsidR="00B77042" w:rsidRPr="00C72EFF" w:rsidRDefault="00E87BC8" w:rsidP="00A33708">
      <w:pPr>
        <w:spacing w:before="120" w:after="120" w:line="360" w:lineRule="auto"/>
        <w:jc w:val="both"/>
        <w:rPr>
          <w:rFonts w:ascii="Arial" w:hAnsi="Arial" w:cs="Arial"/>
          <w:sz w:val="24"/>
          <w:szCs w:val="24"/>
        </w:rPr>
      </w:pPr>
      <w:r w:rsidRPr="00C72EFF">
        <w:rPr>
          <w:rFonts w:ascii="Arial" w:hAnsi="Arial" w:cs="Arial"/>
          <w:sz w:val="24"/>
          <w:szCs w:val="24"/>
        </w:rPr>
        <w:t>Unlike pioneers, followers can enjoy a reduced-risk approach. Because followers enter the market subsequent to the pioneer, they can learn from the errors of the first movers and build their products upon them. This enables followers to improve product and technology on the basis of customer grievances and market demand and thus enhance the overall quality of the product. The Samsung company best describes a follower coming into the market of smart phones following Apple. Even though Apple iPhone started the trend initially, later Samsung caught up very fast and created such trends in screen sizes, camera lenses, and battery life, to which individuals got adjusted and against which Samsung acquired a massive amount in th</w:t>
      </w:r>
      <w:r w:rsidR="00D50129">
        <w:rPr>
          <w:rFonts w:ascii="Arial" w:hAnsi="Arial" w:cs="Arial"/>
          <w:sz w:val="24"/>
          <w:szCs w:val="24"/>
        </w:rPr>
        <w:t xml:space="preserve">e smart phone </w:t>
      </w:r>
      <w:r w:rsidR="00D50129">
        <w:rPr>
          <w:rFonts w:ascii="Arial" w:hAnsi="Arial" w:cs="Arial"/>
          <w:sz w:val="24"/>
          <w:szCs w:val="24"/>
        </w:rPr>
        <w:lastRenderedPageBreak/>
        <w:t xml:space="preserve">market </w:t>
      </w:r>
      <w:r w:rsidR="00D50129">
        <w:rPr>
          <w:rFonts w:ascii="Arial" w:hAnsi="Arial" w:cs="Arial"/>
          <w:sz w:val="24"/>
          <w:szCs w:val="24"/>
        </w:rPr>
        <w:fldChar w:fldCharType="begin"/>
      </w:r>
      <w:r w:rsidR="009003DC">
        <w:rPr>
          <w:rFonts w:ascii="Arial" w:hAnsi="Arial" w:cs="Arial"/>
          <w:sz w:val="24"/>
          <w:szCs w:val="24"/>
        </w:rPr>
        <w:instrText xml:space="preserve"> ADDIN EN.CITE &lt;EndNote&gt;&lt;Cite&gt;&lt;Author&gt;Schäfer&lt;/Author&gt;&lt;Year&gt;2024&lt;/Year&gt;&lt;RecNum&gt;561&lt;/RecNum&gt;&lt;DisplayText&gt;(Schäfer, 2024)&lt;/DisplayText&gt;&lt;record&gt;&lt;rec-number&gt;561&lt;/rec-number&gt;&lt;foreign-keys&gt;&lt;key app="EN" db-id="sve29p2v7eap0ge0ff3x95fqwf2x52505dxs" timestamp="1743063158"&gt;561&lt;/key&gt;&lt;/foreign-keys&gt;&lt;ref-type name="Thesis"&gt;32&lt;/ref-type&gt;&lt;contributors&gt;&lt;authors&gt;&lt;author&gt;Schäfer, Pauline&lt;/author&gt;&lt;/authors&gt;&lt;/contributors&gt;&lt;titles&gt;&lt;title&gt;Conditions of the International Smartphone Market-Analysing the US Market&lt;/title&gt;&lt;/titles&gt;&lt;dates&gt;&lt;year&gt;2024&lt;/year&gt;&lt;/dates&gt;&lt;publisher&gt;Universidade NOVA de Lisboa (Portugal)&lt;/publisher&gt;&lt;urls&gt;&lt;/urls&gt;&lt;/record&gt;&lt;/Cite&gt;&lt;/EndNote&gt;</w:instrText>
      </w:r>
      <w:r w:rsidR="00D50129">
        <w:rPr>
          <w:rFonts w:ascii="Arial" w:hAnsi="Arial" w:cs="Arial"/>
          <w:sz w:val="24"/>
          <w:szCs w:val="24"/>
        </w:rPr>
        <w:fldChar w:fldCharType="separate"/>
      </w:r>
      <w:r w:rsidR="00D50129">
        <w:rPr>
          <w:rFonts w:ascii="Arial" w:hAnsi="Arial" w:cs="Arial"/>
          <w:noProof/>
          <w:sz w:val="24"/>
          <w:szCs w:val="24"/>
        </w:rPr>
        <w:t>(Schäfer, 2024)</w:t>
      </w:r>
      <w:r w:rsidR="00D50129">
        <w:rPr>
          <w:rFonts w:ascii="Arial" w:hAnsi="Arial" w:cs="Arial"/>
          <w:sz w:val="24"/>
          <w:szCs w:val="24"/>
        </w:rPr>
        <w:fldChar w:fldCharType="end"/>
      </w:r>
      <w:r w:rsidRPr="00C72EFF">
        <w:rPr>
          <w:rFonts w:ascii="Arial" w:hAnsi="Arial" w:cs="Arial"/>
          <w:sz w:val="24"/>
          <w:szCs w:val="24"/>
        </w:rPr>
        <w:t>. The ability to read the market's reaction and respond accordingly enabled Samsung to expand into a market giant</w:t>
      </w:r>
      <w:r w:rsidR="00B77042" w:rsidRPr="00C72EFF">
        <w:rPr>
          <w:rFonts w:ascii="Arial" w:hAnsi="Arial" w:cs="Arial"/>
          <w:sz w:val="24"/>
          <w:szCs w:val="24"/>
        </w:rPr>
        <w:t>.</w:t>
      </w:r>
    </w:p>
    <w:p w14:paraId="61823913" w14:textId="77777777" w:rsidR="00B77042" w:rsidRPr="00C72EFF" w:rsidRDefault="00E87BC8" w:rsidP="00A33708">
      <w:pPr>
        <w:spacing w:before="120" w:after="120" w:line="360" w:lineRule="auto"/>
        <w:jc w:val="both"/>
        <w:rPr>
          <w:rFonts w:ascii="Arial" w:hAnsi="Arial" w:cs="Arial"/>
          <w:sz w:val="24"/>
          <w:szCs w:val="24"/>
        </w:rPr>
      </w:pPr>
      <w:r w:rsidRPr="00C72EFF">
        <w:rPr>
          <w:rFonts w:ascii="Arial" w:hAnsi="Arial" w:cs="Arial"/>
          <w:sz w:val="24"/>
          <w:szCs w:val="24"/>
        </w:rPr>
        <w:t>Also, followers have less cost of production. Because they do not invest in the upfront development expense of establishing a new product or technology, they can concentrate on making the product better, enhancing its features, and setting it at a</w:t>
      </w:r>
      <w:r w:rsidR="00D50129">
        <w:rPr>
          <w:rFonts w:ascii="Arial" w:hAnsi="Arial" w:cs="Arial"/>
          <w:sz w:val="24"/>
          <w:szCs w:val="24"/>
        </w:rPr>
        <w:t xml:space="preserve"> competitive price </w:t>
      </w:r>
      <w:r w:rsidR="00D50129">
        <w:rPr>
          <w:rFonts w:ascii="Arial" w:hAnsi="Arial" w:cs="Arial"/>
          <w:sz w:val="24"/>
          <w:szCs w:val="24"/>
        </w:rPr>
        <w:fldChar w:fldCharType="begin"/>
      </w:r>
      <w:r w:rsidR="00D50129">
        <w:rPr>
          <w:rFonts w:ascii="Arial" w:hAnsi="Arial" w:cs="Arial"/>
          <w:sz w:val="24"/>
          <w:szCs w:val="24"/>
        </w:rPr>
        <w:instrText xml:space="preserve"> ADDIN EN.CITE &lt;EndNote&gt;&lt;Cite&gt;&lt;Author&gt;Porter&lt;/Author&gt;&lt;Year&gt;2008&lt;/Year&gt;&lt;RecNum&gt;553&lt;/RecNum&gt;&lt;DisplayText&gt;(Porter, 2008)&lt;/DisplayText&gt;&lt;record&gt;&lt;rec-number&gt;553&lt;/rec-number&gt;&lt;foreign-keys&gt;&lt;key app="EN" db-id="sve29p2v7eap0ge0ff3x95fqwf2x52505dxs" timestamp="1743062678"&gt;553&lt;/key&gt;&lt;/foreign-keys&gt;&lt;ref-type name="Book"&gt;6&lt;/ref-type&gt;&lt;contributors&gt;&lt;authors&gt;&lt;author&gt;Porter, Michael E&lt;/author&gt;&lt;/authors&gt;&lt;/contributors&gt;&lt;titles&gt;&lt;title&gt;Competitive advantage: Creating and sustaining superior performance&lt;/title&gt;&lt;/titles&gt;&lt;dates&gt;&lt;year&gt;2008&lt;/year&gt;&lt;/dates&gt;&lt;publisher&gt;simon and schuster&lt;/publisher&gt;&lt;isbn&gt;1416595848&lt;/isbn&gt;&lt;urls&gt;&lt;/urls&gt;&lt;/record&gt;&lt;/Cite&gt;&lt;/EndNote&gt;</w:instrText>
      </w:r>
      <w:r w:rsidR="00D50129">
        <w:rPr>
          <w:rFonts w:ascii="Arial" w:hAnsi="Arial" w:cs="Arial"/>
          <w:sz w:val="24"/>
          <w:szCs w:val="24"/>
        </w:rPr>
        <w:fldChar w:fldCharType="separate"/>
      </w:r>
      <w:r w:rsidR="00D50129">
        <w:rPr>
          <w:rFonts w:ascii="Arial" w:hAnsi="Arial" w:cs="Arial"/>
          <w:noProof/>
          <w:sz w:val="24"/>
          <w:szCs w:val="24"/>
        </w:rPr>
        <w:t>(Porter, 2008)</w:t>
      </w:r>
      <w:r w:rsidR="00D50129">
        <w:rPr>
          <w:rFonts w:ascii="Arial" w:hAnsi="Arial" w:cs="Arial"/>
          <w:sz w:val="24"/>
          <w:szCs w:val="24"/>
        </w:rPr>
        <w:fldChar w:fldCharType="end"/>
      </w:r>
      <w:r w:rsidRPr="00C72EFF">
        <w:rPr>
          <w:rFonts w:ascii="Arial" w:hAnsi="Arial" w:cs="Arial"/>
          <w:sz w:val="24"/>
          <w:szCs w:val="24"/>
        </w:rPr>
        <w:t>. This price competitiveness would be very attractive to price-sensitive customers but not necessarily at the expense of quality</w:t>
      </w:r>
      <w:r w:rsidR="00B77042" w:rsidRPr="00C72EFF">
        <w:rPr>
          <w:rFonts w:ascii="Arial" w:hAnsi="Arial" w:cs="Arial"/>
          <w:sz w:val="24"/>
          <w:szCs w:val="24"/>
        </w:rPr>
        <w:t>.</w:t>
      </w:r>
    </w:p>
    <w:p w14:paraId="5BD484AA" w14:textId="77777777" w:rsidR="00B77042" w:rsidRPr="00C72EFF" w:rsidRDefault="005E1FD8" w:rsidP="00A33708">
      <w:pPr>
        <w:spacing w:before="120" w:after="120" w:line="360" w:lineRule="auto"/>
        <w:jc w:val="both"/>
        <w:rPr>
          <w:rFonts w:ascii="Arial" w:hAnsi="Arial" w:cs="Arial"/>
          <w:sz w:val="24"/>
          <w:szCs w:val="24"/>
        </w:rPr>
      </w:pPr>
      <w:r w:rsidRPr="00C72EFF">
        <w:rPr>
          <w:rFonts w:ascii="Arial" w:hAnsi="Arial" w:cs="Arial"/>
          <w:sz w:val="24"/>
          <w:szCs w:val="24"/>
        </w:rPr>
        <w:t>Still, the follower approach is not safe. One risk is that it lacks differentiation. Followers tend to have difficulty establishing value propositions that are clearly differentiated from the pioneering company, thereby diminishing their appeal in the marketplace. For example, Microsoft got into the smartphone business following the iPhone from Apple but was not able to effectively differentiate its product. Although Microsoft's Windows Phone did possess some groundbreaking elements, it did not succeed in the marketplace due to the fact that it could not provide the same level of apps and user experience as i</w:t>
      </w:r>
      <w:r w:rsidR="00D50129">
        <w:rPr>
          <w:rFonts w:ascii="Arial" w:hAnsi="Arial" w:cs="Arial"/>
          <w:sz w:val="24"/>
          <w:szCs w:val="24"/>
        </w:rPr>
        <w:t xml:space="preserve">OS and Android </w:t>
      </w:r>
      <w:r w:rsidR="00D50129">
        <w:rPr>
          <w:rFonts w:ascii="Arial" w:hAnsi="Arial" w:cs="Arial"/>
          <w:sz w:val="24"/>
          <w:szCs w:val="24"/>
        </w:rPr>
        <w:fldChar w:fldCharType="begin"/>
      </w:r>
      <w:r w:rsidR="00D50129">
        <w:rPr>
          <w:rFonts w:ascii="Arial" w:hAnsi="Arial" w:cs="Arial"/>
          <w:sz w:val="24"/>
          <w:szCs w:val="24"/>
        </w:rPr>
        <w:instrText xml:space="preserve"> ADDIN EN.CITE &lt;EndNote&gt;&lt;Cite&gt;&lt;Author&gt;Bank&lt;/Author&gt;&lt;Year&gt;2001&lt;/Year&gt;&lt;RecNum&gt;554&lt;/RecNum&gt;&lt;DisplayText&gt;(Bank, 2001)&lt;/DisplayText&gt;&lt;record&gt;&lt;rec-number&gt;554&lt;/rec-number&gt;&lt;foreign-keys&gt;&lt;key app="EN" db-id="sve29p2v7eap0ge0ff3x95fqwf2x52505dxs" timestamp="1743062756"&gt;554&lt;/key&gt;&lt;/foreign-keys&gt;&lt;ref-type name="Book"&gt;6&lt;/ref-type&gt;&lt;contributors&gt;&lt;authors&gt;&lt;author&gt;Bank, David&lt;/author&gt;&lt;/authors&gt;&lt;/contributors&gt;&lt;titles&gt;&lt;title&gt;Breaking Windows: how Bill Gates fumbled the future of Microsoft&lt;/title&gt;&lt;/titles&gt;&lt;dates&gt;&lt;year&gt;2001&lt;/year&gt;&lt;/dates&gt;&lt;publisher&gt;Simon and Schuster&lt;/publisher&gt;&lt;isbn&gt;0743203151&lt;/isbn&gt;&lt;urls&gt;&lt;/urls&gt;&lt;/record&gt;&lt;/Cite&gt;&lt;/EndNote&gt;</w:instrText>
      </w:r>
      <w:r w:rsidR="00D50129">
        <w:rPr>
          <w:rFonts w:ascii="Arial" w:hAnsi="Arial" w:cs="Arial"/>
          <w:sz w:val="24"/>
          <w:szCs w:val="24"/>
        </w:rPr>
        <w:fldChar w:fldCharType="separate"/>
      </w:r>
      <w:r w:rsidR="00D50129">
        <w:rPr>
          <w:rFonts w:ascii="Arial" w:hAnsi="Arial" w:cs="Arial"/>
          <w:noProof/>
          <w:sz w:val="24"/>
          <w:szCs w:val="24"/>
        </w:rPr>
        <w:t>(Bank, 2001)</w:t>
      </w:r>
      <w:r w:rsidR="00D50129">
        <w:rPr>
          <w:rFonts w:ascii="Arial" w:hAnsi="Arial" w:cs="Arial"/>
          <w:sz w:val="24"/>
          <w:szCs w:val="24"/>
        </w:rPr>
        <w:fldChar w:fldCharType="end"/>
      </w:r>
      <w:r w:rsidR="00B77042" w:rsidRPr="00C72EFF">
        <w:rPr>
          <w:rFonts w:ascii="Arial" w:hAnsi="Arial" w:cs="Arial"/>
          <w:sz w:val="24"/>
          <w:szCs w:val="24"/>
        </w:rPr>
        <w:t>.</w:t>
      </w:r>
    </w:p>
    <w:p w14:paraId="02F243C8" w14:textId="77777777" w:rsidR="00B77042" w:rsidRPr="00C72EFF" w:rsidRDefault="005E1FD8" w:rsidP="00A33708">
      <w:pPr>
        <w:spacing w:before="120" w:after="120" w:line="360" w:lineRule="auto"/>
        <w:jc w:val="both"/>
        <w:rPr>
          <w:rFonts w:ascii="Arial" w:hAnsi="Arial" w:cs="Arial"/>
          <w:sz w:val="24"/>
          <w:szCs w:val="24"/>
        </w:rPr>
      </w:pPr>
      <w:r w:rsidRPr="00C72EFF">
        <w:rPr>
          <w:rFonts w:ascii="Arial" w:hAnsi="Arial" w:cs="Arial"/>
          <w:sz w:val="24"/>
          <w:szCs w:val="24"/>
        </w:rPr>
        <w:t>Apart from that, the followers rely a lot on the innovators, and in the absence of their own technological innovations, they will be in danger of being second movers in the market. Overreliance on pioneers may cause stagnation or lack of competitive advantage in highly dynami</w:t>
      </w:r>
      <w:r w:rsidR="00D50129">
        <w:rPr>
          <w:rFonts w:ascii="Arial" w:hAnsi="Arial" w:cs="Arial"/>
          <w:sz w:val="24"/>
          <w:szCs w:val="24"/>
        </w:rPr>
        <w:t xml:space="preserve">c industries </w:t>
      </w:r>
      <w:r w:rsidR="00D50129">
        <w:rPr>
          <w:rFonts w:ascii="Arial" w:hAnsi="Arial" w:cs="Arial"/>
          <w:sz w:val="24"/>
          <w:szCs w:val="24"/>
        </w:rPr>
        <w:fldChar w:fldCharType="begin"/>
      </w:r>
      <w:r w:rsidR="00D50129">
        <w:rPr>
          <w:rFonts w:ascii="Arial" w:hAnsi="Arial" w:cs="Arial"/>
          <w:sz w:val="24"/>
          <w:szCs w:val="24"/>
        </w:rPr>
        <w:instrText xml:space="preserve"> ADDIN EN.CITE &lt;EndNote&gt;&lt;Cite&gt;&lt;Author&gt;Sterman&lt;/Author&gt;&lt;Year&gt;1999&lt;/Year&gt;&lt;RecNum&gt;555&lt;/RecNum&gt;&lt;DisplayText&gt;(Sterman &amp;amp; Wittenberg, 1999)&lt;/DisplayText&gt;&lt;record&gt;&lt;rec-number&gt;555&lt;/rec-number&gt;&lt;foreign-keys&gt;&lt;key app="EN" db-id="sve29p2v7eap0ge0ff3x95fqwf2x52505dxs" timestamp="1743062797"&gt;555&lt;/key&gt;&lt;/foreign-keys&gt;&lt;ref-type name="Journal Article"&gt;17&lt;/ref-type&gt;&lt;contributors&gt;&lt;authors&gt;&lt;author&gt;Sterman, John D&lt;/author&gt;&lt;author&gt;Wittenberg, Jason&lt;/author&gt;&lt;/authors&gt;&lt;/contributors&gt;&lt;titles&gt;&lt;title&gt;Path dependence, competition, and succession in the dynamics of scientific revolution&lt;/title&gt;&lt;secondary-title&gt;Organization Science&lt;/secondary-title&gt;&lt;/titles&gt;&lt;periodical&gt;&lt;full-title&gt;Organization Science&lt;/full-title&gt;&lt;/periodical&gt;&lt;pages&gt;322-341&lt;/pages&gt;&lt;volume&gt;10&lt;/volume&gt;&lt;number&gt;3&lt;/number&gt;&lt;dates&gt;&lt;year&gt;1999&lt;/year&gt;&lt;/dates&gt;&lt;isbn&gt;1047-7039&lt;/isbn&gt;&lt;urls&gt;&lt;/urls&gt;&lt;/record&gt;&lt;/Cite&gt;&lt;/EndNote&gt;</w:instrText>
      </w:r>
      <w:r w:rsidR="00D50129">
        <w:rPr>
          <w:rFonts w:ascii="Arial" w:hAnsi="Arial" w:cs="Arial"/>
          <w:sz w:val="24"/>
          <w:szCs w:val="24"/>
        </w:rPr>
        <w:fldChar w:fldCharType="separate"/>
      </w:r>
      <w:r w:rsidR="00D50129">
        <w:rPr>
          <w:rFonts w:ascii="Arial" w:hAnsi="Arial" w:cs="Arial"/>
          <w:noProof/>
          <w:sz w:val="24"/>
          <w:szCs w:val="24"/>
        </w:rPr>
        <w:t>(Sterman &amp; Wittenberg, 1999)</w:t>
      </w:r>
      <w:r w:rsidR="00D50129">
        <w:rPr>
          <w:rFonts w:ascii="Arial" w:hAnsi="Arial" w:cs="Arial"/>
          <w:sz w:val="24"/>
          <w:szCs w:val="24"/>
        </w:rPr>
        <w:fldChar w:fldCharType="end"/>
      </w:r>
      <w:r w:rsidR="00B77042" w:rsidRPr="00C72EFF">
        <w:rPr>
          <w:rFonts w:ascii="Arial" w:hAnsi="Arial" w:cs="Arial"/>
          <w:sz w:val="24"/>
          <w:szCs w:val="24"/>
        </w:rPr>
        <w:t>.</w:t>
      </w:r>
    </w:p>
    <w:p w14:paraId="231EF0DA" w14:textId="77777777" w:rsidR="00A33708" w:rsidRPr="00A33708" w:rsidRDefault="00A33708" w:rsidP="005E1FD8">
      <w:pPr>
        <w:pStyle w:val="Heading1"/>
      </w:pPr>
      <w:r w:rsidRPr="00A33708">
        <w:rPr>
          <w:rStyle w:val="Strong"/>
          <w:rFonts w:cs="Arial"/>
          <w:b/>
          <w:bCs w:val="0"/>
        </w:rPr>
        <w:t>B. Product Life Cycle Strat</w:t>
      </w:r>
      <w:r w:rsidR="00C72EFF">
        <w:rPr>
          <w:rStyle w:val="Strong"/>
          <w:rFonts w:cs="Arial"/>
          <w:b/>
          <w:bCs w:val="0"/>
        </w:rPr>
        <w:t>egies of Pioneers and Followers</w:t>
      </w:r>
    </w:p>
    <w:p w14:paraId="750AA094" w14:textId="77777777" w:rsidR="00A33708" w:rsidRPr="00A33708" w:rsidRDefault="00A33708" w:rsidP="00A33708">
      <w:pPr>
        <w:pStyle w:val="Heading4"/>
        <w:spacing w:before="120" w:beforeAutospacing="0" w:after="120" w:afterAutospacing="0" w:line="360" w:lineRule="auto"/>
        <w:jc w:val="both"/>
        <w:rPr>
          <w:rFonts w:ascii="Arial" w:hAnsi="Arial" w:cs="Arial"/>
        </w:rPr>
      </w:pPr>
      <w:r w:rsidRPr="00A33708">
        <w:rPr>
          <w:rStyle w:val="Strong"/>
          <w:rFonts w:ascii="Arial" w:hAnsi="Arial" w:cs="Arial"/>
          <w:b/>
          <w:bCs/>
        </w:rPr>
        <w:t>Pioneers' Strategies:</w:t>
      </w:r>
    </w:p>
    <w:p w14:paraId="33BF4640" w14:textId="77777777" w:rsidR="00A33708" w:rsidRPr="00AE0C08" w:rsidRDefault="00AE0C08" w:rsidP="00A33708">
      <w:pPr>
        <w:spacing w:before="120" w:after="120" w:line="360" w:lineRule="auto"/>
        <w:jc w:val="both"/>
        <w:rPr>
          <w:rFonts w:ascii="Arial" w:hAnsi="Arial" w:cs="Arial"/>
          <w:b/>
        </w:rPr>
      </w:pPr>
      <w:r w:rsidRPr="00AE0C08">
        <w:rPr>
          <w:rStyle w:val="Strong"/>
          <w:rFonts w:ascii="Arial" w:hAnsi="Arial" w:cs="Arial"/>
        </w:rPr>
        <w:t>Introduction Stage:</w:t>
      </w:r>
      <w:r w:rsidRPr="00AE0C08">
        <w:rPr>
          <w:rStyle w:val="Strong"/>
          <w:rFonts w:ascii="Arial" w:hAnsi="Arial" w:cs="Arial"/>
          <w:b w:val="0"/>
        </w:rPr>
        <w:t xml:space="preserve"> Businesspersons invest a lot of money at the introduction stage of the product life cycle in introducing to the market a product that provides something new or distinctive. This is the time of high costs incurred in innovation, prototyping, and extensive tests in the marketplace. In addition, the innovators spend a great deal of resources on marketing and branding to make their presence known in the market and create initial awareness and interest among the consumers. For instance, Apple spent enormous amounts of money on R&amp;D to come up with the iPhone, which not only integrated a phone and an iPod but also created a revolutionary touchscreen interface, revolutionizing the way people used mobil</w:t>
      </w:r>
      <w:r w:rsidR="00C26594">
        <w:rPr>
          <w:rStyle w:val="Strong"/>
          <w:rFonts w:ascii="Arial" w:hAnsi="Arial" w:cs="Arial"/>
          <w:b w:val="0"/>
        </w:rPr>
        <w:t xml:space="preserve">e technology </w:t>
      </w:r>
      <w:r w:rsidR="00C26594">
        <w:rPr>
          <w:rStyle w:val="Strong"/>
          <w:rFonts w:ascii="Arial" w:hAnsi="Arial" w:cs="Arial"/>
          <w:b w:val="0"/>
        </w:rPr>
        <w:fldChar w:fldCharType="begin"/>
      </w:r>
      <w:r w:rsidR="00C26594">
        <w:rPr>
          <w:rStyle w:val="Strong"/>
          <w:rFonts w:ascii="Arial" w:hAnsi="Arial" w:cs="Arial"/>
          <w:b w:val="0"/>
        </w:rPr>
        <w:instrText xml:space="preserve"> ADDIN EN.CITE &lt;EndNote&gt;&lt;Cite&gt;&lt;Author&gt;Hahn&lt;/Author&gt;&lt;Year&gt;2010&lt;/Year&gt;&lt;RecNum&gt;556&lt;/RecNum&gt;&lt;DisplayText&gt;(Hahn &amp;amp; Singer, 2010)&lt;/DisplayText&gt;&lt;record&gt;&lt;rec-number&gt;556&lt;/rec-number&gt;&lt;foreign-keys&gt;&lt;key app="EN" db-id="sve29p2v7eap0ge0ff3x95fqwf2x52505dxs" timestamp="1743062853"&gt;556&lt;/key&gt;&lt;/foreign-keys&gt;&lt;ref-type name="Journal Article"&gt;17&lt;/ref-type&gt;&lt;contributors&gt;&lt;authors&gt;&lt;author&gt;Hahn, Robert&lt;/author&gt;&lt;author&gt;Singer, Hal J&lt;/author&gt;&lt;/authors&gt;&lt;/contributors&gt;&lt;titles&gt;&lt;title&gt;Why the iPhone won&amp;apos;t last forever and what the government should do to promote its successor&lt;/title&gt;&lt;secondary-title&gt;J. on Telecomm. &amp;amp; High Tech. L.&lt;/secondary-title&gt;&lt;/titles&gt;&lt;periodical&gt;&lt;full-title&gt;J. on Telecomm. &amp;amp; High Tech. L.&lt;/full-title&gt;&lt;/periodical&gt;&lt;pages&gt;313&lt;/pages&gt;&lt;volume&gt;8&lt;/volume&gt;&lt;dates&gt;&lt;year&gt;2010&lt;/year&gt;&lt;/dates&gt;&lt;urls&gt;&lt;/urls&gt;&lt;/record&gt;&lt;/Cite&gt;&lt;/EndNote&gt;</w:instrText>
      </w:r>
      <w:r w:rsidR="00C26594">
        <w:rPr>
          <w:rStyle w:val="Strong"/>
          <w:rFonts w:ascii="Arial" w:hAnsi="Arial" w:cs="Arial"/>
          <w:b w:val="0"/>
        </w:rPr>
        <w:fldChar w:fldCharType="separate"/>
      </w:r>
      <w:r w:rsidR="00C26594">
        <w:rPr>
          <w:rStyle w:val="Strong"/>
          <w:rFonts w:ascii="Arial" w:hAnsi="Arial" w:cs="Arial"/>
          <w:b w:val="0"/>
          <w:noProof/>
        </w:rPr>
        <w:t>(Hahn &amp; Singer, 2010)</w:t>
      </w:r>
      <w:r w:rsidR="00C26594">
        <w:rPr>
          <w:rStyle w:val="Strong"/>
          <w:rFonts w:ascii="Arial" w:hAnsi="Arial" w:cs="Arial"/>
          <w:b w:val="0"/>
        </w:rPr>
        <w:fldChar w:fldCharType="end"/>
      </w:r>
      <w:r w:rsidR="00A33708" w:rsidRPr="00AE0C08">
        <w:rPr>
          <w:rFonts w:ascii="Arial" w:hAnsi="Arial" w:cs="Arial"/>
          <w:b/>
        </w:rPr>
        <w:t>.</w:t>
      </w:r>
    </w:p>
    <w:p w14:paraId="4BF6E216" w14:textId="77777777" w:rsidR="00A33708" w:rsidRPr="00A33708" w:rsidRDefault="00AE0C08" w:rsidP="00A33708">
      <w:pPr>
        <w:spacing w:before="120" w:after="120" w:line="360" w:lineRule="auto"/>
        <w:jc w:val="both"/>
        <w:rPr>
          <w:rFonts w:ascii="Arial" w:hAnsi="Arial" w:cs="Arial"/>
        </w:rPr>
      </w:pPr>
      <w:r w:rsidRPr="00AE0C08">
        <w:rPr>
          <w:rStyle w:val="Strong"/>
          <w:rFonts w:ascii="Arial" w:hAnsi="Arial" w:cs="Arial"/>
          <w:sz w:val="24"/>
        </w:rPr>
        <w:t>Growth Phase:</w:t>
      </w:r>
      <w:r w:rsidRPr="00AE0C08">
        <w:rPr>
          <w:rStyle w:val="Strong"/>
          <w:rFonts w:ascii="Arial" w:hAnsi="Arial" w:cs="Arial"/>
          <w:b w:val="0"/>
          <w:sz w:val="24"/>
        </w:rPr>
        <w:t xml:space="preserve"> Once the product is established in the market and starts expanding in demand, pioneers concentrate on increasing production and refining the product. </w:t>
      </w:r>
      <w:r w:rsidRPr="00AE0C08">
        <w:rPr>
          <w:rStyle w:val="Strong"/>
          <w:rFonts w:ascii="Arial" w:hAnsi="Arial" w:cs="Arial"/>
          <w:b w:val="0"/>
          <w:sz w:val="24"/>
        </w:rPr>
        <w:lastRenderedPageBreak/>
        <w:t>Economies of scale lower the unit cost as producers try to make production processes efficient. In this phase, corporations increase distribution channels and continue refining the product, likely by offering new features or versions as an attempt to attract more customer bases. Apple, for instance, quickly boosted the production of the iPhone and continued to add more features to its latest versions, like the addition of higher quality cameras and better processors with each passing model, like the iPhone 4, iPho</w:t>
      </w:r>
      <w:r w:rsidR="00C26594">
        <w:rPr>
          <w:rStyle w:val="Strong"/>
          <w:rFonts w:ascii="Arial" w:hAnsi="Arial" w:cs="Arial"/>
          <w:b w:val="0"/>
          <w:sz w:val="24"/>
        </w:rPr>
        <w:t xml:space="preserve">ne 6, and iPhone 7 </w:t>
      </w:r>
      <w:r w:rsidR="00C26594">
        <w:rPr>
          <w:rStyle w:val="Strong"/>
          <w:rFonts w:ascii="Arial" w:hAnsi="Arial" w:cs="Arial"/>
          <w:b w:val="0"/>
          <w:sz w:val="24"/>
        </w:rPr>
        <w:fldChar w:fldCharType="begin"/>
      </w:r>
      <w:r w:rsidR="00C26594">
        <w:rPr>
          <w:rStyle w:val="Strong"/>
          <w:rFonts w:ascii="Arial" w:hAnsi="Arial" w:cs="Arial"/>
          <w:b w:val="0"/>
          <w:sz w:val="24"/>
        </w:rPr>
        <w:instrText xml:space="preserve"> ADDIN EN.CITE &lt;EndNote&gt;&lt;Cite&gt;&lt;Author&gt;Kelly&lt;/Author&gt;&lt;Year&gt;2016&lt;/Year&gt;&lt;RecNum&gt;557&lt;/RecNum&gt;&lt;DisplayText&gt;(Kelly, 2016)&lt;/DisplayText&gt;&lt;record&gt;&lt;rec-number&gt;557&lt;/rec-number&gt;&lt;foreign-keys&gt;&lt;key app="EN" db-id="sve29p2v7eap0ge0ff3x95fqwf2x52505dxs" timestamp="1743062928"&gt;557&lt;/key&gt;&lt;/foreign-keys&gt;&lt;ref-type name="Journal Article"&gt;17&lt;/ref-type&gt;&lt;contributors&gt;&lt;authors&gt;&lt;author&gt;Kelly, Sin&lt;/author&gt;&lt;/authors&gt;&lt;/contributors&gt;&lt;titles&gt;&lt;title&gt;The iPhone economy: how this innovative product affects global economy through its sales and add-on markets&lt;/title&gt;&lt;/titles&gt;&lt;dates&gt;&lt;year&gt;2016&lt;/year&gt;&lt;/dates&gt;&lt;urls&gt;&lt;/urls&gt;&lt;/record&gt;&lt;/Cite&gt;&lt;/EndNote&gt;</w:instrText>
      </w:r>
      <w:r w:rsidR="00C26594">
        <w:rPr>
          <w:rStyle w:val="Strong"/>
          <w:rFonts w:ascii="Arial" w:hAnsi="Arial" w:cs="Arial"/>
          <w:b w:val="0"/>
          <w:sz w:val="24"/>
        </w:rPr>
        <w:fldChar w:fldCharType="separate"/>
      </w:r>
      <w:r w:rsidR="00C26594">
        <w:rPr>
          <w:rStyle w:val="Strong"/>
          <w:rFonts w:ascii="Arial" w:hAnsi="Arial" w:cs="Arial"/>
          <w:b w:val="0"/>
          <w:noProof/>
          <w:sz w:val="24"/>
        </w:rPr>
        <w:t>(Kelly, 2016)</w:t>
      </w:r>
      <w:r w:rsidR="00C26594">
        <w:rPr>
          <w:rStyle w:val="Strong"/>
          <w:rFonts w:ascii="Arial" w:hAnsi="Arial" w:cs="Arial"/>
          <w:b w:val="0"/>
          <w:sz w:val="24"/>
        </w:rPr>
        <w:fldChar w:fldCharType="end"/>
      </w:r>
      <w:r w:rsidR="00A33708" w:rsidRPr="00A33708">
        <w:rPr>
          <w:rFonts w:ascii="Arial" w:hAnsi="Arial" w:cs="Arial"/>
        </w:rPr>
        <w:t>.</w:t>
      </w:r>
    </w:p>
    <w:p w14:paraId="594C41DA" w14:textId="77777777" w:rsidR="00A33708" w:rsidRPr="00AE0C08" w:rsidRDefault="00AE0C08" w:rsidP="00A33708">
      <w:pPr>
        <w:spacing w:before="120" w:after="120" w:line="360" w:lineRule="auto"/>
        <w:jc w:val="both"/>
        <w:rPr>
          <w:rFonts w:ascii="Arial" w:hAnsi="Arial" w:cs="Arial"/>
          <w:sz w:val="24"/>
        </w:rPr>
      </w:pPr>
      <w:r w:rsidRPr="00AE0C08">
        <w:rPr>
          <w:rStyle w:val="Strong"/>
          <w:rFonts w:ascii="Arial" w:hAnsi="Arial" w:cs="Arial"/>
          <w:sz w:val="24"/>
        </w:rPr>
        <w:t xml:space="preserve">Maturity Stage: </w:t>
      </w:r>
      <w:r w:rsidRPr="00AE0C08">
        <w:rPr>
          <w:rStyle w:val="Strong"/>
          <w:rFonts w:ascii="Arial" w:hAnsi="Arial" w:cs="Arial"/>
          <w:b w:val="0"/>
          <w:sz w:val="24"/>
        </w:rPr>
        <w:t>Once the product has entered the maturity stage, competition rises and growth diminishes. In order to retain market leadership, pioneers resort to diversification, brand extensions, or continuous innovation to appeal to new groups of customers. Apple, for its part, did not take it easy with the iPhone but released new versions such as iPhone X, which featured a bezel-less display and Face ID, and iPhone Pro Max, which was designed for premium customers who would appreciate high-end features. Besides, Apple diversified its products by releasing various versions of the iPhone in varying screen sizes and capacities to cater to diverse prices while ensuring superiority and competitiveness in a sa</w:t>
      </w:r>
      <w:r w:rsidR="00C26594">
        <w:rPr>
          <w:rStyle w:val="Strong"/>
          <w:rFonts w:ascii="Arial" w:hAnsi="Arial" w:cs="Arial"/>
          <w:b w:val="0"/>
          <w:sz w:val="24"/>
        </w:rPr>
        <w:t xml:space="preserve">turated market </w:t>
      </w:r>
      <w:r w:rsidR="00C26594">
        <w:rPr>
          <w:rStyle w:val="Strong"/>
          <w:rFonts w:ascii="Arial" w:hAnsi="Arial" w:cs="Arial"/>
          <w:b w:val="0"/>
          <w:sz w:val="24"/>
        </w:rPr>
        <w:fldChar w:fldCharType="begin"/>
      </w:r>
      <w:r w:rsidR="009003DC">
        <w:rPr>
          <w:rStyle w:val="Strong"/>
          <w:rFonts w:ascii="Arial" w:hAnsi="Arial" w:cs="Arial"/>
          <w:b w:val="0"/>
          <w:sz w:val="24"/>
        </w:rPr>
        <w:instrText xml:space="preserve"> ADDIN EN.CITE &lt;EndNote&gt;&lt;Cite&gt;&lt;Author&gt;Schäfer&lt;/Author&gt;&lt;Year&gt;2024&lt;/Year&gt;&lt;RecNum&gt;561&lt;/RecNum&gt;&lt;DisplayText&gt;(Schäfer, 2024)&lt;/DisplayText&gt;&lt;record&gt;&lt;rec-number&gt;561&lt;/rec-number&gt;&lt;foreign-keys&gt;&lt;key app="EN" db-id="sve29p2v7eap0ge0ff3x95fqwf2x52505dxs" timestamp="1743063158"&gt;561&lt;/key&gt;&lt;/foreign-keys&gt;&lt;ref-type name="Thesis"&gt;32&lt;/ref-type&gt;&lt;contributors&gt;&lt;authors&gt;&lt;author&gt;Schäfer, Pauline&lt;/author&gt;&lt;/authors&gt;&lt;/contributors&gt;&lt;titles&gt;&lt;title&gt;Conditions of the International Smartphone Market-Analysing the US Market&lt;/title&gt;&lt;/titles&gt;&lt;dates&gt;&lt;year&gt;2024&lt;/year&gt;&lt;/dates&gt;&lt;publisher&gt;Universidade NOVA de Lisboa (Portugal)&lt;/publisher&gt;&lt;urls&gt;&lt;/urls&gt;&lt;/record&gt;&lt;/Cite&gt;&lt;/EndNote&gt;</w:instrText>
      </w:r>
      <w:r w:rsidR="00C26594">
        <w:rPr>
          <w:rStyle w:val="Strong"/>
          <w:rFonts w:ascii="Arial" w:hAnsi="Arial" w:cs="Arial"/>
          <w:b w:val="0"/>
          <w:sz w:val="24"/>
        </w:rPr>
        <w:fldChar w:fldCharType="separate"/>
      </w:r>
      <w:r w:rsidR="00C26594">
        <w:rPr>
          <w:rStyle w:val="Strong"/>
          <w:rFonts w:ascii="Arial" w:hAnsi="Arial" w:cs="Arial"/>
          <w:b w:val="0"/>
          <w:noProof/>
          <w:sz w:val="24"/>
        </w:rPr>
        <w:t>(Schäfer, 2024)</w:t>
      </w:r>
      <w:r w:rsidR="00C26594">
        <w:rPr>
          <w:rStyle w:val="Strong"/>
          <w:rFonts w:ascii="Arial" w:hAnsi="Arial" w:cs="Arial"/>
          <w:b w:val="0"/>
          <w:sz w:val="24"/>
        </w:rPr>
        <w:fldChar w:fldCharType="end"/>
      </w:r>
      <w:r w:rsidRPr="00AE0C08">
        <w:rPr>
          <w:rStyle w:val="Strong"/>
          <w:rFonts w:ascii="Arial" w:hAnsi="Arial" w:cs="Arial"/>
          <w:b w:val="0"/>
          <w:sz w:val="24"/>
        </w:rPr>
        <w:t>.</w:t>
      </w:r>
    </w:p>
    <w:p w14:paraId="5D873C8F" w14:textId="77777777" w:rsidR="00A33708" w:rsidRPr="00A33708" w:rsidRDefault="00A33708" w:rsidP="00A33708">
      <w:pPr>
        <w:pStyle w:val="Heading4"/>
        <w:spacing w:before="120" w:beforeAutospacing="0" w:after="120" w:afterAutospacing="0" w:line="360" w:lineRule="auto"/>
        <w:jc w:val="both"/>
        <w:rPr>
          <w:rFonts w:ascii="Arial" w:hAnsi="Arial" w:cs="Arial"/>
        </w:rPr>
      </w:pPr>
      <w:r w:rsidRPr="00A33708">
        <w:rPr>
          <w:rStyle w:val="Strong"/>
          <w:rFonts w:ascii="Arial" w:hAnsi="Arial" w:cs="Arial"/>
          <w:b/>
          <w:bCs/>
        </w:rPr>
        <w:t>Followers' Strategies:</w:t>
      </w:r>
    </w:p>
    <w:p w14:paraId="282B1729" w14:textId="77777777" w:rsidR="00A33708" w:rsidRPr="002F3A02" w:rsidRDefault="002F3A02" w:rsidP="00A33708">
      <w:pPr>
        <w:spacing w:before="120" w:after="120" w:line="360" w:lineRule="auto"/>
        <w:jc w:val="both"/>
        <w:rPr>
          <w:rFonts w:ascii="Arial" w:hAnsi="Arial" w:cs="Arial"/>
          <w:sz w:val="24"/>
        </w:rPr>
      </w:pPr>
      <w:r w:rsidRPr="002F3A02">
        <w:rPr>
          <w:rStyle w:val="Strong"/>
          <w:rFonts w:ascii="Arial" w:hAnsi="Arial" w:cs="Arial"/>
          <w:sz w:val="24"/>
        </w:rPr>
        <w:t xml:space="preserve">Introduction Stage: </w:t>
      </w:r>
      <w:r w:rsidRPr="002F3A02">
        <w:rPr>
          <w:rStyle w:val="Strong"/>
          <w:rFonts w:ascii="Arial" w:hAnsi="Arial" w:cs="Arial"/>
          <w:b w:val="0"/>
          <w:sz w:val="24"/>
        </w:rPr>
        <w:t>For the imitators, the introduction stage is typically marked by replicating the pioneer company's winning strategy but with improvement over known vulnerabilities. The imitators follow unserved market niches or seize pain points that were less realised by the pioneer. Samsung's entry into the smartphone market is a classic case of the same. Samsung has followed Apple's iPhone model, but brought significant breakthroughs in the design of bigger screens, greater consistency within their hardware offerings, and the functionality of microSD cards for enlarged storage, offering consumers greater choice and appeal to a wider range of c</w:t>
      </w:r>
      <w:r w:rsidR="00C26594">
        <w:rPr>
          <w:rStyle w:val="Strong"/>
          <w:rFonts w:ascii="Arial" w:hAnsi="Arial" w:cs="Arial"/>
          <w:b w:val="0"/>
          <w:sz w:val="24"/>
        </w:rPr>
        <w:t xml:space="preserve">onsumers </w:t>
      </w:r>
      <w:r w:rsidR="00C26594">
        <w:rPr>
          <w:rStyle w:val="Strong"/>
          <w:rFonts w:ascii="Arial" w:hAnsi="Arial" w:cs="Arial"/>
          <w:b w:val="0"/>
          <w:sz w:val="24"/>
        </w:rPr>
        <w:fldChar w:fldCharType="begin"/>
      </w:r>
      <w:r w:rsidR="00C26594">
        <w:rPr>
          <w:rStyle w:val="Strong"/>
          <w:rFonts w:ascii="Arial" w:hAnsi="Arial" w:cs="Arial"/>
          <w:b w:val="0"/>
          <w:sz w:val="24"/>
        </w:rPr>
        <w:instrText xml:space="preserve"> ADDIN EN.CITE &lt;EndNote&gt;&lt;Cite&gt;&lt;Author&gt;Alliance&lt;/Author&gt;&lt;Year&gt;2011&lt;/Year&gt;&lt;RecNum&gt;559&lt;/RecNum&gt;&lt;DisplayText&gt;(Alliance, 2011)&lt;/DisplayText&gt;&lt;record&gt;&lt;rec-number&gt;559&lt;/rec-number&gt;&lt;foreign-keys&gt;&lt;key app="EN" db-id="sve29p2v7eap0ge0ff3x95fqwf2x52505dxs" timestamp="1743063068"&gt;559&lt;/key&gt;&lt;/foreign-keys&gt;&lt;ref-type name="Journal Article"&gt;17&lt;/ref-type&gt;&lt;contributors&gt;&lt;authors&gt;&lt;author&gt;Alliance, Smart Card&lt;/author&gt;&lt;/authors&gt;&lt;/contributors&gt;&lt;titles&gt;&lt;title&gt;The mobile payments and NFC landscape: A US perspective&lt;/title&gt;&lt;secondary-title&gt;Smart Card Alliance&lt;/secondary-title&gt;&lt;/titles&gt;&lt;periodical&gt;&lt;full-title&gt;Smart Card Alliance&lt;/full-title&gt;&lt;/periodical&gt;&lt;pages&gt;1-53&lt;/pages&gt;&lt;dates&gt;&lt;year&gt;2011&lt;/year&gt;&lt;/dates&gt;&lt;urls&gt;&lt;/urls&gt;&lt;/record&gt;&lt;/Cite&gt;&lt;/EndNote&gt;</w:instrText>
      </w:r>
      <w:r w:rsidR="00C26594">
        <w:rPr>
          <w:rStyle w:val="Strong"/>
          <w:rFonts w:ascii="Arial" w:hAnsi="Arial" w:cs="Arial"/>
          <w:b w:val="0"/>
          <w:sz w:val="24"/>
        </w:rPr>
        <w:fldChar w:fldCharType="separate"/>
      </w:r>
      <w:r w:rsidR="00C26594">
        <w:rPr>
          <w:rStyle w:val="Strong"/>
          <w:rFonts w:ascii="Arial" w:hAnsi="Arial" w:cs="Arial"/>
          <w:b w:val="0"/>
          <w:noProof/>
          <w:sz w:val="24"/>
        </w:rPr>
        <w:t>(Alliance, 2011)</w:t>
      </w:r>
      <w:r w:rsidR="00C26594">
        <w:rPr>
          <w:rStyle w:val="Strong"/>
          <w:rFonts w:ascii="Arial" w:hAnsi="Arial" w:cs="Arial"/>
          <w:b w:val="0"/>
          <w:sz w:val="24"/>
        </w:rPr>
        <w:fldChar w:fldCharType="end"/>
      </w:r>
      <w:r w:rsidRPr="002F3A02">
        <w:rPr>
          <w:rStyle w:val="Strong"/>
          <w:rFonts w:ascii="Arial" w:hAnsi="Arial" w:cs="Arial"/>
          <w:b w:val="0"/>
          <w:sz w:val="24"/>
        </w:rPr>
        <w:t>. By doing this, Samsung made it ready to take hold through an inexpensive option with appealing features</w:t>
      </w:r>
      <w:r w:rsidR="00A33708" w:rsidRPr="002F3A02">
        <w:rPr>
          <w:rFonts w:ascii="Arial" w:hAnsi="Arial" w:cs="Arial"/>
          <w:sz w:val="24"/>
        </w:rPr>
        <w:t>.</w:t>
      </w:r>
    </w:p>
    <w:p w14:paraId="1824583D" w14:textId="77777777" w:rsidR="00A33708" w:rsidRPr="00A33708" w:rsidRDefault="00EB1416" w:rsidP="00A33708">
      <w:pPr>
        <w:spacing w:before="120" w:after="120" w:line="360" w:lineRule="auto"/>
        <w:jc w:val="both"/>
        <w:rPr>
          <w:rFonts w:ascii="Arial" w:hAnsi="Arial" w:cs="Arial"/>
        </w:rPr>
      </w:pPr>
      <w:r w:rsidRPr="005368EC">
        <w:rPr>
          <w:rStyle w:val="Strong"/>
          <w:rFonts w:ascii="Arial" w:hAnsi="Arial" w:cs="Arial"/>
          <w:sz w:val="24"/>
        </w:rPr>
        <w:t>Growth Stage:</w:t>
      </w:r>
      <w:r w:rsidRPr="00EB1416">
        <w:rPr>
          <w:rStyle w:val="Strong"/>
          <w:rFonts w:ascii="Arial" w:hAnsi="Arial" w:cs="Arial"/>
        </w:rPr>
        <w:t xml:space="preserve"> </w:t>
      </w:r>
      <w:r w:rsidRPr="00EB1416">
        <w:rPr>
          <w:rStyle w:val="Strong"/>
          <w:rFonts w:ascii="Arial" w:hAnsi="Arial" w:cs="Arial"/>
          <w:b w:val="0"/>
          <w:sz w:val="24"/>
        </w:rPr>
        <w:t xml:space="preserve">At the growth stage, the followers are concerned with gaining market share. By competitive pricing and introducing features that make their product distinguishable from the pioneer, followers can capture price-sensitive customers unwilling to pay the pioneer's brand premium. Samsung, for instance, has performed best in expanding its market share by producing a complete line of smartphones at </w:t>
      </w:r>
      <w:r w:rsidRPr="00EB1416">
        <w:rPr>
          <w:rStyle w:val="Strong"/>
          <w:rFonts w:ascii="Arial" w:hAnsi="Arial" w:cs="Arial"/>
          <w:b w:val="0"/>
          <w:sz w:val="24"/>
        </w:rPr>
        <w:lastRenderedPageBreak/>
        <w:t>various price points, thereby reaching high-end buyers as well as</w:t>
      </w:r>
      <w:r w:rsidR="009003DC">
        <w:rPr>
          <w:rStyle w:val="Strong"/>
          <w:rFonts w:ascii="Arial" w:hAnsi="Arial" w:cs="Arial"/>
          <w:b w:val="0"/>
          <w:sz w:val="24"/>
        </w:rPr>
        <w:t xml:space="preserve"> low-budget shoppers </w:t>
      </w:r>
      <w:r w:rsidR="009003DC">
        <w:rPr>
          <w:rStyle w:val="Strong"/>
          <w:rFonts w:ascii="Arial" w:hAnsi="Arial" w:cs="Arial"/>
          <w:b w:val="0"/>
          <w:sz w:val="24"/>
        </w:rPr>
        <w:fldChar w:fldCharType="begin"/>
      </w:r>
      <w:r w:rsidR="009003DC">
        <w:rPr>
          <w:rStyle w:val="Strong"/>
          <w:rFonts w:ascii="Arial" w:hAnsi="Arial" w:cs="Arial"/>
          <w:b w:val="0"/>
          <w:sz w:val="24"/>
        </w:rPr>
        <w:instrText xml:space="preserve"> ADDIN EN.CITE &lt;EndNote&gt;&lt;Cite&gt;&lt;Author&gt;Grönroos&lt;/Author&gt;&lt;Year&gt;2009&lt;/Year&gt;&lt;RecNum&gt;560&lt;/RecNum&gt;&lt;DisplayText&gt;(Grönroos &amp;amp; Leppänen, 2009)&lt;/DisplayText&gt;&lt;record&gt;&lt;rec-number&gt;560&lt;/rec-number&gt;&lt;foreign-keys&gt;&lt;key app="EN" db-id="sve29p2v7eap0ge0ff3x95fqwf2x52505dxs" timestamp="1743063118"&gt;560&lt;/key&gt;&lt;/foreign-keys&gt;&lt;ref-type name="Journal Article"&gt;17&lt;/ref-type&gt;&lt;contributors&gt;&lt;authors&gt;&lt;author&gt;Grönroos, Christian&lt;/author&gt;&lt;author&gt;Leppänen, Hanna&lt;/author&gt;&lt;/authors&gt;&lt;/contributors&gt;&lt;titles&gt;&lt;title&gt;The hybrid consumer: Exploring the drivers of a new consumer behaviour type&lt;/title&gt;&lt;/titles&gt;&lt;dates&gt;&lt;year&gt;2009&lt;/year&gt;&lt;/dates&gt;&lt;isbn&gt;9522320692&lt;/isbn&gt;&lt;urls&gt;&lt;/urls&gt;&lt;/record&gt;&lt;/Cite&gt;&lt;/EndNote&gt;</w:instrText>
      </w:r>
      <w:r w:rsidR="009003DC">
        <w:rPr>
          <w:rStyle w:val="Strong"/>
          <w:rFonts w:ascii="Arial" w:hAnsi="Arial" w:cs="Arial"/>
          <w:b w:val="0"/>
          <w:sz w:val="24"/>
        </w:rPr>
        <w:fldChar w:fldCharType="separate"/>
      </w:r>
      <w:r w:rsidR="009003DC">
        <w:rPr>
          <w:rStyle w:val="Strong"/>
          <w:rFonts w:ascii="Arial" w:hAnsi="Arial" w:cs="Arial"/>
          <w:b w:val="0"/>
          <w:noProof/>
          <w:sz w:val="24"/>
        </w:rPr>
        <w:t>(Grönroos &amp; Leppänen, 2009)</w:t>
      </w:r>
      <w:r w:rsidR="009003DC">
        <w:rPr>
          <w:rStyle w:val="Strong"/>
          <w:rFonts w:ascii="Arial" w:hAnsi="Arial" w:cs="Arial"/>
          <w:b w:val="0"/>
          <w:sz w:val="24"/>
        </w:rPr>
        <w:fldChar w:fldCharType="end"/>
      </w:r>
      <w:r w:rsidRPr="00EB1416">
        <w:rPr>
          <w:rStyle w:val="Strong"/>
          <w:rFonts w:ascii="Arial" w:hAnsi="Arial" w:cs="Arial"/>
          <w:b w:val="0"/>
          <w:sz w:val="24"/>
        </w:rPr>
        <w:t>. The company's pricing strategy has assisted it in acquiring a significant market share of the smart phone market, particularly in the developing world, where prices matter most</w:t>
      </w:r>
      <w:r w:rsidR="00A33708" w:rsidRPr="00A33708">
        <w:rPr>
          <w:rFonts w:ascii="Arial" w:hAnsi="Arial" w:cs="Arial"/>
        </w:rPr>
        <w:t>.</w:t>
      </w:r>
    </w:p>
    <w:p w14:paraId="4559D58E" w14:textId="77777777" w:rsidR="00F66BFC" w:rsidRPr="006E5B4A" w:rsidRDefault="006E5B4A" w:rsidP="00A33708">
      <w:pPr>
        <w:spacing w:before="120" w:after="120" w:line="360" w:lineRule="auto"/>
        <w:jc w:val="both"/>
        <w:rPr>
          <w:rFonts w:ascii="Arial" w:hAnsi="Arial" w:cs="Arial"/>
          <w:b/>
        </w:rPr>
      </w:pPr>
      <w:r w:rsidRPr="006E5B4A">
        <w:rPr>
          <w:rStyle w:val="Strong"/>
          <w:rFonts w:ascii="Arial" w:hAnsi="Arial" w:cs="Arial"/>
          <w:sz w:val="24"/>
        </w:rPr>
        <w:t xml:space="preserve">Maturity Stage: </w:t>
      </w:r>
      <w:r w:rsidRPr="006E5B4A">
        <w:rPr>
          <w:rStyle w:val="Strong"/>
          <w:rFonts w:ascii="Arial" w:hAnsi="Arial" w:cs="Arial"/>
          <w:b w:val="0"/>
          <w:sz w:val="24"/>
        </w:rPr>
        <w:t xml:space="preserve">As the product reaches maturity, followers concentrate on retaining customer loyalty and attaining maximum market share by means of selective customer loyalty schemes, price wars, and incremental product feature enhancement. In contrast to pioneers, who can diversify or innovate, followers tie down loyal customers and protect their market position by offering attractive value propositions. Samsung has also invested heavily in after-sales maintenance and loyalty programs to the extent that the customers who buy their products are encouraged to remain within the Samsung ecosystem, investing in new generations of phones, wearables, </w:t>
      </w:r>
      <w:r w:rsidR="009003DC">
        <w:rPr>
          <w:rStyle w:val="Strong"/>
          <w:rFonts w:ascii="Arial" w:hAnsi="Arial" w:cs="Arial"/>
          <w:b w:val="0"/>
          <w:sz w:val="24"/>
        </w:rPr>
        <w:t xml:space="preserve">and other devices </w:t>
      </w:r>
      <w:r w:rsidR="009003DC">
        <w:rPr>
          <w:rStyle w:val="Strong"/>
          <w:rFonts w:ascii="Arial" w:hAnsi="Arial" w:cs="Arial"/>
          <w:b w:val="0"/>
          <w:sz w:val="24"/>
        </w:rPr>
        <w:fldChar w:fldCharType="begin"/>
      </w:r>
      <w:r w:rsidR="009003DC">
        <w:rPr>
          <w:rStyle w:val="Strong"/>
          <w:rFonts w:ascii="Arial" w:hAnsi="Arial" w:cs="Arial"/>
          <w:b w:val="0"/>
          <w:sz w:val="24"/>
        </w:rPr>
        <w:instrText xml:space="preserve"> ADDIN EN.CITE &lt;EndNote&gt;&lt;Cite&gt;&lt;Author&gt;Schäfer&lt;/Author&gt;&lt;Year&gt;2024&lt;/Year&gt;&lt;RecNum&gt;561&lt;/RecNum&gt;&lt;DisplayText&gt;(Schäfer, 2024)&lt;/DisplayText&gt;&lt;record&gt;&lt;rec-number&gt;561&lt;/rec-number&gt;&lt;foreign-keys&gt;&lt;key app="EN" db-id="sve29p2v7eap0ge0ff3x95fqwf2x52505dxs" timestamp="1743063158"&gt;561&lt;/key&gt;&lt;/foreign-keys&gt;&lt;ref-type name="Thesis"&gt;32&lt;/ref-type&gt;&lt;contributors&gt;&lt;authors&gt;&lt;author&gt;Schäfer, Pauline&lt;/author&gt;&lt;/authors&gt;&lt;/contributors&gt;&lt;titles&gt;&lt;title&gt;Conditions of the International Smartphone Market-Analysing the US Market&lt;/title&gt;&lt;/titles&gt;&lt;dates&gt;&lt;year&gt;2024&lt;/year&gt;&lt;/dates&gt;&lt;publisher&gt;Universidade NOVA de Lisboa (Portugal)&lt;/publisher&gt;&lt;urls&gt;&lt;/urls&gt;&lt;/record&gt;&lt;/Cite&gt;&lt;/EndNote&gt;</w:instrText>
      </w:r>
      <w:r w:rsidR="009003DC">
        <w:rPr>
          <w:rStyle w:val="Strong"/>
          <w:rFonts w:ascii="Arial" w:hAnsi="Arial" w:cs="Arial"/>
          <w:b w:val="0"/>
          <w:sz w:val="24"/>
        </w:rPr>
        <w:fldChar w:fldCharType="separate"/>
      </w:r>
      <w:r w:rsidR="009003DC">
        <w:rPr>
          <w:rStyle w:val="Strong"/>
          <w:rFonts w:ascii="Arial" w:hAnsi="Arial" w:cs="Arial"/>
          <w:b w:val="0"/>
          <w:noProof/>
          <w:sz w:val="24"/>
        </w:rPr>
        <w:t>(Schäfer, 2024)</w:t>
      </w:r>
      <w:r w:rsidR="009003DC">
        <w:rPr>
          <w:rStyle w:val="Strong"/>
          <w:rFonts w:ascii="Arial" w:hAnsi="Arial" w:cs="Arial"/>
          <w:b w:val="0"/>
          <w:sz w:val="24"/>
        </w:rPr>
        <w:fldChar w:fldCharType="end"/>
      </w:r>
      <w:r w:rsidRPr="006E5B4A">
        <w:rPr>
          <w:rStyle w:val="Strong"/>
          <w:rFonts w:ascii="Arial" w:hAnsi="Arial" w:cs="Arial"/>
          <w:b w:val="0"/>
        </w:rPr>
        <w:t>.</w:t>
      </w:r>
    </w:p>
    <w:p w14:paraId="226287AC" w14:textId="77777777" w:rsidR="00A33708" w:rsidRPr="00A33708" w:rsidRDefault="00A33708" w:rsidP="0078360E">
      <w:pPr>
        <w:pStyle w:val="Heading1"/>
      </w:pPr>
      <w:r w:rsidRPr="00A33708">
        <w:rPr>
          <w:rStyle w:val="Strong"/>
          <w:rFonts w:cs="Arial"/>
          <w:b/>
          <w:bCs w:val="0"/>
        </w:rPr>
        <w:t>Critical Analysis &amp; Synthesis</w:t>
      </w:r>
    </w:p>
    <w:p w14:paraId="38FB9838" w14:textId="77777777" w:rsidR="00A33708" w:rsidRPr="00A33708" w:rsidRDefault="00A33708" w:rsidP="00A33708">
      <w:pPr>
        <w:pStyle w:val="Heading4"/>
        <w:spacing w:before="120" w:beforeAutospacing="0" w:after="120" w:afterAutospacing="0" w:line="360" w:lineRule="auto"/>
        <w:jc w:val="both"/>
        <w:rPr>
          <w:rFonts w:ascii="Arial" w:hAnsi="Arial" w:cs="Arial"/>
        </w:rPr>
      </w:pPr>
      <w:r w:rsidRPr="00A33708">
        <w:rPr>
          <w:rStyle w:val="Strong"/>
          <w:rFonts w:ascii="Arial" w:hAnsi="Arial" w:cs="Arial"/>
          <w:b/>
          <w:bCs/>
        </w:rPr>
        <w:t>Comparison of the Product Life Cycle of Pioneers versus Followers</w:t>
      </w:r>
    </w:p>
    <w:p w14:paraId="270B61CE" w14:textId="77777777" w:rsidR="00A33708" w:rsidRPr="0078360E" w:rsidRDefault="0078360E" w:rsidP="00A33708">
      <w:pPr>
        <w:spacing w:before="120" w:after="120" w:line="360" w:lineRule="auto"/>
        <w:jc w:val="both"/>
        <w:rPr>
          <w:rFonts w:ascii="Arial" w:hAnsi="Arial" w:cs="Arial"/>
          <w:b/>
          <w:sz w:val="24"/>
        </w:rPr>
      </w:pPr>
      <w:r w:rsidRPr="0078360E">
        <w:rPr>
          <w:rStyle w:val="Strong"/>
          <w:rFonts w:ascii="Arial" w:hAnsi="Arial" w:cs="Arial"/>
          <w:b w:val="0"/>
          <w:sz w:val="24"/>
        </w:rPr>
        <w:t>Pioneers take more early risk, but they also stand a chance to win early market leadership in the product life cycle. By being first to introduce an innovative product or technology, pioneers can potentially win early market share, establish brand loyalty, and set industry standards. The early phases of the product life cycle, like the introduction and growth phases, give them the opportunity to dominate the market with their first-m</w:t>
      </w:r>
      <w:r w:rsidR="009003DC">
        <w:rPr>
          <w:rStyle w:val="Strong"/>
          <w:rFonts w:ascii="Arial" w:hAnsi="Arial" w:cs="Arial"/>
          <w:b w:val="0"/>
          <w:sz w:val="24"/>
        </w:rPr>
        <w:t xml:space="preserve">over benefit </w:t>
      </w:r>
      <w:r w:rsidR="009003DC">
        <w:rPr>
          <w:rStyle w:val="Strong"/>
          <w:rFonts w:ascii="Arial" w:hAnsi="Arial" w:cs="Arial"/>
          <w:b w:val="0"/>
          <w:sz w:val="24"/>
        </w:rPr>
        <w:fldChar w:fldCharType="begin"/>
      </w:r>
      <w:r w:rsidR="009003DC">
        <w:rPr>
          <w:rStyle w:val="Strong"/>
          <w:rFonts w:ascii="Arial" w:hAnsi="Arial" w:cs="Arial"/>
          <w:b w:val="0"/>
          <w:sz w:val="24"/>
        </w:rPr>
        <w:instrText xml:space="preserve"> ADDIN EN.CITE &lt;EndNote&gt;&lt;Cite&gt;&lt;Author&gt;Xie&lt;/Author&gt;&lt;Year&gt;2021&lt;/Year&gt;&lt;RecNum&gt;562&lt;/RecNum&gt;&lt;DisplayText&gt;(Xie et al., 2021)&lt;/DisplayText&gt;&lt;record&gt;&lt;rec-number&gt;562&lt;/rec-number&gt;&lt;foreign-keys&gt;&lt;key app="EN" db-id="sve29p2v7eap0ge0ff3x95fqwf2x52505dxs" timestamp="1743063198"&gt;562&lt;/key&gt;&lt;/foreign-keys&gt;&lt;ref-type name="Journal Article"&gt;17&lt;/ref-type&gt;&lt;contributors&gt;&lt;authors&gt;&lt;author&gt;Xie, Frank Tian&lt;/author&gt;&lt;author&gt;Donthu, Naveen&lt;/author&gt;&lt;author&gt;Johnston, Wesley J&lt;/author&gt;&lt;/authors&gt;&lt;/contributors&gt;&lt;titles&gt;&lt;title&gt;Beyond first or late mover advantages: timed mover advantage&lt;/title&gt;&lt;secondary-title&gt;Journal of Business &amp;amp; Industrial Marketing&lt;/secondary-title&gt;&lt;/titles&gt;&lt;periodical&gt;&lt;full-title&gt;Journal of Business &amp;amp; Industrial Marketing&lt;/full-title&gt;&lt;/periodical&gt;&lt;pages&gt;1163-1175&lt;/pages&gt;&lt;volume&gt;36&lt;/volume&gt;&lt;number&gt;7&lt;/number&gt;&lt;dates&gt;&lt;year&gt;2021&lt;/year&gt;&lt;/dates&gt;&lt;isbn&gt;0885-8624&lt;/isbn&gt;&lt;urls&gt;&lt;/urls&gt;&lt;/record&gt;&lt;/Cite&gt;&lt;/EndNote&gt;</w:instrText>
      </w:r>
      <w:r w:rsidR="009003DC">
        <w:rPr>
          <w:rStyle w:val="Strong"/>
          <w:rFonts w:ascii="Arial" w:hAnsi="Arial" w:cs="Arial"/>
          <w:b w:val="0"/>
          <w:sz w:val="24"/>
        </w:rPr>
        <w:fldChar w:fldCharType="separate"/>
      </w:r>
      <w:r w:rsidR="009003DC">
        <w:rPr>
          <w:rStyle w:val="Strong"/>
          <w:rFonts w:ascii="Arial" w:hAnsi="Arial" w:cs="Arial"/>
          <w:b w:val="0"/>
          <w:noProof/>
          <w:sz w:val="24"/>
        </w:rPr>
        <w:t>(Xie et al., 2021)</w:t>
      </w:r>
      <w:r w:rsidR="009003DC">
        <w:rPr>
          <w:rStyle w:val="Strong"/>
          <w:rFonts w:ascii="Arial" w:hAnsi="Arial" w:cs="Arial"/>
          <w:b w:val="0"/>
          <w:sz w:val="24"/>
        </w:rPr>
        <w:fldChar w:fldCharType="end"/>
      </w:r>
      <w:r w:rsidRPr="0078360E">
        <w:rPr>
          <w:rStyle w:val="Strong"/>
          <w:rFonts w:ascii="Arial" w:hAnsi="Arial" w:cs="Arial"/>
          <w:b w:val="0"/>
          <w:sz w:val="24"/>
        </w:rPr>
        <w:t>. For instance, Apple's iPhone, which integrated several features into a single phone, was able to set the tone in the smartphone market to create room for future models. This leadership in the early stages of the life cycle, however, is met by the largest challenge of being forced to innovate continuously if it is going to retain its leadership position in the mature market. If not continuous improvement, pioneers will have their competitive advantage worn away by other firms or emer</w:t>
      </w:r>
      <w:r w:rsidR="009003DC">
        <w:rPr>
          <w:rStyle w:val="Strong"/>
          <w:rFonts w:ascii="Arial" w:hAnsi="Arial" w:cs="Arial"/>
          <w:b w:val="0"/>
          <w:sz w:val="24"/>
        </w:rPr>
        <w:t xml:space="preserve">ging technologies </w:t>
      </w:r>
      <w:r w:rsidR="009003DC">
        <w:rPr>
          <w:rStyle w:val="Strong"/>
          <w:rFonts w:ascii="Arial" w:hAnsi="Arial" w:cs="Arial"/>
          <w:b w:val="0"/>
          <w:sz w:val="24"/>
        </w:rPr>
        <w:fldChar w:fldCharType="begin"/>
      </w:r>
      <w:r w:rsidR="009003DC">
        <w:rPr>
          <w:rStyle w:val="Strong"/>
          <w:rFonts w:ascii="Arial" w:hAnsi="Arial" w:cs="Arial"/>
          <w:b w:val="0"/>
          <w:sz w:val="24"/>
        </w:rPr>
        <w:instrText xml:space="preserve"> ADDIN EN.CITE &lt;EndNote&gt;&lt;Cite&gt;&lt;Author&gt;Christensen&lt;/Author&gt;&lt;Year&gt;2015&lt;/Year&gt;&lt;RecNum&gt;563&lt;/RecNum&gt;&lt;DisplayText&gt;(Christensen, 2015)&lt;/DisplayText&gt;&lt;record&gt;&lt;rec-number&gt;563&lt;/rec-number&gt;&lt;foreign-keys&gt;&lt;key app="EN" db-id="sve29p2v7eap0ge0ff3x95fqwf2x52505dxs" timestamp="1743063302"&gt;563&lt;/key&gt;&lt;/foreign-keys&gt;&lt;ref-type name="Book"&gt;6&lt;/ref-type&gt;&lt;contributors&gt;&lt;authors&gt;&lt;author&gt;Christensen, Clayton M&lt;/author&gt;&lt;/authors&gt;&lt;/contributors&gt;&lt;titles&gt;&lt;title&gt;The innovator&amp;apos;s dilemma: when new technologies cause great firms to fail&lt;/title&gt;&lt;/titles&gt;&lt;dates&gt;&lt;year&gt;2015&lt;/year&gt;&lt;/dates&gt;&lt;publisher&gt;Harvard Business Review Press&lt;/publisher&gt;&lt;isbn&gt;1633691799&lt;/isbn&gt;&lt;urls&gt;&lt;/urls&gt;&lt;/record&gt;&lt;/Cite&gt;&lt;/EndNote&gt;</w:instrText>
      </w:r>
      <w:r w:rsidR="009003DC">
        <w:rPr>
          <w:rStyle w:val="Strong"/>
          <w:rFonts w:ascii="Arial" w:hAnsi="Arial" w:cs="Arial"/>
          <w:b w:val="0"/>
          <w:sz w:val="24"/>
        </w:rPr>
        <w:fldChar w:fldCharType="separate"/>
      </w:r>
      <w:r w:rsidR="009003DC">
        <w:rPr>
          <w:rStyle w:val="Strong"/>
          <w:rFonts w:ascii="Arial" w:hAnsi="Arial" w:cs="Arial"/>
          <w:b w:val="0"/>
          <w:noProof/>
          <w:sz w:val="24"/>
        </w:rPr>
        <w:t>(Christensen, 2015)</w:t>
      </w:r>
      <w:r w:rsidR="009003DC">
        <w:rPr>
          <w:rStyle w:val="Strong"/>
          <w:rFonts w:ascii="Arial" w:hAnsi="Arial" w:cs="Arial"/>
          <w:b w:val="0"/>
          <w:sz w:val="24"/>
        </w:rPr>
        <w:fldChar w:fldCharType="end"/>
      </w:r>
      <w:r w:rsidR="00A33708" w:rsidRPr="0078360E">
        <w:rPr>
          <w:rFonts w:ascii="Arial" w:hAnsi="Arial" w:cs="Arial"/>
          <w:b/>
          <w:sz w:val="24"/>
        </w:rPr>
        <w:t>.</w:t>
      </w:r>
    </w:p>
    <w:p w14:paraId="7AB3DDEB" w14:textId="77777777" w:rsidR="00A33708" w:rsidRPr="009003DC" w:rsidRDefault="003D7BF3" w:rsidP="00A33708">
      <w:pPr>
        <w:spacing w:before="120" w:after="120" w:line="360" w:lineRule="auto"/>
        <w:jc w:val="both"/>
        <w:rPr>
          <w:rFonts w:ascii="Arial" w:hAnsi="Arial" w:cs="Arial"/>
          <w:sz w:val="24"/>
        </w:rPr>
      </w:pPr>
      <w:r w:rsidRPr="009003DC">
        <w:rPr>
          <w:rFonts w:ascii="Arial" w:hAnsi="Arial" w:cs="Arial"/>
          <w:sz w:val="24"/>
        </w:rPr>
        <w:t xml:space="preserve">When the product is in the maturity stage, pioneers are bound to experience diminishing growth rates because of market saturation and greater competition. In an attempt to protect their market share, they have to bank on diversification, brand extension, and ongoing innovation. Apple, for example, continued to replenish its product lineup with innovations like Face ID and high-end camera systems, and </w:t>
      </w:r>
      <w:r w:rsidRPr="009003DC">
        <w:rPr>
          <w:rFonts w:ascii="Arial" w:hAnsi="Arial" w:cs="Arial"/>
          <w:sz w:val="24"/>
        </w:rPr>
        <w:lastRenderedPageBreak/>
        <w:t>expanded into wearables and services, thereby prolonging the product life cycle of the iPhone. However, the stage of maturity also carries the risk that competitors will fight back with similar or better products, and there will be price wars and reduced profit margins</w:t>
      </w:r>
      <w:r w:rsidR="006F15D0">
        <w:rPr>
          <w:rFonts w:ascii="Arial" w:hAnsi="Arial" w:cs="Arial"/>
          <w:sz w:val="24"/>
        </w:rPr>
        <w:t xml:space="preserve"> for pioneers </w:t>
      </w:r>
      <w:r w:rsidR="006F15D0">
        <w:rPr>
          <w:rFonts w:ascii="Arial" w:hAnsi="Arial" w:cs="Arial"/>
          <w:sz w:val="24"/>
        </w:rPr>
        <w:fldChar w:fldCharType="begin"/>
      </w:r>
      <w:r w:rsidR="006F15D0">
        <w:rPr>
          <w:rFonts w:ascii="Arial" w:hAnsi="Arial" w:cs="Arial"/>
          <w:sz w:val="24"/>
        </w:rPr>
        <w:instrText xml:space="preserve"> ADDIN EN.CITE &lt;EndNote&gt;&lt;Cite&gt;&lt;Author&gt;Covin&lt;/Author&gt;&lt;Year&gt;2000&lt;/Year&gt;&lt;RecNum&gt;564&lt;/RecNum&gt;&lt;DisplayText&gt;(Covin et al., 2000)&lt;/DisplayText&gt;&lt;record&gt;&lt;rec-number&gt;564&lt;/rec-number&gt;&lt;foreign-keys&gt;&lt;key app="EN" db-id="sve29p2v7eap0ge0ff3x95fqwf2x52505dxs" timestamp="1743063349"&gt;564&lt;/key&gt;&lt;/foreign-keys&gt;&lt;ref-type name="Journal Article"&gt;17&lt;/ref-type&gt;&lt;contributors&gt;&lt;authors&gt;&lt;author&gt;Covin, Jeffrey G&lt;/author&gt;&lt;author&gt;Slevin, Dennis P&lt;/author&gt;&lt;author&gt;Heeley, Michael B&lt;/author&gt;&lt;/authors&gt;&lt;/contributors&gt;&lt;titles&gt;&lt;title&gt;Pioneers and followers: Competitive tactics, environment, and firm growth&lt;/title&gt;&lt;secondary-title&gt;Journal of business venturing&lt;/secondary-title&gt;&lt;/titles&gt;&lt;periodical&gt;&lt;full-title&gt;Journal of business venturing&lt;/full-title&gt;&lt;/periodical&gt;&lt;pages&gt;175-210&lt;/pages&gt;&lt;volume&gt;15&lt;/volume&gt;&lt;number&gt;2&lt;/number&gt;&lt;dates&gt;&lt;year&gt;2000&lt;/year&gt;&lt;/dates&gt;&lt;isbn&gt;0883-9026&lt;/isbn&gt;&lt;urls&gt;&lt;/urls&gt;&lt;/record&gt;&lt;/Cite&gt;&lt;/EndNote&gt;</w:instrText>
      </w:r>
      <w:r w:rsidR="006F15D0">
        <w:rPr>
          <w:rFonts w:ascii="Arial" w:hAnsi="Arial" w:cs="Arial"/>
          <w:sz w:val="24"/>
        </w:rPr>
        <w:fldChar w:fldCharType="separate"/>
      </w:r>
      <w:r w:rsidR="006F15D0">
        <w:rPr>
          <w:rFonts w:ascii="Arial" w:hAnsi="Arial" w:cs="Arial"/>
          <w:noProof/>
          <w:sz w:val="24"/>
        </w:rPr>
        <w:t>(Covin et al., 2000)</w:t>
      </w:r>
      <w:r w:rsidR="006F15D0">
        <w:rPr>
          <w:rFonts w:ascii="Arial" w:hAnsi="Arial" w:cs="Arial"/>
          <w:sz w:val="24"/>
        </w:rPr>
        <w:fldChar w:fldCharType="end"/>
      </w:r>
      <w:r w:rsidR="00A33708" w:rsidRPr="009003DC">
        <w:rPr>
          <w:rFonts w:ascii="Arial" w:hAnsi="Arial" w:cs="Arial"/>
          <w:sz w:val="24"/>
        </w:rPr>
        <w:t>.</w:t>
      </w:r>
    </w:p>
    <w:p w14:paraId="61558884" w14:textId="77777777" w:rsidR="00A33708" w:rsidRPr="00036E87" w:rsidRDefault="000725E9" w:rsidP="00A33708">
      <w:pPr>
        <w:spacing w:before="120" w:after="120" w:line="360" w:lineRule="auto"/>
        <w:jc w:val="both"/>
        <w:rPr>
          <w:rFonts w:ascii="Arial" w:hAnsi="Arial" w:cs="Arial"/>
          <w:sz w:val="24"/>
        </w:rPr>
      </w:pPr>
      <w:r w:rsidRPr="00036E87">
        <w:rPr>
          <w:rFonts w:ascii="Arial" w:hAnsi="Arial" w:cs="Arial"/>
          <w:sz w:val="24"/>
        </w:rPr>
        <w:t xml:space="preserve">On the contrary, followers enter into the market a little later and will have the benefit of discovering the failures as well as success of the pioneer. Observing the pitfalls, which the pioneer experiences in initial stages, the followers can limit risks by building better products and implementing successful product elements of the pioneer's product. Samsung, for instance, entered the smartphone market after Apple and enhanced features such as screen size, battery life, and hardware flexibility. Samsung's capacity to innovate and perform at various price levels allowed it to effectively compete with Apple, especially in </w:t>
      </w:r>
      <w:r w:rsidR="00C54437">
        <w:rPr>
          <w:rFonts w:ascii="Arial" w:hAnsi="Arial" w:cs="Arial"/>
          <w:sz w:val="24"/>
        </w:rPr>
        <w:t xml:space="preserve">the emerging markets </w:t>
      </w:r>
      <w:r w:rsidR="00C54437">
        <w:rPr>
          <w:rFonts w:ascii="Arial" w:hAnsi="Arial" w:cs="Arial"/>
          <w:sz w:val="24"/>
        </w:rPr>
        <w:fldChar w:fldCharType="begin"/>
      </w:r>
      <w:r w:rsidR="00C54437">
        <w:rPr>
          <w:rFonts w:ascii="Arial" w:hAnsi="Arial" w:cs="Arial"/>
          <w:sz w:val="24"/>
        </w:rPr>
        <w:instrText xml:space="preserve"> ADDIN EN.CITE &lt;EndNote&gt;&lt;Cite&gt;&lt;Author&gt;Van Agtmael&lt;/Author&gt;&lt;Year&gt;2007&lt;/Year&gt;&lt;RecNum&gt;565&lt;/RecNum&gt;&lt;DisplayText&gt;(Van Agtmael, 2007)&lt;/DisplayText&gt;&lt;record&gt;&lt;rec-number&gt;565&lt;/rec-number&gt;&lt;foreign-keys&gt;&lt;key app="EN" db-id="sve29p2v7eap0ge0ff3x95fqwf2x52505dxs" timestamp="1743063411"&gt;565&lt;/key&gt;&lt;/foreign-keys&gt;&lt;ref-type name="Book"&gt;6&lt;/ref-type&gt;&lt;contributors&gt;&lt;authors&gt;&lt;author&gt;Van Agtmael, Antoine&lt;/author&gt;&lt;/authors&gt;&lt;/contributors&gt;&lt;titles&gt;&lt;title&gt;The emerging markets century: How a new breed of world-class companies is overtaking the world&lt;/title&gt;&lt;/titles&gt;&lt;dates&gt;&lt;year&gt;2007&lt;/year&gt;&lt;/dates&gt;&lt;publisher&gt;Simon and Schuster&lt;/publisher&gt;&lt;isbn&gt;141654822X&lt;/isbn&gt;&lt;urls&gt;&lt;/urls&gt;&lt;/record&gt;&lt;/Cite&gt;&lt;/EndNote&gt;</w:instrText>
      </w:r>
      <w:r w:rsidR="00C54437">
        <w:rPr>
          <w:rFonts w:ascii="Arial" w:hAnsi="Arial" w:cs="Arial"/>
          <w:sz w:val="24"/>
        </w:rPr>
        <w:fldChar w:fldCharType="separate"/>
      </w:r>
      <w:r w:rsidR="00C54437">
        <w:rPr>
          <w:rFonts w:ascii="Arial" w:hAnsi="Arial" w:cs="Arial"/>
          <w:noProof/>
          <w:sz w:val="24"/>
        </w:rPr>
        <w:t>(Van Agtmael, 2007)</w:t>
      </w:r>
      <w:r w:rsidR="00C54437">
        <w:rPr>
          <w:rFonts w:ascii="Arial" w:hAnsi="Arial" w:cs="Arial"/>
          <w:sz w:val="24"/>
        </w:rPr>
        <w:fldChar w:fldCharType="end"/>
      </w:r>
      <w:r w:rsidRPr="00036E87">
        <w:rPr>
          <w:rFonts w:ascii="Arial" w:hAnsi="Arial" w:cs="Arial"/>
          <w:sz w:val="24"/>
        </w:rPr>
        <w:t>. The followers, though, need to do more than merely replicate and come up with means of differentiating themselves if they are to succeed. This differentiation can be in the form of offering substitute features, additional functionalities, or superior pricing models. Otherwise, they will become second-rate players within the market, competing based on price and not product excellence or innovation</w:t>
      </w:r>
      <w:r w:rsidR="00A33708" w:rsidRPr="00036E87">
        <w:rPr>
          <w:rFonts w:ascii="Arial" w:hAnsi="Arial" w:cs="Arial"/>
          <w:sz w:val="24"/>
        </w:rPr>
        <w:t>.</w:t>
      </w:r>
    </w:p>
    <w:p w14:paraId="29630B71" w14:textId="77777777" w:rsidR="00A33708" w:rsidRPr="00A33708" w:rsidRDefault="00A33708" w:rsidP="00A33708">
      <w:pPr>
        <w:pStyle w:val="Heading4"/>
        <w:spacing w:before="120" w:beforeAutospacing="0" w:after="120" w:afterAutospacing="0" w:line="360" w:lineRule="auto"/>
        <w:jc w:val="both"/>
        <w:rPr>
          <w:rFonts w:ascii="Arial" w:hAnsi="Arial" w:cs="Arial"/>
        </w:rPr>
      </w:pPr>
      <w:r w:rsidRPr="00A33708">
        <w:rPr>
          <w:rStyle w:val="Strong"/>
          <w:rFonts w:ascii="Arial" w:hAnsi="Arial" w:cs="Arial"/>
          <w:b/>
          <w:bCs/>
        </w:rPr>
        <w:t>Long-term Outcomes: Does the Follower Strategy Always Lead to Success?</w:t>
      </w:r>
    </w:p>
    <w:p w14:paraId="57BABF92" w14:textId="77777777" w:rsidR="00A33708" w:rsidRPr="005548FF" w:rsidRDefault="005548FF" w:rsidP="00A33708">
      <w:pPr>
        <w:spacing w:before="120" w:after="120" w:line="360" w:lineRule="auto"/>
        <w:jc w:val="both"/>
        <w:rPr>
          <w:rFonts w:ascii="Arial" w:hAnsi="Arial" w:cs="Arial"/>
          <w:sz w:val="24"/>
        </w:rPr>
      </w:pPr>
      <w:r w:rsidRPr="005548FF">
        <w:rPr>
          <w:rFonts w:ascii="Arial" w:hAnsi="Arial" w:cs="Arial"/>
          <w:sz w:val="24"/>
        </w:rPr>
        <w:t>While followers can steer clear of early risks through imitation from innovators, they cannot be guaranteed success in the long term in their strategy. Most companies that enter markets as followers risk stagnation as a result of excessive reliance on imitation instead of innovation. Microsoft, for example, initially struggled to achieve significant gains in market share in the smartphone market upon entering the market after the Apple iPhone release. Apart from providing an operating system with exclusive features, Microsoft's Windows Phone did not manage to adequately distinguish itself from Android and iOS, and eventually could not compete in terms of scale with these op</w:t>
      </w:r>
      <w:r w:rsidR="00355D66">
        <w:rPr>
          <w:rFonts w:ascii="Arial" w:hAnsi="Arial" w:cs="Arial"/>
          <w:sz w:val="24"/>
        </w:rPr>
        <w:t xml:space="preserve">erating systems </w:t>
      </w:r>
      <w:r w:rsidR="00355D66">
        <w:rPr>
          <w:rFonts w:ascii="Arial" w:hAnsi="Arial" w:cs="Arial"/>
          <w:sz w:val="24"/>
        </w:rPr>
        <w:fldChar w:fldCharType="begin"/>
      </w:r>
      <w:r w:rsidR="00355D66">
        <w:rPr>
          <w:rFonts w:ascii="Arial" w:hAnsi="Arial" w:cs="Arial"/>
          <w:sz w:val="24"/>
        </w:rPr>
        <w:instrText xml:space="preserve"> ADDIN EN.CITE &lt;EndNote&gt;&lt;Cite&gt;&lt;Author&gt;Rossbach&lt;/Author&gt;&lt;Year&gt;2011&lt;/Year&gt;&lt;RecNum&gt;566&lt;/RecNum&gt;&lt;DisplayText&gt;(Rossbach et al., 2011)&lt;/DisplayText&gt;&lt;record&gt;&lt;rec-number&gt;566&lt;/rec-number&gt;&lt;foreign-keys&gt;&lt;key app="EN" db-id="sve29p2v7eap0ge0ff3x95fqwf2x52505dxs" timestamp="1743063460"&gt;566&lt;/key&gt;&lt;/foreign-keys&gt;&lt;ref-type name="Conference Proceedings"&gt;10&lt;/ref-type&gt;&lt;contributors&gt;&lt;authors&gt;&lt;author&gt;Rossbach, Christopher J&lt;/author&gt;&lt;author&gt;Currey, Jon&lt;/author&gt;&lt;author&gt;Silberstein, Mark&lt;/author&gt;&lt;author&gt;Ray, Baishakhi&lt;/author&gt;&lt;author&gt;Witchel, Emmett&lt;/author&gt;&lt;/authors&gt;&lt;/contributors&gt;&lt;titles&gt;&lt;title&gt;PTask: operating system abstractions to manage GPUs as compute devices&lt;/title&gt;&lt;secondary-title&gt;Proceedings of the Twenty-Third ACM Symposium on Operating Systems Principles&lt;/secondary-title&gt;&lt;/titles&gt;&lt;pages&gt;233-248&lt;/pages&gt;&lt;dates&gt;&lt;year&gt;2011&lt;/year&gt;&lt;/dates&gt;&lt;urls&gt;&lt;/urls&gt;&lt;/record&gt;&lt;/Cite&gt;&lt;/EndNote&gt;</w:instrText>
      </w:r>
      <w:r w:rsidR="00355D66">
        <w:rPr>
          <w:rFonts w:ascii="Arial" w:hAnsi="Arial" w:cs="Arial"/>
          <w:sz w:val="24"/>
        </w:rPr>
        <w:fldChar w:fldCharType="separate"/>
      </w:r>
      <w:r w:rsidR="00355D66">
        <w:rPr>
          <w:rFonts w:ascii="Arial" w:hAnsi="Arial" w:cs="Arial"/>
          <w:noProof/>
          <w:sz w:val="24"/>
        </w:rPr>
        <w:t>(Rossbach et al., 2011)</w:t>
      </w:r>
      <w:r w:rsidR="00355D66">
        <w:rPr>
          <w:rFonts w:ascii="Arial" w:hAnsi="Arial" w:cs="Arial"/>
          <w:sz w:val="24"/>
        </w:rPr>
        <w:fldChar w:fldCharType="end"/>
      </w:r>
      <w:r w:rsidRPr="005548FF">
        <w:rPr>
          <w:rFonts w:ascii="Arial" w:hAnsi="Arial" w:cs="Arial"/>
          <w:sz w:val="24"/>
        </w:rPr>
        <w:t>. The demise of Windows Phone serves as a critical reminder that simply imitating pioneers without achieving meaningful differentiation will result in stagnation, rather than success</w:t>
      </w:r>
      <w:r w:rsidR="00A33708" w:rsidRPr="005548FF">
        <w:rPr>
          <w:rFonts w:ascii="Arial" w:hAnsi="Arial" w:cs="Arial"/>
          <w:sz w:val="24"/>
        </w:rPr>
        <w:t>.</w:t>
      </w:r>
    </w:p>
    <w:p w14:paraId="325435DB" w14:textId="77777777" w:rsidR="00A33708" w:rsidRPr="005548FF" w:rsidRDefault="005548FF" w:rsidP="00A33708">
      <w:pPr>
        <w:spacing w:before="120" w:after="120" w:line="360" w:lineRule="auto"/>
        <w:jc w:val="both"/>
        <w:rPr>
          <w:rFonts w:ascii="Arial" w:hAnsi="Arial" w:cs="Arial"/>
          <w:sz w:val="24"/>
        </w:rPr>
      </w:pPr>
      <w:r w:rsidRPr="005548FF">
        <w:rPr>
          <w:rFonts w:ascii="Arial" w:hAnsi="Arial" w:cs="Arial"/>
          <w:sz w:val="24"/>
        </w:rPr>
        <w:t xml:space="preserve">Conversely, followers who can differentiate or innovate their own niche or unique selling proposition have the potential to succeed in the long term. Samsung's diversification, for instance, into foldable phones and consumer electronics outside of </w:t>
      </w:r>
      <w:r w:rsidRPr="005548FF">
        <w:rPr>
          <w:rFonts w:ascii="Arial" w:hAnsi="Arial" w:cs="Arial"/>
          <w:sz w:val="24"/>
        </w:rPr>
        <w:lastRenderedPageBreak/>
        <w:t>smartphones is evidence that followers can still build a long-term share. Yet, for followers, long-term success most frequently hinges on whether they can innovate and adapt, as opposed to simply providing extensions of the original product</w:t>
      </w:r>
      <w:r w:rsidR="00A33708" w:rsidRPr="005548FF">
        <w:rPr>
          <w:rFonts w:ascii="Arial" w:hAnsi="Arial" w:cs="Arial"/>
          <w:sz w:val="24"/>
        </w:rPr>
        <w:t>.</w:t>
      </w:r>
    </w:p>
    <w:p w14:paraId="63A2E906" w14:textId="77777777" w:rsidR="00F66BFC" w:rsidRDefault="005548FF" w:rsidP="00A33708">
      <w:pPr>
        <w:spacing w:before="120" w:after="120" w:line="360" w:lineRule="auto"/>
        <w:jc w:val="both"/>
        <w:rPr>
          <w:rFonts w:ascii="Arial" w:hAnsi="Arial" w:cs="Arial"/>
          <w:sz w:val="24"/>
        </w:rPr>
      </w:pPr>
      <w:r w:rsidRPr="005548FF">
        <w:rPr>
          <w:rFonts w:ascii="Arial" w:hAnsi="Arial" w:cs="Arial"/>
          <w:sz w:val="24"/>
        </w:rPr>
        <w:t>Finally, although the follower strategy might initially be less expensive and riskier, followers' long-term success will hinge on their ability to differentiate, innovate, and create new forms of value for customers. Those that do not innovate and adapt in line with the needs of the market can become stagnant, as Microsoft's inability to succeed in the sm</w:t>
      </w:r>
      <w:r w:rsidR="00355D66">
        <w:rPr>
          <w:rFonts w:ascii="Arial" w:hAnsi="Arial" w:cs="Arial"/>
          <w:sz w:val="24"/>
        </w:rPr>
        <w:t xml:space="preserve">artphone market </w:t>
      </w:r>
      <w:r w:rsidR="00355D66">
        <w:rPr>
          <w:rFonts w:ascii="Arial" w:hAnsi="Arial" w:cs="Arial"/>
          <w:sz w:val="24"/>
        </w:rPr>
        <w:fldChar w:fldCharType="begin"/>
      </w:r>
      <w:r w:rsidR="00355D66">
        <w:rPr>
          <w:rFonts w:ascii="Arial" w:hAnsi="Arial" w:cs="Arial"/>
          <w:sz w:val="24"/>
        </w:rPr>
        <w:instrText xml:space="preserve"> ADDIN EN.CITE &lt;EndNote&gt;&lt;Cite&gt;&lt;Author&gt;Cusumano&lt;/Author&gt;&lt;Year&gt;2010&lt;/Year&gt;&lt;RecNum&gt;567&lt;/RecNum&gt;&lt;DisplayText&gt;(Cusumano, 2010)&lt;/DisplayText&gt;&lt;record&gt;&lt;rec-number&gt;567&lt;/rec-number&gt;&lt;foreign-keys&gt;&lt;key app="EN" db-id="sve29p2v7eap0ge0ff3x95fqwf2x52505dxs" timestamp="1743063530"&gt;567&lt;/key&gt;&lt;/foreign-keys&gt;&lt;ref-type name="Book"&gt;6&lt;/ref-type&gt;&lt;contributors&gt;&lt;authors&gt;&lt;author&gt;Cusumano, Michael A&lt;/author&gt;&lt;/authors&gt;&lt;/contributors&gt;&lt;titles&gt;&lt;title&gt;Staying power: Six enduring principles for managing strategy and innovation in an uncertain world (lessons from Microsoft, Apple, Intel, Google, Toyota and more)&lt;/title&gt;&lt;/titles&gt;&lt;dates&gt;&lt;year&gt;2010&lt;/year&gt;&lt;/dates&gt;&lt;publisher&gt;Oxford University Press&lt;/publisher&gt;&lt;isbn&gt;019921896X&lt;/isbn&gt;&lt;urls&gt;&lt;/urls&gt;&lt;/record&gt;&lt;/Cite&gt;&lt;/EndNote&gt;</w:instrText>
      </w:r>
      <w:r w:rsidR="00355D66">
        <w:rPr>
          <w:rFonts w:ascii="Arial" w:hAnsi="Arial" w:cs="Arial"/>
          <w:sz w:val="24"/>
        </w:rPr>
        <w:fldChar w:fldCharType="separate"/>
      </w:r>
      <w:r w:rsidR="00355D66">
        <w:rPr>
          <w:rFonts w:ascii="Arial" w:hAnsi="Arial" w:cs="Arial"/>
          <w:noProof/>
          <w:sz w:val="24"/>
        </w:rPr>
        <w:t>(Cusumano, 2010)</w:t>
      </w:r>
      <w:r w:rsidR="00355D66">
        <w:rPr>
          <w:rFonts w:ascii="Arial" w:hAnsi="Arial" w:cs="Arial"/>
          <w:sz w:val="24"/>
        </w:rPr>
        <w:fldChar w:fldCharType="end"/>
      </w:r>
      <w:r w:rsidRPr="005548FF">
        <w:rPr>
          <w:rFonts w:ascii="Arial" w:hAnsi="Arial" w:cs="Arial"/>
          <w:sz w:val="24"/>
        </w:rPr>
        <w:t>. Therefore, the followers must ensure that they are not merely reacting to pioneers but indeed creating their own identity and product lines</w:t>
      </w:r>
      <w:r w:rsidR="00A33708" w:rsidRPr="005548FF">
        <w:rPr>
          <w:rFonts w:ascii="Arial" w:hAnsi="Arial" w:cs="Arial"/>
          <w:sz w:val="24"/>
        </w:rPr>
        <w:t>.</w:t>
      </w:r>
    </w:p>
    <w:p w14:paraId="7BD27C8B" w14:textId="77777777" w:rsidR="001E0764" w:rsidRPr="005548FF" w:rsidRDefault="001E0764" w:rsidP="001E0764">
      <w:pPr>
        <w:pStyle w:val="Heading1"/>
        <w:rPr>
          <w:rFonts w:eastAsiaTheme="minorHAnsi"/>
          <w:szCs w:val="22"/>
        </w:rPr>
      </w:pPr>
      <w:r>
        <w:t>Conclusion</w:t>
      </w:r>
    </w:p>
    <w:p w14:paraId="5500D9E1" w14:textId="77777777" w:rsidR="00EF6240" w:rsidRPr="001E0764" w:rsidRDefault="00C86477" w:rsidP="00A33708">
      <w:pPr>
        <w:spacing w:before="120" w:after="120" w:line="360" w:lineRule="auto"/>
        <w:jc w:val="both"/>
        <w:rPr>
          <w:rFonts w:ascii="Arial" w:hAnsi="Arial" w:cs="Arial"/>
          <w:sz w:val="24"/>
          <w:szCs w:val="24"/>
        </w:rPr>
      </w:pPr>
      <w:r>
        <w:rPr>
          <w:rFonts w:ascii="Arial" w:hAnsi="Arial" w:cs="Arial"/>
          <w:sz w:val="24"/>
          <w:szCs w:val="24"/>
        </w:rPr>
        <w:t>T</w:t>
      </w:r>
      <w:r w:rsidRPr="00C86477">
        <w:rPr>
          <w:rFonts w:ascii="Arial" w:hAnsi="Arial" w:cs="Arial"/>
          <w:sz w:val="24"/>
          <w:szCs w:val="24"/>
        </w:rPr>
        <w:t>he decision to be a pioneer or a follower at the product life cycle defines the long-run performance of the firm. Pioneers gain leadership advantages of being first movers and brand loyalty but have to constantly innovate to be ahead as the market evolves. Their strategies are, however, risky with high investment outlays and danger of new en</w:t>
      </w:r>
      <w:r w:rsidR="002E5CC0">
        <w:rPr>
          <w:rFonts w:ascii="Arial" w:hAnsi="Arial" w:cs="Arial"/>
          <w:sz w:val="24"/>
          <w:szCs w:val="24"/>
        </w:rPr>
        <w:t>try. Followers, however, minimis</w:t>
      </w:r>
      <w:r w:rsidRPr="00C86477">
        <w:rPr>
          <w:rFonts w:ascii="Arial" w:hAnsi="Arial" w:cs="Arial"/>
          <w:sz w:val="24"/>
          <w:szCs w:val="24"/>
        </w:rPr>
        <w:t>e these threats by imprinting on leaders and innovating existing products. Although followers can prosper based on differentiation, they are also forced to establish a distinctive market niche and to stagnation. Followers' long-term success depends on their capacity to innovate and to transform. Finally, irrespective of whether or not a company adopts a pioneer or follower policy, expansion can only be perpetuated by intense focus on innovation, market distinction, and intimate understanding of shifting consumer tastes.</w:t>
      </w:r>
    </w:p>
    <w:p w14:paraId="1CB37078" w14:textId="77777777" w:rsidR="00EF6240" w:rsidRDefault="00E77F5A" w:rsidP="00E77F5A">
      <w:pPr>
        <w:pStyle w:val="Heading1"/>
      </w:pPr>
      <w:r>
        <w:t>References</w:t>
      </w:r>
    </w:p>
    <w:p w14:paraId="2AEE7C5E" w14:textId="77777777" w:rsidR="00355D66" w:rsidRPr="00E77F5A" w:rsidRDefault="00EF6240"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fldChar w:fldCharType="begin"/>
      </w:r>
      <w:r w:rsidRPr="00E77F5A">
        <w:rPr>
          <w:rFonts w:ascii="Arial" w:hAnsi="Arial" w:cs="Arial"/>
          <w:sz w:val="24"/>
          <w:szCs w:val="24"/>
        </w:rPr>
        <w:instrText xml:space="preserve"> ADDIN EN.REFLIST </w:instrText>
      </w:r>
      <w:r w:rsidRPr="00E77F5A">
        <w:rPr>
          <w:rFonts w:ascii="Arial" w:hAnsi="Arial" w:cs="Arial"/>
          <w:sz w:val="24"/>
          <w:szCs w:val="24"/>
        </w:rPr>
        <w:fldChar w:fldCharType="separate"/>
      </w:r>
      <w:r w:rsidR="00355D66" w:rsidRPr="00E77F5A">
        <w:rPr>
          <w:rFonts w:ascii="Arial" w:hAnsi="Arial" w:cs="Arial"/>
          <w:sz w:val="24"/>
          <w:szCs w:val="24"/>
        </w:rPr>
        <w:t xml:space="preserve">Alliance, S. C. (2011). The mobile payments and NFC landscape: A US perspective. </w:t>
      </w:r>
      <w:r w:rsidR="00355D66" w:rsidRPr="00E77F5A">
        <w:rPr>
          <w:rFonts w:ascii="Arial" w:hAnsi="Arial" w:cs="Arial"/>
          <w:i/>
          <w:sz w:val="24"/>
          <w:szCs w:val="24"/>
        </w:rPr>
        <w:t>Smart Card Alliance</w:t>
      </w:r>
      <w:r w:rsidR="00355D66" w:rsidRPr="00E77F5A">
        <w:rPr>
          <w:rFonts w:ascii="Arial" w:hAnsi="Arial" w:cs="Arial"/>
          <w:sz w:val="24"/>
          <w:szCs w:val="24"/>
        </w:rPr>
        <w:t xml:space="preserve">, 1-53. </w:t>
      </w:r>
    </w:p>
    <w:p w14:paraId="1A25F4A6"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Bank, D. (2001). </w:t>
      </w:r>
      <w:r w:rsidRPr="00E77F5A">
        <w:rPr>
          <w:rFonts w:ascii="Arial" w:hAnsi="Arial" w:cs="Arial"/>
          <w:i/>
          <w:sz w:val="24"/>
          <w:szCs w:val="24"/>
        </w:rPr>
        <w:t>Breaking Windows: how Bill Gates fumbled the future of Microsoft</w:t>
      </w:r>
      <w:r w:rsidRPr="00E77F5A">
        <w:rPr>
          <w:rFonts w:ascii="Arial" w:hAnsi="Arial" w:cs="Arial"/>
          <w:sz w:val="24"/>
          <w:szCs w:val="24"/>
        </w:rPr>
        <w:t xml:space="preserve">. Simon and Schuster. </w:t>
      </w:r>
    </w:p>
    <w:p w14:paraId="3D273742"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Christensen, C. M. (2015). </w:t>
      </w:r>
      <w:r w:rsidRPr="00E77F5A">
        <w:rPr>
          <w:rFonts w:ascii="Arial" w:hAnsi="Arial" w:cs="Arial"/>
          <w:i/>
          <w:sz w:val="24"/>
          <w:szCs w:val="24"/>
        </w:rPr>
        <w:t>The innovator's dilemma: when new technologies cause great firms to fail</w:t>
      </w:r>
      <w:r w:rsidRPr="00E77F5A">
        <w:rPr>
          <w:rFonts w:ascii="Arial" w:hAnsi="Arial" w:cs="Arial"/>
          <w:sz w:val="24"/>
          <w:szCs w:val="24"/>
        </w:rPr>
        <w:t xml:space="preserve">. Harvard Business Review Press. </w:t>
      </w:r>
    </w:p>
    <w:p w14:paraId="247FA63C"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Clausen, J., &amp; Olteanu, Y. Tesla as a start-up in the automotive industry From candidate for bankruptcy to gamechanger. </w:t>
      </w:r>
    </w:p>
    <w:p w14:paraId="50191BAB"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lastRenderedPageBreak/>
        <w:t xml:space="preserve">Covin, J. G., Slevin, D. P., &amp; Heeley, M. B. (2000). Pioneers and followers: Competitive tactics, environment, and firm growth. </w:t>
      </w:r>
      <w:r w:rsidRPr="00E77F5A">
        <w:rPr>
          <w:rFonts w:ascii="Arial" w:hAnsi="Arial" w:cs="Arial"/>
          <w:i/>
          <w:sz w:val="24"/>
          <w:szCs w:val="24"/>
        </w:rPr>
        <w:t>Journal of business venturing</w:t>
      </w:r>
      <w:r w:rsidRPr="00E77F5A">
        <w:rPr>
          <w:rFonts w:ascii="Arial" w:hAnsi="Arial" w:cs="Arial"/>
          <w:sz w:val="24"/>
          <w:szCs w:val="24"/>
        </w:rPr>
        <w:t>,</w:t>
      </w:r>
      <w:r w:rsidRPr="00E77F5A">
        <w:rPr>
          <w:rFonts w:ascii="Arial" w:hAnsi="Arial" w:cs="Arial"/>
          <w:i/>
          <w:sz w:val="24"/>
          <w:szCs w:val="24"/>
        </w:rPr>
        <w:t xml:space="preserve"> 15</w:t>
      </w:r>
      <w:r w:rsidRPr="00E77F5A">
        <w:rPr>
          <w:rFonts w:ascii="Arial" w:hAnsi="Arial" w:cs="Arial"/>
          <w:sz w:val="24"/>
          <w:szCs w:val="24"/>
        </w:rPr>
        <w:t xml:space="preserve">(2), 175-210. </w:t>
      </w:r>
    </w:p>
    <w:p w14:paraId="6E476116"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Cusumano, M. A. (2010). </w:t>
      </w:r>
      <w:r w:rsidRPr="00E77F5A">
        <w:rPr>
          <w:rFonts w:ascii="Arial" w:hAnsi="Arial" w:cs="Arial"/>
          <w:i/>
          <w:sz w:val="24"/>
          <w:szCs w:val="24"/>
        </w:rPr>
        <w:t>Staying power: Six enduring principles for managing strategy and innovation in an uncertain world (lessons from Microsoft, Apple, Intel, Google, Toyota and more)</w:t>
      </w:r>
      <w:r w:rsidRPr="00E77F5A">
        <w:rPr>
          <w:rFonts w:ascii="Arial" w:hAnsi="Arial" w:cs="Arial"/>
          <w:sz w:val="24"/>
          <w:szCs w:val="24"/>
        </w:rPr>
        <w:t xml:space="preserve">. Oxford University Press. </w:t>
      </w:r>
    </w:p>
    <w:p w14:paraId="43646D65"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Grönroos, C., &amp; Leppänen, H. (2009). The hybrid consumer: Exploring the drivers of a new consumer behaviour type. </w:t>
      </w:r>
    </w:p>
    <w:p w14:paraId="7EC5A4D0"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Hahn, R., &amp; Singer, H. J. (2010). Why the iPhone won't last forever and what the government should do to promote its successor. </w:t>
      </w:r>
      <w:r w:rsidRPr="00E77F5A">
        <w:rPr>
          <w:rFonts w:ascii="Arial" w:hAnsi="Arial" w:cs="Arial"/>
          <w:i/>
          <w:sz w:val="24"/>
          <w:szCs w:val="24"/>
        </w:rPr>
        <w:t>J. on Telecomm. &amp; High Tech. L.</w:t>
      </w:r>
      <w:r w:rsidRPr="00E77F5A">
        <w:rPr>
          <w:rFonts w:ascii="Arial" w:hAnsi="Arial" w:cs="Arial"/>
          <w:sz w:val="24"/>
          <w:szCs w:val="24"/>
        </w:rPr>
        <w:t>,</w:t>
      </w:r>
      <w:r w:rsidRPr="00E77F5A">
        <w:rPr>
          <w:rFonts w:ascii="Arial" w:hAnsi="Arial" w:cs="Arial"/>
          <w:i/>
          <w:sz w:val="24"/>
          <w:szCs w:val="24"/>
        </w:rPr>
        <w:t xml:space="preserve"> 8</w:t>
      </w:r>
      <w:r w:rsidRPr="00E77F5A">
        <w:rPr>
          <w:rFonts w:ascii="Arial" w:hAnsi="Arial" w:cs="Arial"/>
          <w:sz w:val="24"/>
          <w:szCs w:val="24"/>
        </w:rPr>
        <w:t xml:space="preserve">, 313. </w:t>
      </w:r>
    </w:p>
    <w:p w14:paraId="7F50B9B1"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Kelly, S. (2016). The iPhone economy: how this innovative product affects global economy through its sales and add-on markets. </w:t>
      </w:r>
    </w:p>
    <w:p w14:paraId="56F0BE80"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Lieberman, M. B., &amp; Montgomery, D. B. (1990). </w:t>
      </w:r>
      <w:r w:rsidRPr="00E77F5A">
        <w:rPr>
          <w:rFonts w:ascii="Arial" w:hAnsi="Arial" w:cs="Arial"/>
          <w:i/>
          <w:sz w:val="24"/>
          <w:szCs w:val="24"/>
        </w:rPr>
        <w:t>To pioneer or follow?: strategy of entry order</w:t>
      </w:r>
      <w:r w:rsidRPr="00E77F5A">
        <w:rPr>
          <w:rFonts w:ascii="Arial" w:hAnsi="Arial" w:cs="Arial"/>
          <w:sz w:val="24"/>
          <w:szCs w:val="24"/>
        </w:rPr>
        <w:t xml:space="preserve">. Graduate School of Business, Stanford University. </w:t>
      </w:r>
    </w:p>
    <w:p w14:paraId="6CC9106F"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Porter, M. E. (2008). </w:t>
      </w:r>
      <w:r w:rsidRPr="00E77F5A">
        <w:rPr>
          <w:rFonts w:ascii="Arial" w:hAnsi="Arial" w:cs="Arial"/>
          <w:i/>
          <w:sz w:val="24"/>
          <w:szCs w:val="24"/>
        </w:rPr>
        <w:t>Competitive advantage: Creating and sustaining superior performance</w:t>
      </w:r>
      <w:r w:rsidRPr="00E77F5A">
        <w:rPr>
          <w:rFonts w:ascii="Arial" w:hAnsi="Arial" w:cs="Arial"/>
          <w:sz w:val="24"/>
          <w:szCs w:val="24"/>
        </w:rPr>
        <w:t xml:space="preserve">. simon and schuster. </w:t>
      </w:r>
    </w:p>
    <w:p w14:paraId="78886DA7"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Prahalad, C. K., &amp; Ramaswamy, V. (2004). </w:t>
      </w:r>
      <w:r w:rsidRPr="00E77F5A">
        <w:rPr>
          <w:rFonts w:ascii="Arial" w:hAnsi="Arial" w:cs="Arial"/>
          <w:i/>
          <w:sz w:val="24"/>
          <w:szCs w:val="24"/>
        </w:rPr>
        <w:t>The future of competition: Co-creating unique value with customers</w:t>
      </w:r>
      <w:r w:rsidRPr="00E77F5A">
        <w:rPr>
          <w:rFonts w:ascii="Arial" w:hAnsi="Arial" w:cs="Arial"/>
          <w:sz w:val="24"/>
          <w:szCs w:val="24"/>
        </w:rPr>
        <w:t xml:space="preserve">. Harvard Business Press. </w:t>
      </w:r>
    </w:p>
    <w:p w14:paraId="24E39F46"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Rossbach, C. J., Currey, J., Silberstein, M., Ray, B., &amp; Witchel, E. (2011). PTask: operating system abstractions to manage GPUs as compute devices. Proceedings of the Twenty-Third ACM Symposium on Operating Systems Principles, </w:t>
      </w:r>
    </w:p>
    <w:p w14:paraId="4B6200CB"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Schäfer, P. (2024). </w:t>
      </w:r>
      <w:r w:rsidRPr="00E77F5A">
        <w:rPr>
          <w:rFonts w:ascii="Arial" w:hAnsi="Arial" w:cs="Arial"/>
          <w:i/>
          <w:sz w:val="24"/>
          <w:szCs w:val="24"/>
        </w:rPr>
        <w:t>Conditions of the International Smartphone Market-Analysing the US Market</w:t>
      </w:r>
      <w:r w:rsidRPr="00E77F5A">
        <w:rPr>
          <w:rFonts w:ascii="Arial" w:hAnsi="Arial" w:cs="Arial"/>
          <w:sz w:val="24"/>
          <w:szCs w:val="24"/>
        </w:rPr>
        <w:t xml:space="preserve"> Universidade NOVA de Lisboa (Portugal)]. </w:t>
      </w:r>
    </w:p>
    <w:p w14:paraId="09C546B6"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Sterman, J. D., &amp; Wittenberg, J. (1999). Path dependence, competition, and succession in the dynamics of scientific revolution. </w:t>
      </w:r>
      <w:r w:rsidR="00BF0463">
        <w:rPr>
          <w:rFonts w:ascii="Arial" w:hAnsi="Arial" w:cs="Arial"/>
          <w:i/>
          <w:sz w:val="24"/>
          <w:szCs w:val="24"/>
        </w:rPr>
        <w:t>Organisation</w:t>
      </w:r>
      <w:r w:rsidRPr="00E77F5A">
        <w:rPr>
          <w:rFonts w:ascii="Arial" w:hAnsi="Arial" w:cs="Arial"/>
          <w:i/>
          <w:sz w:val="24"/>
          <w:szCs w:val="24"/>
        </w:rPr>
        <w:t xml:space="preserve"> Science</w:t>
      </w:r>
      <w:r w:rsidRPr="00E77F5A">
        <w:rPr>
          <w:rFonts w:ascii="Arial" w:hAnsi="Arial" w:cs="Arial"/>
          <w:sz w:val="24"/>
          <w:szCs w:val="24"/>
        </w:rPr>
        <w:t>,</w:t>
      </w:r>
      <w:r w:rsidRPr="00E77F5A">
        <w:rPr>
          <w:rFonts w:ascii="Arial" w:hAnsi="Arial" w:cs="Arial"/>
          <w:i/>
          <w:sz w:val="24"/>
          <w:szCs w:val="24"/>
        </w:rPr>
        <w:t xml:space="preserve"> 10</w:t>
      </w:r>
      <w:r w:rsidRPr="00E77F5A">
        <w:rPr>
          <w:rFonts w:ascii="Arial" w:hAnsi="Arial" w:cs="Arial"/>
          <w:sz w:val="24"/>
          <w:szCs w:val="24"/>
        </w:rPr>
        <w:t xml:space="preserve">(3), 322-341. </w:t>
      </w:r>
    </w:p>
    <w:p w14:paraId="70367B39"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Temple, C. C. (2010). A beggars' banquet?: copyright, compensation alternatives, and music in the digital economy. </w:t>
      </w:r>
    </w:p>
    <w:p w14:paraId="75222201" w14:textId="77777777" w:rsidR="00355D66" w:rsidRPr="00E77F5A" w:rsidRDefault="00355D66" w:rsidP="00E77F5A">
      <w:pPr>
        <w:pStyle w:val="EndNoteBibliography"/>
        <w:spacing w:after="0" w:line="360" w:lineRule="auto"/>
        <w:ind w:left="720" w:hanging="720"/>
        <w:rPr>
          <w:rFonts w:ascii="Arial" w:hAnsi="Arial" w:cs="Arial"/>
          <w:sz w:val="24"/>
          <w:szCs w:val="24"/>
        </w:rPr>
      </w:pPr>
      <w:r w:rsidRPr="00E77F5A">
        <w:rPr>
          <w:rFonts w:ascii="Arial" w:hAnsi="Arial" w:cs="Arial"/>
          <w:sz w:val="24"/>
          <w:szCs w:val="24"/>
        </w:rPr>
        <w:t xml:space="preserve">Van Agtmael, A. (2007). </w:t>
      </w:r>
      <w:r w:rsidRPr="00E77F5A">
        <w:rPr>
          <w:rFonts w:ascii="Arial" w:hAnsi="Arial" w:cs="Arial"/>
          <w:i/>
          <w:sz w:val="24"/>
          <w:szCs w:val="24"/>
        </w:rPr>
        <w:t>The emerging markets century: How a new breed of world-class companies is overtaking the world</w:t>
      </w:r>
      <w:r w:rsidRPr="00E77F5A">
        <w:rPr>
          <w:rFonts w:ascii="Arial" w:hAnsi="Arial" w:cs="Arial"/>
          <w:sz w:val="24"/>
          <w:szCs w:val="24"/>
        </w:rPr>
        <w:t xml:space="preserve">. Simon and Schuster. </w:t>
      </w:r>
    </w:p>
    <w:p w14:paraId="397F7A92" w14:textId="77777777" w:rsidR="00355D66" w:rsidRPr="00E77F5A" w:rsidRDefault="00355D66" w:rsidP="00E77F5A">
      <w:pPr>
        <w:pStyle w:val="EndNoteBibliography"/>
        <w:spacing w:line="360" w:lineRule="auto"/>
        <w:ind w:left="720" w:hanging="720"/>
        <w:rPr>
          <w:rFonts w:ascii="Arial" w:hAnsi="Arial" w:cs="Arial"/>
          <w:sz w:val="24"/>
          <w:szCs w:val="24"/>
        </w:rPr>
      </w:pPr>
      <w:r w:rsidRPr="00E77F5A">
        <w:rPr>
          <w:rFonts w:ascii="Arial" w:hAnsi="Arial" w:cs="Arial"/>
          <w:sz w:val="24"/>
          <w:szCs w:val="24"/>
        </w:rPr>
        <w:lastRenderedPageBreak/>
        <w:t xml:space="preserve">Xie, F. T., Donthu, N., &amp; Johnston, W. J. (2021). Beyond first or late mover advantages: timed mover advantage. </w:t>
      </w:r>
      <w:r w:rsidRPr="00E77F5A">
        <w:rPr>
          <w:rFonts w:ascii="Arial" w:hAnsi="Arial" w:cs="Arial"/>
          <w:i/>
          <w:sz w:val="24"/>
          <w:szCs w:val="24"/>
        </w:rPr>
        <w:t>Journal of Business &amp; Industrial Marketing</w:t>
      </w:r>
      <w:r w:rsidRPr="00E77F5A">
        <w:rPr>
          <w:rFonts w:ascii="Arial" w:hAnsi="Arial" w:cs="Arial"/>
          <w:sz w:val="24"/>
          <w:szCs w:val="24"/>
        </w:rPr>
        <w:t>,</w:t>
      </w:r>
      <w:r w:rsidRPr="00E77F5A">
        <w:rPr>
          <w:rFonts w:ascii="Arial" w:hAnsi="Arial" w:cs="Arial"/>
          <w:i/>
          <w:sz w:val="24"/>
          <w:szCs w:val="24"/>
        </w:rPr>
        <w:t xml:space="preserve"> 36</w:t>
      </w:r>
      <w:r w:rsidRPr="00E77F5A">
        <w:rPr>
          <w:rFonts w:ascii="Arial" w:hAnsi="Arial" w:cs="Arial"/>
          <w:sz w:val="24"/>
          <w:szCs w:val="24"/>
        </w:rPr>
        <w:t xml:space="preserve">(7), 1163-1175. </w:t>
      </w:r>
    </w:p>
    <w:p w14:paraId="6A8E16C4" w14:textId="77777777" w:rsidR="00EF5F14" w:rsidRPr="00E77F5A" w:rsidRDefault="00EF6240" w:rsidP="00E77F5A">
      <w:pPr>
        <w:spacing w:before="120" w:after="120" w:line="360" w:lineRule="auto"/>
        <w:jc w:val="both"/>
        <w:rPr>
          <w:rFonts w:ascii="Arial" w:hAnsi="Arial" w:cs="Arial"/>
          <w:sz w:val="24"/>
          <w:szCs w:val="24"/>
        </w:rPr>
      </w:pPr>
      <w:r w:rsidRPr="00E77F5A">
        <w:rPr>
          <w:rFonts w:ascii="Arial" w:hAnsi="Arial" w:cs="Arial"/>
          <w:sz w:val="24"/>
          <w:szCs w:val="24"/>
        </w:rPr>
        <w:fldChar w:fldCharType="end"/>
      </w:r>
    </w:p>
    <w:sectPr w:rsidR="00EF5F14" w:rsidRPr="00E77F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9D06E5"/>
    <w:multiLevelType w:val="multilevel"/>
    <w:tmpl w:val="79C85B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3A2491"/>
    <w:multiLevelType w:val="multilevel"/>
    <w:tmpl w:val="EA1487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FE224C"/>
    <w:multiLevelType w:val="multilevel"/>
    <w:tmpl w:val="E3304B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428249">
    <w:abstractNumId w:val="1"/>
  </w:num>
  <w:num w:numId="2" w16cid:durableId="193036049">
    <w:abstractNumId w:val="0"/>
  </w:num>
  <w:num w:numId="3" w16cid:durableId="2476646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ve29p2v7eap0ge0ff3x95fqwf2x52505dxs&quot;&gt;My EndNote Library&lt;record-ids&gt;&lt;item&gt;559&lt;/item&gt;&lt;item&gt;560&lt;/item&gt;&lt;item&gt;561&lt;/item&gt;&lt;item&gt;562&lt;/item&gt;&lt;item&gt;563&lt;/item&gt;&lt;item&gt;564&lt;/item&gt;&lt;item&gt;565&lt;/item&gt;&lt;item&gt;566&lt;/item&gt;&lt;item&gt;567&lt;/item&gt;&lt;/record-ids&gt;&lt;/item&gt;&lt;/Libraries&gt;"/>
  </w:docVars>
  <w:rsids>
    <w:rsidRoot w:val="00F66BFC"/>
    <w:rsid w:val="00036E87"/>
    <w:rsid w:val="000725E9"/>
    <w:rsid w:val="00097407"/>
    <w:rsid w:val="001E0764"/>
    <w:rsid w:val="001E7DF6"/>
    <w:rsid w:val="00224291"/>
    <w:rsid w:val="002E5CC0"/>
    <w:rsid w:val="002F1DD8"/>
    <w:rsid w:val="002F3A02"/>
    <w:rsid w:val="00355D66"/>
    <w:rsid w:val="0036147C"/>
    <w:rsid w:val="003D7BF3"/>
    <w:rsid w:val="004078CD"/>
    <w:rsid w:val="004E62CE"/>
    <w:rsid w:val="005368EC"/>
    <w:rsid w:val="005548FF"/>
    <w:rsid w:val="005C4D07"/>
    <w:rsid w:val="005E1FD8"/>
    <w:rsid w:val="0062451D"/>
    <w:rsid w:val="00682BF6"/>
    <w:rsid w:val="006D3FC5"/>
    <w:rsid w:val="006E5B4A"/>
    <w:rsid w:val="006F15D0"/>
    <w:rsid w:val="0078360E"/>
    <w:rsid w:val="00885D31"/>
    <w:rsid w:val="008A5B2B"/>
    <w:rsid w:val="009003DC"/>
    <w:rsid w:val="00A33708"/>
    <w:rsid w:val="00A87FA9"/>
    <w:rsid w:val="00AE0C08"/>
    <w:rsid w:val="00B20F80"/>
    <w:rsid w:val="00B77042"/>
    <w:rsid w:val="00BB161E"/>
    <w:rsid w:val="00BC3ECC"/>
    <w:rsid w:val="00BE1B6A"/>
    <w:rsid w:val="00BF0463"/>
    <w:rsid w:val="00C26594"/>
    <w:rsid w:val="00C54437"/>
    <w:rsid w:val="00C72EFF"/>
    <w:rsid w:val="00C86477"/>
    <w:rsid w:val="00CE38EF"/>
    <w:rsid w:val="00CF3C27"/>
    <w:rsid w:val="00D50129"/>
    <w:rsid w:val="00D62532"/>
    <w:rsid w:val="00E54477"/>
    <w:rsid w:val="00E77F5A"/>
    <w:rsid w:val="00E87BC8"/>
    <w:rsid w:val="00EB1416"/>
    <w:rsid w:val="00EF5F14"/>
    <w:rsid w:val="00EF6240"/>
    <w:rsid w:val="00F25B00"/>
    <w:rsid w:val="00F66BFC"/>
    <w:rsid w:val="00FF2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B9CF6"/>
  <w15:chartTrackingRefBased/>
  <w15:docId w15:val="{1B1459D8-9A30-4B9A-A5F9-C162DC675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D31"/>
    <w:pPr>
      <w:keepNext/>
      <w:keepLines/>
      <w:spacing w:before="240" w:after="0"/>
      <w:outlineLvl w:val="0"/>
    </w:pPr>
    <w:rPr>
      <w:rFonts w:ascii="Arial" w:eastAsiaTheme="majorEastAsia" w:hAnsi="Arial" w:cstheme="majorBidi"/>
      <w:b/>
      <w:color w:val="2E74B5" w:themeColor="accent1" w:themeShade="BF"/>
      <w:sz w:val="28"/>
      <w:szCs w:val="32"/>
    </w:rPr>
  </w:style>
  <w:style w:type="paragraph" w:styleId="Heading3">
    <w:name w:val="heading 3"/>
    <w:basedOn w:val="Normal"/>
    <w:link w:val="Heading3Char"/>
    <w:uiPriority w:val="9"/>
    <w:qFormat/>
    <w:rsid w:val="00F66B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66BF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66BF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66BFC"/>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F66BFC"/>
    <w:rPr>
      <w:b/>
      <w:bCs/>
    </w:rPr>
  </w:style>
  <w:style w:type="character" w:customStyle="1" w:styleId="Heading1Char">
    <w:name w:val="Heading 1 Char"/>
    <w:basedOn w:val="DefaultParagraphFont"/>
    <w:link w:val="Heading1"/>
    <w:uiPriority w:val="9"/>
    <w:rsid w:val="00885D31"/>
    <w:rPr>
      <w:rFonts w:ascii="Arial" w:eastAsiaTheme="majorEastAsia" w:hAnsi="Arial" w:cstheme="majorBidi"/>
      <w:b/>
      <w:color w:val="2E74B5" w:themeColor="accent1" w:themeShade="BF"/>
      <w:sz w:val="28"/>
      <w:szCs w:val="32"/>
    </w:rPr>
  </w:style>
  <w:style w:type="paragraph" w:customStyle="1" w:styleId="EndNoteBibliographyTitle">
    <w:name w:val="EndNote Bibliography Title"/>
    <w:basedOn w:val="Normal"/>
    <w:link w:val="EndNoteBibliographyTitleChar"/>
    <w:rsid w:val="00EF6240"/>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EF6240"/>
    <w:rPr>
      <w:rFonts w:ascii="Calibri" w:hAnsi="Calibri" w:cs="Calibri"/>
      <w:noProof/>
      <w:lang w:val="en-US"/>
    </w:rPr>
  </w:style>
  <w:style w:type="paragraph" w:customStyle="1" w:styleId="EndNoteBibliography">
    <w:name w:val="EndNote Bibliography"/>
    <w:basedOn w:val="Normal"/>
    <w:link w:val="EndNoteBibliographyChar"/>
    <w:rsid w:val="00EF6240"/>
    <w:pPr>
      <w:spacing w:line="240" w:lineRule="auto"/>
      <w:jc w:val="both"/>
    </w:pPr>
    <w:rPr>
      <w:rFonts w:ascii="Calibri" w:hAnsi="Calibri" w:cs="Calibri"/>
      <w:noProof/>
      <w:lang w:val="en-US"/>
    </w:rPr>
  </w:style>
  <w:style w:type="character" w:customStyle="1" w:styleId="EndNoteBibliographyChar">
    <w:name w:val="EndNote Bibliography Char"/>
    <w:basedOn w:val="DefaultParagraphFont"/>
    <w:link w:val="EndNoteBibliography"/>
    <w:rsid w:val="00EF6240"/>
    <w:rPr>
      <w:rFonts w:ascii="Calibri" w:hAnsi="Calibri" w:cs="Calibri"/>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007849">
      <w:bodyDiv w:val="1"/>
      <w:marLeft w:val="0"/>
      <w:marRight w:val="0"/>
      <w:marTop w:val="0"/>
      <w:marBottom w:val="0"/>
      <w:divBdr>
        <w:top w:val="none" w:sz="0" w:space="0" w:color="auto"/>
        <w:left w:val="none" w:sz="0" w:space="0" w:color="auto"/>
        <w:bottom w:val="none" w:sz="0" w:space="0" w:color="auto"/>
        <w:right w:val="none" w:sz="0" w:space="0" w:color="auto"/>
      </w:divBdr>
    </w:div>
    <w:div w:id="1526744557">
      <w:bodyDiv w:val="1"/>
      <w:marLeft w:val="0"/>
      <w:marRight w:val="0"/>
      <w:marTop w:val="0"/>
      <w:marBottom w:val="0"/>
      <w:divBdr>
        <w:top w:val="none" w:sz="0" w:space="0" w:color="auto"/>
        <w:left w:val="none" w:sz="0" w:space="0" w:color="auto"/>
        <w:bottom w:val="none" w:sz="0" w:space="0" w:color="auto"/>
        <w:right w:val="none" w:sz="0" w:space="0" w:color="auto"/>
      </w:divBdr>
    </w:div>
    <w:div w:id="1669364897">
      <w:bodyDiv w:val="1"/>
      <w:marLeft w:val="0"/>
      <w:marRight w:val="0"/>
      <w:marTop w:val="0"/>
      <w:marBottom w:val="0"/>
      <w:divBdr>
        <w:top w:val="none" w:sz="0" w:space="0" w:color="auto"/>
        <w:left w:val="none" w:sz="0" w:space="0" w:color="auto"/>
        <w:bottom w:val="none" w:sz="0" w:space="0" w:color="auto"/>
        <w:right w:val="none" w:sz="0" w:space="0" w:color="auto"/>
      </w:divBdr>
    </w:div>
    <w:div w:id="1770663979">
      <w:bodyDiv w:val="1"/>
      <w:marLeft w:val="0"/>
      <w:marRight w:val="0"/>
      <w:marTop w:val="0"/>
      <w:marBottom w:val="0"/>
      <w:divBdr>
        <w:top w:val="none" w:sz="0" w:space="0" w:color="auto"/>
        <w:left w:val="none" w:sz="0" w:space="0" w:color="auto"/>
        <w:bottom w:val="none" w:sz="0" w:space="0" w:color="auto"/>
        <w:right w:val="none" w:sz="0" w:space="0" w:color="auto"/>
      </w:divBdr>
    </w:div>
    <w:div w:id="2061199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10</Pages>
  <Words>4949</Words>
  <Characters>28214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Government College University Faisalabad</Company>
  <LinksUpToDate>false</LinksUpToDate>
  <CharactersWithSpaces>33097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dc:creator>
  <cp:keywords/>
  <dc:description/>
  <cp:lastModifiedBy>Sohel Shaikh</cp:lastModifiedBy>
  <cp:revision>49</cp:revision>
  <dcterms:created xsi:type="dcterms:W3CDTF">2025-03-27T00:34:00Z</dcterms:created>
  <dcterms:modified xsi:type="dcterms:W3CDTF">2025-03-28T05:48:00Z</dcterms:modified>
</cp:coreProperties>
</file>