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4326B3" w14:textId="77777777" w:rsidR="008B06D3" w:rsidRPr="00D94A0B" w:rsidRDefault="008B06D3" w:rsidP="008B06D3">
      <w:pPr>
        <w:spacing w:line="360" w:lineRule="auto"/>
        <w:jc w:val="center"/>
      </w:pPr>
      <w:r w:rsidRPr="00D94A0B">
        <w:rPr>
          <w:noProof/>
          <w:lang w:val="en-US" w:eastAsia="en-US"/>
        </w:rPr>
        <w:drawing>
          <wp:inline distT="0" distB="0" distL="0" distR="0" wp14:anchorId="59172D4F" wp14:editId="6932264F">
            <wp:extent cx="2489200" cy="1040358"/>
            <wp:effectExtent l="0" t="0" r="6350" b="7620"/>
            <wp:docPr id="125727846" name="Picture 3" descr="University of Wales Trinity Saint David launches new digital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5727846" name="Picture 1" descr="University of Wales Trinity Saint David launches new digital ..."/>
                    <pic:cNvPicPr>
                      <a:picLocks noChangeAspect="1" noChangeArrowheads="1"/>
                    </pic:cNvPicPr>
                  </pic:nvPicPr>
                  <pic:blipFill>
                    <a:blip r:embed="rId8" cstate="print">
                      <a:extLst>
                        <a:ext uri="{28A0092B-C50C-407E-A947-70E740481C1C}">
                          <a14:useLocalDpi xmlns:a14="http://schemas.microsoft.com/office/drawing/2010/main" val="0"/>
                        </a:ext>
                      </a:extLst>
                    </a:blip>
                    <a:stretch>
                      <a:fillRect/>
                    </a:stretch>
                  </pic:blipFill>
                  <pic:spPr bwMode="auto">
                    <a:xfrm>
                      <a:off x="0" y="0"/>
                      <a:ext cx="2547502" cy="1064725"/>
                    </a:xfrm>
                    <a:prstGeom prst="rect">
                      <a:avLst/>
                    </a:prstGeom>
                    <a:noFill/>
                    <a:ln>
                      <a:noFill/>
                    </a:ln>
                  </pic:spPr>
                </pic:pic>
              </a:graphicData>
            </a:graphic>
          </wp:inline>
        </w:drawing>
      </w:r>
    </w:p>
    <w:p w14:paraId="5D680959" w14:textId="0AB0EF28" w:rsidR="008B06D3" w:rsidRPr="00D94A0B" w:rsidRDefault="008B06D3" w:rsidP="008B06D3">
      <w:pPr>
        <w:spacing w:line="360" w:lineRule="auto"/>
        <w:ind w:left="720"/>
        <w:jc w:val="center"/>
        <w:rPr>
          <w:rFonts w:cs="Arial"/>
        </w:rPr>
      </w:pPr>
      <w:r w:rsidRPr="00D94A0B">
        <w:rPr>
          <w:rFonts w:cs="Arial"/>
        </w:rPr>
        <w:t xml:space="preserve">Module name: </w:t>
      </w:r>
      <w:r w:rsidR="00B15077" w:rsidRPr="00D94A0B">
        <w:rPr>
          <w:rFonts w:cs="Arial"/>
        </w:rPr>
        <w:t xml:space="preserve">Introduction to Public </w:t>
      </w:r>
      <w:r w:rsidR="00D51F8C" w:rsidRPr="00D94A0B">
        <w:rPr>
          <w:rFonts w:cs="Arial"/>
        </w:rPr>
        <w:t>Health Module</w:t>
      </w:r>
      <w:r w:rsidRPr="00D94A0B">
        <w:rPr>
          <w:rFonts w:cs="Arial"/>
        </w:rPr>
        <w:t xml:space="preserve"> code: </w:t>
      </w:r>
      <w:r w:rsidR="00B15077" w:rsidRPr="00D94A0B">
        <w:rPr>
          <w:rFonts w:cs="Arial"/>
        </w:rPr>
        <w:t>LCHS4008</w:t>
      </w:r>
    </w:p>
    <w:p w14:paraId="7B3B782A" w14:textId="77777777" w:rsidR="008B06D3" w:rsidRPr="00D94A0B" w:rsidRDefault="008B06D3" w:rsidP="008B06D3">
      <w:pPr>
        <w:spacing w:line="360" w:lineRule="auto"/>
        <w:ind w:left="360"/>
        <w:jc w:val="center"/>
        <w:rPr>
          <w:rFonts w:cs="Arial"/>
        </w:rPr>
      </w:pPr>
      <w:r w:rsidRPr="00D94A0B">
        <w:rPr>
          <w:rFonts w:cs="Arial"/>
        </w:rPr>
        <w:t>Student name: Francisa Ie</w:t>
      </w:r>
      <w:r w:rsidRPr="00D94A0B">
        <w:rPr>
          <w:rFonts w:cs="Arial"/>
        </w:rPr>
        <w:br/>
        <w:t xml:space="preserve"> Student ID: 2527919</w:t>
      </w:r>
    </w:p>
    <w:p w14:paraId="337DE57C" w14:textId="68E2A566" w:rsidR="008B06D3" w:rsidRPr="00D94A0B" w:rsidRDefault="008B06D3" w:rsidP="008B06D3">
      <w:pPr>
        <w:spacing w:line="360" w:lineRule="auto"/>
        <w:ind w:left="360"/>
        <w:jc w:val="center"/>
        <w:rPr>
          <w:rFonts w:cs="Arial"/>
        </w:rPr>
      </w:pPr>
      <w:r w:rsidRPr="00D94A0B">
        <w:rPr>
          <w:rFonts w:cs="Arial"/>
        </w:rPr>
        <w:t xml:space="preserve">Lecturer's name: </w:t>
      </w:r>
      <w:r w:rsidR="00B15077" w:rsidRPr="00D94A0B">
        <w:rPr>
          <w:rFonts w:cs="Arial"/>
        </w:rPr>
        <w:t xml:space="preserve">Dr </w:t>
      </w:r>
      <w:r w:rsidR="00B3507E" w:rsidRPr="00D94A0B">
        <w:rPr>
          <w:rFonts w:cs="Arial"/>
        </w:rPr>
        <w:t>Tonia Bab</w:t>
      </w:r>
      <w:r w:rsidR="00CB22E6" w:rsidRPr="00D94A0B">
        <w:rPr>
          <w:rFonts w:cs="Arial"/>
        </w:rPr>
        <w:t>a</w:t>
      </w:r>
      <w:r w:rsidR="00B3507E" w:rsidRPr="00D94A0B">
        <w:rPr>
          <w:rFonts w:cs="Arial"/>
        </w:rPr>
        <w:t>lola</w:t>
      </w:r>
    </w:p>
    <w:p w14:paraId="205A816F" w14:textId="77777777" w:rsidR="00B15077" w:rsidRPr="00D94A0B" w:rsidRDefault="00B15077" w:rsidP="00B15077">
      <w:pPr>
        <w:jc w:val="center"/>
        <w:rPr>
          <w:rFonts w:cs="Arial"/>
          <w:b/>
          <w:sz w:val="40"/>
          <w:szCs w:val="40"/>
        </w:rPr>
      </w:pPr>
      <w:r w:rsidRPr="00D94A0B">
        <w:rPr>
          <w:rFonts w:cs="Arial"/>
          <w:b/>
          <w:sz w:val="40"/>
          <w:szCs w:val="40"/>
        </w:rPr>
        <w:t>Coronary Heart Disease:</w:t>
      </w:r>
    </w:p>
    <w:p w14:paraId="4B24460E" w14:textId="77777777" w:rsidR="00B15077" w:rsidRPr="00D94A0B" w:rsidRDefault="00B15077" w:rsidP="00B15077">
      <w:pPr>
        <w:jc w:val="center"/>
        <w:rPr>
          <w:rFonts w:cs="Arial"/>
          <w:b/>
          <w:sz w:val="40"/>
          <w:szCs w:val="40"/>
        </w:rPr>
      </w:pPr>
      <w:r w:rsidRPr="00D94A0B">
        <w:rPr>
          <w:rFonts w:cs="Arial"/>
          <w:b/>
          <w:sz w:val="40"/>
          <w:szCs w:val="40"/>
        </w:rPr>
        <w:t>A Public Health Report</w:t>
      </w:r>
    </w:p>
    <w:p w14:paraId="18BDC23E" w14:textId="49A072E8" w:rsidR="008B06D3" w:rsidRPr="00D94A0B" w:rsidRDefault="00B15077" w:rsidP="00B15077">
      <w:pPr>
        <w:jc w:val="center"/>
      </w:pPr>
      <w:r w:rsidRPr="00D94A0B">
        <w:rPr>
          <w:rFonts w:cs="Arial"/>
          <w:b/>
          <w:sz w:val="40"/>
          <w:szCs w:val="40"/>
        </w:rPr>
        <w:t>Component 2</w:t>
      </w:r>
      <w:r w:rsidR="008B06D3" w:rsidRPr="00D94A0B">
        <w:br w:type="page"/>
      </w:r>
    </w:p>
    <w:sdt>
      <w:sdtPr>
        <w:rPr>
          <w:rFonts w:ascii="Calibri" w:eastAsia="Calibri" w:hAnsi="Calibri" w:cs="Calibri"/>
          <w:color w:val="auto"/>
          <w:sz w:val="22"/>
          <w:szCs w:val="22"/>
          <w:lang w:val="en-GB" w:eastAsia="en-GB"/>
        </w:rPr>
        <w:id w:val="-552309535"/>
        <w:docPartObj>
          <w:docPartGallery w:val="Table of Contents"/>
          <w:docPartUnique/>
        </w:docPartObj>
      </w:sdtPr>
      <w:sdtEndPr>
        <w:rPr>
          <w:b/>
          <w:bCs/>
          <w:noProof/>
        </w:rPr>
      </w:sdtEndPr>
      <w:sdtContent>
        <w:p w14:paraId="126C8FF8" w14:textId="43F49325" w:rsidR="00E73509" w:rsidRPr="00D94A0B" w:rsidRDefault="00E73509" w:rsidP="00495115">
          <w:pPr>
            <w:pStyle w:val="TOCHeading"/>
            <w:spacing w:before="0" w:line="360" w:lineRule="auto"/>
            <w:jc w:val="center"/>
            <w:rPr>
              <w:rFonts w:asciiTheme="minorBidi" w:hAnsiTheme="minorBidi" w:cstheme="minorBidi"/>
              <w:color w:val="auto"/>
              <w:sz w:val="22"/>
              <w:szCs w:val="22"/>
            </w:rPr>
          </w:pPr>
          <w:r w:rsidRPr="00D94A0B">
            <w:rPr>
              <w:rFonts w:asciiTheme="minorBidi" w:hAnsiTheme="minorBidi" w:cstheme="minorBidi"/>
              <w:color w:val="auto"/>
              <w:sz w:val="22"/>
              <w:szCs w:val="22"/>
            </w:rPr>
            <w:t>Table of Contents</w:t>
          </w:r>
        </w:p>
        <w:p w14:paraId="585390E9" w14:textId="1C9B54F9" w:rsidR="00E73509" w:rsidRPr="00D94A0B" w:rsidRDefault="00E73509" w:rsidP="00495115">
          <w:pPr>
            <w:pStyle w:val="TOC1"/>
            <w:tabs>
              <w:tab w:val="right" w:leader="dot" w:pos="9628"/>
            </w:tabs>
            <w:spacing w:after="0" w:line="360" w:lineRule="auto"/>
            <w:rPr>
              <w:rFonts w:asciiTheme="minorBidi" w:hAnsiTheme="minorBidi" w:cstheme="minorBidi"/>
              <w:noProof/>
            </w:rPr>
          </w:pPr>
          <w:r w:rsidRPr="00D94A0B">
            <w:rPr>
              <w:rFonts w:asciiTheme="minorBidi" w:hAnsiTheme="minorBidi" w:cstheme="minorBidi"/>
            </w:rPr>
            <w:fldChar w:fldCharType="begin"/>
          </w:r>
          <w:r w:rsidRPr="00D94A0B">
            <w:rPr>
              <w:rFonts w:asciiTheme="minorBidi" w:hAnsiTheme="minorBidi" w:cstheme="minorBidi"/>
            </w:rPr>
            <w:instrText xml:space="preserve"> TOC \o "1-3" \h \z \u </w:instrText>
          </w:r>
          <w:r w:rsidRPr="00D94A0B">
            <w:rPr>
              <w:rFonts w:asciiTheme="minorBidi" w:hAnsiTheme="minorBidi" w:cstheme="minorBidi"/>
            </w:rPr>
            <w:fldChar w:fldCharType="separate"/>
          </w:r>
          <w:hyperlink w:anchor="_Toc235791229" w:history="1">
            <w:r w:rsidRPr="00D94A0B">
              <w:rPr>
                <w:rStyle w:val="Hyperlink"/>
                <w:rFonts w:asciiTheme="minorBidi" w:hAnsiTheme="minorBidi" w:cstheme="minorBidi"/>
                <w:noProof/>
              </w:rPr>
              <w:t>1. Introduction</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_Toc235791229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3</w:t>
            </w:r>
            <w:r w:rsidRPr="00D94A0B">
              <w:rPr>
                <w:rFonts w:asciiTheme="minorBidi" w:hAnsiTheme="minorBidi" w:cstheme="minorBidi"/>
                <w:noProof/>
                <w:webHidden/>
              </w:rPr>
              <w:fldChar w:fldCharType="end"/>
            </w:r>
          </w:hyperlink>
        </w:p>
        <w:p w14:paraId="18EB183C" w14:textId="3AC62AF7" w:rsidR="00E73509" w:rsidRPr="00D94A0B" w:rsidRDefault="00E73509" w:rsidP="00495115">
          <w:pPr>
            <w:pStyle w:val="TOC1"/>
            <w:tabs>
              <w:tab w:val="right" w:leader="dot" w:pos="9628"/>
            </w:tabs>
            <w:spacing w:after="0" w:line="360" w:lineRule="auto"/>
            <w:rPr>
              <w:rFonts w:asciiTheme="minorBidi" w:hAnsiTheme="minorBidi" w:cstheme="minorBidi"/>
              <w:noProof/>
            </w:rPr>
          </w:pPr>
          <w:hyperlink w:anchor="_Toc235791230" w:history="1">
            <w:r w:rsidRPr="00D94A0B">
              <w:rPr>
                <w:rStyle w:val="Hyperlink"/>
                <w:rFonts w:asciiTheme="minorBidi" w:hAnsiTheme="minorBidi" w:cstheme="minorBidi"/>
                <w:noProof/>
              </w:rPr>
              <w:t>2. Main Body</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_Toc235791230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3</w:t>
            </w:r>
            <w:r w:rsidRPr="00D94A0B">
              <w:rPr>
                <w:rFonts w:asciiTheme="minorBidi" w:hAnsiTheme="minorBidi" w:cstheme="minorBidi"/>
                <w:noProof/>
                <w:webHidden/>
              </w:rPr>
              <w:fldChar w:fldCharType="end"/>
            </w:r>
          </w:hyperlink>
        </w:p>
        <w:p w14:paraId="0E0D6441" w14:textId="2D6A4168" w:rsidR="00E73509" w:rsidRPr="00D94A0B" w:rsidRDefault="00E73509" w:rsidP="00495115">
          <w:pPr>
            <w:pStyle w:val="TOC2"/>
            <w:tabs>
              <w:tab w:val="right" w:leader="dot" w:pos="9628"/>
            </w:tabs>
            <w:spacing w:after="0" w:line="360" w:lineRule="auto"/>
            <w:rPr>
              <w:rFonts w:asciiTheme="minorBidi" w:hAnsiTheme="minorBidi" w:cstheme="minorBidi"/>
              <w:noProof/>
            </w:rPr>
          </w:pPr>
          <w:hyperlink w:anchor="_Toc235791231" w:history="1">
            <w:r w:rsidRPr="00D94A0B">
              <w:rPr>
                <w:rStyle w:val="Hyperlink"/>
                <w:rFonts w:asciiTheme="minorBidi" w:hAnsiTheme="minorBidi" w:cstheme="minorBidi"/>
                <w:noProof/>
              </w:rPr>
              <w:t>2.1 Approaches to Measuring and Monitoring Coronary Heart Disease</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_Toc235791231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3</w:t>
            </w:r>
            <w:r w:rsidRPr="00D94A0B">
              <w:rPr>
                <w:rFonts w:asciiTheme="minorBidi" w:hAnsiTheme="minorBidi" w:cstheme="minorBidi"/>
                <w:noProof/>
                <w:webHidden/>
              </w:rPr>
              <w:fldChar w:fldCharType="end"/>
            </w:r>
          </w:hyperlink>
        </w:p>
        <w:p w14:paraId="32CBDCC4" w14:textId="47121949" w:rsidR="00E73509" w:rsidRPr="00D94A0B" w:rsidRDefault="00E73509" w:rsidP="00495115">
          <w:pPr>
            <w:pStyle w:val="TOC2"/>
            <w:tabs>
              <w:tab w:val="right" w:leader="dot" w:pos="9628"/>
            </w:tabs>
            <w:spacing w:after="0" w:line="360" w:lineRule="auto"/>
            <w:rPr>
              <w:rFonts w:asciiTheme="minorBidi" w:hAnsiTheme="minorBidi" w:cstheme="minorBidi"/>
              <w:noProof/>
            </w:rPr>
          </w:pPr>
          <w:hyperlink w:anchor="_Toc235791232" w:history="1">
            <w:r w:rsidRPr="00D94A0B">
              <w:rPr>
                <w:rStyle w:val="Hyperlink"/>
                <w:rFonts w:asciiTheme="minorBidi" w:hAnsiTheme="minorBidi" w:cstheme="minorBidi"/>
                <w:noProof/>
              </w:rPr>
              <w:t>2.2 Control of Coronary Heart Disease</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_Toc235791232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4</w:t>
            </w:r>
            <w:r w:rsidRPr="00D94A0B">
              <w:rPr>
                <w:rFonts w:asciiTheme="minorBidi" w:hAnsiTheme="minorBidi" w:cstheme="minorBidi"/>
                <w:noProof/>
                <w:webHidden/>
              </w:rPr>
              <w:fldChar w:fldCharType="end"/>
            </w:r>
          </w:hyperlink>
        </w:p>
        <w:p w14:paraId="51E12C29" w14:textId="4CAA6F7B" w:rsidR="00E73509" w:rsidRPr="00D94A0B" w:rsidRDefault="00E73509" w:rsidP="00495115">
          <w:pPr>
            <w:pStyle w:val="TOC2"/>
            <w:tabs>
              <w:tab w:val="right" w:leader="dot" w:pos="9628"/>
            </w:tabs>
            <w:spacing w:after="0" w:line="360" w:lineRule="auto"/>
            <w:rPr>
              <w:rFonts w:asciiTheme="minorBidi" w:hAnsiTheme="minorBidi" w:cstheme="minorBidi"/>
              <w:noProof/>
            </w:rPr>
          </w:pPr>
          <w:hyperlink w:anchor="_Toc235791233" w:history="1">
            <w:r w:rsidRPr="00D94A0B">
              <w:rPr>
                <w:rStyle w:val="Hyperlink"/>
                <w:rFonts w:asciiTheme="minorBidi" w:hAnsiTheme="minorBidi" w:cstheme="minorBidi"/>
                <w:noProof/>
              </w:rPr>
              <w:t>2.3 Consequences of Coronary Heart Disease on People in the Community</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_Toc235791233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4</w:t>
            </w:r>
            <w:r w:rsidRPr="00D94A0B">
              <w:rPr>
                <w:rFonts w:asciiTheme="minorBidi" w:hAnsiTheme="minorBidi" w:cstheme="minorBidi"/>
                <w:noProof/>
                <w:webHidden/>
              </w:rPr>
              <w:fldChar w:fldCharType="end"/>
            </w:r>
          </w:hyperlink>
        </w:p>
        <w:p w14:paraId="4667FC62" w14:textId="7014DF4F" w:rsidR="00E73509" w:rsidRPr="00D94A0B" w:rsidRDefault="00E73509" w:rsidP="00495115">
          <w:pPr>
            <w:pStyle w:val="TOC2"/>
            <w:tabs>
              <w:tab w:val="right" w:leader="dot" w:pos="9628"/>
            </w:tabs>
            <w:spacing w:after="0" w:line="360" w:lineRule="auto"/>
            <w:rPr>
              <w:rFonts w:asciiTheme="minorBidi" w:hAnsiTheme="minorBidi" w:cstheme="minorBidi"/>
              <w:noProof/>
            </w:rPr>
          </w:pPr>
          <w:hyperlink w:anchor="_Toc235791234" w:history="1">
            <w:r w:rsidRPr="00D94A0B">
              <w:rPr>
                <w:rStyle w:val="Hyperlink"/>
                <w:rFonts w:asciiTheme="minorBidi" w:hAnsiTheme="minorBidi" w:cstheme="minorBidi"/>
                <w:noProof/>
              </w:rPr>
              <w:t>2.4 Health and Social Care Support Services Required in the Community</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_Toc235791234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5</w:t>
            </w:r>
            <w:r w:rsidRPr="00D94A0B">
              <w:rPr>
                <w:rFonts w:asciiTheme="minorBidi" w:hAnsiTheme="minorBidi" w:cstheme="minorBidi"/>
                <w:noProof/>
                <w:webHidden/>
              </w:rPr>
              <w:fldChar w:fldCharType="end"/>
            </w:r>
          </w:hyperlink>
        </w:p>
        <w:p w14:paraId="1E4A0D20" w14:textId="68BDD59A" w:rsidR="00E73509" w:rsidRPr="00D94A0B" w:rsidRDefault="00E73509" w:rsidP="00495115">
          <w:pPr>
            <w:pStyle w:val="TOC1"/>
            <w:tabs>
              <w:tab w:val="right" w:leader="dot" w:pos="9628"/>
            </w:tabs>
            <w:spacing w:after="0" w:line="360" w:lineRule="auto"/>
            <w:rPr>
              <w:rFonts w:asciiTheme="minorBidi" w:hAnsiTheme="minorBidi" w:cstheme="minorBidi"/>
              <w:noProof/>
            </w:rPr>
          </w:pPr>
          <w:hyperlink w:anchor="_Toc235791235" w:history="1">
            <w:r w:rsidRPr="00D94A0B">
              <w:rPr>
                <w:rStyle w:val="Hyperlink"/>
                <w:rFonts w:asciiTheme="minorBidi" w:hAnsiTheme="minorBidi" w:cstheme="minorBidi"/>
                <w:noProof/>
              </w:rPr>
              <w:t>3. Conclusion</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_Toc235791235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6</w:t>
            </w:r>
            <w:r w:rsidRPr="00D94A0B">
              <w:rPr>
                <w:rFonts w:asciiTheme="minorBidi" w:hAnsiTheme="minorBidi" w:cstheme="minorBidi"/>
                <w:noProof/>
                <w:webHidden/>
              </w:rPr>
              <w:fldChar w:fldCharType="end"/>
            </w:r>
          </w:hyperlink>
        </w:p>
        <w:p w14:paraId="19E65015" w14:textId="1EBE1823" w:rsidR="00E73509" w:rsidRPr="00D94A0B" w:rsidRDefault="00E73509" w:rsidP="00495115">
          <w:pPr>
            <w:pStyle w:val="TOC1"/>
            <w:tabs>
              <w:tab w:val="right" w:leader="dot" w:pos="9628"/>
            </w:tabs>
            <w:spacing w:after="0" w:line="360" w:lineRule="auto"/>
            <w:rPr>
              <w:rFonts w:asciiTheme="minorBidi" w:hAnsiTheme="minorBidi" w:cstheme="minorBidi"/>
              <w:noProof/>
            </w:rPr>
          </w:pPr>
          <w:hyperlink w:anchor="_Toc235791236" w:history="1">
            <w:r w:rsidRPr="00D94A0B">
              <w:rPr>
                <w:rStyle w:val="Hyperlink"/>
                <w:rFonts w:asciiTheme="minorBidi" w:hAnsiTheme="minorBidi" w:cstheme="minorBidi"/>
                <w:noProof/>
              </w:rPr>
              <w:t>References</w:t>
            </w:r>
            <w:r w:rsidRPr="00D94A0B">
              <w:rPr>
                <w:rFonts w:asciiTheme="minorBidi" w:hAnsiTheme="minorBidi" w:cstheme="minorBidi"/>
                <w:noProof/>
                <w:webHidden/>
              </w:rPr>
              <w:tab/>
            </w:r>
            <w:r w:rsidRPr="00D94A0B">
              <w:rPr>
                <w:rFonts w:asciiTheme="minorBidi" w:hAnsiTheme="minorBidi" w:cstheme="minorBidi"/>
                <w:noProof/>
                <w:webHidden/>
              </w:rPr>
              <w:fldChar w:fldCharType="begin"/>
            </w:r>
            <w:r w:rsidRPr="00D94A0B">
              <w:rPr>
                <w:rFonts w:asciiTheme="minorBidi" w:hAnsiTheme="minorBidi" w:cstheme="minorBidi"/>
                <w:noProof/>
                <w:webHidden/>
              </w:rPr>
              <w:instrText xml:space="preserve"> PAGEREF _Toc235791236 \h </w:instrText>
            </w:r>
            <w:r w:rsidRPr="00D94A0B">
              <w:rPr>
                <w:rFonts w:asciiTheme="minorBidi" w:hAnsiTheme="minorBidi" w:cstheme="minorBidi"/>
                <w:noProof/>
                <w:webHidden/>
              </w:rPr>
            </w:r>
            <w:r w:rsidRPr="00D94A0B">
              <w:rPr>
                <w:rFonts w:asciiTheme="minorBidi" w:hAnsiTheme="minorBidi" w:cstheme="minorBidi"/>
                <w:noProof/>
                <w:webHidden/>
              </w:rPr>
              <w:fldChar w:fldCharType="separate"/>
            </w:r>
            <w:r w:rsidRPr="00D94A0B">
              <w:rPr>
                <w:rFonts w:asciiTheme="minorBidi" w:hAnsiTheme="minorBidi" w:cstheme="minorBidi"/>
                <w:noProof/>
                <w:webHidden/>
              </w:rPr>
              <w:t>7</w:t>
            </w:r>
            <w:r w:rsidRPr="00D94A0B">
              <w:rPr>
                <w:rFonts w:asciiTheme="minorBidi" w:hAnsiTheme="minorBidi" w:cstheme="minorBidi"/>
                <w:noProof/>
                <w:webHidden/>
              </w:rPr>
              <w:fldChar w:fldCharType="end"/>
            </w:r>
          </w:hyperlink>
        </w:p>
        <w:p w14:paraId="69DBCF5E" w14:textId="7BF2DBF3" w:rsidR="00E73509" w:rsidRPr="00D94A0B" w:rsidRDefault="00E73509" w:rsidP="00495115">
          <w:pPr>
            <w:spacing w:line="360" w:lineRule="auto"/>
          </w:pPr>
          <w:r w:rsidRPr="00D94A0B">
            <w:rPr>
              <w:rFonts w:asciiTheme="minorBidi" w:hAnsiTheme="minorBidi" w:cstheme="minorBidi"/>
              <w:b/>
              <w:bCs/>
              <w:noProof/>
            </w:rPr>
            <w:fldChar w:fldCharType="end"/>
          </w:r>
        </w:p>
      </w:sdtContent>
    </w:sdt>
    <w:p w14:paraId="100312E3" w14:textId="77777777" w:rsidR="00F26964" w:rsidRPr="00D94A0B" w:rsidRDefault="00F26964" w:rsidP="00495115">
      <w:pPr>
        <w:spacing w:line="360" w:lineRule="auto"/>
        <w:rPr>
          <w:rFonts w:ascii="Arial" w:hAnsi="Arial" w:cs="Arial"/>
        </w:rPr>
      </w:pPr>
    </w:p>
    <w:p w14:paraId="2DA21C43" w14:textId="77777777" w:rsidR="00F26964" w:rsidRPr="00D94A0B" w:rsidRDefault="00F26964" w:rsidP="00495115">
      <w:pPr>
        <w:pStyle w:val="ListParagraph"/>
        <w:spacing w:line="360" w:lineRule="auto"/>
      </w:pPr>
    </w:p>
    <w:p w14:paraId="3B36F42A" w14:textId="77777777" w:rsidR="00F26964" w:rsidRPr="00D94A0B" w:rsidRDefault="00F26964" w:rsidP="00495115">
      <w:pPr>
        <w:pStyle w:val="ListParagraph"/>
        <w:spacing w:line="360" w:lineRule="auto"/>
      </w:pPr>
    </w:p>
    <w:p w14:paraId="6A552925" w14:textId="77777777" w:rsidR="00E73509" w:rsidRPr="00D94A0B" w:rsidRDefault="00E73509" w:rsidP="00495115">
      <w:pPr>
        <w:spacing w:line="360" w:lineRule="auto"/>
        <w:rPr>
          <w:rFonts w:asciiTheme="minorBidi" w:hAnsiTheme="minorBidi" w:cstheme="minorBidi"/>
          <w:b/>
          <w:bCs/>
        </w:rPr>
      </w:pPr>
      <w:bookmarkStart w:id="0" w:name="_Toc235791229"/>
      <w:r w:rsidRPr="00D94A0B">
        <w:br w:type="page"/>
      </w:r>
    </w:p>
    <w:p w14:paraId="4E6D1CC5" w14:textId="4B1E7401" w:rsidR="00100AE5" w:rsidRPr="00D94A0B" w:rsidRDefault="00200D72" w:rsidP="00495115">
      <w:pPr>
        <w:pStyle w:val="Heading1"/>
        <w:spacing w:before="0" w:after="0" w:line="360" w:lineRule="auto"/>
        <w:jc w:val="both"/>
      </w:pPr>
      <w:r w:rsidRPr="00D94A0B">
        <w:lastRenderedPageBreak/>
        <w:t>1. Introduction</w:t>
      </w:r>
      <w:bookmarkEnd w:id="0"/>
    </w:p>
    <w:p w14:paraId="02378997" w14:textId="36543901" w:rsidR="001B032C"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Coronary heart disease (CHD) </w:t>
      </w:r>
      <w:r w:rsidR="004851F4">
        <w:rPr>
          <w:rFonts w:asciiTheme="minorBidi" w:hAnsiTheme="minorBidi" w:cstheme="minorBidi"/>
        </w:rPr>
        <w:t xml:space="preserve">also known </w:t>
      </w:r>
      <w:r w:rsidRPr="00D94A0B">
        <w:rPr>
          <w:rFonts w:asciiTheme="minorBidi" w:hAnsiTheme="minorBidi" w:cstheme="minorBidi"/>
        </w:rPr>
        <w:t>as ischaemic heart disease and occurs when fat builds up in the coronary arteries</w:t>
      </w:r>
      <w:r w:rsidR="00DC7B73" w:rsidRPr="00D94A0B">
        <w:rPr>
          <w:rFonts w:asciiTheme="minorBidi" w:hAnsiTheme="minorBidi" w:cstheme="minorBidi"/>
        </w:rPr>
        <w:t xml:space="preserve">. Also, it happens when </w:t>
      </w:r>
      <w:r w:rsidRPr="00D94A0B">
        <w:rPr>
          <w:rFonts w:asciiTheme="minorBidi" w:hAnsiTheme="minorBidi" w:cstheme="minorBidi"/>
        </w:rPr>
        <w:t>the flow of oxygen-rich blood to the heart muscle is reduced (National Health Service, 2023). Symptoms and signs are angina (chest pain or tightness),</w:t>
      </w:r>
      <w:r w:rsidR="00F96A52">
        <w:rPr>
          <w:rFonts w:asciiTheme="minorBidi" w:hAnsiTheme="minorBidi" w:cstheme="minorBidi"/>
        </w:rPr>
        <w:t xml:space="preserve"> nausea, heart </w:t>
      </w:r>
      <w:r w:rsidRPr="00D94A0B">
        <w:rPr>
          <w:rFonts w:asciiTheme="minorBidi" w:hAnsiTheme="minorBidi" w:cstheme="minorBidi"/>
        </w:rPr>
        <w:t>palpitations</w:t>
      </w:r>
      <w:r w:rsidR="00F96A52">
        <w:rPr>
          <w:rFonts w:asciiTheme="minorBidi" w:hAnsiTheme="minorBidi" w:cstheme="minorBidi"/>
        </w:rPr>
        <w:t>, and difficulty breathing. In critical</w:t>
      </w:r>
      <w:r w:rsidRPr="00D94A0B">
        <w:rPr>
          <w:rFonts w:asciiTheme="minorBidi" w:hAnsiTheme="minorBidi" w:cstheme="minorBidi"/>
        </w:rPr>
        <w:t xml:space="preserve"> cases, a myocardial infarction (heart attack) with extreme pain down the arm</w:t>
      </w:r>
      <w:r w:rsidR="00F96A52">
        <w:rPr>
          <w:rFonts w:asciiTheme="minorBidi" w:hAnsiTheme="minorBidi" w:cstheme="minorBidi"/>
        </w:rPr>
        <w:t xml:space="preserve"> or </w:t>
      </w:r>
      <w:r w:rsidRPr="00D94A0B">
        <w:rPr>
          <w:rFonts w:asciiTheme="minorBidi" w:hAnsiTheme="minorBidi" w:cstheme="minorBidi"/>
        </w:rPr>
        <w:t>jaw. Others with early-stage disease do not have any symptoms, although the arteries may be narrowed considerably.</w:t>
      </w:r>
    </w:p>
    <w:p w14:paraId="5E6E4AD1" w14:textId="527A3644" w:rsidR="00FD4C14" w:rsidRPr="00D94A0B" w:rsidRDefault="00FD4C14" w:rsidP="00495115">
      <w:pPr>
        <w:spacing w:line="360" w:lineRule="auto"/>
        <w:jc w:val="both"/>
        <w:rPr>
          <w:rFonts w:asciiTheme="minorBidi" w:hAnsiTheme="minorBidi" w:cstheme="minorBidi"/>
        </w:rPr>
      </w:pPr>
      <w:r w:rsidRPr="00D94A0B">
        <w:rPr>
          <w:rFonts w:asciiTheme="minorBidi" w:hAnsiTheme="minorBidi" w:cstheme="minorBidi"/>
        </w:rPr>
        <w:t xml:space="preserve">While the burden of CHD has decreased, it is still </w:t>
      </w:r>
      <w:r w:rsidR="00F96A52">
        <w:rPr>
          <w:rFonts w:asciiTheme="minorBidi" w:hAnsiTheme="minorBidi" w:cstheme="minorBidi"/>
        </w:rPr>
        <w:t>among the</w:t>
      </w:r>
      <w:r w:rsidRPr="00D94A0B">
        <w:rPr>
          <w:rFonts w:asciiTheme="minorBidi" w:hAnsiTheme="minorBidi" w:cstheme="minorBidi"/>
        </w:rPr>
        <w:t xml:space="preserve"> mos</w:t>
      </w:r>
      <w:r w:rsidR="00F96A52">
        <w:rPr>
          <w:rFonts w:asciiTheme="minorBidi" w:hAnsiTheme="minorBidi" w:cstheme="minorBidi"/>
        </w:rPr>
        <w:t>t leading</w:t>
      </w:r>
      <w:r w:rsidRPr="00D94A0B">
        <w:rPr>
          <w:rFonts w:asciiTheme="minorBidi" w:hAnsiTheme="minorBidi" w:cstheme="minorBidi"/>
        </w:rPr>
        <w:t xml:space="preserve"> cause of </w:t>
      </w:r>
      <w:r w:rsidR="00F96A52">
        <w:rPr>
          <w:rFonts w:asciiTheme="minorBidi" w:hAnsiTheme="minorBidi" w:cstheme="minorBidi"/>
        </w:rPr>
        <w:t>mortality</w:t>
      </w:r>
      <w:r w:rsidRPr="00D94A0B">
        <w:rPr>
          <w:rFonts w:asciiTheme="minorBidi" w:hAnsiTheme="minorBidi" w:cstheme="minorBidi"/>
        </w:rPr>
        <w:t xml:space="preserve"> in the world. In general, CHD is responsible for about 1 in 7 deaths (British Heart Foundation, 2026a). In the UK, the prevalence rate is very high; 1.9 million people in England have CHD. The incidence of new cases of CHD is registered every year, and at the same time, there is a significant number of deaths due to CHD (British Heart Foundation, 2026b). CVD includes 7.6 million people in the UK and kills about 170,000 people per year; these figures should not be mixed up with CHD data.</w:t>
      </w:r>
    </w:p>
    <w:p w14:paraId="0D91D62C" w14:textId="77777777" w:rsidR="00835633" w:rsidRPr="00D94A0B" w:rsidRDefault="00835633" w:rsidP="00495115">
      <w:pPr>
        <w:spacing w:line="360" w:lineRule="auto"/>
        <w:jc w:val="both"/>
        <w:rPr>
          <w:rFonts w:asciiTheme="minorBidi" w:hAnsiTheme="minorBidi" w:cstheme="minorBidi"/>
        </w:rPr>
      </w:pPr>
    </w:p>
    <w:p w14:paraId="6FB26AF3" w14:textId="77777777" w:rsidR="00100AE5" w:rsidRPr="00D94A0B" w:rsidRDefault="00200D72" w:rsidP="00495115">
      <w:pPr>
        <w:pStyle w:val="Heading1"/>
        <w:spacing w:before="0" w:after="0" w:line="360" w:lineRule="auto"/>
        <w:jc w:val="both"/>
      </w:pPr>
      <w:bookmarkStart w:id="1" w:name="_Toc235791230"/>
      <w:r w:rsidRPr="00D94A0B">
        <w:t>2. Main Body</w:t>
      </w:r>
      <w:bookmarkEnd w:id="1"/>
    </w:p>
    <w:p w14:paraId="2ABDE6B6" w14:textId="77777777" w:rsidR="00100AE5" w:rsidRPr="00D94A0B" w:rsidRDefault="00200D72" w:rsidP="00495115">
      <w:pPr>
        <w:pStyle w:val="Heading2"/>
        <w:spacing w:before="0" w:after="0" w:line="360" w:lineRule="auto"/>
        <w:jc w:val="both"/>
      </w:pPr>
      <w:bookmarkStart w:id="2" w:name="_Toc235791231"/>
      <w:r w:rsidRPr="00D94A0B">
        <w:t>2.1 Approaches to Measuring and Monitoring Coronary Heart Disease</w:t>
      </w:r>
      <w:bookmarkEnd w:id="2"/>
    </w:p>
    <w:p w14:paraId="0D7A61F2" w14:textId="39DB8455" w:rsidR="00C254B3"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There are a variety of clinical and epidemiological measures for the assessment and surveillance of CHD. The national surveillance provides a population overview, utilising GP disease registers, hospital admission data and mortality statistics, which enables organisations like the British Heart Foundation and NHS England to monitor the incidence, prevalence and inequalities in outcomes over time (British Heart Foundation, 2026b). </w:t>
      </w:r>
      <w:r w:rsidR="00A556FA" w:rsidRPr="00D94A0B">
        <w:rPr>
          <w:rFonts w:asciiTheme="minorBidi" w:hAnsiTheme="minorBidi" w:cstheme="minorBidi"/>
        </w:rPr>
        <w:t xml:space="preserve">Incidence is defined as new cases of CHD during a certain </w:t>
      </w:r>
      <w:r w:rsidR="00EB3184" w:rsidRPr="00D94A0B">
        <w:rPr>
          <w:rFonts w:asciiTheme="minorBidi" w:hAnsiTheme="minorBidi" w:cstheme="minorBidi"/>
        </w:rPr>
        <w:t>time</w:t>
      </w:r>
      <w:r w:rsidR="00A556FA" w:rsidRPr="00D94A0B">
        <w:rPr>
          <w:rFonts w:asciiTheme="minorBidi" w:hAnsiTheme="minorBidi" w:cstheme="minorBidi"/>
        </w:rPr>
        <w:t>, prevalence is defined as individuals having CHD, and mortality is defined as deaths due to CHD. Hence, these measures should be reported separately. A</w:t>
      </w:r>
      <w:r w:rsidRPr="00D94A0B">
        <w:rPr>
          <w:rFonts w:asciiTheme="minorBidi" w:hAnsiTheme="minorBidi" w:cstheme="minorBidi"/>
        </w:rPr>
        <w:t xml:space="preserve"> stepped combination of tools is used at the individual level to diagnose and monitor on-going services. Dynamic ECG is still reasonably accurate in the detection of myocardial ischaemia if used in conjunction with imaging</w:t>
      </w:r>
      <w:r w:rsidR="00C254B3" w:rsidRPr="00D94A0B">
        <w:rPr>
          <w:rFonts w:asciiTheme="minorBidi" w:hAnsiTheme="minorBidi" w:cstheme="minorBidi"/>
        </w:rPr>
        <w:t>.</w:t>
      </w:r>
      <w:r w:rsidRPr="00D94A0B">
        <w:rPr>
          <w:rFonts w:asciiTheme="minorBidi" w:hAnsiTheme="minorBidi" w:cstheme="minorBidi"/>
        </w:rPr>
        <w:t xml:space="preserve"> </w:t>
      </w:r>
    </w:p>
    <w:p w14:paraId="066D16E0" w14:textId="6C10E69C" w:rsidR="00C254B3" w:rsidRPr="00D94A0B" w:rsidRDefault="00C254B3" w:rsidP="00495115">
      <w:pPr>
        <w:spacing w:line="360" w:lineRule="auto"/>
        <w:jc w:val="both"/>
        <w:rPr>
          <w:rFonts w:asciiTheme="minorBidi" w:hAnsiTheme="minorBidi" w:cstheme="minorBidi"/>
        </w:rPr>
      </w:pPr>
      <w:r w:rsidRPr="00D94A0B">
        <w:rPr>
          <w:rFonts w:asciiTheme="minorBidi" w:hAnsiTheme="minorBidi" w:cstheme="minorBidi"/>
        </w:rPr>
        <w:t xml:space="preserve">CHD risk factors </w:t>
      </w:r>
      <w:r w:rsidR="00FD6C46">
        <w:rPr>
          <w:rFonts w:asciiTheme="minorBidi" w:hAnsiTheme="minorBidi" w:cstheme="minorBidi"/>
        </w:rPr>
        <w:t>such as</w:t>
      </w:r>
      <w:r w:rsidRPr="00D94A0B">
        <w:rPr>
          <w:rFonts w:asciiTheme="minorBidi" w:hAnsiTheme="minorBidi" w:cstheme="minorBidi"/>
        </w:rPr>
        <w:t xml:space="preserve"> </w:t>
      </w:r>
      <w:r w:rsidR="00FD6C46">
        <w:rPr>
          <w:rFonts w:asciiTheme="minorBidi" w:hAnsiTheme="minorBidi" w:cstheme="minorBidi"/>
        </w:rPr>
        <w:t>lack of exercise</w:t>
      </w:r>
      <w:r w:rsidRPr="00D94A0B">
        <w:rPr>
          <w:rFonts w:asciiTheme="minorBidi" w:hAnsiTheme="minorBidi" w:cstheme="minorBidi"/>
        </w:rPr>
        <w:t xml:space="preserve">, </w:t>
      </w:r>
      <w:r w:rsidR="00FD6C46">
        <w:rPr>
          <w:rFonts w:asciiTheme="minorBidi" w:hAnsiTheme="minorBidi" w:cstheme="minorBidi"/>
        </w:rPr>
        <w:t>smoking, poor</w:t>
      </w:r>
      <w:r w:rsidRPr="00D94A0B">
        <w:rPr>
          <w:rFonts w:asciiTheme="minorBidi" w:hAnsiTheme="minorBidi" w:cstheme="minorBidi"/>
        </w:rPr>
        <w:t xml:space="preserve"> diet, obesity, h</w:t>
      </w:r>
      <w:r w:rsidR="00FD6C46">
        <w:rPr>
          <w:rFonts w:asciiTheme="minorBidi" w:hAnsiTheme="minorBidi" w:cstheme="minorBidi"/>
        </w:rPr>
        <w:t>ypertension</w:t>
      </w:r>
      <w:r w:rsidRPr="00D94A0B">
        <w:rPr>
          <w:rFonts w:asciiTheme="minorBidi" w:hAnsiTheme="minorBidi" w:cstheme="minorBidi"/>
        </w:rPr>
        <w:t xml:space="preserve"> and high cholesterol</w:t>
      </w:r>
      <w:r w:rsidR="00F96A52">
        <w:rPr>
          <w:rFonts w:asciiTheme="minorBidi" w:hAnsiTheme="minorBidi" w:cstheme="minorBidi"/>
        </w:rPr>
        <w:t>. Meanwhile,</w:t>
      </w:r>
      <w:r w:rsidRPr="00D94A0B">
        <w:rPr>
          <w:rFonts w:asciiTheme="minorBidi" w:hAnsiTheme="minorBidi" w:cstheme="minorBidi"/>
        </w:rPr>
        <w:t xml:space="preserve"> age, gender and family history are important non-modifiable factors.</w:t>
      </w:r>
    </w:p>
    <w:p w14:paraId="7664E5FE" w14:textId="36FC4197" w:rsidR="001B032C" w:rsidRPr="00D94A0B" w:rsidRDefault="001B032C" w:rsidP="00495115">
      <w:pPr>
        <w:spacing w:line="360" w:lineRule="auto"/>
        <w:jc w:val="both"/>
        <w:rPr>
          <w:rFonts w:asciiTheme="minorBidi" w:hAnsiTheme="minorBidi" w:cstheme="minorBidi"/>
        </w:rPr>
      </w:pPr>
      <w:r w:rsidRPr="00D94A0B">
        <w:rPr>
          <w:rFonts w:ascii="Arial" w:hAnsi="Arial" w:cs="Arial"/>
          <w:sz w:val="24"/>
          <w:szCs w:val="24"/>
        </w:rPr>
        <w:t>ECG</w:t>
      </w:r>
      <w:r w:rsidRPr="00D94A0B">
        <w:rPr>
          <w:rFonts w:ascii="Arial" w:hAnsi="Arial" w:cs="Arial"/>
        </w:rPr>
        <w:t xml:space="preserve"> are still fundamental in the detection of ischaemic changes and arrhythmia (</w:t>
      </w:r>
      <w:proofErr w:type="spellStart"/>
      <w:r w:rsidRPr="00D94A0B">
        <w:rPr>
          <w:rFonts w:ascii="Arial" w:hAnsi="Arial" w:cs="Arial"/>
        </w:rPr>
        <w:t>Lv</w:t>
      </w:r>
      <w:proofErr w:type="spellEnd"/>
      <w:r w:rsidRPr="00D94A0B">
        <w:rPr>
          <w:rFonts w:ascii="Arial" w:hAnsi="Arial" w:cs="Arial"/>
        </w:rPr>
        <w:t xml:space="preserve">, 2025). The </w:t>
      </w:r>
      <w:r w:rsidRPr="00D94A0B">
        <w:rPr>
          <w:rFonts w:asciiTheme="minorBidi" w:hAnsiTheme="minorBidi" w:cstheme="minorBidi"/>
        </w:rPr>
        <w:t>extent and severity of arterial narrowing can be confirmed by performing coronary computed</w:t>
      </w:r>
      <w:r w:rsidR="00377D1B" w:rsidRPr="00D94A0B">
        <w:rPr>
          <w:rFonts w:asciiTheme="minorBidi" w:hAnsiTheme="minorBidi" w:cstheme="minorBidi"/>
        </w:rPr>
        <w:t xml:space="preserve"> tomography angiography (CCTA), </w:t>
      </w:r>
      <w:r w:rsidRPr="00D94A0B">
        <w:rPr>
          <w:rFonts w:asciiTheme="minorBidi" w:hAnsiTheme="minorBidi" w:cstheme="minorBidi"/>
        </w:rPr>
        <w:t>and exercise stress testing, which are selected based on the initial pre-test probability scoring (Karger Cardiology Review, 2025).</w:t>
      </w:r>
    </w:p>
    <w:p w14:paraId="457BC602" w14:textId="47F79C23" w:rsidR="00D460B0"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More recently, digital/computational methods have started to complement the traditional testing methods. AI-based analysis of ECG has </w:t>
      </w:r>
      <w:r w:rsidR="00B427A0" w:rsidRPr="00D94A0B">
        <w:rPr>
          <w:rFonts w:asciiTheme="minorBidi" w:hAnsiTheme="minorBidi" w:cstheme="minorBidi"/>
        </w:rPr>
        <w:t xml:space="preserve">been </w:t>
      </w:r>
      <w:r w:rsidRPr="00D94A0B">
        <w:rPr>
          <w:rFonts w:asciiTheme="minorBidi" w:hAnsiTheme="minorBidi" w:cstheme="minorBidi"/>
        </w:rPr>
        <w:t>shown to be highly accurate in assessing the burden of coronary artery calcium and obstructive coronary artery disease from a single ECG signal</w:t>
      </w:r>
      <w:r w:rsidR="00135505" w:rsidRPr="00D94A0B">
        <w:rPr>
          <w:rFonts w:asciiTheme="minorBidi" w:hAnsiTheme="minorBidi" w:cstheme="minorBidi"/>
        </w:rPr>
        <w:t xml:space="preserve">. It </w:t>
      </w:r>
      <w:r w:rsidRPr="00D94A0B">
        <w:rPr>
          <w:rFonts w:asciiTheme="minorBidi" w:hAnsiTheme="minorBidi" w:cstheme="minorBidi"/>
        </w:rPr>
        <w:t>could present a low-cost, non-imaging alternative to costly imaging in primary and community care that can be widely adopted (Awasthi et al., 2023). Prior to symptoms occurring, an individual's future cardiovascular risk is assessed in primary care using blood tests</w:t>
      </w:r>
      <w:r w:rsidR="003C2878" w:rsidRPr="00D94A0B">
        <w:rPr>
          <w:rFonts w:asciiTheme="minorBidi" w:hAnsiTheme="minorBidi" w:cstheme="minorBidi"/>
        </w:rPr>
        <w:t>.</w:t>
      </w:r>
      <w:r w:rsidRPr="00D94A0B">
        <w:rPr>
          <w:rFonts w:asciiTheme="minorBidi" w:hAnsiTheme="minorBidi" w:cstheme="minorBidi"/>
        </w:rPr>
        <w:t xml:space="preserve"> In addition to these clinical tests, the implementation of patient-reported outcome measures (PROMs) is </w:t>
      </w:r>
      <w:r w:rsidR="00135505" w:rsidRPr="00D94A0B">
        <w:rPr>
          <w:rFonts w:asciiTheme="minorBidi" w:hAnsiTheme="minorBidi" w:cstheme="minorBidi"/>
        </w:rPr>
        <w:t xml:space="preserve">becoming more common, </w:t>
      </w:r>
      <w:r w:rsidR="00135505" w:rsidRPr="00D94A0B">
        <w:rPr>
          <w:rFonts w:asciiTheme="minorBidi" w:hAnsiTheme="minorBidi" w:cstheme="minorBidi"/>
        </w:rPr>
        <w:lastRenderedPageBreak/>
        <w:t>and they help monitor quality of life, symptom burden, and functional recovery,</w:t>
      </w:r>
      <w:r w:rsidRPr="00D94A0B">
        <w:rPr>
          <w:rFonts w:asciiTheme="minorBidi" w:hAnsiTheme="minorBidi" w:cstheme="minorBidi"/>
        </w:rPr>
        <w:t xml:space="preserve"> as well as biomedical markers (Pardo et al., 2023). These population-level and individual-level interventions enable health systems to identify individuals at risk, track disease progression, focus resources on the highest risk populations and assess the effect of prevention and treatment programmes as they roll out over time.</w:t>
      </w:r>
      <w:r w:rsidR="009F4C79" w:rsidRPr="00D94A0B">
        <w:rPr>
          <w:rFonts w:asciiTheme="minorBidi" w:hAnsiTheme="minorBidi" w:cstheme="minorBidi"/>
        </w:rPr>
        <w:t xml:space="preserve"> </w:t>
      </w:r>
    </w:p>
    <w:p w14:paraId="0E5B0F13" w14:textId="77777777" w:rsidR="001B032C" w:rsidRPr="00D94A0B" w:rsidRDefault="001B032C" w:rsidP="00495115">
      <w:pPr>
        <w:spacing w:line="360" w:lineRule="auto"/>
        <w:jc w:val="both"/>
        <w:rPr>
          <w:rFonts w:asciiTheme="minorBidi" w:hAnsiTheme="minorBidi" w:cstheme="minorBidi"/>
        </w:rPr>
      </w:pPr>
    </w:p>
    <w:p w14:paraId="189CA62C" w14:textId="77777777" w:rsidR="00100AE5" w:rsidRPr="00D94A0B" w:rsidRDefault="00200D72" w:rsidP="00495115">
      <w:pPr>
        <w:pStyle w:val="Heading2"/>
        <w:spacing w:before="0" w:after="0" w:line="360" w:lineRule="auto"/>
        <w:jc w:val="both"/>
      </w:pPr>
      <w:bookmarkStart w:id="3" w:name="_Toc235791232"/>
      <w:r w:rsidRPr="00D94A0B">
        <w:t>2.2 Control of Coronary Heart Disease</w:t>
      </w:r>
      <w:bookmarkEnd w:id="3"/>
    </w:p>
    <w:p w14:paraId="3C4762C6" w14:textId="293DFE68" w:rsidR="001B032C"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Treatment for CHD</w:t>
      </w:r>
      <w:r w:rsidR="00FD6C46">
        <w:rPr>
          <w:rFonts w:asciiTheme="minorBidi" w:hAnsiTheme="minorBidi" w:cstheme="minorBidi"/>
        </w:rPr>
        <w:t xml:space="preserve"> requires</w:t>
      </w:r>
      <w:r w:rsidRPr="00D94A0B">
        <w:rPr>
          <w:rFonts w:asciiTheme="minorBidi" w:hAnsiTheme="minorBidi" w:cstheme="minorBidi"/>
        </w:rPr>
        <w:t xml:space="preserve"> lifestyle </w:t>
      </w:r>
      <w:r w:rsidR="00FD6C46">
        <w:rPr>
          <w:rFonts w:asciiTheme="minorBidi" w:hAnsiTheme="minorBidi" w:cstheme="minorBidi"/>
        </w:rPr>
        <w:t>adjustments</w:t>
      </w:r>
      <w:r w:rsidRPr="00D94A0B">
        <w:rPr>
          <w:rFonts w:asciiTheme="minorBidi" w:hAnsiTheme="minorBidi" w:cstheme="minorBidi"/>
        </w:rPr>
        <w:t>, medical procedures and</w:t>
      </w:r>
      <w:r w:rsidR="00FD6C46">
        <w:rPr>
          <w:rFonts w:asciiTheme="minorBidi" w:hAnsiTheme="minorBidi" w:cstheme="minorBidi"/>
        </w:rPr>
        <w:t xml:space="preserve"> </w:t>
      </w:r>
      <w:r w:rsidRPr="00D94A0B">
        <w:rPr>
          <w:rFonts w:asciiTheme="minorBidi" w:hAnsiTheme="minorBidi" w:cstheme="minorBidi"/>
        </w:rPr>
        <w:t>rehabilitation. Additionally, smoking cessation, regular physical activity, healthy weight management</w:t>
      </w:r>
      <w:r w:rsidR="009163A6" w:rsidRPr="00D94A0B">
        <w:rPr>
          <w:rFonts w:asciiTheme="minorBidi" w:hAnsiTheme="minorBidi" w:cstheme="minorBidi"/>
        </w:rPr>
        <w:t xml:space="preserve">, and dietary changes are core components of secondary prevention as part of the World Heart Federation's roadmap, along with evidence-based medications </w:t>
      </w:r>
      <w:r w:rsidR="00BF4A34">
        <w:rPr>
          <w:rFonts w:asciiTheme="minorBidi" w:hAnsiTheme="minorBidi" w:cstheme="minorBidi"/>
        </w:rPr>
        <w:t xml:space="preserve">including </w:t>
      </w:r>
      <w:r w:rsidR="009163A6" w:rsidRPr="00D94A0B">
        <w:rPr>
          <w:rFonts w:asciiTheme="minorBidi" w:hAnsiTheme="minorBidi" w:cstheme="minorBidi"/>
        </w:rPr>
        <w:t>antiplatelet agents, statins, beta-blockers, and renin-angiotensin</w:t>
      </w:r>
      <w:r w:rsidRPr="00D94A0B">
        <w:rPr>
          <w:rFonts w:asciiTheme="minorBidi" w:hAnsiTheme="minorBidi" w:cstheme="minorBidi"/>
        </w:rPr>
        <w:t xml:space="preserve"> system (RAS) inhibitors (Laranjo et al., 2024). </w:t>
      </w:r>
    </w:p>
    <w:p w14:paraId="0C8DA8FB" w14:textId="453A0C85" w:rsidR="00D460B0"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Cardiac rehabilitation programmes integrate </w:t>
      </w:r>
      <w:r w:rsidR="00CB0BE1" w:rsidRPr="00D94A0B">
        <w:rPr>
          <w:rFonts w:asciiTheme="minorBidi" w:hAnsiTheme="minorBidi" w:cstheme="minorBidi"/>
        </w:rPr>
        <w:t>all</w:t>
      </w:r>
      <w:r w:rsidRPr="00D94A0B">
        <w:rPr>
          <w:rFonts w:asciiTheme="minorBidi" w:hAnsiTheme="minorBidi" w:cstheme="minorBidi"/>
        </w:rPr>
        <w:t xml:space="preserve"> these components in a structured manner, with supervised exercise, risk factor education, medicines management and psychological support, and are proven to be clinically effective and cost effective in reducing risk of repeat hospitalisation and cardiac death </w:t>
      </w:r>
      <w:r w:rsidR="00194386" w:rsidRPr="00D94A0B">
        <w:rPr>
          <w:rFonts w:asciiTheme="minorBidi" w:hAnsiTheme="minorBidi" w:cstheme="minorBidi"/>
        </w:rPr>
        <w:t>(Brown et al., 2024)</w:t>
      </w:r>
      <w:r w:rsidRPr="00D94A0B">
        <w:rPr>
          <w:rFonts w:asciiTheme="minorBidi" w:hAnsiTheme="minorBidi" w:cstheme="minorBidi"/>
        </w:rPr>
        <w:t>. At a population level, this is supported in the UK through public health policy, which involves tobacco control initiatives, targets for reducing salt in food production</w:t>
      </w:r>
      <w:r w:rsidR="00190502" w:rsidRPr="00D94A0B">
        <w:rPr>
          <w:rFonts w:asciiTheme="minorBidi" w:hAnsiTheme="minorBidi" w:cstheme="minorBidi"/>
        </w:rPr>
        <w:t>.</w:t>
      </w:r>
      <w:r w:rsidRPr="00D94A0B">
        <w:rPr>
          <w:rFonts w:asciiTheme="minorBidi" w:hAnsiTheme="minorBidi" w:cstheme="minorBidi"/>
        </w:rPr>
        <w:t xml:space="preserve"> </w:t>
      </w:r>
      <w:r w:rsidR="004851F4">
        <w:rPr>
          <w:rFonts w:asciiTheme="minorBidi" w:hAnsiTheme="minorBidi" w:cstheme="minorBidi"/>
        </w:rPr>
        <w:t xml:space="preserve">The </w:t>
      </w:r>
      <w:r w:rsidRPr="00D94A0B">
        <w:rPr>
          <w:rFonts w:asciiTheme="minorBidi" w:hAnsiTheme="minorBidi" w:cstheme="minorBidi"/>
        </w:rPr>
        <w:t xml:space="preserve">NHS </w:t>
      </w:r>
      <w:r w:rsidR="004851F4">
        <w:rPr>
          <w:rFonts w:asciiTheme="minorBidi" w:hAnsiTheme="minorBidi" w:cstheme="minorBidi"/>
        </w:rPr>
        <w:t>Health Check examines</w:t>
      </w:r>
      <w:r w:rsidRPr="00D94A0B">
        <w:rPr>
          <w:rFonts w:asciiTheme="minorBidi" w:hAnsiTheme="minorBidi" w:cstheme="minorBidi"/>
        </w:rPr>
        <w:t xml:space="preserve"> adult aged 40-74 years to detect modifiable risk </w:t>
      </w:r>
      <w:r w:rsidR="007D7C25" w:rsidRPr="00D94A0B">
        <w:rPr>
          <w:rFonts w:asciiTheme="minorBidi" w:hAnsiTheme="minorBidi" w:cstheme="minorBidi"/>
        </w:rPr>
        <w:t>factors before</w:t>
      </w:r>
      <w:r w:rsidRPr="00D94A0B">
        <w:rPr>
          <w:rFonts w:asciiTheme="minorBidi" w:hAnsiTheme="minorBidi" w:cstheme="minorBidi"/>
        </w:rPr>
        <w:t xml:space="preserve"> any disease has occurred. </w:t>
      </w:r>
      <w:r w:rsidR="009F4C79" w:rsidRPr="00D94A0B">
        <w:rPr>
          <w:rFonts w:asciiTheme="minorBidi" w:hAnsiTheme="minorBidi" w:cstheme="minorBidi"/>
        </w:rPr>
        <w:t>Such numbers firmly place CHD at the top of the UK's health and social care agenda today and have obvious implications for services, the health and care workforce, and public spending</w:t>
      </w:r>
      <w:r w:rsidR="007D7C25" w:rsidRPr="00D94A0B">
        <w:rPr>
          <w:rFonts w:asciiTheme="minorBidi" w:hAnsiTheme="minorBidi" w:cstheme="minorBidi"/>
        </w:rPr>
        <w:t xml:space="preserve">. </w:t>
      </w:r>
      <w:r w:rsidRPr="00D94A0B">
        <w:rPr>
          <w:rFonts w:asciiTheme="minorBidi" w:hAnsiTheme="minorBidi" w:cstheme="minorBidi"/>
        </w:rPr>
        <w:t xml:space="preserve">While roadmap elements can be effective on their own, there are other factors that can </w:t>
      </w:r>
      <w:r w:rsidR="009163A6" w:rsidRPr="00D94A0B">
        <w:rPr>
          <w:rFonts w:asciiTheme="minorBidi" w:hAnsiTheme="minorBidi" w:cstheme="minorBidi"/>
        </w:rPr>
        <w:t>delay</w:t>
      </w:r>
      <w:r w:rsidRPr="00D94A0B">
        <w:rPr>
          <w:rFonts w:asciiTheme="minorBidi" w:hAnsiTheme="minorBidi" w:cstheme="minorBidi"/>
        </w:rPr>
        <w:t xml:space="preserve"> control, such as poor access to healthcare and medicines, clinical inertia, low health literacy and socioeconomic deprivation</w:t>
      </w:r>
      <w:r w:rsidR="007D7C25" w:rsidRPr="00D94A0B">
        <w:rPr>
          <w:rFonts w:asciiTheme="minorBidi" w:hAnsiTheme="minorBidi" w:cstheme="minorBidi"/>
        </w:rPr>
        <w:t>.</w:t>
      </w:r>
      <w:r w:rsidRPr="00D94A0B">
        <w:rPr>
          <w:rFonts w:asciiTheme="minorBidi" w:hAnsiTheme="minorBidi" w:cstheme="minorBidi"/>
        </w:rPr>
        <w:t xml:space="preserve"> </w:t>
      </w:r>
      <w:r w:rsidR="007D7C25" w:rsidRPr="00D94A0B">
        <w:rPr>
          <w:rFonts w:asciiTheme="minorBidi" w:hAnsiTheme="minorBidi" w:cstheme="minorBidi"/>
        </w:rPr>
        <w:t>C</w:t>
      </w:r>
      <w:r w:rsidRPr="00D94A0B">
        <w:rPr>
          <w:rFonts w:asciiTheme="minorBidi" w:hAnsiTheme="minorBidi" w:cstheme="minorBidi"/>
        </w:rPr>
        <w:t>ontrol can rel</w:t>
      </w:r>
      <w:r w:rsidR="009E4221" w:rsidRPr="00D94A0B">
        <w:rPr>
          <w:rFonts w:asciiTheme="minorBidi" w:hAnsiTheme="minorBidi" w:cstheme="minorBidi"/>
        </w:rPr>
        <w:t xml:space="preserve">y more on system-level factors </w:t>
      </w:r>
      <w:r w:rsidRPr="00D94A0B">
        <w:rPr>
          <w:rFonts w:asciiTheme="minorBidi" w:hAnsiTheme="minorBidi" w:cstheme="minorBidi"/>
        </w:rPr>
        <w:t>than on individual behaviour change alone (Laranjo et al., 2024).</w:t>
      </w:r>
    </w:p>
    <w:p w14:paraId="073F15EB" w14:textId="77777777" w:rsidR="001B032C" w:rsidRPr="00D94A0B" w:rsidRDefault="001B032C" w:rsidP="00495115">
      <w:pPr>
        <w:spacing w:line="360" w:lineRule="auto"/>
        <w:jc w:val="both"/>
        <w:rPr>
          <w:rFonts w:asciiTheme="minorBidi" w:hAnsiTheme="minorBidi" w:cstheme="minorBidi"/>
        </w:rPr>
      </w:pPr>
    </w:p>
    <w:p w14:paraId="13F8CA2E" w14:textId="77777777" w:rsidR="00100AE5" w:rsidRPr="00D94A0B" w:rsidRDefault="00200D72" w:rsidP="00495115">
      <w:pPr>
        <w:pStyle w:val="Heading2"/>
        <w:spacing w:before="0" w:after="0" w:line="360" w:lineRule="auto"/>
        <w:jc w:val="both"/>
      </w:pPr>
      <w:bookmarkStart w:id="4" w:name="_Toc235791233"/>
      <w:r w:rsidRPr="00D94A0B">
        <w:t>2.3 Consequences of Coronary Heart Disease on People in the Community</w:t>
      </w:r>
      <w:bookmarkEnd w:id="4"/>
    </w:p>
    <w:p w14:paraId="01D3D19A" w14:textId="485622B5" w:rsidR="001B032C"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The impact of CHD is far-reaching and extends beyond its impact on the body. A person often has poor exercise tolerance, breathlessness and fear of exacerbating further cardiac events, limiting their ability to work, drive, care for their dependants and engage in previous social or leisure activities, which can result in social isolation and loss of independence. </w:t>
      </w:r>
      <w:r w:rsidR="00173E80" w:rsidRPr="00D94A0B">
        <w:rPr>
          <w:rFonts w:asciiTheme="minorBidi" w:hAnsiTheme="minorBidi" w:cstheme="minorBidi"/>
        </w:rPr>
        <w:t xml:space="preserve">Local authority public health teams can contribute through smoking cessation, weight management and physical activity services, which decrease risk at the </w:t>
      </w:r>
      <w:r w:rsidR="00CB3F00" w:rsidRPr="00D94A0B">
        <w:rPr>
          <w:rFonts w:asciiTheme="minorBidi" w:hAnsiTheme="minorBidi" w:cstheme="minorBidi"/>
        </w:rPr>
        <w:t>population level</w:t>
      </w:r>
      <w:r w:rsidRPr="00D94A0B">
        <w:rPr>
          <w:rFonts w:asciiTheme="minorBidi" w:hAnsiTheme="minorBidi" w:cstheme="minorBidi"/>
        </w:rPr>
        <w:t xml:space="preserve"> (Kumar and Banerjee 2026). This two-way street can result in an exacerbation of cardiac prognosis, and so on, unless psychological distress is managed, in which case it can be hard to break the vicious circle without integrated support.</w:t>
      </w:r>
      <w:r w:rsidR="003E1D20" w:rsidRPr="00D94A0B">
        <w:rPr>
          <w:rFonts w:asciiTheme="minorBidi" w:hAnsiTheme="minorBidi" w:cstheme="minorBidi"/>
        </w:rPr>
        <w:t xml:space="preserve"> These psychological effects can also impact on a treatment and self-management which integrated physical and mental health support important in CHD care.</w:t>
      </w:r>
    </w:p>
    <w:p w14:paraId="3BC7C5FE" w14:textId="4A175724" w:rsidR="00D460B0"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Families and informal carers are also </w:t>
      </w:r>
      <w:r w:rsidR="003B157C" w:rsidRPr="00D94A0B">
        <w:rPr>
          <w:rFonts w:asciiTheme="minorBidi" w:hAnsiTheme="minorBidi" w:cstheme="minorBidi"/>
        </w:rPr>
        <w:t xml:space="preserve">affected, as they may need to take on caregiving responsibilities, face financial pressure, and experience emotional stress. It is affecting family income </w:t>
      </w:r>
      <w:r w:rsidR="003B157C" w:rsidRPr="00D94A0B">
        <w:rPr>
          <w:rFonts w:asciiTheme="minorBidi" w:hAnsiTheme="minorBidi" w:cstheme="minorBidi"/>
        </w:rPr>
        <w:lastRenderedPageBreak/>
        <w:t xml:space="preserve">and wider family wellbeing, especially if a family member is of working age or the </w:t>
      </w:r>
      <w:r w:rsidRPr="00D94A0B">
        <w:rPr>
          <w:rFonts w:asciiTheme="minorBidi" w:hAnsiTheme="minorBidi" w:cstheme="minorBidi"/>
        </w:rPr>
        <w:t xml:space="preserve">main income earner. At a community level, CHD </w:t>
      </w:r>
      <w:r w:rsidR="00BF4A34">
        <w:rPr>
          <w:rFonts w:asciiTheme="minorBidi" w:hAnsiTheme="minorBidi" w:cstheme="minorBidi"/>
        </w:rPr>
        <w:t>contributes to health disparities</w:t>
      </w:r>
      <w:r w:rsidRPr="00D94A0B">
        <w:rPr>
          <w:rFonts w:asciiTheme="minorBidi" w:hAnsiTheme="minorBidi" w:cstheme="minorBidi"/>
        </w:rPr>
        <w:t xml:space="preserve">, for </w:t>
      </w:r>
      <w:r w:rsidR="00BF4A34">
        <w:rPr>
          <w:rFonts w:asciiTheme="minorBidi" w:hAnsiTheme="minorBidi" w:cstheme="minorBidi"/>
        </w:rPr>
        <w:t>instance</w:t>
      </w:r>
      <w:r w:rsidR="00EB3184" w:rsidRPr="00D94A0B">
        <w:rPr>
          <w:rFonts w:asciiTheme="minorBidi" w:hAnsiTheme="minorBidi" w:cstheme="minorBidi"/>
        </w:rPr>
        <w:t xml:space="preserve"> in</w:t>
      </w:r>
      <w:r w:rsidRPr="00D94A0B">
        <w:rPr>
          <w:rFonts w:asciiTheme="minorBidi" w:hAnsiTheme="minorBidi" w:cstheme="minorBidi"/>
        </w:rPr>
        <w:t xml:space="preserve"> the North of England, parts of central Scotland and south Wales</w:t>
      </w:r>
      <w:r w:rsidR="00A86366" w:rsidRPr="00D94A0B">
        <w:rPr>
          <w:rFonts w:asciiTheme="minorBidi" w:hAnsiTheme="minorBidi" w:cstheme="minorBidi"/>
        </w:rPr>
        <w:t>. They</w:t>
      </w:r>
      <w:r w:rsidRPr="00D94A0B">
        <w:rPr>
          <w:rFonts w:asciiTheme="minorBidi" w:hAnsiTheme="minorBidi" w:cstheme="minorBidi"/>
        </w:rPr>
        <w:t xml:space="preserve"> </w:t>
      </w:r>
      <w:r w:rsidR="00A86366" w:rsidRPr="00D94A0B">
        <w:rPr>
          <w:rFonts w:asciiTheme="minorBidi" w:hAnsiTheme="minorBidi" w:cstheme="minorBidi"/>
        </w:rPr>
        <w:t>have a significantly higher rate of premature deaths, which places extra strain on the health services. Social care resources within the community exacerbate</w:t>
      </w:r>
      <w:r w:rsidRPr="00D94A0B">
        <w:rPr>
          <w:rFonts w:asciiTheme="minorBidi" w:hAnsiTheme="minorBidi" w:cstheme="minorBidi"/>
        </w:rPr>
        <w:t xml:space="preserve"> the gap in healthy life expectancy between communities (British Heart Foundation, 2026b). There are also significant economic impacts, such as lost working days, early retirement due to ill health</w:t>
      </w:r>
      <w:r w:rsidR="003B157C" w:rsidRPr="00D94A0B">
        <w:rPr>
          <w:rFonts w:asciiTheme="minorBidi" w:hAnsiTheme="minorBidi" w:cstheme="minorBidi"/>
        </w:rPr>
        <w:t>, and direct healthcare costs, including hospitalisation, medication, and long-term care, borne by</w:t>
      </w:r>
      <w:r w:rsidRPr="00D94A0B">
        <w:rPr>
          <w:rFonts w:asciiTheme="minorBidi" w:hAnsiTheme="minorBidi" w:cstheme="minorBidi"/>
        </w:rPr>
        <w:t xml:space="preserve"> the NHS and social care system. </w:t>
      </w:r>
    </w:p>
    <w:p w14:paraId="482AF297" w14:textId="77777777" w:rsidR="001B032C" w:rsidRPr="00D94A0B" w:rsidRDefault="001B032C" w:rsidP="00495115">
      <w:pPr>
        <w:spacing w:line="360" w:lineRule="auto"/>
        <w:jc w:val="both"/>
        <w:rPr>
          <w:rFonts w:asciiTheme="minorBidi" w:hAnsiTheme="minorBidi" w:cstheme="minorBidi"/>
        </w:rPr>
      </w:pPr>
    </w:p>
    <w:p w14:paraId="216A1FBA" w14:textId="4F95247E" w:rsidR="00100AE5" w:rsidRPr="00D94A0B" w:rsidRDefault="00200D72" w:rsidP="00495115">
      <w:pPr>
        <w:pStyle w:val="Heading2"/>
        <w:spacing w:before="0" w:after="0" w:line="360" w:lineRule="auto"/>
        <w:jc w:val="both"/>
      </w:pPr>
      <w:bookmarkStart w:id="5" w:name="_Toc235791234"/>
      <w:r w:rsidRPr="00D94A0B">
        <w:t xml:space="preserve">2.4 Health and Social Care </w:t>
      </w:r>
      <w:r w:rsidR="0068784E">
        <w:t xml:space="preserve">Services Needs Within the </w:t>
      </w:r>
      <w:r w:rsidRPr="00D94A0B">
        <w:t>Community</w:t>
      </w:r>
      <w:bookmarkEnd w:id="5"/>
    </w:p>
    <w:p w14:paraId="42E9FFE4" w14:textId="19E150AA" w:rsidR="00240BA9" w:rsidRPr="00D94A0B" w:rsidRDefault="001B032C" w:rsidP="00495115">
      <w:pPr>
        <w:spacing w:line="360" w:lineRule="auto"/>
        <w:jc w:val="both"/>
      </w:pPr>
      <w:r w:rsidRPr="00D94A0B">
        <w:rPr>
          <w:rFonts w:asciiTheme="minorBidi" w:hAnsiTheme="minorBidi" w:cstheme="minorBidi"/>
        </w:rPr>
        <w:t xml:space="preserve">A coordinated approach is required between primary, secondary and community care to </w:t>
      </w:r>
      <w:r w:rsidR="00BF4A34">
        <w:rPr>
          <w:rFonts w:asciiTheme="minorBidi" w:hAnsiTheme="minorBidi" w:cstheme="minorBidi"/>
        </w:rPr>
        <w:t xml:space="preserve">accommodate the request </w:t>
      </w:r>
      <w:r w:rsidRPr="00D94A0B">
        <w:rPr>
          <w:rFonts w:asciiTheme="minorBidi" w:hAnsiTheme="minorBidi" w:cstheme="minorBidi"/>
        </w:rPr>
        <w:t xml:space="preserve">needs of people with CHD. CB-CR teams, which include nurses, physiotherapists, dietitians and psychologists, deliver CB-CR programmes comprising a structured exercise, education, and psychological support </w:t>
      </w:r>
      <w:r w:rsidR="00194386" w:rsidRPr="00D94A0B">
        <w:rPr>
          <w:rFonts w:asciiTheme="minorBidi" w:hAnsiTheme="minorBidi" w:cstheme="minorBidi"/>
        </w:rPr>
        <w:t>(Brown et al., 2024)</w:t>
      </w:r>
      <w:r w:rsidRPr="00D94A0B">
        <w:rPr>
          <w:rFonts w:asciiTheme="minorBidi" w:hAnsiTheme="minorBidi" w:cstheme="minorBidi"/>
        </w:rPr>
        <w:t xml:space="preserve">. Primary care and community nursing staff are responsible for continued </w:t>
      </w:r>
      <w:r w:rsidR="00BE74FE" w:rsidRPr="00D94A0B">
        <w:rPr>
          <w:rFonts w:asciiTheme="minorBidi" w:hAnsiTheme="minorBidi" w:cstheme="minorBidi"/>
        </w:rPr>
        <w:t>monitoring</w:t>
      </w:r>
      <w:r w:rsidR="000470CA" w:rsidRPr="00D94A0B">
        <w:rPr>
          <w:rFonts w:asciiTheme="minorBidi" w:hAnsiTheme="minorBidi" w:cstheme="minorBidi"/>
        </w:rPr>
        <w:t>, medicines mana</w:t>
      </w:r>
      <w:r w:rsidR="00255957" w:rsidRPr="00D94A0B">
        <w:rPr>
          <w:rFonts w:asciiTheme="minorBidi" w:hAnsiTheme="minorBidi" w:cstheme="minorBidi"/>
        </w:rPr>
        <w:t>gement, and risk factor reviews. P</w:t>
      </w:r>
      <w:r w:rsidRPr="00D94A0B">
        <w:rPr>
          <w:rFonts w:asciiTheme="minorBidi" w:hAnsiTheme="minorBidi" w:cstheme="minorBidi"/>
        </w:rPr>
        <w:t xml:space="preserve">harmacists are </w:t>
      </w:r>
      <w:r w:rsidR="00255957" w:rsidRPr="00D94A0B">
        <w:rPr>
          <w:rFonts w:asciiTheme="minorBidi" w:hAnsiTheme="minorBidi" w:cstheme="minorBidi"/>
        </w:rPr>
        <w:t xml:space="preserve">also </w:t>
      </w:r>
      <w:r w:rsidRPr="00D94A0B">
        <w:rPr>
          <w:rFonts w:asciiTheme="minorBidi" w:hAnsiTheme="minorBidi" w:cstheme="minorBidi"/>
        </w:rPr>
        <w:t>increasingly involved in medicines adherence support.</w:t>
      </w:r>
      <w:r w:rsidR="00240BA9" w:rsidRPr="00D94A0B">
        <w:rPr>
          <w:rFonts w:asciiTheme="minorBidi" w:hAnsiTheme="minorBidi" w:cstheme="minorBidi"/>
        </w:rPr>
        <w:t xml:space="preserve"> In the UK, practice is also guided by NICE recommendations on cardiovascular risk assessment and reduction, supporting evidence-based prevention and risk-factor management (NICE, 2023).</w:t>
      </w:r>
    </w:p>
    <w:p w14:paraId="2E7C65DA" w14:textId="34C846E9" w:rsidR="00737F06" w:rsidRPr="00D94A0B" w:rsidRDefault="001B032C" w:rsidP="00495115">
      <w:pPr>
        <w:spacing w:line="360" w:lineRule="auto"/>
        <w:jc w:val="both"/>
        <w:rPr>
          <w:rFonts w:asciiTheme="minorBidi" w:hAnsiTheme="minorBidi" w:cstheme="minorBidi"/>
        </w:rPr>
      </w:pPr>
      <w:r w:rsidRPr="00D94A0B">
        <w:rPr>
          <w:rFonts w:asciiTheme="minorBidi" w:hAnsiTheme="minorBidi" w:cstheme="minorBidi"/>
        </w:rPr>
        <w:t xml:space="preserve">Since psychological distress is prevalent, the importance of integrated psychological support and depression screening in cardiology and rehabilitation has become </w:t>
      </w:r>
      <w:r w:rsidR="00E45D27" w:rsidRPr="00D94A0B">
        <w:rPr>
          <w:rFonts w:asciiTheme="minorBidi" w:hAnsiTheme="minorBidi" w:cstheme="minorBidi"/>
        </w:rPr>
        <w:t>increasingly</w:t>
      </w:r>
      <w:r w:rsidRPr="00D94A0B">
        <w:rPr>
          <w:rFonts w:asciiTheme="minorBidi" w:hAnsiTheme="minorBidi" w:cstheme="minorBidi"/>
        </w:rPr>
        <w:t xml:space="preserve"> recommended than psychotherapy and depression screening separately (Kumar and Banerjee, 2026). Social support and peer-network interventions (such as buddy schemes and family- and community-inclusive rehabilitation) have also been found to </w:t>
      </w:r>
      <w:r w:rsidR="00DC7264" w:rsidRPr="00D94A0B">
        <w:rPr>
          <w:rFonts w:asciiTheme="minorBidi" w:hAnsiTheme="minorBidi" w:cstheme="minorBidi"/>
        </w:rPr>
        <w:t>be beneficial for</w:t>
      </w:r>
      <w:r w:rsidRPr="00D94A0B">
        <w:rPr>
          <w:rFonts w:asciiTheme="minorBidi" w:hAnsiTheme="minorBidi" w:cstheme="minorBidi"/>
        </w:rPr>
        <w:t xml:space="preserve"> engagement with rehabilitation and secondary prevention (Cochrane Heart Group, 2023). Self-management and shared </w:t>
      </w:r>
      <w:r w:rsidR="00DC7264" w:rsidRPr="00D94A0B">
        <w:rPr>
          <w:rFonts w:asciiTheme="minorBidi" w:hAnsiTheme="minorBidi" w:cstheme="minorBidi"/>
        </w:rPr>
        <w:t>decision-making are further supported by clear, patient-centred information and communication strategies that are appropriate to patients' information needs and timing</w:t>
      </w:r>
      <w:r w:rsidRPr="00D94A0B">
        <w:rPr>
          <w:rFonts w:asciiTheme="minorBidi" w:hAnsiTheme="minorBidi" w:cstheme="minorBidi"/>
        </w:rPr>
        <w:t xml:space="preserve"> (Byrne et al., 2023). </w:t>
      </w:r>
      <w:r w:rsidR="009163A6" w:rsidRPr="00D94A0B">
        <w:rPr>
          <w:rFonts w:asciiTheme="minorBidi" w:hAnsiTheme="minorBidi" w:cstheme="minorBidi"/>
        </w:rPr>
        <w:t xml:space="preserve">The psychological burden is significant as depression and anxiety are very common in individuals with CHD and </w:t>
      </w:r>
      <w:r w:rsidR="004B24B9" w:rsidRPr="00D94A0B">
        <w:rPr>
          <w:rFonts w:asciiTheme="minorBidi" w:hAnsiTheme="minorBidi" w:cstheme="minorBidi"/>
        </w:rPr>
        <w:t>relate to</w:t>
      </w:r>
      <w:r w:rsidR="009163A6" w:rsidRPr="00D94A0B">
        <w:rPr>
          <w:rFonts w:asciiTheme="minorBidi" w:hAnsiTheme="minorBidi" w:cstheme="minorBidi"/>
        </w:rPr>
        <w:t xml:space="preserve"> treatment non-adherence, slower recovery and higher risk of recurrence of cardiac events</w:t>
      </w:r>
      <w:r w:rsidR="00B62B35" w:rsidRPr="00D94A0B">
        <w:rPr>
          <w:rFonts w:asciiTheme="minorBidi" w:hAnsiTheme="minorBidi" w:cstheme="minorBidi"/>
        </w:rPr>
        <w:t>.</w:t>
      </w:r>
      <w:r w:rsidR="009163A6" w:rsidRPr="00D94A0B">
        <w:rPr>
          <w:rFonts w:asciiTheme="minorBidi" w:hAnsiTheme="minorBidi" w:cstheme="minorBidi"/>
        </w:rPr>
        <w:t xml:space="preserve"> </w:t>
      </w:r>
      <w:r w:rsidRPr="00D94A0B">
        <w:rPr>
          <w:rFonts w:asciiTheme="minorBidi" w:hAnsiTheme="minorBidi" w:cstheme="minorBidi"/>
        </w:rPr>
        <w:t>In addition to clinical services, social care services, including supporting carers when they need rest, the welfare and benefits services of local authorities</w:t>
      </w:r>
      <w:r w:rsidR="00A86366" w:rsidRPr="00D94A0B">
        <w:rPr>
          <w:rFonts w:asciiTheme="minorBidi" w:hAnsiTheme="minorBidi" w:cstheme="minorBidi"/>
        </w:rPr>
        <w:t>.</w:t>
      </w:r>
      <w:r w:rsidRPr="00D94A0B">
        <w:rPr>
          <w:rFonts w:asciiTheme="minorBidi" w:hAnsiTheme="minorBidi" w:cstheme="minorBidi"/>
        </w:rPr>
        <w:t xml:space="preserve"> </w:t>
      </w:r>
      <w:r w:rsidR="00A86366" w:rsidRPr="00D94A0B">
        <w:rPr>
          <w:rFonts w:asciiTheme="minorBidi" w:hAnsiTheme="minorBidi" w:cstheme="minorBidi"/>
        </w:rPr>
        <w:t xml:space="preserve">It includes </w:t>
      </w:r>
      <w:r w:rsidRPr="00D94A0B">
        <w:rPr>
          <w:rFonts w:asciiTheme="minorBidi" w:hAnsiTheme="minorBidi" w:cstheme="minorBidi"/>
        </w:rPr>
        <w:t xml:space="preserve">voluntary sector services, such as charity helplines and support </w:t>
      </w:r>
      <w:r w:rsidR="00895998" w:rsidRPr="00D94A0B">
        <w:rPr>
          <w:rFonts w:asciiTheme="minorBidi" w:hAnsiTheme="minorBidi" w:cstheme="minorBidi"/>
        </w:rPr>
        <w:t>groups that</w:t>
      </w:r>
      <w:r w:rsidR="00A86366" w:rsidRPr="00D94A0B">
        <w:rPr>
          <w:rFonts w:asciiTheme="minorBidi" w:hAnsiTheme="minorBidi" w:cstheme="minorBidi"/>
        </w:rPr>
        <w:t xml:space="preserve"> address the practical and financial implications of the condition. </w:t>
      </w:r>
    </w:p>
    <w:p w14:paraId="1C397D77" w14:textId="77777777" w:rsidR="00895998" w:rsidRPr="00D94A0B" w:rsidRDefault="00895998" w:rsidP="00495115">
      <w:pPr>
        <w:spacing w:line="360" w:lineRule="auto"/>
        <w:jc w:val="both"/>
        <w:rPr>
          <w:rFonts w:asciiTheme="minorBidi" w:hAnsiTheme="minorBidi" w:cstheme="minorBidi"/>
        </w:rPr>
      </w:pPr>
    </w:p>
    <w:p w14:paraId="78197D12" w14:textId="77777777" w:rsidR="00100AE5" w:rsidRPr="00D94A0B" w:rsidRDefault="00200D72" w:rsidP="00495115">
      <w:pPr>
        <w:pStyle w:val="Heading1"/>
        <w:spacing w:before="0" w:after="0" w:line="360" w:lineRule="auto"/>
        <w:jc w:val="both"/>
      </w:pPr>
      <w:bookmarkStart w:id="6" w:name="_Toc235791235"/>
      <w:r w:rsidRPr="00D94A0B">
        <w:t>3. Conclusion</w:t>
      </w:r>
      <w:bookmarkEnd w:id="6"/>
    </w:p>
    <w:p w14:paraId="50D2FCDD" w14:textId="7A76F26C" w:rsidR="00D460B0" w:rsidRPr="00D94A0B" w:rsidRDefault="00D76336" w:rsidP="00495115">
      <w:pPr>
        <w:spacing w:line="360" w:lineRule="auto"/>
        <w:jc w:val="both"/>
        <w:rPr>
          <w:rFonts w:asciiTheme="minorBidi" w:hAnsiTheme="minorBidi" w:cstheme="minorBidi"/>
          <w:b/>
          <w:bCs/>
        </w:rPr>
      </w:pPr>
      <w:r w:rsidRPr="00D94A0B">
        <w:rPr>
          <w:rFonts w:asciiTheme="minorBidi" w:hAnsiTheme="minorBidi" w:cstheme="minorBidi"/>
        </w:rPr>
        <w:t xml:space="preserve">CHD is </w:t>
      </w:r>
      <w:r w:rsidR="00DF5EEF">
        <w:rPr>
          <w:rFonts w:asciiTheme="minorBidi" w:hAnsiTheme="minorBidi" w:cstheme="minorBidi"/>
        </w:rPr>
        <w:t>among the significant</w:t>
      </w:r>
      <w:r w:rsidR="007C009C" w:rsidRPr="00D94A0B">
        <w:rPr>
          <w:rFonts w:asciiTheme="minorBidi" w:hAnsiTheme="minorBidi" w:cstheme="minorBidi"/>
        </w:rPr>
        <w:t xml:space="preserve"> </w:t>
      </w:r>
      <w:r w:rsidR="0068784E">
        <w:rPr>
          <w:rFonts w:asciiTheme="minorBidi" w:hAnsiTheme="minorBidi" w:cstheme="minorBidi"/>
        </w:rPr>
        <w:t>triggers</w:t>
      </w:r>
      <w:r w:rsidR="007C009C" w:rsidRPr="00D94A0B">
        <w:rPr>
          <w:rFonts w:asciiTheme="minorBidi" w:hAnsiTheme="minorBidi" w:cstheme="minorBidi"/>
        </w:rPr>
        <w:t xml:space="preserve"> of illness and </w:t>
      </w:r>
      <w:r w:rsidR="0068784E">
        <w:rPr>
          <w:rFonts w:asciiTheme="minorBidi" w:hAnsiTheme="minorBidi" w:cstheme="minorBidi"/>
        </w:rPr>
        <w:t>fatality</w:t>
      </w:r>
      <w:r w:rsidR="007C009C" w:rsidRPr="00D94A0B">
        <w:rPr>
          <w:rFonts w:asciiTheme="minorBidi" w:hAnsiTheme="minorBidi" w:cstheme="minorBidi"/>
        </w:rPr>
        <w:t xml:space="preserve"> and </w:t>
      </w:r>
      <w:r w:rsidR="00EB3184" w:rsidRPr="00D94A0B">
        <w:rPr>
          <w:rFonts w:asciiTheme="minorBidi" w:hAnsiTheme="minorBidi" w:cstheme="minorBidi"/>
        </w:rPr>
        <w:t>is</w:t>
      </w:r>
      <w:r w:rsidR="007C009C" w:rsidRPr="00D94A0B">
        <w:rPr>
          <w:rFonts w:asciiTheme="minorBidi" w:hAnsiTheme="minorBidi" w:cstheme="minorBidi"/>
        </w:rPr>
        <w:t xml:space="preserve"> a direct result of atherosclerosis of the coronary arteries in the human body. It is associated with </w:t>
      </w:r>
      <w:r w:rsidRPr="00D94A0B">
        <w:rPr>
          <w:rFonts w:asciiTheme="minorBidi" w:hAnsiTheme="minorBidi" w:cstheme="minorBidi"/>
        </w:rPr>
        <w:t xml:space="preserve">modifiable lifestyle risk factors in the UK and globally. Monitoring involves population </w:t>
      </w:r>
      <w:r w:rsidR="00532BD0" w:rsidRPr="00D94A0B">
        <w:rPr>
          <w:rFonts w:asciiTheme="minorBidi" w:hAnsiTheme="minorBidi" w:cstheme="minorBidi"/>
        </w:rPr>
        <w:t xml:space="preserve">and clinical monitoring, including ECG, imaging, and new AI-based clinical diagnostic tools, while control relies on lifestyle changes, medications, </w:t>
      </w:r>
      <w:r w:rsidR="00532BD0" w:rsidRPr="00D94A0B">
        <w:rPr>
          <w:rFonts w:asciiTheme="minorBidi" w:hAnsiTheme="minorBidi" w:cstheme="minorBidi"/>
        </w:rPr>
        <w:lastRenderedPageBreak/>
        <w:t>revascularisation,</w:t>
      </w:r>
      <w:r w:rsidRPr="00D94A0B">
        <w:rPr>
          <w:rFonts w:asciiTheme="minorBidi" w:hAnsiTheme="minorBidi" w:cstheme="minorBidi"/>
        </w:rPr>
        <w:t xml:space="preserve"> and structured cardiac rehab. Its impact goes beyond the person, impacting on mental health, families and communities and contributing to broader health inequalities. Meeting these needs will </w:t>
      </w:r>
      <w:r w:rsidR="00173E80" w:rsidRPr="00D94A0B">
        <w:rPr>
          <w:rFonts w:asciiTheme="minorBidi" w:hAnsiTheme="minorBidi" w:cstheme="minorBidi"/>
        </w:rPr>
        <w:t>require</w:t>
      </w:r>
      <w:r w:rsidRPr="00D94A0B">
        <w:rPr>
          <w:rFonts w:asciiTheme="minorBidi" w:hAnsiTheme="minorBidi" w:cstheme="minorBidi"/>
        </w:rPr>
        <w:t xml:space="preserve"> a coordinated network of health and social care services delivering clinical rehabilitation, psychological support, primary care and community and voluntary sector services, so that recovery, independence and </w:t>
      </w:r>
      <w:r w:rsidR="007C009C" w:rsidRPr="00D94A0B">
        <w:rPr>
          <w:rFonts w:asciiTheme="minorBidi" w:hAnsiTheme="minorBidi" w:cstheme="minorBidi"/>
        </w:rPr>
        <w:t>long-term</w:t>
      </w:r>
      <w:r w:rsidRPr="00D94A0B">
        <w:rPr>
          <w:rFonts w:asciiTheme="minorBidi" w:hAnsiTheme="minorBidi" w:cstheme="minorBidi"/>
        </w:rPr>
        <w:t xml:space="preserve"> wellbeing can be supported.</w:t>
      </w:r>
      <w:r w:rsidR="00D460B0" w:rsidRPr="00D94A0B">
        <w:br w:type="page"/>
      </w:r>
    </w:p>
    <w:p w14:paraId="250534CE" w14:textId="61A6A348" w:rsidR="00100AE5" w:rsidRPr="00D94A0B" w:rsidRDefault="00200D72" w:rsidP="00495115">
      <w:pPr>
        <w:pStyle w:val="Heading1"/>
        <w:spacing w:before="0" w:after="0" w:line="360" w:lineRule="auto"/>
        <w:jc w:val="both"/>
      </w:pPr>
      <w:bookmarkStart w:id="7" w:name="_Toc235791236"/>
      <w:r w:rsidRPr="00D94A0B">
        <w:lastRenderedPageBreak/>
        <w:t>References</w:t>
      </w:r>
      <w:bookmarkEnd w:id="7"/>
    </w:p>
    <w:p w14:paraId="69D3A5F8"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Awasthi, S., Sachdeva, N., Gupta, Y., Anto, A.G., </w:t>
      </w:r>
      <w:proofErr w:type="spellStart"/>
      <w:r w:rsidRPr="00CC4F44">
        <w:rPr>
          <w:rFonts w:asciiTheme="minorBidi" w:hAnsiTheme="minorBidi" w:cstheme="minorBidi"/>
          <w:sz w:val="18"/>
          <w:szCs w:val="18"/>
        </w:rPr>
        <w:t>Asfahan</w:t>
      </w:r>
      <w:proofErr w:type="spellEnd"/>
      <w:r w:rsidRPr="00CC4F44">
        <w:rPr>
          <w:rFonts w:asciiTheme="minorBidi" w:hAnsiTheme="minorBidi" w:cstheme="minorBidi"/>
          <w:sz w:val="18"/>
          <w:szCs w:val="18"/>
        </w:rPr>
        <w:t xml:space="preserve">, S., Abbou, R., Bade, S., Sood, S., Hegstrom, L., Vellanki, N., Alger, H.M., Babu, M., Medina-Inojosa, J.R., McCully, R.B., Lerman, A., </w:t>
      </w:r>
      <w:proofErr w:type="spellStart"/>
      <w:r w:rsidRPr="00CC4F44">
        <w:rPr>
          <w:rFonts w:asciiTheme="minorBidi" w:hAnsiTheme="minorBidi" w:cstheme="minorBidi"/>
          <w:sz w:val="18"/>
          <w:szCs w:val="18"/>
        </w:rPr>
        <w:t>Stampehl</w:t>
      </w:r>
      <w:proofErr w:type="spellEnd"/>
      <w:r w:rsidRPr="00CC4F44">
        <w:rPr>
          <w:rFonts w:asciiTheme="minorBidi" w:hAnsiTheme="minorBidi" w:cstheme="minorBidi"/>
          <w:sz w:val="18"/>
          <w:szCs w:val="18"/>
        </w:rPr>
        <w:t xml:space="preserve">, M., Barve, R., Attia, Z.I., Friedman, P.A., Soundararajan, V. and Lopez-Jimenez, F. (2023) 'Identification and risk stratification of coronary disease by artificial intelligence-enabled ECG', </w:t>
      </w:r>
      <w:proofErr w:type="spellStart"/>
      <w:r w:rsidRPr="00CC4F44">
        <w:rPr>
          <w:rFonts w:asciiTheme="minorBidi" w:hAnsiTheme="minorBidi" w:cstheme="minorBidi"/>
          <w:sz w:val="18"/>
          <w:szCs w:val="18"/>
        </w:rPr>
        <w:t>eClinicalMedicine</w:t>
      </w:r>
      <w:proofErr w:type="spellEnd"/>
      <w:r w:rsidRPr="00CC4F44">
        <w:rPr>
          <w:rFonts w:asciiTheme="minorBidi" w:hAnsiTheme="minorBidi" w:cstheme="minorBidi"/>
          <w:sz w:val="18"/>
          <w:szCs w:val="18"/>
        </w:rPr>
        <w:t xml:space="preserve">, 64, 102259. </w:t>
      </w:r>
      <w:hyperlink r:id="rId9" w:history="1">
        <w:r w:rsidRPr="00CC4F44">
          <w:rPr>
            <w:rStyle w:val="Hyperlink"/>
            <w:rFonts w:asciiTheme="minorBidi" w:hAnsiTheme="minorBidi" w:cstheme="minorBidi"/>
            <w:sz w:val="18"/>
            <w:szCs w:val="18"/>
          </w:rPr>
          <w:t>https://doi.org/10.1016/j.eclinm.2023.102259</w:t>
        </w:r>
      </w:hyperlink>
      <w:r w:rsidRPr="00CC4F44">
        <w:rPr>
          <w:rFonts w:asciiTheme="minorBidi" w:hAnsiTheme="minorBidi" w:cstheme="minorBidi"/>
          <w:sz w:val="18"/>
          <w:szCs w:val="18"/>
        </w:rPr>
        <w:t xml:space="preserve"> </w:t>
      </w:r>
    </w:p>
    <w:p w14:paraId="77931932"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British Heart Foundation (2026a) Global Heart and Circulatory Disease Statistics Factsheet. London: British Heart Foundation. </w:t>
      </w:r>
      <w:hyperlink r:id="rId10" w:history="1">
        <w:r w:rsidRPr="00CC4F44">
          <w:rPr>
            <w:rStyle w:val="Hyperlink"/>
            <w:rFonts w:asciiTheme="minorBidi" w:hAnsiTheme="minorBidi" w:cstheme="minorBidi"/>
            <w:sz w:val="18"/>
            <w:szCs w:val="18"/>
          </w:rPr>
          <w:t>https://www.bhf.org.uk/-/media/files/for-professionals/research/heart-statistics/bhf-cvd-statistics-global-factsheet-jan26.pdf</w:t>
        </w:r>
      </w:hyperlink>
      <w:r w:rsidRPr="00CC4F44">
        <w:rPr>
          <w:rFonts w:asciiTheme="minorBidi" w:hAnsiTheme="minorBidi" w:cstheme="minorBidi"/>
          <w:sz w:val="18"/>
          <w:szCs w:val="18"/>
        </w:rPr>
        <w:t xml:space="preserve">  </w:t>
      </w:r>
    </w:p>
    <w:p w14:paraId="613A87E7"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British Heart Foundation (2026b) UK Cardiovascular Disease Statistics Factsheet. London: British Heart Foundation. </w:t>
      </w:r>
      <w:hyperlink r:id="rId11" w:history="1">
        <w:r w:rsidRPr="00CC4F44">
          <w:rPr>
            <w:rStyle w:val="Hyperlink"/>
            <w:rFonts w:asciiTheme="minorBidi" w:hAnsiTheme="minorBidi" w:cstheme="minorBidi"/>
            <w:sz w:val="18"/>
            <w:szCs w:val="18"/>
          </w:rPr>
          <w:t>https://www.bhf.org.uk/-/media/files/for-professionals/research/heart-statistics/bhf-cvd-statistics-uk-factsheet-jan26.pdf</w:t>
        </w:r>
      </w:hyperlink>
      <w:r w:rsidRPr="00CC4F44">
        <w:rPr>
          <w:rFonts w:asciiTheme="minorBidi" w:hAnsiTheme="minorBidi" w:cstheme="minorBidi"/>
          <w:sz w:val="18"/>
          <w:szCs w:val="18"/>
        </w:rPr>
        <w:t xml:space="preserve"> </w:t>
      </w:r>
    </w:p>
    <w:p w14:paraId="1D7C82C2"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Brown, T.M., Pack, Q.R., Aberegg, E., Brewer, L.C., Ford, Y.R., Forman, D.E., Gathright, E.C., </w:t>
      </w:r>
      <w:proofErr w:type="spellStart"/>
      <w:r w:rsidRPr="00CC4F44">
        <w:rPr>
          <w:rFonts w:asciiTheme="minorBidi" w:hAnsiTheme="minorBidi" w:cstheme="minorBidi"/>
          <w:sz w:val="18"/>
          <w:szCs w:val="18"/>
        </w:rPr>
        <w:t>Khadanga</w:t>
      </w:r>
      <w:proofErr w:type="spellEnd"/>
      <w:r w:rsidRPr="00CC4F44">
        <w:rPr>
          <w:rFonts w:asciiTheme="minorBidi" w:hAnsiTheme="minorBidi" w:cstheme="minorBidi"/>
          <w:sz w:val="18"/>
          <w:szCs w:val="18"/>
        </w:rPr>
        <w:t xml:space="preserve">, S., Ozemek, C. and Thomas, R.J., 2024. Core components of cardiac rehabilitation programs: 2024 update: a scientific statement from the American Heart Association and the American Association of Cardiovascular and Pulmonary Rehabilitation. Circulation, 150(18), </w:t>
      </w:r>
      <w:proofErr w:type="gramStart"/>
      <w:r w:rsidRPr="00CC4F44">
        <w:rPr>
          <w:rFonts w:asciiTheme="minorBidi" w:hAnsiTheme="minorBidi" w:cstheme="minorBidi"/>
          <w:sz w:val="18"/>
          <w:szCs w:val="18"/>
        </w:rPr>
        <w:t>pp.e</w:t>
      </w:r>
      <w:proofErr w:type="gramEnd"/>
      <w:r w:rsidRPr="00CC4F44">
        <w:rPr>
          <w:rFonts w:asciiTheme="minorBidi" w:hAnsiTheme="minorBidi" w:cstheme="minorBidi"/>
          <w:sz w:val="18"/>
          <w:szCs w:val="18"/>
        </w:rPr>
        <w:t xml:space="preserve">328-e347. </w:t>
      </w:r>
      <w:hyperlink r:id="rId12" w:history="1">
        <w:r w:rsidRPr="00CC4F44">
          <w:rPr>
            <w:rStyle w:val="Hyperlink"/>
            <w:rFonts w:asciiTheme="minorBidi" w:hAnsiTheme="minorBidi" w:cstheme="minorBidi"/>
            <w:sz w:val="18"/>
            <w:szCs w:val="18"/>
          </w:rPr>
          <w:t>https://doi.org/10.1161/CIR.0000000000001289</w:t>
        </w:r>
      </w:hyperlink>
      <w:r w:rsidRPr="00CC4F44">
        <w:rPr>
          <w:rFonts w:asciiTheme="minorBidi" w:hAnsiTheme="minorBidi" w:cstheme="minorBidi"/>
          <w:sz w:val="18"/>
          <w:szCs w:val="18"/>
        </w:rPr>
        <w:t xml:space="preserve"> </w:t>
      </w:r>
    </w:p>
    <w:p w14:paraId="4CB11E26"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Byrne, M., Doherty, S., McGee, H. and Murphy, A.W. (2023) 'Information needs and communication strategies for people with coronary heart disease: a scoping review', International Journal of Environmental Research and Public Health, 20(3), 1723. </w:t>
      </w:r>
      <w:hyperlink r:id="rId13" w:history="1">
        <w:r w:rsidRPr="00CC4F44">
          <w:rPr>
            <w:rStyle w:val="Hyperlink"/>
            <w:rFonts w:asciiTheme="minorBidi" w:hAnsiTheme="minorBidi" w:cstheme="minorBidi"/>
            <w:sz w:val="18"/>
            <w:szCs w:val="18"/>
          </w:rPr>
          <w:t>https://doi.org/10.3390/ijerph20031723</w:t>
        </w:r>
      </w:hyperlink>
      <w:r w:rsidRPr="00CC4F44">
        <w:rPr>
          <w:rFonts w:asciiTheme="minorBidi" w:hAnsiTheme="minorBidi" w:cstheme="minorBidi"/>
          <w:sz w:val="18"/>
          <w:szCs w:val="18"/>
        </w:rPr>
        <w:t xml:space="preserve"> </w:t>
      </w:r>
    </w:p>
    <w:p w14:paraId="41DE7132"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Cochrane Heart Group (2023) 'Social network interventions to support cardiac rehabilitation and secondary prevention in the management of people with heart disease', Cochrane Database of Systematic Reviews, 2023(6), CD013820. </w:t>
      </w:r>
      <w:hyperlink r:id="rId14" w:history="1">
        <w:r w:rsidRPr="00CC4F44">
          <w:rPr>
            <w:rStyle w:val="Hyperlink"/>
            <w:rFonts w:asciiTheme="minorBidi" w:hAnsiTheme="minorBidi" w:cstheme="minorBidi"/>
            <w:sz w:val="18"/>
            <w:szCs w:val="18"/>
          </w:rPr>
          <w:t>https://doi.org/10.1002/14651858.CD013820.pub2</w:t>
        </w:r>
      </w:hyperlink>
      <w:r w:rsidRPr="00CC4F44">
        <w:rPr>
          <w:rFonts w:asciiTheme="minorBidi" w:hAnsiTheme="minorBidi" w:cstheme="minorBidi"/>
          <w:sz w:val="18"/>
          <w:szCs w:val="18"/>
        </w:rPr>
        <w:t xml:space="preserve"> </w:t>
      </w:r>
    </w:p>
    <w:p w14:paraId="0DA95965"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Karger Cardiology Review (2025) 'Efficacy of diagnostic testing of suspected coronary artery disease: a contemporary review', Cardiology, 150(2), pp. 111–132. </w:t>
      </w:r>
      <w:hyperlink r:id="rId15" w:history="1">
        <w:r w:rsidRPr="00CC4F44">
          <w:rPr>
            <w:rStyle w:val="Hyperlink"/>
            <w:rFonts w:asciiTheme="minorBidi" w:hAnsiTheme="minorBidi" w:cstheme="minorBidi"/>
            <w:sz w:val="18"/>
            <w:szCs w:val="18"/>
          </w:rPr>
          <w:t>https://doi.org/10.1159/000539916</w:t>
        </w:r>
      </w:hyperlink>
      <w:r w:rsidRPr="00CC4F44">
        <w:rPr>
          <w:rFonts w:asciiTheme="minorBidi" w:hAnsiTheme="minorBidi" w:cstheme="minorBidi"/>
          <w:sz w:val="18"/>
          <w:szCs w:val="18"/>
        </w:rPr>
        <w:t xml:space="preserve"> </w:t>
      </w:r>
    </w:p>
    <w:p w14:paraId="34D71D15"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Kumar, S. and Banerjee, A. (2026) 'Bridging cardiac and mental health: screening for depression in cardiology settings', </w:t>
      </w:r>
      <w:proofErr w:type="spellStart"/>
      <w:r w:rsidRPr="00CC4F44">
        <w:rPr>
          <w:rFonts w:asciiTheme="minorBidi" w:hAnsiTheme="minorBidi" w:cstheme="minorBidi"/>
          <w:sz w:val="18"/>
          <w:szCs w:val="18"/>
        </w:rPr>
        <w:t>Cureus</w:t>
      </w:r>
      <w:proofErr w:type="spellEnd"/>
      <w:r w:rsidRPr="00CC4F44">
        <w:rPr>
          <w:rFonts w:asciiTheme="minorBidi" w:hAnsiTheme="minorBidi" w:cstheme="minorBidi"/>
          <w:sz w:val="18"/>
          <w:szCs w:val="18"/>
        </w:rPr>
        <w:t xml:space="preserve">, 18(1), e102107. </w:t>
      </w:r>
      <w:hyperlink r:id="rId16" w:history="1">
        <w:r w:rsidRPr="00CC4F44">
          <w:rPr>
            <w:rStyle w:val="Hyperlink"/>
            <w:rFonts w:asciiTheme="minorBidi" w:hAnsiTheme="minorBidi" w:cstheme="minorBidi"/>
            <w:sz w:val="18"/>
            <w:szCs w:val="18"/>
          </w:rPr>
          <w:t>https://doi.org/10.7759/cureus.102107</w:t>
        </w:r>
      </w:hyperlink>
      <w:r w:rsidRPr="00CC4F44">
        <w:rPr>
          <w:rFonts w:asciiTheme="minorBidi" w:hAnsiTheme="minorBidi" w:cstheme="minorBidi"/>
          <w:sz w:val="18"/>
          <w:szCs w:val="18"/>
        </w:rPr>
        <w:t xml:space="preserve"> </w:t>
      </w:r>
    </w:p>
    <w:p w14:paraId="3B837A9B"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Laranjo, L., Lanas, F., Chan Sun, M., Chen, D.A., Hynes, L., Imran, T.F., Kazi, D.S., Kengne, A.P., Komiyama, M., Kuwabara, M., Lim, J., Perel, P., Piñeiro, D.J., Ponte-</w:t>
      </w:r>
      <w:proofErr w:type="spellStart"/>
      <w:r w:rsidRPr="00CC4F44">
        <w:rPr>
          <w:rFonts w:asciiTheme="minorBidi" w:hAnsiTheme="minorBidi" w:cstheme="minorBidi"/>
          <w:sz w:val="18"/>
          <w:szCs w:val="18"/>
        </w:rPr>
        <w:t>Negretti</w:t>
      </w:r>
      <w:proofErr w:type="spellEnd"/>
      <w:r w:rsidRPr="00CC4F44">
        <w:rPr>
          <w:rFonts w:asciiTheme="minorBidi" w:hAnsiTheme="minorBidi" w:cstheme="minorBidi"/>
          <w:sz w:val="18"/>
          <w:szCs w:val="18"/>
        </w:rPr>
        <w:t xml:space="preserve">, C.I., Séverin, T., Thompson, D.R., </w:t>
      </w:r>
      <w:proofErr w:type="spellStart"/>
      <w:r w:rsidRPr="00CC4F44">
        <w:rPr>
          <w:rFonts w:asciiTheme="minorBidi" w:hAnsiTheme="minorBidi" w:cstheme="minorBidi"/>
          <w:sz w:val="18"/>
          <w:szCs w:val="18"/>
        </w:rPr>
        <w:t>Tokgözoğlu</w:t>
      </w:r>
      <w:proofErr w:type="spellEnd"/>
      <w:r w:rsidRPr="00CC4F44">
        <w:rPr>
          <w:rFonts w:asciiTheme="minorBidi" w:hAnsiTheme="minorBidi" w:cstheme="minorBidi"/>
          <w:sz w:val="18"/>
          <w:szCs w:val="18"/>
        </w:rPr>
        <w:t xml:space="preserve">, L., Yan, L.L. and Chow, C.K. (2024) 'World Heart Federation roadmap for secondary prevention of cardiovascular disease: 2023 update', Global Heart, 19(1), 8. </w:t>
      </w:r>
      <w:hyperlink r:id="rId17" w:history="1">
        <w:r w:rsidRPr="00CC4F44">
          <w:rPr>
            <w:rStyle w:val="Hyperlink"/>
            <w:rFonts w:asciiTheme="minorBidi" w:hAnsiTheme="minorBidi" w:cstheme="minorBidi"/>
            <w:sz w:val="18"/>
            <w:szCs w:val="18"/>
          </w:rPr>
          <w:t>https://doi.org/10.5334/gh.1278</w:t>
        </w:r>
      </w:hyperlink>
      <w:r w:rsidRPr="00CC4F44">
        <w:rPr>
          <w:rFonts w:asciiTheme="minorBidi" w:hAnsiTheme="minorBidi" w:cstheme="minorBidi"/>
          <w:sz w:val="18"/>
          <w:szCs w:val="18"/>
        </w:rPr>
        <w:t xml:space="preserve"> </w:t>
      </w:r>
    </w:p>
    <w:p w14:paraId="3E036D31" w14:textId="77777777" w:rsidR="00B64DC8" w:rsidRPr="00CC4F44" w:rsidRDefault="00B64DC8" w:rsidP="00495115">
      <w:pPr>
        <w:spacing w:line="360" w:lineRule="auto"/>
        <w:ind w:left="480" w:hanging="480"/>
        <w:jc w:val="both"/>
        <w:rPr>
          <w:rFonts w:asciiTheme="minorBidi" w:hAnsiTheme="minorBidi" w:cstheme="minorBidi"/>
          <w:sz w:val="18"/>
          <w:szCs w:val="18"/>
        </w:rPr>
      </w:pPr>
      <w:proofErr w:type="spellStart"/>
      <w:r w:rsidRPr="00CC4F44">
        <w:rPr>
          <w:rFonts w:asciiTheme="minorBidi" w:hAnsiTheme="minorBidi" w:cstheme="minorBidi"/>
          <w:sz w:val="18"/>
          <w:szCs w:val="18"/>
        </w:rPr>
        <w:t>Lv</w:t>
      </w:r>
      <w:proofErr w:type="spellEnd"/>
      <w:r w:rsidRPr="00CC4F44">
        <w:rPr>
          <w:rFonts w:asciiTheme="minorBidi" w:hAnsiTheme="minorBidi" w:cstheme="minorBidi"/>
          <w:sz w:val="18"/>
          <w:szCs w:val="18"/>
        </w:rPr>
        <w:t xml:space="preserve">, W. (2025) 'Diagnostic performance of dynamic electrocardiography in the diagnosis of myocardial ischemic attack in coronary heart disease: a systematic review and meta-analysis', Frontiers in Medicine, 12, 1646417. </w:t>
      </w:r>
      <w:proofErr w:type="spellStart"/>
      <w:r w:rsidRPr="00CC4F44">
        <w:rPr>
          <w:rFonts w:asciiTheme="minorBidi" w:hAnsiTheme="minorBidi" w:cstheme="minorBidi"/>
          <w:sz w:val="18"/>
          <w:szCs w:val="18"/>
        </w:rPr>
        <w:t>doi</w:t>
      </w:r>
      <w:proofErr w:type="spellEnd"/>
      <w:r w:rsidRPr="00CC4F44">
        <w:rPr>
          <w:rFonts w:asciiTheme="minorBidi" w:hAnsiTheme="minorBidi" w:cstheme="minorBidi"/>
          <w:sz w:val="18"/>
          <w:szCs w:val="18"/>
        </w:rPr>
        <w:t>: 10.3389/fmed.2025.1646417.</w:t>
      </w:r>
    </w:p>
    <w:p w14:paraId="2480C552"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National Health Service (2023) </w:t>
      </w:r>
      <w:proofErr w:type="gramStart"/>
      <w:r w:rsidRPr="00CC4F44">
        <w:rPr>
          <w:rFonts w:asciiTheme="minorBidi" w:hAnsiTheme="minorBidi" w:cstheme="minorBidi"/>
          <w:sz w:val="18"/>
          <w:szCs w:val="18"/>
        </w:rPr>
        <w:t>Coronary Heart Disease</w:t>
      </w:r>
      <w:proofErr w:type="gramEnd"/>
      <w:r w:rsidRPr="00CC4F44">
        <w:rPr>
          <w:rFonts w:asciiTheme="minorBidi" w:hAnsiTheme="minorBidi" w:cstheme="minorBidi"/>
          <w:sz w:val="18"/>
          <w:szCs w:val="18"/>
        </w:rPr>
        <w:t xml:space="preserve">. </w:t>
      </w:r>
      <w:hyperlink r:id="rId18" w:history="1">
        <w:r w:rsidRPr="00CC4F44">
          <w:rPr>
            <w:rStyle w:val="Hyperlink"/>
            <w:rFonts w:asciiTheme="minorBidi" w:hAnsiTheme="minorBidi" w:cstheme="minorBidi"/>
            <w:sz w:val="18"/>
            <w:szCs w:val="18"/>
          </w:rPr>
          <w:t>https://www.nhs.uk/conditions/coronary-heart-disease/</w:t>
        </w:r>
      </w:hyperlink>
      <w:r w:rsidRPr="00CC4F44">
        <w:rPr>
          <w:rFonts w:asciiTheme="minorBidi" w:hAnsiTheme="minorBidi" w:cstheme="minorBidi"/>
          <w:sz w:val="18"/>
          <w:szCs w:val="18"/>
        </w:rPr>
        <w:t xml:space="preserve"> </w:t>
      </w:r>
    </w:p>
    <w:p w14:paraId="7B1EB06E"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 xml:space="preserve">National Institute for Health and Care Excellence (NICE) (2023) </w:t>
      </w:r>
      <w:proofErr w:type="gramStart"/>
      <w:r w:rsidRPr="00CC4F44">
        <w:rPr>
          <w:rFonts w:asciiTheme="minorBidi" w:hAnsiTheme="minorBidi" w:cstheme="minorBidi"/>
          <w:sz w:val="18"/>
          <w:szCs w:val="18"/>
        </w:rPr>
        <w:t>Cardiovascular disease</w:t>
      </w:r>
      <w:proofErr w:type="gramEnd"/>
      <w:r w:rsidRPr="00CC4F44">
        <w:rPr>
          <w:rFonts w:asciiTheme="minorBidi" w:hAnsiTheme="minorBidi" w:cstheme="minorBidi"/>
          <w:sz w:val="18"/>
          <w:szCs w:val="18"/>
        </w:rPr>
        <w:t xml:space="preserve">: risk assessment and reduction, including lipid modification (NG238). </w:t>
      </w:r>
      <w:hyperlink r:id="rId19" w:history="1">
        <w:r w:rsidRPr="00CC4F44">
          <w:rPr>
            <w:rStyle w:val="Hyperlink"/>
            <w:rFonts w:asciiTheme="minorBidi" w:hAnsiTheme="minorBidi" w:cstheme="minorBidi"/>
            <w:sz w:val="18"/>
            <w:szCs w:val="18"/>
          </w:rPr>
          <w:t>https://www.nice.org.uk/guidance/ng238</w:t>
        </w:r>
      </w:hyperlink>
      <w:r w:rsidRPr="00CC4F44">
        <w:rPr>
          <w:rFonts w:asciiTheme="minorBidi" w:hAnsiTheme="minorBidi" w:cstheme="minorBidi"/>
          <w:sz w:val="18"/>
          <w:szCs w:val="18"/>
        </w:rPr>
        <w:t xml:space="preserve"> </w:t>
      </w:r>
    </w:p>
    <w:p w14:paraId="63635D67" w14:textId="77777777" w:rsidR="00B64DC8" w:rsidRPr="00CC4F44" w:rsidRDefault="00B64DC8" w:rsidP="00495115">
      <w:pPr>
        <w:spacing w:line="360" w:lineRule="auto"/>
        <w:ind w:left="480" w:hanging="480"/>
        <w:jc w:val="both"/>
        <w:rPr>
          <w:rFonts w:asciiTheme="minorBidi" w:hAnsiTheme="minorBidi" w:cstheme="minorBidi"/>
          <w:sz w:val="18"/>
          <w:szCs w:val="18"/>
        </w:rPr>
      </w:pPr>
      <w:r w:rsidRPr="00CC4F44">
        <w:rPr>
          <w:rFonts w:asciiTheme="minorBidi" w:hAnsiTheme="minorBidi" w:cstheme="minorBidi"/>
          <w:sz w:val="18"/>
          <w:szCs w:val="18"/>
        </w:rPr>
        <w:t>Pardo, Y., Garin, O., Oriol, C., Zamora, V., Ribera, A. and Ferrer, M. (2023) 'Patient-</w:t>
      </w:r>
      <w:proofErr w:type="spellStart"/>
      <w:r w:rsidRPr="00CC4F44">
        <w:rPr>
          <w:rFonts w:asciiTheme="minorBidi" w:hAnsiTheme="minorBidi" w:cstheme="minorBidi"/>
          <w:sz w:val="18"/>
          <w:szCs w:val="18"/>
        </w:rPr>
        <w:t>centered</w:t>
      </w:r>
      <w:proofErr w:type="spellEnd"/>
      <w:r w:rsidRPr="00CC4F44">
        <w:rPr>
          <w:rFonts w:asciiTheme="minorBidi" w:hAnsiTheme="minorBidi" w:cstheme="minorBidi"/>
          <w:sz w:val="18"/>
          <w:szCs w:val="18"/>
        </w:rPr>
        <w:t xml:space="preserve"> care in coronary heart disease: what do you want to measure? A systematic review of reviews on patient-reported outcome measures', Quality of Life Research, 32(5), pp. 1405–1425. </w:t>
      </w:r>
      <w:hyperlink r:id="rId20" w:history="1">
        <w:r w:rsidRPr="00CC4F44">
          <w:rPr>
            <w:rStyle w:val="Hyperlink"/>
            <w:rFonts w:asciiTheme="minorBidi" w:hAnsiTheme="minorBidi" w:cstheme="minorBidi"/>
            <w:sz w:val="18"/>
            <w:szCs w:val="18"/>
          </w:rPr>
          <w:t>https://doi.org/10.1007/s11136-022-03260-6</w:t>
        </w:r>
      </w:hyperlink>
      <w:r w:rsidRPr="00CC4F44">
        <w:rPr>
          <w:rFonts w:asciiTheme="minorBidi" w:hAnsiTheme="minorBidi" w:cstheme="minorBidi"/>
          <w:sz w:val="18"/>
          <w:szCs w:val="18"/>
        </w:rPr>
        <w:t xml:space="preserve"> </w:t>
      </w:r>
    </w:p>
    <w:sectPr w:rsidR="00B64DC8" w:rsidRPr="00CC4F44">
      <w:headerReference w:type="default" r:id="rId21"/>
      <w:pgSz w:w="11906" w:h="16838"/>
      <w:pgMar w:top="1134" w:right="1134" w:bottom="1134" w:left="1134" w:header="708" w:footer="708"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BD46B60" w14:textId="77777777" w:rsidR="00E77B17" w:rsidRDefault="00E77B17" w:rsidP="002E7DE7">
      <w:r>
        <w:separator/>
      </w:r>
    </w:p>
  </w:endnote>
  <w:endnote w:type="continuationSeparator" w:id="0">
    <w:p w14:paraId="2FA81992" w14:textId="77777777" w:rsidR="00E77B17" w:rsidRDefault="00E77B17" w:rsidP="002E7D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Segoe UI">
    <w:panose1 w:val="020B0502040204020203"/>
    <w:charset w:val="00"/>
    <w:family w:val="swiss"/>
    <w:pitch w:val="variable"/>
    <w:sig w:usb0="E4002EFF" w:usb1="C000E47F" w:usb2="00000009" w:usb3="00000000" w:csb0="000001FF" w:csb1="00000000"/>
  </w:font>
  <w:font w:name="Aptos">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90ED49" w14:textId="77777777" w:rsidR="00E77B17" w:rsidRDefault="00E77B17" w:rsidP="002E7DE7">
      <w:r>
        <w:separator/>
      </w:r>
    </w:p>
  </w:footnote>
  <w:footnote w:type="continuationSeparator" w:id="0">
    <w:p w14:paraId="33B3D62A" w14:textId="77777777" w:rsidR="00E77B17" w:rsidRDefault="00E77B17" w:rsidP="002E7DE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765222518"/>
      <w:docPartObj>
        <w:docPartGallery w:val="Page Numbers (Top of Page)"/>
        <w:docPartUnique/>
      </w:docPartObj>
    </w:sdtPr>
    <w:sdtEndPr>
      <w:rPr>
        <w:noProof/>
      </w:rPr>
    </w:sdtEndPr>
    <w:sdtContent>
      <w:p w14:paraId="7F496E41" w14:textId="1D67BEFD" w:rsidR="002E7DE7" w:rsidRDefault="002E7DE7">
        <w:pPr>
          <w:pStyle w:val="Header"/>
          <w:jc w:val="right"/>
        </w:pPr>
        <w:r>
          <w:fldChar w:fldCharType="begin"/>
        </w:r>
        <w:r>
          <w:instrText xml:space="preserve"> PAGE   \* MERGEFORMAT </w:instrText>
        </w:r>
        <w:r>
          <w:fldChar w:fldCharType="separate"/>
        </w:r>
        <w:r w:rsidR="00B64DC8">
          <w:rPr>
            <w:noProof/>
          </w:rPr>
          <w:t>8</w:t>
        </w:r>
        <w:r>
          <w:rPr>
            <w:noProof/>
          </w:rPr>
          <w:fldChar w:fldCharType="end"/>
        </w:r>
      </w:p>
    </w:sdtContent>
  </w:sdt>
  <w:p w14:paraId="66EC0B11" w14:textId="77777777" w:rsidR="002E7DE7" w:rsidRDefault="002E7DE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30A1822"/>
    <w:multiLevelType w:val="hybridMultilevel"/>
    <w:tmpl w:val="5BE61A2C"/>
    <w:lvl w:ilvl="0" w:tplc="65D28D6C">
      <w:start w:val="1"/>
      <w:numFmt w:val="bullet"/>
      <w:lvlText w:val="●"/>
      <w:lvlJc w:val="left"/>
      <w:pPr>
        <w:ind w:left="720" w:hanging="360"/>
      </w:pPr>
    </w:lvl>
    <w:lvl w:ilvl="1" w:tplc="CFCEC93E">
      <w:start w:val="1"/>
      <w:numFmt w:val="bullet"/>
      <w:lvlText w:val="○"/>
      <w:lvlJc w:val="left"/>
      <w:pPr>
        <w:ind w:left="1440" w:hanging="360"/>
      </w:pPr>
    </w:lvl>
    <w:lvl w:ilvl="2" w:tplc="D83876A8">
      <w:start w:val="1"/>
      <w:numFmt w:val="bullet"/>
      <w:lvlText w:val="■"/>
      <w:lvlJc w:val="left"/>
      <w:pPr>
        <w:ind w:left="2160" w:hanging="360"/>
      </w:pPr>
    </w:lvl>
    <w:lvl w:ilvl="3" w:tplc="A1DE5EF0">
      <w:start w:val="1"/>
      <w:numFmt w:val="bullet"/>
      <w:lvlText w:val="●"/>
      <w:lvlJc w:val="left"/>
      <w:pPr>
        <w:ind w:left="2880" w:hanging="360"/>
      </w:pPr>
    </w:lvl>
    <w:lvl w:ilvl="4" w:tplc="8E2C9B18">
      <w:start w:val="1"/>
      <w:numFmt w:val="bullet"/>
      <w:lvlText w:val="○"/>
      <w:lvlJc w:val="left"/>
      <w:pPr>
        <w:ind w:left="3600" w:hanging="360"/>
      </w:pPr>
    </w:lvl>
    <w:lvl w:ilvl="5" w:tplc="6E44B87C">
      <w:start w:val="1"/>
      <w:numFmt w:val="bullet"/>
      <w:lvlText w:val="■"/>
      <w:lvlJc w:val="left"/>
      <w:pPr>
        <w:ind w:left="4320" w:hanging="360"/>
      </w:pPr>
    </w:lvl>
    <w:lvl w:ilvl="6" w:tplc="014068F2">
      <w:start w:val="1"/>
      <w:numFmt w:val="bullet"/>
      <w:lvlText w:val="●"/>
      <w:lvlJc w:val="left"/>
      <w:pPr>
        <w:ind w:left="5040" w:hanging="360"/>
      </w:pPr>
    </w:lvl>
    <w:lvl w:ilvl="7" w:tplc="6F5EC8EA">
      <w:start w:val="1"/>
      <w:numFmt w:val="bullet"/>
      <w:lvlText w:val="●"/>
      <w:lvlJc w:val="left"/>
      <w:pPr>
        <w:ind w:left="5760" w:hanging="360"/>
      </w:pPr>
    </w:lvl>
    <w:lvl w:ilvl="8" w:tplc="4104A424">
      <w:start w:val="1"/>
      <w:numFmt w:val="bullet"/>
      <w:lvlText w:val="●"/>
      <w:lvlJc w:val="left"/>
      <w:pPr>
        <w:ind w:left="6480" w:hanging="360"/>
      </w:pPr>
    </w:lvl>
  </w:abstractNum>
  <w:num w:numId="1" w16cid:durableId="473254868">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doNotDisplayPageBoundaries/>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0AE5"/>
    <w:rsid w:val="000405EE"/>
    <w:rsid w:val="00044511"/>
    <w:rsid w:val="000470CA"/>
    <w:rsid w:val="00056528"/>
    <w:rsid w:val="00083FC6"/>
    <w:rsid w:val="00100AE5"/>
    <w:rsid w:val="00113749"/>
    <w:rsid w:val="0013482A"/>
    <w:rsid w:val="00135505"/>
    <w:rsid w:val="00142CDA"/>
    <w:rsid w:val="00173E80"/>
    <w:rsid w:val="00190502"/>
    <w:rsid w:val="00194386"/>
    <w:rsid w:val="001B032C"/>
    <w:rsid w:val="001C3791"/>
    <w:rsid w:val="001D760B"/>
    <w:rsid w:val="00200D72"/>
    <w:rsid w:val="00240BA9"/>
    <w:rsid w:val="00255957"/>
    <w:rsid w:val="002965B4"/>
    <w:rsid w:val="002E0A87"/>
    <w:rsid w:val="002E7DE7"/>
    <w:rsid w:val="00312B1B"/>
    <w:rsid w:val="00377D1B"/>
    <w:rsid w:val="0038263E"/>
    <w:rsid w:val="003B157C"/>
    <w:rsid w:val="003C2878"/>
    <w:rsid w:val="003E1D20"/>
    <w:rsid w:val="00462D6E"/>
    <w:rsid w:val="004851F4"/>
    <w:rsid w:val="00495115"/>
    <w:rsid w:val="004B24B9"/>
    <w:rsid w:val="004E597D"/>
    <w:rsid w:val="004E6C6B"/>
    <w:rsid w:val="00514616"/>
    <w:rsid w:val="00532BD0"/>
    <w:rsid w:val="005A0EF8"/>
    <w:rsid w:val="006315E2"/>
    <w:rsid w:val="00647041"/>
    <w:rsid w:val="0068784E"/>
    <w:rsid w:val="006B00EC"/>
    <w:rsid w:val="006B5437"/>
    <w:rsid w:val="0072738D"/>
    <w:rsid w:val="00737F06"/>
    <w:rsid w:val="007619D1"/>
    <w:rsid w:val="007761DC"/>
    <w:rsid w:val="007C009C"/>
    <w:rsid w:val="007C4D1D"/>
    <w:rsid w:val="007D1699"/>
    <w:rsid w:val="007D7C25"/>
    <w:rsid w:val="007E1CAB"/>
    <w:rsid w:val="007F7D37"/>
    <w:rsid w:val="00835633"/>
    <w:rsid w:val="00895998"/>
    <w:rsid w:val="008A17DB"/>
    <w:rsid w:val="008B06D3"/>
    <w:rsid w:val="008B22D7"/>
    <w:rsid w:val="009163A6"/>
    <w:rsid w:val="009440AD"/>
    <w:rsid w:val="00960473"/>
    <w:rsid w:val="009757EA"/>
    <w:rsid w:val="009A4F87"/>
    <w:rsid w:val="009E4221"/>
    <w:rsid w:val="009F4C79"/>
    <w:rsid w:val="00A556FA"/>
    <w:rsid w:val="00A64043"/>
    <w:rsid w:val="00A82090"/>
    <w:rsid w:val="00A86366"/>
    <w:rsid w:val="00B15077"/>
    <w:rsid w:val="00B3507E"/>
    <w:rsid w:val="00B427A0"/>
    <w:rsid w:val="00B62B35"/>
    <w:rsid w:val="00B64DC8"/>
    <w:rsid w:val="00B823AB"/>
    <w:rsid w:val="00B836A8"/>
    <w:rsid w:val="00BB3E01"/>
    <w:rsid w:val="00BD46E9"/>
    <w:rsid w:val="00BE74FE"/>
    <w:rsid w:val="00BF1814"/>
    <w:rsid w:val="00BF22D9"/>
    <w:rsid w:val="00BF4A34"/>
    <w:rsid w:val="00C254B3"/>
    <w:rsid w:val="00C32713"/>
    <w:rsid w:val="00C772DD"/>
    <w:rsid w:val="00CB0BE1"/>
    <w:rsid w:val="00CB22E6"/>
    <w:rsid w:val="00CB3C77"/>
    <w:rsid w:val="00CB3F00"/>
    <w:rsid w:val="00CC2298"/>
    <w:rsid w:val="00CC4F44"/>
    <w:rsid w:val="00D31551"/>
    <w:rsid w:val="00D460B0"/>
    <w:rsid w:val="00D51F8C"/>
    <w:rsid w:val="00D76336"/>
    <w:rsid w:val="00D94A0B"/>
    <w:rsid w:val="00DC7264"/>
    <w:rsid w:val="00DC7B73"/>
    <w:rsid w:val="00DE1440"/>
    <w:rsid w:val="00DF5EEF"/>
    <w:rsid w:val="00E06384"/>
    <w:rsid w:val="00E45D27"/>
    <w:rsid w:val="00E73509"/>
    <w:rsid w:val="00E77B17"/>
    <w:rsid w:val="00E8335D"/>
    <w:rsid w:val="00EB3184"/>
    <w:rsid w:val="00EF607F"/>
    <w:rsid w:val="00F26964"/>
    <w:rsid w:val="00F84182"/>
    <w:rsid w:val="00F96A52"/>
    <w:rsid w:val="00FB3D27"/>
    <w:rsid w:val="00FC207F"/>
    <w:rsid w:val="00FD4C14"/>
    <w:rsid w:val="00FD6C46"/>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AEAFD7"/>
  <w15:docId w15:val="{0F67593B-DC69-4DF0-96BA-7C15174C53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uiPriority w:val="9"/>
    <w:qFormat/>
    <w:rsid w:val="00D460B0"/>
    <w:pPr>
      <w:spacing w:before="320" w:after="160"/>
      <w:outlineLvl w:val="0"/>
    </w:pPr>
    <w:rPr>
      <w:rFonts w:asciiTheme="minorBidi" w:hAnsiTheme="minorBidi" w:cstheme="minorBidi"/>
      <w:b/>
      <w:bCs/>
    </w:rPr>
  </w:style>
  <w:style w:type="paragraph" w:styleId="Heading2">
    <w:name w:val="heading 2"/>
    <w:uiPriority w:val="9"/>
    <w:unhideWhenUsed/>
    <w:qFormat/>
    <w:rsid w:val="00D460B0"/>
    <w:pPr>
      <w:spacing w:before="240" w:after="120"/>
      <w:outlineLvl w:val="1"/>
    </w:pPr>
    <w:rPr>
      <w:rFonts w:asciiTheme="minorBidi" w:hAnsiTheme="minorBidi" w:cstheme="minorBidi"/>
      <w:b/>
      <w:bCs/>
      <w:i/>
      <w:iCs/>
    </w:rPr>
  </w:style>
  <w:style w:type="paragraph" w:styleId="Heading3">
    <w:name w:val="heading 3"/>
    <w:uiPriority w:val="9"/>
    <w:semiHidden/>
    <w:unhideWhenUsed/>
    <w:qFormat/>
    <w:pPr>
      <w:outlineLvl w:val="2"/>
    </w:pPr>
    <w:rPr>
      <w:color w:val="1F4D78"/>
      <w:sz w:val="24"/>
      <w:szCs w:val="24"/>
    </w:rPr>
  </w:style>
  <w:style w:type="paragraph" w:styleId="Heading4">
    <w:name w:val="heading 4"/>
    <w:uiPriority w:val="9"/>
    <w:semiHidden/>
    <w:unhideWhenUsed/>
    <w:qFormat/>
    <w:pPr>
      <w:outlineLvl w:val="3"/>
    </w:pPr>
    <w:rPr>
      <w:i/>
      <w:iCs/>
      <w:color w:val="2E74B5"/>
    </w:rPr>
  </w:style>
  <w:style w:type="paragraph" w:styleId="Heading5">
    <w:name w:val="heading 5"/>
    <w:uiPriority w:val="9"/>
    <w:semiHidden/>
    <w:unhideWhenUsed/>
    <w:qFormat/>
    <w:pPr>
      <w:outlineLvl w:val="4"/>
    </w:pPr>
    <w:rPr>
      <w:color w:val="2E74B5"/>
    </w:rPr>
  </w:style>
  <w:style w:type="paragraph" w:styleId="Heading6">
    <w:name w:val="heading 6"/>
    <w:uiPriority w:val="9"/>
    <w:semiHidden/>
    <w:unhideWhenUsed/>
    <w:qFormat/>
    <w:pPr>
      <w:outlineLvl w:val="5"/>
    </w:pPr>
    <w:rPr>
      <w:color w:val="1F4D7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uiPriority w:val="10"/>
    <w:qFormat/>
    <w:rPr>
      <w:sz w:val="56"/>
      <w:szCs w:val="56"/>
    </w:rPr>
  </w:style>
  <w:style w:type="paragraph" w:customStyle="1" w:styleId="Strong1">
    <w:name w:val="Strong1"/>
    <w:qFormat/>
    <w:rPr>
      <w:b/>
      <w:bCs/>
    </w:rPr>
  </w:style>
  <w:style w:type="paragraph" w:styleId="ListParagraph">
    <w:name w:val="List Paragraph"/>
    <w:qFormat/>
  </w:style>
  <w:style w:type="character" w:styleId="Hyperlink">
    <w:name w:val="Hyperlink"/>
    <w:uiPriority w:val="99"/>
    <w:unhideWhenUsed/>
    <w:rPr>
      <w:color w:val="0563C1"/>
      <w:u w:val="single"/>
    </w:rPr>
  </w:style>
  <w:style w:type="character" w:styleId="FootnoteReference">
    <w:name w:val="footnote reference"/>
    <w:uiPriority w:val="99"/>
    <w:semiHidden/>
    <w:unhideWhenUsed/>
    <w:rPr>
      <w:vertAlign w:val="superscript"/>
    </w:rPr>
  </w:style>
  <w:style w:type="paragraph" w:styleId="FootnoteText">
    <w:name w:val="footnote text"/>
    <w:link w:val="FootnoteTextChar"/>
    <w:uiPriority w:val="99"/>
    <w:semiHidden/>
    <w:unhideWhenUsed/>
    <w:rPr>
      <w:sz w:val="20"/>
      <w:szCs w:val="20"/>
    </w:rPr>
  </w:style>
  <w:style w:type="character" w:customStyle="1" w:styleId="FootnoteTextChar">
    <w:name w:val="Footnote Text Char"/>
    <w:link w:val="FootnoteText"/>
    <w:uiPriority w:val="99"/>
    <w:semiHidden/>
    <w:unhideWhenUsed/>
    <w:rPr>
      <w:sz w:val="20"/>
      <w:szCs w:val="20"/>
    </w:rPr>
  </w:style>
  <w:style w:type="character" w:styleId="EndnoteReference">
    <w:name w:val="endnote reference"/>
    <w:uiPriority w:val="99"/>
    <w:semiHidden/>
    <w:unhideWhenUsed/>
    <w:rPr>
      <w:vertAlign w:val="superscript"/>
    </w:rPr>
  </w:style>
  <w:style w:type="paragraph" w:styleId="EndnoteText">
    <w:name w:val="endnote text"/>
    <w:link w:val="EndnoteTextChar"/>
    <w:uiPriority w:val="99"/>
    <w:semiHidden/>
    <w:unhideWhenUsed/>
    <w:rPr>
      <w:sz w:val="20"/>
      <w:szCs w:val="20"/>
    </w:rPr>
  </w:style>
  <w:style w:type="character" w:customStyle="1" w:styleId="EndnoteTextChar">
    <w:name w:val="Endnote Text Char"/>
    <w:link w:val="EndnoteText"/>
    <w:uiPriority w:val="99"/>
    <w:semiHidden/>
    <w:unhideWhenUsed/>
    <w:rPr>
      <w:sz w:val="20"/>
      <w:szCs w:val="20"/>
    </w:rPr>
  </w:style>
  <w:style w:type="character" w:customStyle="1" w:styleId="UnresolvedMention1">
    <w:name w:val="Unresolved Mention1"/>
    <w:basedOn w:val="DefaultParagraphFont"/>
    <w:uiPriority w:val="99"/>
    <w:semiHidden/>
    <w:unhideWhenUsed/>
    <w:rsid w:val="00D460B0"/>
    <w:rPr>
      <w:color w:val="605E5C"/>
      <w:shd w:val="clear" w:color="auto" w:fill="E1DFDD"/>
    </w:rPr>
  </w:style>
  <w:style w:type="paragraph" w:styleId="NormalWeb">
    <w:name w:val="Normal (Web)"/>
    <w:basedOn w:val="Normal"/>
    <w:uiPriority w:val="99"/>
    <w:semiHidden/>
    <w:unhideWhenUsed/>
    <w:rsid w:val="00194386"/>
    <w:rPr>
      <w:rFonts w:ascii="Times New Roman" w:hAnsi="Times New Roman" w:cs="Times New Roman"/>
      <w:sz w:val="24"/>
      <w:szCs w:val="24"/>
    </w:rPr>
  </w:style>
  <w:style w:type="paragraph" w:styleId="TOCHeading">
    <w:name w:val="TOC Heading"/>
    <w:basedOn w:val="Heading1"/>
    <w:next w:val="Normal"/>
    <w:uiPriority w:val="39"/>
    <w:unhideWhenUsed/>
    <w:qFormat/>
    <w:rsid w:val="00E73509"/>
    <w:pPr>
      <w:keepNext/>
      <w:keepLines/>
      <w:spacing w:before="240" w:after="0" w:line="259" w:lineRule="auto"/>
      <w:outlineLvl w:val="9"/>
    </w:pPr>
    <w:rPr>
      <w:rFonts w:asciiTheme="majorHAnsi" w:eastAsiaTheme="majorEastAsia" w:hAnsiTheme="majorHAnsi" w:cstheme="majorBidi"/>
      <w:b w:val="0"/>
      <w:bCs w:val="0"/>
      <w:color w:val="0F4761" w:themeColor="accent1" w:themeShade="BF"/>
      <w:sz w:val="32"/>
      <w:szCs w:val="32"/>
      <w:lang w:val="en-US" w:eastAsia="en-US"/>
    </w:rPr>
  </w:style>
  <w:style w:type="paragraph" w:styleId="TOC1">
    <w:name w:val="toc 1"/>
    <w:basedOn w:val="Normal"/>
    <w:next w:val="Normal"/>
    <w:autoRedefine/>
    <w:uiPriority w:val="39"/>
    <w:unhideWhenUsed/>
    <w:rsid w:val="00E73509"/>
    <w:pPr>
      <w:spacing w:after="100"/>
    </w:pPr>
  </w:style>
  <w:style w:type="paragraph" w:styleId="TOC2">
    <w:name w:val="toc 2"/>
    <w:basedOn w:val="Normal"/>
    <w:next w:val="Normal"/>
    <w:autoRedefine/>
    <w:uiPriority w:val="39"/>
    <w:unhideWhenUsed/>
    <w:rsid w:val="00E73509"/>
    <w:pPr>
      <w:spacing w:after="100"/>
      <w:ind w:left="220"/>
    </w:pPr>
  </w:style>
  <w:style w:type="paragraph" w:styleId="Header">
    <w:name w:val="header"/>
    <w:basedOn w:val="Normal"/>
    <w:link w:val="HeaderChar"/>
    <w:uiPriority w:val="99"/>
    <w:unhideWhenUsed/>
    <w:rsid w:val="002E7DE7"/>
    <w:pPr>
      <w:tabs>
        <w:tab w:val="center" w:pos="4513"/>
        <w:tab w:val="right" w:pos="9026"/>
      </w:tabs>
    </w:pPr>
  </w:style>
  <w:style w:type="character" w:customStyle="1" w:styleId="HeaderChar">
    <w:name w:val="Header Char"/>
    <w:basedOn w:val="DefaultParagraphFont"/>
    <w:link w:val="Header"/>
    <w:uiPriority w:val="99"/>
    <w:rsid w:val="002E7DE7"/>
  </w:style>
  <w:style w:type="paragraph" w:styleId="Footer">
    <w:name w:val="footer"/>
    <w:basedOn w:val="Normal"/>
    <w:link w:val="FooterChar"/>
    <w:uiPriority w:val="99"/>
    <w:unhideWhenUsed/>
    <w:rsid w:val="002E7DE7"/>
    <w:pPr>
      <w:tabs>
        <w:tab w:val="center" w:pos="4513"/>
        <w:tab w:val="right" w:pos="9026"/>
      </w:tabs>
    </w:pPr>
  </w:style>
  <w:style w:type="character" w:customStyle="1" w:styleId="FooterChar">
    <w:name w:val="Footer Char"/>
    <w:basedOn w:val="DefaultParagraphFont"/>
    <w:link w:val="Footer"/>
    <w:uiPriority w:val="99"/>
    <w:rsid w:val="002E7DE7"/>
  </w:style>
  <w:style w:type="character" w:styleId="CommentReference">
    <w:name w:val="annotation reference"/>
    <w:basedOn w:val="DefaultParagraphFont"/>
    <w:uiPriority w:val="99"/>
    <w:semiHidden/>
    <w:unhideWhenUsed/>
    <w:rsid w:val="00495115"/>
    <w:rPr>
      <w:sz w:val="16"/>
      <w:szCs w:val="16"/>
    </w:rPr>
  </w:style>
  <w:style w:type="paragraph" w:styleId="CommentText">
    <w:name w:val="annotation text"/>
    <w:basedOn w:val="Normal"/>
    <w:link w:val="CommentTextChar"/>
    <w:uiPriority w:val="99"/>
    <w:semiHidden/>
    <w:unhideWhenUsed/>
    <w:rsid w:val="00495115"/>
    <w:rPr>
      <w:sz w:val="20"/>
      <w:szCs w:val="20"/>
    </w:rPr>
  </w:style>
  <w:style w:type="character" w:customStyle="1" w:styleId="CommentTextChar">
    <w:name w:val="Comment Text Char"/>
    <w:basedOn w:val="DefaultParagraphFont"/>
    <w:link w:val="CommentText"/>
    <w:uiPriority w:val="99"/>
    <w:semiHidden/>
    <w:rsid w:val="00495115"/>
    <w:rPr>
      <w:sz w:val="20"/>
      <w:szCs w:val="20"/>
    </w:rPr>
  </w:style>
  <w:style w:type="paragraph" w:styleId="CommentSubject">
    <w:name w:val="annotation subject"/>
    <w:basedOn w:val="CommentText"/>
    <w:next w:val="CommentText"/>
    <w:link w:val="CommentSubjectChar"/>
    <w:uiPriority w:val="99"/>
    <w:semiHidden/>
    <w:unhideWhenUsed/>
    <w:rsid w:val="00495115"/>
    <w:rPr>
      <w:b/>
      <w:bCs/>
    </w:rPr>
  </w:style>
  <w:style w:type="character" w:customStyle="1" w:styleId="CommentSubjectChar">
    <w:name w:val="Comment Subject Char"/>
    <w:basedOn w:val="CommentTextChar"/>
    <w:link w:val="CommentSubject"/>
    <w:uiPriority w:val="99"/>
    <w:semiHidden/>
    <w:rsid w:val="00495115"/>
    <w:rPr>
      <w:b/>
      <w:bCs/>
      <w:sz w:val="20"/>
      <w:szCs w:val="20"/>
    </w:rPr>
  </w:style>
  <w:style w:type="paragraph" w:styleId="BalloonText">
    <w:name w:val="Balloon Text"/>
    <w:basedOn w:val="Normal"/>
    <w:link w:val="BalloonTextChar"/>
    <w:uiPriority w:val="99"/>
    <w:semiHidden/>
    <w:unhideWhenUsed/>
    <w:rsid w:val="00495115"/>
    <w:rPr>
      <w:rFonts w:ascii="Segoe UI" w:hAnsi="Segoe UI" w:cs="Segoe UI"/>
      <w:sz w:val="18"/>
      <w:szCs w:val="18"/>
    </w:rPr>
  </w:style>
  <w:style w:type="character" w:customStyle="1" w:styleId="BalloonTextChar">
    <w:name w:val="Balloon Text Char"/>
    <w:basedOn w:val="DefaultParagraphFont"/>
    <w:link w:val="BalloonText"/>
    <w:uiPriority w:val="99"/>
    <w:semiHidden/>
    <w:rsid w:val="00495115"/>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doi.org/10.3390/ijerph20031723" TargetMode="External"/><Relationship Id="rId18" Type="http://schemas.openxmlformats.org/officeDocument/2006/relationships/hyperlink" Target="https://www.nhs.uk/conditions/coronary-heart-disease/" TargetMode="Externa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hyperlink" Target="https://doi.org/10.1161/CIR.0000000000001289" TargetMode="External"/><Relationship Id="rId17" Type="http://schemas.openxmlformats.org/officeDocument/2006/relationships/hyperlink" Target="https://doi.org/10.5334/gh.1278" TargetMode="External"/><Relationship Id="rId2" Type="http://schemas.openxmlformats.org/officeDocument/2006/relationships/numbering" Target="numbering.xml"/><Relationship Id="rId16" Type="http://schemas.openxmlformats.org/officeDocument/2006/relationships/hyperlink" Target="https://doi.org/10.7759/cureus.102107" TargetMode="External"/><Relationship Id="rId20" Type="http://schemas.openxmlformats.org/officeDocument/2006/relationships/hyperlink" Target="https://doi.org/10.1007/s11136-022-03260-6"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bhf.org.uk/-/media/files/for-professionals/research/heart-statistics/bhf-cvd-statistics-uk-factsheet-jan26.pdf" TargetMode="External"/><Relationship Id="rId5" Type="http://schemas.openxmlformats.org/officeDocument/2006/relationships/webSettings" Target="webSettings.xml"/><Relationship Id="rId15" Type="http://schemas.openxmlformats.org/officeDocument/2006/relationships/hyperlink" Target="https://doi.org/10.1159/000539916" TargetMode="External"/><Relationship Id="rId23" Type="http://schemas.openxmlformats.org/officeDocument/2006/relationships/theme" Target="theme/theme1.xml"/><Relationship Id="rId10" Type="http://schemas.openxmlformats.org/officeDocument/2006/relationships/hyperlink" Target="https://www.bhf.org.uk/-/media/files/for-professionals/research/heart-statistics/bhf-cvd-statistics-global-factsheet-jan26.pdf" TargetMode="External"/><Relationship Id="rId19" Type="http://schemas.openxmlformats.org/officeDocument/2006/relationships/hyperlink" Target="https://www.nice.org.uk/guidance/ng238" TargetMode="External"/><Relationship Id="rId4" Type="http://schemas.openxmlformats.org/officeDocument/2006/relationships/settings" Target="settings.xml"/><Relationship Id="rId9" Type="http://schemas.openxmlformats.org/officeDocument/2006/relationships/hyperlink" Target="https://doi.org/10.1016/j.eclinm.2023.102259" TargetMode="External"/><Relationship Id="rId14" Type="http://schemas.openxmlformats.org/officeDocument/2006/relationships/hyperlink" Target="https://doi.org/10.1002/14651858.CD013820.pub2" TargetMode="External"/><Relationship Id="rId22"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F80F26-9714-49FE-84D9-CA8B41D3CA5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7</Pages>
  <Words>2357</Words>
  <Characters>13438</Characters>
  <Application>Microsoft Office Word</Application>
  <DocSecurity>0</DocSecurity>
  <Lines>111</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Francisca Ie (2527919)</cp:lastModifiedBy>
  <cp:revision>6</cp:revision>
  <dcterms:created xsi:type="dcterms:W3CDTF">2026-08-10T13:21:00Z</dcterms:created>
  <dcterms:modified xsi:type="dcterms:W3CDTF">2026-08-10T14:48:00Z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220b0efd-b356-4d4b-b3cc-daf8bdae3161</vt:lpwstr>
  </property>
</Properties>
</file>