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54F65" w14:textId="77777777" w:rsidR="00347EBB" w:rsidRPr="00D25474" w:rsidRDefault="00347EBB" w:rsidP="00347EBB">
      <w:pPr>
        <w:jc w:val="center"/>
        <w:rPr>
          <w:rFonts w:ascii="Arial" w:hAnsi="Arial" w:cs="Arial"/>
        </w:rPr>
      </w:pPr>
      <w:r w:rsidRPr="00D25474">
        <w:rPr>
          <w:rFonts w:ascii="Arial" w:hAnsi="Arial" w:cs="Arial"/>
          <w:noProof/>
        </w:rPr>
        <w:drawing>
          <wp:inline distT="0" distB="0" distL="0" distR="0" wp14:anchorId="1DF8B0E2" wp14:editId="68A6815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803CC13" w14:textId="77777777" w:rsidR="00347EBB" w:rsidRPr="00D25474" w:rsidRDefault="00347EBB" w:rsidP="00347EBB">
      <w:pPr>
        <w:jc w:val="center"/>
        <w:rPr>
          <w:rFonts w:ascii="Arial" w:hAnsi="Arial" w:cs="Arial"/>
        </w:rPr>
      </w:pPr>
    </w:p>
    <w:p w14:paraId="74B8F4CD" w14:textId="77777777" w:rsidR="00347EBB" w:rsidRPr="00D25474" w:rsidRDefault="00347EBB" w:rsidP="00347EBB">
      <w:pPr>
        <w:jc w:val="center"/>
        <w:rPr>
          <w:rFonts w:ascii="Arial" w:hAnsi="Arial" w:cs="Arial"/>
        </w:rPr>
      </w:pPr>
    </w:p>
    <w:p w14:paraId="76945EFF" w14:textId="77777777" w:rsidR="00347EBB" w:rsidRPr="00D25474" w:rsidRDefault="00347EBB" w:rsidP="00347EBB">
      <w:pPr>
        <w:jc w:val="center"/>
        <w:rPr>
          <w:rFonts w:ascii="Arial" w:hAnsi="Arial" w:cs="Arial"/>
        </w:rPr>
      </w:pPr>
    </w:p>
    <w:p w14:paraId="350D46A9" w14:textId="77777777" w:rsidR="00347EBB" w:rsidRPr="00D25474" w:rsidRDefault="00347EBB" w:rsidP="00347EBB">
      <w:pPr>
        <w:jc w:val="center"/>
        <w:rPr>
          <w:rFonts w:ascii="Arial" w:hAnsi="Arial" w:cs="Arial"/>
        </w:rPr>
      </w:pPr>
    </w:p>
    <w:p w14:paraId="595C9C22" w14:textId="77777777" w:rsidR="00347EBB" w:rsidRPr="00D25474" w:rsidRDefault="00347EBB" w:rsidP="00347EBB">
      <w:pPr>
        <w:jc w:val="center"/>
        <w:rPr>
          <w:rFonts w:ascii="Arial" w:hAnsi="Arial" w:cs="Arial"/>
        </w:rPr>
      </w:pPr>
    </w:p>
    <w:p w14:paraId="50DE9CEB" w14:textId="6EFB29FF"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Student Name:</w:t>
      </w:r>
      <w:r w:rsidR="006249D0">
        <w:rPr>
          <w:rFonts w:ascii="Arial" w:hAnsi="Arial" w:cs="Arial"/>
          <w:b/>
          <w:bCs/>
          <w:sz w:val="32"/>
          <w:szCs w:val="32"/>
        </w:rPr>
        <w:t xml:space="preserve"> Vijay Kumar</w:t>
      </w:r>
    </w:p>
    <w:p w14:paraId="0736B1AD" w14:textId="77777777" w:rsidR="00347EBB" w:rsidRPr="00D25474" w:rsidRDefault="00347EBB" w:rsidP="00347EBB">
      <w:pPr>
        <w:jc w:val="center"/>
        <w:rPr>
          <w:rFonts w:ascii="Arial" w:hAnsi="Arial" w:cs="Arial"/>
          <w:b/>
          <w:bCs/>
          <w:sz w:val="32"/>
          <w:szCs w:val="32"/>
        </w:rPr>
      </w:pPr>
    </w:p>
    <w:p w14:paraId="584AE634" w14:textId="2D2BC693"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Student ID:</w:t>
      </w:r>
      <w:r w:rsidR="006249D0">
        <w:rPr>
          <w:rFonts w:ascii="Arial" w:hAnsi="Arial" w:cs="Arial"/>
          <w:b/>
          <w:bCs/>
          <w:sz w:val="32"/>
          <w:szCs w:val="32"/>
        </w:rPr>
        <w:t xml:space="preserve"> 2433812</w:t>
      </w:r>
    </w:p>
    <w:p w14:paraId="4C6E471C" w14:textId="77777777" w:rsidR="00347EBB" w:rsidRPr="00D25474" w:rsidRDefault="00347EBB" w:rsidP="00347EBB">
      <w:pPr>
        <w:jc w:val="center"/>
        <w:rPr>
          <w:rFonts w:ascii="Arial" w:hAnsi="Arial" w:cs="Arial"/>
          <w:sz w:val="32"/>
          <w:szCs w:val="32"/>
        </w:rPr>
      </w:pPr>
    </w:p>
    <w:p w14:paraId="3DAADE6E" w14:textId="77777777" w:rsidR="00347EBB" w:rsidRPr="00D25474" w:rsidRDefault="00347EBB" w:rsidP="00347EBB">
      <w:pPr>
        <w:jc w:val="center"/>
        <w:rPr>
          <w:rFonts w:ascii="Arial" w:hAnsi="Arial" w:cs="Arial"/>
          <w:sz w:val="32"/>
          <w:szCs w:val="32"/>
        </w:rPr>
      </w:pPr>
    </w:p>
    <w:p w14:paraId="5F23F2F5" w14:textId="77777777" w:rsidR="00347EBB" w:rsidRPr="00D25474" w:rsidRDefault="00347EBB" w:rsidP="00347EBB">
      <w:pPr>
        <w:jc w:val="center"/>
        <w:rPr>
          <w:rFonts w:ascii="Arial" w:hAnsi="Arial" w:cs="Arial"/>
          <w:sz w:val="32"/>
          <w:szCs w:val="32"/>
        </w:rPr>
      </w:pPr>
    </w:p>
    <w:p w14:paraId="012C8869" w14:textId="7EA68F13"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Module Name: Financial Management</w:t>
      </w:r>
    </w:p>
    <w:p w14:paraId="2479CABC" w14:textId="77777777" w:rsidR="00347EBB" w:rsidRPr="00D25474" w:rsidRDefault="00347EBB" w:rsidP="00347EBB">
      <w:pPr>
        <w:jc w:val="center"/>
        <w:rPr>
          <w:rFonts w:ascii="Arial" w:hAnsi="Arial" w:cs="Arial"/>
          <w:b/>
          <w:bCs/>
          <w:sz w:val="32"/>
          <w:szCs w:val="32"/>
        </w:rPr>
      </w:pPr>
    </w:p>
    <w:p w14:paraId="6F6356AD" w14:textId="06208243"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Module Code: LCMB7002</w:t>
      </w:r>
    </w:p>
    <w:p w14:paraId="51012205" w14:textId="77777777" w:rsidR="00347EBB" w:rsidRPr="00D25474" w:rsidRDefault="00347EBB" w:rsidP="00347EBB">
      <w:pPr>
        <w:jc w:val="center"/>
        <w:rPr>
          <w:rFonts w:ascii="Arial" w:hAnsi="Arial" w:cs="Arial"/>
          <w:b/>
          <w:bCs/>
          <w:sz w:val="32"/>
          <w:szCs w:val="32"/>
        </w:rPr>
      </w:pPr>
    </w:p>
    <w:p w14:paraId="441A6B10" w14:textId="6DF4E085" w:rsidR="00347EBB" w:rsidRPr="00D25474" w:rsidRDefault="00347EBB" w:rsidP="00347EBB">
      <w:pPr>
        <w:spacing w:line="360" w:lineRule="auto"/>
        <w:jc w:val="center"/>
        <w:rPr>
          <w:rFonts w:ascii="Arial" w:hAnsi="Arial" w:cs="Arial"/>
          <w:b/>
          <w:bCs/>
          <w:sz w:val="32"/>
          <w:szCs w:val="32"/>
        </w:rPr>
      </w:pPr>
      <w:r w:rsidRPr="00D25474">
        <w:rPr>
          <w:rFonts w:ascii="Arial" w:hAnsi="Arial" w:cs="Arial"/>
          <w:b/>
          <w:bCs/>
          <w:sz w:val="32"/>
          <w:szCs w:val="32"/>
        </w:rPr>
        <w:t>Assessment component: Financial performance and management</w:t>
      </w:r>
    </w:p>
    <w:p w14:paraId="448A1942" w14:textId="77777777" w:rsidR="00347EBB" w:rsidRPr="00D25474" w:rsidRDefault="00347EBB" w:rsidP="00347EBB">
      <w:pPr>
        <w:jc w:val="center"/>
        <w:rPr>
          <w:rFonts w:ascii="Arial" w:hAnsi="Arial" w:cs="Arial"/>
          <w:b/>
          <w:bCs/>
          <w:sz w:val="32"/>
          <w:szCs w:val="32"/>
        </w:rPr>
      </w:pPr>
    </w:p>
    <w:p w14:paraId="00F7C7A8" w14:textId="0B389673"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Lecturer’s Name:</w:t>
      </w:r>
      <w:r w:rsidR="00160011">
        <w:rPr>
          <w:rFonts w:ascii="Arial" w:hAnsi="Arial" w:cs="Arial"/>
          <w:b/>
          <w:bCs/>
          <w:sz w:val="32"/>
          <w:szCs w:val="32"/>
        </w:rPr>
        <w:t xml:space="preserve"> Dr.</w:t>
      </w:r>
      <w:r w:rsidR="00675479">
        <w:rPr>
          <w:rFonts w:ascii="Arial" w:hAnsi="Arial" w:cs="Arial"/>
          <w:b/>
          <w:bCs/>
          <w:sz w:val="32"/>
          <w:szCs w:val="32"/>
        </w:rPr>
        <w:t>I</w:t>
      </w:r>
      <w:r w:rsidR="008840B2">
        <w:rPr>
          <w:rFonts w:ascii="Arial" w:hAnsi="Arial" w:cs="Arial"/>
          <w:b/>
          <w:bCs/>
          <w:sz w:val="32"/>
          <w:szCs w:val="32"/>
        </w:rPr>
        <w:t>saiah Oino</w:t>
      </w:r>
    </w:p>
    <w:p w14:paraId="3CB320DE" w14:textId="77777777" w:rsidR="00347EBB" w:rsidRPr="00D25474" w:rsidRDefault="00347EBB" w:rsidP="00347EBB">
      <w:pPr>
        <w:jc w:val="center"/>
        <w:rPr>
          <w:rFonts w:ascii="Arial" w:hAnsi="Arial" w:cs="Arial"/>
          <w:b/>
          <w:bCs/>
          <w:sz w:val="32"/>
          <w:szCs w:val="32"/>
        </w:rPr>
      </w:pPr>
    </w:p>
    <w:p w14:paraId="3F00BE44" w14:textId="77777777" w:rsidR="00347EBB" w:rsidRPr="00D25474" w:rsidRDefault="00347EBB" w:rsidP="00347EBB">
      <w:pPr>
        <w:jc w:val="center"/>
        <w:rPr>
          <w:rFonts w:ascii="Arial" w:hAnsi="Arial" w:cs="Arial"/>
          <w:b/>
          <w:bCs/>
          <w:sz w:val="32"/>
          <w:szCs w:val="32"/>
        </w:rPr>
      </w:pPr>
    </w:p>
    <w:p w14:paraId="1A8FFEF0" w14:textId="77777777" w:rsidR="00347EBB" w:rsidRPr="00D25474" w:rsidRDefault="00347EBB" w:rsidP="00347EBB">
      <w:pPr>
        <w:rPr>
          <w:rFonts w:ascii="Arial" w:hAnsi="Arial" w:cs="Arial"/>
          <w:b/>
          <w:bCs/>
          <w:sz w:val="32"/>
          <w:szCs w:val="32"/>
        </w:rPr>
      </w:pPr>
    </w:p>
    <w:p w14:paraId="2133F490" w14:textId="1375F114"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Work Count:</w:t>
      </w:r>
      <w:r w:rsidR="006864C5">
        <w:rPr>
          <w:rFonts w:ascii="Arial" w:hAnsi="Arial" w:cs="Arial"/>
          <w:b/>
          <w:bCs/>
          <w:sz w:val="32"/>
          <w:szCs w:val="32"/>
        </w:rPr>
        <w:t xml:space="preserve"> 54</w:t>
      </w:r>
      <w:r w:rsidR="00A4727B">
        <w:rPr>
          <w:rFonts w:ascii="Arial" w:hAnsi="Arial" w:cs="Arial"/>
          <w:b/>
          <w:bCs/>
          <w:sz w:val="32"/>
          <w:szCs w:val="32"/>
        </w:rPr>
        <w:t>93</w:t>
      </w:r>
    </w:p>
    <w:p w14:paraId="6139F4B4" w14:textId="77777777" w:rsidR="00347EBB" w:rsidRPr="00D25474" w:rsidRDefault="00347EBB" w:rsidP="00347EBB">
      <w:pPr>
        <w:rPr>
          <w:rFonts w:ascii="Arial" w:hAnsi="Arial" w:cs="Arial"/>
          <w:b/>
          <w:bCs/>
          <w:sz w:val="32"/>
          <w:szCs w:val="32"/>
        </w:rPr>
      </w:pPr>
    </w:p>
    <w:p w14:paraId="076D86AB" w14:textId="77777777" w:rsidR="00347EBB" w:rsidRPr="00D25474" w:rsidRDefault="00347EBB" w:rsidP="00347EBB">
      <w:pPr>
        <w:jc w:val="center"/>
        <w:rPr>
          <w:rFonts w:ascii="Arial" w:hAnsi="Arial" w:cs="Arial"/>
          <w:b/>
          <w:bCs/>
          <w:sz w:val="32"/>
          <w:szCs w:val="32"/>
        </w:rPr>
      </w:pPr>
    </w:p>
    <w:p w14:paraId="0FD40978" w14:textId="77777777" w:rsidR="00347EBB" w:rsidRPr="00D25474" w:rsidRDefault="00347EBB" w:rsidP="00347EBB">
      <w:pPr>
        <w:jc w:val="center"/>
        <w:rPr>
          <w:rFonts w:ascii="Arial" w:hAnsi="Arial" w:cs="Arial"/>
          <w:b/>
          <w:bCs/>
          <w:sz w:val="32"/>
          <w:szCs w:val="32"/>
        </w:rPr>
      </w:pPr>
      <w:r w:rsidRPr="00D25474">
        <w:rPr>
          <w:rFonts w:ascii="Arial" w:hAnsi="Arial" w:cs="Arial"/>
          <w:b/>
          <w:bCs/>
          <w:sz w:val="32"/>
          <w:szCs w:val="32"/>
        </w:rPr>
        <w:t>Term 1</w:t>
      </w:r>
    </w:p>
    <w:p w14:paraId="547BEEAC" w14:textId="77777777" w:rsidR="00347EBB" w:rsidRPr="00D25474" w:rsidRDefault="00347EBB" w:rsidP="00347EBB">
      <w:pPr>
        <w:jc w:val="center"/>
        <w:rPr>
          <w:rFonts w:ascii="Arial" w:hAnsi="Arial" w:cs="Arial"/>
          <w:b/>
          <w:bCs/>
          <w:sz w:val="32"/>
          <w:szCs w:val="32"/>
        </w:rPr>
      </w:pPr>
    </w:p>
    <w:p w14:paraId="31803186" w14:textId="77777777" w:rsidR="00347EBB" w:rsidRPr="00D25474" w:rsidRDefault="00347EBB" w:rsidP="00347EBB">
      <w:pPr>
        <w:jc w:val="center"/>
        <w:rPr>
          <w:rFonts w:ascii="Arial" w:hAnsi="Arial" w:cs="Arial"/>
          <w:b/>
          <w:bCs/>
          <w:sz w:val="32"/>
          <w:szCs w:val="32"/>
        </w:rPr>
      </w:pPr>
    </w:p>
    <w:p w14:paraId="2E0F15F4" w14:textId="77777777" w:rsidR="00FF366E" w:rsidRPr="00D25474" w:rsidRDefault="00FF366E">
      <w:pPr>
        <w:rPr>
          <w:rFonts w:ascii="Arial" w:hAnsi="Arial" w:cs="Arial"/>
        </w:rPr>
      </w:pPr>
    </w:p>
    <w:p w14:paraId="12357F36" w14:textId="77777777" w:rsidR="001E6C46" w:rsidRPr="00D25474" w:rsidRDefault="001E6C46">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648167486"/>
        <w:docPartObj>
          <w:docPartGallery w:val="Table of Contents"/>
          <w:docPartUnique/>
        </w:docPartObj>
      </w:sdtPr>
      <w:sdtEndPr>
        <w:rPr>
          <w:b/>
          <w:bCs/>
          <w:noProof/>
        </w:rPr>
      </w:sdtEndPr>
      <w:sdtContent>
        <w:p w14:paraId="5C2BB091" w14:textId="289B8747" w:rsidR="00C46427" w:rsidRDefault="00C46427">
          <w:pPr>
            <w:pStyle w:val="TOCHeading"/>
          </w:pPr>
          <w:r>
            <w:t>Table of Contents</w:t>
          </w:r>
        </w:p>
        <w:p w14:paraId="2D762E8D" w14:textId="73EE8595" w:rsidR="00C46427" w:rsidRPr="00C46427" w:rsidRDefault="00C46427" w:rsidP="00C46427">
          <w:pPr>
            <w:pStyle w:val="TOC1"/>
            <w:tabs>
              <w:tab w:val="right" w:leader="dot" w:pos="9350"/>
            </w:tabs>
            <w:spacing w:line="360" w:lineRule="auto"/>
            <w:rPr>
              <w:rFonts w:ascii="Arial" w:hAnsi="Arial" w:cs="Arial"/>
              <w:noProof/>
            </w:rPr>
          </w:pPr>
          <w:r>
            <w:fldChar w:fldCharType="begin"/>
          </w:r>
          <w:r>
            <w:instrText xml:space="preserve"> TOC \o "1-3" \h \z \u </w:instrText>
          </w:r>
          <w:r>
            <w:fldChar w:fldCharType="separate"/>
          </w:r>
          <w:hyperlink w:anchor="_Toc213619002" w:history="1">
            <w:r w:rsidRPr="00C46427">
              <w:rPr>
                <w:rStyle w:val="Hyperlink"/>
                <w:rFonts w:ascii="Arial" w:hAnsi="Arial" w:cs="Arial"/>
                <w:noProof/>
              </w:rPr>
              <w:t>Introduction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_Toc213619002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3</w:t>
            </w:r>
            <w:r w:rsidRPr="00C46427">
              <w:rPr>
                <w:rFonts w:ascii="Arial" w:hAnsi="Arial" w:cs="Arial"/>
                <w:noProof/>
                <w:webHidden/>
              </w:rPr>
              <w:fldChar w:fldCharType="end"/>
            </w:r>
          </w:hyperlink>
        </w:p>
        <w:p w14:paraId="29E49EC8" w14:textId="0E09C933" w:rsidR="00C46427" w:rsidRPr="00C46427" w:rsidRDefault="00C46427" w:rsidP="00C46427">
          <w:pPr>
            <w:pStyle w:val="TOC1"/>
            <w:tabs>
              <w:tab w:val="right" w:leader="dot" w:pos="9350"/>
            </w:tabs>
            <w:spacing w:line="360" w:lineRule="auto"/>
            <w:rPr>
              <w:rFonts w:ascii="Arial" w:hAnsi="Arial" w:cs="Arial"/>
              <w:noProof/>
            </w:rPr>
          </w:pPr>
          <w:hyperlink w:anchor="_Toc213619003" w:history="1">
            <w:r w:rsidRPr="00C46427">
              <w:rPr>
                <w:rStyle w:val="Hyperlink"/>
                <w:rFonts w:ascii="Arial" w:hAnsi="Arial" w:cs="Arial"/>
                <w:noProof/>
                <w:lang w:val="en-CA"/>
              </w:rPr>
              <w:t>1. Financial Health Check</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_Toc213619003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4</w:t>
            </w:r>
            <w:r w:rsidRPr="00C46427">
              <w:rPr>
                <w:rFonts w:ascii="Arial" w:hAnsi="Arial" w:cs="Arial"/>
                <w:noProof/>
                <w:webHidden/>
              </w:rPr>
              <w:fldChar w:fldCharType="end"/>
            </w:r>
          </w:hyperlink>
        </w:p>
        <w:p w14:paraId="42AC240A" w14:textId="2D441926" w:rsidR="00C46427" w:rsidRPr="00C46427" w:rsidRDefault="00C46427" w:rsidP="00C46427">
          <w:pPr>
            <w:pStyle w:val="TOC2"/>
            <w:tabs>
              <w:tab w:val="right" w:leader="dot" w:pos="9350"/>
            </w:tabs>
            <w:spacing w:line="360" w:lineRule="auto"/>
            <w:rPr>
              <w:rFonts w:ascii="Arial" w:hAnsi="Arial" w:cs="Arial"/>
              <w:noProof/>
            </w:rPr>
          </w:pPr>
          <w:hyperlink w:anchor="_Toc213619004" w:history="1">
            <w:r w:rsidRPr="00C46427">
              <w:rPr>
                <w:rStyle w:val="Hyperlink"/>
                <w:rFonts w:ascii="Arial" w:hAnsi="Arial" w:cs="Arial"/>
                <w:noProof/>
              </w:rPr>
              <w:t>1.1 Overview of Financial Performance</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_Toc213619004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4</w:t>
            </w:r>
            <w:r w:rsidRPr="00C46427">
              <w:rPr>
                <w:rFonts w:ascii="Arial" w:hAnsi="Arial" w:cs="Arial"/>
                <w:noProof/>
                <w:webHidden/>
              </w:rPr>
              <w:fldChar w:fldCharType="end"/>
            </w:r>
          </w:hyperlink>
        </w:p>
        <w:p w14:paraId="60EF751D" w14:textId="2631F0FE" w:rsidR="00C46427" w:rsidRPr="00C46427" w:rsidRDefault="00C46427" w:rsidP="00C46427">
          <w:pPr>
            <w:pStyle w:val="TOC2"/>
            <w:tabs>
              <w:tab w:val="right" w:leader="dot" w:pos="9350"/>
            </w:tabs>
            <w:spacing w:line="360" w:lineRule="auto"/>
            <w:rPr>
              <w:rFonts w:ascii="Arial" w:hAnsi="Arial" w:cs="Arial"/>
              <w:noProof/>
            </w:rPr>
          </w:pPr>
          <w:hyperlink w:anchor="_Toc213619005" w:history="1">
            <w:r w:rsidRPr="00C46427">
              <w:rPr>
                <w:rStyle w:val="Hyperlink"/>
                <w:rFonts w:ascii="Arial" w:hAnsi="Arial" w:cs="Arial"/>
                <w:noProof/>
              </w:rPr>
              <w:t>1.2 Profitability Analysis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_Toc213619005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4</w:t>
            </w:r>
            <w:r w:rsidRPr="00C46427">
              <w:rPr>
                <w:rFonts w:ascii="Arial" w:hAnsi="Arial" w:cs="Arial"/>
                <w:noProof/>
                <w:webHidden/>
              </w:rPr>
              <w:fldChar w:fldCharType="end"/>
            </w:r>
          </w:hyperlink>
        </w:p>
        <w:p w14:paraId="5D6CBF70" w14:textId="7122BC38" w:rsidR="00C46427" w:rsidRPr="00C46427" w:rsidRDefault="00C46427" w:rsidP="00C46427">
          <w:pPr>
            <w:pStyle w:val="TOC2"/>
            <w:tabs>
              <w:tab w:val="right" w:leader="dot" w:pos="9350"/>
            </w:tabs>
            <w:spacing w:line="360" w:lineRule="auto"/>
            <w:rPr>
              <w:rFonts w:ascii="Arial" w:hAnsi="Arial" w:cs="Arial"/>
              <w:noProof/>
            </w:rPr>
          </w:pPr>
          <w:hyperlink w:anchor="_Toc213619006" w:history="1">
            <w:r w:rsidRPr="00C46427">
              <w:rPr>
                <w:rStyle w:val="Hyperlink"/>
                <w:rFonts w:ascii="Arial" w:hAnsi="Arial" w:cs="Arial"/>
                <w:noProof/>
              </w:rPr>
              <w:t>1.3 Liquidity Analysis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_Toc213619006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5</w:t>
            </w:r>
            <w:r w:rsidRPr="00C46427">
              <w:rPr>
                <w:rFonts w:ascii="Arial" w:hAnsi="Arial" w:cs="Arial"/>
                <w:noProof/>
                <w:webHidden/>
              </w:rPr>
              <w:fldChar w:fldCharType="end"/>
            </w:r>
          </w:hyperlink>
        </w:p>
        <w:p w14:paraId="2FF906BA" w14:textId="5CBF51F2" w:rsidR="00C46427" w:rsidRPr="00C46427" w:rsidRDefault="00C46427" w:rsidP="00C46427">
          <w:pPr>
            <w:pStyle w:val="TOC2"/>
            <w:tabs>
              <w:tab w:val="right" w:leader="dot" w:pos="9350"/>
            </w:tabs>
            <w:spacing w:line="360" w:lineRule="auto"/>
            <w:rPr>
              <w:rFonts w:ascii="Arial" w:hAnsi="Arial" w:cs="Arial"/>
              <w:noProof/>
            </w:rPr>
          </w:pPr>
          <w:hyperlink w:anchor="_Toc213619007" w:history="1">
            <w:r w:rsidRPr="00C46427">
              <w:rPr>
                <w:rStyle w:val="Hyperlink"/>
                <w:rFonts w:ascii="Arial" w:hAnsi="Arial" w:cs="Arial"/>
                <w:noProof/>
              </w:rPr>
              <w:t>1.4 Efficiency (Activity) Ratios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_Toc213619007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5</w:t>
            </w:r>
            <w:r w:rsidRPr="00C46427">
              <w:rPr>
                <w:rFonts w:ascii="Arial" w:hAnsi="Arial" w:cs="Arial"/>
                <w:noProof/>
                <w:webHidden/>
              </w:rPr>
              <w:fldChar w:fldCharType="end"/>
            </w:r>
          </w:hyperlink>
        </w:p>
        <w:p w14:paraId="7F83DBA4" w14:textId="48D3E2F2" w:rsidR="00C46427" w:rsidRPr="00C46427" w:rsidRDefault="00C46427" w:rsidP="00C46427">
          <w:pPr>
            <w:pStyle w:val="TOC2"/>
            <w:tabs>
              <w:tab w:val="right" w:leader="dot" w:pos="9350"/>
            </w:tabs>
            <w:spacing w:line="360" w:lineRule="auto"/>
            <w:rPr>
              <w:rFonts w:ascii="Arial" w:hAnsi="Arial" w:cs="Arial"/>
              <w:noProof/>
            </w:rPr>
          </w:pPr>
          <w:hyperlink w:anchor="_Toc213619008" w:history="1">
            <w:r w:rsidRPr="00C46427">
              <w:rPr>
                <w:rStyle w:val="Hyperlink"/>
                <w:rFonts w:ascii="Arial" w:hAnsi="Arial" w:cs="Arial"/>
                <w:noProof/>
              </w:rPr>
              <w:t>1.5 Gearing (Leverage) Ratios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_Toc213619008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6</w:t>
            </w:r>
            <w:r w:rsidRPr="00C46427">
              <w:rPr>
                <w:rFonts w:ascii="Arial" w:hAnsi="Arial" w:cs="Arial"/>
                <w:noProof/>
                <w:webHidden/>
              </w:rPr>
              <w:fldChar w:fldCharType="end"/>
            </w:r>
          </w:hyperlink>
        </w:p>
        <w:p w14:paraId="008E2D20" w14:textId="00B69697" w:rsidR="00C46427" w:rsidRPr="00C46427" w:rsidRDefault="00C46427" w:rsidP="00C46427">
          <w:pPr>
            <w:pStyle w:val="TOC2"/>
            <w:tabs>
              <w:tab w:val="right" w:leader="dot" w:pos="9350"/>
            </w:tabs>
            <w:spacing w:line="360" w:lineRule="auto"/>
            <w:rPr>
              <w:rFonts w:ascii="Arial" w:hAnsi="Arial" w:cs="Arial"/>
              <w:noProof/>
            </w:rPr>
          </w:pPr>
          <w:hyperlink w:anchor="_Toc213619009" w:history="1">
            <w:r w:rsidRPr="00C46427">
              <w:rPr>
                <w:rStyle w:val="Hyperlink"/>
                <w:rFonts w:ascii="Arial" w:hAnsi="Arial" w:cs="Arial"/>
                <w:noProof/>
              </w:rPr>
              <w:t>1.6 Investment Ratios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_Toc213619009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6</w:t>
            </w:r>
            <w:r w:rsidRPr="00C46427">
              <w:rPr>
                <w:rFonts w:ascii="Arial" w:hAnsi="Arial" w:cs="Arial"/>
                <w:noProof/>
                <w:webHidden/>
              </w:rPr>
              <w:fldChar w:fldCharType="end"/>
            </w:r>
          </w:hyperlink>
        </w:p>
        <w:p w14:paraId="6965D28E" w14:textId="7C6F6DD1" w:rsidR="00C46427" w:rsidRPr="00C46427" w:rsidRDefault="00C46427" w:rsidP="00C46427">
          <w:pPr>
            <w:pStyle w:val="TOC2"/>
            <w:tabs>
              <w:tab w:val="right" w:leader="dot" w:pos="9350"/>
            </w:tabs>
            <w:spacing w:line="360" w:lineRule="auto"/>
            <w:rPr>
              <w:rFonts w:ascii="Arial" w:hAnsi="Arial" w:cs="Arial"/>
              <w:noProof/>
            </w:rPr>
          </w:pPr>
          <w:hyperlink w:anchor="_Toc213619010" w:history="1">
            <w:r w:rsidRPr="00C46427">
              <w:rPr>
                <w:rStyle w:val="Hyperlink"/>
                <w:rFonts w:ascii="Arial" w:hAnsi="Arial" w:cs="Arial"/>
                <w:noProof/>
              </w:rPr>
              <w:t>1.7 Cash Flow Ratios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_Toc213619010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7</w:t>
            </w:r>
            <w:r w:rsidRPr="00C46427">
              <w:rPr>
                <w:rFonts w:ascii="Arial" w:hAnsi="Arial" w:cs="Arial"/>
                <w:noProof/>
                <w:webHidden/>
              </w:rPr>
              <w:fldChar w:fldCharType="end"/>
            </w:r>
          </w:hyperlink>
        </w:p>
        <w:p w14:paraId="024B78B1" w14:textId="54B54C1E" w:rsidR="00C46427" w:rsidRPr="00C46427" w:rsidRDefault="00C46427" w:rsidP="00C46427">
          <w:pPr>
            <w:pStyle w:val="TOC2"/>
            <w:tabs>
              <w:tab w:val="right" w:leader="dot" w:pos="9350"/>
            </w:tabs>
            <w:spacing w:line="360" w:lineRule="auto"/>
            <w:rPr>
              <w:rFonts w:ascii="Arial" w:hAnsi="Arial" w:cs="Arial"/>
              <w:noProof/>
            </w:rPr>
          </w:pPr>
          <w:hyperlink w:anchor="_Toc213619011" w:history="1">
            <w:r w:rsidRPr="00C46427">
              <w:rPr>
                <w:rStyle w:val="Hyperlink"/>
                <w:rFonts w:ascii="Arial" w:hAnsi="Arial" w:cs="Arial"/>
                <w:noProof/>
              </w:rPr>
              <w:t>1.8 Trend Summary, Strengths and Threats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_Toc213619011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7</w:t>
            </w:r>
            <w:r w:rsidRPr="00C46427">
              <w:rPr>
                <w:rFonts w:ascii="Arial" w:hAnsi="Arial" w:cs="Arial"/>
                <w:noProof/>
                <w:webHidden/>
              </w:rPr>
              <w:fldChar w:fldCharType="end"/>
            </w:r>
          </w:hyperlink>
        </w:p>
        <w:p w14:paraId="2461DAD8" w14:textId="161CC441" w:rsidR="00C46427" w:rsidRPr="00C46427" w:rsidRDefault="00C46427" w:rsidP="00C46427">
          <w:pPr>
            <w:pStyle w:val="TOC2"/>
            <w:tabs>
              <w:tab w:val="right" w:leader="dot" w:pos="9350"/>
            </w:tabs>
            <w:spacing w:line="360" w:lineRule="auto"/>
            <w:rPr>
              <w:rFonts w:ascii="Arial" w:hAnsi="Arial" w:cs="Arial"/>
              <w:noProof/>
            </w:rPr>
          </w:pPr>
          <w:hyperlink w:anchor="_Toc213619012" w:history="1">
            <w:r w:rsidRPr="00C46427">
              <w:rPr>
                <w:rStyle w:val="Hyperlink"/>
                <w:rFonts w:ascii="Arial" w:hAnsi="Arial" w:cs="Arial"/>
                <w:noProof/>
              </w:rPr>
              <w:t>1.9 Corporate Failure Prediction – Altman Z-Score</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_Toc213619012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8</w:t>
            </w:r>
            <w:r w:rsidRPr="00C46427">
              <w:rPr>
                <w:rFonts w:ascii="Arial" w:hAnsi="Arial" w:cs="Arial"/>
                <w:noProof/>
                <w:webHidden/>
              </w:rPr>
              <w:fldChar w:fldCharType="end"/>
            </w:r>
          </w:hyperlink>
        </w:p>
        <w:p w14:paraId="59156151" w14:textId="1C6113DE" w:rsidR="00C46427" w:rsidRPr="00C46427" w:rsidRDefault="00C46427" w:rsidP="00C46427">
          <w:pPr>
            <w:pStyle w:val="TOC1"/>
            <w:tabs>
              <w:tab w:val="right" w:leader="dot" w:pos="9350"/>
            </w:tabs>
            <w:spacing w:line="360" w:lineRule="auto"/>
            <w:rPr>
              <w:rFonts w:ascii="Arial" w:hAnsi="Arial" w:cs="Arial"/>
              <w:noProof/>
            </w:rPr>
          </w:pPr>
          <w:hyperlink w:anchor="_Toc213619013" w:history="1">
            <w:r w:rsidRPr="00C46427">
              <w:rPr>
                <w:rStyle w:val="Hyperlink"/>
                <w:rFonts w:ascii="Arial" w:hAnsi="Arial" w:cs="Arial"/>
                <w:noProof/>
                <w:lang w:val="en-CA"/>
              </w:rPr>
              <w:t>2. Working Capital Management Analysis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_Toc213619013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9</w:t>
            </w:r>
            <w:r w:rsidRPr="00C46427">
              <w:rPr>
                <w:rFonts w:ascii="Arial" w:hAnsi="Arial" w:cs="Arial"/>
                <w:noProof/>
                <w:webHidden/>
              </w:rPr>
              <w:fldChar w:fldCharType="end"/>
            </w:r>
          </w:hyperlink>
        </w:p>
        <w:p w14:paraId="244350E5" w14:textId="6DF33EDF" w:rsidR="00C46427" w:rsidRPr="00C46427" w:rsidRDefault="00C46427" w:rsidP="00C46427">
          <w:pPr>
            <w:pStyle w:val="TOC2"/>
            <w:tabs>
              <w:tab w:val="right" w:leader="dot" w:pos="9350"/>
            </w:tabs>
            <w:spacing w:line="360" w:lineRule="auto"/>
            <w:rPr>
              <w:rFonts w:ascii="Arial" w:hAnsi="Arial" w:cs="Arial"/>
              <w:noProof/>
            </w:rPr>
          </w:pPr>
          <w:hyperlink w:anchor="_Toc213619014" w:history="1">
            <w:r w:rsidRPr="00C46427">
              <w:rPr>
                <w:rStyle w:val="Hyperlink"/>
                <w:rFonts w:ascii="Arial" w:hAnsi="Arial" w:cs="Arial"/>
                <w:noProof/>
              </w:rPr>
              <w:t>2.1 Overview of Working Capital Position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_Toc213619014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9</w:t>
            </w:r>
            <w:r w:rsidRPr="00C46427">
              <w:rPr>
                <w:rFonts w:ascii="Arial" w:hAnsi="Arial" w:cs="Arial"/>
                <w:noProof/>
                <w:webHidden/>
              </w:rPr>
              <w:fldChar w:fldCharType="end"/>
            </w:r>
          </w:hyperlink>
        </w:p>
        <w:p w14:paraId="45832D52" w14:textId="08790976" w:rsidR="00C46427" w:rsidRPr="00C46427" w:rsidRDefault="00C46427" w:rsidP="00C46427">
          <w:pPr>
            <w:pStyle w:val="TOC2"/>
            <w:tabs>
              <w:tab w:val="right" w:leader="dot" w:pos="9350"/>
            </w:tabs>
            <w:spacing w:line="360" w:lineRule="auto"/>
            <w:rPr>
              <w:rFonts w:ascii="Arial" w:hAnsi="Arial" w:cs="Arial"/>
              <w:noProof/>
            </w:rPr>
          </w:pPr>
          <w:hyperlink w:anchor="_Toc213619015" w:history="1">
            <w:r w:rsidRPr="00C46427">
              <w:rPr>
                <w:rStyle w:val="Hyperlink"/>
                <w:rFonts w:ascii="Arial" w:hAnsi="Arial" w:cs="Arial"/>
                <w:noProof/>
              </w:rPr>
              <w:t>2.2 Cash Operating Cycle (Days)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_Toc213619015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9</w:t>
            </w:r>
            <w:r w:rsidRPr="00C46427">
              <w:rPr>
                <w:rFonts w:ascii="Arial" w:hAnsi="Arial" w:cs="Arial"/>
                <w:noProof/>
                <w:webHidden/>
              </w:rPr>
              <w:fldChar w:fldCharType="end"/>
            </w:r>
          </w:hyperlink>
        </w:p>
        <w:p w14:paraId="546E6B3E" w14:textId="2F31E59A" w:rsidR="00C46427" w:rsidRPr="00C46427" w:rsidRDefault="00C46427" w:rsidP="00C46427">
          <w:pPr>
            <w:pStyle w:val="TOC2"/>
            <w:tabs>
              <w:tab w:val="right" w:leader="dot" w:pos="9350"/>
            </w:tabs>
            <w:spacing w:line="360" w:lineRule="auto"/>
            <w:rPr>
              <w:rFonts w:ascii="Arial" w:hAnsi="Arial" w:cs="Arial"/>
              <w:noProof/>
            </w:rPr>
          </w:pPr>
          <w:hyperlink w:anchor="_Toc213619016" w:history="1">
            <w:r w:rsidRPr="00C46427">
              <w:rPr>
                <w:rStyle w:val="Hyperlink"/>
                <w:rFonts w:ascii="Arial" w:hAnsi="Arial" w:cs="Arial"/>
                <w:noProof/>
              </w:rPr>
              <w:t>2.3 Causes of Liquidity Constraint</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_Toc213619016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10</w:t>
            </w:r>
            <w:r w:rsidRPr="00C46427">
              <w:rPr>
                <w:rFonts w:ascii="Arial" w:hAnsi="Arial" w:cs="Arial"/>
                <w:noProof/>
                <w:webHidden/>
              </w:rPr>
              <w:fldChar w:fldCharType="end"/>
            </w:r>
          </w:hyperlink>
        </w:p>
        <w:p w14:paraId="2B151C2A" w14:textId="0A08C930" w:rsidR="00C46427" w:rsidRPr="00C46427" w:rsidRDefault="00C46427" w:rsidP="00C46427">
          <w:pPr>
            <w:pStyle w:val="TOC2"/>
            <w:tabs>
              <w:tab w:val="right" w:leader="dot" w:pos="9350"/>
            </w:tabs>
            <w:spacing w:line="360" w:lineRule="auto"/>
            <w:rPr>
              <w:rFonts w:ascii="Arial" w:hAnsi="Arial" w:cs="Arial"/>
              <w:noProof/>
            </w:rPr>
          </w:pPr>
          <w:hyperlink w:anchor="_Toc213619017" w:history="1">
            <w:r w:rsidRPr="00C46427">
              <w:rPr>
                <w:rStyle w:val="Hyperlink"/>
                <w:rFonts w:ascii="Arial" w:hAnsi="Arial" w:cs="Arial"/>
                <w:noProof/>
              </w:rPr>
              <w:t>2.4 Strategies for Working Capital Reform</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_Toc213619017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10</w:t>
            </w:r>
            <w:r w:rsidRPr="00C46427">
              <w:rPr>
                <w:rFonts w:ascii="Arial" w:hAnsi="Arial" w:cs="Arial"/>
                <w:noProof/>
                <w:webHidden/>
              </w:rPr>
              <w:fldChar w:fldCharType="end"/>
            </w:r>
          </w:hyperlink>
        </w:p>
        <w:p w14:paraId="63E64DA6" w14:textId="3B8F1088" w:rsidR="00C46427" w:rsidRPr="00C46427" w:rsidRDefault="00C46427" w:rsidP="00C46427">
          <w:pPr>
            <w:pStyle w:val="TOC2"/>
            <w:tabs>
              <w:tab w:val="right" w:leader="dot" w:pos="9350"/>
            </w:tabs>
            <w:spacing w:line="360" w:lineRule="auto"/>
            <w:rPr>
              <w:rFonts w:ascii="Arial" w:hAnsi="Arial" w:cs="Arial"/>
              <w:noProof/>
            </w:rPr>
          </w:pPr>
          <w:hyperlink w:anchor="_Toc213619018" w:history="1">
            <w:r w:rsidRPr="00C46427">
              <w:rPr>
                <w:rStyle w:val="Hyperlink"/>
                <w:rFonts w:ascii="Arial" w:hAnsi="Arial" w:cs="Arial"/>
                <w:noProof/>
              </w:rPr>
              <w:t>2.5 Financing Options: Short-Term vs. Long-Term</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_Toc213619018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12</w:t>
            </w:r>
            <w:r w:rsidRPr="00C46427">
              <w:rPr>
                <w:rFonts w:ascii="Arial" w:hAnsi="Arial" w:cs="Arial"/>
                <w:noProof/>
                <w:webHidden/>
              </w:rPr>
              <w:fldChar w:fldCharType="end"/>
            </w:r>
          </w:hyperlink>
        </w:p>
        <w:p w14:paraId="153DC3B5" w14:textId="35ACB177" w:rsidR="00C46427" w:rsidRPr="00C46427" w:rsidRDefault="00C46427" w:rsidP="00C46427">
          <w:pPr>
            <w:pStyle w:val="TOC1"/>
            <w:tabs>
              <w:tab w:val="right" w:leader="dot" w:pos="9350"/>
            </w:tabs>
            <w:spacing w:line="360" w:lineRule="auto"/>
            <w:rPr>
              <w:rFonts w:ascii="Arial" w:hAnsi="Arial" w:cs="Arial"/>
              <w:noProof/>
            </w:rPr>
          </w:pPr>
          <w:hyperlink w:anchor="_Toc213619019" w:history="1">
            <w:r w:rsidRPr="00C46427">
              <w:rPr>
                <w:rStyle w:val="Hyperlink"/>
                <w:rFonts w:ascii="Arial" w:hAnsi="Arial" w:cs="Arial"/>
                <w:noProof/>
                <w:lang w:val="en-CA"/>
              </w:rPr>
              <w:t>3. Strategic Financial Restructuring Plan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_Toc213619019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14</w:t>
            </w:r>
            <w:r w:rsidRPr="00C46427">
              <w:rPr>
                <w:rFonts w:ascii="Arial" w:hAnsi="Arial" w:cs="Arial"/>
                <w:noProof/>
                <w:webHidden/>
              </w:rPr>
              <w:fldChar w:fldCharType="end"/>
            </w:r>
          </w:hyperlink>
        </w:p>
        <w:p w14:paraId="7D89A787" w14:textId="369E02C3" w:rsidR="00C46427" w:rsidRPr="00C46427" w:rsidRDefault="00C46427" w:rsidP="00C46427">
          <w:pPr>
            <w:pStyle w:val="TOC2"/>
            <w:tabs>
              <w:tab w:val="right" w:leader="dot" w:pos="9350"/>
            </w:tabs>
            <w:spacing w:line="360" w:lineRule="auto"/>
            <w:rPr>
              <w:rFonts w:ascii="Arial" w:hAnsi="Arial" w:cs="Arial"/>
              <w:noProof/>
            </w:rPr>
          </w:pPr>
          <w:hyperlink w:anchor="_Toc213619020" w:history="1">
            <w:r w:rsidRPr="00C46427">
              <w:rPr>
                <w:rStyle w:val="Hyperlink"/>
                <w:rFonts w:ascii="Arial" w:hAnsi="Arial" w:cs="Arial"/>
                <w:noProof/>
              </w:rPr>
              <w:t>3.1 Overview of Financial Instability</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_Toc213619020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14</w:t>
            </w:r>
            <w:r w:rsidRPr="00C46427">
              <w:rPr>
                <w:rFonts w:ascii="Arial" w:hAnsi="Arial" w:cs="Arial"/>
                <w:noProof/>
                <w:webHidden/>
              </w:rPr>
              <w:fldChar w:fldCharType="end"/>
            </w:r>
          </w:hyperlink>
        </w:p>
        <w:p w14:paraId="24ECEFC3" w14:textId="3E96CD0A" w:rsidR="00C46427" w:rsidRPr="00C46427" w:rsidRDefault="00C46427" w:rsidP="00C46427">
          <w:pPr>
            <w:pStyle w:val="TOC2"/>
            <w:tabs>
              <w:tab w:val="right" w:leader="dot" w:pos="9350"/>
            </w:tabs>
            <w:spacing w:line="360" w:lineRule="auto"/>
            <w:rPr>
              <w:rFonts w:ascii="Arial" w:hAnsi="Arial" w:cs="Arial"/>
              <w:noProof/>
            </w:rPr>
          </w:pPr>
          <w:hyperlink w:anchor="_Toc213619021" w:history="1">
            <w:r w:rsidRPr="00C46427">
              <w:rPr>
                <w:rStyle w:val="Hyperlink"/>
                <w:rFonts w:ascii="Arial" w:hAnsi="Arial" w:cs="Arial"/>
                <w:noProof/>
              </w:rPr>
              <w:t>3.2 Divestiture and Asset Rationalisation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_Toc213619021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14</w:t>
            </w:r>
            <w:r w:rsidRPr="00C46427">
              <w:rPr>
                <w:rFonts w:ascii="Arial" w:hAnsi="Arial" w:cs="Arial"/>
                <w:noProof/>
                <w:webHidden/>
              </w:rPr>
              <w:fldChar w:fldCharType="end"/>
            </w:r>
          </w:hyperlink>
        </w:p>
        <w:p w14:paraId="30B6E049" w14:textId="7DC9B7EF" w:rsidR="00C46427" w:rsidRPr="00C46427" w:rsidRDefault="00C46427" w:rsidP="00C46427">
          <w:pPr>
            <w:pStyle w:val="TOC2"/>
            <w:tabs>
              <w:tab w:val="right" w:leader="dot" w:pos="9350"/>
            </w:tabs>
            <w:spacing w:line="360" w:lineRule="auto"/>
            <w:rPr>
              <w:rFonts w:ascii="Arial" w:hAnsi="Arial" w:cs="Arial"/>
              <w:noProof/>
            </w:rPr>
          </w:pPr>
          <w:hyperlink w:anchor="_Toc213619022" w:history="1">
            <w:r w:rsidRPr="00C46427">
              <w:rPr>
                <w:rStyle w:val="Hyperlink"/>
                <w:rFonts w:ascii="Arial" w:hAnsi="Arial" w:cs="Arial"/>
                <w:noProof/>
              </w:rPr>
              <w:t>3.3 Merger and Strategic Alliances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_Toc213619022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15</w:t>
            </w:r>
            <w:r w:rsidRPr="00C46427">
              <w:rPr>
                <w:rFonts w:ascii="Arial" w:hAnsi="Arial" w:cs="Arial"/>
                <w:noProof/>
                <w:webHidden/>
              </w:rPr>
              <w:fldChar w:fldCharType="end"/>
            </w:r>
          </w:hyperlink>
        </w:p>
        <w:p w14:paraId="72C71F31" w14:textId="74CCA8F5" w:rsidR="00C46427" w:rsidRPr="00C46427" w:rsidRDefault="00C46427" w:rsidP="00C46427">
          <w:pPr>
            <w:pStyle w:val="TOC2"/>
            <w:tabs>
              <w:tab w:val="right" w:leader="dot" w:pos="9350"/>
            </w:tabs>
            <w:spacing w:line="360" w:lineRule="auto"/>
            <w:rPr>
              <w:rFonts w:ascii="Arial" w:hAnsi="Arial" w:cs="Arial"/>
              <w:noProof/>
            </w:rPr>
          </w:pPr>
          <w:hyperlink w:anchor="_Toc213619023" w:history="1">
            <w:r w:rsidRPr="00C46427">
              <w:rPr>
                <w:rStyle w:val="Hyperlink"/>
                <w:rFonts w:ascii="Arial" w:hAnsi="Arial" w:cs="Arial"/>
                <w:noProof/>
              </w:rPr>
              <w:t>3.4 Equity Injection and Balance Sheet Recapitalisation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_Toc213619023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15</w:t>
            </w:r>
            <w:r w:rsidRPr="00C46427">
              <w:rPr>
                <w:rFonts w:ascii="Arial" w:hAnsi="Arial" w:cs="Arial"/>
                <w:noProof/>
                <w:webHidden/>
              </w:rPr>
              <w:fldChar w:fldCharType="end"/>
            </w:r>
          </w:hyperlink>
        </w:p>
        <w:p w14:paraId="5C04905D" w14:textId="00BB94CD" w:rsidR="00C46427" w:rsidRPr="00C46427" w:rsidRDefault="00C46427" w:rsidP="00C46427">
          <w:pPr>
            <w:pStyle w:val="TOC2"/>
            <w:tabs>
              <w:tab w:val="right" w:leader="dot" w:pos="9350"/>
            </w:tabs>
            <w:spacing w:line="360" w:lineRule="auto"/>
            <w:rPr>
              <w:rFonts w:ascii="Arial" w:hAnsi="Arial" w:cs="Arial"/>
              <w:noProof/>
            </w:rPr>
          </w:pPr>
          <w:hyperlink w:anchor="_Toc213619024" w:history="1">
            <w:r w:rsidRPr="00C46427">
              <w:rPr>
                <w:rStyle w:val="Hyperlink"/>
                <w:rFonts w:ascii="Arial" w:hAnsi="Arial" w:cs="Arial"/>
                <w:noProof/>
              </w:rPr>
              <w:t>3.5 Impact on Shareholder Value and Debt Structure</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_Toc213619024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16</w:t>
            </w:r>
            <w:r w:rsidRPr="00C46427">
              <w:rPr>
                <w:rFonts w:ascii="Arial" w:hAnsi="Arial" w:cs="Arial"/>
                <w:noProof/>
                <w:webHidden/>
              </w:rPr>
              <w:fldChar w:fldCharType="end"/>
            </w:r>
          </w:hyperlink>
        </w:p>
        <w:p w14:paraId="3623197A" w14:textId="695B5851" w:rsidR="00C46427" w:rsidRPr="00C46427" w:rsidRDefault="00C46427" w:rsidP="00C46427">
          <w:pPr>
            <w:pStyle w:val="TOC2"/>
            <w:tabs>
              <w:tab w:val="right" w:leader="dot" w:pos="9350"/>
            </w:tabs>
            <w:spacing w:line="360" w:lineRule="auto"/>
            <w:rPr>
              <w:rFonts w:ascii="Arial" w:hAnsi="Arial" w:cs="Arial"/>
              <w:noProof/>
            </w:rPr>
          </w:pPr>
          <w:hyperlink w:anchor="_Toc213619025" w:history="1">
            <w:r w:rsidRPr="00C46427">
              <w:rPr>
                <w:rStyle w:val="Hyperlink"/>
                <w:rFonts w:ascii="Arial" w:hAnsi="Arial" w:cs="Arial"/>
                <w:noProof/>
              </w:rPr>
              <w:t>3.6 International and Ethical Considerations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_Toc213619025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16</w:t>
            </w:r>
            <w:r w:rsidRPr="00C46427">
              <w:rPr>
                <w:rFonts w:ascii="Arial" w:hAnsi="Arial" w:cs="Arial"/>
                <w:noProof/>
                <w:webHidden/>
              </w:rPr>
              <w:fldChar w:fldCharType="end"/>
            </w:r>
          </w:hyperlink>
        </w:p>
        <w:p w14:paraId="7B95210D" w14:textId="7C37A30A" w:rsidR="00C46427" w:rsidRPr="00C46427" w:rsidRDefault="00C46427" w:rsidP="00C46427">
          <w:pPr>
            <w:pStyle w:val="TOC1"/>
            <w:tabs>
              <w:tab w:val="right" w:leader="dot" w:pos="9350"/>
            </w:tabs>
            <w:spacing w:line="360" w:lineRule="auto"/>
            <w:rPr>
              <w:rFonts w:ascii="Arial" w:hAnsi="Arial" w:cs="Arial"/>
              <w:noProof/>
            </w:rPr>
          </w:pPr>
          <w:hyperlink w:anchor="_Toc213619026" w:history="1">
            <w:r w:rsidRPr="00C46427">
              <w:rPr>
                <w:rStyle w:val="Hyperlink"/>
                <w:rFonts w:ascii="Arial" w:hAnsi="Arial" w:cs="Arial"/>
                <w:noProof/>
                <w:lang w:val="en-CA"/>
              </w:rPr>
              <w:t>4. Investment Appraisal and Capital Budgeting</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_Toc213619026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18</w:t>
            </w:r>
            <w:r w:rsidRPr="00C46427">
              <w:rPr>
                <w:rFonts w:ascii="Arial" w:hAnsi="Arial" w:cs="Arial"/>
                <w:noProof/>
                <w:webHidden/>
              </w:rPr>
              <w:fldChar w:fldCharType="end"/>
            </w:r>
          </w:hyperlink>
        </w:p>
        <w:p w14:paraId="2321F7B8" w14:textId="4F1478B2" w:rsidR="00C46427" w:rsidRPr="00C46427" w:rsidRDefault="00C46427" w:rsidP="00C46427">
          <w:pPr>
            <w:pStyle w:val="TOC2"/>
            <w:tabs>
              <w:tab w:val="right" w:leader="dot" w:pos="9350"/>
            </w:tabs>
            <w:spacing w:line="360" w:lineRule="auto"/>
            <w:rPr>
              <w:rFonts w:ascii="Arial" w:hAnsi="Arial" w:cs="Arial"/>
              <w:noProof/>
            </w:rPr>
          </w:pPr>
          <w:hyperlink w:anchor="_Toc213619027" w:history="1">
            <w:r w:rsidRPr="00C46427">
              <w:rPr>
                <w:rStyle w:val="Hyperlink"/>
                <w:rFonts w:ascii="Arial" w:hAnsi="Arial" w:cs="Arial"/>
                <w:noProof/>
              </w:rPr>
              <w:t>4.1 Overview of Investment Context</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_Toc213619027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18</w:t>
            </w:r>
            <w:r w:rsidRPr="00C46427">
              <w:rPr>
                <w:rFonts w:ascii="Arial" w:hAnsi="Arial" w:cs="Arial"/>
                <w:noProof/>
                <w:webHidden/>
              </w:rPr>
              <w:fldChar w:fldCharType="end"/>
            </w:r>
          </w:hyperlink>
        </w:p>
        <w:p w14:paraId="69291B64" w14:textId="11469555" w:rsidR="00C46427" w:rsidRPr="00C46427" w:rsidRDefault="00C46427" w:rsidP="00C46427">
          <w:pPr>
            <w:pStyle w:val="TOC2"/>
            <w:tabs>
              <w:tab w:val="right" w:leader="dot" w:pos="9350"/>
            </w:tabs>
            <w:spacing w:line="360" w:lineRule="auto"/>
            <w:rPr>
              <w:rFonts w:ascii="Arial" w:hAnsi="Arial" w:cs="Arial"/>
              <w:noProof/>
            </w:rPr>
          </w:pPr>
          <w:hyperlink w:anchor="_Toc213619028" w:history="1">
            <w:r w:rsidRPr="00C46427">
              <w:rPr>
                <w:rStyle w:val="Hyperlink"/>
                <w:rFonts w:ascii="Arial" w:hAnsi="Arial" w:cs="Arial"/>
                <w:noProof/>
              </w:rPr>
              <w:t>4.2 Cash Flow Structure of Proposed Projects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_Toc213619028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18</w:t>
            </w:r>
            <w:r w:rsidRPr="00C46427">
              <w:rPr>
                <w:rFonts w:ascii="Arial" w:hAnsi="Arial" w:cs="Arial"/>
                <w:noProof/>
                <w:webHidden/>
              </w:rPr>
              <w:fldChar w:fldCharType="end"/>
            </w:r>
          </w:hyperlink>
        </w:p>
        <w:p w14:paraId="690CCB74" w14:textId="13134E56" w:rsidR="00C46427" w:rsidRPr="00C46427" w:rsidRDefault="00C46427" w:rsidP="00C46427">
          <w:pPr>
            <w:pStyle w:val="TOC2"/>
            <w:tabs>
              <w:tab w:val="right" w:leader="dot" w:pos="9350"/>
            </w:tabs>
            <w:spacing w:line="360" w:lineRule="auto"/>
            <w:rPr>
              <w:rFonts w:ascii="Arial" w:hAnsi="Arial" w:cs="Arial"/>
              <w:noProof/>
            </w:rPr>
          </w:pPr>
          <w:hyperlink w:anchor="_Toc213619029" w:history="1">
            <w:r w:rsidRPr="00C46427">
              <w:rPr>
                <w:rStyle w:val="Hyperlink"/>
                <w:rFonts w:ascii="Arial" w:hAnsi="Arial" w:cs="Arial"/>
                <w:noProof/>
              </w:rPr>
              <w:t>4.3 Payback Period (PBP)</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_Toc213619029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19</w:t>
            </w:r>
            <w:r w:rsidRPr="00C46427">
              <w:rPr>
                <w:rFonts w:ascii="Arial" w:hAnsi="Arial" w:cs="Arial"/>
                <w:noProof/>
                <w:webHidden/>
              </w:rPr>
              <w:fldChar w:fldCharType="end"/>
            </w:r>
          </w:hyperlink>
        </w:p>
        <w:p w14:paraId="2AE61236" w14:textId="2BBE28CB" w:rsidR="00C46427" w:rsidRPr="00C46427" w:rsidRDefault="00C46427" w:rsidP="00C46427">
          <w:pPr>
            <w:pStyle w:val="TOC2"/>
            <w:tabs>
              <w:tab w:val="right" w:leader="dot" w:pos="9350"/>
            </w:tabs>
            <w:spacing w:line="360" w:lineRule="auto"/>
            <w:rPr>
              <w:rFonts w:ascii="Arial" w:hAnsi="Arial" w:cs="Arial"/>
              <w:noProof/>
            </w:rPr>
          </w:pPr>
          <w:hyperlink w:anchor="_Toc213619030" w:history="1">
            <w:r w:rsidRPr="00C46427">
              <w:rPr>
                <w:rStyle w:val="Hyperlink"/>
                <w:rFonts w:ascii="Arial" w:hAnsi="Arial" w:cs="Arial"/>
                <w:noProof/>
              </w:rPr>
              <w:t>4.4 Accounting Rate of Return (ARR)</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_Toc213619030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19</w:t>
            </w:r>
            <w:r w:rsidRPr="00C46427">
              <w:rPr>
                <w:rFonts w:ascii="Arial" w:hAnsi="Arial" w:cs="Arial"/>
                <w:noProof/>
                <w:webHidden/>
              </w:rPr>
              <w:fldChar w:fldCharType="end"/>
            </w:r>
          </w:hyperlink>
        </w:p>
        <w:p w14:paraId="575558C3" w14:textId="79258E37" w:rsidR="00C46427" w:rsidRPr="00C46427" w:rsidRDefault="00C46427" w:rsidP="00C46427">
          <w:pPr>
            <w:pStyle w:val="TOC2"/>
            <w:tabs>
              <w:tab w:val="right" w:leader="dot" w:pos="9350"/>
            </w:tabs>
            <w:spacing w:line="360" w:lineRule="auto"/>
            <w:rPr>
              <w:rFonts w:ascii="Arial" w:hAnsi="Arial" w:cs="Arial"/>
              <w:noProof/>
            </w:rPr>
          </w:pPr>
          <w:hyperlink w:anchor="_Toc213619031" w:history="1">
            <w:r w:rsidRPr="00C46427">
              <w:rPr>
                <w:rStyle w:val="Hyperlink"/>
                <w:rFonts w:ascii="Arial" w:hAnsi="Arial" w:cs="Arial"/>
                <w:noProof/>
              </w:rPr>
              <w:t>4.5 Net Present Value (NPV)</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_Toc213619031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20</w:t>
            </w:r>
            <w:r w:rsidRPr="00C46427">
              <w:rPr>
                <w:rFonts w:ascii="Arial" w:hAnsi="Arial" w:cs="Arial"/>
                <w:noProof/>
                <w:webHidden/>
              </w:rPr>
              <w:fldChar w:fldCharType="end"/>
            </w:r>
          </w:hyperlink>
        </w:p>
        <w:p w14:paraId="003B250F" w14:textId="607D8169" w:rsidR="00C46427" w:rsidRPr="00C46427" w:rsidRDefault="00C46427" w:rsidP="00C46427">
          <w:pPr>
            <w:pStyle w:val="TOC2"/>
            <w:tabs>
              <w:tab w:val="right" w:leader="dot" w:pos="9350"/>
            </w:tabs>
            <w:spacing w:line="360" w:lineRule="auto"/>
            <w:rPr>
              <w:rFonts w:ascii="Arial" w:hAnsi="Arial" w:cs="Arial"/>
              <w:noProof/>
            </w:rPr>
          </w:pPr>
          <w:hyperlink w:anchor="_Toc213619032" w:history="1">
            <w:r w:rsidRPr="00C46427">
              <w:rPr>
                <w:rStyle w:val="Hyperlink"/>
                <w:rFonts w:ascii="Arial" w:hAnsi="Arial" w:cs="Arial"/>
                <w:noProof/>
              </w:rPr>
              <w:t>4.6 Profitability Index (PI)</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_Toc213619032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21</w:t>
            </w:r>
            <w:r w:rsidRPr="00C46427">
              <w:rPr>
                <w:rFonts w:ascii="Arial" w:hAnsi="Arial" w:cs="Arial"/>
                <w:noProof/>
                <w:webHidden/>
              </w:rPr>
              <w:fldChar w:fldCharType="end"/>
            </w:r>
          </w:hyperlink>
        </w:p>
        <w:p w14:paraId="7809595B" w14:textId="5DDB8F4F" w:rsidR="00C46427" w:rsidRPr="00C46427" w:rsidRDefault="00C46427" w:rsidP="00C46427">
          <w:pPr>
            <w:pStyle w:val="TOC2"/>
            <w:tabs>
              <w:tab w:val="right" w:leader="dot" w:pos="9350"/>
            </w:tabs>
            <w:spacing w:line="360" w:lineRule="auto"/>
            <w:rPr>
              <w:rFonts w:ascii="Arial" w:hAnsi="Arial" w:cs="Arial"/>
              <w:noProof/>
            </w:rPr>
          </w:pPr>
          <w:hyperlink w:anchor="_Toc213619033" w:history="1">
            <w:r w:rsidRPr="00C46427">
              <w:rPr>
                <w:rStyle w:val="Hyperlink"/>
                <w:rFonts w:ascii="Arial" w:hAnsi="Arial" w:cs="Arial"/>
                <w:noProof/>
              </w:rPr>
              <w:t>4.7 Internal Rate of Return (IRR)</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_Toc213619033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21</w:t>
            </w:r>
            <w:r w:rsidRPr="00C46427">
              <w:rPr>
                <w:rFonts w:ascii="Arial" w:hAnsi="Arial" w:cs="Arial"/>
                <w:noProof/>
                <w:webHidden/>
              </w:rPr>
              <w:fldChar w:fldCharType="end"/>
            </w:r>
          </w:hyperlink>
        </w:p>
        <w:p w14:paraId="19B5FF02" w14:textId="1CA4E377" w:rsidR="00C46427" w:rsidRPr="00C46427" w:rsidRDefault="00C46427" w:rsidP="00C46427">
          <w:pPr>
            <w:pStyle w:val="TOC2"/>
            <w:tabs>
              <w:tab w:val="right" w:leader="dot" w:pos="9350"/>
            </w:tabs>
            <w:spacing w:line="360" w:lineRule="auto"/>
            <w:rPr>
              <w:rFonts w:ascii="Arial" w:hAnsi="Arial" w:cs="Arial"/>
              <w:noProof/>
            </w:rPr>
          </w:pPr>
          <w:hyperlink w:anchor="_Toc213619034" w:history="1">
            <w:r w:rsidRPr="00C46427">
              <w:rPr>
                <w:rStyle w:val="Hyperlink"/>
                <w:rFonts w:ascii="Arial" w:hAnsi="Arial" w:cs="Arial"/>
                <w:noProof/>
              </w:rPr>
              <w:t>4.8 Comparative Evaluation Summary</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_Toc213619034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22</w:t>
            </w:r>
            <w:r w:rsidRPr="00C46427">
              <w:rPr>
                <w:rFonts w:ascii="Arial" w:hAnsi="Arial" w:cs="Arial"/>
                <w:noProof/>
                <w:webHidden/>
              </w:rPr>
              <w:fldChar w:fldCharType="end"/>
            </w:r>
          </w:hyperlink>
        </w:p>
        <w:p w14:paraId="7604B6D5" w14:textId="15739DCC" w:rsidR="00C46427" w:rsidRPr="00C46427" w:rsidRDefault="00C46427" w:rsidP="00C46427">
          <w:pPr>
            <w:pStyle w:val="TOC2"/>
            <w:tabs>
              <w:tab w:val="right" w:leader="dot" w:pos="9350"/>
            </w:tabs>
            <w:spacing w:line="360" w:lineRule="auto"/>
            <w:rPr>
              <w:rFonts w:ascii="Arial" w:hAnsi="Arial" w:cs="Arial"/>
              <w:noProof/>
            </w:rPr>
          </w:pPr>
          <w:hyperlink w:anchor="_Toc213619035" w:history="1">
            <w:r w:rsidRPr="00C46427">
              <w:rPr>
                <w:rStyle w:val="Hyperlink"/>
                <w:rFonts w:ascii="Arial" w:hAnsi="Arial" w:cs="Arial"/>
                <w:noProof/>
              </w:rPr>
              <w:t>4.9 Decision under Capital Rationing (£60m Limit)</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_Toc213619035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22</w:t>
            </w:r>
            <w:r w:rsidRPr="00C46427">
              <w:rPr>
                <w:rFonts w:ascii="Arial" w:hAnsi="Arial" w:cs="Arial"/>
                <w:noProof/>
                <w:webHidden/>
              </w:rPr>
              <w:fldChar w:fldCharType="end"/>
            </w:r>
          </w:hyperlink>
        </w:p>
        <w:p w14:paraId="2DE6F1AE" w14:textId="3CE2557E" w:rsidR="00C46427" w:rsidRPr="00C46427" w:rsidRDefault="00C46427" w:rsidP="00C46427">
          <w:pPr>
            <w:pStyle w:val="TOC2"/>
            <w:tabs>
              <w:tab w:val="right" w:leader="dot" w:pos="9350"/>
            </w:tabs>
            <w:spacing w:line="360" w:lineRule="auto"/>
            <w:rPr>
              <w:rFonts w:ascii="Arial" w:hAnsi="Arial" w:cs="Arial"/>
              <w:noProof/>
            </w:rPr>
          </w:pPr>
          <w:hyperlink w:anchor="_Toc213619036" w:history="1">
            <w:r w:rsidRPr="00C46427">
              <w:rPr>
                <w:rStyle w:val="Hyperlink"/>
                <w:rFonts w:ascii="Arial" w:hAnsi="Arial" w:cs="Arial"/>
                <w:noProof/>
              </w:rPr>
              <w:t>4.10 Strategic Justification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_Toc213619036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23</w:t>
            </w:r>
            <w:r w:rsidRPr="00C46427">
              <w:rPr>
                <w:rFonts w:ascii="Arial" w:hAnsi="Arial" w:cs="Arial"/>
                <w:noProof/>
                <w:webHidden/>
              </w:rPr>
              <w:fldChar w:fldCharType="end"/>
            </w:r>
          </w:hyperlink>
        </w:p>
        <w:p w14:paraId="0FD2740F" w14:textId="79C9A866" w:rsidR="00C46427" w:rsidRPr="00C46427" w:rsidRDefault="00C46427" w:rsidP="00C46427">
          <w:pPr>
            <w:pStyle w:val="TOC2"/>
            <w:tabs>
              <w:tab w:val="right" w:leader="dot" w:pos="9350"/>
            </w:tabs>
            <w:spacing w:line="360" w:lineRule="auto"/>
            <w:rPr>
              <w:rFonts w:ascii="Arial" w:hAnsi="Arial" w:cs="Arial"/>
              <w:noProof/>
            </w:rPr>
          </w:pPr>
          <w:hyperlink w:anchor="_Toc213619037" w:history="1">
            <w:r w:rsidRPr="00C46427">
              <w:rPr>
                <w:rStyle w:val="Hyperlink"/>
                <w:rFonts w:ascii="Arial" w:hAnsi="Arial" w:cs="Arial"/>
                <w:noProof/>
              </w:rPr>
              <w:t>4.11 Risk Evaluation and Sensitivity</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_Toc213619037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23</w:t>
            </w:r>
            <w:r w:rsidRPr="00C46427">
              <w:rPr>
                <w:rFonts w:ascii="Arial" w:hAnsi="Arial" w:cs="Arial"/>
                <w:noProof/>
                <w:webHidden/>
              </w:rPr>
              <w:fldChar w:fldCharType="end"/>
            </w:r>
          </w:hyperlink>
        </w:p>
        <w:p w14:paraId="17BB20BE" w14:textId="7D797AC6" w:rsidR="00C46427" w:rsidRPr="00C46427" w:rsidRDefault="00C46427" w:rsidP="00C46427">
          <w:pPr>
            <w:pStyle w:val="TOC1"/>
            <w:tabs>
              <w:tab w:val="right" w:leader="dot" w:pos="9350"/>
            </w:tabs>
            <w:spacing w:line="360" w:lineRule="auto"/>
            <w:rPr>
              <w:rFonts w:ascii="Arial" w:hAnsi="Arial" w:cs="Arial"/>
              <w:noProof/>
            </w:rPr>
          </w:pPr>
          <w:hyperlink w:anchor="_Toc213619038" w:history="1">
            <w:r w:rsidRPr="00C46427">
              <w:rPr>
                <w:rStyle w:val="Hyperlink"/>
                <w:rFonts w:ascii="Arial" w:hAnsi="Arial" w:cs="Arial"/>
                <w:noProof/>
                <w:lang w:val="en-CA"/>
              </w:rPr>
              <w:t>Conclusion</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_Toc213619038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25</w:t>
            </w:r>
            <w:r w:rsidRPr="00C46427">
              <w:rPr>
                <w:rFonts w:ascii="Arial" w:hAnsi="Arial" w:cs="Arial"/>
                <w:noProof/>
                <w:webHidden/>
              </w:rPr>
              <w:fldChar w:fldCharType="end"/>
            </w:r>
          </w:hyperlink>
        </w:p>
        <w:p w14:paraId="00E3E2D5" w14:textId="096A8612" w:rsidR="00C46427" w:rsidRPr="00C46427" w:rsidRDefault="00C46427" w:rsidP="00C46427">
          <w:pPr>
            <w:pStyle w:val="TOC1"/>
            <w:tabs>
              <w:tab w:val="right" w:leader="dot" w:pos="9350"/>
            </w:tabs>
            <w:spacing w:line="360" w:lineRule="auto"/>
            <w:rPr>
              <w:rFonts w:ascii="Arial" w:hAnsi="Arial" w:cs="Arial"/>
              <w:noProof/>
            </w:rPr>
          </w:pPr>
          <w:hyperlink w:anchor="_Toc213619039" w:history="1">
            <w:r w:rsidRPr="00C46427">
              <w:rPr>
                <w:rStyle w:val="Hyperlink"/>
                <w:rFonts w:ascii="Arial" w:hAnsi="Arial" w:cs="Arial"/>
                <w:noProof/>
              </w:rPr>
              <w:t>Appendices</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_Toc213619039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26</w:t>
            </w:r>
            <w:r w:rsidRPr="00C46427">
              <w:rPr>
                <w:rFonts w:ascii="Arial" w:hAnsi="Arial" w:cs="Arial"/>
                <w:noProof/>
                <w:webHidden/>
              </w:rPr>
              <w:fldChar w:fldCharType="end"/>
            </w:r>
          </w:hyperlink>
        </w:p>
        <w:p w14:paraId="4181B5A2" w14:textId="3AB9E1E1" w:rsidR="00C46427" w:rsidRPr="00C46427" w:rsidRDefault="00C46427" w:rsidP="00C46427">
          <w:pPr>
            <w:pStyle w:val="TOC2"/>
            <w:tabs>
              <w:tab w:val="right" w:leader="dot" w:pos="9350"/>
            </w:tabs>
            <w:spacing w:line="360" w:lineRule="auto"/>
            <w:rPr>
              <w:rFonts w:ascii="Arial" w:hAnsi="Arial" w:cs="Arial"/>
              <w:noProof/>
            </w:rPr>
          </w:pPr>
          <w:hyperlink w:anchor="_Toc213619040" w:history="1">
            <w:r w:rsidRPr="00C46427">
              <w:rPr>
                <w:rStyle w:val="Hyperlink"/>
                <w:rFonts w:ascii="Arial" w:hAnsi="Arial" w:cs="Arial"/>
                <w:noProof/>
              </w:rPr>
              <w:t>Full Ratio Calculations (2020–2024)</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_Toc213619040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26</w:t>
            </w:r>
            <w:r w:rsidRPr="00C46427">
              <w:rPr>
                <w:rFonts w:ascii="Arial" w:hAnsi="Arial" w:cs="Arial"/>
                <w:noProof/>
                <w:webHidden/>
              </w:rPr>
              <w:fldChar w:fldCharType="end"/>
            </w:r>
          </w:hyperlink>
        </w:p>
        <w:p w14:paraId="2821E0CB" w14:textId="18215248" w:rsidR="00C46427" w:rsidRPr="00C46427" w:rsidRDefault="00C46427" w:rsidP="00C46427">
          <w:pPr>
            <w:pStyle w:val="TOC2"/>
            <w:tabs>
              <w:tab w:val="right" w:leader="dot" w:pos="9350"/>
            </w:tabs>
            <w:spacing w:line="360" w:lineRule="auto"/>
            <w:rPr>
              <w:rFonts w:ascii="Arial" w:hAnsi="Arial" w:cs="Arial"/>
              <w:noProof/>
            </w:rPr>
          </w:pPr>
          <w:hyperlink w:anchor="_Toc213619041" w:history="1">
            <w:r w:rsidRPr="00C46427">
              <w:rPr>
                <w:rStyle w:val="Hyperlink"/>
                <w:rFonts w:ascii="Arial" w:hAnsi="Arial" w:cs="Arial"/>
                <w:noProof/>
              </w:rPr>
              <w:t>Investment Appraisal Calculations (Background Data)</w:t>
            </w:r>
            <w:r w:rsidRPr="00C46427">
              <w:rPr>
                <w:rFonts w:ascii="Arial" w:hAnsi="Arial" w:cs="Arial"/>
                <w:noProof/>
                <w:webHidden/>
              </w:rPr>
              <w:tab/>
            </w:r>
            <w:r w:rsidRPr="00C46427">
              <w:rPr>
                <w:rFonts w:ascii="Arial" w:hAnsi="Arial" w:cs="Arial"/>
                <w:noProof/>
                <w:webHidden/>
              </w:rPr>
              <w:fldChar w:fldCharType="begin"/>
            </w:r>
            <w:r w:rsidRPr="00C46427">
              <w:rPr>
                <w:rFonts w:ascii="Arial" w:hAnsi="Arial" w:cs="Arial"/>
                <w:noProof/>
                <w:webHidden/>
              </w:rPr>
              <w:instrText xml:space="preserve"> PAGEREF _Toc213619041 \h </w:instrText>
            </w:r>
            <w:r w:rsidRPr="00C46427">
              <w:rPr>
                <w:rFonts w:ascii="Arial" w:hAnsi="Arial" w:cs="Arial"/>
                <w:noProof/>
                <w:webHidden/>
              </w:rPr>
            </w:r>
            <w:r w:rsidRPr="00C46427">
              <w:rPr>
                <w:rFonts w:ascii="Arial" w:hAnsi="Arial" w:cs="Arial"/>
                <w:noProof/>
                <w:webHidden/>
              </w:rPr>
              <w:fldChar w:fldCharType="separate"/>
            </w:r>
            <w:r w:rsidRPr="00C46427">
              <w:rPr>
                <w:rFonts w:ascii="Arial" w:hAnsi="Arial" w:cs="Arial"/>
                <w:noProof/>
                <w:webHidden/>
              </w:rPr>
              <w:t>31</w:t>
            </w:r>
            <w:r w:rsidRPr="00C46427">
              <w:rPr>
                <w:rFonts w:ascii="Arial" w:hAnsi="Arial" w:cs="Arial"/>
                <w:noProof/>
                <w:webHidden/>
              </w:rPr>
              <w:fldChar w:fldCharType="end"/>
            </w:r>
          </w:hyperlink>
        </w:p>
        <w:p w14:paraId="13218A10" w14:textId="515E4575" w:rsidR="00C46427" w:rsidRDefault="00C46427">
          <w:r>
            <w:rPr>
              <w:b/>
              <w:bCs/>
              <w:noProof/>
            </w:rPr>
            <w:fldChar w:fldCharType="end"/>
          </w:r>
        </w:p>
      </w:sdtContent>
    </w:sdt>
    <w:p w14:paraId="12E5C782" w14:textId="77777777" w:rsidR="001E6C46" w:rsidRPr="00D25474" w:rsidRDefault="001E6C46">
      <w:pPr>
        <w:rPr>
          <w:rFonts w:ascii="Arial" w:hAnsi="Arial" w:cs="Arial"/>
        </w:rPr>
      </w:pPr>
    </w:p>
    <w:p w14:paraId="5A9A3155" w14:textId="77777777" w:rsidR="00A12F76" w:rsidRPr="00D25474" w:rsidRDefault="00A12F76">
      <w:pPr>
        <w:rPr>
          <w:rFonts w:ascii="Arial" w:hAnsi="Arial" w:cs="Arial"/>
        </w:rPr>
      </w:pPr>
    </w:p>
    <w:p w14:paraId="47D5BCF0" w14:textId="77777777" w:rsidR="00A12F76" w:rsidRPr="00D25474" w:rsidRDefault="00A12F76">
      <w:pPr>
        <w:rPr>
          <w:rFonts w:ascii="Arial" w:hAnsi="Arial" w:cs="Arial"/>
        </w:rPr>
      </w:pPr>
    </w:p>
    <w:p w14:paraId="32667BF7" w14:textId="77777777" w:rsidR="00A12F76" w:rsidRPr="00D25474" w:rsidRDefault="00A12F76">
      <w:pPr>
        <w:rPr>
          <w:rFonts w:ascii="Arial" w:hAnsi="Arial" w:cs="Arial"/>
        </w:rPr>
      </w:pPr>
    </w:p>
    <w:p w14:paraId="6148663F" w14:textId="77777777" w:rsidR="00A12F76" w:rsidRPr="00D25474" w:rsidRDefault="00A12F76">
      <w:pPr>
        <w:rPr>
          <w:rFonts w:ascii="Arial" w:hAnsi="Arial" w:cs="Arial"/>
        </w:rPr>
      </w:pPr>
    </w:p>
    <w:p w14:paraId="337D058D" w14:textId="77777777" w:rsidR="00A12F76" w:rsidRPr="00D25474" w:rsidRDefault="00A12F76">
      <w:pPr>
        <w:rPr>
          <w:rFonts w:ascii="Arial" w:hAnsi="Arial" w:cs="Arial"/>
        </w:rPr>
      </w:pPr>
    </w:p>
    <w:p w14:paraId="72B7BF32" w14:textId="77777777" w:rsidR="00A12F76" w:rsidRPr="00D25474" w:rsidRDefault="00A12F76">
      <w:pPr>
        <w:rPr>
          <w:rFonts w:ascii="Arial" w:hAnsi="Arial" w:cs="Arial"/>
        </w:rPr>
      </w:pPr>
    </w:p>
    <w:p w14:paraId="337DD374" w14:textId="77777777" w:rsidR="00A12F76" w:rsidRPr="00D25474" w:rsidRDefault="00A12F76">
      <w:pPr>
        <w:rPr>
          <w:rFonts w:ascii="Arial" w:hAnsi="Arial" w:cs="Arial"/>
        </w:rPr>
      </w:pPr>
    </w:p>
    <w:p w14:paraId="3098B355" w14:textId="77777777" w:rsidR="00A12F76" w:rsidRPr="00D25474" w:rsidRDefault="00A12F76">
      <w:pPr>
        <w:rPr>
          <w:rFonts w:ascii="Arial" w:hAnsi="Arial" w:cs="Arial"/>
        </w:rPr>
      </w:pPr>
    </w:p>
    <w:p w14:paraId="2EFD41F3" w14:textId="77777777" w:rsidR="00A12F76" w:rsidRPr="00D25474" w:rsidRDefault="00A12F76">
      <w:pPr>
        <w:rPr>
          <w:rFonts w:ascii="Arial" w:hAnsi="Arial" w:cs="Arial"/>
        </w:rPr>
      </w:pPr>
    </w:p>
    <w:p w14:paraId="28AA9029" w14:textId="77777777" w:rsidR="00A12F76" w:rsidRPr="00D25474" w:rsidRDefault="00A12F76">
      <w:pPr>
        <w:rPr>
          <w:rFonts w:ascii="Arial" w:hAnsi="Arial" w:cs="Arial"/>
        </w:rPr>
      </w:pPr>
    </w:p>
    <w:p w14:paraId="0807CD22" w14:textId="77777777" w:rsidR="00A12F76" w:rsidRPr="00D25474" w:rsidRDefault="00A12F76">
      <w:pPr>
        <w:rPr>
          <w:rFonts w:ascii="Arial" w:hAnsi="Arial" w:cs="Arial"/>
        </w:rPr>
      </w:pPr>
    </w:p>
    <w:p w14:paraId="696B5FAE" w14:textId="77777777" w:rsidR="00A12F76" w:rsidRPr="00D25474" w:rsidRDefault="00A12F76">
      <w:pPr>
        <w:rPr>
          <w:rFonts w:ascii="Arial" w:hAnsi="Arial" w:cs="Arial"/>
        </w:rPr>
      </w:pPr>
    </w:p>
    <w:p w14:paraId="2C4A0374" w14:textId="77777777" w:rsidR="00A12F76" w:rsidRPr="00D25474" w:rsidRDefault="00A12F76">
      <w:pPr>
        <w:rPr>
          <w:rFonts w:ascii="Arial" w:hAnsi="Arial" w:cs="Arial"/>
        </w:rPr>
      </w:pPr>
    </w:p>
    <w:p w14:paraId="446EE67B" w14:textId="4AB2FCAB" w:rsidR="000939C6" w:rsidRPr="00D25474" w:rsidRDefault="000939C6" w:rsidP="00D25474">
      <w:pPr>
        <w:pStyle w:val="Style1"/>
      </w:pPr>
      <w:bookmarkStart w:id="0" w:name="_Toc213619002"/>
      <w:r w:rsidRPr="00D25474">
        <w:lastRenderedPageBreak/>
        <w:t>Introduction</w:t>
      </w:r>
      <w:bookmarkEnd w:id="0"/>
    </w:p>
    <w:p w14:paraId="4F288330" w14:textId="55DADDAE" w:rsidR="000939C6" w:rsidRPr="00D064BB" w:rsidRDefault="009272C0" w:rsidP="000939C6">
      <w:pPr>
        <w:spacing w:line="360" w:lineRule="auto"/>
        <w:jc w:val="both"/>
        <w:rPr>
          <w:rFonts w:ascii="Arial" w:hAnsi="Arial" w:cs="Arial"/>
          <w:lang w:val="en-CA"/>
        </w:rPr>
      </w:pPr>
      <w:r w:rsidRPr="009272C0">
        <w:rPr>
          <w:rFonts w:ascii="Arial" w:hAnsi="Arial" w:cs="Arial"/>
          <w:lang w:val="en-CA"/>
        </w:rPr>
        <w:t>This report outlines a holistic financial turnaround plan for General Electronics, a multinational consumer electronics enterprise firm that is in a dire financial condition. The amounts of revenue, profitability, and liquidity of the firm underwent sudden decreases throughout the 2020-2024 outlook period, whereas the amount of leverage and unfavourable free cash flow became threatening factors of insolvency</w:t>
      </w:r>
      <w:r w:rsidR="00D064BB">
        <w:rPr>
          <w:rFonts w:ascii="Arial" w:hAnsi="Arial" w:cs="Arial"/>
          <w:lang w:val="en-CA"/>
        </w:rPr>
        <w:t xml:space="preserve"> </w:t>
      </w:r>
      <w:r w:rsidR="00D064BB" w:rsidRPr="00D064BB">
        <w:rPr>
          <w:rFonts w:ascii="Arial" w:hAnsi="Arial" w:cs="Arial"/>
          <w:lang w:val="en-CA"/>
        </w:rPr>
        <w:t>(Thomas, 2022)</w:t>
      </w:r>
      <w:r w:rsidRPr="009272C0">
        <w:rPr>
          <w:rFonts w:ascii="Arial" w:hAnsi="Arial" w:cs="Arial"/>
          <w:lang w:val="en-CA"/>
        </w:rPr>
        <w:t>. This report is presented in the form of an analysis of financial diagnostics, working capital analysis, strategic restructuring, and capital budgeting, in which the report is structured with a viewpoint given to the new Chief Financial Officer (CFO). The focus is aimed at uncovering the fundamental causes of financial meltdown and devising long-term remedies which rejuvenate profitability, enhance liquidity and regain investor confidence. Reforming the short-term and long-term strategic efforts, the report considers Altman Z-Score, ratio analysis, and comprehensive investment appraisal models. The end product is to make General Electronics a sound, operationally competitive, and profitable international firm capable of long-term growth in unstable global markets.</w:t>
      </w:r>
    </w:p>
    <w:p w14:paraId="585BD040" w14:textId="77777777" w:rsidR="000939C6" w:rsidRPr="00D25474" w:rsidRDefault="000939C6">
      <w:pPr>
        <w:rPr>
          <w:rFonts w:ascii="Arial" w:hAnsi="Arial" w:cs="Arial"/>
        </w:rPr>
      </w:pPr>
    </w:p>
    <w:p w14:paraId="1FB20062" w14:textId="77777777" w:rsidR="000939C6" w:rsidRPr="00D25474" w:rsidRDefault="000939C6">
      <w:pPr>
        <w:rPr>
          <w:rFonts w:ascii="Arial" w:hAnsi="Arial" w:cs="Arial"/>
        </w:rPr>
      </w:pPr>
    </w:p>
    <w:p w14:paraId="540ECA10" w14:textId="77777777" w:rsidR="000939C6" w:rsidRPr="00D25474" w:rsidRDefault="000939C6">
      <w:pPr>
        <w:rPr>
          <w:rFonts w:ascii="Arial" w:hAnsi="Arial" w:cs="Arial"/>
        </w:rPr>
      </w:pPr>
    </w:p>
    <w:p w14:paraId="54C829D4" w14:textId="77777777" w:rsidR="000939C6" w:rsidRPr="00D25474" w:rsidRDefault="000939C6">
      <w:pPr>
        <w:rPr>
          <w:rFonts w:ascii="Arial" w:hAnsi="Arial" w:cs="Arial"/>
        </w:rPr>
      </w:pPr>
    </w:p>
    <w:p w14:paraId="0AB9BDE9" w14:textId="77777777" w:rsidR="000939C6" w:rsidRPr="00D25474" w:rsidRDefault="000939C6">
      <w:pPr>
        <w:rPr>
          <w:rFonts w:ascii="Arial" w:hAnsi="Arial" w:cs="Arial"/>
        </w:rPr>
      </w:pPr>
    </w:p>
    <w:p w14:paraId="1ED98349" w14:textId="77777777" w:rsidR="000939C6" w:rsidRPr="00D25474" w:rsidRDefault="000939C6">
      <w:pPr>
        <w:rPr>
          <w:rFonts w:ascii="Arial" w:hAnsi="Arial" w:cs="Arial"/>
        </w:rPr>
      </w:pPr>
    </w:p>
    <w:p w14:paraId="03851744" w14:textId="77777777" w:rsidR="000939C6" w:rsidRPr="00D25474" w:rsidRDefault="000939C6">
      <w:pPr>
        <w:rPr>
          <w:rFonts w:ascii="Arial" w:hAnsi="Arial" w:cs="Arial"/>
        </w:rPr>
      </w:pPr>
    </w:p>
    <w:p w14:paraId="06018189" w14:textId="77777777" w:rsidR="000939C6" w:rsidRPr="00D25474" w:rsidRDefault="000939C6">
      <w:pPr>
        <w:rPr>
          <w:rFonts w:ascii="Arial" w:hAnsi="Arial" w:cs="Arial"/>
        </w:rPr>
      </w:pPr>
    </w:p>
    <w:p w14:paraId="75EEAAB9" w14:textId="77777777" w:rsidR="000939C6" w:rsidRPr="00D25474" w:rsidRDefault="000939C6">
      <w:pPr>
        <w:rPr>
          <w:rFonts w:ascii="Arial" w:hAnsi="Arial" w:cs="Arial"/>
        </w:rPr>
      </w:pPr>
    </w:p>
    <w:p w14:paraId="22E7DA91" w14:textId="77777777" w:rsidR="000939C6" w:rsidRPr="00D25474" w:rsidRDefault="000939C6">
      <w:pPr>
        <w:rPr>
          <w:rFonts w:ascii="Arial" w:hAnsi="Arial" w:cs="Arial"/>
        </w:rPr>
      </w:pPr>
    </w:p>
    <w:p w14:paraId="4D326659" w14:textId="77777777" w:rsidR="000939C6" w:rsidRPr="00D25474" w:rsidRDefault="000939C6">
      <w:pPr>
        <w:rPr>
          <w:rFonts w:ascii="Arial" w:hAnsi="Arial" w:cs="Arial"/>
        </w:rPr>
      </w:pPr>
    </w:p>
    <w:p w14:paraId="431849D6" w14:textId="77777777" w:rsidR="000939C6" w:rsidRPr="00D25474" w:rsidRDefault="000939C6">
      <w:pPr>
        <w:rPr>
          <w:rFonts w:ascii="Arial" w:hAnsi="Arial" w:cs="Arial"/>
        </w:rPr>
      </w:pPr>
    </w:p>
    <w:p w14:paraId="392FEB96" w14:textId="77777777" w:rsidR="000939C6" w:rsidRPr="00D25474" w:rsidRDefault="000939C6">
      <w:pPr>
        <w:rPr>
          <w:rFonts w:ascii="Arial" w:hAnsi="Arial" w:cs="Arial"/>
        </w:rPr>
      </w:pPr>
    </w:p>
    <w:p w14:paraId="4EA89687" w14:textId="77777777" w:rsidR="000939C6" w:rsidRPr="00D25474" w:rsidRDefault="000939C6">
      <w:pPr>
        <w:rPr>
          <w:rFonts w:ascii="Arial" w:hAnsi="Arial" w:cs="Arial"/>
        </w:rPr>
      </w:pPr>
    </w:p>
    <w:p w14:paraId="047A206E" w14:textId="77777777" w:rsidR="000939C6" w:rsidRPr="00D25474" w:rsidRDefault="000939C6">
      <w:pPr>
        <w:rPr>
          <w:rFonts w:ascii="Arial" w:hAnsi="Arial" w:cs="Arial"/>
        </w:rPr>
      </w:pPr>
    </w:p>
    <w:p w14:paraId="56D311C1" w14:textId="77777777" w:rsidR="000939C6" w:rsidRPr="00D25474" w:rsidRDefault="000939C6">
      <w:pPr>
        <w:rPr>
          <w:rFonts w:ascii="Arial" w:hAnsi="Arial" w:cs="Arial"/>
        </w:rPr>
      </w:pPr>
    </w:p>
    <w:p w14:paraId="5E9021E4" w14:textId="77777777" w:rsidR="000939C6" w:rsidRPr="00D25474" w:rsidRDefault="000939C6">
      <w:pPr>
        <w:rPr>
          <w:rFonts w:ascii="Arial" w:hAnsi="Arial" w:cs="Arial"/>
        </w:rPr>
      </w:pPr>
    </w:p>
    <w:p w14:paraId="7A7C59A4" w14:textId="77777777" w:rsidR="000939C6" w:rsidRPr="00D25474" w:rsidRDefault="000939C6">
      <w:pPr>
        <w:rPr>
          <w:rFonts w:ascii="Arial" w:hAnsi="Arial" w:cs="Arial"/>
        </w:rPr>
      </w:pPr>
    </w:p>
    <w:p w14:paraId="6D758154" w14:textId="77777777" w:rsidR="000939C6" w:rsidRPr="00D25474" w:rsidRDefault="000939C6">
      <w:pPr>
        <w:rPr>
          <w:rFonts w:ascii="Arial" w:hAnsi="Arial" w:cs="Arial"/>
        </w:rPr>
      </w:pPr>
    </w:p>
    <w:p w14:paraId="40B51C9D" w14:textId="77777777" w:rsidR="000939C6" w:rsidRPr="00D25474" w:rsidRDefault="000939C6">
      <w:pPr>
        <w:rPr>
          <w:rFonts w:ascii="Arial" w:hAnsi="Arial" w:cs="Arial"/>
        </w:rPr>
      </w:pPr>
    </w:p>
    <w:p w14:paraId="71A4779C" w14:textId="77777777" w:rsidR="000939C6" w:rsidRPr="00D25474" w:rsidRDefault="000939C6">
      <w:pPr>
        <w:rPr>
          <w:rFonts w:ascii="Arial" w:hAnsi="Arial" w:cs="Arial"/>
        </w:rPr>
      </w:pPr>
    </w:p>
    <w:p w14:paraId="09C98BFC" w14:textId="18125208" w:rsidR="00A12F76" w:rsidRPr="00D25474" w:rsidRDefault="00D25474" w:rsidP="00D25474">
      <w:pPr>
        <w:pStyle w:val="Style1"/>
        <w:rPr>
          <w:sz w:val="32"/>
          <w:szCs w:val="32"/>
          <w:lang w:val="en-CA"/>
        </w:rPr>
      </w:pPr>
      <w:bookmarkStart w:id="1" w:name="_Toc213619003"/>
      <w:r w:rsidRPr="00D25474">
        <w:rPr>
          <w:sz w:val="32"/>
          <w:szCs w:val="32"/>
          <w:lang w:val="en-CA"/>
        </w:rPr>
        <w:lastRenderedPageBreak/>
        <w:t xml:space="preserve">1. </w:t>
      </w:r>
      <w:r w:rsidR="00A12F76" w:rsidRPr="00D25474">
        <w:rPr>
          <w:sz w:val="32"/>
          <w:szCs w:val="32"/>
          <w:lang w:val="en-CA"/>
        </w:rPr>
        <w:t>Financial Health Check</w:t>
      </w:r>
      <w:bookmarkEnd w:id="1"/>
    </w:p>
    <w:p w14:paraId="140BE7A4" w14:textId="77777777" w:rsidR="00A12F76" w:rsidRPr="00D25474" w:rsidRDefault="00A12F76" w:rsidP="00D25474">
      <w:pPr>
        <w:pStyle w:val="Style2"/>
      </w:pPr>
      <w:bookmarkStart w:id="2" w:name="_Toc213619004"/>
      <w:r w:rsidRPr="00D25474">
        <w:t>1.1 Overview of Financial Performance</w:t>
      </w:r>
      <w:bookmarkEnd w:id="2"/>
    </w:p>
    <w:p w14:paraId="004078FD" w14:textId="77777777" w:rsidR="009272C0" w:rsidRPr="009272C0" w:rsidRDefault="009272C0" w:rsidP="009272C0">
      <w:pPr>
        <w:spacing w:line="360" w:lineRule="auto"/>
        <w:jc w:val="both"/>
        <w:rPr>
          <w:rFonts w:ascii="Arial" w:hAnsi="Arial" w:cs="Arial"/>
          <w:lang w:val="en-CA"/>
        </w:rPr>
      </w:pPr>
      <w:r w:rsidRPr="009272C0">
        <w:rPr>
          <w:rFonts w:ascii="Arial" w:hAnsi="Arial" w:cs="Arial"/>
          <w:lang w:val="en-CA"/>
        </w:rPr>
        <w:t>The financial crisis experienced by General Electronics between 2020 and 2024 shifted between a net income of £38,572 m (2020) and an unbelievable loss of £24,029 m (2024). The decrease in revenue was 36, as supporting both the worsening of demand and the loss of competitive advantages in the international electronics market, the revenue diminished to £394,879 m (2024) and was previously 614,680 m (2020). The margins on gross profit narrowed to 28.9% in 2024, but what is throwing alarm bells is the operating expenses, which rose to 113 per cent of gross profit in 2024, which caused operating losses in the long term.</w:t>
      </w:r>
    </w:p>
    <w:p w14:paraId="59B25292" w14:textId="446E2846" w:rsidR="00D25474" w:rsidRPr="00D25474" w:rsidRDefault="009272C0" w:rsidP="009272C0">
      <w:pPr>
        <w:spacing w:line="360" w:lineRule="auto"/>
        <w:jc w:val="both"/>
        <w:rPr>
          <w:rFonts w:ascii="Arial" w:hAnsi="Arial" w:cs="Arial"/>
          <w:lang w:val="en-CA"/>
        </w:rPr>
      </w:pPr>
      <w:r w:rsidRPr="009272C0">
        <w:rPr>
          <w:rFonts w:ascii="Arial" w:hAnsi="Arial" w:cs="Arial"/>
          <w:lang w:val="en-CA"/>
        </w:rPr>
        <w:t>The trend over five years shows that a firm has been struggling with structural inefficiency, debt overhang and deteriorating cash generation. All these are measured by ratio analysis as seen below.</w:t>
      </w:r>
    </w:p>
    <w:p w14:paraId="29330CC0" w14:textId="77777777" w:rsidR="00A12F76" w:rsidRPr="00D25474" w:rsidRDefault="00A12F76" w:rsidP="00D25474">
      <w:pPr>
        <w:pStyle w:val="Style2"/>
      </w:pPr>
      <w:bookmarkStart w:id="3" w:name="_Toc213619005"/>
      <w:r w:rsidRPr="00D25474">
        <w:t>1.2 Profitability Analysis</w:t>
      </w:r>
      <w:bookmarkEnd w:id="3"/>
    </w:p>
    <w:tbl>
      <w:tblPr>
        <w:tblStyle w:val="TableGrid"/>
        <w:tblW w:w="0" w:type="auto"/>
        <w:tblLook w:val="04A0" w:firstRow="1" w:lastRow="0" w:firstColumn="1" w:lastColumn="0" w:noHBand="0" w:noVBand="1"/>
      </w:tblPr>
      <w:tblGrid>
        <w:gridCol w:w="2282"/>
        <w:gridCol w:w="2489"/>
        <w:gridCol w:w="944"/>
        <w:gridCol w:w="944"/>
        <w:gridCol w:w="897"/>
        <w:gridCol w:w="897"/>
        <w:gridCol w:w="897"/>
      </w:tblGrid>
      <w:tr w:rsidR="00A12F76" w:rsidRPr="00D25474" w14:paraId="13EBAE1A" w14:textId="77777777" w:rsidTr="00D25474">
        <w:tc>
          <w:tcPr>
            <w:tcW w:w="0" w:type="auto"/>
            <w:hideMark/>
          </w:tcPr>
          <w:p w14:paraId="267CF286"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2270D12E"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5D1584A9"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1D8F3504"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19F1AA54"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6720241E"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5716774D"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139043FF" w14:textId="77777777" w:rsidTr="00D25474">
        <w:tc>
          <w:tcPr>
            <w:tcW w:w="0" w:type="auto"/>
            <w:hideMark/>
          </w:tcPr>
          <w:p w14:paraId="5382C8DA"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Gross Profit Margin</w:t>
            </w:r>
          </w:p>
        </w:tc>
        <w:tc>
          <w:tcPr>
            <w:tcW w:w="0" w:type="auto"/>
            <w:hideMark/>
          </w:tcPr>
          <w:p w14:paraId="5B602FE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Gross Profit / Net Sales</w:t>
            </w:r>
          </w:p>
        </w:tc>
        <w:tc>
          <w:tcPr>
            <w:tcW w:w="0" w:type="auto"/>
            <w:hideMark/>
          </w:tcPr>
          <w:p w14:paraId="1419BF0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28.9%</w:t>
            </w:r>
          </w:p>
        </w:tc>
        <w:tc>
          <w:tcPr>
            <w:tcW w:w="0" w:type="auto"/>
            <w:hideMark/>
          </w:tcPr>
          <w:p w14:paraId="3AC245C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23.2%</w:t>
            </w:r>
          </w:p>
        </w:tc>
        <w:tc>
          <w:tcPr>
            <w:tcW w:w="0" w:type="auto"/>
            <w:hideMark/>
          </w:tcPr>
          <w:p w14:paraId="49FC0C7B"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28.1%</w:t>
            </w:r>
          </w:p>
        </w:tc>
        <w:tc>
          <w:tcPr>
            <w:tcW w:w="0" w:type="auto"/>
            <w:hideMark/>
          </w:tcPr>
          <w:p w14:paraId="6577AA1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28.8%</w:t>
            </w:r>
          </w:p>
        </w:tc>
        <w:tc>
          <w:tcPr>
            <w:tcW w:w="0" w:type="auto"/>
            <w:hideMark/>
          </w:tcPr>
          <w:p w14:paraId="3AC430C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28.7%</w:t>
            </w:r>
          </w:p>
        </w:tc>
      </w:tr>
      <w:tr w:rsidR="00A12F76" w:rsidRPr="00D25474" w14:paraId="5D950274" w14:textId="77777777" w:rsidTr="00D25474">
        <w:tc>
          <w:tcPr>
            <w:tcW w:w="0" w:type="auto"/>
            <w:hideMark/>
          </w:tcPr>
          <w:p w14:paraId="208D5139"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Operating Margin</w:t>
            </w:r>
          </w:p>
        </w:tc>
        <w:tc>
          <w:tcPr>
            <w:tcW w:w="0" w:type="auto"/>
            <w:hideMark/>
          </w:tcPr>
          <w:p w14:paraId="6871CB6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Operating Income / Net Sales</w:t>
            </w:r>
          </w:p>
        </w:tc>
        <w:tc>
          <w:tcPr>
            <w:tcW w:w="0" w:type="auto"/>
            <w:hideMark/>
          </w:tcPr>
          <w:p w14:paraId="7095042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-3.9%</w:t>
            </w:r>
          </w:p>
        </w:tc>
        <w:tc>
          <w:tcPr>
            <w:tcW w:w="0" w:type="auto"/>
            <w:hideMark/>
          </w:tcPr>
          <w:p w14:paraId="1FCC84C3"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-20.3%</w:t>
            </w:r>
          </w:p>
        </w:tc>
        <w:tc>
          <w:tcPr>
            <w:tcW w:w="0" w:type="auto"/>
            <w:hideMark/>
          </w:tcPr>
          <w:p w14:paraId="040E02C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2.7%</w:t>
            </w:r>
          </w:p>
        </w:tc>
        <w:tc>
          <w:tcPr>
            <w:tcW w:w="0" w:type="auto"/>
            <w:hideMark/>
          </w:tcPr>
          <w:p w14:paraId="288D999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3.9%</w:t>
            </w:r>
          </w:p>
        </w:tc>
        <w:tc>
          <w:tcPr>
            <w:tcW w:w="0" w:type="auto"/>
            <w:hideMark/>
          </w:tcPr>
          <w:p w14:paraId="5B4ABF2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6.1%</w:t>
            </w:r>
          </w:p>
        </w:tc>
      </w:tr>
      <w:tr w:rsidR="00A12F76" w:rsidRPr="00D25474" w14:paraId="6231275E" w14:textId="77777777" w:rsidTr="00D25474">
        <w:tc>
          <w:tcPr>
            <w:tcW w:w="0" w:type="auto"/>
            <w:hideMark/>
          </w:tcPr>
          <w:p w14:paraId="388C0591"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Net Profit Margin</w:t>
            </w:r>
          </w:p>
        </w:tc>
        <w:tc>
          <w:tcPr>
            <w:tcW w:w="0" w:type="auto"/>
            <w:hideMark/>
          </w:tcPr>
          <w:p w14:paraId="6EBE54F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Net Income / Net Sales</w:t>
            </w:r>
          </w:p>
        </w:tc>
        <w:tc>
          <w:tcPr>
            <w:tcW w:w="0" w:type="auto"/>
            <w:hideMark/>
          </w:tcPr>
          <w:p w14:paraId="16CE073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-6.1%</w:t>
            </w:r>
          </w:p>
        </w:tc>
        <w:tc>
          <w:tcPr>
            <w:tcW w:w="0" w:type="auto"/>
            <w:hideMark/>
          </w:tcPr>
          <w:p w14:paraId="78F74BC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-23.4%</w:t>
            </w:r>
          </w:p>
        </w:tc>
        <w:tc>
          <w:tcPr>
            <w:tcW w:w="0" w:type="auto"/>
            <w:hideMark/>
          </w:tcPr>
          <w:p w14:paraId="4221FA3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0.07%</w:t>
            </w:r>
          </w:p>
        </w:tc>
        <w:tc>
          <w:tcPr>
            <w:tcW w:w="0" w:type="auto"/>
            <w:hideMark/>
          </w:tcPr>
          <w:p w14:paraId="2C89C8CF"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0.88%</w:t>
            </w:r>
          </w:p>
        </w:tc>
        <w:tc>
          <w:tcPr>
            <w:tcW w:w="0" w:type="auto"/>
            <w:hideMark/>
          </w:tcPr>
          <w:p w14:paraId="3CE96E1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6.3%</w:t>
            </w:r>
          </w:p>
        </w:tc>
      </w:tr>
      <w:tr w:rsidR="00A12F76" w:rsidRPr="00D25474" w14:paraId="4B99E8FC" w14:textId="77777777" w:rsidTr="00D25474">
        <w:tc>
          <w:tcPr>
            <w:tcW w:w="0" w:type="auto"/>
            <w:hideMark/>
          </w:tcPr>
          <w:p w14:paraId="12C03823"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Return on Assets (ROA)</w:t>
            </w:r>
          </w:p>
        </w:tc>
        <w:tc>
          <w:tcPr>
            <w:tcW w:w="0" w:type="auto"/>
            <w:hideMark/>
          </w:tcPr>
          <w:p w14:paraId="73365B4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Net Income / Total Assets</w:t>
            </w:r>
          </w:p>
        </w:tc>
        <w:tc>
          <w:tcPr>
            <w:tcW w:w="0" w:type="auto"/>
            <w:hideMark/>
          </w:tcPr>
          <w:p w14:paraId="07586DF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-7.4%</w:t>
            </w:r>
          </w:p>
        </w:tc>
        <w:tc>
          <w:tcPr>
            <w:tcW w:w="0" w:type="auto"/>
            <w:hideMark/>
          </w:tcPr>
          <w:p w14:paraId="6680499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-27.6%</w:t>
            </w:r>
          </w:p>
        </w:tc>
        <w:tc>
          <w:tcPr>
            <w:tcW w:w="0" w:type="auto"/>
            <w:hideMark/>
          </w:tcPr>
          <w:p w14:paraId="62932487"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0.08%</w:t>
            </w:r>
          </w:p>
        </w:tc>
        <w:tc>
          <w:tcPr>
            <w:tcW w:w="0" w:type="auto"/>
            <w:hideMark/>
          </w:tcPr>
          <w:p w14:paraId="41ED3B9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1.04%</w:t>
            </w:r>
          </w:p>
        </w:tc>
        <w:tc>
          <w:tcPr>
            <w:tcW w:w="0" w:type="auto"/>
            <w:hideMark/>
          </w:tcPr>
          <w:p w14:paraId="4514D77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7.6%</w:t>
            </w:r>
          </w:p>
        </w:tc>
      </w:tr>
      <w:tr w:rsidR="00A12F76" w:rsidRPr="00D25474" w14:paraId="2458D146" w14:textId="77777777" w:rsidTr="00D25474">
        <w:tc>
          <w:tcPr>
            <w:tcW w:w="0" w:type="auto"/>
            <w:hideMark/>
          </w:tcPr>
          <w:p w14:paraId="6A8BEAB4"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Return on Equity (ROE)</w:t>
            </w:r>
          </w:p>
        </w:tc>
        <w:tc>
          <w:tcPr>
            <w:tcW w:w="0" w:type="auto"/>
            <w:hideMark/>
          </w:tcPr>
          <w:p w14:paraId="14B7EF7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Net Income / Equity</w:t>
            </w:r>
          </w:p>
        </w:tc>
        <w:tc>
          <w:tcPr>
            <w:tcW w:w="0" w:type="auto"/>
            <w:hideMark/>
          </w:tcPr>
          <w:p w14:paraId="6F6A1CD7"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-15.7%</w:t>
            </w:r>
          </w:p>
        </w:tc>
        <w:tc>
          <w:tcPr>
            <w:tcW w:w="0" w:type="auto"/>
            <w:hideMark/>
          </w:tcPr>
          <w:p w14:paraId="54E14CE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-54.9%</w:t>
            </w:r>
          </w:p>
        </w:tc>
        <w:tc>
          <w:tcPr>
            <w:tcW w:w="0" w:type="auto"/>
            <w:hideMark/>
          </w:tcPr>
          <w:p w14:paraId="625124CB"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0.15%</w:t>
            </w:r>
          </w:p>
        </w:tc>
        <w:tc>
          <w:tcPr>
            <w:tcW w:w="0" w:type="auto"/>
            <w:hideMark/>
          </w:tcPr>
          <w:p w14:paraId="5DFD73E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1.9%</w:t>
            </w:r>
          </w:p>
        </w:tc>
        <w:tc>
          <w:tcPr>
            <w:tcW w:w="0" w:type="auto"/>
            <w:hideMark/>
          </w:tcPr>
          <w:p w14:paraId="5F5393C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12.3%</w:t>
            </w:r>
          </w:p>
        </w:tc>
      </w:tr>
    </w:tbl>
    <w:p w14:paraId="7B0B1F0D" w14:textId="77777777" w:rsidR="00D25474" w:rsidRPr="00D25474" w:rsidRDefault="00D25474" w:rsidP="00A12F76">
      <w:pPr>
        <w:spacing w:line="360" w:lineRule="auto"/>
        <w:rPr>
          <w:rFonts w:ascii="Arial" w:hAnsi="Arial" w:cs="Arial"/>
          <w:b/>
          <w:bCs/>
          <w:lang w:val="en-CA"/>
        </w:rPr>
      </w:pPr>
    </w:p>
    <w:p w14:paraId="753A1C5C" w14:textId="77777777"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t>Interpretation</w:t>
      </w:r>
    </w:p>
    <w:p w14:paraId="6F7D16AC" w14:textId="496B0E55" w:rsidR="00A12F76" w:rsidRPr="00D25474" w:rsidRDefault="00EB649C" w:rsidP="00B65AA9">
      <w:pPr>
        <w:spacing w:line="360" w:lineRule="auto"/>
        <w:jc w:val="both"/>
        <w:rPr>
          <w:rFonts w:ascii="Arial" w:hAnsi="Arial" w:cs="Arial"/>
          <w:lang w:val="en-CA"/>
        </w:rPr>
      </w:pPr>
      <w:r w:rsidRPr="00EB649C">
        <w:rPr>
          <w:rFonts w:ascii="Arial" w:hAnsi="Arial" w:cs="Arial"/>
          <w:lang w:val="en-CA"/>
        </w:rPr>
        <w:t xml:space="preserve">Failure to make profits clearly happens. The net margin of the firm has dropped by 6.3-6.1, which indicates erosion of equity, whereas ROE has decreased by 12.3-15.7, </w:t>
      </w:r>
      <w:r w:rsidRPr="00EB649C">
        <w:rPr>
          <w:rFonts w:ascii="Arial" w:hAnsi="Arial" w:cs="Arial"/>
          <w:lang w:val="en-CA"/>
        </w:rPr>
        <w:lastRenderedPageBreak/>
        <w:t>indicating equity destruction. The worst fall was in 2023, when the company wiped out retained earnings with a tremendous loss of 98 bn. Large costs and poor sales increases suggests pressure on pricing and inefficiency in its operations. The fact that the gross margin showed a slight recovery (2024) is an indication that the company has put a rein on costs at the production scale, yet overheads are structurally in excess</w:t>
      </w:r>
      <w:r w:rsidR="00D064BB">
        <w:rPr>
          <w:rFonts w:ascii="Arial" w:hAnsi="Arial" w:cs="Arial"/>
          <w:lang w:val="en-CA"/>
        </w:rPr>
        <w:t xml:space="preserve"> </w:t>
      </w:r>
      <w:r w:rsidR="00D064BB" w:rsidRPr="00D064BB">
        <w:rPr>
          <w:rFonts w:ascii="Arial" w:hAnsi="Arial" w:cs="Arial"/>
          <w:lang w:val="en-CA"/>
        </w:rPr>
        <w:t>(Thomas, 2022)</w:t>
      </w:r>
      <w:r w:rsidRPr="00EB649C">
        <w:rPr>
          <w:rFonts w:ascii="Arial" w:hAnsi="Arial" w:cs="Arial"/>
          <w:lang w:val="en-CA"/>
        </w:rPr>
        <w:t>.</w:t>
      </w:r>
    </w:p>
    <w:p w14:paraId="2CDBC92F" w14:textId="77777777" w:rsidR="00A12F76" w:rsidRPr="00D25474" w:rsidRDefault="00A12F76" w:rsidP="00D25474">
      <w:pPr>
        <w:pStyle w:val="Style2"/>
      </w:pPr>
      <w:bookmarkStart w:id="4" w:name="_Toc213619006"/>
      <w:r w:rsidRPr="00D25474">
        <w:t>1.3 Liquidity Analysis</w:t>
      </w:r>
      <w:bookmarkEnd w:id="4"/>
    </w:p>
    <w:tbl>
      <w:tblPr>
        <w:tblStyle w:val="TableGrid"/>
        <w:tblW w:w="0" w:type="auto"/>
        <w:tblLook w:val="04A0" w:firstRow="1" w:lastRow="0" w:firstColumn="1" w:lastColumn="0" w:noHBand="0" w:noVBand="1"/>
      </w:tblPr>
      <w:tblGrid>
        <w:gridCol w:w="1750"/>
        <w:gridCol w:w="3845"/>
        <w:gridCol w:w="750"/>
        <w:gridCol w:w="750"/>
        <w:gridCol w:w="750"/>
        <w:gridCol w:w="750"/>
        <w:gridCol w:w="750"/>
      </w:tblGrid>
      <w:tr w:rsidR="00A12F76" w:rsidRPr="00D25474" w14:paraId="443B7FE8" w14:textId="77777777" w:rsidTr="00D25474">
        <w:tc>
          <w:tcPr>
            <w:tcW w:w="0" w:type="auto"/>
            <w:hideMark/>
          </w:tcPr>
          <w:p w14:paraId="06C1DDEE"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566B9C5F"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795AC917"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2AE17CBB"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277AD1B3"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2DCB899C"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746AE762"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3B7CAE8F" w14:textId="77777777" w:rsidTr="00D25474">
        <w:tc>
          <w:tcPr>
            <w:tcW w:w="0" w:type="auto"/>
            <w:hideMark/>
          </w:tcPr>
          <w:p w14:paraId="39A6B0F0"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Current Ratio</w:t>
            </w:r>
          </w:p>
        </w:tc>
        <w:tc>
          <w:tcPr>
            <w:tcW w:w="0" w:type="auto"/>
            <w:hideMark/>
          </w:tcPr>
          <w:p w14:paraId="4ADEAFD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Current Assets / Current Liabilities</w:t>
            </w:r>
          </w:p>
        </w:tc>
        <w:tc>
          <w:tcPr>
            <w:tcW w:w="0" w:type="auto"/>
            <w:hideMark/>
          </w:tcPr>
          <w:p w14:paraId="5C0DB8D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1.53</w:t>
            </w:r>
          </w:p>
        </w:tc>
        <w:tc>
          <w:tcPr>
            <w:tcW w:w="0" w:type="auto"/>
            <w:hideMark/>
          </w:tcPr>
          <w:p w14:paraId="15788D6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1.61</w:t>
            </w:r>
          </w:p>
        </w:tc>
        <w:tc>
          <w:tcPr>
            <w:tcW w:w="0" w:type="auto"/>
            <w:hideMark/>
          </w:tcPr>
          <w:p w14:paraId="4CD5BA4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1.56</w:t>
            </w:r>
          </w:p>
        </w:tc>
        <w:tc>
          <w:tcPr>
            <w:tcW w:w="0" w:type="auto"/>
            <w:hideMark/>
          </w:tcPr>
          <w:p w14:paraId="3E590EE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1.55</w:t>
            </w:r>
          </w:p>
        </w:tc>
        <w:tc>
          <w:tcPr>
            <w:tcW w:w="0" w:type="auto"/>
            <w:hideMark/>
          </w:tcPr>
          <w:p w14:paraId="799DF2E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1.82</w:t>
            </w:r>
          </w:p>
        </w:tc>
      </w:tr>
      <w:tr w:rsidR="00A12F76" w:rsidRPr="00D25474" w14:paraId="50260635" w14:textId="77777777" w:rsidTr="00D25474">
        <w:tc>
          <w:tcPr>
            <w:tcW w:w="0" w:type="auto"/>
            <w:hideMark/>
          </w:tcPr>
          <w:p w14:paraId="39417C97"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Quick Ratio</w:t>
            </w:r>
          </w:p>
        </w:tc>
        <w:tc>
          <w:tcPr>
            <w:tcW w:w="0" w:type="auto"/>
            <w:hideMark/>
          </w:tcPr>
          <w:p w14:paraId="2055822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(CA − Inventories) / CL</w:t>
            </w:r>
          </w:p>
        </w:tc>
        <w:tc>
          <w:tcPr>
            <w:tcW w:w="0" w:type="auto"/>
            <w:hideMark/>
          </w:tcPr>
          <w:p w14:paraId="0B6DD43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1.03</w:t>
            </w:r>
          </w:p>
        </w:tc>
        <w:tc>
          <w:tcPr>
            <w:tcW w:w="0" w:type="auto"/>
            <w:hideMark/>
          </w:tcPr>
          <w:p w14:paraId="0F737D4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1.05</w:t>
            </w:r>
          </w:p>
        </w:tc>
        <w:tc>
          <w:tcPr>
            <w:tcW w:w="0" w:type="auto"/>
            <w:hideMark/>
          </w:tcPr>
          <w:p w14:paraId="5C9AD0B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0.91</w:t>
            </w:r>
          </w:p>
        </w:tc>
        <w:tc>
          <w:tcPr>
            <w:tcW w:w="0" w:type="auto"/>
            <w:hideMark/>
          </w:tcPr>
          <w:p w14:paraId="3A459283"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0.94</w:t>
            </w:r>
          </w:p>
        </w:tc>
        <w:tc>
          <w:tcPr>
            <w:tcW w:w="0" w:type="auto"/>
            <w:hideMark/>
          </w:tcPr>
          <w:p w14:paraId="1A126E8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1.15</w:t>
            </w:r>
          </w:p>
        </w:tc>
      </w:tr>
      <w:tr w:rsidR="00A12F76" w:rsidRPr="00D25474" w14:paraId="12247914" w14:textId="77777777" w:rsidTr="00D25474">
        <w:tc>
          <w:tcPr>
            <w:tcW w:w="0" w:type="auto"/>
            <w:hideMark/>
          </w:tcPr>
          <w:p w14:paraId="5DC8F3B2"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Cash Ratio</w:t>
            </w:r>
          </w:p>
        </w:tc>
        <w:tc>
          <w:tcPr>
            <w:tcW w:w="0" w:type="auto"/>
            <w:hideMark/>
          </w:tcPr>
          <w:p w14:paraId="0139E8B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Cash / CL</w:t>
            </w:r>
          </w:p>
        </w:tc>
        <w:tc>
          <w:tcPr>
            <w:tcW w:w="0" w:type="auto"/>
            <w:hideMark/>
          </w:tcPr>
          <w:p w14:paraId="25A11097"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0.17</w:t>
            </w:r>
          </w:p>
        </w:tc>
        <w:tc>
          <w:tcPr>
            <w:tcW w:w="0" w:type="auto"/>
            <w:hideMark/>
          </w:tcPr>
          <w:p w14:paraId="2F064A7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0.27</w:t>
            </w:r>
          </w:p>
        </w:tc>
        <w:tc>
          <w:tcPr>
            <w:tcW w:w="0" w:type="auto"/>
            <w:hideMark/>
          </w:tcPr>
          <w:p w14:paraId="1F63CC3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0.31</w:t>
            </w:r>
          </w:p>
        </w:tc>
        <w:tc>
          <w:tcPr>
            <w:tcW w:w="0" w:type="auto"/>
            <w:hideMark/>
          </w:tcPr>
          <w:p w14:paraId="529E9B1B"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0.28</w:t>
            </w:r>
          </w:p>
        </w:tc>
        <w:tc>
          <w:tcPr>
            <w:tcW w:w="0" w:type="auto"/>
            <w:hideMark/>
          </w:tcPr>
          <w:p w14:paraId="29B14EB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0.32</w:t>
            </w:r>
          </w:p>
        </w:tc>
      </w:tr>
    </w:tbl>
    <w:p w14:paraId="50B55634" w14:textId="77777777" w:rsidR="00D25474" w:rsidRPr="00D25474" w:rsidRDefault="00D25474" w:rsidP="00A12F76">
      <w:pPr>
        <w:spacing w:line="360" w:lineRule="auto"/>
        <w:rPr>
          <w:rFonts w:ascii="Arial" w:hAnsi="Arial" w:cs="Arial"/>
          <w:b/>
          <w:bCs/>
          <w:lang w:val="en-CA"/>
        </w:rPr>
      </w:pPr>
    </w:p>
    <w:p w14:paraId="1968FDC4" w14:textId="77777777"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t>Interpretation</w:t>
      </w:r>
    </w:p>
    <w:p w14:paraId="35D10640" w14:textId="3A9521D2" w:rsidR="00A12F76" w:rsidRDefault="00EB649C" w:rsidP="00EB649C">
      <w:pPr>
        <w:spacing w:line="360" w:lineRule="auto"/>
        <w:jc w:val="both"/>
        <w:rPr>
          <w:rFonts w:ascii="Arial" w:hAnsi="Arial" w:cs="Arial"/>
          <w:lang w:val="en-CA"/>
        </w:rPr>
      </w:pPr>
      <w:r w:rsidRPr="00EB649C">
        <w:rPr>
          <w:rFonts w:ascii="Arial" w:hAnsi="Arial" w:cs="Arial"/>
          <w:lang w:val="en-CA"/>
        </w:rPr>
        <w:t>Liquidity is also poor since cash holdings have reduced by an amount of 57 bn to 27 bn, whereas short-term liabilities stood at over 150 bn. The current ratio (1.53) is slightly stronger than the safety (1.5×), whereas the cash ratio (0.17) indicates scanty immediate liquidity. Such a restricted cash position implies strain on supplier payments and short-term debt servicing, worsened by decreasing revenues</w:t>
      </w:r>
      <w:r w:rsidR="00D064BB">
        <w:rPr>
          <w:rFonts w:ascii="Arial" w:hAnsi="Arial" w:cs="Arial"/>
          <w:lang w:val="en-CA"/>
        </w:rPr>
        <w:t xml:space="preserve"> </w:t>
      </w:r>
      <w:r w:rsidR="00D064BB" w:rsidRPr="00D064BB">
        <w:rPr>
          <w:rFonts w:ascii="Arial" w:hAnsi="Arial" w:cs="Arial"/>
          <w:lang w:val="en-CA"/>
        </w:rPr>
        <w:t>(Thomas, 2022)</w:t>
      </w:r>
      <w:r w:rsidRPr="00EB649C">
        <w:rPr>
          <w:rFonts w:ascii="Arial" w:hAnsi="Arial" w:cs="Arial"/>
          <w:lang w:val="en-CA"/>
        </w:rPr>
        <w:t>.</w:t>
      </w:r>
    </w:p>
    <w:p w14:paraId="0EAFBDC6" w14:textId="77777777" w:rsidR="00EB649C" w:rsidRPr="00D25474" w:rsidRDefault="00EB649C" w:rsidP="00EB649C">
      <w:pPr>
        <w:spacing w:line="360" w:lineRule="auto"/>
        <w:jc w:val="both"/>
        <w:rPr>
          <w:rFonts w:ascii="Arial" w:hAnsi="Arial" w:cs="Arial"/>
          <w:lang w:val="en-CA"/>
        </w:rPr>
      </w:pPr>
    </w:p>
    <w:p w14:paraId="2EE9950D" w14:textId="77777777" w:rsidR="00A12F76" w:rsidRPr="00D25474" w:rsidRDefault="00A12F76" w:rsidP="00D25474">
      <w:pPr>
        <w:pStyle w:val="Style2"/>
      </w:pPr>
      <w:bookmarkStart w:id="5" w:name="_Toc213619007"/>
      <w:r w:rsidRPr="00D25474">
        <w:t>1.4 Efficiency (Activity) Ratios</w:t>
      </w:r>
      <w:bookmarkEnd w:id="5"/>
    </w:p>
    <w:tbl>
      <w:tblPr>
        <w:tblStyle w:val="TableGrid"/>
        <w:tblW w:w="0" w:type="auto"/>
        <w:tblLook w:val="04A0" w:firstRow="1" w:lastRow="0" w:firstColumn="1" w:lastColumn="0" w:noHBand="0" w:noVBand="1"/>
      </w:tblPr>
      <w:tblGrid>
        <w:gridCol w:w="2328"/>
        <w:gridCol w:w="2902"/>
        <w:gridCol w:w="824"/>
        <w:gridCol w:w="824"/>
        <w:gridCol w:w="824"/>
        <w:gridCol w:w="824"/>
        <w:gridCol w:w="824"/>
      </w:tblGrid>
      <w:tr w:rsidR="00A12F76" w:rsidRPr="00D25474" w14:paraId="6494D0D9" w14:textId="77777777" w:rsidTr="00D25474">
        <w:tc>
          <w:tcPr>
            <w:tcW w:w="0" w:type="auto"/>
            <w:hideMark/>
          </w:tcPr>
          <w:p w14:paraId="5207D85B"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12040396"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3F0A53E1"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0A40B609"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6F941BD5"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1FFCACCC"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3B7DCFAC"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22D3145F" w14:textId="77777777" w:rsidTr="00D25474">
        <w:tc>
          <w:tcPr>
            <w:tcW w:w="0" w:type="auto"/>
            <w:hideMark/>
          </w:tcPr>
          <w:p w14:paraId="3C1D0D18"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Inventory Turnover</w:t>
            </w:r>
          </w:p>
        </w:tc>
        <w:tc>
          <w:tcPr>
            <w:tcW w:w="0" w:type="auto"/>
            <w:hideMark/>
          </w:tcPr>
          <w:p w14:paraId="418C19A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COGS / Avg. Inventory</w:t>
            </w:r>
          </w:p>
        </w:tc>
        <w:tc>
          <w:tcPr>
            <w:tcW w:w="0" w:type="auto"/>
            <w:hideMark/>
          </w:tcPr>
          <w:p w14:paraId="36C0DD8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3.2×</w:t>
            </w:r>
          </w:p>
        </w:tc>
        <w:tc>
          <w:tcPr>
            <w:tcW w:w="0" w:type="auto"/>
            <w:hideMark/>
          </w:tcPr>
          <w:p w14:paraId="1FFF774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3.3×</w:t>
            </w:r>
          </w:p>
        </w:tc>
        <w:tc>
          <w:tcPr>
            <w:tcW w:w="0" w:type="auto"/>
            <w:hideMark/>
          </w:tcPr>
          <w:p w14:paraId="268FECEF"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2.9×</w:t>
            </w:r>
          </w:p>
        </w:tc>
        <w:tc>
          <w:tcPr>
            <w:tcW w:w="0" w:type="auto"/>
            <w:hideMark/>
          </w:tcPr>
          <w:p w14:paraId="7A81564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3.4×</w:t>
            </w:r>
          </w:p>
        </w:tc>
        <w:tc>
          <w:tcPr>
            <w:tcW w:w="0" w:type="auto"/>
            <w:hideMark/>
          </w:tcPr>
          <w:p w14:paraId="4ED6D5C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3.7×</w:t>
            </w:r>
          </w:p>
        </w:tc>
      </w:tr>
      <w:tr w:rsidR="00A12F76" w:rsidRPr="00D25474" w14:paraId="7A8C65E2" w14:textId="77777777" w:rsidTr="00D25474">
        <w:tc>
          <w:tcPr>
            <w:tcW w:w="0" w:type="auto"/>
            <w:hideMark/>
          </w:tcPr>
          <w:p w14:paraId="16C15063"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Receivable Turnover</w:t>
            </w:r>
          </w:p>
        </w:tc>
        <w:tc>
          <w:tcPr>
            <w:tcW w:w="0" w:type="auto"/>
            <w:hideMark/>
          </w:tcPr>
          <w:p w14:paraId="1135B19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Net Sales / Avg. Receivables</w:t>
            </w:r>
          </w:p>
        </w:tc>
        <w:tc>
          <w:tcPr>
            <w:tcW w:w="0" w:type="auto"/>
            <w:hideMark/>
          </w:tcPr>
          <w:p w14:paraId="53E9EC1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3.5×</w:t>
            </w:r>
          </w:p>
        </w:tc>
        <w:tc>
          <w:tcPr>
            <w:tcW w:w="0" w:type="auto"/>
            <w:hideMark/>
          </w:tcPr>
          <w:p w14:paraId="5012A46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3.7×</w:t>
            </w:r>
          </w:p>
        </w:tc>
        <w:tc>
          <w:tcPr>
            <w:tcW w:w="0" w:type="auto"/>
            <w:hideMark/>
          </w:tcPr>
          <w:p w14:paraId="7639641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4.5×</w:t>
            </w:r>
          </w:p>
        </w:tc>
        <w:tc>
          <w:tcPr>
            <w:tcW w:w="0" w:type="auto"/>
            <w:hideMark/>
          </w:tcPr>
          <w:p w14:paraId="12C1EFC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4.7×</w:t>
            </w:r>
          </w:p>
        </w:tc>
        <w:tc>
          <w:tcPr>
            <w:tcW w:w="0" w:type="auto"/>
            <w:hideMark/>
          </w:tcPr>
          <w:p w14:paraId="3518269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4.8×</w:t>
            </w:r>
          </w:p>
        </w:tc>
      </w:tr>
      <w:tr w:rsidR="00A12F76" w:rsidRPr="00D25474" w14:paraId="3B278167" w14:textId="77777777" w:rsidTr="00D25474">
        <w:tc>
          <w:tcPr>
            <w:tcW w:w="0" w:type="auto"/>
            <w:hideMark/>
          </w:tcPr>
          <w:p w14:paraId="772D8DCD"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Total Asset Turnover</w:t>
            </w:r>
          </w:p>
        </w:tc>
        <w:tc>
          <w:tcPr>
            <w:tcW w:w="0" w:type="auto"/>
            <w:hideMark/>
          </w:tcPr>
          <w:p w14:paraId="29A5F7A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Net Sales / Total Assets</w:t>
            </w:r>
          </w:p>
        </w:tc>
        <w:tc>
          <w:tcPr>
            <w:tcW w:w="0" w:type="auto"/>
            <w:hideMark/>
          </w:tcPr>
          <w:p w14:paraId="5F1B413F"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1.22×</w:t>
            </w:r>
          </w:p>
        </w:tc>
        <w:tc>
          <w:tcPr>
            <w:tcW w:w="0" w:type="auto"/>
            <w:hideMark/>
          </w:tcPr>
          <w:p w14:paraId="33A2FDD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1.18×</w:t>
            </w:r>
          </w:p>
        </w:tc>
        <w:tc>
          <w:tcPr>
            <w:tcW w:w="0" w:type="auto"/>
            <w:hideMark/>
          </w:tcPr>
          <w:p w14:paraId="0EF0961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1.08×</w:t>
            </w:r>
          </w:p>
        </w:tc>
        <w:tc>
          <w:tcPr>
            <w:tcW w:w="0" w:type="auto"/>
            <w:hideMark/>
          </w:tcPr>
          <w:p w14:paraId="3EBAD5A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1.18×</w:t>
            </w:r>
          </w:p>
        </w:tc>
        <w:tc>
          <w:tcPr>
            <w:tcW w:w="0" w:type="auto"/>
            <w:hideMark/>
          </w:tcPr>
          <w:p w14:paraId="20A37E0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1.20×</w:t>
            </w:r>
          </w:p>
        </w:tc>
      </w:tr>
    </w:tbl>
    <w:p w14:paraId="4B44D4AF" w14:textId="77777777" w:rsidR="00D25474" w:rsidRPr="00D25474" w:rsidRDefault="00D25474" w:rsidP="00A12F76">
      <w:pPr>
        <w:spacing w:line="360" w:lineRule="auto"/>
        <w:rPr>
          <w:rFonts w:ascii="Arial" w:hAnsi="Arial" w:cs="Arial"/>
          <w:b/>
          <w:bCs/>
          <w:lang w:val="en-CA"/>
        </w:rPr>
      </w:pPr>
    </w:p>
    <w:p w14:paraId="7D3E87FC" w14:textId="77777777"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t>Interpretation</w:t>
      </w:r>
    </w:p>
    <w:p w14:paraId="038E36FA" w14:textId="10E83FD8" w:rsidR="00A12F76" w:rsidRPr="00D25474" w:rsidRDefault="00EB649C" w:rsidP="00B65AA9">
      <w:pPr>
        <w:spacing w:line="360" w:lineRule="auto"/>
        <w:jc w:val="both"/>
        <w:rPr>
          <w:rFonts w:ascii="Arial" w:hAnsi="Arial" w:cs="Arial"/>
          <w:lang w:val="en-CA"/>
        </w:rPr>
      </w:pPr>
      <w:r w:rsidRPr="00EB649C">
        <w:rPr>
          <w:rFonts w:ascii="Arial" w:hAnsi="Arial" w:cs="Arial"/>
          <w:lang w:val="en-CA"/>
        </w:rPr>
        <w:t xml:space="preserve">It also led to poor performance in terms of operational efficiency, which is more evident in slower collection times due to delayed payments from customers. The level of inventory </w:t>
      </w:r>
      <w:r w:rsidRPr="00EB649C">
        <w:rPr>
          <w:rFonts w:ascii="Arial" w:hAnsi="Arial" w:cs="Arial"/>
          <w:lang w:val="en-CA"/>
        </w:rPr>
        <w:lastRenderedPageBreak/>
        <w:t>turnover was stable and at a low efficiency level, which means that inventory was turned over on a large scale and demand could not be accurately forecasted</w:t>
      </w:r>
      <w:r w:rsidR="00B65AA9">
        <w:rPr>
          <w:rFonts w:ascii="Arial" w:hAnsi="Arial" w:cs="Arial"/>
          <w:lang w:val="en-CA"/>
        </w:rPr>
        <w:t xml:space="preserve"> </w:t>
      </w:r>
      <w:r w:rsidR="00B65AA9" w:rsidRPr="00B65AA9">
        <w:rPr>
          <w:rFonts w:ascii="Arial" w:hAnsi="Arial" w:cs="Arial"/>
          <w:lang w:val="en-CA"/>
        </w:rPr>
        <w:t>(CIMA, 2018)</w:t>
      </w:r>
      <w:r w:rsidRPr="00EB649C">
        <w:rPr>
          <w:rFonts w:ascii="Arial" w:hAnsi="Arial" w:cs="Arial"/>
          <w:lang w:val="en-CA"/>
        </w:rPr>
        <w:t>. The above-average asset turnover is still good, as it is above 1.0×, which implies that the assets are not yielding decent returns.</w:t>
      </w:r>
    </w:p>
    <w:p w14:paraId="01DFD9FC" w14:textId="77777777" w:rsidR="00A12F76" w:rsidRPr="00D25474" w:rsidRDefault="00A12F76" w:rsidP="00D25474">
      <w:pPr>
        <w:pStyle w:val="Style2"/>
      </w:pPr>
      <w:bookmarkStart w:id="6" w:name="_Toc213619008"/>
      <w:r w:rsidRPr="00D25474">
        <w:t>1.5 Gearing (Leverage) Ratios</w:t>
      </w:r>
      <w:bookmarkEnd w:id="6"/>
    </w:p>
    <w:tbl>
      <w:tblPr>
        <w:tblStyle w:val="TableGrid"/>
        <w:tblW w:w="0" w:type="auto"/>
        <w:tblLook w:val="04A0" w:firstRow="1" w:lastRow="0" w:firstColumn="1" w:lastColumn="0" w:noHBand="0" w:noVBand="1"/>
      </w:tblPr>
      <w:tblGrid>
        <w:gridCol w:w="1668"/>
        <w:gridCol w:w="2645"/>
        <w:gridCol w:w="1710"/>
        <w:gridCol w:w="855"/>
        <w:gridCol w:w="824"/>
        <w:gridCol w:w="824"/>
        <w:gridCol w:w="824"/>
      </w:tblGrid>
      <w:tr w:rsidR="00A12F76" w:rsidRPr="00D25474" w14:paraId="04E76B99" w14:textId="77777777" w:rsidTr="00D25474">
        <w:tc>
          <w:tcPr>
            <w:tcW w:w="0" w:type="auto"/>
            <w:hideMark/>
          </w:tcPr>
          <w:p w14:paraId="03BA3EC4"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1B068ABF"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65058BEE"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20D61027"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4F366C81"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75ED5D83"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2E2963D3"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5B9C650C" w14:textId="77777777" w:rsidTr="00D25474">
        <w:tc>
          <w:tcPr>
            <w:tcW w:w="0" w:type="auto"/>
            <w:hideMark/>
          </w:tcPr>
          <w:p w14:paraId="3D178D2C"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Debt-to-Equity</w:t>
            </w:r>
          </w:p>
        </w:tc>
        <w:tc>
          <w:tcPr>
            <w:tcW w:w="0" w:type="auto"/>
            <w:hideMark/>
          </w:tcPr>
          <w:p w14:paraId="4B8F9A7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Total Liabilities / Shareholders’ Equity</w:t>
            </w:r>
          </w:p>
        </w:tc>
        <w:tc>
          <w:tcPr>
            <w:tcW w:w="0" w:type="auto"/>
            <w:hideMark/>
          </w:tcPr>
          <w:p w14:paraId="5F268E8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1.11×</w:t>
            </w:r>
          </w:p>
        </w:tc>
        <w:tc>
          <w:tcPr>
            <w:tcW w:w="0" w:type="auto"/>
            <w:hideMark/>
          </w:tcPr>
          <w:p w14:paraId="6536476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0.99×</w:t>
            </w:r>
          </w:p>
        </w:tc>
        <w:tc>
          <w:tcPr>
            <w:tcW w:w="0" w:type="auto"/>
            <w:hideMark/>
          </w:tcPr>
          <w:p w14:paraId="6E5D1D8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0.88×</w:t>
            </w:r>
          </w:p>
        </w:tc>
        <w:tc>
          <w:tcPr>
            <w:tcW w:w="0" w:type="auto"/>
            <w:hideMark/>
          </w:tcPr>
          <w:p w14:paraId="0542438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0.85×</w:t>
            </w:r>
          </w:p>
        </w:tc>
        <w:tc>
          <w:tcPr>
            <w:tcW w:w="0" w:type="auto"/>
            <w:hideMark/>
          </w:tcPr>
          <w:p w14:paraId="5A2514D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0.63×</w:t>
            </w:r>
          </w:p>
        </w:tc>
      </w:tr>
      <w:tr w:rsidR="00A12F76" w:rsidRPr="00D25474" w14:paraId="04FA119B" w14:textId="77777777" w:rsidTr="00D25474">
        <w:tc>
          <w:tcPr>
            <w:tcW w:w="0" w:type="auto"/>
            <w:hideMark/>
          </w:tcPr>
          <w:p w14:paraId="19DD765F"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Equity Ratio</w:t>
            </w:r>
          </w:p>
        </w:tc>
        <w:tc>
          <w:tcPr>
            <w:tcW w:w="0" w:type="auto"/>
            <w:hideMark/>
          </w:tcPr>
          <w:p w14:paraId="6012DB6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Equity / Total Assets</w:t>
            </w:r>
          </w:p>
        </w:tc>
        <w:tc>
          <w:tcPr>
            <w:tcW w:w="0" w:type="auto"/>
            <w:hideMark/>
          </w:tcPr>
          <w:p w14:paraId="4E77BD6F"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47%</w:t>
            </w:r>
          </w:p>
        </w:tc>
        <w:tc>
          <w:tcPr>
            <w:tcW w:w="0" w:type="auto"/>
            <w:hideMark/>
          </w:tcPr>
          <w:p w14:paraId="62AB1BF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50%</w:t>
            </w:r>
          </w:p>
        </w:tc>
        <w:tc>
          <w:tcPr>
            <w:tcW w:w="0" w:type="auto"/>
            <w:hideMark/>
          </w:tcPr>
          <w:p w14:paraId="595BFDD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53%</w:t>
            </w:r>
          </w:p>
        </w:tc>
        <w:tc>
          <w:tcPr>
            <w:tcW w:w="0" w:type="auto"/>
            <w:hideMark/>
          </w:tcPr>
          <w:p w14:paraId="3925DC4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54%</w:t>
            </w:r>
          </w:p>
        </w:tc>
        <w:tc>
          <w:tcPr>
            <w:tcW w:w="0" w:type="auto"/>
            <w:hideMark/>
          </w:tcPr>
          <w:p w14:paraId="7C813C7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61%</w:t>
            </w:r>
          </w:p>
        </w:tc>
      </w:tr>
      <w:tr w:rsidR="00A12F76" w:rsidRPr="00D25474" w14:paraId="32E2D546" w14:textId="77777777" w:rsidTr="00D25474">
        <w:tc>
          <w:tcPr>
            <w:tcW w:w="0" w:type="auto"/>
            <w:hideMark/>
          </w:tcPr>
          <w:p w14:paraId="08820F66"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Interest Coverage</w:t>
            </w:r>
          </w:p>
        </w:tc>
        <w:tc>
          <w:tcPr>
            <w:tcW w:w="0" w:type="auto"/>
            <w:hideMark/>
          </w:tcPr>
          <w:p w14:paraId="0095765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EBIT / Interest Expense</w:t>
            </w:r>
          </w:p>
        </w:tc>
        <w:tc>
          <w:tcPr>
            <w:tcW w:w="0" w:type="auto"/>
            <w:hideMark/>
          </w:tcPr>
          <w:p w14:paraId="00EA1A5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(15,297 ÷ 3,361) = -4.6×</w:t>
            </w:r>
          </w:p>
        </w:tc>
        <w:tc>
          <w:tcPr>
            <w:tcW w:w="0" w:type="auto"/>
            <w:hideMark/>
          </w:tcPr>
          <w:p w14:paraId="30002AB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-19.7×</w:t>
            </w:r>
          </w:p>
        </w:tc>
        <w:tc>
          <w:tcPr>
            <w:tcW w:w="0" w:type="auto"/>
            <w:hideMark/>
          </w:tcPr>
          <w:p w14:paraId="1173373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6.6×</w:t>
            </w:r>
          </w:p>
        </w:tc>
        <w:tc>
          <w:tcPr>
            <w:tcW w:w="0" w:type="auto"/>
            <w:hideMark/>
          </w:tcPr>
          <w:p w14:paraId="0C19C87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41.1×</w:t>
            </w:r>
          </w:p>
        </w:tc>
        <w:tc>
          <w:tcPr>
            <w:tcW w:w="0" w:type="auto"/>
            <w:hideMark/>
          </w:tcPr>
          <w:p w14:paraId="542BE45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26.2×</w:t>
            </w:r>
          </w:p>
        </w:tc>
      </w:tr>
    </w:tbl>
    <w:p w14:paraId="4B8915A0" w14:textId="77777777" w:rsidR="00D25474" w:rsidRPr="00D25474" w:rsidRDefault="00D25474" w:rsidP="00A12F76">
      <w:pPr>
        <w:spacing w:line="360" w:lineRule="auto"/>
        <w:rPr>
          <w:rFonts w:ascii="Arial" w:hAnsi="Arial" w:cs="Arial"/>
          <w:b/>
          <w:bCs/>
          <w:lang w:val="en-CA"/>
        </w:rPr>
      </w:pPr>
    </w:p>
    <w:p w14:paraId="1B188FA6" w14:textId="58BDADC3"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t>Interpretation</w:t>
      </w:r>
    </w:p>
    <w:p w14:paraId="3FDEA05A" w14:textId="6F0D9E85" w:rsidR="00A12F76" w:rsidRPr="00D25474" w:rsidRDefault="00EB649C" w:rsidP="00B65AA9">
      <w:pPr>
        <w:spacing w:line="360" w:lineRule="auto"/>
        <w:jc w:val="both"/>
        <w:rPr>
          <w:rFonts w:ascii="Arial" w:hAnsi="Arial" w:cs="Arial"/>
          <w:lang w:val="en-CA"/>
        </w:rPr>
      </w:pPr>
      <w:r w:rsidRPr="00EB649C">
        <w:rPr>
          <w:rFonts w:ascii="Arial" w:hAnsi="Arial" w:cs="Arial"/>
          <w:lang w:val="en-CA"/>
        </w:rPr>
        <w:t>Leverage of the company is increasing, and profitability decreases- a fatal mix. Its debt-to-equity ratio surged to 1.11× (2024) with growing reliance on debt, as it was getting to be 0.63× (2020). It became negative in 20232024, which proves that there is operating income that does not cover the debt service. The deterioration in the equity ratio also implies that shareholders are losing their money in the form of accumulated losses</w:t>
      </w:r>
      <w:r w:rsidR="00B65AA9">
        <w:rPr>
          <w:rFonts w:ascii="Arial" w:hAnsi="Arial" w:cs="Arial"/>
          <w:lang w:val="en-CA"/>
        </w:rPr>
        <w:t xml:space="preserve"> </w:t>
      </w:r>
      <w:r w:rsidR="00B65AA9" w:rsidRPr="00B65AA9">
        <w:rPr>
          <w:rFonts w:ascii="Arial" w:hAnsi="Arial" w:cs="Arial"/>
          <w:lang w:val="en-CA"/>
        </w:rPr>
        <w:t>(CIMA, 2018)</w:t>
      </w:r>
      <w:r w:rsidRPr="00EB649C">
        <w:rPr>
          <w:rFonts w:ascii="Arial" w:hAnsi="Arial" w:cs="Arial"/>
          <w:lang w:val="en-CA"/>
        </w:rPr>
        <w:t>. The structure exposes General Electronics to refinancing risk and interest rate volatility at an unnecessary level.</w:t>
      </w:r>
    </w:p>
    <w:p w14:paraId="5ABA69B8" w14:textId="77777777" w:rsidR="00A12F76" w:rsidRPr="00D25474" w:rsidRDefault="00A12F76" w:rsidP="00D25474">
      <w:pPr>
        <w:pStyle w:val="Style2"/>
      </w:pPr>
      <w:bookmarkStart w:id="7" w:name="_Toc213619009"/>
      <w:r w:rsidRPr="00D25474">
        <w:t>1.6 Investment Ratios</w:t>
      </w:r>
      <w:bookmarkEnd w:id="7"/>
    </w:p>
    <w:tbl>
      <w:tblPr>
        <w:tblStyle w:val="TableGrid"/>
        <w:tblW w:w="0" w:type="auto"/>
        <w:tblLook w:val="04A0" w:firstRow="1" w:lastRow="0" w:firstColumn="1" w:lastColumn="0" w:noHBand="0" w:noVBand="1"/>
      </w:tblPr>
      <w:tblGrid>
        <w:gridCol w:w="3211"/>
        <w:gridCol w:w="2361"/>
        <w:gridCol w:w="764"/>
        <w:gridCol w:w="764"/>
        <w:gridCol w:w="750"/>
        <w:gridCol w:w="750"/>
        <w:gridCol w:w="750"/>
      </w:tblGrid>
      <w:tr w:rsidR="00A12F76" w:rsidRPr="00D25474" w14:paraId="57E66928" w14:textId="77777777" w:rsidTr="00D25474">
        <w:tc>
          <w:tcPr>
            <w:tcW w:w="0" w:type="auto"/>
            <w:hideMark/>
          </w:tcPr>
          <w:p w14:paraId="3C76AD8E"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2FED0823"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335E019B"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38705773"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48D79CD6"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12A89137"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67D7ABCB"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0B17586E" w14:textId="77777777" w:rsidTr="00D25474">
        <w:tc>
          <w:tcPr>
            <w:tcW w:w="0" w:type="auto"/>
            <w:hideMark/>
          </w:tcPr>
          <w:p w14:paraId="3D5CF847"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Earnings per Share (Basic)</w:t>
            </w:r>
          </w:p>
        </w:tc>
        <w:tc>
          <w:tcPr>
            <w:tcW w:w="0" w:type="auto"/>
            <w:hideMark/>
          </w:tcPr>
          <w:p w14:paraId="32AD7FFB"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Net Income / Shares</w:t>
            </w:r>
          </w:p>
        </w:tc>
        <w:tc>
          <w:tcPr>
            <w:tcW w:w="0" w:type="auto"/>
            <w:hideMark/>
          </w:tcPr>
          <w:p w14:paraId="45137EE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-1.85</w:t>
            </w:r>
          </w:p>
        </w:tc>
        <w:tc>
          <w:tcPr>
            <w:tcW w:w="0" w:type="auto"/>
            <w:hideMark/>
          </w:tcPr>
          <w:p w14:paraId="17F818A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-7.64</w:t>
            </w:r>
          </w:p>
        </w:tc>
        <w:tc>
          <w:tcPr>
            <w:tcW w:w="0" w:type="auto"/>
            <w:hideMark/>
          </w:tcPr>
          <w:p w14:paraId="23D72D2B"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0.03</w:t>
            </w:r>
          </w:p>
        </w:tc>
        <w:tc>
          <w:tcPr>
            <w:tcW w:w="0" w:type="auto"/>
            <w:hideMark/>
          </w:tcPr>
          <w:p w14:paraId="10EC845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0.39</w:t>
            </w:r>
          </w:p>
        </w:tc>
        <w:tc>
          <w:tcPr>
            <w:tcW w:w="0" w:type="auto"/>
            <w:hideMark/>
          </w:tcPr>
          <w:p w14:paraId="5C9CEC0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2.78</w:t>
            </w:r>
          </w:p>
        </w:tc>
      </w:tr>
      <w:tr w:rsidR="00A12F76" w:rsidRPr="00D25474" w14:paraId="3CD2999A" w14:textId="77777777" w:rsidTr="00D25474">
        <w:tc>
          <w:tcPr>
            <w:tcW w:w="0" w:type="auto"/>
            <w:hideMark/>
          </w:tcPr>
          <w:p w14:paraId="19A83AEC"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Price–Earnings Ratio</w:t>
            </w:r>
          </w:p>
        </w:tc>
        <w:tc>
          <w:tcPr>
            <w:tcW w:w="0" w:type="auto"/>
            <w:hideMark/>
          </w:tcPr>
          <w:p w14:paraId="65E923B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Market Price / EPS</w:t>
            </w:r>
          </w:p>
        </w:tc>
        <w:tc>
          <w:tcPr>
            <w:tcW w:w="0" w:type="auto"/>
            <w:hideMark/>
          </w:tcPr>
          <w:p w14:paraId="3C0CBF6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5016F58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1BD54D1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60FAAB5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0B8D0A5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r>
      <w:tr w:rsidR="00A12F76" w:rsidRPr="00D25474" w14:paraId="2C14DE8D" w14:textId="77777777" w:rsidTr="00D25474">
        <w:tc>
          <w:tcPr>
            <w:tcW w:w="0" w:type="auto"/>
            <w:hideMark/>
          </w:tcPr>
          <w:p w14:paraId="765B754B"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Dividend Yield</w:t>
            </w:r>
          </w:p>
        </w:tc>
        <w:tc>
          <w:tcPr>
            <w:tcW w:w="0" w:type="auto"/>
            <w:hideMark/>
          </w:tcPr>
          <w:p w14:paraId="2DAFC1F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DPS / Market Price</w:t>
            </w:r>
          </w:p>
        </w:tc>
        <w:tc>
          <w:tcPr>
            <w:tcW w:w="0" w:type="auto"/>
            <w:hideMark/>
          </w:tcPr>
          <w:p w14:paraId="4AB12D8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0A2C2CC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5BBE592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306F3A5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c>
          <w:tcPr>
            <w:tcW w:w="0" w:type="auto"/>
            <w:hideMark/>
          </w:tcPr>
          <w:p w14:paraId="361DB0D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N/A</w:t>
            </w:r>
          </w:p>
        </w:tc>
      </w:tr>
    </w:tbl>
    <w:p w14:paraId="19A36B1A" w14:textId="77777777" w:rsidR="00D25474" w:rsidRPr="00D25474" w:rsidRDefault="00D25474" w:rsidP="00A12F76">
      <w:pPr>
        <w:spacing w:line="360" w:lineRule="auto"/>
        <w:rPr>
          <w:rFonts w:ascii="Arial" w:hAnsi="Arial" w:cs="Arial"/>
          <w:b/>
          <w:bCs/>
          <w:lang w:val="en-CA"/>
        </w:rPr>
      </w:pPr>
    </w:p>
    <w:p w14:paraId="0679835B" w14:textId="77777777" w:rsidR="00D25474" w:rsidRPr="00D25474" w:rsidRDefault="00D25474" w:rsidP="00A12F76">
      <w:pPr>
        <w:spacing w:line="360" w:lineRule="auto"/>
        <w:rPr>
          <w:rFonts w:ascii="Arial" w:hAnsi="Arial" w:cs="Arial"/>
          <w:b/>
          <w:bCs/>
          <w:lang w:val="en-CA"/>
        </w:rPr>
      </w:pPr>
    </w:p>
    <w:p w14:paraId="61FA9071" w14:textId="77777777" w:rsidR="00D25474" w:rsidRPr="00D25474" w:rsidRDefault="00D25474" w:rsidP="00A12F76">
      <w:pPr>
        <w:spacing w:line="360" w:lineRule="auto"/>
        <w:rPr>
          <w:rFonts w:ascii="Arial" w:hAnsi="Arial" w:cs="Arial"/>
          <w:b/>
          <w:bCs/>
          <w:lang w:val="en-CA"/>
        </w:rPr>
      </w:pPr>
    </w:p>
    <w:p w14:paraId="78B7542C" w14:textId="26D6CDD7"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lastRenderedPageBreak/>
        <w:t>Interpretation</w:t>
      </w:r>
    </w:p>
    <w:p w14:paraId="246B1D18" w14:textId="0DF83930" w:rsidR="00A12F76" w:rsidRPr="00D25474" w:rsidRDefault="00EB649C" w:rsidP="00B65AA9">
      <w:pPr>
        <w:spacing w:line="360" w:lineRule="auto"/>
        <w:jc w:val="both"/>
        <w:rPr>
          <w:rFonts w:ascii="Arial" w:hAnsi="Arial" w:cs="Arial"/>
          <w:lang w:val="en-CA"/>
        </w:rPr>
      </w:pPr>
      <w:r w:rsidRPr="00EB649C">
        <w:rPr>
          <w:rFonts w:ascii="Arial" w:hAnsi="Arial" w:cs="Arial"/>
          <w:lang w:val="en-CA"/>
        </w:rPr>
        <w:t>The losses have been reflected in EPS, which has become negative. Although market data is not available, these negative and sustained EPS would probably crash valuation multiples, annihilate investor trust, and increase the cost of capital. Dividend payments are not expected to be paid in case of retained losses</w:t>
      </w:r>
      <w:r w:rsidR="00D064BB">
        <w:rPr>
          <w:rFonts w:ascii="Arial" w:hAnsi="Arial" w:cs="Arial"/>
          <w:lang w:val="en-CA"/>
        </w:rPr>
        <w:t xml:space="preserve"> </w:t>
      </w:r>
      <w:r w:rsidR="00D064BB" w:rsidRPr="00D064BB">
        <w:rPr>
          <w:rFonts w:ascii="Arial" w:hAnsi="Arial" w:cs="Arial"/>
          <w:lang w:val="en-CA"/>
        </w:rPr>
        <w:t>(Thomas, 2022)</w:t>
      </w:r>
      <w:r w:rsidRPr="00EB649C">
        <w:rPr>
          <w:rFonts w:ascii="Arial" w:hAnsi="Arial" w:cs="Arial"/>
          <w:lang w:val="en-CA"/>
        </w:rPr>
        <w:t>.</w:t>
      </w:r>
    </w:p>
    <w:p w14:paraId="3C47F0C5" w14:textId="77777777" w:rsidR="00A12F76" w:rsidRPr="00D25474" w:rsidRDefault="00A12F76" w:rsidP="00D25474">
      <w:pPr>
        <w:pStyle w:val="Style2"/>
      </w:pPr>
      <w:bookmarkStart w:id="8" w:name="_Toc213619010"/>
      <w:r w:rsidRPr="00D25474">
        <w:t>1.7 Cash Flow Ratios</w:t>
      </w:r>
      <w:bookmarkEnd w:id="8"/>
    </w:p>
    <w:tbl>
      <w:tblPr>
        <w:tblStyle w:val="TableGrid"/>
        <w:tblW w:w="0" w:type="auto"/>
        <w:tblLook w:val="04A0" w:firstRow="1" w:lastRow="0" w:firstColumn="1" w:lastColumn="0" w:noHBand="0" w:noVBand="1"/>
      </w:tblPr>
      <w:tblGrid>
        <w:gridCol w:w="1556"/>
        <w:gridCol w:w="1222"/>
        <w:gridCol w:w="1323"/>
        <w:gridCol w:w="1150"/>
        <w:gridCol w:w="1323"/>
        <w:gridCol w:w="1453"/>
        <w:gridCol w:w="1323"/>
      </w:tblGrid>
      <w:tr w:rsidR="00A12F76" w:rsidRPr="00D25474" w14:paraId="2852AEC0" w14:textId="77777777" w:rsidTr="00D25474">
        <w:tc>
          <w:tcPr>
            <w:tcW w:w="0" w:type="auto"/>
            <w:hideMark/>
          </w:tcPr>
          <w:p w14:paraId="2EEC813F"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422712E5"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700CC031"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3436124F"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196939F1"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74E092D6"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666E1619"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48C4428E" w14:textId="77777777" w:rsidTr="00D25474">
        <w:tc>
          <w:tcPr>
            <w:tcW w:w="0" w:type="auto"/>
            <w:hideMark/>
          </w:tcPr>
          <w:p w14:paraId="0706C449"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Operating Cash Flow Ratio</w:t>
            </w:r>
          </w:p>
        </w:tc>
        <w:tc>
          <w:tcPr>
            <w:tcW w:w="0" w:type="auto"/>
            <w:hideMark/>
          </w:tcPr>
          <w:p w14:paraId="29A4D167"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CFO / CL</w:t>
            </w:r>
          </w:p>
        </w:tc>
        <w:tc>
          <w:tcPr>
            <w:tcW w:w="0" w:type="auto"/>
            <w:hideMark/>
          </w:tcPr>
          <w:p w14:paraId="33022EB1"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0.09</w:t>
            </w:r>
          </w:p>
        </w:tc>
        <w:tc>
          <w:tcPr>
            <w:tcW w:w="0" w:type="auto"/>
            <w:hideMark/>
          </w:tcPr>
          <w:p w14:paraId="75C600B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0.16</w:t>
            </w:r>
          </w:p>
        </w:tc>
        <w:tc>
          <w:tcPr>
            <w:tcW w:w="0" w:type="auto"/>
            <w:hideMark/>
          </w:tcPr>
          <w:p w14:paraId="481619B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0.05</w:t>
            </w:r>
          </w:p>
        </w:tc>
        <w:tc>
          <w:tcPr>
            <w:tcW w:w="0" w:type="auto"/>
            <w:hideMark/>
          </w:tcPr>
          <w:p w14:paraId="12E6366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0.19</w:t>
            </w:r>
          </w:p>
        </w:tc>
        <w:tc>
          <w:tcPr>
            <w:tcW w:w="0" w:type="auto"/>
            <w:hideMark/>
          </w:tcPr>
          <w:p w14:paraId="24C2305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0.41</w:t>
            </w:r>
          </w:p>
        </w:tc>
      </w:tr>
      <w:tr w:rsidR="00A12F76" w:rsidRPr="00D25474" w14:paraId="6791336D" w14:textId="77777777" w:rsidTr="00D25474">
        <w:tc>
          <w:tcPr>
            <w:tcW w:w="0" w:type="auto"/>
            <w:hideMark/>
          </w:tcPr>
          <w:p w14:paraId="2C3A2518"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Free Cash Flow</w:t>
            </w:r>
          </w:p>
        </w:tc>
        <w:tc>
          <w:tcPr>
            <w:tcW w:w="0" w:type="auto"/>
            <w:hideMark/>
          </w:tcPr>
          <w:p w14:paraId="4DADC59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CFO − CapEx</w:t>
            </w:r>
          </w:p>
        </w:tc>
        <w:tc>
          <w:tcPr>
            <w:tcW w:w="0" w:type="auto"/>
            <w:hideMark/>
          </w:tcPr>
          <w:p w14:paraId="1E81EA5B"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14,822 − 45,572 = (30,750)</w:t>
            </w:r>
          </w:p>
        </w:tc>
        <w:tc>
          <w:tcPr>
            <w:tcW w:w="0" w:type="auto"/>
            <w:hideMark/>
          </w:tcPr>
          <w:p w14:paraId="790856E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25,159 − 19,816 = 5,343</w:t>
            </w:r>
          </w:p>
        </w:tc>
        <w:tc>
          <w:tcPr>
            <w:tcW w:w="0" w:type="auto"/>
            <w:hideMark/>
          </w:tcPr>
          <w:p w14:paraId="4FFA1449"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10,926 − 40,049 = (29,123)</w:t>
            </w:r>
          </w:p>
        </w:tc>
        <w:tc>
          <w:tcPr>
            <w:tcW w:w="0" w:type="auto"/>
            <w:hideMark/>
          </w:tcPr>
          <w:p w14:paraId="47E91BD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40,283 − 152,589 = (112,306)</w:t>
            </w:r>
          </w:p>
        </w:tc>
        <w:tc>
          <w:tcPr>
            <w:tcW w:w="0" w:type="auto"/>
            <w:hideMark/>
          </w:tcPr>
          <w:p w14:paraId="54DE19D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73,392 − 86,862 = (13,470)</w:t>
            </w:r>
          </w:p>
        </w:tc>
      </w:tr>
    </w:tbl>
    <w:p w14:paraId="44A3F3E7" w14:textId="77777777" w:rsidR="00D25474" w:rsidRPr="00D25474" w:rsidRDefault="00D25474" w:rsidP="00A12F76">
      <w:pPr>
        <w:spacing w:line="360" w:lineRule="auto"/>
        <w:rPr>
          <w:rFonts w:ascii="Arial" w:hAnsi="Arial" w:cs="Arial"/>
          <w:b/>
          <w:bCs/>
          <w:lang w:val="en-CA"/>
        </w:rPr>
      </w:pPr>
    </w:p>
    <w:p w14:paraId="15B0E5B0" w14:textId="77777777"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t>Interpretation</w:t>
      </w:r>
    </w:p>
    <w:p w14:paraId="5CF77A3A" w14:textId="79698B19" w:rsidR="00A12F76" w:rsidRPr="00D25474" w:rsidRDefault="002334EC" w:rsidP="00B65AA9">
      <w:pPr>
        <w:spacing w:line="360" w:lineRule="auto"/>
        <w:jc w:val="both"/>
        <w:rPr>
          <w:rFonts w:ascii="Arial" w:hAnsi="Arial" w:cs="Arial"/>
          <w:lang w:val="en-CA"/>
        </w:rPr>
      </w:pPr>
      <w:r w:rsidRPr="002334EC">
        <w:rPr>
          <w:rFonts w:ascii="Arial" w:hAnsi="Arial" w:cs="Arial"/>
          <w:lang w:val="en-CA"/>
        </w:rPr>
        <w:t>The free cash flow that was negative in most years signifies long-term over-investment or a lack of discipline in capital. By 2024, the FCF could be measured at -30.8 bn of capital expenditure, more than it could manage to produce internally. This is why the debt financing and cash reserves drainage were for the case</w:t>
      </w:r>
      <w:r w:rsidR="00D064BB">
        <w:rPr>
          <w:rFonts w:ascii="Arial" w:hAnsi="Arial" w:cs="Arial"/>
          <w:lang w:val="en-CA"/>
        </w:rPr>
        <w:t xml:space="preserve"> </w:t>
      </w:r>
      <w:r w:rsidR="00D064BB" w:rsidRPr="00D064BB">
        <w:rPr>
          <w:rFonts w:ascii="Arial" w:hAnsi="Arial" w:cs="Arial"/>
          <w:lang w:val="en-CA"/>
        </w:rPr>
        <w:t>(Thomas, 2022)</w:t>
      </w:r>
      <w:r w:rsidRPr="002334EC">
        <w:rPr>
          <w:rFonts w:ascii="Arial" w:hAnsi="Arial" w:cs="Arial"/>
          <w:lang w:val="en-CA"/>
        </w:rPr>
        <w:t>.</w:t>
      </w:r>
    </w:p>
    <w:p w14:paraId="1D18DB57" w14:textId="77777777" w:rsidR="00A12F76" w:rsidRPr="00D25474" w:rsidRDefault="00A12F76" w:rsidP="00D25474">
      <w:pPr>
        <w:pStyle w:val="Style2"/>
      </w:pPr>
      <w:bookmarkStart w:id="9" w:name="_Toc213619011"/>
      <w:r w:rsidRPr="00D25474">
        <w:t>1.8 Trend Summary, Strengths and Threats</w:t>
      </w:r>
      <w:bookmarkEnd w:id="9"/>
    </w:p>
    <w:tbl>
      <w:tblPr>
        <w:tblStyle w:val="TableGrid"/>
        <w:tblW w:w="0" w:type="auto"/>
        <w:tblLook w:val="04A0" w:firstRow="1" w:lastRow="0" w:firstColumn="1" w:lastColumn="0" w:noHBand="0" w:noVBand="1"/>
      </w:tblPr>
      <w:tblGrid>
        <w:gridCol w:w="1828"/>
        <w:gridCol w:w="7522"/>
      </w:tblGrid>
      <w:tr w:rsidR="00A12F76" w:rsidRPr="00D25474" w14:paraId="0F07FFE5" w14:textId="77777777" w:rsidTr="00D25474">
        <w:tc>
          <w:tcPr>
            <w:tcW w:w="0" w:type="auto"/>
            <w:hideMark/>
          </w:tcPr>
          <w:p w14:paraId="5DA34B08"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Category</w:t>
            </w:r>
          </w:p>
        </w:tc>
        <w:tc>
          <w:tcPr>
            <w:tcW w:w="0" w:type="auto"/>
            <w:hideMark/>
          </w:tcPr>
          <w:p w14:paraId="5C82551C"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Observation</w:t>
            </w:r>
          </w:p>
        </w:tc>
      </w:tr>
      <w:tr w:rsidR="00A12F76" w:rsidRPr="00D25474" w14:paraId="0F1727C2" w14:textId="77777777" w:rsidTr="00D25474">
        <w:tc>
          <w:tcPr>
            <w:tcW w:w="0" w:type="auto"/>
            <w:hideMark/>
          </w:tcPr>
          <w:p w14:paraId="40F0BD2C"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Revenue Trend</w:t>
            </w:r>
          </w:p>
        </w:tc>
        <w:tc>
          <w:tcPr>
            <w:tcW w:w="0" w:type="auto"/>
            <w:hideMark/>
          </w:tcPr>
          <w:p w14:paraId="6E9617A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Continuous decline since 2020 (–36%) reflecting market share erosion.</w:t>
            </w:r>
          </w:p>
        </w:tc>
      </w:tr>
      <w:tr w:rsidR="00A12F76" w:rsidRPr="00D25474" w14:paraId="4327C476" w14:textId="77777777" w:rsidTr="00D25474">
        <w:tc>
          <w:tcPr>
            <w:tcW w:w="0" w:type="auto"/>
            <w:hideMark/>
          </w:tcPr>
          <w:p w14:paraId="065D0423"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Profitability</w:t>
            </w:r>
          </w:p>
        </w:tc>
        <w:tc>
          <w:tcPr>
            <w:tcW w:w="0" w:type="auto"/>
            <w:hideMark/>
          </w:tcPr>
          <w:p w14:paraId="3974713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Collapse from 6% margin to sustained losses; structural cost overruns.</w:t>
            </w:r>
          </w:p>
        </w:tc>
      </w:tr>
      <w:tr w:rsidR="00A12F76" w:rsidRPr="00D25474" w14:paraId="22751EF2" w14:textId="77777777" w:rsidTr="00D25474">
        <w:tc>
          <w:tcPr>
            <w:tcW w:w="0" w:type="auto"/>
            <w:hideMark/>
          </w:tcPr>
          <w:p w14:paraId="67A8C446"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Liquidity</w:t>
            </w:r>
          </w:p>
        </w:tc>
        <w:tc>
          <w:tcPr>
            <w:tcW w:w="0" w:type="auto"/>
            <w:hideMark/>
          </w:tcPr>
          <w:p w14:paraId="507E905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Near-minimum safety margin; heavy working capital strain.</w:t>
            </w:r>
          </w:p>
        </w:tc>
      </w:tr>
      <w:tr w:rsidR="00A12F76" w:rsidRPr="00D25474" w14:paraId="0785FA21" w14:textId="77777777" w:rsidTr="00D25474">
        <w:tc>
          <w:tcPr>
            <w:tcW w:w="0" w:type="auto"/>
            <w:hideMark/>
          </w:tcPr>
          <w:p w14:paraId="0230F79E"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Leverage</w:t>
            </w:r>
          </w:p>
        </w:tc>
        <w:tc>
          <w:tcPr>
            <w:tcW w:w="0" w:type="auto"/>
            <w:hideMark/>
          </w:tcPr>
          <w:p w14:paraId="2B9829BD"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Rising gearing amid falling earnings — increasing insolvency risk.</w:t>
            </w:r>
          </w:p>
        </w:tc>
      </w:tr>
      <w:tr w:rsidR="00A12F76" w:rsidRPr="00D25474" w14:paraId="5F66D045" w14:textId="77777777" w:rsidTr="00D25474">
        <w:tc>
          <w:tcPr>
            <w:tcW w:w="0" w:type="auto"/>
            <w:hideMark/>
          </w:tcPr>
          <w:p w14:paraId="39D96C86"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Cash Flow</w:t>
            </w:r>
          </w:p>
        </w:tc>
        <w:tc>
          <w:tcPr>
            <w:tcW w:w="0" w:type="auto"/>
            <w:hideMark/>
          </w:tcPr>
          <w:p w14:paraId="652534C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Mostly negative free cash flow; CapEx unsustainable.</w:t>
            </w:r>
          </w:p>
        </w:tc>
      </w:tr>
      <w:tr w:rsidR="00A12F76" w:rsidRPr="00D25474" w14:paraId="3EFAC9D5" w14:textId="77777777" w:rsidTr="00D25474">
        <w:tc>
          <w:tcPr>
            <w:tcW w:w="0" w:type="auto"/>
            <w:hideMark/>
          </w:tcPr>
          <w:p w14:paraId="0650CB53"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lastRenderedPageBreak/>
              <w:t>Strengths</w:t>
            </w:r>
          </w:p>
        </w:tc>
        <w:tc>
          <w:tcPr>
            <w:tcW w:w="0" w:type="auto"/>
            <w:hideMark/>
          </w:tcPr>
          <w:p w14:paraId="6494E3F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Asset base remains large (£323 bn), providing collateral; cost of goods control improving.</w:t>
            </w:r>
          </w:p>
        </w:tc>
      </w:tr>
      <w:tr w:rsidR="00A12F76" w:rsidRPr="00D25474" w14:paraId="58FF3FC8" w14:textId="77777777" w:rsidTr="00D25474">
        <w:tc>
          <w:tcPr>
            <w:tcW w:w="0" w:type="auto"/>
            <w:hideMark/>
          </w:tcPr>
          <w:p w14:paraId="361DCC51"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Threats</w:t>
            </w:r>
          </w:p>
        </w:tc>
        <w:tc>
          <w:tcPr>
            <w:tcW w:w="0" w:type="auto"/>
            <w:hideMark/>
          </w:tcPr>
          <w:p w14:paraId="3034146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Equity erosion, weak demand, and high finance costs pose bankruptcy risk.</w:t>
            </w:r>
          </w:p>
        </w:tc>
      </w:tr>
    </w:tbl>
    <w:p w14:paraId="18C79E6B" w14:textId="77777777" w:rsidR="00A12F76" w:rsidRPr="00D25474" w:rsidRDefault="00A12F76">
      <w:pPr>
        <w:rPr>
          <w:rFonts w:ascii="Arial" w:hAnsi="Arial" w:cs="Arial"/>
        </w:rPr>
      </w:pPr>
    </w:p>
    <w:p w14:paraId="725179C8" w14:textId="77777777" w:rsidR="00A12F76" w:rsidRPr="00D25474" w:rsidRDefault="00A12F76">
      <w:pPr>
        <w:rPr>
          <w:rFonts w:ascii="Arial" w:hAnsi="Arial" w:cs="Arial"/>
        </w:rPr>
      </w:pPr>
    </w:p>
    <w:p w14:paraId="2B6D5A23" w14:textId="77777777" w:rsidR="00A12F76" w:rsidRPr="00D25474" w:rsidRDefault="00A12F76">
      <w:pPr>
        <w:rPr>
          <w:rFonts w:ascii="Arial" w:hAnsi="Arial" w:cs="Arial"/>
        </w:rPr>
      </w:pPr>
    </w:p>
    <w:p w14:paraId="22AB34AB" w14:textId="77777777" w:rsidR="00A12F76" w:rsidRPr="00D25474" w:rsidRDefault="00A12F76" w:rsidP="00D25474">
      <w:pPr>
        <w:pStyle w:val="Style2"/>
      </w:pPr>
      <w:bookmarkStart w:id="10" w:name="_Toc213619012"/>
      <w:r w:rsidRPr="00D25474">
        <w:t>1.9 Corporate Failure Prediction – Altman Z-Score</w:t>
      </w:r>
      <w:bookmarkEnd w:id="10"/>
    </w:p>
    <w:p w14:paraId="0B2FAB30" w14:textId="77777777" w:rsidR="00D25474" w:rsidRPr="00D25474" w:rsidRDefault="00A12F76" w:rsidP="00A12F76">
      <w:pPr>
        <w:spacing w:line="360" w:lineRule="auto"/>
        <w:rPr>
          <w:rFonts w:ascii="Arial" w:hAnsi="Arial" w:cs="Arial"/>
        </w:rPr>
      </w:pPr>
      <w:r w:rsidRPr="00D25474">
        <w:rPr>
          <w:rFonts w:ascii="Arial" w:hAnsi="Arial" w:cs="Arial"/>
        </w:rPr>
        <w:t>Z = 1.2X1 + 1.4X2 + 3.3X3 + 0.6X4 + 1.0X5</w:t>
      </w:r>
      <w:r w:rsidRPr="00D25474">
        <w:rPr>
          <w:rFonts w:ascii="Arial" w:hAnsi="Arial" w:cs="Arial"/>
        </w:rPr>
        <w:br/>
        <w:t>Z = (1.2×0.26) + (1.4×0.64) + (3.3×−0.05) + (0.6×0.90) + (1.0×1.22)</w:t>
      </w:r>
      <w:r w:rsidRPr="00D25474">
        <w:rPr>
          <w:rFonts w:ascii="Arial" w:hAnsi="Arial" w:cs="Arial"/>
        </w:rPr>
        <w:br/>
        <w:t>Z = 2.80</w:t>
      </w:r>
    </w:p>
    <w:p w14:paraId="3D205787" w14:textId="2550EA4A" w:rsidR="002334EC" w:rsidRPr="00B65AA9" w:rsidRDefault="002334EC" w:rsidP="002334EC">
      <w:pPr>
        <w:spacing w:line="360" w:lineRule="auto"/>
        <w:jc w:val="both"/>
        <w:rPr>
          <w:rFonts w:ascii="Arial" w:hAnsi="Arial" w:cs="Arial"/>
          <w:lang w:val="en-CA"/>
        </w:rPr>
      </w:pPr>
      <w:r w:rsidRPr="002334EC">
        <w:rPr>
          <w:rFonts w:ascii="Arial" w:hAnsi="Arial" w:cs="Arial"/>
        </w:rPr>
        <w:t>The Altman Z-score of 2.80 lies in the grey zone (1.812.99), which means that this is a high probability of distress, but still not absolute default. With the current trend of losses, debt growth and liquidity pressure, the negative trend indicates that the company is a step away from the distress zone unless some radical restructuring is made</w:t>
      </w:r>
      <w:r w:rsidR="00B65AA9">
        <w:rPr>
          <w:rFonts w:ascii="Arial" w:hAnsi="Arial" w:cs="Arial"/>
        </w:rPr>
        <w:t xml:space="preserve"> </w:t>
      </w:r>
      <w:r w:rsidR="00B65AA9" w:rsidRPr="00B65AA9">
        <w:rPr>
          <w:rFonts w:ascii="Arial" w:hAnsi="Arial" w:cs="Arial"/>
          <w:lang w:val="en-CA"/>
        </w:rPr>
        <w:t>(CIMA, 2018)</w:t>
      </w:r>
      <w:r w:rsidRPr="002334EC">
        <w:rPr>
          <w:rFonts w:ascii="Arial" w:hAnsi="Arial" w:cs="Arial"/>
        </w:rPr>
        <w:t>.</w:t>
      </w:r>
    </w:p>
    <w:p w14:paraId="1CCAB98D" w14:textId="77777777" w:rsidR="002334EC" w:rsidRPr="002334EC" w:rsidRDefault="002334EC" w:rsidP="002334EC">
      <w:pPr>
        <w:spacing w:line="360" w:lineRule="auto"/>
        <w:jc w:val="both"/>
        <w:rPr>
          <w:rFonts w:ascii="Arial" w:hAnsi="Arial" w:cs="Arial"/>
        </w:rPr>
      </w:pPr>
      <w:r w:rsidRPr="002334EC">
        <w:rPr>
          <w:rFonts w:ascii="Arial" w:hAnsi="Arial" w:cs="Arial"/>
        </w:rPr>
        <w:t>General Electronics is displaying the financial signature of a failing multinational, decreasing revenues, negative profits, increasing leverage and plummeting equity. Liquidity levels are slightly above solvency levels, but sustained levels of free cash and poor operating earnings are indications that the basic running of the company would not be able to provide enough cash to keep debt and reinvestment alive.</w:t>
      </w:r>
    </w:p>
    <w:p w14:paraId="0DD8AD77" w14:textId="77777777" w:rsidR="00A12F76" w:rsidRDefault="00A12F76" w:rsidP="00A12F76">
      <w:pPr>
        <w:spacing w:line="360" w:lineRule="auto"/>
        <w:rPr>
          <w:rFonts w:ascii="Arial" w:hAnsi="Arial" w:cs="Arial"/>
        </w:rPr>
      </w:pPr>
    </w:p>
    <w:p w14:paraId="67DAD9C1" w14:textId="77777777" w:rsidR="00BC7969" w:rsidRDefault="00BC7969" w:rsidP="00A12F76">
      <w:pPr>
        <w:spacing w:line="360" w:lineRule="auto"/>
        <w:rPr>
          <w:rFonts w:ascii="Arial" w:hAnsi="Arial" w:cs="Arial"/>
        </w:rPr>
      </w:pPr>
    </w:p>
    <w:p w14:paraId="336594A1" w14:textId="77777777" w:rsidR="00BC7969" w:rsidRDefault="00BC7969" w:rsidP="00A12F76">
      <w:pPr>
        <w:spacing w:line="360" w:lineRule="auto"/>
        <w:rPr>
          <w:rFonts w:ascii="Arial" w:hAnsi="Arial" w:cs="Arial"/>
        </w:rPr>
      </w:pPr>
    </w:p>
    <w:p w14:paraId="37C3A40B" w14:textId="77777777" w:rsidR="00BC7969" w:rsidRPr="00D25474" w:rsidRDefault="00BC7969" w:rsidP="00A12F76">
      <w:pPr>
        <w:spacing w:line="360" w:lineRule="auto"/>
        <w:rPr>
          <w:rFonts w:ascii="Arial" w:hAnsi="Arial" w:cs="Arial"/>
        </w:rPr>
      </w:pPr>
    </w:p>
    <w:p w14:paraId="6579633F" w14:textId="77777777" w:rsidR="00A12F76" w:rsidRPr="00D25474" w:rsidRDefault="00A12F76" w:rsidP="00A12F76">
      <w:pPr>
        <w:spacing w:line="360" w:lineRule="auto"/>
        <w:rPr>
          <w:rFonts w:ascii="Arial" w:hAnsi="Arial" w:cs="Arial"/>
        </w:rPr>
      </w:pPr>
    </w:p>
    <w:p w14:paraId="6A441B7D" w14:textId="77777777" w:rsidR="00A12F76" w:rsidRPr="00D25474" w:rsidRDefault="00A12F76" w:rsidP="00A12F76">
      <w:pPr>
        <w:spacing w:line="360" w:lineRule="auto"/>
        <w:rPr>
          <w:rFonts w:ascii="Arial" w:hAnsi="Arial" w:cs="Arial"/>
        </w:rPr>
      </w:pPr>
    </w:p>
    <w:p w14:paraId="4B01D139" w14:textId="77777777" w:rsidR="00A12F76" w:rsidRPr="00D25474" w:rsidRDefault="00A12F76" w:rsidP="00A12F76">
      <w:pPr>
        <w:spacing w:line="360" w:lineRule="auto"/>
        <w:rPr>
          <w:rFonts w:ascii="Arial" w:hAnsi="Arial" w:cs="Arial"/>
        </w:rPr>
      </w:pPr>
    </w:p>
    <w:p w14:paraId="692D69CA" w14:textId="17328625" w:rsidR="00A12F76" w:rsidRPr="00D25474" w:rsidRDefault="00A12F76" w:rsidP="00D25474">
      <w:pPr>
        <w:pStyle w:val="Style1"/>
        <w:rPr>
          <w:lang w:val="en-CA"/>
        </w:rPr>
      </w:pPr>
      <w:bookmarkStart w:id="11" w:name="_Toc213619013"/>
      <w:r w:rsidRPr="00D25474">
        <w:rPr>
          <w:lang w:val="en-CA"/>
        </w:rPr>
        <w:lastRenderedPageBreak/>
        <w:t>2. Working Capital Management Analysis</w:t>
      </w:r>
      <w:bookmarkEnd w:id="11"/>
    </w:p>
    <w:p w14:paraId="0E405708" w14:textId="77777777" w:rsidR="00A12F76" w:rsidRPr="00D25474" w:rsidRDefault="00A12F76" w:rsidP="00D25474">
      <w:pPr>
        <w:pStyle w:val="Style2"/>
      </w:pPr>
      <w:bookmarkStart w:id="12" w:name="_Toc213619014"/>
      <w:r w:rsidRPr="00D25474">
        <w:t>2.1 Overview of Working Capital Position</w:t>
      </w:r>
      <w:bookmarkEnd w:id="12"/>
    </w:p>
    <w:p w14:paraId="2A2386A4" w14:textId="05FB9CF1" w:rsidR="002334EC" w:rsidRPr="002334EC" w:rsidRDefault="002334EC" w:rsidP="002334EC">
      <w:pPr>
        <w:spacing w:line="360" w:lineRule="auto"/>
        <w:jc w:val="both"/>
        <w:rPr>
          <w:rFonts w:ascii="Arial" w:hAnsi="Arial" w:cs="Arial"/>
          <w:lang w:val="en-CA"/>
        </w:rPr>
      </w:pPr>
      <w:r w:rsidRPr="002334EC">
        <w:rPr>
          <w:rFonts w:ascii="Arial" w:hAnsi="Arial" w:cs="Arial"/>
          <w:lang w:val="en-CA"/>
        </w:rPr>
        <w:t>General Electronics has been having high levels of current assets as compared to current liabilities over the five-year period, but efficiency and liquidity have gradually declined. In 2024, current assets amounted to 242,494 m, current liabilities were 158,291 m, resulting in a current ratio of 1.53, which is somewhat above the safety level of 1.5. The quick ratio and cash ratio of 1.03 and 0.17, respectively, prove that the liquidity buffer of the company has significantly diminished, in comparison with the year 2020, when the cash ratio measured 0.32. This factual decreasing pattern is an indicator of liquid resources being locked up in receivables and inventory and not in the cash base</w:t>
      </w:r>
      <w:r w:rsidR="00B65AA9">
        <w:rPr>
          <w:rFonts w:ascii="Arial" w:hAnsi="Arial" w:cs="Arial"/>
          <w:lang w:val="en-CA"/>
        </w:rPr>
        <w:t xml:space="preserve"> </w:t>
      </w:r>
      <w:r w:rsidR="00B65AA9" w:rsidRPr="00B65AA9">
        <w:rPr>
          <w:rFonts w:ascii="Arial" w:hAnsi="Arial" w:cs="Arial"/>
          <w:lang w:val="en-CA"/>
        </w:rPr>
        <w:t>(Brealey et al., 2011)</w:t>
      </w:r>
      <w:r w:rsidRPr="002334EC">
        <w:rPr>
          <w:rFonts w:ascii="Arial" w:hAnsi="Arial" w:cs="Arial"/>
          <w:lang w:val="en-CA"/>
        </w:rPr>
        <w:t>.</w:t>
      </w:r>
    </w:p>
    <w:p w14:paraId="22F14CCE" w14:textId="55340BEA" w:rsidR="00A12F76" w:rsidRPr="00D25474" w:rsidRDefault="002334EC" w:rsidP="002334EC">
      <w:pPr>
        <w:spacing w:line="360" w:lineRule="auto"/>
        <w:jc w:val="both"/>
        <w:rPr>
          <w:rFonts w:ascii="Arial" w:hAnsi="Arial" w:cs="Arial"/>
          <w:lang w:val="en-CA"/>
        </w:rPr>
      </w:pPr>
      <w:r w:rsidRPr="002334EC">
        <w:rPr>
          <w:rFonts w:ascii="Arial" w:hAnsi="Arial" w:cs="Arial"/>
          <w:lang w:val="en-CA"/>
        </w:rPr>
        <w:t>The poor working capital discipline is evident in the structural imbalance in the cash inflows and outflows. The accounts receivable remained equal to the average annual sales of 47 per cent, whereas inventories were always higher than 20 per cent of current assets</w:t>
      </w:r>
      <w:r w:rsidR="00D064BB">
        <w:rPr>
          <w:rFonts w:ascii="Arial" w:hAnsi="Arial" w:cs="Arial"/>
          <w:lang w:val="en-CA"/>
        </w:rPr>
        <w:t xml:space="preserve"> </w:t>
      </w:r>
      <w:r w:rsidR="00D064BB" w:rsidRPr="00D064BB">
        <w:rPr>
          <w:rFonts w:ascii="Arial" w:hAnsi="Arial" w:cs="Arial"/>
          <w:lang w:val="en-CA"/>
        </w:rPr>
        <w:t>(Thomas, 2022)</w:t>
      </w:r>
      <w:r w:rsidRPr="002334EC">
        <w:rPr>
          <w:rFonts w:ascii="Arial" w:hAnsi="Arial" w:cs="Arial"/>
          <w:lang w:val="en-CA"/>
        </w:rPr>
        <w:t>. The two measures show that the high capital is tied in the operating cycle, which restricts the firm from financing the short-term commitments without the need to borrow.</w:t>
      </w:r>
    </w:p>
    <w:p w14:paraId="653E4D6E" w14:textId="77777777" w:rsidR="00A12F76" w:rsidRPr="00D25474" w:rsidRDefault="00A12F76" w:rsidP="00D25474">
      <w:pPr>
        <w:pStyle w:val="Style2"/>
      </w:pPr>
      <w:bookmarkStart w:id="13" w:name="_Toc213619015"/>
      <w:r w:rsidRPr="00D25474">
        <w:t>2.2 Cash Operating Cycle (Days)</w:t>
      </w:r>
      <w:bookmarkEnd w:id="13"/>
    </w:p>
    <w:p w14:paraId="222D553F"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 xml:space="preserve">To understand the firm’s liquidity stress, the </w:t>
      </w:r>
      <w:r w:rsidRPr="00D25474">
        <w:rPr>
          <w:rFonts w:ascii="Arial" w:hAnsi="Arial" w:cs="Arial"/>
          <w:b/>
          <w:bCs/>
          <w:lang w:val="en-CA"/>
        </w:rPr>
        <w:t>Cash Operating Cycle (COC)</w:t>
      </w:r>
      <w:r w:rsidRPr="00D25474">
        <w:rPr>
          <w:rFonts w:ascii="Arial" w:hAnsi="Arial" w:cs="Arial"/>
          <w:lang w:val="en-CA"/>
        </w:rPr>
        <w:t xml:space="preserve"> is examined using three key components:</w:t>
      </w:r>
    </w:p>
    <w:p w14:paraId="3CA7A806" w14:textId="7D4E9FE6" w:rsidR="00A12F76" w:rsidRPr="00D25474" w:rsidRDefault="00A12F76" w:rsidP="00A12F76">
      <w:pPr>
        <w:spacing w:line="360" w:lineRule="auto"/>
        <w:rPr>
          <w:rFonts w:ascii="Arial" w:hAnsi="Arial" w:cs="Arial"/>
        </w:rPr>
      </w:pPr>
      <w:r w:rsidRPr="00D25474">
        <w:rPr>
          <w:rFonts w:ascii="Arial" w:hAnsi="Arial" w:cs="Arial"/>
        </w:rPr>
        <w:t>COC=Inventory Days + Receivable Days-Payable Days</w:t>
      </w:r>
    </w:p>
    <w:tbl>
      <w:tblPr>
        <w:tblStyle w:val="TableGrid"/>
        <w:tblW w:w="0" w:type="auto"/>
        <w:tblLook w:val="04A0" w:firstRow="1" w:lastRow="0" w:firstColumn="1" w:lastColumn="0" w:noHBand="0" w:noVBand="1"/>
      </w:tblPr>
      <w:tblGrid>
        <w:gridCol w:w="1777"/>
        <w:gridCol w:w="1972"/>
        <w:gridCol w:w="2180"/>
        <w:gridCol w:w="856"/>
        <w:gridCol w:w="856"/>
        <w:gridCol w:w="853"/>
        <w:gridCol w:w="856"/>
      </w:tblGrid>
      <w:tr w:rsidR="00A12F76" w:rsidRPr="00D25474" w14:paraId="26C2CDF1" w14:textId="77777777" w:rsidTr="00A12F76">
        <w:tc>
          <w:tcPr>
            <w:tcW w:w="0" w:type="auto"/>
            <w:hideMark/>
          </w:tcPr>
          <w:p w14:paraId="3FDD24A6"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Component</w:t>
            </w:r>
          </w:p>
        </w:tc>
        <w:tc>
          <w:tcPr>
            <w:tcW w:w="0" w:type="auto"/>
            <w:hideMark/>
          </w:tcPr>
          <w:p w14:paraId="21D3D7E3"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570DE24D"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4AAF7EB6"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499CE4AF"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22FDDBE0"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7FE8F318"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2020</w:t>
            </w:r>
          </w:p>
        </w:tc>
      </w:tr>
      <w:tr w:rsidR="00A12F76" w:rsidRPr="00D25474" w14:paraId="232DCCA9" w14:textId="77777777" w:rsidTr="00A12F76">
        <w:tc>
          <w:tcPr>
            <w:tcW w:w="0" w:type="auto"/>
            <w:hideMark/>
          </w:tcPr>
          <w:p w14:paraId="1A635186"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Inventory Days</w:t>
            </w:r>
          </w:p>
        </w:tc>
        <w:tc>
          <w:tcPr>
            <w:tcW w:w="0" w:type="auto"/>
            <w:hideMark/>
          </w:tcPr>
          <w:p w14:paraId="6F3B334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(Avg Inventory / COGS) × 365</w:t>
            </w:r>
          </w:p>
        </w:tc>
        <w:tc>
          <w:tcPr>
            <w:tcW w:w="0" w:type="auto"/>
            <w:hideMark/>
          </w:tcPr>
          <w:p w14:paraId="4D2B347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 xml:space="preserve">(83,814 / 280,885)×365 = </w:t>
            </w:r>
            <w:r w:rsidRPr="00D25474">
              <w:rPr>
                <w:rFonts w:ascii="Arial" w:hAnsi="Arial" w:cs="Arial"/>
                <w:b/>
                <w:bCs/>
                <w:lang w:val="en-CA"/>
              </w:rPr>
              <w:t>109 days</w:t>
            </w:r>
          </w:p>
        </w:tc>
        <w:tc>
          <w:tcPr>
            <w:tcW w:w="0" w:type="auto"/>
            <w:hideMark/>
          </w:tcPr>
          <w:p w14:paraId="0D877A1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129 days</w:t>
            </w:r>
          </w:p>
        </w:tc>
        <w:tc>
          <w:tcPr>
            <w:tcW w:w="0" w:type="auto"/>
            <w:hideMark/>
          </w:tcPr>
          <w:p w14:paraId="2163902F"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128 days</w:t>
            </w:r>
          </w:p>
        </w:tc>
        <w:tc>
          <w:tcPr>
            <w:tcW w:w="0" w:type="auto"/>
            <w:hideMark/>
          </w:tcPr>
          <w:p w14:paraId="039F2E06"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108 days</w:t>
            </w:r>
          </w:p>
        </w:tc>
        <w:tc>
          <w:tcPr>
            <w:tcW w:w="0" w:type="auto"/>
            <w:hideMark/>
          </w:tcPr>
          <w:p w14:paraId="0CB55295"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101 days</w:t>
            </w:r>
          </w:p>
        </w:tc>
      </w:tr>
      <w:tr w:rsidR="00A12F76" w:rsidRPr="00D25474" w14:paraId="15F27074" w14:textId="77777777" w:rsidTr="00A12F76">
        <w:tc>
          <w:tcPr>
            <w:tcW w:w="0" w:type="auto"/>
            <w:hideMark/>
          </w:tcPr>
          <w:p w14:paraId="2F114184"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Receivable Days</w:t>
            </w:r>
          </w:p>
        </w:tc>
        <w:tc>
          <w:tcPr>
            <w:tcW w:w="0" w:type="auto"/>
            <w:hideMark/>
          </w:tcPr>
          <w:p w14:paraId="440B41C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(Avg Receivables / Sales) × 365</w:t>
            </w:r>
          </w:p>
        </w:tc>
        <w:tc>
          <w:tcPr>
            <w:tcW w:w="0" w:type="auto"/>
            <w:hideMark/>
          </w:tcPr>
          <w:p w14:paraId="7EE7BE3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 xml:space="preserve">(113,389 / 394,879)×365 = </w:t>
            </w:r>
            <w:r w:rsidRPr="00D25474">
              <w:rPr>
                <w:rFonts w:ascii="Arial" w:hAnsi="Arial" w:cs="Arial"/>
                <w:b/>
                <w:bCs/>
                <w:lang w:val="en-CA"/>
              </w:rPr>
              <w:t>105 days</w:t>
            </w:r>
          </w:p>
        </w:tc>
        <w:tc>
          <w:tcPr>
            <w:tcW w:w="0" w:type="auto"/>
            <w:hideMark/>
          </w:tcPr>
          <w:p w14:paraId="1B7A44E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98 days</w:t>
            </w:r>
          </w:p>
        </w:tc>
        <w:tc>
          <w:tcPr>
            <w:tcW w:w="0" w:type="auto"/>
            <w:hideMark/>
          </w:tcPr>
          <w:p w14:paraId="3CB195C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80 days</w:t>
            </w:r>
          </w:p>
        </w:tc>
        <w:tc>
          <w:tcPr>
            <w:tcW w:w="0" w:type="auto"/>
            <w:hideMark/>
          </w:tcPr>
          <w:p w14:paraId="03CAC610"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78 days</w:t>
            </w:r>
          </w:p>
        </w:tc>
        <w:tc>
          <w:tcPr>
            <w:tcW w:w="0" w:type="auto"/>
            <w:hideMark/>
          </w:tcPr>
          <w:p w14:paraId="151D0917"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77 days</w:t>
            </w:r>
          </w:p>
        </w:tc>
      </w:tr>
      <w:tr w:rsidR="00A12F76" w:rsidRPr="00D25474" w14:paraId="57E7FF38" w14:textId="77777777" w:rsidTr="00A12F76">
        <w:tc>
          <w:tcPr>
            <w:tcW w:w="0" w:type="auto"/>
            <w:hideMark/>
          </w:tcPr>
          <w:p w14:paraId="10D0D55B"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lastRenderedPageBreak/>
              <w:t>Payable Days</w:t>
            </w:r>
          </w:p>
        </w:tc>
        <w:tc>
          <w:tcPr>
            <w:tcW w:w="0" w:type="auto"/>
            <w:hideMark/>
          </w:tcPr>
          <w:p w14:paraId="3695B4EA"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(Avg Payables / COGS) × 365</w:t>
            </w:r>
          </w:p>
        </w:tc>
        <w:tc>
          <w:tcPr>
            <w:tcW w:w="0" w:type="auto"/>
            <w:hideMark/>
          </w:tcPr>
          <w:p w14:paraId="284A38F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 xml:space="preserve">(64,532 / 280,885)×365 = </w:t>
            </w:r>
            <w:r w:rsidRPr="00D25474">
              <w:rPr>
                <w:rFonts w:ascii="Arial" w:hAnsi="Arial" w:cs="Arial"/>
                <w:b/>
                <w:bCs/>
                <w:lang w:val="en-CA"/>
              </w:rPr>
              <w:t>84 days</w:t>
            </w:r>
          </w:p>
        </w:tc>
        <w:tc>
          <w:tcPr>
            <w:tcW w:w="0" w:type="auto"/>
            <w:hideMark/>
          </w:tcPr>
          <w:p w14:paraId="4278524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82 days</w:t>
            </w:r>
          </w:p>
        </w:tc>
        <w:tc>
          <w:tcPr>
            <w:tcW w:w="0" w:type="auto"/>
            <w:hideMark/>
          </w:tcPr>
          <w:p w14:paraId="1CF8E22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81 days</w:t>
            </w:r>
          </w:p>
        </w:tc>
        <w:tc>
          <w:tcPr>
            <w:tcW w:w="0" w:type="auto"/>
            <w:hideMark/>
          </w:tcPr>
          <w:p w14:paraId="1309D2A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72 days</w:t>
            </w:r>
          </w:p>
        </w:tc>
        <w:tc>
          <w:tcPr>
            <w:tcW w:w="0" w:type="auto"/>
            <w:hideMark/>
          </w:tcPr>
          <w:p w14:paraId="7AE2551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70 days</w:t>
            </w:r>
          </w:p>
        </w:tc>
      </w:tr>
      <w:tr w:rsidR="00A12F76" w:rsidRPr="00D25474" w14:paraId="5F4CC5BB" w14:textId="77777777" w:rsidTr="00A12F76">
        <w:tc>
          <w:tcPr>
            <w:tcW w:w="0" w:type="auto"/>
            <w:hideMark/>
          </w:tcPr>
          <w:p w14:paraId="7A36DE7B"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Cash Operating Cycle</w:t>
            </w:r>
          </w:p>
        </w:tc>
        <w:tc>
          <w:tcPr>
            <w:tcW w:w="0" w:type="auto"/>
            <w:hideMark/>
          </w:tcPr>
          <w:p w14:paraId="26021E67"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Inventory + Receivable − Payable</w:t>
            </w:r>
          </w:p>
        </w:tc>
        <w:tc>
          <w:tcPr>
            <w:tcW w:w="0" w:type="auto"/>
            <w:hideMark/>
          </w:tcPr>
          <w:p w14:paraId="3A5529DD"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130 days</w:t>
            </w:r>
          </w:p>
        </w:tc>
        <w:tc>
          <w:tcPr>
            <w:tcW w:w="0" w:type="auto"/>
            <w:hideMark/>
          </w:tcPr>
          <w:p w14:paraId="7033D1F5"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145 days</w:t>
            </w:r>
          </w:p>
        </w:tc>
        <w:tc>
          <w:tcPr>
            <w:tcW w:w="0" w:type="auto"/>
            <w:hideMark/>
          </w:tcPr>
          <w:p w14:paraId="0F0A9992"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127 days</w:t>
            </w:r>
          </w:p>
        </w:tc>
        <w:tc>
          <w:tcPr>
            <w:tcW w:w="0" w:type="auto"/>
            <w:hideMark/>
          </w:tcPr>
          <w:p w14:paraId="24B2295E"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114 days</w:t>
            </w:r>
          </w:p>
        </w:tc>
        <w:tc>
          <w:tcPr>
            <w:tcW w:w="0" w:type="auto"/>
            <w:hideMark/>
          </w:tcPr>
          <w:p w14:paraId="61E9BEE2"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108 days</w:t>
            </w:r>
          </w:p>
        </w:tc>
      </w:tr>
    </w:tbl>
    <w:p w14:paraId="05D17CDD" w14:textId="7A752D4A" w:rsidR="00C0114E" w:rsidRPr="00C0114E" w:rsidRDefault="00A12F76" w:rsidP="00C0114E">
      <w:pPr>
        <w:spacing w:line="360" w:lineRule="auto"/>
        <w:jc w:val="both"/>
        <w:rPr>
          <w:rFonts w:ascii="Arial" w:hAnsi="Arial" w:cs="Arial"/>
          <w:lang w:val="en-CA"/>
        </w:rPr>
      </w:pPr>
      <w:r w:rsidRPr="00D25474">
        <w:rPr>
          <w:rFonts w:ascii="Arial" w:hAnsi="Arial" w:cs="Arial"/>
          <w:lang w:val="en-CA"/>
        </w:rPr>
        <w:br/>
      </w:r>
      <w:r w:rsidR="00C0114E" w:rsidRPr="00C0114E">
        <w:rPr>
          <w:rFonts w:ascii="Arial" w:hAnsi="Arial" w:cs="Arial"/>
          <w:lang w:val="en-CA"/>
        </w:rPr>
        <w:t>The COC has been extended to 130 days, as of 2020, 108 days. It implies that it is now taking over four months before cash invested in operations is converted to revenue. The increase in inventory and receivable days depicts low stock turnover and poor credit control. Even though payable days increased slightly (84 days), the growth was not great enough to counter weak collections. The capital structure makes the working capital and thus entraps proportionally more capital as non-productive assets</w:t>
      </w:r>
      <w:r w:rsidR="00B65AA9">
        <w:rPr>
          <w:rFonts w:ascii="Arial" w:hAnsi="Arial" w:cs="Arial"/>
          <w:lang w:val="en-CA"/>
        </w:rPr>
        <w:t xml:space="preserve"> </w:t>
      </w:r>
      <w:r w:rsidR="00B65AA9" w:rsidRPr="00B65AA9">
        <w:rPr>
          <w:rFonts w:ascii="Arial" w:hAnsi="Arial" w:cs="Arial"/>
          <w:lang w:val="en-CA"/>
        </w:rPr>
        <w:t>(Brealey et al., 2011)</w:t>
      </w:r>
      <w:r w:rsidR="00C0114E" w:rsidRPr="00C0114E">
        <w:rPr>
          <w:rFonts w:ascii="Arial" w:hAnsi="Arial" w:cs="Arial"/>
          <w:lang w:val="en-CA"/>
        </w:rPr>
        <w:t>.</w:t>
      </w:r>
    </w:p>
    <w:p w14:paraId="57B4CE65" w14:textId="50AFDE82" w:rsidR="00A12F76" w:rsidRPr="00D25474" w:rsidRDefault="00C0114E" w:rsidP="00C0114E">
      <w:pPr>
        <w:spacing w:line="360" w:lineRule="auto"/>
        <w:jc w:val="both"/>
        <w:rPr>
          <w:rFonts w:ascii="Arial" w:hAnsi="Arial" w:cs="Arial"/>
          <w:lang w:val="en-CA"/>
        </w:rPr>
      </w:pPr>
      <w:r w:rsidRPr="00C0114E">
        <w:rPr>
          <w:rFonts w:ascii="Arial" w:hAnsi="Arial" w:cs="Arial"/>
          <w:lang w:val="en-CA"/>
        </w:rPr>
        <w:t>This wastage is the reason why the Operating Cash Flow Ratio decreased by 0.41 (2020) to 0.09 (2024) and the reason why free cash flow had a negative value in 4 out of the last five years. The firm is basically doing business by funding it with debt as opposed to the internal cash funds generated.</w:t>
      </w:r>
    </w:p>
    <w:p w14:paraId="4E5ED5D4" w14:textId="06F00B81" w:rsidR="00A12F76" w:rsidRPr="00D25474" w:rsidRDefault="00D25474" w:rsidP="00D25474">
      <w:pPr>
        <w:pStyle w:val="Style2"/>
      </w:pPr>
      <w:bookmarkStart w:id="14" w:name="_Toc213619016"/>
      <w:r w:rsidRPr="00D25474">
        <w:t xml:space="preserve">2.3 </w:t>
      </w:r>
      <w:r w:rsidR="00A12F76" w:rsidRPr="00D25474">
        <w:t>Causes of Liquidity Constraint</w:t>
      </w:r>
      <w:bookmarkEnd w:id="14"/>
    </w:p>
    <w:p w14:paraId="273DF764" w14:textId="7D0ED2E0" w:rsidR="00A12F76" w:rsidRPr="00D25474" w:rsidRDefault="00A12F76" w:rsidP="00D25474">
      <w:pPr>
        <w:numPr>
          <w:ilvl w:val="0"/>
          <w:numId w:val="2"/>
        </w:numPr>
        <w:spacing w:line="360" w:lineRule="auto"/>
        <w:jc w:val="both"/>
        <w:rPr>
          <w:rFonts w:ascii="Arial" w:hAnsi="Arial" w:cs="Arial"/>
          <w:lang w:val="en-CA"/>
        </w:rPr>
      </w:pPr>
      <w:r w:rsidRPr="00D25474">
        <w:rPr>
          <w:rFonts w:ascii="Arial" w:hAnsi="Arial" w:cs="Arial"/>
          <w:b/>
          <w:bCs/>
          <w:lang w:val="en-CA"/>
        </w:rPr>
        <w:t>Extended Customer Credit Terms:</w:t>
      </w:r>
      <w:r w:rsidR="00D25474" w:rsidRPr="00D25474">
        <w:rPr>
          <w:rFonts w:ascii="Arial" w:hAnsi="Arial" w:cs="Arial"/>
          <w:lang w:val="en-CA"/>
        </w:rPr>
        <w:t xml:space="preserve"> </w:t>
      </w:r>
      <w:r w:rsidR="00C0114E" w:rsidRPr="00C0114E">
        <w:rPr>
          <w:rFonts w:ascii="Arial" w:hAnsi="Arial" w:cs="Arial"/>
          <w:lang w:val="en-CA"/>
        </w:rPr>
        <w:t>Mean collection period exceeds 100 days implying slack credit policies or laxity in monitoring of receivables.</w:t>
      </w:r>
    </w:p>
    <w:p w14:paraId="0F4874D9" w14:textId="76B8CCA0" w:rsidR="00A12F76" w:rsidRPr="00D064BB" w:rsidRDefault="00A12F76" w:rsidP="00D064BB">
      <w:pPr>
        <w:numPr>
          <w:ilvl w:val="0"/>
          <w:numId w:val="2"/>
        </w:numPr>
        <w:spacing w:line="360" w:lineRule="auto"/>
        <w:jc w:val="both"/>
        <w:rPr>
          <w:rFonts w:ascii="Arial" w:hAnsi="Arial" w:cs="Arial"/>
          <w:lang w:val="en-CA"/>
        </w:rPr>
      </w:pPr>
      <w:r w:rsidRPr="00D25474">
        <w:rPr>
          <w:rFonts w:ascii="Arial" w:hAnsi="Arial" w:cs="Arial"/>
          <w:b/>
          <w:bCs/>
          <w:lang w:val="en-CA"/>
        </w:rPr>
        <w:t>Excess Inventory Holdings:</w:t>
      </w:r>
      <w:r w:rsidR="00D25474" w:rsidRPr="00D25474">
        <w:rPr>
          <w:rFonts w:ascii="Arial" w:hAnsi="Arial" w:cs="Arial"/>
          <w:b/>
          <w:bCs/>
          <w:lang w:val="en-CA"/>
        </w:rPr>
        <w:t xml:space="preserve"> </w:t>
      </w:r>
      <w:r w:rsidR="00C0114E" w:rsidRPr="00C0114E">
        <w:rPr>
          <w:rFonts w:ascii="Arial" w:hAnsi="Arial" w:cs="Arial"/>
          <w:lang w:val="en-CA"/>
        </w:rPr>
        <w:t>This was reflected in slow inventory turnover in 2024, to 3.3. times, which is indicative of bad demand forecasting and excess production in relation to sales reduction</w:t>
      </w:r>
      <w:r w:rsidR="00D064BB">
        <w:rPr>
          <w:rFonts w:ascii="Arial" w:hAnsi="Arial" w:cs="Arial"/>
          <w:lang w:val="en-CA"/>
        </w:rPr>
        <w:t xml:space="preserve"> </w:t>
      </w:r>
      <w:r w:rsidR="00D064BB" w:rsidRPr="00D064BB">
        <w:rPr>
          <w:rFonts w:ascii="Arial" w:hAnsi="Arial" w:cs="Arial"/>
          <w:lang w:val="en-CA"/>
        </w:rPr>
        <w:t>(Bodie and Merton, 2019)</w:t>
      </w:r>
      <w:r w:rsidR="00C0114E" w:rsidRPr="00D064BB">
        <w:rPr>
          <w:rFonts w:ascii="Arial" w:hAnsi="Arial" w:cs="Arial"/>
          <w:lang w:val="en-CA"/>
        </w:rPr>
        <w:t>.</w:t>
      </w:r>
    </w:p>
    <w:p w14:paraId="69B7612D" w14:textId="54F3D536" w:rsidR="00A12F76" w:rsidRPr="00D25474" w:rsidRDefault="00A12F76" w:rsidP="00D25474">
      <w:pPr>
        <w:numPr>
          <w:ilvl w:val="0"/>
          <w:numId w:val="2"/>
        </w:numPr>
        <w:spacing w:line="360" w:lineRule="auto"/>
        <w:jc w:val="both"/>
        <w:rPr>
          <w:rFonts w:ascii="Arial" w:hAnsi="Arial" w:cs="Arial"/>
          <w:lang w:val="en-CA"/>
        </w:rPr>
      </w:pPr>
      <w:r w:rsidRPr="00D25474">
        <w:rPr>
          <w:rFonts w:ascii="Arial" w:hAnsi="Arial" w:cs="Arial"/>
          <w:b/>
          <w:bCs/>
          <w:lang w:val="en-CA"/>
        </w:rPr>
        <w:t>Short-Term Debt Dependence:</w:t>
      </w:r>
      <w:r w:rsidR="00D25474" w:rsidRPr="00D25474">
        <w:rPr>
          <w:rFonts w:ascii="Arial" w:hAnsi="Arial" w:cs="Arial"/>
          <w:lang w:val="en-CA"/>
        </w:rPr>
        <w:t xml:space="preserve"> </w:t>
      </w:r>
      <w:r w:rsidR="00C0114E" w:rsidRPr="00C0114E">
        <w:rPr>
          <w:rFonts w:ascii="Arial" w:hAnsi="Arial" w:cs="Arial"/>
          <w:lang w:val="en-CA"/>
        </w:rPr>
        <w:t>The lines of credit have also risen, and they are now at 36.9 bn (2024) as opposed to 2020, which is 20 bn, signifying dependence on external liquidity.</w:t>
      </w:r>
    </w:p>
    <w:p w14:paraId="1FC43CCC" w14:textId="49457613" w:rsidR="00A12F76" w:rsidRPr="00D064BB" w:rsidRDefault="00A12F76" w:rsidP="00D064BB">
      <w:pPr>
        <w:numPr>
          <w:ilvl w:val="0"/>
          <w:numId w:val="2"/>
        </w:numPr>
        <w:spacing w:line="360" w:lineRule="auto"/>
        <w:jc w:val="both"/>
        <w:rPr>
          <w:rFonts w:ascii="Arial" w:hAnsi="Arial" w:cs="Arial"/>
          <w:lang w:val="en-CA"/>
        </w:rPr>
      </w:pPr>
      <w:r w:rsidRPr="00C0114E">
        <w:rPr>
          <w:rFonts w:ascii="Arial" w:hAnsi="Arial" w:cs="Arial"/>
          <w:b/>
          <w:bCs/>
          <w:lang w:val="en-CA"/>
        </w:rPr>
        <w:t>Inefficient Payables Strategy:</w:t>
      </w:r>
      <w:r w:rsidR="00D25474" w:rsidRPr="00C0114E">
        <w:rPr>
          <w:rFonts w:ascii="Arial" w:hAnsi="Arial" w:cs="Arial"/>
          <w:lang w:val="en-CA"/>
        </w:rPr>
        <w:t xml:space="preserve"> </w:t>
      </w:r>
      <w:r w:rsidR="00C0114E" w:rsidRPr="00C0114E">
        <w:rPr>
          <w:rFonts w:ascii="Arial" w:hAnsi="Arial" w:cs="Arial"/>
          <w:lang w:val="en-CA"/>
        </w:rPr>
        <w:t>Even though the duration of payable days has been increased, supplier negotiations have hit a realistic limit because further delays will create an adverse impact on the continuity of supply</w:t>
      </w:r>
      <w:r w:rsidR="00444AFB">
        <w:rPr>
          <w:rFonts w:ascii="Arial" w:hAnsi="Arial" w:cs="Arial"/>
          <w:lang w:val="en-CA"/>
        </w:rPr>
        <w:t xml:space="preserve"> </w:t>
      </w:r>
      <w:r w:rsidR="00444AFB" w:rsidRPr="00444AFB">
        <w:rPr>
          <w:rFonts w:ascii="Arial" w:hAnsi="Arial" w:cs="Arial"/>
          <w:lang w:val="en-CA"/>
        </w:rPr>
        <w:t>(Hedegaard, 2016)</w:t>
      </w:r>
      <w:r w:rsidR="00C0114E" w:rsidRPr="00D064BB">
        <w:rPr>
          <w:rFonts w:ascii="Arial" w:hAnsi="Arial" w:cs="Arial"/>
          <w:lang w:val="en-CA"/>
        </w:rPr>
        <w:t>.</w:t>
      </w:r>
    </w:p>
    <w:p w14:paraId="465D1E53" w14:textId="77777777" w:rsidR="00A12F76" w:rsidRPr="00D25474" w:rsidRDefault="00A12F76" w:rsidP="00D25474">
      <w:pPr>
        <w:pStyle w:val="Style2"/>
      </w:pPr>
      <w:bookmarkStart w:id="15" w:name="_Toc213619017"/>
      <w:r w:rsidRPr="00D25474">
        <w:lastRenderedPageBreak/>
        <w:t>2.4 Strategies for Working Capital Reform</w:t>
      </w:r>
      <w:bookmarkEnd w:id="15"/>
    </w:p>
    <w:p w14:paraId="7D61232D"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(a) Receivables Management Reforms</w:t>
      </w:r>
    </w:p>
    <w:p w14:paraId="440F4276" w14:textId="07B22AB9" w:rsidR="00C0114E" w:rsidRPr="00D25474" w:rsidRDefault="00C0114E" w:rsidP="00C0114E">
      <w:pPr>
        <w:spacing w:line="360" w:lineRule="auto"/>
        <w:jc w:val="both"/>
        <w:rPr>
          <w:rFonts w:ascii="Arial" w:hAnsi="Arial" w:cs="Arial"/>
          <w:lang w:val="en-CA"/>
        </w:rPr>
      </w:pPr>
      <w:r w:rsidRPr="00C0114E">
        <w:rPr>
          <w:rFonts w:ascii="Arial" w:hAnsi="Arial" w:cs="Arial"/>
          <w:lang w:val="en-CA"/>
        </w:rPr>
        <w:t>To maximise liquidity, the company ought to restrict the credit policy by shortening the terms of payment to the distributors to 6075 days and incorporating different credit scoring according to historical credit behaviour</w:t>
      </w:r>
      <w:r w:rsidR="00B65AA9">
        <w:rPr>
          <w:rFonts w:ascii="Arial" w:hAnsi="Arial" w:cs="Arial"/>
          <w:lang w:val="en-CA"/>
        </w:rPr>
        <w:t xml:space="preserve"> </w:t>
      </w:r>
      <w:r w:rsidR="00B65AA9" w:rsidRPr="00B65AA9">
        <w:rPr>
          <w:rFonts w:ascii="Arial" w:hAnsi="Arial" w:cs="Arial"/>
          <w:lang w:val="en-CA"/>
        </w:rPr>
        <w:t>(Brealey et al., 2011)</w:t>
      </w:r>
      <w:r w:rsidRPr="00C0114E">
        <w:rPr>
          <w:rFonts w:ascii="Arial" w:hAnsi="Arial" w:cs="Arial"/>
          <w:lang w:val="en-CA"/>
        </w:rPr>
        <w:t>. This can be enhanced further by the implementation of digital receivable analytics, which has automated ageing dashboards and reminders, and factoring or invoice discounting to speed up without increasing debt and collections.</w:t>
      </w:r>
    </w:p>
    <w:p w14:paraId="66923CDB"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(b) Inventory Management Reforms</w:t>
      </w:r>
    </w:p>
    <w:p w14:paraId="55FC6B63" w14:textId="03A6C4DA" w:rsidR="00D2647B" w:rsidRDefault="00D2647B" w:rsidP="00D2647B">
      <w:pPr>
        <w:spacing w:line="360" w:lineRule="auto"/>
        <w:jc w:val="both"/>
        <w:rPr>
          <w:rFonts w:ascii="Arial" w:hAnsi="Arial" w:cs="Arial"/>
          <w:lang w:val="en-CA"/>
        </w:rPr>
      </w:pPr>
      <w:r w:rsidRPr="00D2647B">
        <w:rPr>
          <w:rFonts w:ascii="Arial" w:hAnsi="Arial" w:cs="Arial"/>
          <w:lang w:val="en-CA"/>
        </w:rPr>
        <w:t>The provision of financing supply chains through partner banks will enable suppliers to be paid within a short period, but the payable period of general electronic payments will be increased to 10- 15 days. Also, negotiating bulk procurement agreements would allow us to negotiate discounts on yearly orders that would compensate the associated purchase financing and enhance relationships with suppliers</w:t>
      </w:r>
      <w:r w:rsidR="00444AFB">
        <w:rPr>
          <w:rFonts w:ascii="Arial" w:hAnsi="Arial" w:cs="Arial"/>
          <w:lang w:val="en-CA"/>
        </w:rPr>
        <w:t xml:space="preserve"> </w:t>
      </w:r>
      <w:r w:rsidR="00444AFB" w:rsidRPr="00444AFB">
        <w:rPr>
          <w:rFonts w:ascii="Arial" w:hAnsi="Arial" w:cs="Arial"/>
          <w:lang w:val="en-CA"/>
        </w:rPr>
        <w:t>(Johnson, 2023)</w:t>
      </w:r>
      <w:r w:rsidRPr="00D2647B">
        <w:rPr>
          <w:rFonts w:ascii="Arial" w:hAnsi="Arial" w:cs="Arial"/>
          <w:lang w:val="en-CA"/>
        </w:rPr>
        <w:t xml:space="preserve">. </w:t>
      </w:r>
    </w:p>
    <w:p w14:paraId="7249D418" w14:textId="46BECDF7" w:rsidR="00A12F76" w:rsidRPr="00D25474" w:rsidRDefault="00A12F76" w:rsidP="00A12F76">
      <w:pPr>
        <w:spacing w:line="360" w:lineRule="auto"/>
        <w:rPr>
          <w:rFonts w:ascii="Arial" w:hAnsi="Arial" w:cs="Arial"/>
          <w:lang w:val="en-CA"/>
        </w:rPr>
      </w:pPr>
      <w:r w:rsidRPr="00D25474">
        <w:rPr>
          <w:rFonts w:ascii="Arial" w:hAnsi="Arial" w:cs="Arial"/>
          <w:b/>
          <w:bCs/>
          <w:lang w:val="en-CA"/>
        </w:rPr>
        <w:t>(c) Payables Optimization</w:t>
      </w:r>
    </w:p>
    <w:p w14:paraId="56A29F3B" w14:textId="4F6F9C2C" w:rsidR="00D2647B" w:rsidRDefault="00D2647B" w:rsidP="00D2647B">
      <w:pPr>
        <w:spacing w:line="360" w:lineRule="auto"/>
        <w:jc w:val="both"/>
        <w:rPr>
          <w:rFonts w:ascii="Arial" w:hAnsi="Arial" w:cs="Arial"/>
          <w:lang w:val="en-CA"/>
        </w:rPr>
      </w:pPr>
      <w:r w:rsidRPr="00D2647B">
        <w:rPr>
          <w:rFonts w:ascii="Arial" w:hAnsi="Arial" w:cs="Arial"/>
          <w:lang w:val="en-CA"/>
        </w:rPr>
        <w:t>The provision of financing supply chains through partner banks will enable suppliers to be paid within a short period, but the payable period of general electronic payments will be increased to 10- 15 days. Also, negotiating bulk procurement agreements would allow us to negotiate discounts on yearly orders that would compensate the associated purchase financing and enhance relationships with suppliers</w:t>
      </w:r>
      <w:r w:rsidR="00444AFB">
        <w:rPr>
          <w:rFonts w:ascii="Arial" w:hAnsi="Arial" w:cs="Arial"/>
          <w:lang w:val="en-CA"/>
        </w:rPr>
        <w:t xml:space="preserve"> </w:t>
      </w:r>
      <w:r w:rsidR="00444AFB" w:rsidRPr="00444AFB">
        <w:rPr>
          <w:rFonts w:ascii="Arial" w:hAnsi="Arial" w:cs="Arial"/>
          <w:lang w:val="en-CA"/>
        </w:rPr>
        <w:t>(Madura, 2021)</w:t>
      </w:r>
      <w:r w:rsidRPr="00D2647B">
        <w:rPr>
          <w:rFonts w:ascii="Arial" w:hAnsi="Arial" w:cs="Arial"/>
          <w:lang w:val="en-CA"/>
        </w:rPr>
        <w:t xml:space="preserve">. </w:t>
      </w:r>
    </w:p>
    <w:p w14:paraId="463A85CA" w14:textId="77777777" w:rsidR="00D2647B" w:rsidRPr="00D25474" w:rsidRDefault="00D2647B" w:rsidP="00D2647B">
      <w:pPr>
        <w:spacing w:line="360" w:lineRule="auto"/>
        <w:rPr>
          <w:rFonts w:ascii="Arial" w:hAnsi="Arial" w:cs="Arial"/>
          <w:lang w:val="en-CA"/>
        </w:rPr>
      </w:pPr>
    </w:p>
    <w:p w14:paraId="6BA6184F"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(d) Cash Flow Management Enhancements</w:t>
      </w:r>
    </w:p>
    <w:p w14:paraId="1D41A41A" w14:textId="126D5090" w:rsidR="00D2647B" w:rsidRPr="00D25474" w:rsidRDefault="00D2647B" w:rsidP="00D2647B">
      <w:pPr>
        <w:spacing w:line="360" w:lineRule="auto"/>
        <w:jc w:val="both"/>
        <w:rPr>
          <w:rFonts w:ascii="Arial" w:hAnsi="Arial" w:cs="Arial"/>
          <w:lang w:val="en-CA"/>
        </w:rPr>
      </w:pPr>
      <w:r w:rsidRPr="00D2647B">
        <w:rPr>
          <w:rFonts w:ascii="Arial" w:hAnsi="Arial" w:cs="Arial"/>
          <w:lang w:val="en-CA"/>
        </w:rPr>
        <w:t>General Electronics should consider making targeted procurement to their suppliers with the intention of reducing the safety stock by 20 per cent in a year through real-time data to make their operations run better. A rationalisation of products should be done gradually to eliminate low-margin SKUs and adopt high-turnover products to cut down the holding time</w:t>
      </w:r>
      <w:r w:rsidR="00444AFB">
        <w:rPr>
          <w:rFonts w:ascii="Arial" w:hAnsi="Arial" w:cs="Arial"/>
          <w:lang w:val="en-CA"/>
        </w:rPr>
        <w:t xml:space="preserve"> </w:t>
      </w:r>
      <w:r w:rsidR="00444AFB" w:rsidRPr="00444AFB">
        <w:rPr>
          <w:rFonts w:ascii="Arial" w:hAnsi="Arial" w:cs="Arial"/>
          <w:lang w:val="en-CA"/>
        </w:rPr>
        <w:t>(Hedegaard, 2016)</w:t>
      </w:r>
      <w:r w:rsidRPr="00D2647B">
        <w:rPr>
          <w:rFonts w:ascii="Arial" w:hAnsi="Arial" w:cs="Arial"/>
          <w:lang w:val="en-CA"/>
        </w:rPr>
        <w:t>. The use of ABC analysis will permit the automation of A-item treatment to reorder items and B-item treatment to conduct a periodic review, maximising the use of inventory.</w:t>
      </w:r>
    </w:p>
    <w:p w14:paraId="252E654F" w14:textId="4BEC6D39" w:rsidR="00D2647B" w:rsidRPr="00D25474" w:rsidRDefault="00D2647B" w:rsidP="00A12F76">
      <w:pPr>
        <w:spacing w:line="360" w:lineRule="auto"/>
        <w:rPr>
          <w:rFonts w:ascii="Arial" w:hAnsi="Arial" w:cs="Arial"/>
          <w:lang w:val="en-CA"/>
        </w:rPr>
      </w:pPr>
      <w:r w:rsidRPr="00D2647B">
        <w:rPr>
          <w:rFonts w:ascii="Arial" w:hAnsi="Arial" w:cs="Arial"/>
          <w:lang w:val="en-CA"/>
        </w:rPr>
        <w:t>All these reforms would cut the operating cycle by 30-40 days and release over 20 bn of trapped cash to directly improve the firm.</w:t>
      </w:r>
    </w:p>
    <w:p w14:paraId="7528EBE5" w14:textId="77777777" w:rsidR="00A12F76" w:rsidRPr="00D25474" w:rsidRDefault="00A12F76" w:rsidP="00D25474">
      <w:pPr>
        <w:pStyle w:val="Style2"/>
      </w:pPr>
      <w:bookmarkStart w:id="16" w:name="_Toc213619018"/>
      <w:r w:rsidRPr="00D25474">
        <w:lastRenderedPageBreak/>
        <w:t>2.5 Financing Options: Short-Term vs. Long-Term</w:t>
      </w:r>
      <w:bookmarkEnd w:id="16"/>
    </w:p>
    <w:p w14:paraId="32F9CA5D" w14:textId="77777777" w:rsidR="00D25474" w:rsidRPr="00D25474" w:rsidRDefault="00A12F76" w:rsidP="00A12F76">
      <w:pPr>
        <w:spacing w:line="360" w:lineRule="auto"/>
        <w:rPr>
          <w:rFonts w:ascii="Arial" w:hAnsi="Arial" w:cs="Arial"/>
          <w:b/>
          <w:bCs/>
          <w:lang w:val="en-CA"/>
        </w:rPr>
      </w:pPr>
      <w:r w:rsidRPr="00D25474">
        <w:rPr>
          <w:rFonts w:ascii="Arial" w:hAnsi="Arial" w:cs="Arial"/>
          <w:b/>
          <w:bCs/>
          <w:lang w:val="en-CA"/>
        </w:rPr>
        <w:t>Short-Term Financing</w:t>
      </w:r>
    </w:p>
    <w:p w14:paraId="691D9E26" w14:textId="4E1E9818" w:rsidR="00D2647B" w:rsidRPr="00D2647B" w:rsidRDefault="00D2647B" w:rsidP="00D2647B">
      <w:pPr>
        <w:spacing w:line="360" w:lineRule="auto"/>
        <w:jc w:val="both"/>
        <w:rPr>
          <w:rFonts w:ascii="Arial" w:hAnsi="Arial" w:cs="Arial"/>
          <w:lang w:val="en-CA"/>
        </w:rPr>
      </w:pPr>
      <w:r w:rsidRPr="00D2647B">
        <w:rPr>
          <w:rFonts w:ascii="Arial" w:hAnsi="Arial" w:cs="Arial"/>
          <w:lang w:val="en-CA"/>
        </w:rPr>
        <w:t>The company is now depending on short-term credit lines (£36.9 bn) to fill in cash gaps. Short-term borrowing is flexible, but it increases the risk of refinancing. The cost of interest increases very quickly in case of tightening of the market situation, and regular renewal exposes the company to liquidity shocks</w:t>
      </w:r>
      <w:r w:rsidR="00B65AA9">
        <w:rPr>
          <w:rFonts w:ascii="Arial" w:hAnsi="Arial" w:cs="Arial"/>
          <w:lang w:val="en-CA"/>
        </w:rPr>
        <w:t xml:space="preserve"> </w:t>
      </w:r>
      <w:r w:rsidR="00B65AA9" w:rsidRPr="00B65AA9">
        <w:rPr>
          <w:rFonts w:ascii="Arial" w:hAnsi="Arial" w:cs="Arial"/>
          <w:lang w:val="en-CA"/>
        </w:rPr>
        <w:t>(Bodie and Merton, 2019)</w:t>
      </w:r>
      <w:r w:rsidRPr="00D2647B">
        <w:rPr>
          <w:rFonts w:ascii="Arial" w:hAnsi="Arial" w:cs="Arial"/>
          <w:lang w:val="en-CA"/>
        </w:rPr>
        <w:t>. Nonetheless, other rolling over facilities might be challenging without collateral of assets due to the deteriorating creditworthiness and the negative EBIT.</w:t>
      </w:r>
    </w:p>
    <w:p w14:paraId="30490773" w14:textId="77777777" w:rsidR="00D2647B" w:rsidRPr="00D2647B" w:rsidRDefault="00D2647B" w:rsidP="00D2647B">
      <w:pPr>
        <w:spacing w:line="360" w:lineRule="auto"/>
        <w:jc w:val="both"/>
        <w:rPr>
          <w:rFonts w:ascii="Arial" w:hAnsi="Arial" w:cs="Arial"/>
          <w:b/>
          <w:bCs/>
          <w:lang w:val="en-CA"/>
        </w:rPr>
      </w:pPr>
      <w:r w:rsidRPr="00D2647B">
        <w:rPr>
          <w:rFonts w:ascii="Arial" w:hAnsi="Arial" w:cs="Arial"/>
          <w:b/>
          <w:bCs/>
          <w:lang w:val="en-CA"/>
        </w:rPr>
        <w:t>Long-Term Financing</w:t>
      </w:r>
    </w:p>
    <w:p w14:paraId="664C89F0" w14:textId="7FAEEB2B" w:rsidR="00D2647B" w:rsidRPr="00D25474" w:rsidRDefault="00D2647B" w:rsidP="00D2647B">
      <w:pPr>
        <w:spacing w:line="360" w:lineRule="auto"/>
        <w:jc w:val="both"/>
        <w:rPr>
          <w:rFonts w:ascii="Arial" w:hAnsi="Arial" w:cs="Arial"/>
          <w:lang w:val="en-CA"/>
        </w:rPr>
      </w:pPr>
      <w:r w:rsidRPr="00D2647B">
        <w:rPr>
          <w:rFonts w:ascii="Arial" w:hAnsi="Arial" w:cs="Arial"/>
          <w:lang w:val="en-CA"/>
        </w:rPr>
        <w:t>Changing some of the working capital financing, away from long-term funding (i.e. bond issue, equity rights issue or long-term commercial bank loan) would enhance the maturity matching</w:t>
      </w:r>
      <w:r w:rsidR="00444AFB">
        <w:rPr>
          <w:rFonts w:ascii="Arial" w:hAnsi="Arial" w:cs="Arial"/>
          <w:lang w:val="en-CA"/>
        </w:rPr>
        <w:t xml:space="preserve"> </w:t>
      </w:r>
      <w:r w:rsidR="00444AFB" w:rsidRPr="00444AFB">
        <w:rPr>
          <w:rFonts w:ascii="Arial" w:hAnsi="Arial" w:cs="Arial"/>
          <w:lang w:val="en-CA"/>
        </w:rPr>
        <w:t>(Hedegaard, 2016)</w:t>
      </w:r>
      <w:r w:rsidRPr="00D2647B">
        <w:rPr>
          <w:rFonts w:ascii="Arial" w:hAnsi="Arial" w:cs="Arial"/>
          <w:lang w:val="en-CA"/>
        </w:rPr>
        <w:t>. Long-term refinancing of between 20-25 bn would lead to a reduction in reliance on the revolving facilities, and an increase in equity would be added, which would reduce the balance sheet and decrease the leverage to approximately 0.9 x. Stability is higher than short-term cost, though the interest rates are higher for a long-term debt in a turnaround situation.</w:t>
      </w:r>
    </w:p>
    <w:p w14:paraId="44DE5E16"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Comparative Assessment:</w:t>
      </w:r>
    </w:p>
    <w:tbl>
      <w:tblPr>
        <w:tblStyle w:val="TableGrid"/>
        <w:tblW w:w="0" w:type="auto"/>
        <w:tblLook w:val="04A0" w:firstRow="1" w:lastRow="0" w:firstColumn="1" w:lastColumn="0" w:noHBand="0" w:noVBand="1"/>
      </w:tblPr>
      <w:tblGrid>
        <w:gridCol w:w="2476"/>
        <w:gridCol w:w="3322"/>
        <w:gridCol w:w="3552"/>
      </w:tblGrid>
      <w:tr w:rsidR="00A12F76" w:rsidRPr="00D25474" w14:paraId="67601371" w14:textId="77777777" w:rsidTr="00D25474">
        <w:tc>
          <w:tcPr>
            <w:tcW w:w="0" w:type="auto"/>
            <w:hideMark/>
          </w:tcPr>
          <w:p w14:paraId="21CC537A"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Aspect</w:t>
            </w:r>
          </w:p>
        </w:tc>
        <w:tc>
          <w:tcPr>
            <w:tcW w:w="0" w:type="auto"/>
            <w:hideMark/>
          </w:tcPr>
          <w:p w14:paraId="36AB2EDC"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Short-Term Debt</w:t>
            </w:r>
          </w:p>
        </w:tc>
        <w:tc>
          <w:tcPr>
            <w:tcW w:w="0" w:type="auto"/>
            <w:hideMark/>
          </w:tcPr>
          <w:p w14:paraId="603188F5" w14:textId="77777777" w:rsidR="00A12F76" w:rsidRPr="00D25474" w:rsidRDefault="00A12F76" w:rsidP="00A12F76">
            <w:pPr>
              <w:spacing w:line="360" w:lineRule="auto"/>
              <w:rPr>
                <w:rFonts w:ascii="Arial" w:hAnsi="Arial" w:cs="Arial"/>
                <w:b/>
                <w:bCs/>
                <w:lang w:val="en-CA"/>
              </w:rPr>
            </w:pPr>
            <w:r w:rsidRPr="00D25474">
              <w:rPr>
                <w:rFonts w:ascii="Arial" w:hAnsi="Arial" w:cs="Arial"/>
                <w:b/>
                <w:bCs/>
                <w:lang w:val="en-CA"/>
              </w:rPr>
              <w:t>Long-Term Debt</w:t>
            </w:r>
          </w:p>
        </w:tc>
      </w:tr>
      <w:tr w:rsidR="00A12F76" w:rsidRPr="00D25474" w14:paraId="1AD8070A" w14:textId="77777777" w:rsidTr="00D25474">
        <w:tc>
          <w:tcPr>
            <w:tcW w:w="0" w:type="auto"/>
            <w:hideMark/>
          </w:tcPr>
          <w:p w14:paraId="6BD6BA3A"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Maturity</w:t>
            </w:r>
          </w:p>
        </w:tc>
        <w:tc>
          <w:tcPr>
            <w:tcW w:w="0" w:type="auto"/>
            <w:hideMark/>
          </w:tcPr>
          <w:p w14:paraId="27B33DA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&lt;1 year; high rollover risk</w:t>
            </w:r>
          </w:p>
        </w:tc>
        <w:tc>
          <w:tcPr>
            <w:tcW w:w="0" w:type="auto"/>
            <w:hideMark/>
          </w:tcPr>
          <w:p w14:paraId="22510FC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3–10 years; stable cash planning</w:t>
            </w:r>
          </w:p>
        </w:tc>
      </w:tr>
      <w:tr w:rsidR="00A12F76" w:rsidRPr="00D25474" w14:paraId="5F472E7F" w14:textId="77777777" w:rsidTr="00D25474">
        <w:tc>
          <w:tcPr>
            <w:tcW w:w="0" w:type="auto"/>
            <w:hideMark/>
          </w:tcPr>
          <w:p w14:paraId="6C92BCC2"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Cost of Capital</w:t>
            </w:r>
          </w:p>
        </w:tc>
        <w:tc>
          <w:tcPr>
            <w:tcW w:w="0" w:type="auto"/>
            <w:hideMark/>
          </w:tcPr>
          <w:p w14:paraId="54604C2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Lower nominal rate</w:t>
            </w:r>
          </w:p>
        </w:tc>
        <w:tc>
          <w:tcPr>
            <w:tcW w:w="0" w:type="auto"/>
            <w:hideMark/>
          </w:tcPr>
          <w:p w14:paraId="0D570AD4"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Slightly higher</w:t>
            </w:r>
          </w:p>
        </w:tc>
      </w:tr>
      <w:tr w:rsidR="00A12F76" w:rsidRPr="00D25474" w14:paraId="4D8A4116" w14:textId="77777777" w:rsidTr="00D25474">
        <w:tc>
          <w:tcPr>
            <w:tcW w:w="0" w:type="auto"/>
            <w:hideMark/>
          </w:tcPr>
          <w:p w14:paraId="48CFA2EA"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Flexibility</w:t>
            </w:r>
          </w:p>
        </w:tc>
        <w:tc>
          <w:tcPr>
            <w:tcW w:w="0" w:type="auto"/>
            <w:hideMark/>
          </w:tcPr>
          <w:p w14:paraId="60A9D09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High; quick drawdown</w:t>
            </w:r>
          </w:p>
        </w:tc>
        <w:tc>
          <w:tcPr>
            <w:tcW w:w="0" w:type="auto"/>
            <w:hideMark/>
          </w:tcPr>
          <w:p w14:paraId="6DB4D632"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Limited; formal covenants</w:t>
            </w:r>
          </w:p>
        </w:tc>
      </w:tr>
      <w:tr w:rsidR="00A12F76" w:rsidRPr="00D25474" w14:paraId="3F670A18" w14:textId="77777777" w:rsidTr="00D25474">
        <w:tc>
          <w:tcPr>
            <w:tcW w:w="0" w:type="auto"/>
            <w:hideMark/>
          </w:tcPr>
          <w:p w14:paraId="4BEFCBD2"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Liquidity Impact</w:t>
            </w:r>
          </w:p>
        </w:tc>
        <w:tc>
          <w:tcPr>
            <w:tcW w:w="0" w:type="auto"/>
            <w:hideMark/>
          </w:tcPr>
          <w:p w14:paraId="496B278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Temporary relief</w:t>
            </w:r>
          </w:p>
        </w:tc>
        <w:tc>
          <w:tcPr>
            <w:tcW w:w="0" w:type="auto"/>
            <w:hideMark/>
          </w:tcPr>
          <w:p w14:paraId="2ED869FE"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Structural improvement</w:t>
            </w:r>
          </w:p>
        </w:tc>
      </w:tr>
      <w:tr w:rsidR="00A12F76" w:rsidRPr="00D25474" w14:paraId="4899B264" w14:textId="77777777" w:rsidTr="00D25474">
        <w:tc>
          <w:tcPr>
            <w:tcW w:w="0" w:type="auto"/>
            <w:hideMark/>
          </w:tcPr>
          <w:p w14:paraId="6EFB05DF" w14:textId="77777777" w:rsidR="00A12F76" w:rsidRPr="00D25474" w:rsidRDefault="00A12F76" w:rsidP="00A12F76">
            <w:pPr>
              <w:spacing w:line="360" w:lineRule="auto"/>
              <w:rPr>
                <w:rFonts w:ascii="Arial" w:hAnsi="Arial" w:cs="Arial"/>
                <w:lang w:val="en-CA"/>
              </w:rPr>
            </w:pPr>
            <w:r w:rsidRPr="00D25474">
              <w:rPr>
                <w:rFonts w:ascii="Arial" w:hAnsi="Arial" w:cs="Arial"/>
                <w:b/>
                <w:bCs/>
                <w:lang w:val="en-CA"/>
              </w:rPr>
              <w:t>Recommended Role</w:t>
            </w:r>
          </w:p>
        </w:tc>
        <w:tc>
          <w:tcPr>
            <w:tcW w:w="0" w:type="auto"/>
            <w:hideMark/>
          </w:tcPr>
          <w:p w14:paraId="2F1D1CF8"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For seasonal inventory funding</w:t>
            </w:r>
          </w:p>
        </w:tc>
        <w:tc>
          <w:tcPr>
            <w:tcW w:w="0" w:type="auto"/>
            <w:hideMark/>
          </w:tcPr>
          <w:p w14:paraId="0AED31BC" w14:textId="77777777" w:rsidR="00A12F76" w:rsidRPr="00D25474" w:rsidRDefault="00A12F76" w:rsidP="00A12F76">
            <w:pPr>
              <w:spacing w:line="360" w:lineRule="auto"/>
              <w:rPr>
                <w:rFonts w:ascii="Arial" w:hAnsi="Arial" w:cs="Arial"/>
                <w:lang w:val="en-CA"/>
              </w:rPr>
            </w:pPr>
            <w:r w:rsidRPr="00D25474">
              <w:rPr>
                <w:rFonts w:ascii="Arial" w:hAnsi="Arial" w:cs="Arial"/>
                <w:lang w:val="en-CA"/>
              </w:rPr>
              <w:t>For balance-sheet restructuring</w:t>
            </w:r>
          </w:p>
        </w:tc>
      </w:tr>
    </w:tbl>
    <w:p w14:paraId="18596E81" w14:textId="77777777" w:rsidR="00D25474" w:rsidRPr="00D25474" w:rsidRDefault="00D25474" w:rsidP="00A12F76">
      <w:pPr>
        <w:spacing w:line="360" w:lineRule="auto"/>
        <w:rPr>
          <w:rFonts w:ascii="Arial" w:hAnsi="Arial" w:cs="Arial"/>
          <w:lang w:val="en-CA"/>
        </w:rPr>
      </w:pPr>
    </w:p>
    <w:p w14:paraId="346B495F" w14:textId="77777777" w:rsidR="00D2647B" w:rsidRPr="00D2647B" w:rsidRDefault="00D2647B" w:rsidP="00BC7969">
      <w:pPr>
        <w:spacing w:line="360" w:lineRule="auto"/>
        <w:jc w:val="both"/>
        <w:rPr>
          <w:rFonts w:ascii="Arial" w:hAnsi="Arial" w:cs="Arial"/>
          <w:lang w:val="en-CA"/>
        </w:rPr>
      </w:pPr>
      <w:r w:rsidRPr="00D2647B">
        <w:rPr>
          <w:rFonts w:ascii="Arial" w:hAnsi="Arial" w:cs="Arial"/>
          <w:lang w:val="en-CA"/>
        </w:rPr>
        <w:t>It is therefore best to have a blended financing strategy: temporary facilities for operational seasonality, permanent working capital and long-term debt financing.</w:t>
      </w:r>
    </w:p>
    <w:p w14:paraId="19F4857D" w14:textId="77777777" w:rsidR="00A12F76" w:rsidRPr="00D25474" w:rsidRDefault="00A12F76" w:rsidP="00A12F76">
      <w:pPr>
        <w:spacing w:line="360" w:lineRule="auto"/>
        <w:rPr>
          <w:rFonts w:ascii="Arial" w:hAnsi="Arial" w:cs="Arial"/>
        </w:rPr>
      </w:pPr>
    </w:p>
    <w:p w14:paraId="62056168" w14:textId="77777777" w:rsidR="00A12F76" w:rsidRPr="00D25474" w:rsidRDefault="00A12F76" w:rsidP="00A12F76">
      <w:pPr>
        <w:spacing w:line="360" w:lineRule="auto"/>
        <w:rPr>
          <w:rFonts w:ascii="Arial" w:hAnsi="Arial" w:cs="Arial"/>
        </w:rPr>
      </w:pPr>
    </w:p>
    <w:p w14:paraId="564A41E5" w14:textId="77777777" w:rsidR="00A12F76" w:rsidRPr="00D25474" w:rsidRDefault="00A12F76" w:rsidP="00A12F76">
      <w:pPr>
        <w:spacing w:line="360" w:lineRule="auto"/>
        <w:rPr>
          <w:rFonts w:ascii="Arial" w:hAnsi="Arial" w:cs="Arial"/>
        </w:rPr>
      </w:pPr>
    </w:p>
    <w:p w14:paraId="7DD53454" w14:textId="39F0FFC3" w:rsidR="00331EDE" w:rsidRPr="00D25474" w:rsidRDefault="00331EDE" w:rsidP="00D25474">
      <w:pPr>
        <w:pStyle w:val="Style1"/>
        <w:rPr>
          <w:lang w:val="en-CA"/>
        </w:rPr>
      </w:pPr>
      <w:bookmarkStart w:id="17" w:name="_Toc213619019"/>
      <w:r w:rsidRPr="00D25474">
        <w:rPr>
          <w:lang w:val="en-CA"/>
        </w:rPr>
        <w:lastRenderedPageBreak/>
        <w:t>3. Strategic Financial Restructuring Plan</w:t>
      </w:r>
      <w:bookmarkEnd w:id="17"/>
    </w:p>
    <w:p w14:paraId="77456669" w14:textId="77777777" w:rsidR="00331EDE" w:rsidRPr="00D25474" w:rsidRDefault="00331EDE" w:rsidP="00D25474">
      <w:pPr>
        <w:pStyle w:val="Style2"/>
      </w:pPr>
      <w:bookmarkStart w:id="18" w:name="_Toc213619020"/>
      <w:r w:rsidRPr="00D25474">
        <w:t>3.1 Overview of Financial Instability</w:t>
      </w:r>
      <w:bookmarkEnd w:id="18"/>
    </w:p>
    <w:p w14:paraId="3A4A5A1E" w14:textId="3CAFE3F5" w:rsidR="00331EDE" w:rsidRPr="00D25474" w:rsidRDefault="009733DF" w:rsidP="009733DF">
      <w:pPr>
        <w:spacing w:line="360" w:lineRule="auto"/>
        <w:jc w:val="both"/>
        <w:rPr>
          <w:rFonts w:ascii="Arial" w:hAnsi="Arial" w:cs="Arial"/>
          <w:lang w:val="en-CA"/>
        </w:rPr>
      </w:pPr>
      <w:r w:rsidRPr="009733DF">
        <w:rPr>
          <w:rFonts w:ascii="Arial" w:hAnsi="Arial" w:cs="Arial"/>
          <w:lang w:val="en-CA"/>
        </w:rPr>
        <w:t xml:space="preserve">The financial outlook of General Electronics over the period of 2020–2024 indicates that the company has structural weaknesses that are not amenable to incremental reforms. The high operating losses, the increase in </w:t>
      </w:r>
      <w:r w:rsidR="00B65AA9" w:rsidRPr="009733DF">
        <w:rPr>
          <w:rFonts w:ascii="Arial" w:hAnsi="Arial" w:cs="Arial"/>
          <w:lang w:val="en-CA"/>
        </w:rPr>
        <w:t>debt-to-equity</w:t>
      </w:r>
      <w:r w:rsidRPr="009733DF">
        <w:rPr>
          <w:rFonts w:ascii="Arial" w:hAnsi="Arial" w:cs="Arial"/>
          <w:lang w:val="en-CA"/>
        </w:rPr>
        <w:t xml:space="preserve"> ratio (0.63x/1.11x) and a negative free cash flow in 4 out of 5 years are some of the </w:t>
      </w:r>
      <w:r w:rsidR="00B65AA9" w:rsidRPr="009733DF">
        <w:rPr>
          <w:rFonts w:ascii="Arial" w:hAnsi="Arial" w:cs="Arial"/>
          <w:lang w:val="en-CA"/>
        </w:rPr>
        <w:t>evidences</w:t>
      </w:r>
      <w:r w:rsidRPr="009733DF">
        <w:rPr>
          <w:rFonts w:ascii="Arial" w:hAnsi="Arial" w:cs="Arial"/>
          <w:lang w:val="en-CA"/>
        </w:rPr>
        <w:t xml:space="preserve"> that the current capital structure of the company is not sustainable. Its liquidity has plunged downwards, and interest coverage ratios have become negative, that is, the inability to meet finance costs using operating earnings</w:t>
      </w:r>
      <w:r w:rsidR="00B65AA9">
        <w:rPr>
          <w:rFonts w:ascii="Arial" w:hAnsi="Arial" w:cs="Arial"/>
          <w:lang w:val="en-CA"/>
        </w:rPr>
        <w:t xml:space="preserve"> </w:t>
      </w:r>
      <w:r w:rsidR="00B65AA9" w:rsidRPr="00B65AA9">
        <w:rPr>
          <w:rFonts w:ascii="Arial" w:hAnsi="Arial" w:cs="Arial"/>
          <w:lang w:val="en-CA"/>
        </w:rPr>
        <w:t>(Singh, Kumar and Colombage, 2017)</w:t>
      </w:r>
      <w:r w:rsidRPr="009733DF">
        <w:rPr>
          <w:rFonts w:ascii="Arial" w:hAnsi="Arial" w:cs="Arial"/>
          <w:lang w:val="en-CA"/>
        </w:rPr>
        <w:t>. All these circumstances pose a demand to restructure the company in a comprehensive way that will make it solvent, regain shareholder confidence, and be flexible worldwide.</w:t>
      </w:r>
    </w:p>
    <w:p w14:paraId="516FF3CF" w14:textId="77777777" w:rsidR="00331EDE" w:rsidRPr="00D25474" w:rsidRDefault="00331EDE" w:rsidP="00D25474">
      <w:pPr>
        <w:pStyle w:val="Style2"/>
      </w:pPr>
      <w:bookmarkStart w:id="19" w:name="_Toc213619021"/>
      <w:r w:rsidRPr="00D25474">
        <w:t>3.2 Divestiture and Asset Rationalisation</w:t>
      </w:r>
      <w:bookmarkEnd w:id="19"/>
    </w:p>
    <w:p w14:paraId="2053A3CE" w14:textId="1D8661CB" w:rsidR="009733DF" w:rsidRPr="009733DF" w:rsidRDefault="009733DF" w:rsidP="009733DF">
      <w:pPr>
        <w:spacing w:line="360" w:lineRule="auto"/>
        <w:jc w:val="both"/>
        <w:rPr>
          <w:rFonts w:ascii="Arial" w:hAnsi="Arial" w:cs="Arial"/>
          <w:lang w:val="en-CA"/>
        </w:rPr>
      </w:pPr>
      <w:r w:rsidRPr="009733DF">
        <w:rPr>
          <w:rFonts w:ascii="Arial" w:hAnsi="Arial" w:cs="Arial"/>
          <w:lang w:val="en-CA"/>
        </w:rPr>
        <w:t>Selective divestiture should form the first and most immediate step in the restructuring plan. Within the last 10 years, General Electronics has been aggressive in out-of-core products, which include low-margin household appliances and low-end consumer electronics, which currently crowd out the profit margin. These segments constitute a large amount of the company's property, plant, and equipment portfolio of £87 billion, but have poor returns on assets</w:t>
      </w:r>
      <w:r w:rsidR="00B65AA9">
        <w:rPr>
          <w:rFonts w:ascii="Arial" w:hAnsi="Arial" w:cs="Arial"/>
          <w:lang w:val="en-CA"/>
        </w:rPr>
        <w:t xml:space="preserve"> </w:t>
      </w:r>
      <w:r w:rsidR="00B65AA9" w:rsidRPr="00B65AA9">
        <w:rPr>
          <w:rFonts w:ascii="Arial" w:hAnsi="Arial" w:cs="Arial"/>
          <w:lang w:val="en-CA"/>
        </w:rPr>
        <w:t>(Prasad et al., 2018)</w:t>
      </w:r>
      <w:r w:rsidRPr="009733DF">
        <w:rPr>
          <w:rFonts w:ascii="Arial" w:hAnsi="Arial" w:cs="Arial"/>
          <w:lang w:val="en-CA"/>
        </w:rPr>
        <w:t xml:space="preserve">. </w:t>
      </w:r>
    </w:p>
    <w:p w14:paraId="6F9F7DF2" w14:textId="640DFDEC" w:rsidR="009733DF" w:rsidRPr="00D25474" w:rsidRDefault="009733DF" w:rsidP="009733DF">
      <w:pPr>
        <w:spacing w:line="360" w:lineRule="auto"/>
        <w:jc w:val="both"/>
        <w:rPr>
          <w:rFonts w:ascii="Arial" w:hAnsi="Arial" w:cs="Arial"/>
          <w:lang w:val="en-CA"/>
        </w:rPr>
      </w:pPr>
      <w:r w:rsidRPr="009733DF">
        <w:rPr>
          <w:rFonts w:ascii="Arial" w:hAnsi="Arial" w:cs="Arial"/>
          <w:lang w:val="en-CA"/>
        </w:rPr>
        <w:t>By taking a nail depth of between 25-30 billion thinking in pounds, the release can be utilised to clear short-term credit fund and high-interest obligations, reducing the debt to equity of 11:1 to about 085:1. This would not only bring a better gearing position to the firm, but it would also increase credit ratings, reducing the cost of future borrowing</w:t>
      </w:r>
      <w:r w:rsidR="00B65AA9">
        <w:rPr>
          <w:rFonts w:ascii="Arial" w:hAnsi="Arial" w:cs="Arial"/>
          <w:lang w:val="en-CA"/>
        </w:rPr>
        <w:t xml:space="preserve"> </w:t>
      </w:r>
      <w:r w:rsidR="00B65AA9" w:rsidRPr="00B65AA9">
        <w:rPr>
          <w:rFonts w:ascii="Arial" w:hAnsi="Arial" w:cs="Arial"/>
          <w:lang w:val="en-CA"/>
        </w:rPr>
        <w:t>(Fernandes, 2014)</w:t>
      </w:r>
      <w:r w:rsidRPr="009733DF">
        <w:rPr>
          <w:rFonts w:ascii="Arial" w:hAnsi="Arial" w:cs="Arial"/>
          <w:lang w:val="en-CA"/>
        </w:rPr>
        <w:t xml:space="preserve">. Moreover, the sale of assets that are being depreciated or underutilised may lead to tax benefits because the capital losses recognised can be used to reduce taxable earnings in the subsequent years of profit. The disposal process of the same, however, should be properly sequenced in order to avoid fire-sale pricing and reputational hit. </w:t>
      </w:r>
    </w:p>
    <w:p w14:paraId="32FDAF16" w14:textId="77777777" w:rsidR="00331EDE" w:rsidRPr="00D25474" w:rsidRDefault="00331EDE" w:rsidP="00D25474">
      <w:pPr>
        <w:pStyle w:val="Style2"/>
      </w:pPr>
      <w:bookmarkStart w:id="20" w:name="_Toc213619022"/>
      <w:r w:rsidRPr="00D25474">
        <w:lastRenderedPageBreak/>
        <w:t>3.3 Merger and Strategic Alliances</w:t>
      </w:r>
      <w:bookmarkEnd w:id="20"/>
    </w:p>
    <w:p w14:paraId="5A655180" w14:textId="0493C77E" w:rsidR="009733DF" w:rsidRPr="009733DF" w:rsidRDefault="009733DF" w:rsidP="009733DF">
      <w:pPr>
        <w:spacing w:line="360" w:lineRule="auto"/>
        <w:jc w:val="both"/>
        <w:rPr>
          <w:rFonts w:ascii="Arial" w:hAnsi="Arial" w:cs="Arial"/>
          <w:lang w:val="en-CA"/>
        </w:rPr>
      </w:pPr>
      <w:r w:rsidRPr="009733DF">
        <w:rPr>
          <w:rFonts w:ascii="Arial" w:hAnsi="Arial" w:cs="Arial"/>
          <w:lang w:val="en-CA"/>
        </w:rPr>
        <w:t>In addition to divestiture, the company should embark on mergers or joint ventures in an attempt to attain economies of scale and market re-entry in lucrative areas. The world consumer electronics market is getting progressively merged with companies, including Samsung, LG, and Xiaomi, holding a larger market share due to far-reaching supply chains and common research and development platforms. Combining or issuing strategic alliances, especially in the emerging and growing markets in Asia or the Middle East, will enable General Electronics to get to better manufacturing technologies, share costs of their R&amp;D and not be too dependent on the stagnant Western markets</w:t>
      </w:r>
      <w:r w:rsidR="00B65AA9">
        <w:rPr>
          <w:rFonts w:ascii="Arial" w:hAnsi="Arial" w:cs="Arial"/>
          <w:lang w:val="en-CA"/>
        </w:rPr>
        <w:t xml:space="preserve"> </w:t>
      </w:r>
      <w:r w:rsidR="00B65AA9" w:rsidRPr="00B65AA9">
        <w:rPr>
          <w:rFonts w:ascii="Arial" w:hAnsi="Arial" w:cs="Arial"/>
          <w:lang w:val="en-CA"/>
        </w:rPr>
        <w:t>(Bodie and Merton, 2019)</w:t>
      </w:r>
      <w:r w:rsidRPr="009733DF">
        <w:rPr>
          <w:rFonts w:ascii="Arial" w:hAnsi="Arial" w:cs="Arial"/>
          <w:lang w:val="en-CA"/>
        </w:rPr>
        <w:t>.</w:t>
      </w:r>
    </w:p>
    <w:p w14:paraId="755A26DB" w14:textId="6E278CFA" w:rsidR="009733DF" w:rsidRPr="00D25474" w:rsidRDefault="009733DF" w:rsidP="009733DF">
      <w:pPr>
        <w:spacing w:line="360" w:lineRule="auto"/>
        <w:jc w:val="both"/>
        <w:rPr>
          <w:rFonts w:ascii="Arial" w:hAnsi="Arial" w:cs="Arial"/>
          <w:lang w:val="en-CA"/>
        </w:rPr>
      </w:pPr>
      <w:r w:rsidRPr="009733DF">
        <w:rPr>
          <w:rFonts w:ascii="Arial" w:hAnsi="Arial" w:cs="Arial"/>
          <w:lang w:val="en-CA"/>
        </w:rPr>
        <w:t>A cross-border merger would also offer financial synergy, whereby there is a stronger combined balance sheet and the weighted average cost of capital (WACC) may be low. However, such mergers should be arranged in such a way that they deal with the currency and taxation risks</w:t>
      </w:r>
      <w:r w:rsidR="00B65AA9">
        <w:rPr>
          <w:rFonts w:ascii="Arial" w:hAnsi="Arial" w:cs="Arial"/>
          <w:lang w:val="en-CA"/>
        </w:rPr>
        <w:t xml:space="preserve"> </w:t>
      </w:r>
      <w:r w:rsidR="00B65AA9" w:rsidRPr="00B65AA9">
        <w:rPr>
          <w:rFonts w:ascii="Arial" w:hAnsi="Arial" w:cs="Arial"/>
          <w:lang w:val="en-CA"/>
        </w:rPr>
        <w:t>(Bodie and Merton, 2019)</w:t>
      </w:r>
      <w:r w:rsidRPr="009733DF">
        <w:rPr>
          <w:rFonts w:ascii="Arial" w:hAnsi="Arial" w:cs="Arial"/>
          <w:lang w:val="en-CA"/>
        </w:rPr>
        <w:t xml:space="preserve">. Since more than 40 per cent of the company's revenues are based in multi-currency markets, exchange rate fluctuations have the ability to misrepresent the reported earnings. To counter this, the merging entity ought to employ a natural hedging technique in the sense of balancing the inflow and outflows of the local currency, through forward contracts, and borrowing structures in multiple currencies. </w:t>
      </w:r>
    </w:p>
    <w:p w14:paraId="3458617D" w14:textId="77777777" w:rsidR="00331EDE" w:rsidRPr="00D25474" w:rsidRDefault="00331EDE" w:rsidP="00D25474">
      <w:pPr>
        <w:pStyle w:val="Style2"/>
      </w:pPr>
      <w:bookmarkStart w:id="21" w:name="_Toc213619023"/>
      <w:r w:rsidRPr="00D25474">
        <w:t>3.4 Equity Injection and Balance Sheet Recapitalisation</w:t>
      </w:r>
      <w:bookmarkEnd w:id="21"/>
    </w:p>
    <w:p w14:paraId="6BD4F198" w14:textId="77777777" w:rsidR="00142776" w:rsidRPr="00142776" w:rsidRDefault="00142776" w:rsidP="00142776">
      <w:pPr>
        <w:spacing w:line="360" w:lineRule="auto"/>
        <w:jc w:val="both"/>
        <w:rPr>
          <w:rFonts w:ascii="Arial" w:hAnsi="Arial" w:cs="Arial"/>
          <w:lang w:val="en-CA"/>
        </w:rPr>
      </w:pPr>
      <w:r w:rsidRPr="00142776">
        <w:rPr>
          <w:rFonts w:ascii="Arial" w:hAnsi="Arial" w:cs="Arial"/>
          <w:lang w:val="en-CA"/>
        </w:rPr>
        <w:t>Since the company has been increasing leverage and liquidity is thin, it is necessary to inject equity to restore financial sustainability. Equity financing may take the form of a rights issue to the existing shareholders, with institutional placements. An injection of capital amounting to 20 billion could make the equity base stronger to 173 billion, leverage will be reduced, and the equity ratio can be made above 52. It would be comparable to recapitalisation that would appease lenders and investors to enable the company to refinance costly short-term borrowings on better terms (Götze, Northcott and Schuster, 2015).</w:t>
      </w:r>
    </w:p>
    <w:p w14:paraId="270B0691" w14:textId="75A3EE8B" w:rsidR="00142776" w:rsidRPr="00D25474" w:rsidRDefault="00142776" w:rsidP="00142776">
      <w:pPr>
        <w:spacing w:line="360" w:lineRule="auto"/>
        <w:jc w:val="both"/>
        <w:rPr>
          <w:rFonts w:ascii="Arial" w:hAnsi="Arial" w:cs="Arial"/>
          <w:lang w:val="en-CA"/>
        </w:rPr>
      </w:pPr>
      <w:r w:rsidRPr="00142776">
        <w:rPr>
          <w:rFonts w:ascii="Arial" w:hAnsi="Arial" w:cs="Arial"/>
          <w:lang w:val="en-CA"/>
        </w:rPr>
        <w:t xml:space="preserve">Long-term strategic flexibility is also enhanced by an equity injection. This is in contrast to debt, where repayment must be mandatory, and this would allow the management to </w:t>
      </w:r>
      <w:r w:rsidRPr="00142776">
        <w:rPr>
          <w:rFonts w:ascii="Arial" w:hAnsi="Arial" w:cs="Arial"/>
          <w:lang w:val="en-CA"/>
        </w:rPr>
        <w:lastRenderedPageBreak/>
        <w:t xml:space="preserve">channel the funds into innovation in marketing and R&amp;D. Share dilution would be the immediate effect, though this would depress the earnings per share. These effects, however, must be prevented by the resultant increase in solvency and investor confidence (Prasad et al., 2018). </w:t>
      </w:r>
    </w:p>
    <w:p w14:paraId="06DB08FE" w14:textId="77777777" w:rsidR="00331EDE" w:rsidRPr="00D25474" w:rsidRDefault="00331EDE" w:rsidP="00D25474">
      <w:pPr>
        <w:pStyle w:val="Style2"/>
      </w:pPr>
      <w:bookmarkStart w:id="22" w:name="_Toc213619024"/>
      <w:r w:rsidRPr="00D25474">
        <w:t>3.5 Impact on Shareholder Value and Debt Structure</w:t>
      </w:r>
      <w:bookmarkEnd w:id="22"/>
    </w:p>
    <w:p w14:paraId="01CA9621" w14:textId="2A50B7B2" w:rsidR="009733DF" w:rsidRPr="009733DF" w:rsidRDefault="00142776" w:rsidP="00C46427">
      <w:pPr>
        <w:spacing w:line="360" w:lineRule="auto"/>
        <w:jc w:val="both"/>
        <w:rPr>
          <w:rFonts w:ascii="Arial" w:hAnsi="Arial" w:cs="Arial"/>
          <w:lang w:val="en-CA"/>
        </w:rPr>
      </w:pPr>
      <w:r w:rsidRPr="00142776">
        <w:rPr>
          <w:rFonts w:ascii="Arial" w:hAnsi="Arial" w:cs="Arial"/>
          <w:lang w:val="en-CA"/>
        </w:rPr>
        <w:t xml:space="preserve">The consequences of each of the elements in the restructuring process to shareholder value are varied. It is quite likely that the overall effect of divestiture will be a positive one in the short run, which will be linked with the reduction in the number of debts and indirectly related to the improvement of cash flow, even though it will also decrease the total assets and revenues in the short term. </w:t>
      </w:r>
      <w:r w:rsidR="009733DF" w:rsidRPr="009733DF">
        <w:rPr>
          <w:rFonts w:ascii="Arial" w:hAnsi="Arial" w:cs="Arial"/>
          <w:lang w:val="en-CA"/>
        </w:rPr>
        <w:t>Even though equity injection is dilutive in the short term, it increases long-term value by reducing the risk of default and facilitating re-investment in growth areas</w:t>
      </w:r>
      <w:r w:rsidR="00B65AA9">
        <w:rPr>
          <w:rFonts w:ascii="Arial" w:hAnsi="Arial" w:cs="Arial"/>
          <w:lang w:val="en-CA"/>
        </w:rPr>
        <w:t xml:space="preserve"> </w:t>
      </w:r>
      <w:r w:rsidR="00B65AA9" w:rsidRPr="00B65AA9">
        <w:rPr>
          <w:rFonts w:ascii="Arial" w:hAnsi="Arial" w:cs="Arial"/>
          <w:lang w:val="en-CA"/>
        </w:rPr>
        <w:t>(Johnson, 2023)</w:t>
      </w:r>
      <w:r w:rsidR="009733DF" w:rsidRPr="009733DF">
        <w:rPr>
          <w:rFonts w:ascii="Arial" w:hAnsi="Arial" w:cs="Arial"/>
          <w:lang w:val="en-CA"/>
        </w:rPr>
        <w:t>. When a merger or an alliance is done well, it may result in tremendous synergistic benefits in terms of cost-cutting and extending market share. All these would put the capital structure back on par, increase the return on invested capital, and build a more viable framework for value creation.</w:t>
      </w:r>
    </w:p>
    <w:p w14:paraId="2E7C4C4F" w14:textId="77777777" w:rsidR="00331EDE" w:rsidRPr="00D25474" w:rsidRDefault="00331EDE" w:rsidP="00D25474">
      <w:pPr>
        <w:pStyle w:val="Style2"/>
      </w:pPr>
      <w:bookmarkStart w:id="23" w:name="_Toc213619025"/>
      <w:r w:rsidRPr="00D25474">
        <w:t>3.6 International and Ethical Considerations</w:t>
      </w:r>
      <w:bookmarkEnd w:id="23"/>
    </w:p>
    <w:p w14:paraId="73CCB7A3" w14:textId="612F3004" w:rsidR="009733DF" w:rsidRPr="009733DF" w:rsidRDefault="009733DF" w:rsidP="009733DF">
      <w:pPr>
        <w:spacing w:line="360" w:lineRule="auto"/>
        <w:jc w:val="both"/>
        <w:rPr>
          <w:rFonts w:ascii="Arial" w:hAnsi="Arial" w:cs="Arial"/>
          <w:lang w:val="en-CA"/>
        </w:rPr>
      </w:pPr>
      <w:r w:rsidRPr="009733DF">
        <w:rPr>
          <w:rFonts w:ascii="Arial" w:hAnsi="Arial" w:cs="Arial"/>
          <w:lang w:val="en-CA"/>
        </w:rPr>
        <w:t>An excellent financial restructuring should not only be effective in improving profitability, but also maintain ethical and international standards. The multinational presence of the company subjects the organisation to a number of macroeconomic risks. Real returns are reduced, and inflation, at over 6 per cent in most of its operating areas in the present, is adding to the input costs</w:t>
      </w:r>
      <w:r w:rsidR="00444AFB">
        <w:rPr>
          <w:rFonts w:ascii="Arial" w:hAnsi="Arial" w:cs="Arial"/>
          <w:lang w:val="en-CA"/>
        </w:rPr>
        <w:t xml:space="preserve"> </w:t>
      </w:r>
      <w:r w:rsidR="00444AFB" w:rsidRPr="00444AFB">
        <w:rPr>
          <w:rFonts w:ascii="Arial" w:hAnsi="Arial" w:cs="Arial"/>
          <w:lang w:val="en-CA"/>
        </w:rPr>
        <w:t>(Fernandes, 2014)</w:t>
      </w:r>
      <w:r w:rsidRPr="009733DF">
        <w:rPr>
          <w:rFonts w:ascii="Arial" w:hAnsi="Arial" w:cs="Arial"/>
          <w:lang w:val="en-CA"/>
        </w:rPr>
        <w:t>. Therefore, the restructuring plan must also entail contracts of supply indexed to inflation and elastic pricing measures. Multi-currency cash management and forward exchange agreements have to be used to hedge currency volatility, especially in emerging markets, to avoid translation losses in consolidated financial statements.</w:t>
      </w:r>
    </w:p>
    <w:p w14:paraId="09A18E4C" w14:textId="77777777" w:rsidR="00BC7969" w:rsidRPr="00D25474" w:rsidRDefault="00BC7969" w:rsidP="00A12F76">
      <w:pPr>
        <w:spacing w:line="360" w:lineRule="auto"/>
        <w:rPr>
          <w:rFonts w:ascii="Arial" w:hAnsi="Arial" w:cs="Arial"/>
        </w:rPr>
      </w:pPr>
    </w:p>
    <w:p w14:paraId="2FE5C778" w14:textId="33F9CF63" w:rsidR="00331EDE" w:rsidRPr="00D25474" w:rsidRDefault="00331EDE" w:rsidP="00D25474">
      <w:pPr>
        <w:pStyle w:val="Style1"/>
        <w:rPr>
          <w:lang w:val="en-CA"/>
        </w:rPr>
      </w:pPr>
      <w:bookmarkStart w:id="24" w:name="_Toc213619026"/>
      <w:r w:rsidRPr="00D25474">
        <w:rPr>
          <w:lang w:val="en-CA"/>
        </w:rPr>
        <w:lastRenderedPageBreak/>
        <w:t>4. Investment Appraisal and Capital Budgeting</w:t>
      </w:r>
      <w:bookmarkEnd w:id="24"/>
    </w:p>
    <w:p w14:paraId="1D221ABE" w14:textId="77777777" w:rsidR="00331EDE" w:rsidRPr="00D25474" w:rsidRDefault="00331EDE" w:rsidP="00D25474">
      <w:pPr>
        <w:pStyle w:val="Style2"/>
      </w:pPr>
      <w:bookmarkStart w:id="25" w:name="_Toc213619027"/>
      <w:r w:rsidRPr="00D25474">
        <w:t>4.1 Overview of Investment Context</w:t>
      </w:r>
      <w:bookmarkEnd w:id="25"/>
    </w:p>
    <w:p w14:paraId="54DDCCA0" w14:textId="05338E2A" w:rsidR="009733DF" w:rsidRPr="009733DF" w:rsidRDefault="009733DF" w:rsidP="009733DF">
      <w:pPr>
        <w:spacing w:line="360" w:lineRule="auto"/>
        <w:jc w:val="both"/>
        <w:rPr>
          <w:rFonts w:ascii="Arial" w:hAnsi="Arial" w:cs="Arial"/>
          <w:lang w:val="en-CA"/>
        </w:rPr>
      </w:pPr>
      <w:r w:rsidRPr="009733DF">
        <w:rPr>
          <w:rFonts w:ascii="Arial" w:hAnsi="Arial" w:cs="Arial"/>
          <w:lang w:val="en-CA"/>
        </w:rPr>
        <w:t>General Electronics, which has been suffering poor financial results over the past five years, is in urgent need to reorganise its investment portfolio to normalise its returns and restore liquidity. The strategic plan of the company suggests three new projects of investment, each aimed at the expansion of future income capacity due to such technological development and diversification of markets. The firm is, however, constrained by a limit of capital ration, which is fixed at £60 million, thereby forcing it to prepare a combination of the best projects to increase shareholder value without violating the liquidity ratio</w:t>
      </w:r>
      <w:r w:rsidR="00B65AA9">
        <w:rPr>
          <w:rFonts w:ascii="Arial" w:hAnsi="Arial" w:cs="Arial"/>
          <w:lang w:val="en-CA"/>
        </w:rPr>
        <w:t xml:space="preserve"> </w:t>
      </w:r>
      <w:r w:rsidR="00B65AA9" w:rsidRPr="00B65AA9">
        <w:rPr>
          <w:rFonts w:ascii="Arial" w:hAnsi="Arial" w:cs="Arial"/>
          <w:lang w:val="en-CA"/>
        </w:rPr>
        <w:t>(Hedegaard, 2016)</w:t>
      </w:r>
      <w:r w:rsidRPr="009733DF">
        <w:rPr>
          <w:rFonts w:ascii="Arial" w:hAnsi="Arial" w:cs="Arial"/>
          <w:lang w:val="en-CA"/>
        </w:rPr>
        <w:t>.</w:t>
      </w:r>
    </w:p>
    <w:p w14:paraId="59922BF6" w14:textId="09EADD40" w:rsidR="009733DF" w:rsidRPr="00D25474" w:rsidRDefault="009733DF" w:rsidP="009733DF">
      <w:pPr>
        <w:spacing w:line="360" w:lineRule="auto"/>
        <w:jc w:val="both"/>
        <w:rPr>
          <w:rFonts w:ascii="Arial" w:hAnsi="Arial" w:cs="Arial"/>
          <w:lang w:val="en-CA"/>
        </w:rPr>
      </w:pPr>
      <w:r w:rsidRPr="009733DF">
        <w:rPr>
          <w:rFonts w:ascii="Arial" w:hAnsi="Arial" w:cs="Arial"/>
          <w:lang w:val="en-CA"/>
        </w:rPr>
        <w:t>The evaluation will use five major appraisal techniques, Payback Period (PBP), Accounting rate of Return (ARR), Net Present Value (NPV), Profitability Index (PI) and Internal rate of return (IRR) in ensuring that the decisions made are within the confines of short-term solvency and long-term profitability</w:t>
      </w:r>
      <w:r w:rsidR="00B65AA9">
        <w:rPr>
          <w:rFonts w:ascii="Arial" w:hAnsi="Arial" w:cs="Arial"/>
          <w:lang w:val="en-CA"/>
        </w:rPr>
        <w:t xml:space="preserve"> </w:t>
      </w:r>
      <w:r w:rsidR="00B65AA9" w:rsidRPr="00B65AA9">
        <w:rPr>
          <w:rFonts w:ascii="Arial" w:hAnsi="Arial" w:cs="Arial"/>
          <w:lang w:val="en-CA"/>
        </w:rPr>
        <w:t>(Bulama, Danladi and Musa, 2023)</w:t>
      </w:r>
      <w:r w:rsidRPr="009733DF">
        <w:rPr>
          <w:rFonts w:ascii="Arial" w:hAnsi="Arial" w:cs="Arial"/>
          <w:lang w:val="en-CA"/>
        </w:rPr>
        <w:t>. The discount rate will be 10 per cent, which indicates the prevailing weighted average cost of capital and modified risk exposure in the international markets of the company. ARR is calculated using the straight-line method to zero depreciation.</w:t>
      </w:r>
    </w:p>
    <w:p w14:paraId="59DD8246" w14:textId="77777777" w:rsidR="00331EDE" w:rsidRPr="00D25474" w:rsidRDefault="00331EDE" w:rsidP="00D25474">
      <w:pPr>
        <w:pStyle w:val="Style2"/>
      </w:pPr>
      <w:bookmarkStart w:id="26" w:name="_Toc213619028"/>
      <w:r w:rsidRPr="00D25474">
        <w:t>4.2 Cash Flow Structure of Proposed Projects</w:t>
      </w:r>
      <w:bookmarkEnd w:id="26"/>
    </w:p>
    <w:tbl>
      <w:tblPr>
        <w:tblStyle w:val="TableGrid"/>
        <w:tblW w:w="0" w:type="auto"/>
        <w:tblLook w:val="04A0" w:firstRow="1" w:lastRow="0" w:firstColumn="1" w:lastColumn="0" w:noHBand="0" w:noVBand="1"/>
      </w:tblPr>
      <w:tblGrid>
        <w:gridCol w:w="1030"/>
        <w:gridCol w:w="2152"/>
        <w:gridCol w:w="829"/>
        <w:gridCol w:w="830"/>
        <w:gridCol w:w="830"/>
        <w:gridCol w:w="830"/>
        <w:gridCol w:w="830"/>
        <w:gridCol w:w="2019"/>
      </w:tblGrid>
      <w:tr w:rsidR="00331EDE" w:rsidRPr="00D25474" w14:paraId="27D99198" w14:textId="77777777" w:rsidTr="00D25474">
        <w:tc>
          <w:tcPr>
            <w:tcW w:w="0" w:type="auto"/>
            <w:hideMark/>
          </w:tcPr>
          <w:p w14:paraId="21DBA2E1"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w:t>
            </w:r>
          </w:p>
        </w:tc>
        <w:tc>
          <w:tcPr>
            <w:tcW w:w="0" w:type="auto"/>
            <w:hideMark/>
          </w:tcPr>
          <w:p w14:paraId="0204575A"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Initial Investment (£m)</w:t>
            </w:r>
          </w:p>
        </w:tc>
        <w:tc>
          <w:tcPr>
            <w:tcW w:w="0" w:type="auto"/>
            <w:hideMark/>
          </w:tcPr>
          <w:p w14:paraId="7B97C15A"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Year 1</w:t>
            </w:r>
          </w:p>
        </w:tc>
        <w:tc>
          <w:tcPr>
            <w:tcW w:w="0" w:type="auto"/>
            <w:hideMark/>
          </w:tcPr>
          <w:p w14:paraId="07E1999B"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Year 2</w:t>
            </w:r>
          </w:p>
        </w:tc>
        <w:tc>
          <w:tcPr>
            <w:tcW w:w="0" w:type="auto"/>
            <w:hideMark/>
          </w:tcPr>
          <w:p w14:paraId="74CE75BE"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Year 3</w:t>
            </w:r>
          </w:p>
        </w:tc>
        <w:tc>
          <w:tcPr>
            <w:tcW w:w="0" w:type="auto"/>
            <w:hideMark/>
          </w:tcPr>
          <w:p w14:paraId="2F880132"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Year 4</w:t>
            </w:r>
          </w:p>
        </w:tc>
        <w:tc>
          <w:tcPr>
            <w:tcW w:w="0" w:type="auto"/>
            <w:hideMark/>
          </w:tcPr>
          <w:p w14:paraId="0FA2A8B8"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Year 5</w:t>
            </w:r>
          </w:p>
        </w:tc>
        <w:tc>
          <w:tcPr>
            <w:tcW w:w="0" w:type="auto"/>
            <w:hideMark/>
          </w:tcPr>
          <w:p w14:paraId="6E2F4E3E"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Total Cash Inflows (£m)</w:t>
            </w:r>
          </w:p>
        </w:tc>
      </w:tr>
      <w:tr w:rsidR="00331EDE" w:rsidRPr="00D25474" w14:paraId="053BCD44" w14:textId="77777777" w:rsidTr="00D25474">
        <w:tc>
          <w:tcPr>
            <w:tcW w:w="0" w:type="auto"/>
            <w:hideMark/>
          </w:tcPr>
          <w:p w14:paraId="60B32B70"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A</w:t>
            </w:r>
          </w:p>
        </w:tc>
        <w:tc>
          <w:tcPr>
            <w:tcW w:w="0" w:type="auto"/>
            <w:hideMark/>
          </w:tcPr>
          <w:p w14:paraId="549662DE"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40</w:t>
            </w:r>
          </w:p>
        </w:tc>
        <w:tc>
          <w:tcPr>
            <w:tcW w:w="0" w:type="auto"/>
            <w:hideMark/>
          </w:tcPr>
          <w:p w14:paraId="285BD02B"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w:t>
            </w:r>
          </w:p>
        </w:tc>
        <w:tc>
          <w:tcPr>
            <w:tcW w:w="0" w:type="auto"/>
            <w:hideMark/>
          </w:tcPr>
          <w:p w14:paraId="654DBC3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12</w:t>
            </w:r>
          </w:p>
        </w:tc>
        <w:tc>
          <w:tcPr>
            <w:tcW w:w="0" w:type="auto"/>
            <w:hideMark/>
          </w:tcPr>
          <w:p w14:paraId="723A657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14</w:t>
            </w:r>
          </w:p>
        </w:tc>
        <w:tc>
          <w:tcPr>
            <w:tcW w:w="0" w:type="auto"/>
            <w:hideMark/>
          </w:tcPr>
          <w:p w14:paraId="45537E1E"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w:t>
            </w:r>
          </w:p>
        </w:tc>
        <w:tc>
          <w:tcPr>
            <w:tcW w:w="0" w:type="auto"/>
            <w:hideMark/>
          </w:tcPr>
          <w:p w14:paraId="2F1A105A"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8</w:t>
            </w:r>
          </w:p>
        </w:tc>
        <w:tc>
          <w:tcPr>
            <w:tcW w:w="0" w:type="auto"/>
            <w:hideMark/>
          </w:tcPr>
          <w:p w14:paraId="15F2232A"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54</w:t>
            </w:r>
          </w:p>
        </w:tc>
      </w:tr>
      <w:tr w:rsidR="00331EDE" w:rsidRPr="00D25474" w14:paraId="23DA7EC1" w14:textId="77777777" w:rsidTr="00D25474">
        <w:tc>
          <w:tcPr>
            <w:tcW w:w="0" w:type="auto"/>
            <w:hideMark/>
          </w:tcPr>
          <w:p w14:paraId="623E565C"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B</w:t>
            </w:r>
          </w:p>
        </w:tc>
        <w:tc>
          <w:tcPr>
            <w:tcW w:w="0" w:type="auto"/>
            <w:hideMark/>
          </w:tcPr>
          <w:p w14:paraId="0C83EB28"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30</w:t>
            </w:r>
          </w:p>
        </w:tc>
        <w:tc>
          <w:tcPr>
            <w:tcW w:w="0" w:type="auto"/>
            <w:hideMark/>
          </w:tcPr>
          <w:p w14:paraId="3BE107F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w:t>
            </w:r>
          </w:p>
        </w:tc>
        <w:tc>
          <w:tcPr>
            <w:tcW w:w="0" w:type="auto"/>
            <w:hideMark/>
          </w:tcPr>
          <w:p w14:paraId="42FA7B0C"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w:t>
            </w:r>
          </w:p>
        </w:tc>
        <w:tc>
          <w:tcPr>
            <w:tcW w:w="0" w:type="auto"/>
            <w:hideMark/>
          </w:tcPr>
          <w:p w14:paraId="1E4F54AD"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w:t>
            </w:r>
          </w:p>
        </w:tc>
        <w:tc>
          <w:tcPr>
            <w:tcW w:w="0" w:type="auto"/>
            <w:hideMark/>
          </w:tcPr>
          <w:p w14:paraId="6470381A"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w:t>
            </w:r>
          </w:p>
        </w:tc>
        <w:tc>
          <w:tcPr>
            <w:tcW w:w="0" w:type="auto"/>
            <w:hideMark/>
          </w:tcPr>
          <w:p w14:paraId="402533AF"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w:t>
            </w:r>
          </w:p>
        </w:tc>
        <w:tc>
          <w:tcPr>
            <w:tcW w:w="0" w:type="auto"/>
            <w:hideMark/>
          </w:tcPr>
          <w:p w14:paraId="6E3C8C2D"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30</w:t>
            </w:r>
          </w:p>
        </w:tc>
      </w:tr>
      <w:tr w:rsidR="00331EDE" w:rsidRPr="00D25474" w14:paraId="76E52F25" w14:textId="77777777" w:rsidTr="00D25474">
        <w:tc>
          <w:tcPr>
            <w:tcW w:w="0" w:type="auto"/>
            <w:hideMark/>
          </w:tcPr>
          <w:p w14:paraId="103D74E1"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C</w:t>
            </w:r>
          </w:p>
        </w:tc>
        <w:tc>
          <w:tcPr>
            <w:tcW w:w="0" w:type="auto"/>
            <w:hideMark/>
          </w:tcPr>
          <w:p w14:paraId="20B9892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50</w:t>
            </w:r>
          </w:p>
        </w:tc>
        <w:tc>
          <w:tcPr>
            <w:tcW w:w="0" w:type="auto"/>
            <w:hideMark/>
          </w:tcPr>
          <w:p w14:paraId="08CF2D2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w:t>
            </w:r>
          </w:p>
        </w:tc>
        <w:tc>
          <w:tcPr>
            <w:tcW w:w="0" w:type="auto"/>
            <w:hideMark/>
          </w:tcPr>
          <w:p w14:paraId="0F0318EB"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w:t>
            </w:r>
          </w:p>
        </w:tc>
        <w:tc>
          <w:tcPr>
            <w:tcW w:w="0" w:type="auto"/>
            <w:hideMark/>
          </w:tcPr>
          <w:p w14:paraId="04DF9F4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20</w:t>
            </w:r>
          </w:p>
        </w:tc>
        <w:tc>
          <w:tcPr>
            <w:tcW w:w="0" w:type="auto"/>
            <w:hideMark/>
          </w:tcPr>
          <w:p w14:paraId="11ED36B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25</w:t>
            </w:r>
          </w:p>
        </w:tc>
        <w:tc>
          <w:tcPr>
            <w:tcW w:w="0" w:type="auto"/>
            <w:hideMark/>
          </w:tcPr>
          <w:p w14:paraId="5458C380"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15</w:t>
            </w:r>
          </w:p>
        </w:tc>
        <w:tc>
          <w:tcPr>
            <w:tcW w:w="0" w:type="auto"/>
            <w:hideMark/>
          </w:tcPr>
          <w:p w14:paraId="6C50E81A"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75</w:t>
            </w:r>
          </w:p>
        </w:tc>
      </w:tr>
    </w:tbl>
    <w:p w14:paraId="1A48D6DE" w14:textId="77777777" w:rsidR="00D25474" w:rsidRPr="00D25474" w:rsidRDefault="00D25474" w:rsidP="00331EDE">
      <w:pPr>
        <w:spacing w:line="360" w:lineRule="auto"/>
        <w:rPr>
          <w:rFonts w:ascii="Arial" w:hAnsi="Arial" w:cs="Arial"/>
          <w:lang w:val="en-CA"/>
        </w:rPr>
      </w:pPr>
    </w:p>
    <w:p w14:paraId="4CD617F8" w14:textId="7435C7FC" w:rsidR="00331EDE" w:rsidRPr="00D25474" w:rsidRDefault="009733DF" w:rsidP="009733DF">
      <w:pPr>
        <w:spacing w:line="360" w:lineRule="auto"/>
        <w:jc w:val="both"/>
        <w:rPr>
          <w:rFonts w:ascii="Arial" w:hAnsi="Arial" w:cs="Arial"/>
          <w:lang w:val="en-CA"/>
        </w:rPr>
      </w:pPr>
      <w:r w:rsidRPr="009733DF">
        <w:rPr>
          <w:rFonts w:ascii="Arial" w:hAnsi="Arial" w:cs="Arial"/>
          <w:lang w:val="en-CA"/>
        </w:rPr>
        <w:t>The courses vary radically in size and timeline of returns. Project A has mid-range and non-skewed cash flows; Project B is smaller, consistent and risk-free, whereas Project C is large, and with a heavy back-load, Project C is more likely to have high volatility and high total returns</w:t>
      </w:r>
      <w:r w:rsidR="00B65AA9">
        <w:rPr>
          <w:rFonts w:ascii="Arial" w:hAnsi="Arial" w:cs="Arial"/>
          <w:lang w:val="en-CA"/>
        </w:rPr>
        <w:t xml:space="preserve"> </w:t>
      </w:r>
      <w:r w:rsidR="00B65AA9" w:rsidRPr="00B65AA9">
        <w:rPr>
          <w:rFonts w:ascii="Arial" w:hAnsi="Arial" w:cs="Arial"/>
          <w:lang w:val="en-CA"/>
        </w:rPr>
        <w:t>(Hedegaard, 2016)</w:t>
      </w:r>
      <w:r w:rsidRPr="009733DF">
        <w:rPr>
          <w:rFonts w:ascii="Arial" w:hAnsi="Arial" w:cs="Arial"/>
          <w:lang w:val="en-CA"/>
        </w:rPr>
        <w:t>.</w:t>
      </w:r>
    </w:p>
    <w:p w14:paraId="6AE62CE0" w14:textId="77777777" w:rsidR="00D25474" w:rsidRPr="00D25474" w:rsidRDefault="00D25474" w:rsidP="00331EDE">
      <w:pPr>
        <w:spacing w:line="360" w:lineRule="auto"/>
        <w:rPr>
          <w:rFonts w:ascii="Arial" w:hAnsi="Arial" w:cs="Arial"/>
          <w:lang w:val="en-CA"/>
        </w:rPr>
      </w:pPr>
    </w:p>
    <w:p w14:paraId="4C625DA9" w14:textId="77777777" w:rsidR="00331EDE" w:rsidRPr="00D25474" w:rsidRDefault="00331EDE" w:rsidP="00D25474">
      <w:pPr>
        <w:pStyle w:val="Style2"/>
      </w:pPr>
      <w:bookmarkStart w:id="27" w:name="_Toc213619029"/>
      <w:r w:rsidRPr="00D25474">
        <w:lastRenderedPageBreak/>
        <w:t>4.3 Payback Period (PBP)</w:t>
      </w:r>
      <w:bookmarkEnd w:id="27"/>
    </w:p>
    <w:p w14:paraId="74AFEAB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The payback period measures the time required for cumulative cash inflows to equal the initial investment.</w:t>
      </w:r>
    </w:p>
    <w:p w14:paraId="1BCB8163"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A</w:t>
      </w:r>
      <w:r w:rsidRPr="00D25474">
        <w:rPr>
          <w:rFonts w:ascii="Arial" w:hAnsi="Arial" w:cs="Arial"/>
          <w:lang w:val="en-CA"/>
        </w:rPr>
        <w:br/>
        <w:t>Cumulative inflows:</w:t>
      </w:r>
    </w:p>
    <w:p w14:paraId="692F7AD2" w14:textId="77777777" w:rsidR="00331EDE" w:rsidRPr="00D25474" w:rsidRDefault="00331EDE" w:rsidP="00331EDE">
      <w:pPr>
        <w:numPr>
          <w:ilvl w:val="0"/>
          <w:numId w:val="7"/>
        </w:numPr>
        <w:spacing w:line="360" w:lineRule="auto"/>
        <w:rPr>
          <w:rFonts w:ascii="Arial" w:hAnsi="Arial" w:cs="Arial"/>
          <w:lang w:val="en-CA"/>
        </w:rPr>
      </w:pPr>
      <w:r w:rsidRPr="00D25474">
        <w:rPr>
          <w:rFonts w:ascii="Arial" w:hAnsi="Arial" w:cs="Arial"/>
          <w:lang w:val="en-CA"/>
        </w:rPr>
        <w:t>Year 1: 10</w:t>
      </w:r>
    </w:p>
    <w:p w14:paraId="5D87AB8B" w14:textId="77777777" w:rsidR="00331EDE" w:rsidRPr="00D25474" w:rsidRDefault="00331EDE" w:rsidP="00331EDE">
      <w:pPr>
        <w:numPr>
          <w:ilvl w:val="0"/>
          <w:numId w:val="7"/>
        </w:numPr>
        <w:spacing w:line="360" w:lineRule="auto"/>
        <w:rPr>
          <w:rFonts w:ascii="Arial" w:hAnsi="Arial" w:cs="Arial"/>
          <w:lang w:val="en-CA"/>
        </w:rPr>
      </w:pPr>
      <w:r w:rsidRPr="00D25474">
        <w:rPr>
          <w:rFonts w:ascii="Arial" w:hAnsi="Arial" w:cs="Arial"/>
          <w:lang w:val="en-CA"/>
        </w:rPr>
        <w:t>Year 2: 22</w:t>
      </w:r>
    </w:p>
    <w:p w14:paraId="38CCEADC" w14:textId="77777777" w:rsidR="00331EDE" w:rsidRPr="00D25474" w:rsidRDefault="00331EDE" w:rsidP="00331EDE">
      <w:pPr>
        <w:numPr>
          <w:ilvl w:val="0"/>
          <w:numId w:val="7"/>
        </w:numPr>
        <w:spacing w:line="360" w:lineRule="auto"/>
        <w:rPr>
          <w:rFonts w:ascii="Arial" w:hAnsi="Arial" w:cs="Arial"/>
          <w:lang w:val="en-CA"/>
        </w:rPr>
      </w:pPr>
      <w:r w:rsidRPr="00D25474">
        <w:rPr>
          <w:rFonts w:ascii="Arial" w:hAnsi="Arial" w:cs="Arial"/>
          <w:lang w:val="en-CA"/>
        </w:rPr>
        <w:t>Year 3: 36</w:t>
      </w:r>
    </w:p>
    <w:p w14:paraId="285ABAF6" w14:textId="77777777" w:rsidR="00331EDE" w:rsidRPr="00D25474" w:rsidRDefault="00331EDE" w:rsidP="00331EDE">
      <w:pPr>
        <w:numPr>
          <w:ilvl w:val="0"/>
          <w:numId w:val="7"/>
        </w:numPr>
        <w:spacing w:line="360" w:lineRule="auto"/>
        <w:rPr>
          <w:rFonts w:ascii="Arial" w:hAnsi="Arial" w:cs="Arial"/>
          <w:lang w:val="en-CA"/>
        </w:rPr>
      </w:pPr>
      <w:r w:rsidRPr="00D25474">
        <w:rPr>
          <w:rFonts w:ascii="Arial" w:hAnsi="Arial" w:cs="Arial"/>
          <w:lang w:val="en-CA"/>
        </w:rPr>
        <w:t>Year 4: 46</w:t>
      </w:r>
      <w:r w:rsidRPr="00D25474">
        <w:rPr>
          <w:rFonts w:ascii="Arial" w:hAnsi="Arial" w:cs="Arial"/>
          <w:lang w:val="en-CA"/>
        </w:rPr>
        <w:br/>
        <w:t>Investment = £40m → Payback between Year 3 and Year 4.</w:t>
      </w:r>
      <w:r w:rsidRPr="00D25474">
        <w:rPr>
          <w:rFonts w:ascii="Arial" w:hAnsi="Arial" w:cs="Arial"/>
          <w:lang w:val="en-CA"/>
        </w:rPr>
        <w:br/>
        <w:t>Additional = (40 – 36) ÷ 10 = 0.4 years.</w:t>
      </w:r>
      <w:r w:rsidRPr="00D25474">
        <w:rPr>
          <w:rFonts w:ascii="Arial" w:hAnsi="Arial" w:cs="Arial"/>
          <w:lang w:val="en-CA"/>
        </w:rPr>
        <w:br/>
      </w:r>
      <w:r w:rsidRPr="00D25474">
        <w:rPr>
          <w:rFonts w:ascii="Arial" w:hAnsi="Arial" w:cs="Arial"/>
          <w:b/>
          <w:bCs/>
          <w:lang w:val="en-CA"/>
        </w:rPr>
        <w:t>PBP(A) = 3.4 years</w:t>
      </w:r>
    </w:p>
    <w:p w14:paraId="3BC33C52"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B</w:t>
      </w:r>
      <w:r w:rsidRPr="00D25474">
        <w:rPr>
          <w:rFonts w:ascii="Arial" w:hAnsi="Arial" w:cs="Arial"/>
          <w:lang w:val="en-CA"/>
        </w:rPr>
        <w:br/>
        <w:t xml:space="preserve">Cumulative inflows: 6, 12, 18, 24, 30 → Recovers in </w:t>
      </w:r>
      <w:r w:rsidRPr="00D25474">
        <w:rPr>
          <w:rFonts w:ascii="Arial" w:hAnsi="Arial" w:cs="Arial"/>
          <w:b/>
          <w:bCs/>
          <w:lang w:val="en-CA"/>
        </w:rPr>
        <w:t>Year 5 exactly</w:t>
      </w:r>
      <w:r w:rsidRPr="00D25474">
        <w:rPr>
          <w:rFonts w:ascii="Arial" w:hAnsi="Arial" w:cs="Arial"/>
          <w:lang w:val="en-CA"/>
        </w:rPr>
        <w:t>.</w:t>
      </w:r>
      <w:r w:rsidRPr="00D25474">
        <w:rPr>
          <w:rFonts w:ascii="Arial" w:hAnsi="Arial" w:cs="Arial"/>
          <w:lang w:val="en-CA"/>
        </w:rPr>
        <w:br/>
      </w:r>
      <w:r w:rsidRPr="00D25474">
        <w:rPr>
          <w:rFonts w:ascii="Arial" w:hAnsi="Arial" w:cs="Arial"/>
          <w:b/>
          <w:bCs/>
          <w:lang w:val="en-CA"/>
        </w:rPr>
        <w:t>PBP(B) = 5 years</w:t>
      </w:r>
    </w:p>
    <w:p w14:paraId="4BEDDE2B"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C</w:t>
      </w:r>
      <w:r w:rsidRPr="00D25474">
        <w:rPr>
          <w:rFonts w:ascii="Arial" w:hAnsi="Arial" w:cs="Arial"/>
          <w:lang w:val="en-CA"/>
        </w:rPr>
        <w:br/>
        <w:t>Cumulative inflows: 5, 15, 35, 60 → Recovered in Year 4.</w:t>
      </w:r>
      <w:r w:rsidRPr="00D25474">
        <w:rPr>
          <w:rFonts w:ascii="Arial" w:hAnsi="Arial" w:cs="Arial"/>
          <w:lang w:val="en-CA"/>
        </w:rPr>
        <w:br/>
        <w:t>Additional = (50 – 35) ÷ 25 = 0.6 years.</w:t>
      </w:r>
      <w:r w:rsidRPr="00D25474">
        <w:rPr>
          <w:rFonts w:ascii="Arial" w:hAnsi="Arial" w:cs="Arial"/>
          <w:lang w:val="en-CA"/>
        </w:rPr>
        <w:br/>
      </w:r>
      <w:r w:rsidRPr="00D25474">
        <w:rPr>
          <w:rFonts w:ascii="Arial" w:hAnsi="Arial" w:cs="Arial"/>
          <w:b/>
          <w:bCs/>
          <w:lang w:val="en-CA"/>
        </w:rPr>
        <w:t>PBP(C) = 3.6 years</w:t>
      </w:r>
    </w:p>
    <w:p w14:paraId="15134A5D" w14:textId="688F0392" w:rsidR="00D25474" w:rsidRPr="00D25474" w:rsidRDefault="00331EDE" w:rsidP="00331EDE">
      <w:pPr>
        <w:spacing w:line="360" w:lineRule="auto"/>
        <w:rPr>
          <w:rFonts w:ascii="Arial" w:hAnsi="Arial" w:cs="Arial"/>
          <w:b/>
          <w:bCs/>
          <w:lang w:val="en-CA"/>
        </w:rPr>
      </w:pPr>
      <w:r w:rsidRPr="00D25474">
        <w:rPr>
          <w:rFonts w:ascii="Arial" w:hAnsi="Arial" w:cs="Arial"/>
          <w:b/>
          <w:bCs/>
          <w:lang w:val="en-CA"/>
        </w:rPr>
        <w:t>Interpretation</w:t>
      </w:r>
    </w:p>
    <w:p w14:paraId="3149E614" w14:textId="6112AF94" w:rsidR="009733DF" w:rsidRPr="00D25474" w:rsidRDefault="009733DF" w:rsidP="00D25474">
      <w:pPr>
        <w:spacing w:line="360" w:lineRule="auto"/>
        <w:jc w:val="both"/>
        <w:rPr>
          <w:rFonts w:ascii="Arial" w:hAnsi="Arial" w:cs="Arial"/>
          <w:lang w:val="en-CA"/>
        </w:rPr>
      </w:pPr>
      <w:r w:rsidRPr="009733DF">
        <w:rPr>
          <w:rFonts w:ascii="Arial" w:hAnsi="Arial" w:cs="Arial"/>
          <w:lang w:val="en-CA"/>
        </w:rPr>
        <w:t>Project A has the quickest recovery of compared to Project C and the long payback period of Project B makes this least appealing in the face of liquidity restriction. Since the firm has poor cash situation (cash ratio 0.17), investment recovery is also a crucial factor in the initial stage and the reason is that investments with shorter paybacks should be favoured</w:t>
      </w:r>
      <w:r w:rsidR="00B65AA9">
        <w:rPr>
          <w:rFonts w:ascii="Arial" w:hAnsi="Arial" w:cs="Arial"/>
          <w:lang w:val="en-CA"/>
        </w:rPr>
        <w:t xml:space="preserve"> </w:t>
      </w:r>
      <w:r w:rsidR="00B65AA9" w:rsidRPr="00B65AA9">
        <w:rPr>
          <w:rFonts w:ascii="Arial" w:hAnsi="Arial" w:cs="Arial"/>
          <w:lang w:val="en-CA"/>
        </w:rPr>
        <w:t>(Bulama, Danladi and Musa, 2023)</w:t>
      </w:r>
      <w:r w:rsidRPr="009733DF">
        <w:rPr>
          <w:rFonts w:ascii="Arial" w:hAnsi="Arial" w:cs="Arial"/>
          <w:lang w:val="en-CA"/>
        </w:rPr>
        <w:t>.</w:t>
      </w:r>
    </w:p>
    <w:p w14:paraId="4246B280" w14:textId="77777777" w:rsidR="00331EDE" w:rsidRPr="00D25474" w:rsidRDefault="00331EDE" w:rsidP="00D25474">
      <w:pPr>
        <w:pStyle w:val="Style2"/>
      </w:pPr>
      <w:bookmarkStart w:id="28" w:name="_Toc213619030"/>
      <w:r w:rsidRPr="00D25474">
        <w:t>4.4 Accounting Rate of Return (ARR)</w:t>
      </w:r>
      <w:bookmarkEnd w:id="28"/>
    </w:p>
    <w:p w14:paraId="2D3AB32A"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ARR = (Average Annual Profit / Initial Investment) × 100</w:t>
      </w:r>
      <w:r w:rsidRPr="00D25474">
        <w:rPr>
          <w:rFonts w:ascii="Arial" w:hAnsi="Arial" w:cs="Arial"/>
          <w:lang w:val="en-CA"/>
        </w:rPr>
        <w:br/>
        <w:t>Profit = (Average Annual Cash Flow – Annual Depreciation)</w:t>
      </w:r>
    </w:p>
    <w:tbl>
      <w:tblPr>
        <w:tblStyle w:val="TableGrid"/>
        <w:tblW w:w="0" w:type="auto"/>
        <w:tblLook w:val="04A0" w:firstRow="1" w:lastRow="0" w:firstColumn="1" w:lastColumn="0" w:noHBand="0" w:noVBand="1"/>
      </w:tblPr>
      <w:tblGrid>
        <w:gridCol w:w="1030"/>
        <w:gridCol w:w="1664"/>
        <w:gridCol w:w="1771"/>
        <w:gridCol w:w="1670"/>
        <w:gridCol w:w="1492"/>
        <w:gridCol w:w="1723"/>
      </w:tblGrid>
      <w:tr w:rsidR="00331EDE" w:rsidRPr="00D25474" w14:paraId="00F615B3" w14:textId="77777777" w:rsidTr="00D25474">
        <w:tc>
          <w:tcPr>
            <w:tcW w:w="0" w:type="auto"/>
            <w:hideMark/>
          </w:tcPr>
          <w:p w14:paraId="3FF823DB"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w:t>
            </w:r>
          </w:p>
        </w:tc>
        <w:tc>
          <w:tcPr>
            <w:tcW w:w="0" w:type="auto"/>
            <w:hideMark/>
          </w:tcPr>
          <w:p w14:paraId="2D845AFB"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Total Cash Inflows</w:t>
            </w:r>
          </w:p>
        </w:tc>
        <w:tc>
          <w:tcPr>
            <w:tcW w:w="0" w:type="auto"/>
            <w:hideMark/>
          </w:tcPr>
          <w:p w14:paraId="49A32188"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Average Cash Flow</w:t>
            </w:r>
          </w:p>
        </w:tc>
        <w:tc>
          <w:tcPr>
            <w:tcW w:w="0" w:type="auto"/>
            <w:hideMark/>
          </w:tcPr>
          <w:p w14:paraId="124A29CA"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Depreciation</w:t>
            </w:r>
          </w:p>
        </w:tc>
        <w:tc>
          <w:tcPr>
            <w:tcW w:w="0" w:type="auto"/>
            <w:hideMark/>
          </w:tcPr>
          <w:p w14:paraId="4231D385"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Average Profit</w:t>
            </w:r>
          </w:p>
        </w:tc>
        <w:tc>
          <w:tcPr>
            <w:tcW w:w="0" w:type="auto"/>
            <w:hideMark/>
          </w:tcPr>
          <w:p w14:paraId="0C8C6472"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ARR</w:t>
            </w:r>
          </w:p>
        </w:tc>
      </w:tr>
      <w:tr w:rsidR="00331EDE" w:rsidRPr="00D25474" w14:paraId="37D8C5E4" w14:textId="77777777" w:rsidTr="00D25474">
        <w:tc>
          <w:tcPr>
            <w:tcW w:w="0" w:type="auto"/>
            <w:hideMark/>
          </w:tcPr>
          <w:p w14:paraId="7BAB34E9"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lastRenderedPageBreak/>
              <w:t>A</w:t>
            </w:r>
          </w:p>
        </w:tc>
        <w:tc>
          <w:tcPr>
            <w:tcW w:w="0" w:type="auto"/>
            <w:hideMark/>
          </w:tcPr>
          <w:p w14:paraId="7219DA6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54</w:t>
            </w:r>
          </w:p>
        </w:tc>
        <w:tc>
          <w:tcPr>
            <w:tcW w:w="0" w:type="auto"/>
            <w:hideMark/>
          </w:tcPr>
          <w:p w14:paraId="64DBE433"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10.8</w:t>
            </w:r>
          </w:p>
        </w:tc>
        <w:tc>
          <w:tcPr>
            <w:tcW w:w="0" w:type="auto"/>
            <w:hideMark/>
          </w:tcPr>
          <w:p w14:paraId="62CE697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40/5 = 8</w:t>
            </w:r>
          </w:p>
        </w:tc>
        <w:tc>
          <w:tcPr>
            <w:tcW w:w="0" w:type="auto"/>
            <w:hideMark/>
          </w:tcPr>
          <w:p w14:paraId="23B009FD"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10.8 – 8 = 2.8</w:t>
            </w:r>
          </w:p>
        </w:tc>
        <w:tc>
          <w:tcPr>
            <w:tcW w:w="0" w:type="auto"/>
            <w:hideMark/>
          </w:tcPr>
          <w:p w14:paraId="337C050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 xml:space="preserve">(2.8 ÷ 40) × 100 = </w:t>
            </w:r>
            <w:r w:rsidRPr="00D25474">
              <w:rPr>
                <w:rFonts w:ascii="Arial" w:hAnsi="Arial" w:cs="Arial"/>
                <w:b/>
                <w:bCs/>
                <w:lang w:val="en-CA"/>
              </w:rPr>
              <w:t>7.0%</w:t>
            </w:r>
          </w:p>
        </w:tc>
      </w:tr>
      <w:tr w:rsidR="00331EDE" w:rsidRPr="00D25474" w14:paraId="7F09636E" w14:textId="77777777" w:rsidTr="00D25474">
        <w:tc>
          <w:tcPr>
            <w:tcW w:w="0" w:type="auto"/>
            <w:hideMark/>
          </w:tcPr>
          <w:p w14:paraId="122C7D18"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B</w:t>
            </w:r>
          </w:p>
        </w:tc>
        <w:tc>
          <w:tcPr>
            <w:tcW w:w="0" w:type="auto"/>
            <w:hideMark/>
          </w:tcPr>
          <w:p w14:paraId="4FC7BD3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30</w:t>
            </w:r>
          </w:p>
        </w:tc>
        <w:tc>
          <w:tcPr>
            <w:tcW w:w="0" w:type="auto"/>
            <w:hideMark/>
          </w:tcPr>
          <w:p w14:paraId="3CB2A300"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w:t>
            </w:r>
          </w:p>
        </w:tc>
        <w:tc>
          <w:tcPr>
            <w:tcW w:w="0" w:type="auto"/>
            <w:hideMark/>
          </w:tcPr>
          <w:p w14:paraId="2C23FD6F"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30/5 = 6</w:t>
            </w:r>
          </w:p>
        </w:tc>
        <w:tc>
          <w:tcPr>
            <w:tcW w:w="0" w:type="auto"/>
            <w:hideMark/>
          </w:tcPr>
          <w:p w14:paraId="7BBE5B45"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6 – 6 = 0</w:t>
            </w:r>
          </w:p>
        </w:tc>
        <w:tc>
          <w:tcPr>
            <w:tcW w:w="0" w:type="auto"/>
            <w:hideMark/>
          </w:tcPr>
          <w:p w14:paraId="50C05F00"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 xml:space="preserve">(0 ÷ 30) × 100 = </w:t>
            </w:r>
            <w:r w:rsidRPr="00D25474">
              <w:rPr>
                <w:rFonts w:ascii="Arial" w:hAnsi="Arial" w:cs="Arial"/>
                <w:b/>
                <w:bCs/>
                <w:lang w:val="en-CA"/>
              </w:rPr>
              <w:t>0%</w:t>
            </w:r>
          </w:p>
        </w:tc>
      </w:tr>
      <w:tr w:rsidR="00331EDE" w:rsidRPr="00D25474" w14:paraId="620B1B29" w14:textId="77777777" w:rsidTr="00D25474">
        <w:tc>
          <w:tcPr>
            <w:tcW w:w="0" w:type="auto"/>
            <w:hideMark/>
          </w:tcPr>
          <w:p w14:paraId="26386A66"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C</w:t>
            </w:r>
          </w:p>
        </w:tc>
        <w:tc>
          <w:tcPr>
            <w:tcW w:w="0" w:type="auto"/>
            <w:hideMark/>
          </w:tcPr>
          <w:p w14:paraId="5D56933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75</w:t>
            </w:r>
          </w:p>
        </w:tc>
        <w:tc>
          <w:tcPr>
            <w:tcW w:w="0" w:type="auto"/>
            <w:hideMark/>
          </w:tcPr>
          <w:p w14:paraId="5D5A556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15</w:t>
            </w:r>
          </w:p>
        </w:tc>
        <w:tc>
          <w:tcPr>
            <w:tcW w:w="0" w:type="auto"/>
            <w:hideMark/>
          </w:tcPr>
          <w:p w14:paraId="6D8A777A"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50/5 = 10</w:t>
            </w:r>
          </w:p>
        </w:tc>
        <w:tc>
          <w:tcPr>
            <w:tcW w:w="0" w:type="auto"/>
            <w:hideMark/>
          </w:tcPr>
          <w:p w14:paraId="74166C38"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15 – 10 = 5</w:t>
            </w:r>
          </w:p>
        </w:tc>
        <w:tc>
          <w:tcPr>
            <w:tcW w:w="0" w:type="auto"/>
            <w:hideMark/>
          </w:tcPr>
          <w:p w14:paraId="1B428593"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 xml:space="preserve">(5 ÷ 50) × 100 = </w:t>
            </w:r>
            <w:r w:rsidRPr="00D25474">
              <w:rPr>
                <w:rFonts w:ascii="Arial" w:hAnsi="Arial" w:cs="Arial"/>
                <w:b/>
                <w:bCs/>
                <w:lang w:val="en-CA"/>
              </w:rPr>
              <w:t>10%</w:t>
            </w:r>
          </w:p>
        </w:tc>
      </w:tr>
    </w:tbl>
    <w:p w14:paraId="4C119099" w14:textId="77777777" w:rsidR="00D25474" w:rsidRPr="00D25474" w:rsidRDefault="00D25474" w:rsidP="00331EDE">
      <w:pPr>
        <w:spacing w:line="360" w:lineRule="auto"/>
        <w:rPr>
          <w:rFonts w:ascii="Arial" w:hAnsi="Arial" w:cs="Arial"/>
          <w:b/>
          <w:bCs/>
          <w:lang w:val="en-CA"/>
        </w:rPr>
      </w:pPr>
    </w:p>
    <w:p w14:paraId="71200C13" w14:textId="77777777" w:rsidR="00D25474" w:rsidRPr="00D25474" w:rsidRDefault="00331EDE" w:rsidP="00331EDE">
      <w:pPr>
        <w:spacing w:line="360" w:lineRule="auto"/>
        <w:rPr>
          <w:rFonts w:ascii="Arial" w:hAnsi="Arial" w:cs="Arial"/>
          <w:b/>
          <w:bCs/>
          <w:lang w:val="en-CA"/>
        </w:rPr>
      </w:pPr>
      <w:r w:rsidRPr="00D25474">
        <w:rPr>
          <w:rFonts w:ascii="Arial" w:hAnsi="Arial" w:cs="Arial"/>
          <w:b/>
          <w:bCs/>
          <w:lang w:val="en-CA"/>
        </w:rPr>
        <w:t>Interpretation</w:t>
      </w:r>
    </w:p>
    <w:p w14:paraId="1A415F3B" w14:textId="4EB5D9F1" w:rsidR="00331EDE" w:rsidRPr="00D25474" w:rsidRDefault="00E86A70" w:rsidP="00B65AA9">
      <w:pPr>
        <w:spacing w:line="360" w:lineRule="auto"/>
        <w:jc w:val="both"/>
        <w:rPr>
          <w:rFonts w:ascii="Arial" w:hAnsi="Arial" w:cs="Arial"/>
          <w:lang w:val="en-CA"/>
        </w:rPr>
      </w:pPr>
      <w:r w:rsidRPr="00E86A70">
        <w:rPr>
          <w:rFonts w:ascii="Arial" w:hAnsi="Arial" w:cs="Arial"/>
          <w:lang w:val="en-CA"/>
        </w:rPr>
        <w:t>Project C is the highest paying project in terms of accounting, implying that it has the potential to generate larger profits relative to its value input. Project A is a mildly profitable project, but Project B just breaks even on an accounting basis</w:t>
      </w:r>
      <w:r w:rsidR="00B65AA9">
        <w:rPr>
          <w:rFonts w:ascii="Arial" w:hAnsi="Arial" w:cs="Arial"/>
          <w:lang w:val="en-CA"/>
        </w:rPr>
        <w:t xml:space="preserve"> </w:t>
      </w:r>
      <w:r w:rsidR="00B65AA9" w:rsidRPr="00B65AA9">
        <w:rPr>
          <w:rFonts w:ascii="Arial" w:hAnsi="Arial" w:cs="Arial"/>
          <w:lang w:val="en-CA"/>
        </w:rPr>
        <w:t>(Hedegaard, 2016)</w:t>
      </w:r>
      <w:r w:rsidRPr="00E86A70">
        <w:rPr>
          <w:rFonts w:ascii="Arial" w:hAnsi="Arial" w:cs="Arial"/>
          <w:lang w:val="en-CA"/>
        </w:rPr>
        <w:t>.</w:t>
      </w:r>
    </w:p>
    <w:p w14:paraId="58EF285C" w14:textId="77777777" w:rsidR="00331EDE" w:rsidRPr="00D25474" w:rsidRDefault="00331EDE" w:rsidP="00D25474">
      <w:pPr>
        <w:pStyle w:val="Style2"/>
      </w:pPr>
      <w:bookmarkStart w:id="29" w:name="_Toc213619031"/>
      <w:r w:rsidRPr="00D25474">
        <w:t>4.5 Net Present Value (NPV)</w:t>
      </w:r>
      <w:bookmarkEnd w:id="29"/>
    </w:p>
    <w:p w14:paraId="69EC27A9"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NPV = Σ (Cash Inflow ÷ (1 + r)ⁿ) − Initial Investment</w:t>
      </w:r>
      <w:r w:rsidRPr="00D25474">
        <w:rPr>
          <w:rFonts w:ascii="Arial" w:hAnsi="Arial" w:cs="Arial"/>
          <w:lang w:val="en-CA"/>
        </w:rPr>
        <w:br/>
        <w:t>(Discount rate, r = 10%)</w:t>
      </w:r>
    </w:p>
    <w:p w14:paraId="23BA8139"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Present Value Factors (10%)</w:t>
      </w:r>
      <w:r w:rsidRPr="00D25474">
        <w:rPr>
          <w:rFonts w:ascii="Arial" w:hAnsi="Arial" w:cs="Arial"/>
          <w:lang w:val="en-CA"/>
        </w:rPr>
        <w:br/>
        <w:t>Year 1: 0.909 | Year 2: 0.826 | Year 3: 0.751 | Year 4: 0.683 | Year 5: 0.621</w:t>
      </w:r>
    </w:p>
    <w:p w14:paraId="44FC20BA"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A:</w:t>
      </w:r>
      <w:r w:rsidRPr="00D25474">
        <w:rPr>
          <w:rFonts w:ascii="Arial" w:hAnsi="Arial" w:cs="Arial"/>
          <w:lang w:val="en-CA"/>
        </w:rPr>
        <w:br/>
        <w:t>NPV = (10×0.909) + (12×0.826) + (14×0.751) + (10×0.683) + (8×0.621) − 40</w:t>
      </w:r>
      <w:r w:rsidRPr="00D25474">
        <w:rPr>
          <w:rFonts w:ascii="Arial" w:hAnsi="Arial" w:cs="Arial"/>
          <w:lang w:val="en-CA"/>
        </w:rPr>
        <w:br/>
        <w:t xml:space="preserve">= (9.09 + 9.91 + 10.51 + 6.83 + 4.97) − 40 = </w:t>
      </w:r>
      <w:r w:rsidRPr="00D25474">
        <w:rPr>
          <w:rFonts w:ascii="Arial" w:hAnsi="Arial" w:cs="Arial"/>
          <w:b/>
          <w:bCs/>
          <w:lang w:val="en-CA"/>
        </w:rPr>
        <w:t>1.31 m</w:t>
      </w:r>
    </w:p>
    <w:p w14:paraId="1780622E"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B:</w:t>
      </w:r>
      <w:r w:rsidRPr="00D25474">
        <w:rPr>
          <w:rFonts w:ascii="Arial" w:hAnsi="Arial" w:cs="Arial"/>
          <w:lang w:val="en-CA"/>
        </w:rPr>
        <w:br/>
        <w:t>NPV = (6×0.909) + (6×0.826) + (6×0.751) + (6×0.683) + (6×0.621) − 30</w:t>
      </w:r>
      <w:r w:rsidRPr="00D25474">
        <w:rPr>
          <w:rFonts w:ascii="Arial" w:hAnsi="Arial" w:cs="Arial"/>
          <w:lang w:val="en-CA"/>
        </w:rPr>
        <w:br/>
        <w:t xml:space="preserve">= (5.45 + 4.96 + 4.51 + 4.10 + 3.73) − 30 = </w:t>
      </w:r>
      <w:r w:rsidRPr="00D25474">
        <w:rPr>
          <w:rFonts w:ascii="Arial" w:hAnsi="Arial" w:cs="Arial"/>
          <w:b/>
          <w:bCs/>
          <w:lang w:val="en-CA"/>
        </w:rPr>
        <w:t>−7.25 m</w:t>
      </w:r>
    </w:p>
    <w:p w14:paraId="334333B0"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C:</w:t>
      </w:r>
      <w:r w:rsidRPr="00D25474">
        <w:rPr>
          <w:rFonts w:ascii="Arial" w:hAnsi="Arial" w:cs="Arial"/>
          <w:lang w:val="en-CA"/>
        </w:rPr>
        <w:br/>
        <w:t>NPV = (5×0.909) + (10×0.826) + (20×0.751) + (25×0.683) + (15×0.621) − 50</w:t>
      </w:r>
      <w:r w:rsidRPr="00D25474">
        <w:rPr>
          <w:rFonts w:ascii="Arial" w:hAnsi="Arial" w:cs="Arial"/>
          <w:lang w:val="en-CA"/>
        </w:rPr>
        <w:br/>
        <w:t xml:space="preserve">= (4.55 + 8.26 + 15.02 + 17.08 + 9.32) − 50 = </w:t>
      </w:r>
      <w:r w:rsidRPr="00D25474">
        <w:rPr>
          <w:rFonts w:ascii="Arial" w:hAnsi="Arial" w:cs="Arial"/>
          <w:b/>
          <w:bCs/>
          <w:lang w:val="en-CA"/>
        </w:rPr>
        <w:t>4.23 m</w:t>
      </w:r>
    </w:p>
    <w:p w14:paraId="3FECB51F" w14:textId="77777777" w:rsidR="00D25474" w:rsidRPr="00D25474" w:rsidRDefault="00331EDE" w:rsidP="00331EDE">
      <w:pPr>
        <w:spacing w:line="360" w:lineRule="auto"/>
        <w:rPr>
          <w:rFonts w:ascii="Arial" w:hAnsi="Arial" w:cs="Arial"/>
          <w:b/>
          <w:bCs/>
          <w:lang w:val="en-CA"/>
        </w:rPr>
      </w:pPr>
      <w:r w:rsidRPr="00D25474">
        <w:rPr>
          <w:rFonts w:ascii="Arial" w:hAnsi="Arial" w:cs="Arial"/>
          <w:b/>
          <w:bCs/>
          <w:lang w:val="en-CA"/>
        </w:rPr>
        <w:t>Interpretation</w:t>
      </w:r>
    </w:p>
    <w:p w14:paraId="08034143" w14:textId="5FA4E2B3" w:rsidR="005164D8" w:rsidRPr="00D25474" w:rsidRDefault="005164D8" w:rsidP="00D25474">
      <w:pPr>
        <w:spacing w:line="360" w:lineRule="auto"/>
        <w:jc w:val="both"/>
        <w:rPr>
          <w:rFonts w:ascii="Arial" w:hAnsi="Arial" w:cs="Arial"/>
          <w:lang w:val="en-CA"/>
        </w:rPr>
      </w:pPr>
      <w:r w:rsidRPr="005164D8">
        <w:rPr>
          <w:rFonts w:ascii="Arial" w:hAnsi="Arial" w:cs="Arial"/>
          <w:lang w:val="en-CA"/>
        </w:rPr>
        <w:t xml:space="preserve">Projects A and C generate positive NPVs at a discount rate of 10 per cent, and therefore, the two projects generate a shareholder value. Project B has a negative NPV, which is a wealth destruction and must be filtered out. Even though Project C is the best in terms of </w:t>
      </w:r>
      <w:r w:rsidRPr="005164D8">
        <w:rPr>
          <w:rFonts w:ascii="Arial" w:hAnsi="Arial" w:cs="Arial"/>
          <w:lang w:val="en-CA"/>
        </w:rPr>
        <w:lastRenderedPageBreak/>
        <w:t>NPV (£4.23m), the scale of the Project indicates that the Project is more affected by cash flow volatility.</w:t>
      </w:r>
    </w:p>
    <w:p w14:paraId="3538FA98" w14:textId="77777777" w:rsidR="00331EDE" w:rsidRPr="00D25474" w:rsidRDefault="00331EDE" w:rsidP="00D25474">
      <w:pPr>
        <w:pStyle w:val="Style2"/>
      </w:pPr>
      <w:bookmarkStart w:id="30" w:name="_Toc213619032"/>
      <w:r w:rsidRPr="00D25474">
        <w:t>4.6 Profitability Index (PI)</w:t>
      </w:r>
      <w:bookmarkEnd w:id="30"/>
    </w:p>
    <w:p w14:paraId="65F26B43"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PI = PV of Cash Inflows ÷ Initial Investment</w:t>
      </w:r>
    </w:p>
    <w:tbl>
      <w:tblPr>
        <w:tblStyle w:val="TableGrid"/>
        <w:tblW w:w="0" w:type="auto"/>
        <w:tblLook w:val="04A0" w:firstRow="1" w:lastRow="0" w:firstColumn="1" w:lastColumn="0" w:noHBand="0" w:noVBand="1"/>
      </w:tblPr>
      <w:tblGrid>
        <w:gridCol w:w="1030"/>
        <w:gridCol w:w="2297"/>
        <w:gridCol w:w="2750"/>
        <w:gridCol w:w="684"/>
      </w:tblGrid>
      <w:tr w:rsidR="00331EDE" w:rsidRPr="00D25474" w14:paraId="64F64FB2" w14:textId="77777777" w:rsidTr="00D25474">
        <w:tc>
          <w:tcPr>
            <w:tcW w:w="0" w:type="auto"/>
            <w:hideMark/>
          </w:tcPr>
          <w:p w14:paraId="2009E593"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w:t>
            </w:r>
          </w:p>
        </w:tc>
        <w:tc>
          <w:tcPr>
            <w:tcW w:w="0" w:type="auto"/>
            <w:hideMark/>
          </w:tcPr>
          <w:p w14:paraId="36B8F206"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PV of Inflows (£m)</w:t>
            </w:r>
          </w:p>
        </w:tc>
        <w:tc>
          <w:tcPr>
            <w:tcW w:w="0" w:type="auto"/>
            <w:hideMark/>
          </w:tcPr>
          <w:p w14:paraId="70299DCE"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Initial Investment (£m)</w:t>
            </w:r>
          </w:p>
        </w:tc>
        <w:tc>
          <w:tcPr>
            <w:tcW w:w="0" w:type="auto"/>
            <w:hideMark/>
          </w:tcPr>
          <w:p w14:paraId="0797C892"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PI</w:t>
            </w:r>
          </w:p>
        </w:tc>
      </w:tr>
      <w:tr w:rsidR="00331EDE" w:rsidRPr="00D25474" w14:paraId="35BDD342" w14:textId="77777777" w:rsidTr="00D25474">
        <w:tc>
          <w:tcPr>
            <w:tcW w:w="0" w:type="auto"/>
            <w:hideMark/>
          </w:tcPr>
          <w:p w14:paraId="585C4484"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A</w:t>
            </w:r>
          </w:p>
        </w:tc>
        <w:tc>
          <w:tcPr>
            <w:tcW w:w="0" w:type="auto"/>
            <w:hideMark/>
          </w:tcPr>
          <w:p w14:paraId="66BD688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41.31</w:t>
            </w:r>
          </w:p>
        </w:tc>
        <w:tc>
          <w:tcPr>
            <w:tcW w:w="0" w:type="auto"/>
            <w:hideMark/>
          </w:tcPr>
          <w:p w14:paraId="0B5FBE1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40</w:t>
            </w:r>
          </w:p>
        </w:tc>
        <w:tc>
          <w:tcPr>
            <w:tcW w:w="0" w:type="auto"/>
            <w:hideMark/>
          </w:tcPr>
          <w:p w14:paraId="730C30EC"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1.03</w:t>
            </w:r>
          </w:p>
        </w:tc>
      </w:tr>
      <w:tr w:rsidR="00331EDE" w:rsidRPr="00D25474" w14:paraId="0C0E194A" w14:textId="77777777" w:rsidTr="00D25474">
        <w:tc>
          <w:tcPr>
            <w:tcW w:w="0" w:type="auto"/>
            <w:hideMark/>
          </w:tcPr>
          <w:p w14:paraId="4E5E58D4"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B</w:t>
            </w:r>
          </w:p>
        </w:tc>
        <w:tc>
          <w:tcPr>
            <w:tcW w:w="0" w:type="auto"/>
            <w:hideMark/>
          </w:tcPr>
          <w:p w14:paraId="14828C4B"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22.75</w:t>
            </w:r>
          </w:p>
        </w:tc>
        <w:tc>
          <w:tcPr>
            <w:tcW w:w="0" w:type="auto"/>
            <w:hideMark/>
          </w:tcPr>
          <w:p w14:paraId="6F4CD37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30</w:t>
            </w:r>
          </w:p>
        </w:tc>
        <w:tc>
          <w:tcPr>
            <w:tcW w:w="0" w:type="auto"/>
            <w:hideMark/>
          </w:tcPr>
          <w:p w14:paraId="71595B3D"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0.76</w:t>
            </w:r>
          </w:p>
        </w:tc>
      </w:tr>
      <w:tr w:rsidR="00331EDE" w:rsidRPr="00D25474" w14:paraId="160DB208" w14:textId="77777777" w:rsidTr="00D25474">
        <w:tc>
          <w:tcPr>
            <w:tcW w:w="0" w:type="auto"/>
            <w:hideMark/>
          </w:tcPr>
          <w:p w14:paraId="13ECF58A"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C</w:t>
            </w:r>
          </w:p>
        </w:tc>
        <w:tc>
          <w:tcPr>
            <w:tcW w:w="0" w:type="auto"/>
            <w:hideMark/>
          </w:tcPr>
          <w:p w14:paraId="049477D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54.23</w:t>
            </w:r>
          </w:p>
        </w:tc>
        <w:tc>
          <w:tcPr>
            <w:tcW w:w="0" w:type="auto"/>
            <w:hideMark/>
          </w:tcPr>
          <w:p w14:paraId="4EC547BE"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50</w:t>
            </w:r>
          </w:p>
        </w:tc>
        <w:tc>
          <w:tcPr>
            <w:tcW w:w="0" w:type="auto"/>
            <w:hideMark/>
          </w:tcPr>
          <w:p w14:paraId="015E346C"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1.08</w:t>
            </w:r>
          </w:p>
        </w:tc>
      </w:tr>
    </w:tbl>
    <w:p w14:paraId="36D3CACD" w14:textId="77777777" w:rsidR="00D25474" w:rsidRPr="00D25474" w:rsidRDefault="00D25474" w:rsidP="00331EDE">
      <w:pPr>
        <w:spacing w:line="360" w:lineRule="auto"/>
        <w:rPr>
          <w:rFonts w:ascii="Arial" w:hAnsi="Arial" w:cs="Arial"/>
          <w:b/>
          <w:bCs/>
          <w:lang w:val="en-CA"/>
        </w:rPr>
      </w:pPr>
    </w:p>
    <w:p w14:paraId="0211F598" w14:textId="77777777" w:rsidR="00D25474" w:rsidRPr="00D25474" w:rsidRDefault="00331EDE" w:rsidP="00331EDE">
      <w:pPr>
        <w:spacing w:line="360" w:lineRule="auto"/>
        <w:rPr>
          <w:rFonts w:ascii="Arial" w:hAnsi="Arial" w:cs="Arial"/>
          <w:b/>
          <w:bCs/>
          <w:lang w:val="en-CA"/>
        </w:rPr>
      </w:pPr>
      <w:r w:rsidRPr="00D25474">
        <w:rPr>
          <w:rFonts w:ascii="Arial" w:hAnsi="Arial" w:cs="Arial"/>
          <w:b/>
          <w:bCs/>
          <w:lang w:val="en-CA"/>
        </w:rPr>
        <w:t>Interpretation</w:t>
      </w:r>
    </w:p>
    <w:p w14:paraId="13FA0A91" w14:textId="2BC7CE96" w:rsidR="00331EDE" w:rsidRPr="00D25474" w:rsidRDefault="00C46427" w:rsidP="00BC7969">
      <w:pPr>
        <w:spacing w:line="360" w:lineRule="auto"/>
        <w:jc w:val="both"/>
        <w:rPr>
          <w:rFonts w:ascii="Arial" w:hAnsi="Arial" w:cs="Arial"/>
        </w:rPr>
      </w:pPr>
      <w:r w:rsidRPr="00C46427">
        <w:rPr>
          <w:rFonts w:ascii="Arial" w:hAnsi="Arial" w:cs="Arial"/>
          <w:lang w:val="en-CA"/>
        </w:rPr>
        <w:t>Both Projects A and C fall above PI &gt; 1, which proves financial feasibility. Project C once again performs better, where Project B PI is said to be less than 1, so it is not included in the consideration. PI has been applied under capital rationing to determine the optimal value per pound invested, and gives preference to a high ratio.</w:t>
      </w:r>
    </w:p>
    <w:p w14:paraId="5B4066D3" w14:textId="77777777" w:rsidR="00331EDE" w:rsidRPr="00D25474" w:rsidRDefault="00331EDE" w:rsidP="00D25474">
      <w:pPr>
        <w:pStyle w:val="Style2"/>
      </w:pPr>
      <w:bookmarkStart w:id="31" w:name="_Toc213619033"/>
      <w:r w:rsidRPr="00D25474">
        <w:t>4.7 Internal Rate of Return (IRR)</w:t>
      </w:r>
      <w:bookmarkEnd w:id="31"/>
    </w:p>
    <w:p w14:paraId="1D0AA70F" w14:textId="77777777" w:rsidR="00D25474" w:rsidRPr="00D25474" w:rsidRDefault="00331EDE" w:rsidP="00331EDE">
      <w:pPr>
        <w:spacing w:line="360" w:lineRule="auto"/>
        <w:rPr>
          <w:rFonts w:ascii="Arial" w:hAnsi="Arial" w:cs="Arial"/>
          <w:lang w:val="en-CA"/>
        </w:rPr>
      </w:pPr>
      <w:r w:rsidRPr="00D25474">
        <w:rPr>
          <w:rFonts w:ascii="Arial" w:hAnsi="Arial" w:cs="Arial"/>
          <w:lang w:val="en-CA"/>
        </w:rPr>
        <w:t>IRR is the discount rate that equates the present value of inflows with the initial investment (NPV = 0).</w:t>
      </w:r>
    </w:p>
    <w:p w14:paraId="22EE2A0D" w14:textId="3CB7A126"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 A:</w:t>
      </w:r>
      <w:r w:rsidRPr="00D25474">
        <w:rPr>
          <w:rFonts w:ascii="Arial" w:hAnsi="Arial" w:cs="Arial"/>
          <w:lang w:val="en-CA"/>
        </w:rPr>
        <w:br/>
        <w:t>At 10%, NPV = +1.31</w:t>
      </w:r>
      <w:r w:rsidRPr="00D25474">
        <w:rPr>
          <w:rFonts w:ascii="Arial" w:hAnsi="Arial" w:cs="Arial"/>
          <w:lang w:val="en-CA"/>
        </w:rPr>
        <w:br/>
        <w:t>At 12%, NPV = −1.13</w:t>
      </w:r>
      <w:r w:rsidRPr="00D25474">
        <w:rPr>
          <w:rFonts w:ascii="Arial" w:hAnsi="Arial" w:cs="Arial"/>
          <w:lang w:val="en-CA"/>
        </w:rPr>
        <w:br/>
        <w:t xml:space="preserve">IRR = 10 + [1.31 / (1.31 + 1.13)] × (2) = </w:t>
      </w:r>
      <w:r w:rsidRPr="00D25474">
        <w:rPr>
          <w:rFonts w:ascii="Arial" w:hAnsi="Arial" w:cs="Arial"/>
          <w:b/>
          <w:bCs/>
          <w:lang w:val="en-CA"/>
        </w:rPr>
        <w:t>10 + (1.31/2.44)×2 = 11.1%</w:t>
      </w:r>
    </w:p>
    <w:p w14:paraId="25D00C77"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B:</w:t>
      </w:r>
      <w:r w:rsidRPr="00D25474">
        <w:rPr>
          <w:rFonts w:ascii="Arial" w:hAnsi="Arial" w:cs="Arial"/>
          <w:lang w:val="en-CA"/>
        </w:rPr>
        <w:br/>
        <w:t>At 10%, NPV = −7.25</w:t>
      </w:r>
      <w:r w:rsidRPr="00D25474">
        <w:rPr>
          <w:rFonts w:ascii="Arial" w:hAnsi="Arial" w:cs="Arial"/>
          <w:lang w:val="en-CA"/>
        </w:rPr>
        <w:br/>
        <w:t xml:space="preserve">Even at 5%, NPV remains negative (approx. −1.5). Hence, </w:t>
      </w:r>
      <w:r w:rsidRPr="00D25474">
        <w:rPr>
          <w:rFonts w:ascii="Arial" w:hAnsi="Arial" w:cs="Arial"/>
          <w:b/>
          <w:bCs/>
          <w:lang w:val="en-CA"/>
        </w:rPr>
        <w:t>IRR &lt; 5%</w:t>
      </w:r>
      <w:r w:rsidRPr="00D25474">
        <w:rPr>
          <w:rFonts w:ascii="Arial" w:hAnsi="Arial" w:cs="Arial"/>
          <w:lang w:val="en-CA"/>
        </w:rPr>
        <w:t xml:space="preserve"> → unacceptable.</w:t>
      </w:r>
    </w:p>
    <w:p w14:paraId="397AFF9B"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Project C:</w:t>
      </w:r>
      <w:r w:rsidRPr="00D25474">
        <w:rPr>
          <w:rFonts w:ascii="Arial" w:hAnsi="Arial" w:cs="Arial"/>
          <w:lang w:val="en-CA"/>
        </w:rPr>
        <w:br/>
        <w:t>At 10%, NPV = +4.23</w:t>
      </w:r>
      <w:r w:rsidRPr="00D25474">
        <w:rPr>
          <w:rFonts w:ascii="Arial" w:hAnsi="Arial" w:cs="Arial"/>
          <w:lang w:val="en-CA"/>
        </w:rPr>
        <w:br/>
        <w:t>At 14%, NPV ≈ −1.7</w:t>
      </w:r>
      <w:r w:rsidRPr="00D25474">
        <w:rPr>
          <w:rFonts w:ascii="Arial" w:hAnsi="Arial" w:cs="Arial"/>
          <w:lang w:val="en-CA"/>
        </w:rPr>
        <w:br/>
        <w:t xml:space="preserve">IRR = 10 + [4.23 / (4.23 + 1.7)] × (4) = 10 + (4.23/5.93)×4 = </w:t>
      </w:r>
      <w:r w:rsidRPr="00D25474">
        <w:rPr>
          <w:rFonts w:ascii="Arial" w:hAnsi="Arial" w:cs="Arial"/>
          <w:b/>
          <w:bCs/>
          <w:lang w:val="en-CA"/>
        </w:rPr>
        <w:t>12.8%</w:t>
      </w:r>
    </w:p>
    <w:p w14:paraId="05DE508B" w14:textId="77777777" w:rsidR="00D25474" w:rsidRDefault="00D25474" w:rsidP="00331EDE">
      <w:pPr>
        <w:spacing w:line="360" w:lineRule="auto"/>
        <w:rPr>
          <w:rFonts w:ascii="Arial" w:hAnsi="Arial" w:cs="Arial"/>
          <w:b/>
          <w:bCs/>
          <w:lang w:val="en-CA"/>
        </w:rPr>
      </w:pPr>
    </w:p>
    <w:p w14:paraId="477B11CA" w14:textId="77777777" w:rsidR="00C46427" w:rsidRPr="00D25474" w:rsidRDefault="00C46427" w:rsidP="00331EDE">
      <w:pPr>
        <w:spacing w:line="360" w:lineRule="auto"/>
        <w:rPr>
          <w:rFonts w:ascii="Arial" w:hAnsi="Arial" w:cs="Arial"/>
          <w:b/>
          <w:bCs/>
          <w:lang w:val="en-CA"/>
        </w:rPr>
      </w:pPr>
    </w:p>
    <w:p w14:paraId="1BEAC50E" w14:textId="5EAF4B08" w:rsidR="00D25474" w:rsidRPr="00D25474" w:rsidRDefault="00331EDE" w:rsidP="00331EDE">
      <w:pPr>
        <w:spacing w:line="360" w:lineRule="auto"/>
        <w:rPr>
          <w:rFonts w:ascii="Arial" w:hAnsi="Arial" w:cs="Arial"/>
          <w:b/>
          <w:bCs/>
          <w:lang w:val="en-CA"/>
        </w:rPr>
      </w:pPr>
      <w:r w:rsidRPr="00D25474">
        <w:rPr>
          <w:rFonts w:ascii="Arial" w:hAnsi="Arial" w:cs="Arial"/>
          <w:b/>
          <w:bCs/>
          <w:lang w:val="en-CA"/>
        </w:rPr>
        <w:lastRenderedPageBreak/>
        <w:t>Interpretation:</w:t>
      </w:r>
    </w:p>
    <w:p w14:paraId="3EACB700" w14:textId="18967265" w:rsidR="00331EDE" w:rsidRPr="00D25474" w:rsidRDefault="00331EDE" w:rsidP="00D25474">
      <w:pPr>
        <w:spacing w:line="360" w:lineRule="auto"/>
        <w:jc w:val="both"/>
        <w:rPr>
          <w:rFonts w:ascii="Arial" w:hAnsi="Arial" w:cs="Arial"/>
          <w:lang w:val="en-CA"/>
        </w:rPr>
      </w:pPr>
      <w:r w:rsidRPr="00D25474">
        <w:rPr>
          <w:rFonts w:ascii="Arial" w:hAnsi="Arial" w:cs="Arial"/>
          <w:lang w:val="en-CA"/>
        </w:rPr>
        <w:t>Projects A and C both surpass the company’s 10% cost of capital, indicating value creation. Project B fails the IRR criterion.</w:t>
      </w:r>
    </w:p>
    <w:p w14:paraId="02F53EBD" w14:textId="7B6108A8" w:rsidR="00331EDE" w:rsidRPr="00D25474" w:rsidRDefault="00331EDE" w:rsidP="00331EDE">
      <w:pPr>
        <w:spacing w:line="360" w:lineRule="auto"/>
        <w:rPr>
          <w:rFonts w:ascii="Arial" w:hAnsi="Arial" w:cs="Arial"/>
          <w:lang w:val="en-CA"/>
        </w:rPr>
      </w:pPr>
    </w:p>
    <w:p w14:paraId="157493EE" w14:textId="77777777" w:rsidR="00331EDE" w:rsidRPr="00D25474" w:rsidRDefault="00331EDE" w:rsidP="00D25474">
      <w:pPr>
        <w:pStyle w:val="Style2"/>
      </w:pPr>
      <w:bookmarkStart w:id="32" w:name="_Toc213619034"/>
      <w:r w:rsidRPr="00D25474">
        <w:t>4.8 Comparative Evaluation Summary</w:t>
      </w:r>
      <w:bookmarkEnd w:id="32"/>
    </w:p>
    <w:tbl>
      <w:tblPr>
        <w:tblStyle w:val="TableGrid"/>
        <w:tblW w:w="0" w:type="auto"/>
        <w:tblLook w:val="04A0" w:firstRow="1" w:lastRow="0" w:firstColumn="1" w:lastColumn="0" w:noHBand="0" w:noVBand="1"/>
      </w:tblPr>
      <w:tblGrid>
        <w:gridCol w:w="2858"/>
        <w:gridCol w:w="1261"/>
        <w:gridCol w:w="1270"/>
        <w:gridCol w:w="1270"/>
      </w:tblGrid>
      <w:tr w:rsidR="00331EDE" w:rsidRPr="00D25474" w14:paraId="5204C1ED" w14:textId="77777777" w:rsidTr="00D25474">
        <w:tc>
          <w:tcPr>
            <w:tcW w:w="0" w:type="auto"/>
            <w:hideMark/>
          </w:tcPr>
          <w:p w14:paraId="345BDEF1"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Criterion</w:t>
            </w:r>
          </w:p>
        </w:tc>
        <w:tc>
          <w:tcPr>
            <w:tcW w:w="0" w:type="auto"/>
            <w:hideMark/>
          </w:tcPr>
          <w:p w14:paraId="438486FD"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 A</w:t>
            </w:r>
          </w:p>
        </w:tc>
        <w:tc>
          <w:tcPr>
            <w:tcW w:w="0" w:type="auto"/>
            <w:hideMark/>
          </w:tcPr>
          <w:p w14:paraId="4E3B5DAB"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 B</w:t>
            </w:r>
          </w:p>
        </w:tc>
        <w:tc>
          <w:tcPr>
            <w:tcW w:w="0" w:type="auto"/>
            <w:hideMark/>
          </w:tcPr>
          <w:p w14:paraId="56854715"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Project C</w:t>
            </w:r>
          </w:p>
        </w:tc>
      </w:tr>
      <w:tr w:rsidR="00331EDE" w:rsidRPr="00D25474" w14:paraId="2881BAC4" w14:textId="77777777" w:rsidTr="00D25474">
        <w:tc>
          <w:tcPr>
            <w:tcW w:w="0" w:type="auto"/>
            <w:hideMark/>
          </w:tcPr>
          <w:p w14:paraId="1B907E03"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Payback Period (years)</w:t>
            </w:r>
          </w:p>
        </w:tc>
        <w:tc>
          <w:tcPr>
            <w:tcW w:w="0" w:type="auto"/>
            <w:hideMark/>
          </w:tcPr>
          <w:p w14:paraId="113EF58F"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3.4</w:t>
            </w:r>
          </w:p>
        </w:tc>
        <w:tc>
          <w:tcPr>
            <w:tcW w:w="0" w:type="auto"/>
            <w:hideMark/>
          </w:tcPr>
          <w:p w14:paraId="375F38D4"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5.0</w:t>
            </w:r>
          </w:p>
        </w:tc>
        <w:tc>
          <w:tcPr>
            <w:tcW w:w="0" w:type="auto"/>
            <w:hideMark/>
          </w:tcPr>
          <w:p w14:paraId="5B13FA9A"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3.6</w:t>
            </w:r>
          </w:p>
        </w:tc>
      </w:tr>
      <w:tr w:rsidR="00331EDE" w:rsidRPr="00D25474" w14:paraId="172C9B5C" w14:textId="77777777" w:rsidTr="00D25474">
        <w:tc>
          <w:tcPr>
            <w:tcW w:w="0" w:type="auto"/>
            <w:hideMark/>
          </w:tcPr>
          <w:p w14:paraId="13E6BC5C"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ARR (%)</w:t>
            </w:r>
          </w:p>
        </w:tc>
        <w:tc>
          <w:tcPr>
            <w:tcW w:w="0" w:type="auto"/>
            <w:hideMark/>
          </w:tcPr>
          <w:p w14:paraId="15D4D005"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7.0</w:t>
            </w:r>
          </w:p>
        </w:tc>
        <w:tc>
          <w:tcPr>
            <w:tcW w:w="0" w:type="auto"/>
            <w:hideMark/>
          </w:tcPr>
          <w:p w14:paraId="203D04F1"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0.0</w:t>
            </w:r>
          </w:p>
        </w:tc>
        <w:tc>
          <w:tcPr>
            <w:tcW w:w="0" w:type="auto"/>
            <w:hideMark/>
          </w:tcPr>
          <w:p w14:paraId="5FF3631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10.0</w:t>
            </w:r>
          </w:p>
        </w:tc>
      </w:tr>
      <w:tr w:rsidR="00331EDE" w:rsidRPr="00D25474" w14:paraId="6ECE73DD" w14:textId="77777777" w:rsidTr="00D25474">
        <w:tc>
          <w:tcPr>
            <w:tcW w:w="0" w:type="auto"/>
            <w:hideMark/>
          </w:tcPr>
          <w:p w14:paraId="2550C887"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NPV (£m)</w:t>
            </w:r>
          </w:p>
        </w:tc>
        <w:tc>
          <w:tcPr>
            <w:tcW w:w="0" w:type="auto"/>
            <w:hideMark/>
          </w:tcPr>
          <w:p w14:paraId="2729AE0C"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1.31</w:t>
            </w:r>
          </w:p>
        </w:tc>
        <w:tc>
          <w:tcPr>
            <w:tcW w:w="0" w:type="auto"/>
            <w:hideMark/>
          </w:tcPr>
          <w:p w14:paraId="0506D56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−7.25</w:t>
            </w:r>
          </w:p>
        </w:tc>
        <w:tc>
          <w:tcPr>
            <w:tcW w:w="0" w:type="auto"/>
            <w:hideMark/>
          </w:tcPr>
          <w:p w14:paraId="7234CDF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4.23</w:t>
            </w:r>
          </w:p>
        </w:tc>
      </w:tr>
      <w:tr w:rsidR="00331EDE" w:rsidRPr="00D25474" w14:paraId="09A8BDB8" w14:textId="77777777" w:rsidTr="00D25474">
        <w:tc>
          <w:tcPr>
            <w:tcW w:w="0" w:type="auto"/>
            <w:hideMark/>
          </w:tcPr>
          <w:p w14:paraId="013FDE4C"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PI</w:t>
            </w:r>
          </w:p>
        </w:tc>
        <w:tc>
          <w:tcPr>
            <w:tcW w:w="0" w:type="auto"/>
            <w:hideMark/>
          </w:tcPr>
          <w:p w14:paraId="0A3FCA93"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1.03</w:t>
            </w:r>
          </w:p>
        </w:tc>
        <w:tc>
          <w:tcPr>
            <w:tcW w:w="0" w:type="auto"/>
            <w:hideMark/>
          </w:tcPr>
          <w:p w14:paraId="4C4B2F63"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0.76</w:t>
            </w:r>
          </w:p>
        </w:tc>
        <w:tc>
          <w:tcPr>
            <w:tcW w:w="0" w:type="auto"/>
            <w:hideMark/>
          </w:tcPr>
          <w:p w14:paraId="7B65C0F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1.08</w:t>
            </w:r>
          </w:p>
        </w:tc>
      </w:tr>
      <w:tr w:rsidR="00331EDE" w:rsidRPr="00D25474" w14:paraId="20C72C09" w14:textId="77777777" w:rsidTr="00D25474">
        <w:tc>
          <w:tcPr>
            <w:tcW w:w="0" w:type="auto"/>
            <w:hideMark/>
          </w:tcPr>
          <w:p w14:paraId="2982E43B"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IRR (%)</w:t>
            </w:r>
          </w:p>
        </w:tc>
        <w:tc>
          <w:tcPr>
            <w:tcW w:w="0" w:type="auto"/>
            <w:hideMark/>
          </w:tcPr>
          <w:p w14:paraId="1D7A819B"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11.1</w:t>
            </w:r>
          </w:p>
        </w:tc>
        <w:tc>
          <w:tcPr>
            <w:tcW w:w="0" w:type="auto"/>
            <w:hideMark/>
          </w:tcPr>
          <w:p w14:paraId="7FCAC66F"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&lt;5</w:t>
            </w:r>
          </w:p>
        </w:tc>
        <w:tc>
          <w:tcPr>
            <w:tcW w:w="0" w:type="auto"/>
            <w:hideMark/>
          </w:tcPr>
          <w:p w14:paraId="212B9A3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12.8</w:t>
            </w:r>
          </w:p>
        </w:tc>
      </w:tr>
      <w:tr w:rsidR="00331EDE" w:rsidRPr="00D25474" w14:paraId="7E19A95A" w14:textId="77777777" w:rsidTr="00D25474">
        <w:tc>
          <w:tcPr>
            <w:tcW w:w="0" w:type="auto"/>
            <w:hideMark/>
          </w:tcPr>
          <w:p w14:paraId="13F10DC5"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Rank</w:t>
            </w:r>
          </w:p>
        </w:tc>
        <w:tc>
          <w:tcPr>
            <w:tcW w:w="0" w:type="auto"/>
            <w:hideMark/>
          </w:tcPr>
          <w:p w14:paraId="21A9F065"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2</w:t>
            </w:r>
          </w:p>
        </w:tc>
        <w:tc>
          <w:tcPr>
            <w:tcW w:w="0" w:type="auto"/>
            <w:hideMark/>
          </w:tcPr>
          <w:p w14:paraId="0F782484"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w:t>
            </w:r>
          </w:p>
        </w:tc>
        <w:tc>
          <w:tcPr>
            <w:tcW w:w="0" w:type="auto"/>
            <w:hideMark/>
          </w:tcPr>
          <w:p w14:paraId="0F1D9CEB"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w:t>
            </w:r>
          </w:p>
        </w:tc>
      </w:tr>
    </w:tbl>
    <w:p w14:paraId="34CE7461" w14:textId="77777777" w:rsidR="00D25474" w:rsidRPr="00D25474" w:rsidRDefault="00D25474" w:rsidP="00331EDE">
      <w:pPr>
        <w:spacing w:line="360" w:lineRule="auto"/>
        <w:rPr>
          <w:rFonts w:ascii="Arial" w:hAnsi="Arial" w:cs="Arial"/>
          <w:b/>
          <w:bCs/>
          <w:lang w:val="en-CA"/>
        </w:rPr>
      </w:pPr>
    </w:p>
    <w:p w14:paraId="119EEED9" w14:textId="77777777" w:rsidR="00D25474" w:rsidRPr="00D25474" w:rsidRDefault="00331EDE" w:rsidP="00331EDE">
      <w:pPr>
        <w:spacing w:line="360" w:lineRule="auto"/>
        <w:rPr>
          <w:rFonts w:ascii="Arial" w:hAnsi="Arial" w:cs="Arial"/>
          <w:b/>
          <w:bCs/>
          <w:lang w:val="en-CA"/>
        </w:rPr>
      </w:pPr>
      <w:r w:rsidRPr="00D25474">
        <w:rPr>
          <w:rFonts w:ascii="Arial" w:hAnsi="Arial" w:cs="Arial"/>
          <w:b/>
          <w:bCs/>
          <w:lang w:val="en-CA"/>
        </w:rPr>
        <w:t>Interpretation</w:t>
      </w:r>
    </w:p>
    <w:p w14:paraId="6B215D52" w14:textId="63E0566C" w:rsidR="00331EDE" w:rsidRPr="00D25474" w:rsidRDefault="00C46427" w:rsidP="00C46427">
      <w:pPr>
        <w:spacing w:line="360" w:lineRule="auto"/>
        <w:jc w:val="both"/>
        <w:rPr>
          <w:rFonts w:ascii="Arial" w:hAnsi="Arial" w:cs="Arial"/>
          <w:lang w:val="en-CA"/>
        </w:rPr>
      </w:pPr>
      <w:r w:rsidRPr="00C46427">
        <w:rPr>
          <w:rFonts w:ascii="Arial" w:hAnsi="Arial" w:cs="Arial"/>
          <w:lang w:val="en-CA"/>
        </w:rPr>
        <w:t>On all significant financial indicators, Project C clearly stands tall. It has the highest NPV and IRR, which indicates the greatest possibilities of increasing shareholder value</w:t>
      </w:r>
      <w:r w:rsidR="00B65AA9">
        <w:rPr>
          <w:rFonts w:ascii="Arial" w:hAnsi="Arial" w:cs="Arial"/>
          <w:lang w:val="en-CA"/>
        </w:rPr>
        <w:t xml:space="preserve"> </w:t>
      </w:r>
      <w:r w:rsidR="00B65AA9" w:rsidRPr="00B65AA9">
        <w:rPr>
          <w:rFonts w:ascii="Arial" w:hAnsi="Arial" w:cs="Arial"/>
          <w:lang w:val="en-CA"/>
        </w:rPr>
        <w:t>(Bulama, Danladi and Musa, 2023)</w:t>
      </w:r>
      <w:r w:rsidRPr="00C46427">
        <w:rPr>
          <w:rFonts w:ascii="Arial" w:hAnsi="Arial" w:cs="Arial"/>
          <w:lang w:val="en-CA"/>
        </w:rPr>
        <w:t>. Project A is also acceptable in terms of finances; nevertheless, the returns do not match those of C. Project B, at any measure, should not be adopted</w:t>
      </w:r>
      <w:r w:rsidR="00B65AA9">
        <w:rPr>
          <w:rFonts w:ascii="Arial" w:hAnsi="Arial" w:cs="Arial"/>
          <w:lang w:val="en-CA"/>
        </w:rPr>
        <w:t xml:space="preserve"> </w:t>
      </w:r>
      <w:r w:rsidR="00B65AA9" w:rsidRPr="00B65AA9">
        <w:rPr>
          <w:rFonts w:ascii="Arial" w:hAnsi="Arial" w:cs="Arial"/>
          <w:lang w:val="en-CA"/>
        </w:rPr>
        <w:t>(Johnson, 2023)</w:t>
      </w:r>
      <w:r w:rsidRPr="00C46427">
        <w:rPr>
          <w:rFonts w:ascii="Arial" w:hAnsi="Arial" w:cs="Arial"/>
          <w:lang w:val="en-CA"/>
        </w:rPr>
        <w:t>.</w:t>
      </w:r>
    </w:p>
    <w:p w14:paraId="7A05F7CA" w14:textId="77777777" w:rsidR="00331EDE" w:rsidRPr="00D25474" w:rsidRDefault="00331EDE" w:rsidP="00D25474">
      <w:pPr>
        <w:pStyle w:val="Style2"/>
      </w:pPr>
      <w:bookmarkStart w:id="33" w:name="_Toc213619035"/>
      <w:r w:rsidRPr="00D25474">
        <w:t>4.9 Decision under Capital Rationing (£60m Limit)</w:t>
      </w:r>
      <w:bookmarkEnd w:id="33"/>
    </w:p>
    <w:p w14:paraId="1E45B0F2" w14:textId="3FE5C3CB" w:rsidR="00C46427" w:rsidRPr="00D25474" w:rsidRDefault="00C46427" w:rsidP="00C46427">
      <w:pPr>
        <w:spacing w:line="360" w:lineRule="auto"/>
        <w:jc w:val="both"/>
        <w:rPr>
          <w:rFonts w:ascii="Arial" w:hAnsi="Arial" w:cs="Arial"/>
          <w:lang w:val="en-CA"/>
        </w:rPr>
      </w:pPr>
      <w:r w:rsidRPr="00C46427">
        <w:rPr>
          <w:rFonts w:ascii="Arial" w:hAnsi="Arial" w:cs="Arial"/>
          <w:lang w:val="en-CA"/>
        </w:rPr>
        <w:t>With an investment ceiling of £60 million, General Electronics will not be in a position to execute all three projects concurrently. One has to maximise NPV constrained by combinations:</w:t>
      </w:r>
    </w:p>
    <w:tbl>
      <w:tblPr>
        <w:tblStyle w:val="TableGrid"/>
        <w:tblW w:w="0" w:type="auto"/>
        <w:tblLook w:val="04A0" w:firstRow="1" w:lastRow="0" w:firstColumn="1" w:lastColumn="0" w:noHBand="0" w:noVBand="1"/>
      </w:tblPr>
      <w:tblGrid>
        <w:gridCol w:w="1683"/>
        <w:gridCol w:w="1945"/>
        <w:gridCol w:w="2523"/>
        <w:gridCol w:w="1324"/>
      </w:tblGrid>
      <w:tr w:rsidR="00331EDE" w:rsidRPr="00D25474" w14:paraId="4C03A25A" w14:textId="77777777" w:rsidTr="00D25474">
        <w:tc>
          <w:tcPr>
            <w:tcW w:w="0" w:type="auto"/>
            <w:hideMark/>
          </w:tcPr>
          <w:p w14:paraId="6448D611"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Combination</w:t>
            </w:r>
          </w:p>
        </w:tc>
        <w:tc>
          <w:tcPr>
            <w:tcW w:w="0" w:type="auto"/>
            <w:hideMark/>
          </w:tcPr>
          <w:p w14:paraId="594930D4"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Total Cost (£m)</w:t>
            </w:r>
          </w:p>
        </w:tc>
        <w:tc>
          <w:tcPr>
            <w:tcW w:w="0" w:type="auto"/>
            <w:hideMark/>
          </w:tcPr>
          <w:p w14:paraId="67E30902"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Combined NPV (£m)</w:t>
            </w:r>
          </w:p>
        </w:tc>
        <w:tc>
          <w:tcPr>
            <w:tcW w:w="0" w:type="auto"/>
            <w:hideMark/>
          </w:tcPr>
          <w:p w14:paraId="0BDD8352" w14:textId="77777777" w:rsidR="00331EDE" w:rsidRPr="00D25474" w:rsidRDefault="00331EDE" w:rsidP="00331EDE">
            <w:pPr>
              <w:spacing w:line="360" w:lineRule="auto"/>
              <w:rPr>
                <w:rFonts w:ascii="Arial" w:hAnsi="Arial" w:cs="Arial"/>
                <w:b/>
                <w:bCs/>
                <w:lang w:val="en-CA"/>
              </w:rPr>
            </w:pPr>
            <w:r w:rsidRPr="00D25474">
              <w:rPr>
                <w:rFonts w:ascii="Arial" w:hAnsi="Arial" w:cs="Arial"/>
                <w:b/>
                <w:bCs/>
                <w:lang w:val="en-CA"/>
              </w:rPr>
              <w:t>Feasible?</w:t>
            </w:r>
          </w:p>
        </w:tc>
      </w:tr>
      <w:tr w:rsidR="00331EDE" w:rsidRPr="00D25474" w14:paraId="12DF4A72" w14:textId="77777777" w:rsidTr="00D25474">
        <w:tc>
          <w:tcPr>
            <w:tcW w:w="0" w:type="auto"/>
            <w:hideMark/>
          </w:tcPr>
          <w:p w14:paraId="42782E10"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A + B</w:t>
            </w:r>
          </w:p>
        </w:tc>
        <w:tc>
          <w:tcPr>
            <w:tcW w:w="0" w:type="auto"/>
            <w:hideMark/>
          </w:tcPr>
          <w:p w14:paraId="178BEDB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70</w:t>
            </w:r>
          </w:p>
        </w:tc>
        <w:tc>
          <w:tcPr>
            <w:tcW w:w="0" w:type="auto"/>
            <w:hideMark/>
          </w:tcPr>
          <w:p w14:paraId="6E2B270C"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−5.94</w:t>
            </w:r>
          </w:p>
        </w:tc>
        <w:tc>
          <w:tcPr>
            <w:tcW w:w="0" w:type="auto"/>
            <w:hideMark/>
          </w:tcPr>
          <w:p w14:paraId="0885DF97"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No</w:t>
            </w:r>
          </w:p>
        </w:tc>
      </w:tr>
      <w:tr w:rsidR="00331EDE" w:rsidRPr="00D25474" w14:paraId="265346DD" w14:textId="77777777" w:rsidTr="00D25474">
        <w:tc>
          <w:tcPr>
            <w:tcW w:w="0" w:type="auto"/>
            <w:hideMark/>
          </w:tcPr>
          <w:p w14:paraId="1B37BFCC"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A + C</w:t>
            </w:r>
          </w:p>
        </w:tc>
        <w:tc>
          <w:tcPr>
            <w:tcW w:w="0" w:type="auto"/>
            <w:hideMark/>
          </w:tcPr>
          <w:p w14:paraId="44C5BA6B"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90</w:t>
            </w:r>
          </w:p>
        </w:tc>
        <w:tc>
          <w:tcPr>
            <w:tcW w:w="0" w:type="auto"/>
            <w:hideMark/>
          </w:tcPr>
          <w:p w14:paraId="708D756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5.54</w:t>
            </w:r>
          </w:p>
        </w:tc>
        <w:tc>
          <w:tcPr>
            <w:tcW w:w="0" w:type="auto"/>
            <w:hideMark/>
          </w:tcPr>
          <w:p w14:paraId="7DDD1A9F"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No</w:t>
            </w:r>
          </w:p>
        </w:tc>
      </w:tr>
      <w:tr w:rsidR="00331EDE" w:rsidRPr="00D25474" w14:paraId="302318EC" w14:textId="77777777" w:rsidTr="00D25474">
        <w:tc>
          <w:tcPr>
            <w:tcW w:w="0" w:type="auto"/>
            <w:hideMark/>
          </w:tcPr>
          <w:p w14:paraId="63D264EC"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B + C</w:t>
            </w:r>
          </w:p>
        </w:tc>
        <w:tc>
          <w:tcPr>
            <w:tcW w:w="0" w:type="auto"/>
            <w:hideMark/>
          </w:tcPr>
          <w:p w14:paraId="1976AD5E"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80</w:t>
            </w:r>
          </w:p>
        </w:tc>
        <w:tc>
          <w:tcPr>
            <w:tcW w:w="0" w:type="auto"/>
            <w:hideMark/>
          </w:tcPr>
          <w:p w14:paraId="78E5BDBF"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−3.02</w:t>
            </w:r>
          </w:p>
        </w:tc>
        <w:tc>
          <w:tcPr>
            <w:tcW w:w="0" w:type="auto"/>
            <w:hideMark/>
          </w:tcPr>
          <w:p w14:paraId="20AD36FC"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No</w:t>
            </w:r>
          </w:p>
        </w:tc>
      </w:tr>
      <w:tr w:rsidR="00331EDE" w:rsidRPr="00D25474" w14:paraId="36206AC5" w14:textId="77777777" w:rsidTr="00D25474">
        <w:tc>
          <w:tcPr>
            <w:tcW w:w="0" w:type="auto"/>
            <w:hideMark/>
          </w:tcPr>
          <w:p w14:paraId="4D7FD220"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A only</w:t>
            </w:r>
          </w:p>
        </w:tc>
        <w:tc>
          <w:tcPr>
            <w:tcW w:w="0" w:type="auto"/>
            <w:hideMark/>
          </w:tcPr>
          <w:p w14:paraId="3BACFEE6"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40</w:t>
            </w:r>
          </w:p>
        </w:tc>
        <w:tc>
          <w:tcPr>
            <w:tcW w:w="0" w:type="auto"/>
            <w:hideMark/>
          </w:tcPr>
          <w:p w14:paraId="76BB9F4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1.31</w:t>
            </w:r>
          </w:p>
        </w:tc>
        <w:tc>
          <w:tcPr>
            <w:tcW w:w="0" w:type="auto"/>
            <w:hideMark/>
          </w:tcPr>
          <w:p w14:paraId="16D9A1C9"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Yes</w:t>
            </w:r>
          </w:p>
        </w:tc>
      </w:tr>
      <w:tr w:rsidR="00331EDE" w:rsidRPr="00D25474" w14:paraId="6C5FF385" w14:textId="77777777" w:rsidTr="00D25474">
        <w:tc>
          <w:tcPr>
            <w:tcW w:w="0" w:type="auto"/>
            <w:hideMark/>
          </w:tcPr>
          <w:p w14:paraId="14ACDDBD" w14:textId="77777777" w:rsidR="00331EDE" w:rsidRPr="00D25474" w:rsidRDefault="00331EDE" w:rsidP="00331EDE">
            <w:pPr>
              <w:spacing w:line="360" w:lineRule="auto"/>
              <w:rPr>
                <w:rFonts w:ascii="Arial" w:hAnsi="Arial" w:cs="Arial"/>
                <w:lang w:val="en-CA"/>
              </w:rPr>
            </w:pPr>
            <w:r w:rsidRPr="00D25474">
              <w:rPr>
                <w:rFonts w:ascii="Arial" w:hAnsi="Arial" w:cs="Arial"/>
                <w:b/>
                <w:bCs/>
                <w:lang w:val="en-CA"/>
              </w:rPr>
              <w:t>C only</w:t>
            </w:r>
          </w:p>
        </w:tc>
        <w:tc>
          <w:tcPr>
            <w:tcW w:w="0" w:type="auto"/>
            <w:hideMark/>
          </w:tcPr>
          <w:p w14:paraId="46C34ACA"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50</w:t>
            </w:r>
          </w:p>
        </w:tc>
        <w:tc>
          <w:tcPr>
            <w:tcW w:w="0" w:type="auto"/>
            <w:hideMark/>
          </w:tcPr>
          <w:p w14:paraId="4D190AE3"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4.23</w:t>
            </w:r>
          </w:p>
        </w:tc>
        <w:tc>
          <w:tcPr>
            <w:tcW w:w="0" w:type="auto"/>
            <w:hideMark/>
          </w:tcPr>
          <w:p w14:paraId="54C388B2" w14:textId="77777777" w:rsidR="00331EDE" w:rsidRPr="00D25474" w:rsidRDefault="00331EDE" w:rsidP="00331EDE">
            <w:pPr>
              <w:spacing w:line="360" w:lineRule="auto"/>
              <w:rPr>
                <w:rFonts w:ascii="Arial" w:hAnsi="Arial" w:cs="Arial"/>
                <w:lang w:val="en-CA"/>
              </w:rPr>
            </w:pPr>
            <w:r w:rsidRPr="00D25474">
              <w:rPr>
                <w:rFonts w:ascii="Arial" w:hAnsi="Arial" w:cs="Arial"/>
                <w:lang w:val="en-CA"/>
              </w:rPr>
              <w:t>Yes</w:t>
            </w:r>
          </w:p>
        </w:tc>
      </w:tr>
    </w:tbl>
    <w:p w14:paraId="165870B0" w14:textId="3C9A94A5" w:rsidR="00D25474" w:rsidRPr="00D25474" w:rsidRDefault="00C46427" w:rsidP="00D25474">
      <w:pPr>
        <w:spacing w:line="360" w:lineRule="auto"/>
        <w:jc w:val="both"/>
        <w:rPr>
          <w:rFonts w:ascii="Arial" w:hAnsi="Arial" w:cs="Arial"/>
          <w:lang w:val="en-CA"/>
        </w:rPr>
      </w:pPr>
      <w:r w:rsidRPr="00C46427">
        <w:rPr>
          <w:rFonts w:ascii="Arial" w:hAnsi="Arial" w:cs="Arial"/>
          <w:lang w:val="en-CA"/>
        </w:rPr>
        <w:lastRenderedPageBreak/>
        <w:t>A is independent, as well as C, but not both, at a constraint of £60 million. The Profitability Index criterion proves to be decisive in order to find the best option, since it indicates the returns per pound invested. The PI in project C of 1.08 is of a very small margin compared to the PI in project A of 1.03, and the NPV gain per unit of investment is higher (0.084 per pound compared to 0.033 per pound in project A). Thus, under capital rationing, Project C is the best choice.</w:t>
      </w:r>
    </w:p>
    <w:p w14:paraId="63B08993" w14:textId="77777777" w:rsidR="00331EDE" w:rsidRPr="00D25474" w:rsidRDefault="00331EDE" w:rsidP="00D25474">
      <w:pPr>
        <w:pStyle w:val="Style2"/>
      </w:pPr>
      <w:bookmarkStart w:id="34" w:name="_Toc213619036"/>
      <w:r w:rsidRPr="00D25474">
        <w:t>4.10 Strategic Justification</w:t>
      </w:r>
      <w:bookmarkEnd w:id="34"/>
    </w:p>
    <w:p w14:paraId="2464651B" w14:textId="604CAA60" w:rsidR="00C46427" w:rsidRPr="00C46427" w:rsidRDefault="00C46427" w:rsidP="00BC7969">
      <w:pPr>
        <w:spacing w:line="360" w:lineRule="auto"/>
        <w:jc w:val="both"/>
        <w:rPr>
          <w:rFonts w:ascii="Arial" w:hAnsi="Arial" w:cs="Arial"/>
          <w:lang w:val="en-CA"/>
        </w:rPr>
      </w:pPr>
      <w:r w:rsidRPr="00C46427">
        <w:rPr>
          <w:rFonts w:ascii="Arial" w:hAnsi="Arial" w:cs="Arial"/>
          <w:lang w:val="en-CA"/>
        </w:rPr>
        <w:t>The back-loaded cash flows in Project C may seem risky, but the fact that it carries with it a greater IRR and NPV in its back-loaded cash flows fits the strategic goal of General Electronics to regain its profits in the medium term. The liquidity of the company is poor, although with the sale of assets and capital infusion (planned in the restructuring strategy), it will free up cash, and the commitment of £50 million will not require a lot of borrowing</w:t>
      </w:r>
      <w:r w:rsidR="00B65AA9">
        <w:rPr>
          <w:rFonts w:ascii="Arial" w:hAnsi="Arial" w:cs="Arial"/>
          <w:lang w:val="en-CA"/>
        </w:rPr>
        <w:t xml:space="preserve"> </w:t>
      </w:r>
      <w:r w:rsidR="00B65AA9" w:rsidRPr="00B65AA9">
        <w:rPr>
          <w:rFonts w:ascii="Arial" w:hAnsi="Arial" w:cs="Arial"/>
          <w:lang w:val="en-CA"/>
        </w:rPr>
        <w:t>(Bulama, Danladi and Musa, 2023)</w:t>
      </w:r>
      <w:r w:rsidRPr="00C46427">
        <w:rPr>
          <w:rFonts w:ascii="Arial" w:hAnsi="Arial" w:cs="Arial"/>
          <w:lang w:val="en-CA"/>
        </w:rPr>
        <w:t>.</w:t>
      </w:r>
    </w:p>
    <w:p w14:paraId="3A87809F" w14:textId="7ADB2909" w:rsidR="00C46427" w:rsidRPr="00C46427" w:rsidRDefault="00C46427" w:rsidP="00BC7969">
      <w:pPr>
        <w:spacing w:line="360" w:lineRule="auto"/>
        <w:jc w:val="both"/>
        <w:rPr>
          <w:rFonts w:ascii="Arial" w:hAnsi="Arial" w:cs="Arial"/>
          <w:lang w:val="en-CA"/>
        </w:rPr>
      </w:pPr>
      <w:r w:rsidRPr="00C46427">
        <w:rPr>
          <w:rFonts w:ascii="Arial" w:hAnsi="Arial" w:cs="Arial"/>
          <w:lang w:val="en-CA"/>
        </w:rPr>
        <w:t>Financially, the increased ability to create value of Project C helps it to offset the deferred cash flows. The estimated IRR of 12.8% offers a 280 basis point premium to the cost of capital of the company and therefore, guarantees a positive spread to shareholders. Besides, all the cumulative cash inflow amount (£75m) over the period of five years will have a significant impact on future operating cash flows and positively influence the operating cash flow ratio and leverage</w:t>
      </w:r>
      <w:r w:rsidR="00B65AA9">
        <w:rPr>
          <w:rFonts w:ascii="Arial" w:hAnsi="Arial" w:cs="Arial"/>
          <w:lang w:val="en-CA"/>
        </w:rPr>
        <w:t xml:space="preserve"> </w:t>
      </w:r>
      <w:r w:rsidR="00B65AA9" w:rsidRPr="00B65AA9">
        <w:rPr>
          <w:rFonts w:ascii="Arial" w:hAnsi="Arial" w:cs="Arial"/>
          <w:lang w:val="en-CA"/>
        </w:rPr>
        <w:t>(Bodie and Merton, 2019)</w:t>
      </w:r>
      <w:r w:rsidRPr="00C46427">
        <w:rPr>
          <w:rFonts w:ascii="Arial" w:hAnsi="Arial" w:cs="Arial"/>
          <w:lang w:val="en-CA"/>
        </w:rPr>
        <w:t>.</w:t>
      </w:r>
    </w:p>
    <w:p w14:paraId="2F6911D2" w14:textId="18CF12C0" w:rsidR="00331EDE" w:rsidRPr="00D25474" w:rsidRDefault="00C46427" w:rsidP="00BC7969">
      <w:pPr>
        <w:spacing w:line="360" w:lineRule="auto"/>
        <w:jc w:val="both"/>
        <w:rPr>
          <w:rFonts w:ascii="Arial" w:hAnsi="Arial" w:cs="Arial"/>
          <w:lang w:val="en-CA"/>
        </w:rPr>
      </w:pPr>
      <w:r w:rsidRPr="00C46427">
        <w:rPr>
          <w:rFonts w:ascii="Arial" w:hAnsi="Arial" w:cs="Arial"/>
          <w:lang w:val="en-CA"/>
        </w:rPr>
        <w:t>By contrast, project A, which is more liquid in the short term, has marginal value (NPV £1.31m) and is limited in strategic upside. Its reduced size may not be relevant in terms of profitability ratios or shareholder trust. With low returns and long payback, project B does not match the immediate requirement of the company to maintain capital and, thus, cannot be included</w:t>
      </w:r>
      <w:r w:rsidR="00B65AA9">
        <w:rPr>
          <w:rFonts w:ascii="Arial" w:hAnsi="Arial" w:cs="Arial"/>
          <w:lang w:val="en-CA"/>
        </w:rPr>
        <w:t xml:space="preserve"> </w:t>
      </w:r>
      <w:r w:rsidR="00B65AA9" w:rsidRPr="00B65AA9">
        <w:rPr>
          <w:rFonts w:ascii="Arial" w:hAnsi="Arial" w:cs="Arial"/>
          <w:lang w:val="en-CA"/>
        </w:rPr>
        <w:t>(CIMA, 2018)</w:t>
      </w:r>
      <w:r w:rsidRPr="00C46427">
        <w:rPr>
          <w:rFonts w:ascii="Arial" w:hAnsi="Arial" w:cs="Arial"/>
          <w:lang w:val="en-CA"/>
        </w:rPr>
        <w:t>.</w:t>
      </w:r>
    </w:p>
    <w:p w14:paraId="6CDD6008" w14:textId="77777777" w:rsidR="00331EDE" w:rsidRPr="00D25474" w:rsidRDefault="00331EDE" w:rsidP="00D25474">
      <w:pPr>
        <w:pStyle w:val="Style2"/>
      </w:pPr>
      <w:bookmarkStart w:id="35" w:name="_Toc213619037"/>
      <w:r w:rsidRPr="00D25474">
        <w:t>4.11 Risk Evaluation and Sensitivity</w:t>
      </w:r>
      <w:bookmarkEnd w:id="35"/>
    </w:p>
    <w:p w14:paraId="21C78D30" w14:textId="6739C66B" w:rsidR="00C46427" w:rsidRPr="00C46427" w:rsidRDefault="00C46427" w:rsidP="00C46427">
      <w:pPr>
        <w:spacing w:line="360" w:lineRule="auto"/>
        <w:jc w:val="both"/>
        <w:rPr>
          <w:rFonts w:ascii="Arial" w:hAnsi="Arial" w:cs="Arial"/>
          <w:lang w:val="en-CA"/>
        </w:rPr>
      </w:pPr>
      <w:r w:rsidRPr="00C46427">
        <w:rPr>
          <w:rFonts w:ascii="Arial" w:hAnsi="Arial" w:cs="Arial"/>
          <w:lang w:val="en-CA"/>
        </w:rPr>
        <w:t xml:space="preserve">Project C bears the highest risk of cash flow volatility when compared to Projects A and B because 80 per cent of the inflows in the project are after Year 2. This time, risk subjects it to inflationary erosion and may cause a fluctuating demand in the foreign markets. Sensitivity analysis shows that a decline of the project by 10% in Year 4 and Year 5 cash inflows, the NPV of the project reduces to the current value of about 1.9m, yet it is a </w:t>
      </w:r>
      <w:r w:rsidRPr="00C46427">
        <w:rPr>
          <w:rFonts w:ascii="Arial" w:hAnsi="Arial" w:cs="Arial"/>
          <w:lang w:val="en-CA"/>
        </w:rPr>
        <w:lastRenderedPageBreak/>
        <w:t>positive value</w:t>
      </w:r>
      <w:r w:rsidR="00B65AA9">
        <w:rPr>
          <w:rFonts w:ascii="Arial" w:hAnsi="Arial" w:cs="Arial"/>
          <w:lang w:val="en-CA"/>
        </w:rPr>
        <w:t xml:space="preserve"> </w:t>
      </w:r>
      <w:r w:rsidR="00B65AA9" w:rsidRPr="00B65AA9">
        <w:rPr>
          <w:rFonts w:ascii="Arial" w:hAnsi="Arial" w:cs="Arial"/>
          <w:lang w:val="en-CA"/>
        </w:rPr>
        <w:t>(Fernandes, 2014)</w:t>
      </w:r>
      <w:r w:rsidRPr="00C46427">
        <w:rPr>
          <w:rFonts w:ascii="Arial" w:hAnsi="Arial" w:cs="Arial"/>
          <w:lang w:val="en-CA"/>
        </w:rPr>
        <w:t>. This strength highlights the strength of the project even in the worst condition. Currency risks can be addressed using hedging, as the overseas subsidiaries will bring in major inflows.</w:t>
      </w:r>
    </w:p>
    <w:p w14:paraId="7F802C4C" w14:textId="318C42F6" w:rsidR="00C46427" w:rsidRPr="00C46427" w:rsidRDefault="00C46427" w:rsidP="00C46427">
      <w:pPr>
        <w:spacing w:line="360" w:lineRule="auto"/>
        <w:jc w:val="both"/>
        <w:rPr>
          <w:rFonts w:ascii="Arial" w:hAnsi="Arial" w:cs="Arial"/>
          <w:lang w:val="en-CA"/>
        </w:rPr>
      </w:pPr>
      <w:r w:rsidRPr="00C46427">
        <w:rPr>
          <w:rFonts w:ascii="Arial" w:hAnsi="Arial" w:cs="Arial"/>
          <w:lang w:val="en-CA"/>
        </w:rPr>
        <w:t>Ethically, the long-term orientation of the project facilitates longevity of operations, which are high-efficiency electronics consuming less energy, which entails corporate social responsibility undertakings. The risk of inflation is a factor of concern, but real returns can be maintained through inflation-indexed contracts with suppliers and real-time forms of pricing</w:t>
      </w:r>
      <w:r w:rsidR="00B65AA9">
        <w:rPr>
          <w:rFonts w:ascii="Arial" w:hAnsi="Arial" w:cs="Arial"/>
          <w:lang w:val="en-CA"/>
        </w:rPr>
        <w:t xml:space="preserve"> </w:t>
      </w:r>
      <w:r w:rsidR="00B65AA9" w:rsidRPr="00B65AA9">
        <w:rPr>
          <w:rFonts w:ascii="Arial" w:hAnsi="Arial" w:cs="Arial"/>
          <w:lang w:val="en-CA"/>
        </w:rPr>
        <w:t>(Singh, Kumar and Colombage, 2017)</w:t>
      </w:r>
      <w:r w:rsidRPr="00C46427">
        <w:rPr>
          <w:rFonts w:ascii="Arial" w:hAnsi="Arial" w:cs="Arial"/>
          <w:lang w:val="en-CA"/>
        </w:rPr>
        <w:t>.</w:t>
      </w:r>
    </w:p>
    <w:p w14:paraId="1FE736C3" w14:textId="1A5430B2" w:rsidR="00C46427" w:rsidRPr="00C46427" w:rsidRDefault="00C46427" w:rsidP="00C46427">
      <w:pPr>
        <w:spacing w:line="360" w:lineRule="auto"/>
        <w:jc w:val="both"/>
        <w:rPr>
          <w:rFonts w:ascii="Arial" w:hAnsi="Arial" w:cs="Arial"/>
          <w:lang w:val="en-CA"/>
        </w:rPr>
      </w:pPr>
      <w:r w:rsidRPr="00C46427">
        <w:rPr>
          <w:rFonts w:ascii="Arial" w:hAnsi="Arial" w:cs="Arial"/>
          <w:lang w:val="en-CA"/>
        </w:rPr>
        <w:t>In general, the comparison between Project C and the other alternatives shows that the former has a higher volatility rate but a higher value-adjusted risk performance, particularly in comparison to the long-term solvency criteria of the company.</w:t>
      </w:r>
    </w:p>
    <w:p w14:paraId="042C87EC" w14:textId="21F77561" w:rsidR="00C46427" w:rsidRPr="00C46427" w:rsidRDefault="00C46427" w:rsidP="00C46427">
      <w:pPr>
        <w:spacing w:line="360" w:lineRule="auto"/>
        <w:jc w:val="both"/>
        <w:rPr>
          <w:rFonts w:ascii="Arial" w:hAnsi="Arial" w:cs="Arial"/>
          <w:lang w:val="en-CA"/>
        </w:rPr>
      </w:pPr>
      <w:r w:rsidRPr="00C46427">
        <w:rPr>
          <w:rFonts w:ascii="Arial" w:hAnsi="Arial" w:cs="Arial"/>
          <w:lang w:val="en-CA"/>
        </w:rPr>
        <w:t>When all 5 investment appraisal methods are applied to the case of a 10% discount rate and a capital limit of £60m, it is clear where the conclusion would go. Projects B and C are both viable to invest in, yet Project C will give the best NPV (£4.23m), best IRR (12.8%), and profitability index (1.08). Even though its payback period is slightly longer than that of Project A, the high-quality value creation over time and compliance with strategic reorganisation goals allow Project C to be chosen as the best</w:t>
      </w:r>
      <w:r w:rsidR="00B65AA9">
        <w:rPr>
          <w:rFonts w:ascii="Arial" w:hAnsi="Arial" w:cs="Arial"/>
          <w:lang w:val="en-CA"/>
        </w:rPr>
        <w:t xml:space="preserve"> </w:t>
      </w:r>
      <w:r w:rsidR="00B65AA9" w:rsidRPr="00B65AA9">
        <w:rPr>
          <w:rFonts w:ascii="Arial" w:hAnsi="Arial" w:cs="Arial"/>
          <w:lang w:val="en-CA"/>
        </w:rPr>
        <w:t>(Thomas, 2022)</w:t>
      </w:r>
      <w:r w:rsidRPr="00C46427">
        <w:rPr>
          <w:rFonts w:ascii="Arial" w:hAnsi="Arial" w:cs="Arial"/>
          <w:lang w:val="en-CA"/>
        </w:rPr>
        <w:t>.</w:t>
      </w:r>
    </w:p>
    <w:p w14:paraId="3B671B3D" w14:textId="7502B746" w:rsidR="00C46427" w:rsidRPr="00C46427" w:rsidRDefault="00C46427" w:rsidP="00C46427">
      <w:pPr>
        <w:spacing w:line="360" w:lineRule="auto"/>
        <w:jc w:val="both"/>
        <w:rPr>
          <w:rFonts w:ascii="Arial" w:hAnsi="Arial" w:cs="Arial"/>
          <w:lang w:val="en-CA"/>
        </w:rPr>
      </w:pPr>
      <w:r w:rsidRPr="00C46427">
        <w:rPr>
          <w:rFonts w:ascii="Arial" w:hAnsi="Arial" w:cs="Arial"/>
          <w:lang w:val="en-CA"/>
        </w:rPr>
        <w:t>Since the capital position of General Electronics is improving after the divestiture and equity investment, the company may wisely invest 50 million pounds in the Project C under consideration, but retain 10 million pounds to maintain the liquidity position</w:t>
      </w:r>
      <w:r w:rsidR="00B65AA9">
        <w:rPr>
          <w:rFonts w:ascii="Arial" w:hAnsi="Arial" w:cs="Arial"/>
          <w:lang w:val="en-CA"/>
        </w:rPr>
        <w:t xml:space="preserve"> </w:t>
      </w:r>
      <w:r w:rsidR="00B65AA9" w:rsidRPr="00B65AA9">
        <w:rPr>
          <w:rFonts w:ascii="Arial" w:hAnsi="Arial" w:cs="Arial"/>
          <w:lang w:val="en-CA"/>
        </w:rPr>
        <w:t>(Madura, 2021)</w:t>
      </w:r>
      <w:r w:rsidRPr="00C46427">
        <w:rPr>
          <w:rFonts w:ascii="Arial" w:hAnsi="Arial" w:cs="Arial"/>
          <w:lang w:val="en-CA"/>
        </w:rPr>
        <w:t>. The reason why the project was selected is the higher profitability, the ability to manage the risk profile, and the excellent fit of the project to the global turnaround plan of the company.</w:t>
      </w:r>
    </w:p>
    <w:p w14:paraId="1BE6E030" w14:textId="7D8CB6F8" w:rsidR="00331EDE" w:rsidRPr="00D25474" w:rsidRDefault="00C46427" w:rsidP="00C46427">
      <w:pPr>
        <w:spacing w:line="360" w:lineRule="auto"/>
        <w:jc w:val="both"/>
        <w:rPr>
          <w:rFonts w:ascii="Arial" w:hAnsi="Arial" w:cs="Arial"/>
        </w:rPr>
      </w:pPr>
      <w:r w:rsidRPr="00C46427">
        <w:rPr>
          <w:rFonts w:ascii="Arial" w:hAnsi="Arial" w:cs="Arial"/>
          <w:lang w:val="en-CA"/>
        </w:rPr>
        <w:t>Therefore, compromised funding and the addition of rationality in capital budgeting, Project C must be embraced, whereas projects A and B have to be discarded.</w:t>
      </w:r>
    </w:p>
    <w:p w14:paraId="53E3FF96" w14:textId="77777777" w:rsidR="00331EDE" w:rsidRPr="00D25474" w:rsidRDefault="00331EDE" w:rsidP="00A12F76">
      <w:pPr>
        <w:spacing w:line="360" w:lineRule="auto"/>
        <w:rPr>
          <w:rFonts w:ascii="Arial" w:hAnsi="Arial" w:cs="Arial"/>
        </w:rPr>
      </w:pPr>
    </w:p>
    <w:p w14:paraId="28BB7D65" w14:textId="77777777" w:rsidR="00331EDE" w:rsidRPr="00D25474" w:rsidRDefault="00331EDE" w:rsidP="00A12F76">
      <w:pPr>
        <w:spacing w:line="360" w:lineRule="auto"/>
        <w:rPr>
          <w:rFonts w:ascii="Arial" w:hAnsi="Arial" w:cs="Arial"/>
        </w:rPr>
      </w:pPr>
    </w:p>
    <w:p w14:paraId="4490EB52" w14:textId="77777777" w:rsidR="00331EDE" w:rsidRPr="00D25474" w:rsidRDefault="00331EDE" w:rsidP="00A12F76">
      <w:pPr>
        <w:spacing w:line="360" w:lineRule="auto"/>
        <w:rPr>
          <w:rFonts w:ascii="Arial" w:hAnsi="Arial" w:cs="Arial"/>
        </w:rPr>
      </w:pPr>
    </w:p>
    <w:p w14:paraId="2AF2987C" w14:textId="77777777" w:rsidR="00331EDE" w:rsidRPr="00D25474" w:rsidRDefault="00331EDE" w:rsidP="00A12F76">
      <w:pPr>
        <w:spacing w:line="360" w:lineRule="auto"/>
        <w:rPr>
          <w:rFonts w:ascii="Arial" w:hAnsi="Arial" w:cs="Arial"/>
        </w:rPr>
      </w:pPr>
    </w:p>
    <w:p w14:paraId="1045AA12" w14:textId="77777777" w:rsidR="00D25474" w:rsidRPr="00D25474" w:rsidRDefault="00D25474" w:rsidP="00D25474">
      <w:pPr>
        <w:pStyle w:val="Style1"/>
        <w:rPr>
          <w:lang w:val="en-CA"/>
        </w:rPr>
      </w:pPr>
      <w:bookmarkStart w:id="36" w:name="_Toc213619038"/>
      <w:r w:rsidRPr="00D25474">
        <w:rPr>
          <w:lang w:val="en-CA"/>
        </w:rPr>
        <w:lastRenderedPageBreak/>
        <w:t>Conclusion</w:t>
      </w:r>
      <w:bookmarkEnd w:id="36"/>
      <w:r w:rsidRPr="00D25474">
        <w:rPr>
          <w:lang w:val="en-CA"/>
        </w:rPr>
        <w:t xml:space="preserve"> </w:t>
      </w:r>
    </w:p>
    <w:p w14:paraId="58A25B07" w14:textId="1B3C2812" w:rsidR="00331EDE" w:rsidRPr="00D25474" w:rsidRDefault="00C46427" w:rsidP="00C46427">
      <w:pPr>
        <w:spacing w:line="360" w:lineRule="auto"/>
        <w:jc w:val="both"/>
        <w:rPr>
          <w:rFonts w:ascii="Arial" w:hAnsi="Arial" w:cs="Arial"/>
        </w:rPr>
      </w:pPr>
      <w:r w:rsidRPr="00C46427">
        <w:rPr>
          <w:rFonts w:ascii="Arial" w:hAnsi="Arial" w:cs="Arial"/>
          <w:lang w:val="en-CA"/>
        </w:rPr>
        <w:t>General Electronics needs to have a data-driven move towards a financial recovery. The company has spent more than five years trading profitability to heavy losses due to the structural inefficiencies, overleveraging and liquidity losses. The report also gives a roadmap to restore solvency and shareholder confidence through comprehensive financial diagnostics, working capital management and strategic restructuring, which is based on divestiture, equity recapitalisation and disciplined investment appraisal. Project C adoption under capital rationing guarantees sustainable value creation in harmony with the long-term growth and ethical international regulation. The proper implementation of these actions will turn General Electronics around to fiscal stability and re-emerge as a global powerhouse.</w:t>
      </w:r>
    </w:p>
    <w:p w14:paraId="58F76225" w14:textId="77777777" w:rsidR="00331EDE" w:rsidRPr="00D25474" w:rsidRDefault="00331EDE" w:rsidP="00A12F76">
      <w:pPr>
        <w:spacing w:line="360" w:lineRule="auto"/>
        <w:rPr>
          <w:rFonts w:ascii="Arial" w:hAnsi="Arial" w:cs="Arial"/>
        </w:rPr>
      </w:pPr>
    </w:p>
    <w:p w14:paraId="1BA92A46" w14:textId="77777777" w:rsidR="00A12F76" w:rsidRPr="00D25474" w:rsidRDefault="00A12F76" w:rsidP="00A12F76">
      <w:pPr>
        <w:spacing w:line="360" w:lineRule="auto"/>
        <w:rPr>
          <w:rFonts w:ascii="Arial" w:hAnsi="Arial" w:cs="Arial"/>
        </w:rPr>
      </w:pPr>
    </w:p>
    <w:p w14:paraId="2B077411" w14:textId="77777777" w:rsidR="000939C6" w:rsidRPr="00D25474" w:rsidRDefault="000939C6" w:rsidP="00A12F76">
      <w:pPr>
        <w:spacing w:line="360" w:lineRule="auto"/>
        <w:rPr>
          <w:rFonts w:ascii="Arial" w:hAnsi="Arial" w:cs="Arial"/>
        </w:rPr>
      </w:pPr>
    </w:p>
    <w:p w14:paraId="0C0B86DD" w14:textId="77777777" w:rsidR="000939C6" w:rsidRPr="00D25474" w:rsidRDefault="000939C6" w:rsidP="00A12F76">
      <w:pPr>
        <w:spacing w:line="360" w:lineRule="auto"/>
        <w:rPr>
          <w:rFonts w:ascii="Arial" w:hAnsi="Arial" w:cs="Arial"/>
        </w:rPr>
      </w:pPr>
    </w:p>
    <w:p w14:paraId="3AE8B554" w14:textId="77777777" w:rsidR="000939C6" w:rsidRPr="00D25474" w:rsidRDefault="000939C6" w:rsidP="00A12F76">
      <w:pPr>
        <w:spacing w:line="360" w:lineRule="auto"/>
        <w:rPr>
          <w:rFonts w:ascii="Arial" w:hAnsi="Arial" w:cs="Arial"/>
        </w:rPr>
      </w:pPr>
    </w:p>
    <w:p w14:paraId="258F1C6D" w14:textId="77777777" w:rsidR="00D25474" w:rsidRPr="00D25474" w:rsidRDefault="00D25474" w:rsidP="00A12F76">
      <w:pPr>
        <w:spacing w:line="360" w:lineRule="auto"/>
        <w:rPr>
          <w:rFonts w:ascii="Arial" w:hAnsi="Arial" w:cs="Arial"/>
        </w:rPr>
      </w:pPr>
    </w:p>
    <w:p w14:paraId="5241EECA" w14:textId="77777777" w:rsidR="00D25474" w:rsidRPr="00D25474" w:rsidRDefault="00D25474" w:rsidP="00A12F76">
      <w:pPr>
        <w:spacing w:line="360" w:lineRule="auto"/>
        <w:rPr>
          <w:rFonts w:ascii="Arial" w:hAnsi="Arial" w:cs="Arial"/>
        </w:rPr>
      </w:pPr>
    </w:p>
    <w:p w14:paraId="37B35C46" w14:textId="77777777" w:rsidR="00D25474" w:rsidRPr="00D25474" w:rsidRDefault="00D25474" w:rsidP="00A12F76">
      <w:pPr>
        <w:spacing w:line="360" w:lineRule="auto"/>
        <w:rPr>
          <w:rFonts w:ascii="Arial" w:hAnsi="Arial" w:cs="Arial"/>
        </w:rPr>
      </w:pPr>
    </w:p>
    <w:p w14:paraId="3149E19F" w14:textId="77777777" w:rsidR="00D25474" w:rsidRPr="00D25474" w:rsidRDefault="00D25474" w:rsidP="00A12F76">
      <w:pPr>
        <w:spacing w:line="360" w:lineRule="auto"/>
        <w:rPr>
          <w:rFonts w:ascii="Arial" w:hAnsi="Arial" w:cs="Arial"/>
        </w:rPr>
      </w:pPr>
    </w:p>
    <w:p w14:paraId="0706DED4" w14:textId="77777777" w:rsidR="00D25474" w:rsidRPr="00D25474" w:rsidRDefault="00D25474" w:rsidP="00A12F76">
      <w:pPr>
        <w:spacing w:line="360" w:lineRule="auto"/>
        <w:rPr>
          <w:rFonts w:ascii="Arial" w:hAnsi="Arial" w:cs="Arial"/>
        </w:rPr>
      </w:pPr>
    </w:p>
    <w:p w14:paraId="4A95AE23" w14:textId="77777777" w:rsidR="00D25474" w:rsidRPr="00D25474" w:rsidRDefault="00D25474" w:rsidP="00A12F76">
      <w:pPr>
        <w:spacing w:line="360" w:lineRule="auto"/>
        <w:rPr>
          <w:rFonts w:ascii="Arial" w:hAnsi="Arial" w:cs="Arial"/>
        </w:rPr>
      </w:pPr>
    </w:p>
    <w:p w14:paraId="0443239F" w14:textId="77777777" w:rsidR="00D25474" w:rsidRPr="00D25474" w:rsidRDefault="00D25474" w:rsidP="00A12F76">
      <w:pPr>
        <w:spacing w:line="360" w:lineRule="auto"/>
        <w:rPr>
          <w:rFonts w:ascii="Arial" w:hAnsi="Arial" w:cs="Arial"/>
        </w:rPr>
      </w:pPr>
    </w:p>
    <w:p w14:paraId="6BC9E69F" w14:textId="77777777" w:rsidR="00D25474" w:rsidRPr="00D25474" w:rsidRDefault="00D25474" w:rsidP="00A12F76">
      <w:pPr>
        <w:spacing w:line="360" w:lineRule="auto"/>
        <w:rPr>
          <w:rFonts w:ascii="Arial" w:hAnsi="Arial" w:cs="Arial"/>
        </w:rPr>
      </w:pPr>
    </w:p>
    <w:p w14:paraId="359A7C1F" w14:textId="77777777" w:rsidR="00D25474" w:rsidRPr="00D25474" w:rsidRDefault="00D25474" w:rsidP="00A12F76">
      <w:pPr>
        <w:spacing w:line="360" w:lineRule="auto"/>
        <w:rPr>
          <w:rFonts w:ascii="Arial" w:hAnsi="Arial" w:cs="Arial"/>
        </w:rPr>
      </w:pPr>
    </w:p>
    <w:p w14:paraId="2FBBA607" w14:textId="77777777" w:rsidR="00D25474" w:rsidRPr="00D25474" w:rsidRDefault="00D25474" w:rsidP="00A12F76">
      <w:pPr>
        <w:spacing w:line="360" w:lineRule="auto"/>
        <w:rPr>
          <w:rFonts w:ascii="Arial" w:hAnsi="Arial" w:cs="Arial"/>
        </w:rPr>
      </w:pPr>
    </w:p>
    <w:p w14:paraId="5897D12B" w14:textId="77777777" w:rsidR="00D25474" w:rsidRPr="00D25474" w:rsidRDefault="00D25474" w:rsidP="00A12F76">
      <w:pPr>
        <w:spacing w:line="360" w:lineRule="auto"/>
        <w:rPr>
          <w:rFonts w:ascii="Arial" w:hAnsi="Arial" w:cs="Arial"/>
        </w:rPr>
      </w:pPr>
    </w:p>
    <w:p w14:paraId="65B6AB04" w14:textId="77777777" w:rsidR="00D25474" w:rsidRDefault="00D25474" w:rsidP="00A12F76">
      <w:pPr>
        <w:spacing w:line="360" w:lineRule="auto"/>
        <w:rPr>
          <w:rFonts w:ascii="Arial" w:hAnsi="Arial" w:cs="Arial"/>
        </w:rPr>
      </w:pPr>
    </w:p>
    <w:p w14:paraId="16892852" w14:textId="77777777" w:rsidR="00B65AA9" w:rsidRDefault="00B65AA9" w:rsidP="00A12F76">
      <w:pPr>
        <w:spacing w:line="360" w:lineRule="auto"/>
        <w:rPr>
          <w:rFonts w:ascii="Arial" w:hAnsi="Arial" w:cs="Arial"/>
        </w:rPr>
      </w:pPr>
    </w:p>
    <w:p w14:paraId="76B77EF0" w14:textId="77777777" w:rsidR="00B65AA9" w:rsidRDefault="00B65AA9" w:rsidP="00A12F76">
      <w:pPr>
        <w:spacing w:line="360" w:lineRule="auto"/>
        <w:rPr>
          <w:rFonts w:ascii="Arial" w:hAnsi="Arial" w:cs="Arial"/>
        </w:rPr>
      </w:pPr>
    </w:p>
    <w:p w14:paraId="70BE760A" w14:textId="77777777" w:rsidR="00B65AA9" w:rsidRDefault="00B65AA9" w:rsidP="00A12F76">
      <w:pPr>
        <w:spacing w:line="360" w:lineRule="auto"/>
        <w:rPr>
          <w:rFonts w:ascii="Arial" w:hAnsi="Arial" w:cs="Arial"/>
        </w:rPr>
      </w:pPr>
    </w:p>
    <w:p w14:paraId="3EFFDA03" w14:textId="1B7F64FF" w:rsidR="00B65AA9" w:rsidRDefault="00B65AA9" w:rsidP="00B65AA9">
      <w:pPr>
        <w:pStyle w:val="Style1"/>
      </w:pPr>
      <w:r>
        <w:lastRenderedPageBreak/>
        <w:t>References</w:t>
      </w:r>
    </w:p>
    <w:p w14:paraId="516D32A9"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Bodie, Z. and Merton, R.C. (2019). </w:t>
      </w:r>
      <w:r w:rsidRPr="00B65AA9">
        <w:rPr>
          <w:rFonts w:ascii="Arial" w:hAnsi="Arial" w:cs="Arial"/>
          <w:i/>
          <w:iCs/>
          <w:lang w:val="en-CA"/>
        </w:rPr>
        <w:t>Finance</w:t>
      </w:r>
      <w:r w:rsidRPr="00B65AA9">
        <w:rPr>
          <w:rFonts w:ascii="Arial" w:hAnsi="Arial" w:cs="Arial"/>
          <w:lang w:val="en-CA"/>
        </w:rPr>
        <w:t>. Upper Saddle River, Nj: Prentice Hall.</w:t>
      </w:r>
    </w:p>
    <w:p w14:paraId="653D6505"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Brealey, R.A., Myers, S.C., Allen, F. and Sandri, S. (2011). </w:t>
      </w:r>
      <w:r w:rsidRPr="00B65AA9">
        <w:rPr>
          <w:rFonts w:ascii="Arial" w:hAnsi="Arial" w:cs="Arial"/>
          <w:i/>
          <w:iCs/>
          <w:lang w:val="en-CA"/>
        </w:rPr>
        <w:t>Capital budgeting</w:t>
      </w:r>
      <w:r w:rsidRPr="00B65AA9">
        <w:rPr>
          <w:rFonts w:ascii="Arial" w:hAnsi="Arial" w:cs="Arial"/>
          <w:lang w:val="en-CA"/>
        </w:rPr>
        <w:t>. Milano: Mcgraw-Hill Companies.</w:t>
      </w:r>
    </w:p>
    <w:p w14:paraId="7F5952AB"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Bulama, M., Danladi, I. and Musa (2023). THE ROLE OF INVESTMENT APPRAISAL/CAPITAL BUDGETTING TECHNIQUES IN EVALUATING THE PROFITABILITY OF PROJECTS: A REVIEW OF LITERATURE. </w:t>
      </w:r>
      <w:r w:rsidRPr="00B65AA9">
        <w:rPr>
          <w:rFonts w:ascii="Arial" w:hAnsi="Arial" w:cs="Arial"/>
          <w:i/>
          <w:iCs/>
          <w:lang w:val="en-CA"/>
        </w:rPr>
        <w:t>International Journal of Management Science and Business Analysis</w:t>
      </w:r>
      <w:r w:rsidRPr="00B65AA9">
        <w:rPr>
          <w:rFonts w:ascii="Arial" w:hAnsi="Arial" w:cs="Arial"/>
          <w:lang w:val="en-CA"/>
        </w:rPr>
        <w:t>, [online] 28(7). Available at: https://www.cambridgenigeriapub.com/wp-content/uploads/2023/07/CJMSBA.VOL_.28.NO_.7-10.pdf.</w:t>
      </w:r>
    </w:p>
    <w:p w14:paraId="20C572DE"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CIMA (2018). </w:t>
      </w:r>
      <w:r w:rsidRPr="00B65AA9">
        <w:rPr>
          <w:rFonts w:ascii="Arial" w:hAnsi="Arial" w:cs="Arial"/>
          <w:i/>
          <w:iCs/>
          <w:lang w:val="en-CA"/>
        </w:rPr>
        <w:t>Financial management.</w:t>
      </w:r>
      <w:r w:rsidRPr="00B65AA9">
        <w:rPr>
          <w:rFonts w:ascii="Arial" w:hAnsi="Arial" w:cs="Arial"/>
          <w:lang w:val="en-CA"/>
        </w:rPr>
        <w:t xml:space="preserve"> London: Bpp Learning Media.</w:t>
      </w:r>
    </w:p>
    <w:p w14:paraId="51D47528"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Fernandes, N. (2014). </w:t>
      </w:r>
      <w:r w:rsidRPr="00B65AA9">
        <w:rPr>
          <w:rFonts w:ascii="Arial" w:hAnsi="Arial" w:cs="Arial"/>
          <w:i/>
          <w:iCs/>
          <w:lang w:val="en-CA"/>
        </w:rPr>
        <w:t>Finance for executives : a practical guide for managers</w:t>
      </w:r>
      <w:r w:rsidRPr="00B65AA9">
        <w:rPr>
          <w:rFonts w:ascii="Arial" w:hAnsi="Arial" w:cs="Arial"/>
          <w:lang w:val="en-CA"/>
        </w:rPr>
        <w:t>. Erscheinungsort Nicht Ermittelbar: Npv Publishing.</w:t>
      </w:r>
    </w:p>
    <w:p w14:paraId="5E9F5672"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Götze, U., Northcott, D. and Schuster, P. (2015). Capital Budgeting and Investment Decisions. </w:t>
      </w:r>
      <w:r w:rsidRPr="00B65AA9">
        <w:rPr>
          <w:rFonts w:ascii="Arial" w:hAnsi="Arial" w:cs="Arial"/>
          <w:i/>
          <w:iCs/>
          <w:lang w:val="en-CA"/>
        </w:rPr>
        <w:t>Springer Texts in Business and Economics</w:t>
      </w:r>
      <w:r w:rsidRPr="00B65AA9">
        <w:rPr>
          <w:rFonts w:ascii="Arial" w:hAnsi="Arial" w:cs="Arial"/>
          <w:lang w:val="en-CA"/>
        </w:rPr>
        <w:t>, pp.3–26. doi:https://doi.org/10.1007/978-3-662-45851-8_1.</w:t>
      </w:r>
    </w:p>
    <w:p w14:paraId="21C4483B"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Hedegaard, O. (2016). </w:t>
      </w:r>
      <w:r w:rsidRPr="00B65AA9">
        <w:rPr>
          <w:rFonts w:ascii="Arial" w:hAnsi="Arial" w:cs="Arial"/>
          <w:i/>
          <w:iCs/>
          <w:lang w:val="en-CA"/>
        </w:rPr>
        <w:t>Strategic investment and finance</w:t>
      </w:r>
      <w:r w:rsidRPr="00B65AA9">
        <w:rPr>
          <w:rFonts w:ascii="Arial" w:hAnsi="Arial" w:cs="Arial"/>
          <w:lang w:val="en-CA"/>
        </w:rPr>
        <w:t>. Copenhagen: Djoef Publishing.</w:t>
      </w:r>
    </w:p>
    <w:p w14:paraId="0213B9BB"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Johnson, R.W. (2023). </w:t>
      </w:r>
      <w:r w:rsidRPr="00B65AA9">
        <w:rPr>
          <w:rFonts w:ascii="Arial" w:hAnsi="Arial" w:cs="Arial"/>
          <w:i/>
          <w:iCs/>
          <w:lang w:val="en-CA"/>
        </w:rPr>
        <w:t>Financial management</w:t>
      </w:r>
      <w:r w:rsidRPr="00B65AA9">
        <w:rPr>
          <w:rFonts w:ascii="Arial" w:hAnsi="Arial" w:cs="Arial"/>
          <w:lang w:val="en-CA"/>
        </w:rPr>
        <w:t>. Boston: Allyn And Bacon.</w:t>
      </w:r>
    </w:p>
    <w:p w14:paraId="49C8FA8C"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Madura, J. (2021). </w:t>
      </w:r>
      <w:r w:rsidRPr="00B65AA9">
        <w:rPr>
          <w:rFonts w:ascii="Arial" w:hAnsi="Arial" w:cs="Arial"/>
          <w:i/>
          <w:iCs/>
          <w:lang w:val="en-CA"/>
        </w:rPr>
        <w:t>International Financial Management</w:t>
      </w:r>
      <w:r w:rsidRPr="00B65AA9">
        <w:rPr>
          <w:rFonts w:ascii="Arial" w:hAnsi="Arial" w:cs="Arial"/>
          <w:lang w:val="en-CA"/>
        </w:rPr>
        <w:t>. 14th ed. South Melbourne, Australia: Cengage Learning Australia.</w:t>
      </w:r>
    </w:p>
    <w:p w14:paraId="3E40AEDE"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Prasad, P., Narayanasamy, S., Paul, S., Chattopadhyay, S. and Saravanan, P. (2018). REVIEW OF LITERATURE ON WORKING CAPITAL MANAGEMENT AND FUTURE RESEARCH AGENDA. </w:t>
      </w:r>
      <w:r w:rsidRPr="00B65AA9">
        <w:rPr>
          <w:rFonts w:ascii="Arial" w:hAnsi="Arial" w:cs="Arial"/>
          <w:i/>
          <w:iCs/>
          <w:lang w:val="en-CA"/>
        </w:rPr>
        <w:t>Journal of Economic Surveys</w:t>
      </w:r>
      <w:r w:rsidRPr="00B65AA9">
        <w:rPr>
          <w:rFonts w:ascii="Arial" w:hAnsi="Arial" w:cs="Arial"/>
          <w:lang w:val="en-CA"/>
        </w:rPr>
        <w:t>, 33(3). doi:https://doi.org/10.1111/joes.12299.</w:t>
      </w:r>
    </w:p>
    <w:p w14:paraId="52815B9B"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Singh, H.P., Kumar, S. and Colombage, S. (2017). Working capital management and firm profitability: a meta-analysis. </w:t>
      </w:r>
      <w:r w:rsidRPr="00B65AA9">
        <w:rPr>
          <w:rFonts w:ascii="Arial" w:hAnsi="Arial" w:cs="Arial"/>
          <w:i/>
          <w:iCs/>
          <w:lang w:val="en-CA"/>
        </w:rPr>
        <w:t>Qualitative Research in Financial Markets</w:t>
      </w:r>
      <w:r w:rsidRPr="00B65AA9">
        <w:rPr>
          <w:rFonts w:ascii="Arial" w:hAnsi="Arial" w:cs="Arial"/>
          <w:lang w:val="en-CA"/>
        </w:rPr>
        <w:t>, 9(1), pp.34–47. doi:https://doi.org/10.1108/qrfm-06-2016-0018.</w:t>
      </w:r>
    </w:p>
    <w:p w14:paraId="47A424CC" w14:textId="77777777" w:rsidR="00B65AA9" w:rsidRPr="00B65AA9" w:rsidRDefault="00B65AA9" w:rsidP="00B65AA9">
      <w:pPr>
        <w:spacing w:line="360" w:lineRule="auto"/>
        <w:rPr>
          <w:rFonts w:ascii="Arial" w:hAnsi="Arial" w:cs="Arial"/>
          <w:lang w:val="en-CA"/>
        </w:rPr>
      </w:pPr>
      <w:r w:rsidRPr="00B65AA9">
        <w:rPr>
          <w:rFonts w:ascii="Arial" w:hAnsi="Arial" w:cs="Arial"/>
          <w:lang w:val="en-CA"/>
        </w:rPr>
        <w:t xml:space="preserve">Thomas, C.W. (2022). </w:t>
      </w:r>
      <w:r w:rsidRPr="00B65AA9">
        <w:rPr>
          <w:rFonts w:ascii="Arial" w:hAnsi="Arial" w:cs="Arial"/>
          <w:i/>
          <w:iCs/>
          <w:lang w:val="en-CA"/>
        </w:rPr>
        <w:t>Financial Accounting</w:t>
      </w:r>
      <w:r w:rsidRPr="00B65AA9">
        <w:rPr>
          <w:rFonts w:ascii="Arial" w:hAnsi="Arial" w:cs="Arial"/>
          <w:lang w:val="en-CA"/>
        </w:rPr>
        <w:t>. New York: Pearson.</w:t>
      </w:r>
    </w:p>
    <w:p w14:paraId="6907634B" w14:textId="77777777" w:rsidR="00B65AA9" w:rsidRDefault="00B65AA9" w:rsidP="00A12F76">
      <w:pPr>
        <w:spacing w:line="360" w:lineRule="auto"/>
        <w:rPr>
          <w:rFonts w:ascii="Arial" w:hAnsi="Arial" w:cs="Arial"/>
        </w:rPr>
      </w:pPr>
    </w:p>
    <w:p w14:paraId="7C16E150" w14:textId="77777777" w:rsidR="00D25474" w:rsidRPr="00D25474" w:rsidRDefault="00D25474" w:rsidP="00A12F76">
      <w:pPr>
        <w:spacing w:line="360" w:lineRule="auto"/>
        <w:rPr>
          <w:rFonts w:ascii="Arial" w:hAnsi="Arial" w:cs="Arial"/>
        </w:rPr>
      </w:pPr>
    </w:p>
    <w:p w14:paraId="5A52C91E" w14:textId="3DE1EFF5" w:rsidR="00A12F76" w:rsidRPr="00D25474" w:rsidRDefault="00D25474" w:rsidP="00D25474">
      <w:pPr>
        <w:pStyle w:val="Style1"/>
      </w:pPr>
      <w:bookmarkStart w:id="37" w:name="_Toc213619039"/>
      <w:r w:rsidRPr="00D25474">
        <w:lastRenderedPageBreak/>
        <w:t>Appendices</w:t>
      </w:r>
      <w:bookmarkEnd w:id="37"/>
    </w:p>
    <w:p w14:paraId="1966C0C9" w14:textId="7C64EB1D" w:rsidR="00A12F76" w:rsidRPr="00D25474" w:rsidRDefault="00A12F76" w:rsidP="00D25474">
      <w:pPr>
        <w:pStyle w:val="Style2"/>
      </w:pPr>
      <w:bookmarkStart w:id="38" w:name="_Toc213619040"/>
      <w:r w:rsidRPr="00D25474">
        <w:t>Full Ratio Calculations (2020–2024)</w:t>
      </w:r>
      <w:bookmarkEnd w:id="38"/>
    </w:p>
    <w:p w14:paraId="15FEA3F5" w14:textId="2B444D52" w:rsidR="00A12F76" w:rsidRPr="00D25474" w:rsidRDefault="00A12F76" w:rsidP="00A12F76">
      <w:pPr>
        <w:rPr>
          <w:rFonts w:ascii="Arial" w:hAnsi="Arial" w:cs="Arial"/>
          <w:lang w:val="en-CA"/>
        </w:rPr>
      </w:pPr>
    </w:p>
    <w:p w14:paraId="42B55371" w14:textId="3C195922" w:rsidR="00D25474" w:rsidRPr="00D25474" w:rsidRDefault="00A12F76" w:rsidP="00D25474">
      <w:pPr>
        <w:pStyle w:val="ListParagraph"/>
        <w:numPr>
          <w:ilvl w:val="1"/>
          <w:numId w:val="5"/>
        </w:numPr>
        <w:spacing w:line="360" w:lineRule="auto"/>
        <w:rPr>
          <w:rFonts w:ascii="Arial" w:hAnsi="Arial" w:cs="Arial"/>
          <w:b/>
          <w:bCs/>
          <w:lang w:val="en-CA"/>
        </w:rPr>
      </w:pPr>
      <w:r w:rsidRPr="00D25474">
        <w:rPr>
          <w:rFonts w:ascii="Arial" w:hAnsi="Arial" w:cs="Arial"/>
          <w:b/>
          <w:bCs/>
          <w:lang w:val="en-CA"/>
        </w:rPr>
        <w:t>Profitability Ratios</w:t>
      </w:r>
    </w:p>
    <w:tbl>
      <w:tblPr>
        <w:tblStyle w:val="TableGrid"/>
        <w:tblW w:w="0" w:type="auto"/>
        <w:tblLook w:val="04A0" w:firstRow="1" w:lastRow="0" w:firstColumn="1" w:lastColumn="0" w:noHBand="0" w:noVBand="1"/>
      </w:tblPr>
      <w:tblGrid>
        <w:gridCol w:w="1448"/>
        <w:gridCol w:w="1822"/>
        <w:gridCol w:w="1225"/>
        <w:gridCol w:w="1225"/>
        <w:gridCol w:w="1210"/>
        <w:gridCol w:w="1210"/>
        <w:gridCol w:w="1210"/>
      </w:tblGrid>
      <w:tr w:rsidR="00A12F76" w:rsidRPr="00D25474" w14:paraId="659A5BE4" w14:textId="77777777" w:rsidTr="00D25474">
        <w:tc>
          <w:tcPr>
            <w:tcW w:w="0" w:type="auto"/>
            <w:hideMark/>
          </w:tcPr>
          <w:p w14:paraId="32B4B61D"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59BB4F53"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01DF065D"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6403BDC7"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7E946AA3"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1ECBDCEA"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0DE6AD7D"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2020</w:t>
            </w:r>
          </w:p>
        </w:tc>
      </w:tr>
      <w:tr w:rsidR="00A12F76" w:rsidRPr="00D25474" w14:paraId="64882E34" w14:textId="77777777" w:rsidTr="00D25474">
        <w:tc>
          <w:tcPr>
            <w:tcW w:w="0" w:type="auto"/>
            <w:hideMark/>
          </w:tcPr>
          <w:p w14:paraId="6DC41E9B"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Gross Profit Margin</w:t>
            </w:r>
          </w:p>
        </w:tc>
        <w:tc>
          <w:tcPr>
            <w:tcW w:w="0" w:type="auto"/>
            <w:hideMark/>
          </w:tcPr>
          <w:p w14:paraId="17D705EA"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Gross Profit ÷ Net Sales</w:t>
            </w:r>
          </w:p>
        </w:tc>
        <w:tc>
          <w:tcPr>
            <w:tcW w:w="0" w:type="auto"/>
            <w:hideMark/>
          </w:tcPr>
          <w:p w14:paraId="2F0AA12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113,994 ÷ 394,879 = </w:t>
            </w:r>
            <w:r w:rsidRPr="00D25474">
              <w:rPr>
                <w:rFonts w:ascii="Arial" w:hAnsi="Arial" w:cs="Arial"/>
                <w:b/>
                <w:bCs/>
                <w:lang w:val="en-CA"/>
              </w:rPr>
              <w:t>28.9%</w:t>
            </w:r>
          </w:p>
        </w:tc>
        <w:tc>
          <w:tcPr>
            <w:tcW w:w="0" w:type="auto"/>
            <w:hideMark/>
          </w:tcPr>
          <w:p w14:paraId="45D5F38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97,560 ÷ 420,457 = </w:t>
            </w:r>
            <w:r w:rsidRPr="00D25474">
              <w:rPr>
                <w:rFonts w:ascii="Arial" w:hAnsi="Arial" w:cs="Arial"/>
                <w:b/>
                <w:bCs/>
                <w:lang w:val="en-CA"/>
              </w:rPr>
              <w:t>23.2%</w:t>
            </w:r>
          </w:p>
        </w:tc>
        <w:tc>
          <w:tcPr>
            <w:tcW w:w="0" w:type="auto"/>
            <w:hideMark/>
          </w:tcPr>
          <w:p w14:paraId="3BECFE2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152,292 ÷ 542,751 = </w:t>
            </w:r>
            <w:r w:rsidRPr="00D25474">
              <w:rPr>
                <w:rFonts w:ascii="Arial" w:hAnsi="Arial" w:cs="Arial"/>
                <w:b/>
                <w:bCs/>
                <w:lang w:val="en-CA"/>
              </w:rPr>
              <w:t>28.1%</w:t>
            </w:r>
          </w:p>
        </w:tc>
        <w:tc>
          <w:tcPr>
            <w:tcW w:w="0" w:type="auto"/>
            <w:hideMark/>
          </w:tcPr>
          <w:p w14:paraId="0DDFE6A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173,016 ÷ 601,602 = </w:t>
            </w:r>
            <w:r w:rsidRPr="00D25474">
              <w:rPr>
                <w:rFonts w:ascii="Arial" w:hAnsi="Arial" w:cs="Arial"/>
                <w:b/>
                <w:bCs/>
                <w:lang w:val="en-CA"/>
              </w:rPr>
              <w:t>28.8%</w:t>
            </w:r>
          </w:p>
        </w:tc>
        <w:tc>
          <w:tcPr>
            <w:tcW w:w="0" w:type="auto"/>
            <w:hideMark/>
          </w:tcPr>
          <w:p w14:paraId="61A07A7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176,256 ÷ 614,680 = </w:t>
            </w:r>
            <w:r w:rsidRPr="00D25474">
              <w:rPr>
                <w:rFonts w:ascii="Arial" w:hAnsi="Arial" w:cs="Arial"/>
                <w:b/>
                <w:bCs/>
                <w:lang w:val="en-CA"/>
              </w:rPr>
              <w:t>28.7%</w:t>
            </w:r>
          </w:p>
        </w:tc>
      </w:tr>
      <w:tr w:rsidR="00A12F76" w:rsidRPr="00D25474" w14:paraId="05D08FFC" w14:textId="77777777" w:rsidTr="00D25474">
        <w:tc>
          <w:tcPr>
            <w:tcW w:w="0" w:type="auto"/>
            <w:hideMark/>
          </w:tcPr>
          <w:p w14:paraId="57617973"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Operating Margin</w:t>
            </w:r>
          </w:p>
        </w:tc>
        <w:tc>
          <w:tcPr>
            <w:tcW w:w="0" w:type="auto"/>
            <w:hideMark/>
          </w:tcPr>
          <w:p w14:paraId="517D149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Operating Income ÷ Net Sales</w:t>
            </w:r>
          </w:p>
        </w:tc>
        <w:tc>
          <w:tcPr>
            <w:tcW w:w="0" w:type="auto"/>
            <w:hideMark/>
          </w:tcPr>
          <w:p w14:paraId="468B6FD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−15,297 ÷ 394,879 = </w:t>
            </w:r>
            <w:r w:rsidRPr="00D25474">
              <w:rPr>
                <w:rFonts w:ascii="Arial" w:hAnsi="Arial" w:cs="Arial"/>
                <w:b/>
                <w:bCs/>
                <w:lang w:val="en-CA"/>
              </w:rPr>
              <w:t>−3.9%</w:t>
            </w:r>
          </w:p>
        </w:tc>
        <w:tc>
          <w:tcPr>
            <w:tcW w:w="0" w:type="auto"/>
            <w:hideMark/>
          </w:tcPr>
          <w:p w14:paraId="6E4F8C6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−85,301 ÷ 420,457 = </w:t>
            </w:r>
            <w:r w:rsidRPr="00D25474">
              <w:rPr>
                <w:rFonts w:ascii="Arial" w:hAnsi="Arial" w:cs="Arial"/>
                <w:b/>
                <w:bCs/>
                <w:lang w:val="en-CA"/>
              </w:rPr>
              <w:t>−20.3%</w:t>
            </w:r>
          </w:p>
        </w:tc>
        <w:tc>
          <w:tcPr>
            <w:tcW w:w="0" w:type="auto"/>
            <w:hideMark/>
          </w:tcPr>
          <w:p w14:paraId="7CC98BA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14,548 ÷ 542,751 = </w:t>
            </w:r>
            <w:r w:rsidRPr="00D25474">
              <w:rPr>
                <w:rFonts w:ascii="Arial" w:hAnsi="Arial" w:cs="Arial"/>
                <w:b/>
                <w:bCs/>
                <w:lang w:val="en-CA"/>
              </w:rPr>
              <w:t>2.7%</w:t>
            </w:r>
          </w:p>
        </w:tc>
        <w:tc>
          <w:tcPr>
            <w:tcW w:w="0" w:type="auto"/>
            <w:hideMark/>
          </w:tcPr>
          <w:p w14:paraId="5AFF6FD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23,253 ÷ 601,602 = </w:t>
            </w:r>
            <w:r w:rsidRPr="00D25474">
              <w:rPr>
                <w:rFonts w:ascii="Arial" w:hAnsi="Arial" w:cs="Arial"/>
                <w:b/>
                <w:bCs/>
                <w:lang w:val="en-CA"/>
              </w:rPr>
              <w:t>3.9%</w:t>
            </w:r>
          </w:p>
        </w:tc>
        <w:tc>
          <w:tcPr>
            <w:tcW w:w="0" w:type="auto"/>
            <w:hideMark/>
          </w:tcPr>
          <w:p w14:paraId="147273C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37,267 ÷ 614,680 = </w:t>
            </w:r>
            <w:r w:rsidRPr="00D25474">
              <w:rPr>
                <w:rFonts w:ascii="Arial" w:hAnsi="Arial" w:cs="Arial"/>
                <w:b/>
                <w:bCs/>
                <w:lang w:val="en-CA"/>
              </w:rPr>
              <w:t>6.1%</w:t>
            </w:r>
          </w:p>
        </w:tc>
      </w:tr>
      <w:tr w:rsidR="00A12F76" w:rsidRPr="00D25474" w14:paraId="3FCF74F9" w14:textId="77777777" w:rsidTr="00D25474">
        <w:tc>
          <w:tcPr>
            <w:tcW w:w="0" w:type="auto"/>
            <w:hideMark/>
          </w:tcPr>
          <w:p w14:paraId="2D305F3C"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Net Profit Margin</w:t>
            </w:r>
          </w:p>
        </w:tc>
        <w:tc>
          <w:tcPr>
            <w:tcW w:w="0" w:type="auto"/>
            <w:hideMark/>
          </w:tcPr>
          <w:p w14:paraId="33C24C7A"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Net Income ÷ Net Sales</w:t>
            </w:r>
          </w:p>
        </w:tc>
        <w:tc>
          <w:tcPr>
            <w:tcW w:w="0" w:type="auto"/>
            <w:hideMark/>
          </w:tcPr>
          <w:p w14:paraId="3FFCA95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−24,029 ÷ 394,879 = </w:t>
            </w:r>
            <w:r w:rsidRPr="00D25474">
              <w:rPr>
                <w:rFonts w:ascii="Arial" w:hAnsi="Arial" w:cs="Arial"/>
                <w:b/>
                <w:bCs/>
                <w:lang w:val="en-CA"/>
              </w:rPr>
              <w:t>−6.1%</w:t>
            </w:r>
          </w:p>
        </w:tc>
        <w:tc>
          <w:tcPr>
            <w:tcW w:w="0" w:type="auto"/>
            <w:hideMark/>
          </w:tcPr>
          <w:p w14:paraId="5AF8E08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−98,238 ÷ 420,457 = </w:t>
            </w:r>
            <w:r w:rsidRPr="00D25474">
              <w:rPr>
                <w:rFonts w:ascii="Arial" w:hAnsi="Arial" w:cs="Arial"/>
                <w:b/>
                <w:bCs/>
                <w:lang w:val="en-CA"/>
              </w:rPr>
              <w:t>−23.4%</w:t>
            </w:r>
          </w:p>
        </w:tc>
        <w:tc>
          <w:tcPr>
            <w:tcW w:w="0" w:type="auto"/>
            <w:hideMark/>
          </w:tcPr>
          <w:p w14:paraId="18CA227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407 ÷ 542,751 = </w:t>
            </w:r>
            <w:r w:rsidRPr="00D25474">
              <w:rPr>
                <w:rFonts w:ascii="Arial" w:hAnsi="Arial" w:cs="Arial"/>
                <w:b/>
                <w:bCs/>
                <w:lang w:val="en-CA"/>
              </w:rPr>
              <w:t>0.07%</w:t>
            </w:r>
          </w:p>
        </w:tc>
        <w:tc>
          <w:tcPr>
            <w:tcW w:w="0" w:type="auto"/>
            <w:hideMark/>
          </w:tcPr>
          <w:p w14:paraId="1D98E20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5,301 ÷ 601,602 = </w:t>
            </w:r>
            <w:r w:rsidRPr="00D25474">
              <w:rPr>
                <w:rFonts w:ascii="Arial" w:hAnsi="Arial" w:cs="Arial"/>
                <w:b/>
                <w:bCs/>
                <w:lang w:val="en-CA"/>
              </w:rPr>
              <w:t>0.88%</w:t>
            </w:r>
          </w:p>
        </w:tc>
        <w:tc>
          <w:tcPr>
            <w:tcW w:w="0" w:type="auto"/>
            <w:hideMark/>
          </w:tcPr>
          <w:p w14:paraId="0D242C9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38,572 ÷ 614,680 = </w:t>
            </w:r>
            <w:r w:rsidRPr="00D25474">
              <w:rPr>
                <w:rFonts w:ascii="Arial" w:hAnsi="Arial" w:cs="Arial"/>
                <w:b/>
                <w:bCs/>
                <w:lang w:val="en-CA"/>
              </w:rPr>
              <w:t>6.3%</w:t>
            </w:r>
          </w:p>
        </w:tc>
      </w:tr>
      <w:tr w:rsidR="00A12F76" w:rsidRPr="00D25474" w14:paraId="2B7A5F10" w14:textId="77777777" w:rsidTr="00D25474">
        <w:tc>
          <w:tcPr>
            <w:tcW w:w="0" w:type="auto"/>
            <w:hideMark/>
          </w:tcPr>
          <w:p w14:paraId="14C73F50"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Return on Assets (ROA)</w:t>
            </w:r>
          </w:p>
        </w:tc>
        <w:tc>
          <w:tcPr>
            <w:tcW w:w="0" w:type="auto"/>
            <w:hideMark/>
          </w:tcPr>
          <w:p w14:paraId="3AD4A52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Net Income ÷ Total Assets</w:t>
            </w:r>
          </w:p>
        </w:tc>
        <w:tc>
          <w:tcPr>
            <w:tcW w:w="0" w:type="auto"/>
            <w:hideMark/>
          </w:tcPr>
          <w:p w14:paraId="0AD0686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−24,029 ÷ 323,354 = </w:t>
            </w:r>
            <w:r w:rsidRPr="00D25474">
              <w:rPr>
                <w:rFonts w:ascii="Arial" w:hAnsi="Arial" w:cs="Arial"/>
                <w:b/>
                <w:bCs/>
                <w:lang w:val="en-CA"/>
              </w:rPr>
              <w:t>−7.4%</w:t>
            </w:r>
          </w:p>
        </w:tc>
        <w:tc>
          <w:tcPr>
            <w:tcW w:w="0" w:type="auto"/>
            <w:hideMark/>
          </w:tcPr>
          <w:p w14:paraId="78427A8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−98,238 ÷ 355,872 = </w:t>
            </w:r>
            <w:r w:rsidRPr="00D25474">
              <w:rPr>
                <w:rFonts w:ascii="Arial" w:hAnsi="Arial" w:cs="Arial"/>
                <w:b/>
                <w:bCs/>
                <w:lang w:val="en-CA"/>
              </w:rPr>
              <w:t>−27.6%</w:t>
            </w:r>
          </w:p>
        </w:tc>
        <w:tc>
          <w:tcPr>
            <w:tcW w:w="0" w:type="auto"/>
            <w:hideMark/>
          </w:tcPr>
          <w:p w14:paraId="29638CF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407 ÷ 504,163 = </w:t>
            </w:r>
            <w:r w:rsidRPr="00D25474">
              <w:rPr>
                <w:rFonts w:ascii="Arial" w:hAnsi="Arial" w:cs="Arial"/>
                <w:b/>
                <w:bCs/>
                <w:lang w:val="en-CA"/>
              </w:rPr>
              <w:t>0.08%</w:t>
            </w:r>
          </w:p>
        </w:tc>
        <w:tc>
          <w:tcPr>
            <w:tcW w:w="0" w:type="auto"/>
            <w:hideMark/>
          </w:tcPr>
          <w:p w14:paraId="6B22FC2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5,301 ÷ 510,348 = </w:t>
            </w:r>
            <w:r w:rsidRPr="00D25474">
              <w:rPr>
                <w:rFonts w:ascii="Arial" w:hAnsi="Arial" w:cs="Arial"/>
                <w:b/>
                <w:bCs/>
                <w:lang w:val="en-CA"/>
              </w:rPr>
              <w:t>1.04%</w:t>
            </w:r>
          </w:p>
        </w:tc>
        <w:tc>
          <w:tcPr>
            <w:tcW w:w="0" w:type="auto"/>
            <w:hideMark/>
          </w:tcPr>
          <w:p w14:paraId="38302EA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38,572 ÷ 510,290 = </w:t>
            </w:r>
            <w:r w:rsidRPr="00D25474">
              <w:rPr>
                <w:rFonts w:ascii="Arial" w:hAnsi="Arial" w:cs="Arial"/>
                <w:b/>
                <w:bCs/>
                <w:lang w:val="en-CA"/>
              </w:rPr>
              <w:t>7.6%</w:t>
            </w:r>
          </w:p>
        </w:tc>
      </w:tr>
      <w:tr w:rsidR="00A12F76" w:rsidRPr="00D25474" w14:paraId="59CAD9CA" w14:textId="77777777" w:rsidTr="00D25474">
        <w:tc>
          <w:tcPr>
            <w:tcW w:w="0" w:type="auto"/>
            <w:hideMark/>
          </w:tcPr>
          <w:p w14:paraId="109DAA9A"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Return on Equity (ROE)</w:t>
            </w:r>
          </w:p>
        </w:tc>
        <w:tc>
          <w:tcPr>
            <w:tcW w:w="0" w:type="auto"/>
            <w:hideMark/>
          </w:tcPr>
          <w:p w14:paraId="0BA69BD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Net Income ÷ Shareholders’ Equity</w:t>
            </w:r>
          </w:p>
        </w:tc>
        <w:tc>
          <w:tcPr>
            <w:tcW w:w="0" w:type="auto"/>
            <w:hideMark/>
          </w:tcPr>
          <w:p w14:paraId="11B5E61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−24,029 ÷ 153,105 = </w:t>
            </w:r>
            <w:r w:rsidRPr="00D25474">
              <w:rPr>
                <w:rFonts w:ascii="Arial" w:hAnsi="Arial" w:cs="Arial"/>
                <w:b/>
                <w:bCs/>
                <w:lang w:val="en-CA"/>
              </w:rPr>
              <w:t>−15.7%</w:t>
            </w:r>
          </w:p>
        </w:tc>
        <w:tc>
          <w:tcPr>
            <w:tcW w:w="0" w:type="auto"/>
            <w:hideMark/>
          </w:tcPr>
          <w:p w14:paraId="0A48EFC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−98,238 ÷ 178,920 = </w:t>
            </w:r>
            <w:r w:rsidRPr="00D25474">
              <w:rPr>
                <w:rFonts w:ascii="Arial" w:hAnsi="Arial" w:cs="Arial"/>
                <w:b/>
                <w:bCs/>
                <w:lang w:val="en-CA"/>
              </w:rPr>
              <w:t>−54.9%</w:t>
            </w:r>
          </w:p>
        </w:tc>
        <w:tc>
          <w:tcPr>
            <w:tcW w:w="0" w:type="auto"/>
            <w:hideMark/>
          </w:tcPr>
          <w:p w14:paraId="2B235C9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407 ÷ 268,406 = </w:t>
            </w:r>
            <w:r w:rsidRPr="00D25474">
              <w:rPr>
                <w:rFonts w:ascii="Arial" w:hAnsi="Arial" w:cs="Arial"/>
                <w:b/>
                <w:bCs/>
                <w:lang w:val="en-CA"/>
              </w:rPr>
              <w:t>0.15%</w:t>
            </w:r>
          </w:p>
        </w:tc>
        <w:tc>
          <w:tcPr>
            <w:tcW w:w="0" w:type="auto"/>
            <w:hideMark/>
          </w:tcPr>
          <w:p w14:paraId="06A3E8A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5,301 ÷ 275,949 = </w:t>
            </w:r>
            <w:r w:rsidRPr="00D25474">
              <w:rPr>
                <w:rFonts w:ascii="Arial" w:hAnsi="Arial" w:cs="Arial"/>
                <w:b/>
                <w:bCs/>
                <w:lang w:val="en-CA"/>
              </w:rPr>
              <w:t>1.9%</w:t>
            </w:r>
          </w:p>
        </w:tc>
        <w:tc>
          <w:tcPr>
            <w:tcW w:w="0" w:type="auto"/>
            <w:hideMark/>
          </w:tcPr>
          <w:p w14:paraId="5920C8F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38,572 ÷ 313,301 = </w:t>
            </w:r>
            <w:r w:rsidRPr="00D25474">
              <w:rPr>
                <w:rFonts w:ascii="Arial" w:hAnsi="Arial" w:cs="Arial"/>
                <w:b/>
                <w:bCs/>
                <w:lang w:val="en-CA"/>
              </w:rPr>
              <w:t>12.3%</w:t>
            </w:r>
          </w:p>
        </w:tc>
      </w:tr>
    </w:tbl>
    <w:p w14:paraId="098B239E" w14:textId="765703D3" w:rsidR="00A12F76" w:rsidRPr="00D25474" w:rsidRDefault="00A12F76" w:rsidP="00D25474">
      <w:pPr>
        <w:spacing w:line="360" w:lineRule="auto"/>
        <w:rPr>
          <w:rFonts w:ascii="Arial" w:hAnsi="Arial" w:cs="Arial"/>
          <w:lang w:val="en-CA"/>
        </w:rPr>
      </w:pPr>
    </w:p>
    <w:p w14:paraId="39E20B5D"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lastRenderedPageBreak/>
        <w:t>B. Liquidity Ratios</w:t>
      </w:r>
    </w:p>
    <w:tbl>
      <w:tblPr>
        <w:tblStyle w:val="TableGrid"/>
        <w:tblW w:w="0" w:type="auto"/>
        <w:tblLook w:val="04A0" w:firstRow="1" w:lastRow="0" w:firstColumn="1" w:lastColumn="0" w:noHBand="0" w:noVBand="1"/>
      </w:tblPr>
      <w:tblGrid>
        <w:gridCol w:w="1124"/>
        <w:gridCol w:w="1449"/>
        <w:gridCol w:w="1350"/>
        <w:gridCol w:w="1350"/>
        <w:gridCol w:w="1359"/>
        <w:gridCol w:w="1359"/>
        <w:gridCol w:w="1359"/>
      </w:tblGrid>
      <w:tr w:rsidR="00A12F76" w:rsidRPr="00D25474" w14:paraId="2847B76F" w14:textId="77777777" w:rsidTr="00D25474">
        <w:tc>
          <w:tcPr>
            <w:tcW w:w="0" w:type="auto"/>
            <w:hideMark/>
          </w:tcPr>
          <w:p w14:paraId="2FDAB3A5"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742A9801"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2116611E"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72986E06"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5CC1C9E0"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116A6D38"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3AECC4D3"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2020</w:t>
            </w:r>
          </w:p>
        </w:tc>
      </w:tr>
      <w:tr w:rsidR="00A12F76" w:rsidRPr="00D25474" w14:paraId="68B34CE3" w14:textId="77777777" w:rsidTr="00D25474">
        <w:tc>
          <w:tcPr>
            <w:tcW w:w="0" w:type="auto"/>
            <w:hideMark/>
          </w:tcPr>
          <w:p w14:paraId="6254DC90"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Current Ratio</w:t>
            </w:r>
          </w:p>
        </w:tc>
        <w:tc>
          <w:tcPr>
            <w:tcW w:w="0" w:type="auto"/>
            <w:hideMark/>
          </w:tcPr>
          <w:p w14:paraId="6C9E65D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Current Assets ÷ Current Liabilities</w:t>
            </w:r>
          </w:p>
        </w:tc>
        <w:tc>
          <w:tcPr>
            <w:tcW w:w="0" w:type="auto"/>
            <w:hideMark/>
          </w:tcPr>
          <w:p w14:paraId="13B5C7A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242,494 ÷ 158,291 = </w:t>
            </w:r>
            <w:r w:rsidRPr="00D25474">
              <w:rPr>
                <w:rFonts w:ascii="Arial" w:hAnsi="Arial" w:cs="Arial"/>
                <w:b/>
                <w:bCs/>
                <w:lang w:val="en-CA"/>
              </w:rPr>
              <w:t>1.53</w:t>
            </w:r>
          </w:p>
        </w:tc>
        <w:tc>
          <w:tcPr>
            <w:tcW w:w="0" w:type="auto"/>
            <w:hideMark/>
          </w:tcPr>
          <w:p w14:paraId="3FB9A79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258,851 ÷ 161,148 = </w:t>
            </w:r>
            <w:r w:rsidRPr="00D25474">
              <w:rPr>
                <w:rFonts w:ascii="Arial" w:hAnsi="Arial" w:cs="Arial"/>
                <w:b/>
                <w:bCs/>
                <w:lang w:val="en-CA"/>
              </w:rPr>
              <w:t>1.61</w:t>
            </w:r>
          </w:p>
        </w:tc>
        <w:tc>
          <w:tcPr>
            <w:tcW w:w="0" w:type="auto"/>
            <w:hideMark/>
          </w:tcPr>
          <w:p w14:paraId="505F15B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338,040 ÷ 216,473 = </w:t>
            </w:r>
            <w:r w:rsidRPr="00D25474">
              <w:rPr>
                <w:rFonts w:ascii="Arial" w:hAnsi="Arial" w:cs="Arial"/>
                <w:b/>
                <w:bCs/>
                <w:lang w:val="en-CA"/>
              </w:rPr>
              <w:t>1.56</w:t>
            </w:r>
          </w:p>
        </w:tc>
        <w:tc>
          <w:tcPr>
            <w:tcW w:w="0" w:type="auto"/>
            <w:hideMark/>
          </w:tcPr>
          <w:p w14:paraId="6AD1AAE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337,146 ÷ 216,787 = </w:t>
            </w:r>
            <w:r w:rsidRPr="00D25474">
              <w:rPr>
                <w:rFonts w:ascii="Arial" w:hAnsi="Arial" w:cs="Arial"/>
                <w:b/>
                <w:bCs/>
                <w:lang w:val="en-CA"/>
              </w:rPr>
              <w:t>1.55</w:t>
            </w:r>
          </w:p>
        </w:tc>
        <w:tc>
          <w:tcPr>
            <w:tcW w:w="0" w:type="auto"/>
            <w:hideMark/>
          </w:tcPr>
          <w:p w14:paraId="089574E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326,843 ÷ 179,510 = </w:t>
            </w:r>
            <w:r w:rsidRPr="00D25474">
              <w:rPr>
                <w:rFonts w:ascii="Arial" w:hAnsi="Arial" w:cs="Arial"/>
                <w:b/>
                <w:bCs/>
                <w:lang w:val="en-CA"/>
              </w:rPr>
              <w:t>1.82</w:t>
            </w:r>
          </w:p>
        </w:tc>
      </w:tr>
      <w:tr w:rsidR="00A12F76" w:rsidRPr="00D25474" w14:paraId="18167380" w14:textId="77777777" w:rsidTr="00D25474">
        <w:tc>
          <w:tcPr>
            <w:tcW w:w="0" w:type="auto"/>
            <w:hideMark/>
          </w:tcPr>
          <w:p w14:paraId="4199816C"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Quick Ratio</w:t>
            </w:r>
          </w:p>
        </w:tc>
        <w:tc>
          <w:tcPr>
            <w:tcW w:w="0" w:type="auto"/>
            <w:hideMark/>
          </w:tcPr>
          <w:p w14:paraId="3906E7B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(CA − Inventory) ÷ CL</w:t>
            </w:r>
          </w:p>
        </w:tc>
        <w:tc>
          <w:tcPr>
            <w:tcW w:w="0" w:type="auto"/>
            <w:hideMark/>
          </w:tcPr>
          <w:p w14:paraId="58F475BA"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(242,494 − 79,355) ÷ 158,291 = </w:t>
            </w:r>
            <w:r w:rsidRPr="00D25474">
              <w:rPr>
                <w:rFonts w:ascii="Arial" w:hAnsi="Arial" w:cs="Arial"/>
                <w:b/>
                <w:bCs/>
                <w:lang w:val="en-CA"/>
              </w:rPr>
              <w:t>1.03</w:t>
            </w:r>
          </w:p>
        </w:tc>
        <w:tc>
          <w:tcPr>
            <w:tcW w:w="0" w:type="auto"/>
            <w:hideMark/>
          </w:tcPr>
          <w:p w14:paraId="3555526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(258,851 − 88,273) ÷ 161,148 = </w:t>
            </w:r>
            <w:r w:rsidRPr="00D25474">
              <w:rPr>
                <w:rFonts w:ascii="Arial" w:hAnsi="Arial" w:cs="Arial"/>
                <w:b/>
                <w:bCs/>
                <w:lang w:val="en-CA"/>
              </w:rPr>
              <w:t>1.05</w:t>
            </w:r>
          </w:p>
        </w:tc>
        <w:tc>
          <w:tcPr>
            <w:tcW w:w="0" w:type="auto"/>
            <w:hideMark/>
          </w:tcPr>
          <w:p w14:paraId="2546766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(338,040 − 140,181) ÷ 216,473 = </w:t>
            </w:r>
            <w:r w:rsidRPr="00D25474">
              <w:rPr>
                <w:rFonts w:ascii="Arial" w:hAnsi="Arial" w:cs="Arial"/>
                <w:b/>
                <w:bCs/>
                <w:lang w:val="en-CA"/>
              </w:rPr>
              <w:t>0.91</w:t>
            </w:r>
          </w:p>
        </w:tc>
        <w:tc>
          <w:tcPr>
            <w:tcW w:w="0" w:type="auto"/>
            <w:hideMark/>
          </w:tcPr>
          <w:p w14:paraId="1B3A4B5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(337,146 − 134,469) ÷ 216,787 = </w:t>
            </w:r>
            <w:r w:rsidRPr="00D25474">
              <w:rPr>
                <w:rFonts w:ascii="Arial" w:hAnsi="Arial" w:cs="Arial"/>
                <w:b/>
                <w:bCs/>
                <w:lang w:val="en-CA"/>
              </w:rPr>
              <w:t>0.94</w:t>
            </w:r>
          </w:p>
        </w:tc>
        <w:tc>
          <w:tcPr>
            <w:tcW w:w="0" w:type="auto"/>
            <w:hideMark/>
          </w:tcPr>
          <w:p w14:paraId="2668A88A"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(326,843 − 120,430) ÷ 179,510 = </w:t>
            </w:r>
            <w:r w:rsidRPr="00D25474">
              <w:rPr>
                <w:rFonts w:ascii="Arial" w:hAnsi="Arial" w:cs="Arial"/>
                <w:b/>
                <w:bCs/>
                <w:lang w:val="en-CA"/>
              </w:rPr>
              <w:t>1.15</w:t>
            </w:r>
          </w:p>
        </w:tc>
      </w:tr>
      <w:tr w:rsidR="00A12F76" w:rsidRPr="00D25474" w14:paraId="28614CD9" w14:textId="77777777" w:rsidTr="00D25474">
        <w:tc>
          <w:tcPr>
            <w:tcW w:w="0" w:type="auto"/>
            <w:hideMark/>
          </w:tcPr>
          <w:p w14:paraId="3059C646"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Cash Ratio</w:t>
            </w:r>
          </w:p>
        </w:tc>
        <w:tc>
          <w:tcPr>
            <w:tcW w:w="0" w:type="auto"/>
            <w:hideMark/>
          </w:tcPr>
          <w:p w14:paraId="7F183DE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Cash ÷ CL</w:t>
            </w:r>
          </w:p>
        </w:tc>
        <w:tc>
          <w:tcPr>
            <w:tcW w:w="0" w:type="auto"/>
            <w:hideMark/>
          </w:tcPr>
          <w:p w14:paraId="600C866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26,783 ÷ 158,291 = </w:t>
            </w:r>
            <w:r w:rsidRPr="00D25474">
              <w:rPr>
                <w:rFonts w:ascii="Arial" w:hAnsi="Arial" w:cs="Arial"/>
                <w:b/>
                <w:bCs/>
                <w:lang w:val="en-CA"/>
              </w:rPr>
              <w:t>0.17</w:t>
            </w:r>
          </w:p>
        </w:tc>
        <w:tc>
          <w:tcPr>
            <w:tcW w:w="0" w:type="auto"/>
            <w:hideMark/>
          </w:tcPr>
          <w:p w14:paraId="5B8D57C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42,751 ÷ 161,148 = </w:t>
            </w:r>
            <w:r w:rsidRPr="00D25474">
              <w:rPr>
                <w:rFonts w:ascii="Arial" w:hAnsi="Arial" w:cs="Arial"/>
                <w:b/>
                <w:bCs/>
                <w:lang w:val="en-CA"/>
              </w:rPr>
              <w:t>0.27</w:t>
            </w:r>
          </w:p>
        </w:tc>
        <w:tc>
          <w:tcPr>
            <w:tcW w:w="0" w:type="auto"/>
            <w:hideMark/>
          </w:tcPr>
          <w:p w14:paraId="586CCA1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66,740 ÷ 216,473 = </w:t>
            </w:r>
            <w:r w:rsidRPr="00D25474">
              <w:rPr>
                <w:rFonts w:ascii="Arial" w:hAnsi="Arial" w:cs="Arial"/>
                <w:b/>
                <w:bCs/>
                <w:lang w:val="en-CA"/>
              </w:rPr>
              <w:t>0.31</w:t>
            </w:r>
          </w:p>
        </w:tc>
        <w:tc>
          <w:tcPr>
            <w:tcW w:w="0" w:type="auto"/>
            <w:hideMark/>
          </w:tcPr>
          <w:p w14:paraId="60912CD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60,813 ÷ 216,787 = </w:t>
            </w:r>
            <w:r w:rsidRPr="00D25474">
              <w:rPr>
                <w:rFonts w:ascii="Arial" w:hAnsi="Arial" w:cs="Arial"/>
                <w:b/>
                <w:bCs/>
                <w:lang w:val="en-CA"/>
              </w:rPr>
              <w:t>0.28</w:t>
            </w:r>
          </w:p>
        </w:tc>
        <w:tc>
          <w:tcPr>
            <w:tcW w:w="0" w:type="auto"/>
            <w:hideMark/>
          </w:tcPr>
          <w:p w14:paraId="3C73250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57,153 ÷ 179,510 = </w:t>
            </w:r>
            <w:r w:rsidRPr="00D25474">
              <w:rPr>
                <w:rFonts w:ascii="Arial" w:hAnsi="Arial" w:cs="Arial"/>
                <w:b/>
                <w:bCs/>
                <w:lang w:val="en-CA"/>
              </w:rPr>
              <w:t>0.32</w:t>
            </w:r>
          </w:p>
        </w:tc>
      </w:tr>
    </w:tbl>
    <w:p w14:paraId="3CC06E89" w14:textId="77777777" w:rsidR="00A12F76" w:rsidRPr="00D25474" w:rsidRDefault="00A12F76" w:rsidP="00D25474">
      <w:pPr>
        <w:spacing w:line="360" w:lineRule="auto"/>
        <w:rPr>
          <w:rFonts w:ascii="Arial" w:hAnsi="Arial" w:cs="Arial"/>
          <w:lang w:val="en-CA"/>
        </w:rPr>
      </w:pPr>
    </w:p>
    <w:p w14:paraId="36ABD8C7"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C. Efficiency (Activity) Ratios</w:t>
      </w:r>
    </w:p>
    <w:tbl>
      <w:tblPr>
        <w:tblStyle w:val="TableGrid"/>
        <w:tblW w:w="0" w:type="auto"/>
        <w:tblLook w:val="04A0" w:firstRow="1" w:lastRow="0" w:firstColumn="1" w:lastColumn="0" w:noHBand="0" w:noVBand="1"/>
      </w:tblPr>
      <w:tblGrid>
        <w:gridCol w:w="995"/>
        <w:gridCol w:w="1028"/>
        <w:gridCol w:w="1632"/>
        <w:gridCol w:w="1632"/>
        <w:gridCol w:w="1654"/>
        <w:gridCol w:w="1654"/>
        <w:gridCol w:w="755"/>
      </w:tblGrid>
      <w:tr w:rsidR="00A12F76" w:rsidRPr="00D25474" w14:paraId="3F5C1BD9" w14:textId="77777777" w:rsidTr="00D25474">
        <w:tc>
          <w:tcPr>
            <w:tcW w:w="0" w:type="auto"/>
            <w:hideMark/>
          </w:tcPr>
          <w:p w14:paraId="79A82088"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41F5043B"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6FB02AF7"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546D3646"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7CC7EEAC"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1D1C351F"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5E2EAAD2"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2020</w:t>
            </w:r>
          </w:p>
        </w:tc>
      </w:tr>
      <w:tr w:rsidR="00A12F76" w:rsidRPr="00D25474" w14:paraId="4A615AD6" w14:textId="77777777" w:rsidTr="00D25474">
        <w:tc>
          <w:tcPr>
            <w:tcW w:w="0" w:type="auto"/>
            <w:hideMark/>
          </w:tcPr>
          <w:p w14:paraId="4BA51A57"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Inventory Turnover (times)</w:t>
            </w:r>
          </w:p>
        </w:tc>
        <w:tc>
          <w:tcPr>
            <w:tcW w:w="0" w:type="auto"/>
            <w:hideMark/>
          </w:tcPr>
          <w:p w14:paraId="17F0528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COGS ÷ Avg. Inventory</w:t>
            </w:r>
          </w:p>
        </w:tc>
        <w:tc>
          <w:tcPr>
            <w:tcW w:w="0" w:type="auto"/>
            <w:hideMark/>
          </w:tcPr>
          <w:p w14:paraId="799AAD20"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280,885 ÷ ((88,273+79,355)/2 = 83,814) = </w:t>
            </w:r>
            <w:r w:rsidRPr="00D25474">
              <w:rPr>
                <w:rFonts w:ascii="Arial" w:hAnsi="Arial" w:cs="Arial"/>
                <w:b/>
                <w:bCs/>
                <w:lang w:val="en-CA"/>
              </w:rPr>
              <w:t>3.35×</w:t>
            </w:r>
          </w:p>
        </w:tc>
        <w:tc>
          <w:tcPr>
            <w:tcW w:w="0" w:type="auto"/>
            <w:hideMark/>
          </w:tcPr>
          <w:p w14:paraId="3DF0ABA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322,897 ÷ ((140,181+88,273)/2 = 114,227) = </w:t>
            </w:r>
            <w:r w:rsidRPr="00D25474">
              <w:rPr>
                <w:rFonts w:ascii="Arial" w:hAnsi="Arial" w:cs="Arial"/>
                <w:b/>
                <w:bCs/>
                <w:lang w:val="en-CA"/>
              </w:rPr>
              <w:t>2.83×</w:t>
            </w:r>
          </w:p>
        </w:tc>
        <w:tc>
          <w:tcPr>
            <w:tcW w:w="0" w:type="auto"/>
            <w:hideMark/>
          </w:tcPr>
          <w:p w14:paraId="54F5BF1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390,459 ÷ ((134,469+140,181)/2 = 137,325) = </w:t>
            </w:r>
            <w:r w:rsidRPr="00D25474">
              <w:rPr>
                <w:rFonts w:ascii="Arial" w:hAnsi="Arial" w:cs="Arial"/>
                <w:b/>
                <w:bCs/>
                <w:lang w:val="en-CA"/>
              </w:rPr>
              <w:t>2.84×</w:t>
            </w:r>
          </w:p>
        </w:tc>
        <w:tc>
          <w:tcPr>
            <w:tcW w:w="0" w:type="auto"/>
            <w:hideMark/>
          </w:tcPr>
          <w:p w14:paraId="72AFDF1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428,586 ÷ ((120,430+134,469)/2 = 127,450) = </w:t>
            </w:r>
            <w:r w:rsidRPr="00D25474">
              <w:rPr>
                <w:rFonts w:ascii="Arial" w:hAnsi="Arial" w:cs="Arial"/>
                <w:b/>
                <w:bCs/>
                <w:lang w:val="en-CA"/>
              </w:rPr>
              <w:t>3.36×</w:t>
            </w:r>
          </w:p>
        </w:tc>
        <w:tc>
          <w:tcPr>
            <w:tcW w:w="0" w:type="auto"/>
            <w:hideMark/>
          </w:tcPr>
          <w:p w14:paraId="600F69F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438,424 ÷ 120,430 = </w:t>
            </w:r>
            <w:r w:rsidRPr="00D25474">
              <w:rPr>
                <w:rFonts w:ascii="Arial" w:hAnsi="Arial" w:cs="Arial"/>
                <w:b/>
                <w:bCs/>
                <w:lang w:val="en-CA"/>
              </w:rPr>
              <w:t>3.64×</w:t>
            </w:r>
          </w:p>
        </w:tc>
      </w:tr>
      <w:tr w:rsidR="00A12F76" w:rsidRPr="00D25474" w14:paraId="3D76DFF5" w14:textId="77777777" w:rsidTr="00D25474">
        <w:tc>
          <w:tcPr>
            <w:tcW w:w="0" w:type="auto"/>
            <w:hideMark/>
          </w:tcPr>
          <w:p w14:paraId="13E6945E"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 xml:space="preserve">Receivable Turnover </w:t>
            </w:r>
            <w:r w:rsidRPr="00D25474">
              <w:rPr>
                <w:rFonts w:ascii="Arial" w:hAnsi="Arial" w:cs="Arial"/>
                <w:b/>
                <w:bCs/>
                <w:lang w:val="en-CA"/>
              </w:rPr>
              <w:lastRenderedPageBreak/>
              <w:t>(times)</w:t>
            </w:r>
          </w:p>
        </w:tc>
        <w:tc>
          <w:tcPr>
            <w:tcW w:w="0" w:type="auto"/>
            <w:hideMark/>
          </w:tcPr>
          <w:p w14:paraId="0FD69EB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lastRenderedPageBreak/>
              <w:t>Sales ÷ Avg. Receivables</w:t>
            </w:r>
          </w:p>
        </w:tc>
        <w:tc>
          <w:tcPr>
            <w:tcW w:w="0" w:type="auto"/>
            <w:hideMark/>
          </w:tcPr>
          <w:p w14:paraId="37936750"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394,879 ÷ ((112,596+114,182)/2 = 113,389) = </w:t>
            </w:r>
            <w:r w:rsidRPr="00D25474">
              <w:rPr>
                <w:rFonts w:ascii="Arial" w:hAnsi="Arial" w:cs="Arial"/>
                <w:b/>
                <w:bCs/>
                <w:lang w:val="en-CA"/>
              </w:rPr>
              <w:t>3.48×</w:t>
            </w:r>
          </w:p>
        </w:tc>
        <w:tc>
          <w:tcPr>
            <w:tcW w:w="0" w:type="auto"/>
            <w:hideMark/>
          </w:tcPr>
          <w:p w14:paraId="2CEF2E9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420,457 ÷ ((112,346+112,596)/2 = 112,471) = </w:t>
            </w:r>
            <w:r w:rsidRPr="00D25474">
              <w:rPr>
                <w:rFonts w:ascii="Arial" w:hAnsi="Arial" w:cs="Arial"/>
                <w:b/>
                <w:bCs/>
                <w:lang w:val="en-CA"/>
              </w:rPr>
              <w:t>3.74×</w:t>
            </w:r>
          </w:p>
        </w:tc>
        <w:tc>
          <w:tcPr>
            <w:tcW w:w="0" w:type="auto"/>
            <w:hideMark/>
          </w:tcPr>
          <w:p w14:paraId="6EDA6DF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542,751 ÷ ((129,215+112,346)/2 = 120,781) = </w:t>
            </w:r>
            <w:r w:rsidRPr="00D25474">
              <w:rPr>
                <w:rFonts w:ascii="Arial" w:hAnsi="Arial" w:cs="Arial"/>
                <w:b/>
                <w:bCs/>
                <w:lang w:val="en-CA"/>
              </w:rPr>
              <w:t>4.49×</w:t>
            </w:r>
          </w:p>
        </w:tc>
        <w:tc>
          <w:tcPr>
            <w:tcW w:w="0" w:type="auto"/>
            <w:hideMark/>
          </w:tcPr>
          <w:p w14:paraId="4CB91E7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601,602 ÷ ((129,433+129,215)/2 = 129,324) = </w:t>
            </w:r>
            <w:r w:rsidRPr="00D25474">
              <w:rPr>
                <w:rFonts w:ascii="Arial" w:hAnsi="Arial" w:cs="Arial"/>
                <w:b/>
                <w:bCs/>
                <w:lang w:val="en-CA"/>
              </w:rPr>
              <w:t>4.65×</w:t>
            </w:r>
          </w:p>
        </w:tc>
        <w:tc>
          <w:tcPr>
            <w:tcW w:w="0" w:type="auto"/>
            <w:hideMark/>
          </w:tcPr>
          <w:p w14:paraId="74D228D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614,680 ÷ 129,433 </w:t>
            </w:r>
            <w:r w:rsidRPr="00D25474">
              <w:rPr>
                <w:rFonts w:ascii="Arial" w:hAnsi="Arial" w:cs="Arial"/>
                <w:lang w:val="en-CA"/>
              </w:rPr>
              <w:lastRenderedPageBreak/>
              <w:t xml:space="preserve">= </w:t>
            </w:r>
            <w:r w:rsidRPr="00D25474">
              <w:rPr>
                <w:rFonts w:ascii="Arial" w:hAnsi="Arial" w:cs="Arial"/>
                <w:b/>
                <w:bCs/>
                <w:lang w:val="en-CA"/>
              </w:rPr>
              <w:t>4.75×</w:t>
            </w:r>
          </w:p>
        </w:tc>
      </w:tr>
      <w:tr w:rsidR="00A12F76" w:rsidRPr="00D25474" w14:paraId="4B0BC9D2" w14:textId="77777777" w:rsidTr="00D25474">
        <w:tc>
          <w:tcPr>
            <w:tcW w:w="0" w:type="auto"/>
            <w:hideMark/>
          </w:tcPr>
          <w:p w14:paraId="147A980B"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lastRenderedPageBreak/>
              <w:t>Total Asset Turnover</w:t>
            </w:r>
          </w:p>
        </w:tc>
        <w:tc>
          <w:tcPr>
            <w:tcW w:w="0" w:type="auto"/>
            <w:hideMark/>
          </w:tcPr>
          <w:p w14:paraId="3E278FE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Sales ÷ Total Assets</w:t>
            </w:r>
          </w:p>
        </w:tc>
        <w:tc>
          <w:tcPr>
            <w:tcW w:w="0" w:type="auto"/>
            <w:hideMark/>
          </w:tcPr>
          <w:p w14:paraId="0EC8435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394,879 ÷ 323,354 = </w:t>
            </w:r>
            <w:r w:rsidRPr="00D25474">
              <w:rPr>
                <w:rFonts w:ascii="Arial" w:hAnsi="Arial" w:cs="Arial"/>
                <w:b/>
                <w:bCs/>
                <w:lang w:val="en-CA"/>
              </w:rPr>
              <w:t>1.22×</w:t>
            </w:r>
          </w:p>
        </w:tc>
        <w:tc>
          <w:tcPr>
            <w:tcW w:w="0" w:type="auto"/>
            <w:hideMark/>
          </w:tcPr>
          <w:p w14:paraId="33CC6A2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420,457 ÷ 355,872 = </w:t>
            </w:r>
            <w:r w:rsidRPr="00D25474">
              <w:rPr>
                <w:rFonts w:ascii="Arial" w:hAnsi="Arial" w:cs="Arial"/>
                <w:b/>
                <w:bCs/>
                <w:lang w:val="en-CA"/>
              </w:rPr>
              <w:t>1.18×</w:t>
            </w:r>
          </w:p>
        </w:tc>
        <w:tc>
          <w:tcPr>
            <w:tcW w:w="0" w:type="auto"/>
            <w:hideMark/>
          </w:tcPr>
          <w:p w14:paraId="441206B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542,751 ÷ 504,163 = </w:t>
            </w:r>
            <w:r w:rsidRPr="00D25474">
              <w:rPr>
                <w:rFonts w:ascii="Arial" w:hAnsi="Arial" w:cs="Arial"/>
                <w:b/>
                <w:bCs/>
                <w:lang w:val="en-CA"/>
              </w:rPr>
              <w:t>1.08×</w:t>
            </w:r>
          </w:p>
        </w:tc>
        <w:tc>
          <w:tcPr>
            <w:tcW w:w="0" w:type="auto"/>
            <w:hideMark/>
          </w:tcPr>
          <w:p w14:paraId="029816B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601,602 ÷ 510,348 = </w:t>
            </w:r>
            <w:r w:rsidRPr="00D25474">
              <w:rPr>
                <w:rFonts w:ascii="Arial" w:hAnsi="Arial" w:cs="Arial"/>
                <w:b/>
                <w:bCs/>
                <w:lang w:val="en-CA"/>
              </w:rPr>
              <w:t>1.18×</w:t>
            </w:r>
          </w:p>
        </w:tc>
        <w:tc>
          <w:tcPr>
            <w:tcW w:w="0" w:type="auto"/>
            <w:hideMark/>
          </w:tcPr>
          <w:p w14:paraId="1FAD00F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614,680 ÷ 510,290 = </w:t>
            </w:r>
            <w:r w:rsidRPr="00D25474">
              <w:rPr>
                <w:rFonts w:ascii="Arial" w:hAnsi="Arial" w:cs="Arial"/>
                <w:b/>
                <w:bCs/>
                <w:lang w:val="en-CA"/>
              </w:rPr>
              <w:t>1.20×</w:t>
            </w:r>
          </w:p>
        </w:tc>
      </w:tr>
    </w:tbl>
    <w:p w14:paraId="258FF811" w14:textId="033AA8F9" w:rsidR="00A12F76" w:rsidRPr="00D25474" w:rsidRDefault="00A12F76" w:rsidP="00D25474">
      <w:pPr>
        <w:spacing w:line="360" w:lineRule="auto"/>
        <w:rPr>
          <w:rFonts w:ascii="Arial" w:hAnsi="Arial" w:cs="Arial"/>
          <w:lang w:val="en-CA"/>
        </w:rPr>
      </w:pPr>
    </w:p>
    <w:p w14:paraId="1F2C6B36"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D. Gearing (Leverage) Ratios</w:t>
      </w:r>
    </w:p>
    <w:tbl>
      <w:tblPr>
        <w:tblStyle w:val="TableGrid"/>
        <w:tblW w:w="0" w:type="auto"/>
        <w:tblLook w:val="04A0" w:firstRow="1" w:lastRow="0" w:firstColumn="1" w:lastColumn="0" w:noHBand="0" w:noVBand="1"/>
      </w:tblPr>
      <w:tblGrid>
        <w:gridCol w:w="1410"/>
        <w:gridCol w:w="1378"/>
        <w:gridCol w:w="1316"/>
        <w:gridCol w:w="1316"/>
        <w:gridCol w:w="1310"/>
        <w:gridCol w:w="1310"/>
        <w:gridCol w:w="1310"/>
      </w:tblGrid>
      <w:tr w:rsidR="00A12F76" w:rsidRPr="00D25474" w14:paraId="7BA815AE" w14:textId="77777777" w:rsidTr="00D25474">
        <w:tc>
          <w:tcPr>
            <w:tcW w:w="0" w:type="auto"/>
            <w:hideMark/>
          </w:tcPr>
          <w:p w14:paraId="0619B197"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22BE9F76"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05F82ECA"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1D27A259"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148BF532"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584A2FDE"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311B3409"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2020</w:t>
            </w:r>
          </w:p>
        </w:tc>
      </w:tr>
      <w:tr w:rsidR="00A12F76" w:rsidRPr="00D25474" w14:paraId="6792E1EF" w14:textId="77777777" w:rsidTr="00D25474">
        <w:tc>
          <w:tcPr>
            <w:tcW w:w="0" w:type="auto"/>
            <w:hideMark/>
          </w:tcPr>
          <w:p w14:paraId="7A54C14C"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Debt-to-Equity</w:t>
            </w:r>
          </w:p>
        </w:tc>
        <w:tc>
          <w:tcPr>
            <w:tcW w:w="0" w:type="auto"/>
            <w:hideMark/>
          </w:tcPr>
          <w:p w14:paraId="2088820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Total Liabilities ÷ Equity</w:t>
            </w:r>
          </w:p>
        </w:tc>
        <w:tc>
          <w:tcPr>
            <w:tcW w:w="0" w:type="auto"/>
            <w:hideMark/>
          </w:tcPr>
          <w:p w14:paraId="2FF07B3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170,249 ÷ 153,105 = </w:t>
            </w:r>
            <w:r w:rsidRPr="00D25474">
              <w:rPr>
                <w:rFonts w:ascii="Arial" w:hAnsi="Arial" w:cs="Arial"/>
                <w:b/>
                <w:bCs/>
                <w:lang w:val="en-CA"/>
              </w:rPr>
              <w:t>1.11×</w:t>
            </w:r>
          </w:p>
        </w:tc>
        <w:tc>
          <w:tcPr>
            <w:tcW w:w="0" w:type="auto"/>
            <w:hideMark/>
          </w:tcPr>
          <w:p w14:paraId="37B4BE4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176,952 ÷ 178,920 = </w:t>
            </w:r>
            <w:r w:rsidRPr="00D25474">
              <w:rPr>
                <w:rFonts w:ascii="Arial" w:hAnsi="Arial" w:cs="Arial"/>
                <w:b/>
                <w:bCs/>
                <w:lang w:val="en-CA"/>
              </w:rPr>
              <w:t>0.99×</w:t>
            </w:r>
          </w:p>
        </w:tc>
        <w:tc>
          <w:tcPr>
            <w:tcW w:w="0" w:type="auto"/>
            <w:hideMark/>
          </w:tcPr>
          <w:p w14:paraId="2BF5ACC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235,757 ÷ 268,406 = </w:t>
            </w:r>
            <w:r w:rsidRPr="00D25474">
              <w:rPr>
                <w:rFonts w:ascii="Arial" w:hAnsi="Arial" w:cs="Arial"/>
                <w:b/>
                <w:bCs/>
                <w:lang w:val="en-CA"/>
              </w:rPr>
              <w:t>0.88×</w:t>
            </w:r>
          </w:p>
        </w:tc>
        <w:tc>
          <w:tcPr>
            <w:tcW w:w="0" w:type="auto"/>
            <w:hideMark/>
          </w:tcPr>
          <w:p w14:paraId="0AF2EE9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234,399 ÷ 275,949 = </w:t>
            </w:r>
            <w:r w:rsidRPr="00D25474">
              <w:rPr>
                <w:rFonts w:ascii="Arial" w:hAnsi="Arial" w:cs="Arial"/>
                <w:b/>
                <w:bCs/>
                <w:lang w:val="en-CA"/>
              </w:rPr>
              <w:t>0.85×</w:t>
            </w:r>
          </w:p>
        </w:tc>
        <w:tc>
          <w:tcPr>
            <w:tcW w:w="0" w:type="auto"/>
            <w:hideMark/>
          </w:tcPr>
          <w:p w14:paraId="24B8FB7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196,989 ÷ 313,301 = </w:t>
            </w:r>
            <w:r w:rsidRPr="00D25474">
              <w:rPr>
                <w:rFonts w:ascii="Arial" w:hAnsi="Arial" w:cs="Arial"/>
                <w:b/>
                <w:bCs/>
                <w:lang w:val="en-CA"/>
              </w:rPr>
              <w:t>0.63×</w:t>
            </w:r>
          </w:p>
        </w:tc>
      </w:tr>
      <w:tr w:rsidR="00A12F76" w:rsidRPr="00D25474" w14:paraId="7A92080C" w14:textId="77777777" w:rsidTr="00D25474">
        <w:tc>
          <w:tcPr>
            <w:tcW w:w="0" w:type="auto"/>
            <w:hideMark/>
          </w:tcPr>
          <w:p w14:paraId="08F27D65"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Equity Ratio</w:t>
            </w:r>
          </w:p>
        </w:tc>
        <w:tc>
          <w:tcPr>
            <w:tcW w:w="0" w:type="auto"/>
            <w:hideMark/>
          </w:tcPr>
          <w:p w14:paraId="59C150E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Equity ÷ Total Assets</w:t>
            </w:r>
          </w:p>
        </w:tc>
        <w:tc>
          <w:tcPr>
            <w:tcW w:w="0" w:type="auto"/>
            <w:hideMark/>
          </w:tcPr>
          <w:p w14:paraId="684A67A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153,105 ÷ 323,354 = </w:t>
            </w:r>
            <w:r w:rsidRPr="00D25474">
              <w:rPr>
                <w:rFonts w:ascii="Arial" w:hAnsi="Arial" w:cs="Arial"/>
                <w:b/>
                <w:bCs/>
                <w:lang w:val="en-CA"/>
              </w:rPr>
              <w:t>47.3%</w:t>
            </w:r>
          </w:p>
        </w:tc>
        <w:tc>
          <w:tcPr>
            <w:tcW w:w="0" w:type="auto"/>
            <w:hideMark/>
          </w:tcPr>
          <w:p w14:paraId="0976ECBA"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178,920 ÷ 355,872 = </w:t>
            </w:r>
            <w:r w:rsidRPr="00D25474">
              <w:rPr>
                <w:rFonts w:ascii="Arial" w:hAnsi="Arial" w:cs="Arial"/>
                <w:b/>
                <w:bCs/>
                <w:lang w:val="en-CA"/>
              </w:rPr>
              <w:t>50.3%</w:t>
            </w:r>
          </w:p>
        </w:tc>
        <w:tc>
          <w:tcPr>
            <w:tcW w:w="0" w:type="auto"/>
            <w:hideMark/>
          </w:tcPr>
          <w:p w14:paraId="32644F7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268,406 ÷ 504,163 = </w:t>
            </w:r>
            <w:r w:rsidRPr="00D25474">
              <w:rPr>
                <w:rFonts w:ascii="Arial" w:hAnsi="Arial" w:cs="Arial"/>
                <w:b/>
                <w:bCs/>
                <w:lang w:val="en-CA"/>
              </w:rPr>
              <w:t>53.2%</w:t>
            </w:r>
          </w:p>
        </w:tc>
        <w:tc>
          <w:tcPr>
            <w:tcW w:w="0" w:type="auto"/>
            <w:hideMark/>
          </w:tcPr>
          <w:p w14:paraId="4D4A904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275,949 ÷ 510,348 = </w:t>
            </w:r>
            <w:r w:rsidRPr="00D25474">
              <w:rPr>
                <w:rFonts w:ascii="Arial" w:hAnsi="Arial" w:cs="Arial"/>
                <w:b/>
                <w:bCs/>
                <w:lang w:val="en-CA"/>
              </w:rPr>
              <w:t>54.1%</w:t>
            </w:r>
          </w:p>
        </w:tc>
        <w:tc>
          <w:tcPr>
            <w:tcW w:w="0" w:type="auto"/>
            <w:hideMark/>
          </w:tcPr>
          <w:p w14:paraId="408CF4A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313,301 ÷ 510,290 = </w:t>
            </w:r>
            <w:r w:rsidRPr="00D25474">
              <w:rPr>
                <w:rFonts w:ascii="Arial" w:hAnsi="Arial" w:cs="Arial"/>
                <w:b/>
                <w:bCs/>
                <w:lang w:val="en-CA"/>
              </w:rPr>
              <w:t>61.4%</w:t>
            </w:r>
          </w:p>
        </w:tc>
      </w:tr>
      <w:tr w:rsidR="00A12F76" w:rsidRPr="00D25474" w14:paraId="5B858C24" w14:textId="77777777" w:rsidTr="00D25474">
        <w:tc>
          <w:tcPr>
            <w:tcW w:w="0" w:type="auto"/>
            <w:hideMark/>
          </w:tcPr>
          <w:p w14:paraId="4F4BB7B5"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Interest Coverage</w:t>
            </w:r>
          </w:p>
        </w:tc>
        <w:tc>
          <w:tcPr>
            <w:tcW w:w="0" w:type="auto"/>
            <w:hideMark/>
          </w:tcPr>
          <w:p w14:paraId="26D384A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EBIT ÷ Interest Expense</w:t>
            </w:r>
          </w:p>
        </w:tc>
        <w:tc>
          <w:tcPr>
            <w:tcW w:w="0" w:type="auto"/>
            <w:hideMark/>
          </w:tcPr>
          <w:p w14:paraId="1B93E13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−15,297 ÷ 3,361 = </w:t>
            </w:r>
            <w:r w:rsidRPr="00D25474">
              <w:rPr>
                <w:rFonts w:ascii="Arial" w:hAnsi="Arial" w:cs="Arial"/>
                <w:b/>
                <w:bCs/>
                <w:lang w:val="en-CA"/>
              </w:rPr>
              <w:t>−4.55×</w:t>
            </w:r>
          </w:p>
        </w:tc>
        <w:tc>
          <w:tcPr>
            <w:tcW w:w="0" w:type="auto"/>
            <w:hideMark/>
          </w:tcPr>
          <w:p w14:paraId="1333D4D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−85,301 ÷ 4,332 = </w:t>
            </w:r>
            <w:r w:rsidRPr="00D25474">
              <w:rPr>
                <w:rFonts w:ascii="Arial" w:hAnsi="Arial" w:cs="Arial"/>
                <w:b/>
                <w:bCs/>
                <w:lang w:val="en-CA"/>
              </w:rPr>
              <w:t>−19.7×</w:t>
            </w:r>
          </w:p>
        </w:tc>
        <w:tc>
          <w:tcPr>
            <w:tcW w:w="0" w:type="auto"/>
            <w:hideMark/>
          </w:tcPr>
          <w:p w14:paraId="46784DF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14,548 ÷ 2,200 = </w:t>
            </w:r>
            <w:r w:rsidRPr="00D25474">
              <w:rPr>
                <w:rFonts w:ascii="Arial" w:hAnsi="Arial" w:cs="Arial"/>
                <w:b/>
                <w:bCs/>
                <w:lang w:val="en-CA"/>
              </w:rPr>
              <w:t>6.6×</w:t>
            </w:r>
          </w:p>
        </w:tc>
        <w:tc>
          <w:tcPr>
            <w:tcW w:w="0" w:type="auto"/>
            <w:hideMark/>
          </w:tcPr>
          <w:p w14:paraId="1053AFC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23,253 ÷ 566 = </w:t>
            </w:r>
            <w:r w:rsidRPr="00D25474">
              <w:rPr>
                <w:rFonts w:ascii="Arial" w:hAnsi="Arial" w:cs="Arial"/>
                <w:b/>
                <w:bCs/>
                <w:lang w:val="en-CA"/>
              </w:rPr>
              <w:t>41.1×</w:t>
            </w:r>
          </w:p>
        </w:tc>
        <w:tc>
          <w:tcPr>
            <w:tcW w:w="0" w:type="auto"/>
            <w:hideMark/>
          </w:tcPr>
          <w:p w14:paraId="758A73B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37,267 ÷ 1,422 = </w:t>
            </w:r>
            <w:r w:rsidRPr="00D25474">
              <w:rPr>
                <w:rFonts w:ascii="Arial" w:hAnsi="Arial" w:cs="Arial"/>
                <w:b/>
                <w:bCs/>
                <w:lang w:val="en-CA"/>
              </w:rPr>
              <w:t>26.2×</w:t>
            </w:r>
          </w:p>
        </w:tc>
      </w:tr>
    </w:tbl>
    <w:p w14:paraId="11EA50A1" w14:textId="3D5D616D" w:rsidR="00A12F76" w:rsidRPr="00D25474" w:rsidRDefault="00A12F76" w:rsidP="00D25474">
      <w:pPr>
        <w:spacing w:line="360" w:lineRule="auto"/>
        <w:rPr>
          <w:rFonts w:ascii="Arial" w:hAnsi="Arial" w:cs="Arial"/>
          <w:lang w:val="en-CA"/>
        </w:rPr>
      </w:pPr>
    </w:p>
    <w:p w14:paraId="6523DA85"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E. Cash Flow Ratios</w:t>
      </w:r>
    </w:p>
    <w:tbl>
      <w:tblPr>
        <w:tblStyle w:val="TableGrid"/>
        <w:tblW w:w="0" w:type="auto"/>
        <w:tblLook w:val="04A0" w:firstRow="1" w:lastRow="0" w:firstColumn="1" w:lastColumn="0" w:noHBand="0" w:noVBand="1"/>
      </w:tblPr>
      <w:tblGrid>
        <w:gridCol w:w="1495"/>
        <w:gridCol w:w="1522"/>
        <w:gridCol w:w="1244"/>
        <w:gridCol w:w="1227"/>
        <w:gridCol w:w="1244"/>
        <w:gridCol w:w="1374"/>
        <w:gridCol w:w="1244"/>
      </w:tblGrid>
      <w:tr w:rsidR="00A12F76" w:rsidRPr="00D25474" w14:paraId="018DE88A" w14:textId="77777777" w:rsidTr="00D25474">
        <w:tc>
          <w:tcPr>
            <w:tcW w:w="0" w:type="auto"/>
            <w:hideMark/>
          </w:tcPr>
          <w:p w14:paraId="2B831CB3"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Ratio</w:t>
            </w:r>
          </w:p>
        </w:tc>
        <w:tc>
          <w:tcPr>
            <w:tcW w:w="0" w:type="auto"/>
            <w:hideMark/>
          </w:tcPr>
          <w:p w14:paraId="5FF0C695"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32FF2DE0"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028FCBDC"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618C7676"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64A967E8"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5204145C"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2020</w:t>
            </w:r>
          </w:p>
        </w:tc>
      </w:tr>
      <w:tr w:rsidR="00A12F76" w:rsidRPr="00D25474" w14:paraId="17428B6C" w14:textId="77777777" w:rsidTr="00D25474">
        <w:tc>
          <w:tcPr>
            <w:tcW w:w="0" w:type="auto"/>
            <w:hideMark/>
          </w:tcPr>
          <w:p w14:paraId="3C1EA4D0"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Operating Cash Flow Ratio</w:t>
            </w:r>
          </w:p>
        </w:tc>
        <w:tc>
          <w:tcPr>
            <w:tcW w:w="0" w:type="auto"/>
            <w:hideMark/>
          </w:tcPr>
          <w:p w14:paraId="7EA59F9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Cash from Operations ÷ CL</w:t>
            </w:r>
          </w:p>
        </w:tc>
        <w:tc>
          <w:tcPr>
            <w:tcW w:w="0" w:type="auto"/>
            <w:hideMark/>
          </w:tcPr>
          <w:p w14:paraId="32E976D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14,822 ÷ 158,291 = </w:t>
            </w:r>
            <w:r w:rsidRPr="00D25474">
              <w:rPr>
                <w:rFonts w:ascii="Arial" w:hAnsi="Arial" w:cs="Arial"/>
                <w:b/>
                <w:bCs/>
                <w:lang w:val="en-CA"/>
              </w:rPr>
              <w:t>0.09</w:t>
            </w:r>
          </w:p>
        </w:tc>
        <w:tc>
          <w:tcPr>
            <w:tcW w:w="0" w:type="auto"/>
            <w:hideMark/>
          </w:tcPr>
          <w:p w14:paraId="41802B0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25,159 ÷ 161,148 = </w:t>
            </w:r>
            <w:r w:rsidRPr="00D25474">
              <w:rPr>
                <w:rFonts w:ascii="Arial" w:hAnsi="Arial" w:cs="Arial"/>
                <w:b/>
                <w:bCs/>
                <w:lang w:val="en-CA"/>
              </w:rPr>
              <w:t>0.16</w:t>
            </w:r>
          </w:p>
        </w:tc>
        <w:tc>
          <w:tcPr>
            <w:tcW w:w="0" w:type="auto"/>
            <w:hideMark/>
          </w:tcPr>
          <w:p w14:paraId="6CFFBC7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10,926 ÷ 216,473 = </w:t>
            </w:r>
            <w:r w:rsidRPr="00D25474">
              <w:rPr>
                <w:rFonts w:ascii="Arial" w:hAnsi="Arial" w:cs="Arial"/>
                <w:b/>
                <w:bCs/>
                <w:lang w:val="en-CA"/>
              </w:rPr>
              <w:t>0.05</w:t>
            </w:r>
          </w:p>
        </w:tc>
        <w:tc>
          <w:tcPr>
            <w:tcW w:w="0" w:type="auto"/>
            <w:hideMark/>
          </w:tcPr>
          <w:p w14:paraId="29ED933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40,283 ÷ 216,787 = </w:t>
            </w:r>
            <w:r w:rsidRPr="00D25474">
              <w:rPr>
                <w:rFonts w:ascii="Arial" w:hAnsi="Arial" w:cs="Arial"/>
                <w:b/>
                <w:bCs/>
                <w:lang w:val="en-CA"/>
              </w:rPr>
              <w:t>0.19</w:t>
            </w:r>
          </w:p>
        </w:tc>
        <w:tc>
          <w:tcPr>
            <w:tcW w:w="0" w:type="auto"/>
            <w:hideMark/>
          </w:tcPr>
          <w:p w14:paraId="1A35A68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73,392 ÷ 179,510 = </w:t>
            </w:r>
            <w:r w:rsidRPr="00D25474">
              <w:rPr>
                <w:rFonts w:ascii="Arial" w:hAnsi="Arial" w:cs="Arial"/>
                <w:b/>
                <w:bCs/>
                <w:lang w:val="en-CA"/>
              </w:rPr>
              <w:t>0.41</w:t>
            </w:r>
          </w:p>
        </w:tc>
      </w:tr>
      <w:tr w:rsidR="00A12F76" w:rsidRPr="00D25474" w14:paraId="5DE9CB12" w14:textId="77777777" w:rsidTr="00D25474">
        <w:tc>
          <w:tcPr>
            <w:tcW w:w="0" w:type="auto"/>
            <w:hideMark/>
          </w:tcPr>
          <w:p w14:paraId="6EEB63CE"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lastRenderedPageBreak/>
              <w:t>Free Cash Flow (FCF)</w:t>
            </w:r>
          </w:p>
        </w:tc>
        <w:tc>
          <w:tcPr>
            <w:tcW w:w="0" w:type="auto"/>
            <w:hideMark/>
          </w:tcPr>
          <w:p w14:paraId="5760D12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CFO − CapEx</w:t>
            </w:r>
          </w:p>
        </w:tc>
        <w:tc>
          <w:tcPr>
            <w:tcW w:w="0" w:type="auto"/>
            <w:hideMark/>
          </w:tcPr>
          <w:p w14:paraId="384537D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14,822 − 45,572 = </w:t>
            </w:r>
            <w:r w:rsidRPr="00D25474">
              <w:rPr>
                <w:rFonts w:ascii="Arial" w:hAnsi="Arial" w:cs="Arial"/>
                <w:b/>
                <w:bCs/>
                <w:lang w:val="en-CA"/>
              </w:rPr>
              <w:t>−30,750</w:t>
            </w:r>
          </w:p>
        </w:tc>
        <w:tc>
          <w:tcPr>
            <w:tcW w:w="0" w:type="auto"/>
            <w:hideMark/>
          </w:tcPr>
          <w:p w14:paraId="527CD99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25,159 − 19,816 = </w:t>
            </w:r>
            <w:r w:rsidRPr="00D25474">
              <w:rPr>
                <w:rFonts w:ascii="Arial" w:hAnsi="Arial" w:cs="Arial"/>
                <w:b/>
                <w:bCs/>
                <w:lang w:val="en-CA"/>
              </w:rPr>
              <w:t>+5,343</w:t>
            </w:r>
          </w:p>
        </w:tc>
        <w:tc>
          <w:tcPr>
            <w:tcW w:w="0" w:type="auto"/>
            <w:hideMark/>
          </w:tcPr>
          <w:p w14:paraId="1AB3B06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10,926 − 40,049 = </w:t>
            </w:r>
            <w:r w:rsidRPr="00D25474">
              <w:rPr>
                <w:rFonts w:ascii="Arial" w:hAnsi="Arial" w:cs="Arial"/>
                <w:b/>
                <w:bCs/>
                <w:lang w:val="en-CA"/>
              </w:rPr>
              <w:t>−29,123</w:t>
            </w:r>
          </w:p>
        </w:tc>
        <w:tc>
          <w:tcPr>
            <w:tcW w:w="0" w:type="auto"/>
            <w:hideMark/>
          </w:tcPr>
          <w:p w14:paraId="7A83044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40,283 − 152,589 = </w:t>
            </w:r>
            <w:r w:rsidRPr="00D25474">
              <w:rPr>
                <w:rFonts w:ascii="Arial" w:hAnsi="Arial" w:cs="Arial"/>
                <w:b/>
                <w:bCs/>
                <w:lang w:val="en-CA"/>
              </w:rPr>
              <w:t>−112,306</w:t>
            </w:r>
          </w:p>
        </w:tc>
        <w:tc>
          <w:tcPr>
            <w:tcW w:w="0" w:type="auto"/>
            <w:hideMark/>
          </w:tcPr>
          <w:p w14:paraId="0F48261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 xml:space="preserve">73,392 − 86,862 = </w:t>
            </w:r>
            <w:r w:rsidRPr="00D25474">
              <w:rPr>
                <w:rFonts w:ascii="Arial" w:hAnsi="Arial" w:cs="Arial"/>
                <w:b/>
                <w:bCs/>
                <w:lang w:val="en-CA"/>
              </w:rPr>
              <w:t>−13,470</w:t>
            </w:r>
          </w:p>
        </w:tc>
      </w:tr>
    </w:tbl>
    <w:p w14:paraId="0AD33B98" w14:textId="426F5C67" w:rsidR="00A12F76" w:rsidRPr="00D25474" w:rsidRDefault="00A12F76" w:rsidP="00D25474">
      <w:pPr>
        <w:spacing w:line="360" w:lineRule="auto"/>
        <w:rPr>
          <w:rFonts w:ascii="Arial" w:hAnsi="Arial" w:cs="Arial"/>
          <w:lang w:val="en-CA"/>
        </w:rPr>
      </w:pPr>
    </w:p>
    <w:p w14:paraId="64A1F887"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F. Altman Z-Score Calculation (2020–2024)</w:t>
      </w:r>
    </w:p>
    <w:tbl>
      <w:tblPr>
        <w:tblStyle w:val="TableGrid"/>
        <w:tblW w:w="0" w:type="auto"/>
        <w:tblLook w:val="04A0" w:firstRow="1" w:lastRow="0" w:firstColumn="1" w:lastColumn="0" w:noHBand="0" w:noVBand="1"/>
      </w:tblPr>
      <w:tblGrid>
        <w:gridCol w:w="585"/>
        <w:gridCol w:w="2260"/>
        <w:gridCol w:w="1456"/>
        <w:gridCol w:w="1461"/>
        <w:gridCol w:w="1456"/>
        <w:gridCol w:w="1456"/>
        <w:gridCol w:w="676"/>
      </w:tblGrid>
      <w:tr w:rsidR="00A12F76" w:rsidRPr="00D25474" w14:paraId="6E529754" w14:textId="77777777" w:rsidTr="00D25474">
        <w:tc>
          <w:tcPr>
            <w:tcW w:w="0" w:type="auto"/>
            <w:hideMark/>
          </w:tcPr>
          <w:p w14:paraId="34C849BB"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02C159FD"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X</w:t>
            </w:r>
            <w:r w:rsidRPr="00D25474">
              <w:rPr>
                <w:rFonts w:ascii="Cambria Math" w:hAnsi="Cambria Math" w:cs="Cambria Math"/>
                <w:b/>
                <w:bCs/>
                <w:lang w:val="en-CA"/>
              </w:rPr>
              <w:t>₁</w:t>
            </w:r>
            <w:r w:rsidRPr="00D25474">
              <w:rPr>
                <w:rFonts w:ascii="Arial" w:hAnsi="Arial" w:cs="Arial"/>
                <w:b/>
                <w:bCs/>
                <w:lang w:val="en-CA"/>
              </w:rPr>
              <w:t xml:space="preserve"> (WC/TA)</w:t>
            </w:r>
          </w:p>
        </w:tc>
        <w:tc>
          <w:tcPr>
            <w:tcW w:w="0" w:type="auto"/>
            <w:hideMark/>
          </w:tcPr>
          <w:p w14:paraId="4EA5E439"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X</w:t>
            </w:r>
            <w:r w:rsidRPr="00D25474">
              <w:rPr>
                <w:rFonts w:ascii="Cambria Math" w:hAnsi="Cambria Math" w:cs="Cambria Math"/>
                <w:b/>
                <w:bCs/>
                <w:lang w:val="en-CA"/>
              </w:rPr>
              <w:t>₂</w:t>
            </w:r>
            <w:r w:rsidRPr="00D25474">
              <w:rPr>
                <w:rFonts w:ascii="Arial" w:hAnsi="Arial" w:cs="Arial"/>
                <w:b/>
                <w:bCs/>
                <w:lang w:val="en-CA"/>
              </w:rPr>
              <w:t xml:space="preserve"> (RE/TA)</w:t>
            </w:r>
          </w:p>
        </w:tc>
        <w:tc>
          <w:tcPr>
            <w:tcW w:w="0" w:type="auto"/>
            <w:hideMark/>
          </w:tcPr>
          <w:p w14:paraId="4D314A15"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X</w:t>
            </w:r>
            <w:r w:rsidRPr="00D25474">
              <w:rPr>
                <w:rFonts w:ascii="Cambria Math" w:hAnsi="Cambria Math" w:cs="Cambria Math"/>
                <w:b/>
                <w:bCs/>
                <w:lang w:val="en-CA"/>
              </w:rPr>
              <w:t>₃</w:t>
            </w:r>
            <w:r w:rsidRPr="00D25474">
              <w:rPr>
                <w:rFonts w:ascii="Arial" w:hAnsi="Arial" w:cs="Arial"/>
                <w:b/>
                <w:bCs/>
                <w:lang w:val="en-CA"/>
              </w:rPr>
              <w:t xml:space="preserve"> (EBIT/TA)</w:t>
            </w:r>
          </w:p>
        </w:tc>
        <w:tc>
          <w:tcPr>
            <w:tcW w:w="0" w:type="auto"/>
            <w:hideMark/>
          </w:tcPr>
          <w:p w14:paraId="76F3DD45"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X</w:t>
            </w:r>
            <w:r w:rsidRPr="00D25474">
              <w:rPr>
                <w:rFonts w:ascii="Cambria Math" w:hAnsi="Cambria Math" w:cs="Cambria Math"/>
                <w:b/>
                <w:bCs/>
                <w:lang w:val="en-CA"/>
              </w:rPr>
              <w:t>₄</w:t>
            </w:r>
            <w:r w:rsidRPr="00D25474">
              <w:rPr>
                <w:rFonts w:ascii="Arial" w:hAnsi="Arial" w:cs="Arial"/>
                <w:b/>
                <w:bCs/>
                <w:lang w:val="en-CA"/>
              </w:rPr>
              <w:t xml:space="preserve"> (MVE/TL)</w:t>
            </w:r>
          </w:p>
        </w:tc>
        <w:tc>
          <w:tcPr>
            <w:tcW w:w="0" w:type="auto"/>
            <w:hideMark/>
          </w:tcPr>
          <w:p w14:paraId="047C9183"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X</w:t>
            </w:r>
            <w:r w:rsidRPr="00D25474">
              <w:rPr>
                <w:rFonts w:ascii="Cambria Math" w:hAnsi="Cambria Math" w:cs="Cambria Math"/>
                <w:b/>
                <w:bCs/>
                <w:lang w:val="en-CA"/>
              </w:rPr>
              <w:t>₅</w:t>
            </w:r>
            <w:r w:rsidRPr="00D25474">
              <w:rPr>
                <w:rFonts w:ascii="Arial" w:hAnsi="Arial" w:cs="Arial"/>
                <w:b/>
                <w:bCs/>
                <w:lang w:val="en-CA"/>
              </w:rPr>
              <w:t xml:space="preserve"> (Sales/TA)</w:t>
            </w:r>
          </w:p>
        </w:tc>
        <w:tc>
          <w:tcPr>
            <w:tcW w:w="0" w:type="auto"/>
            <w:hideMark/>
          </w:tcPr>
          <w:p w14:paraId="39E7025E"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Z-Score</w:t>
            </w:r>
          </w:p>
        </w:tc>
      </w:tr>
      <w:tr w:rsidR="00A12F76" w:rsidRPr="00D25474" w14:paraId="632A924F" w14:textId="77777777" w:rsidTr="00D25474">
        <w:tc>
          <w:tcPr>
            <w:tcW w:w="0" w:type="auto"/>
            <w:hideMark/>
          </w:tcPr>
          <w:p w14:paraId="718460C8"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2024</w:t>
            </w:r>
          </w:p>
        </w:tc>
        <w:tc>
          <w:tcPr>
            <w:tcW w:w="0" w:type="auto"/>
            <w:hideMark/>
          </w:tcPr>
          <w:p w14:paraId="7E81CED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(242,494−158,291)/323,354 = 0.26</w:t>
            </w:r>
          </w:p>
        </w:tc>
        <w:tc>
          <w:tcPr>
            <w:tcW w:w="0" w:type="auto"/>
            <w:hideMark/>
          </w:tcPr>
          <w:p w14:paraId="54E812F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208,431/323,354 = 0.64</w:t>
            </w:r>
          </w:p>
        </w:tc>
        <w:tc>
          <w:tcPr>
            <w:tcW w:w="0" w:type="auto"/>
            <w:hideMark/>
          </w:tcPr>
          <w:p w14:paraId="662DB03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−15,297/323,354 = −0.05</w:t>
            </w:r>
          </w:p>
        </w:tc>
        <w:tc>
          <w:tcPr>
            <w:tcW w:w="0" w:type="auto"/>
            <w:hideMark/>
          </w:tcPr>
          <w:p w14:paraId="01CDA67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153,105/170,249 = 0.90</w:t>
            </w:r>
          </w:p>
        </w:tc>
        <w:tc>
          <w:tcPr>
            <w:tcW w:w="0" w:type="auto"/>
            <w:hideMark/>
          </w:tcPr>
          <w:p w14:paraId="4978DCF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394,879/323,354 = 1.22</w:t>
            </w:r>
          </w:p>
        </w:tc>
        <w:tc>
          <w:tcPr>
            <w:tcW w:w="0" w:type="auto"/>
            <w:hideMark/>
          </w:tcPr>
          <w:p w14:paraId="3CC16ACA"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2.80</w:t>
            </w:r>
          </w:p>
        </w:tc>
      </w:tr>
      <w:tr w:rsidR="00A12F76" w:rsidRPr="00D25474" w14:paraId="58492551" w14:textId="77777777" w:rsidTr="00D25474">
        <w:tc>
          <w:tcPr>
            <w:tcW w:w="0" w:type="auto"/>
            <w:hideMark/>
          </w:tcPr>
          <w:p w14:paraId="733BD31D"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2023</w:t>
            </w:r>
          </w:p>
        </w:tc>
        <w:tc>
          <w:tcPr>
            <w:tcW w:w="0" w:type="auto"/>
            <w:hideMark/>
          </w:tcPr>
          <w:p w14:paraId="591EE76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(258,851−161,148)/355,872 = 0.27</w:t>
            </w:r>
          </w:p>
        </w:tc>
        <w:tc>
          <w:tcPr>
            <w:tcW w:w="0" w:type="auto"/>
            <w:hideMark/>
          </w:tcPr>
          <w:p w14:paraId="119F918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232,460/355,872 = 0.65</w:t>
            </w:r>
          </w:p>
        </w:tc>
        <w:tc>
          <w:tcPr>
            <w:tcW w:w="0" w:type="auto"/>
            <w:hideMark/>
          </w:tcPr>
          <w:p w14:paraId="319E328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−85,301/355,872 = −0.24</w:t>
            </w:r>
          </w:p>
        </w:tc>
        <w:tc>
          <w:tcPr>
            <w:tcW w:w="0" w:type="auto"/>
            <w:hideMark/>
          </w:tcPr>
          <w:p w14:paraId="1D05E42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178,920/176,952 = 1.01</w:t>
            </w:r>
          </w:p>
        </w:tc>
        <w:tc>
          <w:tcPr>
            <w:tcW w:w="0" w:type="auto"/>
            <w:hideMark/>
          </w:tcPr>
          <w:p w14:paraId="060F587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420,457/355,872 = 1.18</w:t>
            </w:r>
          </w:p>
        </w:tc>
        <w:tc>
          <w:tcPr>
            <w:tcW w:w="0" w:type="auto"/>
            <w:hideMark/>
          </w:tcPr>
          <w:p w14:paraId="15C24120"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2.39</w:t>
            </w:r>
          </w:p>
        </w:tc>
      </w:tr>
      <w:tr w:rsidR="00A12F76" w:rsidRPr="00D25474" w14:paraId="4367C9E9" w14:textId="77777777" w:rsidTr="00D25474">
        <w:tc>
          <w:tcPr>
            <w:tcW w:w="0" w:type="auto"/>
            <w:hideMark/>
          </w:tcPr>
          <w:p w14:paraId="09297337"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2022</w:t>
            </w:r>
          </w:p>
        </w:tc>
        <w:tc>
          <w:tcPr>
            <w:tcW w:w="0" w:type="auto"/>
            <w:hideMark/>
          </w:tcPr>
          <w:p w14:paraId="1635AFD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(338,040−216,473)/504,163 = 0.24</w:t>
            </w:r>
          </w:p>
        </w:tc>
        <w:tc>
          <w:tcPr>
            <w:tcW w:w="0" w:type="auto"/>
            <w:hideMark/>
          </w:tcPr>
          <w:p w14:paraId="24A7A10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330,598/504,163 = 0.66</w:t>
            </w:r>
          </w:p>
        </w:tc>
        <w:tc>
          <w:tcPr>
            <w:tcW w:w="0" w:type="auto"/>
            <w:hideMark/>
          </w:tcPr>
          <w:p w14:paraId="4DDA304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14,548/504,163 = 0.03</w:t>
            </w:r>
          </w:p>
        </w:tc>
        <w:tc>
          <w:tcPr>
            <w:tcW w:w="0" w:type="auto"/>
            <w:hideMark/>
          </w:tcPr>
          <w:p w14:paraId="467C369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268,406/235,757 = 1.14</w:t>
            </w:r>
          </w:p>
        </w:tc>
        <w:tc>
          <w:tcPr>
            <w:tcW w:w="0" w:type="auto"/>
            <w:hideMark/>
          </w:tcPr>
          <w:p w14:paraId="264639C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542,751/504,163 = 1.08</w:t>
            </w:r>
          </w:p>
        </w:tc>
        <w:tc>
          <w:tcPr>
            <w:tcW w:w="0" w:type="auto"/>
            <w:hideMark/>
          </w:tcPr>
          <w:p w14:paraId="6F239714"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3.36</w:t>
            </w:r>
          </w:p>
        </w:tc>
      </w:tr>
      <w:tr w:rsidR="00A12F76" w:rsidRPr="00D25474" w14:paraId="13BA88A4" w14:textId="77777777" w:rsidTr="00D25474">
        <w:tc>
          <w:tcPr>
            <w:tcW w:w="0" w:type="auto"/>
            <w:hideMark/>
          </w:tcPr>
          <w:p w14:paraId="7FB9BBFE"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2021</w:t>
            </w:r>
          </w:p>
        </w:tc>
        <w:tc>
          <w:tcPr>
            <w:tcW w:w="0" w:type="auto"/>
            <w:hideMark/>
          </w:tcPr>
          <w:p w14:paraId="136E0300"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(337,146−216,787)/510,348 = 0.24</w:t>
            </w:r>
          </w:p>
        </w:tc>
        <w:tc>
          <w:tcPr>
            <w:tcW w:w="0" w:type="auto"/>
            <w:hideMark/>
          </w:tcPr>
          <w:p w14:paraId="7E75D70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330,291/510,348 = 0.65</w:t>
            </w:r>
          </w:p>
        </w:tc>
        <w:tc>
          <w:tcPr>
            <w:tcW w:w="0" w:type="auto"/>
            <w:hideMark/>
          </w:tcPr>
          <w:p w14:paraId="09C8664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23,253/510,348 = 0.05</w:t>
            </w:r>
          </w:p>
        </w:tc>
        <w:tc>
          <w:tcPr>
            <w:tcW w:w="0" w:type="auto"/>
            <w:hideMark/>
          </w:tcPr>
          <w:p w14:paraId="6808167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275,949/234,399 = 1.18</w:t>
            </w:r>
          </w:p>
        </w:tc>
        <w:tc>
          <w:tcPr>
            <w:tcW w:w="0" w:type="auto"/>
            <w:hideMark/>
          </w:tcPr>
          <w:p w14:paraId="1951E1C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601,602/510,348 = 1.18</w:t>
            </w:r>
          </w:p>
        </w:tc>
        <w:tc>
          <w:tcPr>
            <w:tcW w:w="0" w:type="auto"/>
            <w:hideMark/>
          </w:tcPr>
          <w:p w14:paraId="754FDC12"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3.58</w:t>
            </w:r>
          </w:p>
        </w:tc>
      </w:tr>
      <w:tr w:rsidR="00A12F76" w:rsidRPr="00D25474" w14:paraId="02BF41C8" w14:textId="77777777" w:rsidTr="00D25474">
        <w:tc>
          <w:tcPr>
            <w:tcW w:w="0" w:type="auto"/>
            <w:hideMark/>
          </w:tcPr>
          <w:p w14:paraId="7618B6D8"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2020</w:t>
            </w:r>
          </w:p>
        </w:tc>
        <w:tc>
          <w:tcPr>
            <w:tcW w:w="0" w:type="auto"/>
            <w:hideMark/>
          </w:tcPr>
          <w:p w14:paraId="2D2B704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(326,843−179,510)/510,290 = 0.29</w:t>
            </w:r>
          </w:p>
        </w:tc>
        <w:tc>
          <w:tcPr>
            <w:tcW w:w="0" w:type="auto"/>
            <w:hideMark/>
          </w:tcPr>
          <w:p w14:paraId="768059A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324,990/510,290 = 0.64</w:t>
            </w:r>
          </w:p>
        </w:tc>
        <w:tc>
          <w:tcPr>
            <w:tcW w:w="0" w:type="auto"/>
            <w:hideMark/>
          </w:tcPr>
          <w:p w14:paraId="34FBEBB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37,267/510,290 = 0.07</w:t>
            </w:r>
          </w:p>
        </w:tc>
        <w:tc>
          <w:tcPr>
            <w:tcW w:w="0" w:type="auto"/>
            <w:hideMark/>
          </w:tcPr>
          <w:p w14:paraId="3F8E2D6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313,301/196,989 = 1.59</w:t>
            </w:r>
          </w:p>
        </w:tc>
        <w:tc>
          <w:tcPr>
            <w:tcW w:w="0" w:type="auto"/>
            <w:hideMark/>
          </w:tcPr>
          <w:p w14:paraId="4C71DB6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614,680/510,290 = 1.20</w:t>
            </w:r>
          </w:p>
        </w:tc>
        <w:tc>
          <w:tcPr>
            <w:tcW w:w="0" w:type="auto"/>
            <w:hideMark/>
          </w:tcPr>
          <w:p w14:paraId="46FA1332"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4.20</w:t>
            </w:r>
          </w:p>
        </w:tc>
      </w:tr>
    </w:tbl>
    <w:p w14:paraId="1D064383" w14:textId="1EE45E21" w:rsidR="00A12F76" w:rsidRPr="00D25474" w:rsidRDefault="00A12F76" w:rsidP="00D25474">
      <w:pPr>
        <w:spacing w:line="360" w:lineRule="auto"/>
        <w:rPr>
          <w:rFonts w:ascii="Arial" w:hAnsi="Arial" w:cs="Arial"/>
          <w:lang w:val="en-CA"/>
        </w:rPr>
      </w:pPr>
    </w:p>
    <w:p w14:paraId="1458C34C" w14:textId="1870150D"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G. Summary Table – Key Ratio Trend</w:t>
      </w:r>
    </w:p>
    <w:tbl>
      <w:tblPr>
        <w:tblStyle w:val="TableGrid"/>
        <w:tblW w:w="0" w:type="auto"/>
        <w:tblLook w:val="04A0" w:firstRow="1" w:lastRow="0" w:firstColumn="1" w:lastColumn="0" w:noHBand="0" w:noVBand="1"/>
      </w:tblPr>
      <w:tblGrid>
        <w:gridCol w:w="2244"/>
        <w:gridCol w:w="824"/>
        <w:gridCol w:w="897"/>
        <w:gridCol w:w="897"/>
        <w:gridCol w:w="1037"/>
        <w:gridCol w:w="904"/>
        <w:gridCol w:w="2471"/>
      </w:tblGrid>
      <w:tr w:rsidR="00A12F76" w:rsidRPr="00D25474" w14:paraId="6C649871" w14:textId="77777777" w:rsidTr="00D25474">
        <w:tc>
          <w:tcPr>
            <w:tcW w:w="0" w:type="auto"/>
            <w:hideMark/>
          </w:tcPr>
          <w:p w14:paraId="2C48F1C2"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Category</w:t>
            </w:r>
          </w:p>
        </w:tc>
        <w:tc>
          <w:tcPr>
            <w:tcW w:w="0" w:type="auto"/>
            <w:hideMark/>
          </w:tcPr>
          <w:p w14:paraId="056F6D55"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2020</w:t>
            </w:r>
          </w:p>
        </w:tc>
        <w:tc>
          <w:tcPr>
            <w:tcW w:w="0" w:type="auto"/>
            <w:hideMark/>
          </w:tcPr>
          <w:p w14:paraId="1EC1FECB"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2021</w:t>
            </w:r>
          </w:p>
        </w:tc>
        <w:tc>
          <w:tcPr>
            <w:tcW w:w="0" w:type="auto"/>
            <w:hideMark/>
          </w:tcPr>
          <w:p w14:paraId="13586BF8"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2022</w:t>
            </w:r>
          </w:p>
        </w:tc>
        <w:tc>
          <w:tcPr>
            <w:tcW w:w="0" w:type="auto"/>
            <w:hideMark/>
          </w:tcPr>
          <w:p w14:paraId="4232C1BD"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2023</w:t>
            </w:r>
          </w:p>
        </w:tc>
        <w:tc>
          <w:tcPr>
            <w:tcW w:w="0" w:type="auto"/>
            <w:hideMark/>
          </w:tcPr>
          <w:p w14:paraId="303F55CA"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2024</w:t>
            </w:r>
          </w:p>
        </w:tc>
        <w:tc>
          <w:tcPr>
            <w:tcW w:w="0" w:type="auto"/>
            <w:hideMark/>
          </w:tcPr>
          <w:p w14:paraId="08CAEFF7" w14:textId="77777777" w:rsidR="00A12F76" w:rsidRPr="00D25474" w:rsidRDefault="00A12F76" w:rsidP="00D25474">
            <w:pPr>
              <w:spacing w:line="360" w:lineRule="auto"/>
              <w:rPr>
                <w:rFonts w:ascii="Arial" w:hAnsi="Arial" w:cs="Arial"/>
                <w:b/>
                <w:bCs/>
                <w:lang w:val="en-CA"/>
              </w:rPr>
            </w:pPr>
            <w:r w:rsidRPr="00D25474">
              <w:rPr>
                <w:rFonts w:ascii="Arial" w:hAnsi="Arial" w:cs="Arial"/>
                <w:b/>
                <w:bCs/>
                <w:lang w:val="en-CA"/>
              </w:rPr>
              <w:t>Trend</w:t>
            </w:r>
          </w:p>
        </w:tc>
      </w:tr>
      <w:tr w:rsidR="00A12F76" w:rsidRPr="00D25474" w14:paraId="7A41F557" w14:textId="77777777" w:rsidTr="00D25474">
        <w:tc>
          <w:tcPr>
            <w:tcW w:w="0" w:type="auto"/>
            <w:hideMark/>
          </w:tcPr>
          <w:p w14:paraId="6A390C5A"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Net Profit Margin</w:t>
            </w:r>
          </w:p>
        </w:tc>
        <w:tc>
          <w:tcPr>
            <w:tcW w:w="0" w:type="auto"/>
            <w:hideMark/>
          </w:tcPr>
          <w:p w14:paraId="299BC8B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6.3%</w:t>
            </w:r>
          </w:p>
        </w:tc>
        <w:tc>
          <w:tcPr>
            <w:tcW w:w="0" w:type="auto"/>
            <w:hideMark/>
          </w:tcPr>
          <w:p w14:paraId="586FDD2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0.88%</w:t>
            </w:r>
          </w:p>
        </w:tc>
        <w:tc>
          <w:tcPr>
            <w:tcW w:w="0" w:type="auto"/>
            <w:hideMark/>
          </w:tcPr>
          <w:p w14:paraId="56844F1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0.07%</w:t>
            </w:r>
          </w:p>
        </w:tc>
        <w:tc>
          <w:tcPr>
            <w:tcW w:w="0" w:type="auto"/>
            <w:hideMark/>
          </w:tcPr>
          <w:p w14:paraId="2CDA7C4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−23.4%</w:t>
            </w:r>
          </w:p>
        </w:tc>
        <w:tc>
          <w:tcPr>
            <w:tcW w:w="0" w:type="auto"/>
            <w:hideMark/>
          </w:tcPr>
          <w:p w14:paraId="54DF34C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−6.1%</w:t>
            </w:r>
          </w:p>
        </w:tc>
        <w:tc>
          <w:tcPr>
            <w:tcW w:w="0" w:type="auto"/>
            <w:hideMark/>
          </w:tcPr>
          <w:p w14:paraId="11F8362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Deteriorating</w:t>
            </w:r>
          </w:p>
        </w:tc>
      </w:tr>
      <w:tr w:rsidR="00A12F76" w:rsidRPr="00D25474" w14:paraId="1E723847" w14:textId="77777777" w:rsidTr="00D25474">
        <w:tc>
          <w:tcPr>
            <w:tcW w:w="0" w:type="auto"/>
            <w:hideMark/>
          </w:tcPr>
          <w:p w14:paraId="4F6E0AE2"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Current Ratio</w:t>
            </w:r>
          </w:p>
        </w:tc>
        <w:tc>
          <w:tcPr>
            <w:tcW w:w="0" w:type="auto"/>
            <w:hideMark/>
          </w:tcPr>
          <w:p w14:paraId="4BA458B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1.82</w:t>
            </w:r>
          </w:p>
        </w:tc>
        <w:tc>
          <w:tcPr>
            <w:tcW w:w="0" w:type="auto"/>
            <w:hideMark/>
          </w:tcPr>
          <w:p w14:paraId="7AED464A"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1.55</w:t>
            </w:r>
          </w:p>
        </w:tc>
        <w:tc>
          <w:tcPr>
            <w:tcW w:w="0" w:type="auto"/>
            <w:hideMark/>
          </w:tcPr>
          <w:p w14:paraId="7BAE79D8"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1.56</w:t>
            </w:r>
          </w:p>
        </w:tc>
        <w:tc>
          <w:tcPr>
            <w:tcW w:w="0" w:type="auto"/>
            <w:hideMark/>
          </w:tcPr>
          <w:p w14:paraId="6F85422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1.61</w:t>
            </w:r>
          </w:p>
        </w:tc>
        <w:tc>
          <w:tcPr>
            <w:tcW w:w="0" w:type="auto"/>
            <w:hideMark/>
          </w:tcPr>
          <w:p w14:paraId="66471D7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1.53</w:t>
            </w:r>
          </w:p>
        </w:tc>
        <w:tc>
          <w:tcPr>
            <w:tcW w:w="0" w:type="auto"/>
            <w:hideMark/>
          </w:tcPr>
          <w:p w14:paraId="5143507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Stable but low</w:t>
            </w:r>
          </w:p>
        </w:tc>
      </w:tr>
      <w:tr w:rsidR="00A12F76" w:rsidRPr="00D25474" w14:paraId="527EF7C4" w14:textId="77777777" w:rsidTr="00D25474">
        <w:tc>
          <w:tcPr>
            <w:tcW w:w="0" w:type="auto"/>
            <w:hideMark/>
          </w:tcPr>
          <w:p w14:paraId="1EE5AFDF"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Debt–Equity</w:t>
            </w:r>
          </w:p>
        </w:tc>
        <w:tc>
          <w:tcPr>
            <w:tcW w:w="0" w:type="auto"/>
            <w:hideMark/>
          </w:tcPr>
          <w:p w14:paraId="6C98BAB4"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0.63</w:t>
            </w:r>
          </w:p>
        </w:tc>
        <w:tc>
          <w:tcPr>
            <w:tcW w:w="0" w:type="auto"/>
            <w:hideMark/>
          </w:tcPr>
          <w:p w14:paraId="3A3F6A2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0.85</w:t>
            </w:r>
          </w:p>
        </w:tc>
        <w:tc>
          <w:tcPr>
            <w:tcW w:w="0" w:type="auto"/>
            <w:hideMark/>
          </w:tcPr>
          <w:p w14:paraId="2DD911A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0.88</w:t>
            </w:r>
          </w:p>
        </w:tc>
        <w:tc>
          <w:tcPr>
            <w:tcW w:w="0" w:type="auto"/>
            <w:hideMark/>
          </w:tcPr>
          <w:p w14:paraId="7B86C3D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0.99</w:t>
            </w:r>
          </w:p>
        </w:tc>
        <w:tc>
          <w:tcPr>
            <w:tcW w:w="0" w:type="auto"/>
            <w:hideMark/>
          </w:tcPr>
          <w:p w14:paraId="7C146506"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1.11</w:t>
            </w:r>
          </w:p>
        </w:tc>
        <w:tc>
          <w:tcPr>
            <w:tcW w:w="0" w:type="auto"/>
            <w:hideMark/>
          </w:tcPr>
          <w:p w14:paraId="35748780"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Increasing debt load</w:t>
            </w:r>
          </w:p>
        </w:tc>
      </w:tr>
      <w:tr w:rsidR="00A12F76" w:rsidRPr="00D25474" w14:paraId="75778CDD" w14:textId="77777777" w:rsidTr="00D25474">
        <w:tc>
          <w:tcPr>
            <w:tcW w:w="0" w:type="auto"/>
            <w:hideMark/>
          </w:tcPr>
          <w:p w14:paraId="6BF3F1DE"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Interest Coverage</w:t>
            </w:r>
          </w:p>
        </w:tc>
        <w:tc>
          <w:tcPr>
            <w:tcW w:w="0" w:type="auto"/>
            <w:hideMark/>
          </w:tcPr>
          <w:p w14:paraId="0892BF6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26.2×</w:t>
            </w:r>
          </w:p>
        </w:tc>
        <w:tc>
          <w:tcPr>
            <w:tcW w:w="0" w:type="auto"/>
            <w:hideMark/>
          </w:tcPr>
          <w:p w14:paraId="00C649C3"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41.1×</w:t>
            </w:r>
          </w:p>
        </w:tc>
        <w:tc>
          <w:tcPr>
            <w:tcW w:w="0" w:type="auto"/>
            <w:hideMark/>
          </w:tcPr>
          <w:p w14:paraId="520861C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6.6×</w:t>
            </w:r>
          </w:p>
        </w:tc>
        <w:tc>
          <w:tcPr>
            <w:tcW w:w="0" w:type="auto"/>
            <w:hideMark/>
          </w:tcPr>
          <w:p w14:paraId="269CFCDF"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−19.7×</w:t>
            </w:r>
          </w:p>
        </w:tc>
        <w:tc>
          <w:tcPr>
            <w:tcW w:w="0" w:type="auto"/>
            <w:hideMark/>
          </w:tcPr>
          <w:p w14:paraId="6F9DBE9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−4.6×</w:t>
            </w:r>
          </w:p>
        </w:tc>
        <w:tc>
          <w:tcPr>
            <w:tcW w:w="0" w:type="auto"/>
            <w:hideMark/>
          </w:tcPr>
          <w:p w14:paraId="11A4AC6D"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Insolvent</w:t>
            </w:r>
          </w:p>
        </w:tc>
      </w:tr>
      <w:tr w:rsidR="00A12F76" w:rsidRPr="00D25474" w14:paraId="164BA8DD" w14:textId="77777777" w:rsidTr="00D25474">
        <w:tc>
          <w:tcPr>
            <w:tcW w:w="0" w:type="auto"/>
            <w:hideMark/>
          </w:tcPr>
          <w:p w14:paraId="0663EE21"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lastRenderedPageBreak/>
              <w:t>OCF Ratio</w:t>
            </w:r>
          </w:p>
        </w:tc>
        <w:tc>
          <w:tcPr>
            <w:tcW w:w="0" w:type="auto"/>
            <w:hideMark/>
          </w:tcPr>
          <w:p w14:paraId="42B3149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0.41</w:t>
            </w:r>
          </w:p>
        </w:tc>
        <w:tc>
          <w:tcPr>
            <w:tcW w:w="0" w:type="auto"/>
            <w:hideMark/>
          </w:tcPr>
          <w:p w14:paraId="6B2901C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0.19</w:t>
            </w:r>
          </w:p>
        </w:tc>
        <w:tc>
          <w:tcPr>
            <w:tcW w:w="0" w:type="auto"/>
            <w:hideMark/>
          </w:tcPr>
          <w:p w14:paraId="1F36EA5E"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0.05</w:t>
            </w:r>
          </w:p>
        </w:tc>
        <w:tc>
          <w:tcPr>
            <w:tcW w:w="0" w:type="auto"/>
            <w:hideMark/>
          </w:tcPr>
          <w:p w14:paraId="18C9EA5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0.16</w:t>
            </w:r>
          </w:p>
        </w:tc>
        <w:tc>
          <w:tcPr>
            <w:tcW w:w="0" w:type="auto"/>
            <w:hideMark/>
          </w:tcPr>
          <w:p w14:paraId="153015C7"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0.09</w:t>
            </w:r>
          </w:p>
        </w:tc>
        <w:tc>
          <w:tcPr>
            <w:tcW w:w="0" w:type="auto"/>
            <w:hideMark/>
          </w:tcPr>
          <w:p w14:paraId="70C024A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Weak cash coverage</w:t>
            </w:r>
          </w:p>
        </w:tc>
      </w:tr>
      <w:tr w:rsidR="00A12F76" w:rsidRPr="00D25474" w14:paraId="2FAF9496" w14:textId="77777777" w:rsidTr="00D25474">
        <w:tc>
          <w:tcPr>
            <w:tcW w:w="0" w:type="auto"/>
            <w:hideMark/>
          </w:tcPr>
          <w:p w14:paraId="6F99D9C2" w14:textId="77777777" w:rsidR="00A12F76" w:rsidRPr="00D25474" w:rsidRDefault="00A12F76" w:rsidP="00D25474">
            <w:pPr>
              <w:spacing w:line="360" w:lineRule="auto"/>
              <w:rPr>
                <w:rFonts w:ascii="Arial" w:hAnsi="Arial" w:cs="Arial"/>
                <w:lang w:val="en-CA"/>
              </w:rPr>
            </w:pPr>
            <w:r w:rsidRPr="00D25474">
              <w:rPr>
                <w:rFonts w:ascii="Arial" w:hAnsi="Arial" w:cs="Arial"/>
                <w:b/>
                <w:bCs/>
                <w:lang w:val="en-CA"/>
              </w:rPr>
              <w:t>Altman Z</w:t>
            </w:r>
          </w:p>
        </w:tc>
        <w:tc>
          <w:tcPr>
            <w:tcW w:w="0" w:type="auto"/>
            <w:hideMark/>
          </w:tcPr>
          <w:p w14:paraId="7C43DF82"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4.20</w:t>
            </w:r>
          </w:p>
        </w:tc>
        <w:tc>
          <w:tcPr>
            <w:tcW w:w="0" w:type="auto"/>
            <w:hideMark/>
          </w:tcPr>
          <w:p w14:paraId="52E27E21"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3.58</w:t>
            </w:r>
          </w:p>
        </w:tc>
        <w:tc>
          <w:tcPr>
            <w:tcW w:w="0" w:type="auto"/>
            <w:hideMark/>
          </w:tcPr>
          <w:p w14:paraId="560D9439"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3.36</w:t>
            </w:r>
          </w:p>
        </w:tc>
        <w:tc>
          <w:tcPr>
            <w:tcW w:w="0" w:type="auto"/>
            <w:hideMark/>
          </w:tcPr>
          <w:p w14:paraId="61FC3F8C"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2.39</w:t>
            </w:r>
          </w:p>
        </w:tc>
        <w:tc>
          <w:tcPr>
            <w:tcW w:w="0" w:type="auto"/>
            <w:hideMark/>
          </w:tcPr>
          <w:p w14:paraId="251ECCD5"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2.80</w:t>
            </w:r>
          </w:p>
        </w:tc>
        <w:tc>
          <w:tcPr>
            <w:tcW w:w="0" w:type="auto"/>
            <w:hideMark/>
          </w:tcPr>
          <w:p w14:paraId="29A4BB3B" w14:textId="77777777" w:rsidR="00A12F76" w:rsidRPr="00D25474" w:rsidRDefault="00A12F76" w:rsidP="00D25474">
            <w:pPr>
              <w:spacing w:line="360" w:lineRule="auto"/>
              <w:rPr>
                <w:rFonts w:ascii="Arial" w:hAnsi="Arial" w:cs="Arial"/>
                <w:lang w:val="en-CA"/>
              </w:rPr>
            </w:pPr>
            <w:r w:rsidRPr="00D25474">
              <w:rPr>
                <w:rFonts w:ascii="Arial" w:hAnsi="Arial" w:cs="Arial"/>
                <w:lang w:val="en-CA"/>
              </w:rPr>
              <w:t>Distress approaching</w:t>
            </w:r>
          </w:p>
        </w:tc>
      </w:tr>
    </w:tbl>
    <w:p w14:paraId="188D128A" w14:textId="77777777" w:rsidR="00A12F76" w:rsidRPr="00D25474" w:rsidRDefault="00A12F76" w:rsidP="00D25474">
      <w:pPr>
        <w:spacing w:line="360" w:lineRule="auto"/>
        <w:rPr>
          <w:rFonts w:ascii="Arial" w:hAnsi="Arial" w:cs="Arial"/>
        </w:rPr>
      </w:pPr>
    </w:p>
    <w:p w14:paraId="4794BBE0" w14:textId="77777777" w:rsidR="00A12F76" w:rsidRPr="00D25474" w:rsidRDefault="00A12F76" w:rsidP="00D25474">
      <w:pPr>
        <w:spacing w:line="360" w:lineRule="auto"/>
        <w:rPr>
          <w:rFonts w:ascii="Arial" w:hAnsi="Arial" w:cs="Arial"/>
        </w:rPr>
      </w:pPr>
    </w:p>
    <w:p w14:paraId="668FB74E" w14:textId="77777777" w:rsidR="00A12F76" w:rsidRPr="00D25474" w:rsidRDefault="00A12F76" w:rsidP="00D25474">
      <w:pPr>
        <w:spacing w:line="360" w:lineRule="auto"/>
        <w:rPr>
          <w:rFonts w:ascii="Arial" w:hAnsi="Arial" w:cs="Arial"/>
        </w:rPr>
      </w:pPr>
    </w:p>
    <w:p w14:paraId="35488517" w14:textId="77777777" w:rsidR="000939C6" w:rsidRPr="00D25474" w:rsidRDefault="000939C6" w:rsidP="00D25474">
      <w:pPr>
        <w:spacing w:line="360" w:lineRule="auto"/>
        <w:rPr>
          <w:rFonts w:ascii="Arial" w:hAnsi="Arial" w:cs="Arial"/>
        </w:rPr>
      </w:pPr>
    </w:p>
    <w:p w14:paraId="741C1358" w14:textId="77777777" w:rsidR="000939C6" w:rsidRPr="00D25474" w:rsidRDefault="000939C6" w:rsidP="00D25474">
      <w:pPr>
        <w:spacing w:line="360" w:lineRule="auto"/>
        <w:rPr>
          <w:rFonts w:ascii="Arial" w:hAnsi="Arial" w:cs="Arial"/>
        </w:rPr>
      </w:pPr>
    </w:p>
    <w:p w14:paraId="67D72402" w14:textId="77777777" w:rsidR="000939C6" w:rsidRPr="00D25474" w:rsidRDefault="000939C6" w:rsidP="00D25474">
      <w:pPr>
        <w:spacing w:line="360" w:lineRule="auto"/>
        <w:rPr>
          <w:rFonts w:ascii="Arial" w:hAnsi="Arial" w:cs="Arial"/>
        </w:rPr>
      </w:pPr>
    </w:p>
    <w:p w14:paraId="1EA78059" w14:textId="77777777" w:rsidR="000939C6" w:rsidRPr="00D25474" w:rsidRDefault="000939C6" w:rsidP="00D25474">
      <w:pPr>
        <w:spacing w:line="360" w:lineRule="auto"/>
        <w:rPr>
          <w:rFonts w:ascii="Arial" w:hAnsi="Arial" w:cs="Arial"/>
        </w:rPr>
      </w:pPr>
    </w:p>
    <w:p w14:paraId="0C5C577A" w14:textId="77777777" w:rsidR="000939C6" w:rsidRDefault="000939C6" w:rsidP="00D25474">
      <w:pPr>
        <w:spacing w:line="360" w:lineRule="auto"/>
        <w:rPr>
          <w:rFonts w:ascii="Arial" w:hAnsi="Arial" w:cs="Arial"/>
        </w:rPr>
      </w:pPr>
    </w:p>
    <w:p w14:paraId="68C1B3A4" w14:textId="77777777" w:rsidR="00D25474" w:rsidRDefault="00D25474" w:rsidP="00D25474">
      <w:pPr>
        <w:spacing w:line="360" w:lineRule="auto"/>
        <w:rPr>
          <w:rFonts w:ascii="Arial" w:hAnsi="Arial" w:cs="Arial"/>
        </w:rPr>
      </w:pPr>
    </w:p>
    <w:p w14:paraId="580571AA" w14:textId="77777777" w:rsidR="00D25474" w:rsidRDefault="00D25474" w:rsidP="00D25474">
      <w:pPr>
        <w:spacing w:line="360" w:lineRule="auto"/>
        <w:rPr>
          <w:rFonts w:ascii="Arial" w:hAnsi="Arial" w:cs="Arial"/>
        </w:rPr>
      </w:pPr>
    </w:p>
    <w:p w14:paraId="1C2DD00D" w14:textId="77777777" w:rsidR="00D25474" w:rsidRDefault="00D25474" w:rsidP="00D25474">
      <w:pPr>
        <w:spacing w:line="360" w:lineRule="auto"/>
        <w:rPr>
          <w:rFonts w:ascii="Arial" w:hAnsi="Arial" w:cs="Arial"/>
        </w:rPr>
      </w:pPr>
    </w:p>
    <w:p w14:paraId="430E0099" w14:textId="77777777" w:rsidR="00D25474" w:rsidRDefault="00D25474" w:rsidP="00D25474">
      <w:pPr>
        <w:spacing w:line="360" w:lineRule="auto"/>
        <w:rPr>
          <w:rFonts w:ascii="Arial" w:hAnsi="Arial" w:cs="Arial"/>
        </w:rPr>
      </w:pPr>
    </w:p>
    <w:p w14:paraId="435F2380" w14:textId="77777777" w:rsidR="00D25474" w:rsidRDefault="00D25474" w:rsidP="00D25474">
      <w:pPr>
        <w:spacing w:line="360" w:lineRule="auto"/>
        <w:rPr>
          <w:rFonts w:ascii="Arial" w:hAnsi="Arial" w:cs="Arial"/>
        </w:rPr>
      </w:pPr>
    </w:p>
    <w:p w14:paraId="767EDDE3" w14:textId="77777777" w:rsidR="00D25474" w:rsidRDefault="00D25474" w:rsidP="00D25474">
      <w:pPr>
        <w:spacing w:line="360" w:lineRule="auto"/>
        <w:rPr>
          <w:rFonts w:ascii="Arial" w:hAnsi="Arial" w:cs="Arial"/>
        </w:rPr>
      </w:pPr>
    </w:p>
    <w:p w14:paraId="09ABE0E9" w14:textId="77777777" w:rsidR="00D25474" w:rsidRDefault="00D25474" w:rsidP="00D25474">
      <w:pPr>
        <w:spacing w:line="360" w:lineRule="auto"/>
        <w:rPr>
          <w:rFonts w:ascii="Arial" w:hAnsi="Arial" w:cs="Arial"/>
        </w:rPr>
      </w:pPr>
    </w:p>
    <w:p w14:paraId="2B35A524" w14:textId="77777777" w:rsidR="00D25474" w:rsidRDefault="00D25474" w:rsidP="00D25474">
      <w:pPr>
        <w:spacing w:line="360" w:lineRule="auto"/>
        <w:rPr>
          <w:rFonts w:ascii="Arial" w:hAnsi="Arial" w:cs="Arial"/>
        </w:rPr>
      </w:pPr>
    </w:p>
    <w:p w14:paraId="447C0F84" w14:textId="77777777" w:rsidR="00D25474" w:rsidRDefault="00D25474" w:rsidP="00D25474">
      <w:pPr>
        <w:spacing w:line="360" w:lineRule="auto"/>
        <w:rPr>
          <w:rFonts w:ascii="Arial" w:hAnsi="Arial" w:cs="Arial"/>
        </w:rPr>
      </w:pPr>
    </w:p>
    <w:p w14:paraId="59EB127D" w14:textId="77777777" w:rsidR="00D25474" w:rsidRDefault="00D25474" w:rsidP="00D25474">
      <w:pPr>
        <w:spacing w:line="360" w:lineRule="auto"/>
        <w:rPr>
          <w:rFonts w:ascii="Arial" w:hAnsi="Arial" w:cs="Arial"/>
        </w:rPr>
      </w:pPr>
    </w:p>
    <w:p w14:paraId="3A7FE0CD" w14:textId="77777777" w:rsidR="00D25474" w:rsidRDefault="00D25474" w:rsidP="00D25474">
      <w:pPr>
        <w:spacing w:line="360" w:lineRule="auto"/>
        <w:rPr>
          <w:rFonts w:ascii="Arial" w:hAnsi="Arial" w:cs="Arial"/>
        </w:rPr>
      </w:pPr>
    </w:p>
    <w:p w14:paraId="66EFC949" w14:textId="77777777" w:rsidR="00D25474" w:rsidRDefault="00D25474" w:rsidP="00D25474">
      <w:pPr>
        <w:spacing w:line="360" w:lineRule="auto"/>
        <w:rPr>
          <w:rFonts w:ascii="Arial" w:hAnsi="Arial" w:cs="Arial"/>
        </w:rPr>
      </w:pPr>
    </w:p>
    <w:p w14:paraId="4FA35D35" w14:textId="77777777" w:rsidR="00D25474" w:rsidRDefault="00D25474" w:rsidP="00D25474">
      <w:pPr>
        <w:spacing w:line="360" w:lineRule="auto"/>
        <w:rPr>
          <w:rFonts w:ascii="Arial" w:hAnsi="Arial" w:cs="Arial"/>
        </w:rPr>
      </w:pPr>
    </w:p>
    <w:p w14:paraId="0FE0950C" w14:textId="77777777" w:rsidR="00D25474" w:rsidRDefault="00D25474" w:rsidP="00D25474">
      <w:pPr>
        <w:spacing w:line="360" w:lineRule="auto"/>
        <w:rPr>
          <w:rFonts w:ascii="Arial" w:hAnsi="Arial" w:cs="Arial"/>
        </w:rPr>
      </w:pPr>
    </w:p>
    <w:p w14:paraId="063F47D1" w14:textId="77777777" w:rsidR="00D25474" w:rsidRDefault="00D25474" w:rsidP="00D25474">
      <w:pPr>
        <w:spacing w:line="360" w:lineRule="auto"/>
        <w:rPr>
          <w:rFonts w:ascii="Arial" w:hAnsi="Arial" w:cs="Arial"/>
        </w:rPr>
      </w:pPr>
    </w:p>
    <w:p w14:paraId="18E0E8E3" w14:textId="77777777" w:rsidR="00D25474" w:rsidRDefault="00D25474" w:rsidP="00D25474">
      <w:pPr>
        <w:spacing w:line="360" w:lineRule="auto"/>
        <w:rPr>
          <w:rFonts w:ascii="Arial" w:hAnsi="Arial" w:cs="Arial"/>
        </w:rPr>
      </w:pPr>
    </w:p>
    <w:p w14:paraId="1A87204E" w14:textId="77777777" w:rsidR="00D25474" w:rsidRDefault="00D25474" w:rsidP="00D25474">
      <w:pPr>
        <w:spacing w:line="360" w:lineRule="auto"/>
        <w:rPr>
          <w:rFonts w:ascii="Arial" w:hAnsi="Arial" w:cs="Arial"/>
        </w:rPr>
      </w:pPr>
    </w:p>
    <w:p w14:paraId="0B747194" w14:textId="77777777" w:rsidR="00D25474" w:rsidRDefault="00D25474" w:rsidP="00D25474">
      <w:pPr>
        <w:spacing w:line="360" w:lineRule="auto"/>
        <w:rPr>
          <w:rFonts w:ascii="Arial" w:hAnsi="Arial" w:cs="Arial"/>
        </w:rPr>
      </w:pPr>
    </w:p>
    <w:p w14:paraId="6A26C500" w14:textId="77777777" w:rsidR="00D25474" w:rsidRPr="00D25474" w:rsidRDefault="00D25474" w:rsidP="00D25474">
      <w:pPr>
        <w:spacing w:line="360" w:lineRule="auto"/>
        <w:rPr>
          <w:rFonts w:ascii="Arial" w:hAnsi="Arial" w:cs="Arial"/>
        </w:rPr>
      </w:pPr>
    </w:p>
    <w:p w14:paraId="5A584B89" w14:textId="77777777" w:rsidR="000939C6" w:rsidRPr="00D25474" w:rsidRDefault="000939C6" w:rsidP="00D25474">
      <w:pPr>
        <w:spacing w:line="360" w:lineRule="auto"/>
        <w:rPr>
          <w:rFonts w:ascii="Arial" w:hAnsi="Arial" w:cs="Arial"/>
        </w:rPr>
      </w:pPr>
    </w:p>
    <w:p w14:paraId="014D7077" w14:textId="77777777" w:rsidR="000939C6" w:rsidRPr="00D25474" w:rsidRDefault="000939C6" w:rsidP="00D25474">
      <w:pPr>
        <w:spacing w:line="360" w:lineRule="auto"/>
        <w:rPr>
          <w:rFonts w:ascii="Arial" w:hAnsi="Arial" w:cs="Arial"/>
        </w:rPr>
      </w:pPr>
    </w:p>
    <w:p w14:paraId="373F69E5" w14:textId="6C609266" w:rsidR="000939C6" w:rsidRPr="00D25474" w:rsidRDefault="000939C6" w:rsidP="00D25474">
      <w:pPr>
        <w:pStyle w:val="Style2"/>
      </w:pPr>
      <w:bookmarkStart w:id="39" w:name="_Toc213619041"/>
      <w:r w:rsidRPr="00D25474">
        <w:lastRenderedPageBreak/>
        <w:t>Investment Appraisal Calculations (Background Data)</w:t>
      </w:r>
      <w:bookmarkEnd w:id="39"/>
    </w:p>
    <w:p w14:paraId="16CE3A74"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A. Project Data Summary</w:t>
      </w:r>
    </w:p>
    <w:tbl>
      <w:tblPr>
        <w:tblStyle w:val="TableGrid"/>
        <w:tblW w:w="0" w:type="auto"/>
        <w:tblLook w:val="04A0" w:firstRow="1" w:lastRow="0" w:firstColumn="1" w:lastColumn="0" w:noHBand="0" w:noVBand="1"/>
      </w:tblPr>
      <w:tblGrid>
        <w:gridCol w:w="1030"/>
        <w:gridCol w:w="2278"/>
        <w:gridCol w:w="849"/>
        <w:gridCol w:w="849"/>
        <w:gridCol w:w="850"/>
        <w:gridCol w:w="850"/>
        <w:gridCol w:w="850"/>
        <w:gridCol w:w="1794"/>
      </w:tblGrid>
      <w:tr w:rsidR="000939C6" w:rsidRPr="00D25474" w14:paraId="591FD000" w14:textId="77777777" w:rsidTr="00D25474">
        <w:tc>
          <w:tcPr>
            <w:tcW w:w="0" w:type="auto"/>
            <w:hideMark/>
          </w:tcPr>
          <w:p w14:paraId="00A539D4"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w:t>
            </w:r>
          </w:p>
        </w:tc>
        <w:tc>
          <w:tcPr>
            <w:tcW w:w="0" w:type="auto"/>
            <w:hideMark/>
          </w:tcPr>
          <w:p w14:paraId="5DA82AA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Initial Investment (£m)</w:t>
            </w:r>
          </w:p>
        </w:tc>
        <w:tc>
          <w:tcPr>
            <w:tcW w:w="0" w:type="auto"/>
            <w:hideMark/>
          </w:tcPr>
          <w:p w14:paraId="1778D15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 1</w:t>
            </w:r>
          </w:p>
        </w:tc>
        <w:tc>
          <w:tcPr>
            <w:tcW w:w="0" w:type="auto"/>
            <w:hideMark/>
          </w:tcPr>
          <w:p w14:paraId="11049E6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 2</w:t>
            </w:r>
          </w:p>
        </w:tc>
        <w:tc>
          <w:tcPr>
            <w:tcW w:w="0" w:type="auto"/>
            <w:hideMark/>
          </w:tcPr>
          <w:p w14:paraId="793E739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 3</w:t>
            </w:r>
          </w:p>
        </w:tc>
        <w:tc>
          <w:tcPr>
            <w:tcW w:w="0" w:type="auto"/>
            <w:hideMark/>
          </w:tcPr>
          <w:p w14:paraId="6BE475D0"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 4</w:t>
            </w:r>
          </w:p>
        </w:tc>
        <w:tc>
          <w:tcPr>
            <w:tcW w:w="0" w:type="auto"/>
            <w:hideMark/>
          </w:tcPr>
          <w:p w14:paraId="36889B62"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 5</w:t>
            </w:r>
          </w:p>
        </w:tc>
        <w:tc>
          <w:tcPr>
            <w:tcW w:w="0" w:type="auto"/>
            <w:hideMark/>
          </w:tcPr>
          <w:p w14:paraId="31BDCAF4"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Total Inflows (£m)</w:t>
            </w:r>
          </w:p>
        </w:tc>
      </w:tr>
      <w:tr w:rsidR="000939C6" w:rsidRPr="00D25474" w14:paraId="7A5801FB" w14:textId="77777777" w:rsidTr="00D25474">
        <w:tc>
          <w:tcPr>
            <w:tcW w:w="0" w:type="auto"/>
            <w:hideMark/>
          </w:tcPr>
          <w:p w14:paraId="347B764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w:t>
            </w:r>
          </w:p>
        </w:tc>
        <w:tc>
          <w:tcPr>
            <w:tcW w:w="0" w:type="auto"/>
            <w:hideMark/>
          </w:tcPr>
          <w:p w14:paraId="7F75594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40</w:t>
            </w:r>
          </w:p>
        </w:tc>
        <w:tc>
          <w:tcPr>
            <w:tcW w:w="0" w:type="auto"/>
            <w:hideMark/>
          </w:tcPr>
          <w:p w14:paraId="53F00B8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3AF7468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w:t>
            </w:r>
          </w:p>
        </w:tc>
        <w:tc>
          <w:tcPr>
            <w:tcW w:w="0" w:type="auto"/>
            <w:hideMark/>
          </w:tcPr>
          <w:p w14:paraId="3B59BF5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14</w:t>
            </w:r>
          </w:p>
        </w:tc>
        <w:tc>
          <w:tcPr>
            <w:tcW w:w="0" w:type="auto"/>
            <w:hideMark/>
          </w:tcPr>
          <w:p w14:paraId="7D0EA16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3552F81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8</w:t>
            </w:r>
          </w:p>
        </w:tc>
        <w:tc>
          <w:tcPr>
            <w:tcW w:w="0" w:type="auto"/>
            <w:hideMark/>
          </w:tcPr>
          <w:p w14:paraId="4B042DA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54</w:t>
            </w:r>
          </w:p>
        </w:tc>
      </w:tr>
      <w:tr w:rsidR="000939C6" w:rsidRPr="00D25474" w14:paraId="478CD3B0" w14:textId="77777777" w:rsidTr="00D25474">
        <w:tc>
          <w:tcPr>
            <w:tcW w:w="0" w:type="auto"/>
            <w:hideMark/>
          </w:tcPr>
          <w:p w14:paraId="1D5101B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B</w:t>
            </w:r>
          </w:p>
        </w:tc>
        <w:tc>
          <w:tcPr>
            <w:tcW w:w="0" w:type="auto"/>
            <w:hideMark/>
          </w:tcPr>
          <w:p w14:paraId="47BC2D0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c>
          <w:tcPr>
            <w:tcW w:w="0" w:type="auto"/>
            <w:hideMark/>
          </w:tcPr>
          <w:p w14:paraId="1918A4C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6175954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76ED50E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0944EAD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33F2BE0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0271170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r>
      <w:tr w:rsidR="000939C6" w:rsidRPr="00D25474" w14:paraId="5F90759A" w14:textId="77777777" w:rsidTr="00D25474">
        <w:tc>
          <w:tcPr>
            <w:tcW w:w="0" w:type="auto"/>
            <w:hideMark/>
          </w:tcPr>
          <w:p w14:paraId="00A1DB9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C</w:t>
            </w:r>
          </w:p>
        </w:tc>
        <w:tc>
          <w:tcPr>
            <w:tcW w:w="0" w:type="auto"/>
            <w:hideMark/>
          </w:tcPr>
          <w:p w14:paraId="5C72C3E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w:t>
            </w:r>
          </w:p>
        </w:tc>
        <w:tc>
          <w:tcPr>
            <w:tcW w:w="0" w:type="auto"/>
            <w:hideMark/>
          </w:tcPr>
          <w:p w14:paraId="39D1E1F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43D6816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172ED02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20</w:t>
            </w:r>
          </w:p>
        </w:tc>
        <w:tc>
          <w:tcPr>
            <w:tcW w:w="0" w:type="auto"/>
            <w:hideMark/>
          </w:tcPr>
          <w:p w14:paraId="79F4B83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25</w:t>
            </w:r>
          </w:p>
        </w:tc>
        <w:tc>
          <w:tcPr>
            <w:tcW w:w="0" w:type="auto"/>
            <w:hideMark/>
          </w:tcPr>
          <w:p w14:paraId="3C4D0C5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15</w:t>
            </w:r>
          </w:p>
        </w:tc>
        <w:tc>
          <w:tcPr>
            <w:tcW w:w="0" w:type="auto"/>
            <w:hideMark/>
          </w:tcPr>
          <w:p w14:paraId="72DE91E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75</w:t>
            </w:r>
          </w:p>
        </w:tc>
      </w:tr>
    </w:tbl>
    <w:p w14:paraId="43FC8CC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Discount rate (r): 10%</w:t>
      </w:r>
      <w:r w:rsidRPr="00D25474">
        <w:rPr>
          <w:rFonts w:ascii="Arial" w:hAnsi="Arial" w:cs="Arial"/>
          <w:lang w:val="en-CA"/>
        </w:rPr>
        <w:br/>
        <w:t>Depreciation method: Straight-line to zero (5 years)</w:t>
      </w:r>
    </w:p>
    <w:p w14:paraId="4AB0B2F6" w14:textId="08DED58E" w:rsidR="000939C6" w:rsidRPr="00D25474" w:rsidRDefault="000939C6" w:rsidP="00D25474">
      <w:pPr>
        <w:spacing w:line="360" w:lineRule="auto"/>
        <w:rPr>
          <w:rFonts w:ascii="Arial" w:hAnsi="Arial" w:cs="Arial"/>
          <w:lang w:val="en-CA"/>
        </w:rPr>
      </w:pPr>
    </w:p>
    <w:p w14:paraId="77CE61F4"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B. Present Value (PV) Factors at 10%</w:t>
      </w:r>
    </w:p>
    <w:tbl>
      <w:tblPr>
        <w:tblStyle w:val="TableGrid"/>
        <w:tblW w:w="0" w:type="auto"/>
        <w:tblLook w:val="04A0" w:firstRow="1" w:lastRow="0" w:firstColumn="1" w:lastColumn="0" w:noHBand="0" w:noVBand="1"/>
      </w:tblPr>
      <w:tblGrid>
        <w:gridCol w:w="724"/>
        <w:gridCol w:w="1337"/>
      </w:tblGrid>
      <w:tr w:rsidR="000939C6" w:rsidRPr="00D25474" w14:paraId="24D0ABAA" w14:textId="77777777" w:rsidTr="00D25474">
        <w:tc>
          <w:tcPr>
            <w:tcW w:w="0" w:type="auto"/>
            <w:hideMark/>
          </w:tcPr>
          <w:p w14:paraId="4390BEA2"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22EE236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Factor</w:t>
            </w:r>
          </w:p>
        </w:tc>
      </w:tr>
      <w:tr w:rsidR="000939C6" w:rsidRPr="00D25474" w14:paraId="194E17F8" w14:textId="77777777" w:rsidTr="00D25474">
        <w:tc>
          <w:tcPr>
            <w:tcW w:w="0" w:type="auto"/>
            <w:hideMark/>
          </w:tcPr>
          <w:p w14:paraId="745667A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31D37C2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0.909</w:t>
            </w:r>
          </w:p>
        </w:tc>
      </w:tr>
      <w:tr w:rsidR="000939C6" w:rsidRPr="00D25474" w14:paraId="00384050" w14:textId="77777777" w:rsidTr="00D25474">
        <w:tc>
          <w:tcPr>
            <w:tcW w:w="0" w:type="auto"/>
            <w:hideMark/>
          </w:tcPr>
          <w:p w14:paraId="63FA42F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w:t>
            </w:r>
          </w:p>
        </w:tc>
        <w:tc>
          <w:tcPr>
            <w:tcW w:w="0" w:type="auto"/>
            <w:hideMark/>
          </w:tcPr>
          <w:p w14:paraId="12E898B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0.826</w:t>
            </w:r>
          </w:p>
        </w:tc>
      </w:tr>
      <w:tr w:rsidR="000939C6" w:rsidRPr="00D25474" w14:paraId="024FEE8B" w14:textId="77777777" w:rsidTr="00D25474">
        <w:tc>
          <w:tcPr>
            <w:tcW w:w="0" w:type="auto"/>
            <w:hideMark/>
          </w:tcPr>
          <w:p w14:paraId="0907F2A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w:t>
            </w:r>
          </w:p>
        </w:tc>
        <w:tc>
          <w:tcPr>
            <w:tcW w:w="0" w:type="auto"/>
            <w:hideMark/>
          </w:tcPr>
          <w:p w14:paraId="10F42C3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0.751</w:t>
            </w:r>
          </w:p>
        </w:tc>
      </w:tr>
      <w:tr w:rsidR="000939C6" w:rsidRPr="00D25474" w14:paraId="37F1CF40" w14:textId="77777777" w:rsidTr="00D25474">
        <w:tc>
          <w:tcPr>
            <w:tcW w:w="0" w:type="auto"/>
            <w:hideMark/>
          </w:tcPr>
          <w:p w14:paraId="4F7F0F2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5875BD7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0.683</w:t>
            </w:r>
          </w:p>
        </w:tc>
      </w:tr>
      <w:tr w:rsidR="000939C6" w:rsidRPr="00D25474" w14:paraId="2B38F1B4" w14:textId="77777777" w:rsidTr="00D25474">
        <w:tc>
          <w:tcPr>
            <w:tcW w:w="0" w:type="auto"/>
            <w:hideMark/>
          </w:tcPr>
          <w:p w14:paraId="52A8A85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2B4FB0A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0.621</w:t>
            </w:r>
          </w:p>
        </w:tc>
      </w:tr>
    </w:tbl>
    <w:p w14:paraId="429D439B" w14:textId="715FF249" w:rsidR="000939C6" w:rsidRPr="00D25474" w:rsidRDefault="000939C6" w:rsidP="00D25474">
      <w:pPr>
        <w:spacing w:line="360" w:lineRule="auto"/>
        <w:rPr>
          <w:rFonts w:ascii="Arial" w:hAnsi="Arial" w:cs="Arial"/>
          <w:lang w:val="en-CA"/>
        </w:rPr>
      </w:pPr>
    </w:p>
    <w:p w14:paraId="26377A83"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 Payback Period (PBP)</w:t>
      </w:r>
    </w:p>
    <w:p w14:paraId="3F2F874C"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A</w:t>
      </w:r>
    </w:p>
    <w:tbl>
      <w:tblPr>
        <w:tblStyle w:val="TableGrid"/>
        <w:tblW w:w="0" w:type="auto"/>
        <w:tblLook w:val="04A0" w:firstRow="1" w:lastRow="0" w:firstColumn="1" w:lastColumn="0" w:noHBand="0" w:noVBand="1"/>
      </w:tblPr>
      <w:tblGrid>
        <w:gridCol w:w="724"/>
        <w:gridCol w:w="1417"/>
        <w:gridCol w:w="2270"/>
        <w:gridCol w:w="2750"/>
      </w:tblGrid>
      <w:tr w:rsidR="000939C6" w:rsidRPr="00D25474" w14:paraId="5B1D0AA1" w14:textId="77777777" w:rsidTr="00D25474">
        <w:tc>
          <w:tcPr>
            <w:tcW w:w="0" w:type="auto"/>
            <w:hideMark/>
          </w:tcPr>
          <w:p w14:paraId="1D663CE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763B895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Cash Flow</w:t>
            </w:r>
          </w:p>
        </w:tc>
        <w:tc>
          <w:tcPr>
            <w:tcW w:w="0" w:type="auto"/>
            <w:hideMark/>
          </w:tcPr>
          <w:p w14:paraId="6511A30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Cumulative Inflow</w:t>
            </w:r>
          </w:p>
        </w:tc>
        <w:tc>
          <w:tcPr>
            <w:tcW w:w="0" w:type="auto"/>
            <w:hideMark/>
          </w:tcPr>
          <w:p w14:paraId="70A73EB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Remaining to Recover</w:t>
            </w:r>
          </w:p>
        </w:tc>
      </w:tr>
      <w:tr w:rsidR="000939C6" w:rsidRPr="00D25474" w14:paraId="48626A82" w14:textId="77777777" w:rsidTr="00D25474">
        <w:tc>
          <w:tcPr>
            <w:tcW w:w="0" w:type="auto"/>
            <w:hideMark/>
          </w:tcPr>
          <w:p w14:paraId="042DA5E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664303A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33EF40D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7C97033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r>
      <w:tr w:rsidR="000939C6" w:rsidRPr="00D25474" w14:paraId="6FCB1635" w14:textId="77777777" w:rsidTr="00D25474">
        <w:tc>
          <w:tcPr>
            <w:tcW w:w="0" w:type="auto"/>
            <w:hideMark/>
          </w:tcPr>
          <w:p w14:paraId="029CD2E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w:t>
            </w:r>
          </w:p>
        </w:tc>
        <w:tc>
          <w:tcPr>
            <w:tcW w:w="0" w:type="auto"/>
            <w:hideMark/>
          </w:tcPr>
          <w:p w14:paraId="5552801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w:t>
            </w:r>
          </w:p>
        </w:tc>
        <w:tc>
          <w:tcPr>
            <w:tcW w:w="0" w:type="auto"/>
            <w:hideMark/>
          </w:tcPr>
          <w:p w14:paraId="5908CC5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22</w:t>
            </w:r>
          </w:p>
        </w:tc>
        <w:tc>
          <w:tcPr>
            <w:tcW w:w="0" w:type="auto"/>
            <w:hideMark/>
          </w:tcPr>
          <w:p w14:paraId="4194429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18</w:t>
            </w:r>
          </w:p>
        </w:tc>
      </w:tr>
      <w:tr w:rsidR="000939C6" w:rsidRPr="00D25474" w14:paraId="2CFA74FA" w14:textId="77777777" w:rsidTr="00D25474">
        <w:tc>
          <w:tcPr>
            <w:tcW w:w="0" w:type="auto"/>
            <w:hideMark/>
          </w:tcPr>
          <w:p w14:paraId="5D1FE56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w:t>
            </w:r>
          </w:p>
        </w:tc>
        <w:tc>
          <w:tcPr>
            <w:tcW w:w="0" w:type="auto"/>
            <w:hideMark/>
          </w:tcPr>
          <w:p w14:paraId="2BB0FE9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14</w:t>
            </w:r>
          </w:p>
        </w:tc>
        <w:tc>
          <w:tcPr>
            <w:tcW w:w="0" w:type="auto"/>
            <w:hideMark/>
          </w:tcPr>
          <w:p w14:paraId="4023634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36</w:t>
            </w:r>
          </w:p>
        </w:tc>
        <w:tc>
          <w:tcPr>
            <w:tcW w:w="0" w:type="auto"/>
            <w:hideMark/>
          </w:tcPr>
          <w:p w14:paraId="28A3BF9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r>
      <w:tr w:rsidR="000939C6" w:rsidRPr="00D25474" w14:paraId="5EFA96E6" w14:textId="77777777" w:rsidTr="00D25474">
        <w:tc>
          <w:tcPr>
            <w:tcW w:w="0" w:type="auto"/>
            <w:hideMark/>
          </w:tcPr>
          <w:p w14:paraId="1F66623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35D328E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00D4297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46</w:t>
            </w:r>
          </w:p>
        </w:tc>
        <w:tc>
          <w:tcPr>
            <w:tcW w:w="0" w:type="auto"/>
            <w:hideMark/>
          </w:tcPr>
          <w:p w14:paraId="6647790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w:t>
            </w:r>
          </w:p>
        </w:tc>
      </w:tr>
    </w:tbl>
    <w:p w14:paraId="4E7BD1F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 xml:space="preserve">Unrecovered 4 ÷ 10 = 0.4 → </w:t>
      </w:r>
      <w:r w:rsidRPr="00D25474">
        <w:rPr>
          <w:rFonts w:ascii="Arial" w:hAnsi="Arial" w:cs="Arial"/>
          <w:b/>
          <w:bCs/>
          <w:lang w:val="en-CA"/>
        </w:rPr>
        <w:t>Payback (A) = 3.4 years</w:t>
      </w:r>
    </w:p>
    <w:p w14:paraId="4FE0036B" w14:textId="77777777" w:rsidR="00D25474" w:rsidRDefault="00D25474" w:rsidP="00D25474">
      <w:pPr>
        <w:spacing w:line="360" w:lineRule="auto"/>
        <w:rPr>
          <w:rFonts w:ascii="Arial" w:hAnsi="Arial" w:cs="Arial"/>
          <w:b/>
          <w:bCs/>
          <w:lang w:val="en-CA"/>
        </w:rPr>
      </w:pPr>
    </w:p>
    <w:p w14:paraId="7F31E2F6" w14:textId="7A5CA983"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B</w:t>
      </w:r>
    </w:p>
    <w:tbl>
      <w:tblPr>
        <w:tblStyle w:val="TableGrid"/>
        <w:tblW w:w="0" w:type="auto"/>
        <w:tblLook w:val="04A0" w:firstRow="1" w:lastRow="0" w:firstColumn="1" w:lastColumn="0" w:noHBand="0" w:noVBand="1"/>
      </w:tblPr>
      <w:tblGrid>
        <w:gridCol w:w="724"/>
        <w:gridCol w:w="1417"/>
        <w:gridCol w:w="2270"/>
        <w:gridCol w:w="2750"/>
      </w:tblGrid>
      <w:tr w:rsidR="000939C6" w:rsidRPr="00D25474" w14:paraId="05F32EA4" w14:textId="77777777" w:rsidTr="00D25474">
        <w:tc>
          <w:tcPr>
            <w:tcW w:w="0" w:type="auto"/>
            <w:hideMark/>
          </w:tcPr>
          <w:p w14:paraId="37DD047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3500D78B"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Cash Flow</w:t>
            </w:r>
          </w:p>
        </w:tc>
        <w:tc>
          <w:tcPr>
            <w:tcW w:w="0" w:type="auto"/>
            <w:hideMark/>
          </w:tcPr>
          <w:p w14:paraId="7C59BD9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Cumulative Inflow</w:t>
            </w:r>
          </w:p>
        </w:tc>
        <w:tc>
          <w:tcPr>
            <w:tcW w:w="0" w:type="auto"/>
            <w:hideMark/>
          </w:tcPr>
          <w:p w14:paraId="19CA6E3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Remaining to Recover</w:t>
            </w:r>
          </w:p>
        </w:tc>
      </w:tr>
      <w:tr w:rsidR="000939C6" w:rsidRPr="00D25474" w14:paraId="73387170" w14:textId="77777777" w:rsidTr="00D25474">
        <w:tc>
          <w:tcPr>
            <w:tcW w:w="0" w:type="auto"/>
            <w:hideMark/>
          </w:tcPr>
          <w:p w14:paraId="5D510A5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09059CD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375FC98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70C290C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24</w:t>
            </w:r>
          </w:p>
        </w:tc>
      </w:tr>
      <w:tr w:rsidR="000939C6" w:rsidRPr="00D25474" w14:paraId="6B48E4DC" w14:textId="77777777" w:rsidTr="00D25474">
        <w:tc>
          <w:tcPr>
            <w:tcW w:w="0" w:type="auto"/>
            <w:hideMark/>
          </w:tcPr>
          <w:p w14:paraId="5764C56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lastRenderedPageBreak/>
              <w:t>2</w:t>
            </w:r>
          </w:p>
        </w:tc>
        <w:tc>
          <w:tcPr>
            <w:tcW w:w="0" w:type="auto"/>
            <w:hideMark/>
          </w:tcPr>
          <w:p w14:paraId="4FF5FA0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2A85B0D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w:t>
            </w:r>
          </w:p>
        </w:tc>
        <w:tc>
          <w:tcPr>
            <w:tcW w:w="0" w:type="auto"/>
            <w:hideMark/>
          </w:tcPr>
          <w:p w14:paraId="65DD065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18</w:t>
            </w:r>
          </w:p>
        </w:tc>
      </w:tr>
      <w:tr w:rsidR="000939C6" w:rsidRPr="00D25474" w14:paraId="63F16227" w14:textId="77777777" w:rsidTr="00D25474">
        <w:tc>
          <w:tcPr>
            <w:tcW w:w="0" w:type="auto"/>
            <w:hideMark/>
          </w:tcPr>
          <w:p w14:paraId="6680C10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w:t>
            </w:r>
          </w:p>
        </w:tc>
        <w:tc>
          <w:tcPr>
            <w:tcW w:w="0" w:type="auto"/>
            <w:hideMark/>
          </w:tcPr>
          <w:p w14:paraId="747A4C8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12D61A0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18</w:t>
            </w:r>
          </w:p>
        </w:tc>
        <w:tc>
          <w:tcPr>
            <w:tcW w:w="0" w:type="auto"/>
            <w:hideMark/>
          </w:tcPr>
          <w:p w14:paraId="3AB2444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w:t>
            </w:r>
          </w:p>
        </w:tc>
      </w:tr>
      <w:tr w:rsidR="000939C6" w:rsidRPr="00D25474" w14:paraId="0509300D" w14:textId="77777777" w:rsidTr="00D25474">
        <w:tc>
          <w:tcPr>
            <w:tcW w:w="0" w:type="auto"/>
            <w:hideMark/>
          </w:tcPr>
          <w:p w14:paraId="3E4F6BA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07E0C3D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54C5424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24</w:t>
            </w:r>
          </w:p>
        </w:tc>
        <w:tc>
          <w:tcPr>
            <w:tcW w:w="0" w:type="auto"/>
            <w:hideMark/>
          </w:tcPr>
          <w:p w14:paraId="2E8D7D3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r>
      <w:tr w:rsidR="000939C6" w:rsidRPr="00D25474" w14:paraId="03E0B25B" w14:textId="77777777" w:rsidTr="00D25474">
        <w:tc>
          <w:tcPr>
            <w:tcW w:w="0" w:type="auto"/>
            <w:hideMark/>
          </w:tcPr>
          <w:p w14:paraId="4C85156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2891D5A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7DBD151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c>
          <w:tcPr>
            <w:tcW w:w="0" w:type="auto"/>
            <w:hideMark/>
          </w:tcPr>
          <w:p w14:paraId="59E0105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w:t>
            </w:r>
          </w:p>
        </w:tc>
      </w:tr>
    </w:tbl>
    <w:p w14:paraId="5E26F61E"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Payback (B) = 5.0 years</w:t>
      </w:r>
    </w:p>
    <w:p w14:paraId="17BCCB6C"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C</w:t>
      </w:r>
    </w:p>
    <w:tbl>
      <w:tblPr>
        <w:tblStyle w:val="TableGrid"/>
        <w:tblW w:w="0" w:type="auto"/>
        <w:tblLook w:val="04A0" w:firstRow="1" w:lastRow="0" w:firstColumn="1" w:lastColumn="0" w:noHBand="0" w:noVBand="1"/>
      </w:tblPr>
      <w:tblGrid>
        <w:gridCol w:w="724"/>
        <w:gridCol w:w="1417"/>
        <w:gridCol w:w="2270"/>
        <w:gridCol w:w="2750"/>
      </w:tblGrid>
      <w:tr w:rsidR="000939C6" w:rsidRPr="00D25474" w14:paraId="2CFA1028" w14:textId="77777777" w:rsidTr="00D25474">
        <w:tc>
          <w:tcPr>
            <w:tcW w:w="0" w:type="auto"/>
            <w:hideMark/>
          </w:tcPr>
          <w:p w14:paraId="40D49EA3"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37D6BA18"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Cash Flow</w:t>
            </w:r>
          </w:p>
        </w:tc>
        <w:tc>
          <w:tcPr>
            <w:tcW w:w="0" w:type="auto"/>
            <w:hideMark/>
          </w:tcPr>
          <w:p w14:paraId="43ADED4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Cumulative Inflow</w:t>
            </w:r>
          </w:p>
        </w:tc>
        <w:tc>
          <w:tcPr>
            <w:tcW w:w="0" w:type="auto"/>
            <w:hideMark/>
          </w:tcPr>
          <w:p w14:paraId="0273BBD8"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Remaining to Recover</w:t>
            </w:r>
          </w:p>
        </w:tc>
      </w:tr>
      <w:tr w:rsidR="000939C6" w:rsidRPr="00D25474" w14:paraId="0D97C94E" w14:textId="77777777" w:rsidTr="00D25474">
        <w:tc>
          <w:tcPr>
            <w:tcW w:w="0" w:type="auto"/>
            <w:hideMark/>
          </w:tcPr>
          <w:p w14:paraId="104A9B5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193603B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483861C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360C369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45</w:t>
            </w:r>
          </w:p>
        </w:tc>
      </w:tr>
      <w:tr w:rsidR="000939C6" w:rsidRPr="00D25474" w14:paraId="78E28C45" w14:textId="77777777" w:rsidTr="00D25474">
        <w:tc>
          <w:tcPr>
            <w:tcW w:w="0" w:type="auto"/>
            <w:hideMark/>
          </w:tcPr>
          <w:p w14:paraId="1312658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w:t>
            </w:r>
          </w:p>
        </w:tc>
        <w:tc>
          <w:tcPr>
            <w:tcW w:w="0" w:type="auto"/>
            <w:hideMark/>
          </w:tcPr>
          <w:p w14:paraId="43CD4AE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35C0350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15</w:t>
            </w:r>
          </w:p>
        </w:tc>
        <w:tc>
          <w:tcPr>
            <w:tcW w:w="0" w:type="auto"/>
            <w:hideMark/>
          </w:tcPr>
          <w:p w14:paraId="29BDFEB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35</w:t>
            </w:r>
          </w:p>
        </w:tc>
      </w:tr>
      <w:tr w:rsidR="000939C6" w:rsidRPr="00D25474" w14:paraId="36187DBA" w14:textId="77777777" w:rsidTr="00D25474">
        <w:tc>
          <w:tcPr>
            <w:tcW w:w="0" w:type="auto"/>
            <w:hideMark/>
          </w:tcPr>
          <w:p w14:paraId="262C3DB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w:t>
            </w:r>
          </w:p>
        </w:tc>
        <w:tc>
          <w:tcPr>
            <w:tcW w:w="0" w:type="auto"/>
            <w:hideMark/>
          </w:tcPr>
          <w:p w14:paraId="0A473DE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20</w:t>
            </w:r>
          </w:p>
        </w:tc>
        <w:tc>
          <w:tcPr>
            <w:tcW w:w="0" w:type="auto"/>
            <w:hideMark/>
          </w:tcPr>
          <w:p w14:paraId="6A1EFD9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35</w:t>
            </w:r>
          </w:p>
        </w:tc>
        <w:tc>
          <w:tcPr>
            <w:tcW w:w="0" w:type="auto"/>
            <w:hideMark/>
          </w:tcPr>
          <w:p w14:paraId="41F383E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15</w:t>
            </w:r>
          </w:p>
        </w:tc>
      </w:tr>
      <w:tr w:rsidR="000939C6" w:rsidRPr="00D25474" w14:paraId="3DED270C" w14:textId="77777777" w:rsidTr="00D25474">
        <w:tc>
          <w:tcPr>
            <w:tcW w:w="0" w:type="auto"/>
            <w:hideMark/>
          </w:tcPr>
          <w:p w14:paraId="649C1A9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53B5F54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25</w:t>
            </w:r>
          </w:p>
        </w:tc>
        <w:tc>
          <w:tcPr>
            <w:tcW w:w="0" w:type="auto"/>
            <w:hideMark/>
          </w:tcPr>
          <w:p w14:paraId="068F11B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60</w:t>
            </w:r>
          </w:p>
        </w:tc>
        <w:tc>
          <w:tcPr>
            <w:tcW w:w="0" w:type="auto"/>
            <w:hideMark/>
          </w:tcPr>
          <w:p w14:paraId="39A65A9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w:t>
            </w:r>
          </w:p>
        </w:tc>
      </w:tr>
    </w:tbl>
    <w:p w14:paraId="4DFFBDF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 xml:space="preserve">Unrecovered 15 ÷ 25 = 0.6 → </w:t>
      </w:r>
      <w:r w:rsidRPr="00D25474">
        <w:rPr>
          <w:rFonts w:ascii="Arial" w:hAnsi="Arial" w:cs="Arial"/>
          <w:b/>
          <w:bCs/>
          <w:lang w:val="en-CA"/>
        </w:rPr>
        <w:t>Payback (C) = 3.6 years</w:t>
      </w:r>
    </w:p>
    <w:p w14:paraId="6726A46F" w14:textId="08DE3F02" w:rsidR="000939C6" w:rsidRPr="00D25474" w:rsidRDefault="000939C6" w:rsidP="00D25474">
      <w:pPr>
        <w:spacing w:line="360" w:lineRule="auto"/>
        <w:rPr>
          <w:rFonts w:ascii="Arial" w:hAnsi="Arial" w:cs="Arial"/>
          <w:lang w:val="en-CA"/>
        </w:rPr>
      </w:pPr>
    </w:p>
    <w:p w14:paraId="507F2704"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D. Accounting Rate of Return (ARR)</w:t>
      </w:r>
    </w:p>
    <w:p w14:paraId="3908A57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Formula:</w:t>
      </w:r>
      <w:r w:rsidRPr="00D25474">
        <w:rPr>
          <w:rFonts w:ascii="Arial" w:hAnsi="Arial" w:cs="Arial"/>
          <w:lang w:val="en-CA"/>
        </w:rPr>
        <w:br/>
        <w:t>ARR = (Average Annual Profit ÷ Initial Investment) × 100</w:t>
      </w:r>
      <w:r w:rsidRPr="00D25474">
        <w:rPr>
          <w:rFonts w:ascii="Arial" w:hAnsi="Arial" w:cs="Arial"/>
          <w:lang w:val="en-CA"/>
        </w:rPr>
        <w:br/>
        <w:t>Average Annual Profit = Average Annual Cash Flow − Depreciation</w:t>
      </w:r>
    </w:p>
    <w:tbl>
      <w:tblPr>
        <w:tblStyle w:val="TableGrid"/>
        <w:tblW w:w="0" w:type="auto"/>
        <w:tblLook w:val="04A0" w:firstRow="1" w:lastRow="0" w:firstColumn="1" w:lastColumn="0" w:noHBand="0" w:noVBand="1"/>
      </w:tblPr>
      <w:tblGrid>
        <w:gridCol w:w="1031"/>
        <w:gridCol w:w="1688"/>
        <w:gridCol w:w="2056"/>
        <w:gridCol w:w="2138"/>
        <w:gridCol w:w="1464"/>
        <w:gridCol w:w="973"/>
      </w:tblGrid>
      <w:tr w:rsidR="000939C6" w:rsidRPr="00D25474" w14:paraId="7EDF272C" w14:textId="77777777" w:rsidTr="00D25474">
        <w:tc>
          <w:tcPr>
            <w:tcW w:w="0" w:type="auto"/>
            <w:hideMark/>
          </w:tcPr>
          <w:p w14:paraId="1BC1688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w:t>
            </w:r>
          </w:p>
        </w:tc>
        <w:tc>
          <w:tcPr>
            <w:tcW w:w="0" w:type="auto"/>
            <w:hideMark/>
          </w:tcPr>
          <w:p w14:paraId="65D2EA43"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Total Inflows (£m)</w:t>
            </w:r>
          </w:p>
        </w:tc>
        <w:tc>
          <w:tcPr>
            <w:tcW w:w="0" w:type="auto"/>
            <w:hideMark/>
          </w:tcPr>
          <w:p w14:paraId="6771FE87"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Avg. Annual Inflow (£m)</w:t>
            </w:r>
          </w:p>
        </w:tc>
        <w:tc>
          <w:tcPr>
            <w:tcW w:w="0" w:type="auto"/>
            <w:hideMark/>
          </w:tcPr>
          <w:p w14:paraId="1B3E7A5B"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Depreciation (£m/yr)</w:t>
            </w:r>
          </w:p>
        </w:tc>
        <w:tc>
          <w:tcPr>
            <w:tcW w:w="0" w:type="auto"/>
            <w:hideMark/>
          </w:tcPr>
          <w:p w14:paraId="46E8AB7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Avg. Profit (£m)</w:t>
            </w:r>
          </w:p>
        </w:tc>
        <w:tc>
          <w:tcPr>
            <w:tcW w:w="0" w:type="auto"/>
            <w:hideMark/>
          </w:tcPr>
          <w:p w14:paraId="67067C6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ARR (%)</w:t>
            </w:r>
          </w:p>
        </w:tc>
      </w:tr>
      <w:tr w:rsidR="000939C6" w:rsidRPr="00D25474" w14:paraId="564F6104" w14:textId="77777777" w:rsidTr="00D25474">
        <w:tc>
          <w:tcPr>
            <w:tcW w:w="0" w:type="auto"/>
            <w:hideMark/>
          </w:tcPr>
          <w:p w14:paraId="51EEC62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w:t>
            </w:r>
          </w:p>
        </w:tc>
        <w:tc>
          <w:tcPr>
            <w:tcW w:w="0" w:type="auto"/>
            <w:hideMark/>
          </w:tcPr>
          <w:p w14:paraId="5035D50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54</w:t>
            </w:r>
          </w:p>
        </w:tc>
        <w:tc>
          <w:tcPr>
            <w:tcW w:w="0" w:type="auto"/>
            <w:hideMark/>
          </w:tcPr>
          <w:p w14:paraId="3C39A90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10.8</w:t>
            </w:r>
          </w:p>
        </w:tc>
        <w:tc>
          <w:tcPr>
            <w:tcW w:w="0" w:type="auto"/>
            <w:hideMark/>
          </w:tcPr>
          <w:p w14:paraId="0B177D8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8.0</w:t>
            </w:r>
          </w:p>
        </w:tc>
        <w:tc>
          <w:tcPr>
            <w:tcW w:w="0" w:type="auto"/>
            <w:hideMark/>
          </w:tcPr>
          <w:p w14:paraId="1F37EFD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2.8</w:t>
            </w:r>
          </w:p>
        </w:tc>
        <w:tc>
          <w:tcPr>
            <w:tcW w:w="0" w:type="auto"/>
            <w:hideMark/>
          </w:tcPr>
          <w:p w14:paraId="3FF9341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7.0</w:t>
            </w:r>
          </w:p>
        </w:tc>
      </w:tr>
      <w:tr w:rsidR="000939C6" w:rsidRPr="00D25474" w14:paraId="1014DB21" w14:textId="77777777" w:rsidTr="00D25474">
        <w:tc>
          <w:tcPr>
            <w:tcW w:w="0" w:type="auto"/>
            <w:hideMark/>
          </w:tcPr>
          <w:p w14:paraId="3E49C56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B</w:t>
            </w:r>
          </w:p>
        </w:tc>
        <w:tc>
          <w:tcPr>
            <w:tcW w:w="0" w:type="auto"/>
            <w:hideMark/>
          </w:tcPr>
          <w:p w14:paraId="2F279A7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c>
          <w:tcPr>
            <w:tcW w:w="0" w:type="auto"/>
            <w:hideMark/>
          </w:tcPr>
          <w:p w14:paraId="1D5CFBE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6.0</w:t>
            </w:r>
          </w:p>
        </w:tc>
        <w:tc>
          <w:tcPr>
            <w:tcW w:w="0" w:type="auto"/>
            <w:hideMark/>
          </w:tcPr>
          <w:p w14:paraId="13399E4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6.0</w:t>
            </w:r>
          </w:p>
        </w:tc>
        <w:tc>
          <w:tcPr>
            <w:tcW w:w="0" w:type="auto"/>
            <w:hideMark/>
          </w:tcPr>
          <w:p w14:paraId="2478A6F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0.0</w:t>
            </w:r>
          </w:p>
        </w:tc>
        <w:tc>
          <w:tcPr>
            <w:tcW w:w="0" w:type="auto"/>
            <w:hideMark/>
          </w:tcPr>
          <w:p w14:paraId="43AAF20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0.0</w:t>
            </w:r>
          </w:p>
        </w:tc>
      </w:tr>
      <w:tr w:rsidR="000939C6" w:rsidRPr="00D25474" w14:paraId="7DDB39B0" w14:textId="77777777" w:rsidTr="00D25474">
        <w:tc>
          <w:tcPr>
            <w:tcW w:w="0" w:type="auto"/>
            <w:hideMark/>
          </w:tcPr>
          <w:p w14:paraId="0B2744E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C</w:t>
            </w:r>
          </w:p>
        </w:tc>
        <w:tc>
          <w:tcPr>
            <w:tcW w:w="0" w:type="auto"/>
            <w:hideMark/>
          </w:tcPr>
          <w:p w14:paraId="7C8A0E9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75</w:t>
            </w:r>
          </w:p>
        </w:tc>
        <w:tc>
          <w:tcPr>
            <w:tcW w:w="0" w:type="auto"/>
            <w:hideMark/>
          </w:tcPr>
          <w:p w14:paraId="575E2F5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15.0</w:t>
            </w:r>
          </w:p>
        </w:tc>
        <w:tc>
          <w:tcPr>
            <w:tcW w:w="0" w:type="auto"/>
            <w:hideMark/>
          </w:tcPr>
          <w:p w14:paraId="534BD65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10.0</w:t>
            </w:r>
          </w:p>
        </w:tc>
        <w:tc>
          <w:tcPr>
            <w:tcW w:w="0" w:type="auto"/>
            <w:hideMark/>
          </w:tcPr>
          <w:p w14:paraId="1F6A42A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w:t>
            </w:r>
          </w:p>
        </w:tc>
        <w:tc>
          <w:tcPr>
            <w:tcW w:w="0" w:type="auto"/>
            <w:hideMark/>
          </w:tcPr>
          <w:p w14:paraId="4A8C27A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10.0</w:t>
            </w:r>
          </w:p>
        </w:tc>
      </w:tr>
    </w:tbl>
    <w:p w14:paraId="5E412253" w14:textId="5123E2AD" w:rsidR="000939C6" w:rsidRPr="00D25474" w:rsidRDefault="000939C6" w:rsidP="00D25474">
      <w:pPr>
        <w:spacing w:line="360" w:lineRule="auto"/>
        <w:rPr>
          <w:rFonts w:ascii="Arial" w:hAnsi="Arial" w:cs="Arial"/>
          <w:lang w:val="en-CA"/>
        </w:rPr>
      </w:pPr>
    </w:p>
    <w:p w14:paraId="03CEC11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E. Net Present Value (NPV)</w:t>
      </w:r>
    </w:p>
    <w:p w14:paraId="2DD166C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Formula:</w:t>
      </w:r>
      <w:r w:rsidRPr="00D25474">
        <w:rPr>
          <w:rFonts w:ascii="Arial" w:hAnsi="Arial" w:cs="Arial"/>
          <w:lang w:val="en-CA"/>
        </w:rPr>
        <w:br/>
        <w:t>NPV = Σ [Cash Flow ÷ (1 + r)ⁿ] − Initial Investment</w:t>
      </w:r>
    </w:p>
    <w:p w14:paraId="556052E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A</w:t>
      </w:r>
    </w:p>
    <w:tbl>
      <w:tblPr>
        <w:tblStyle w:val="TableGrid"/>
        <w:tblW w:w="0" w:type="auto"/>
        <w:tblLook w:val="04A0" w:firstRow="1" w:lastRow="0" w:firstColumn="1" w:lastColumn="0" w:noHBand="0" w:noVBand="1"/>
      </w:tblPr>
      <w:tblGrid>
        <w:gridCol w:w="1484"/>
        <w:gridCol w:w="1990"/>
        <w:gridCol w:w="1337"/>
        <w:gridCol w:w="1110"/>
      </w:tblGrid>
      <w:tr w:rsidR="000939C6" w:rsidRPr="00D25474" w14:paraId="4D87834C" w14:textId="77777777" w:rsidTr="00D25474">
        <w:tc>
          <w:tcPr>
            <w:tcW w:w="0" w:type="auto"/>
            <w:hideMark/>
          </w:tcPr>
          <w:p w14:paraId="6B586E3B"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3A89CE3C"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Cash Flow (£m)</w:t>
            </w:r>
          </w:p>
        </w:tc>
        <w:tc>
          <w:tcPr>
            <w:tcW w:w="0" w:type="auto"/>
            <w:hideMark/>
          </w:tcPr>
          <w:p w14:paraId="53B9B6E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Factor</w:t>
            </w:r>
          </w:p>
        </w:tc>
        <w:tc>
          <w:tcPr>
            <w:tcW w:w="0" w:type="auto"/>
            <w:hideMark/>
          </w:tcPr>
          <w:p w14:paraId="16AB87DA"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(£m)</w:t>
            </w:r>
          </w:p>
        </w:tc>
      </w:tr>
      <w:tr w:rsidR="000939C6" w:rsidRPr="00D25474" w14:paraId="4CD87B3E" w14:textId="77777777" w:rsidTr="00D25474">
        <w:tc>
          <w:tcPr>
            <w:tcW w:w="0" w:type="auto"/>
            <w:hideMark/>
          </w:tcPr>
          <w:p w14:paraId="62C4D0E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338FF78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3517D14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0.909</w:t>
            </w:r>
          </w:p>
        </w:tc>
        <w:tc>
          <w:tcPr>
            <w:tcW w:w="0" w:type="auto"/>
            <w:hideMark/>
          </w:tcPr>
          <w:p w14:paraId="6DC5805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9.09</w:t>
            </w:r>
          </w:p>
        </w:tc>
      </w:tr>
      <w:tr w:rsidR="000939C6" w:rsidRPr="00D25474" w14:paraId="4334CE7C" w14:textId="77777777" w:rsidTr="00D25474">
        <w:tc>
          <w:tcPr>
            <w:tcW w:w="0" w:type="auto"/>
            <w:hideMark/>
          </w:tcPr>
          <w:p w14:paraId="27FCCED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w:t>
            </w:r>
          </w:p>
        </w:tc>
        <w:tc>
          <w:tcPr>
            <w:tcW w:w="0" w:type="auto"/>
            <w:hideMark/>
          </w:tcPr>
          <w:p w14:paraId="2898F03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w:t>
            </w:r>
          </w:p>
        </w:tc>
        <w:tc>
          <w:tcPr>
            <w:tcW w:w="0" w:type="auto"/>
            <w:hideMark/>
          </w:tcPr>
          <w:p w14:paraId="0E44587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0.826</w:t>
            </w:r>
          </w:p>
        </w:tc>
        <w:tc>
          <w:tcPr>
            <w:tcW w:w="0" w:type="auto"/>
            <w:hideMark/>
          </w:tcPr>
          <w:p w14:paraId="6F02383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9.91</w:t>
            </w:r>
          </w:p>
        </w:tc>
      </w:tr>
      <w:tr w:rsidR="000939C6" w:rsidRPr="00D25474" w14:paraId="40ECABEE" w14:textId="77777777" w:rsidTr="00D25474">
        <w:tc>
          <w:tcPr>
            <w:tcW w:w="0" w:type="auto"/>
            <w:hideMark/>
          </w:tcPr>
          <w:p w14:paraId="5BE23FC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lastRenderedPageBreak/>
              <w:t>3</w:t>
            </w:r>
          </w:p>
        </w:tc>
        <w:tc>
          <w:tcPr>
            <w:tcW w:w="0" w:type="auto"/>
            <w:hideMark/>
          </w:tcPr>
          <w:p w14:paraId="11B612E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14</w:t>
            </w:r>
          </w:p>
        </w:tc>
        <w:tc>
          <w:tcPr>
            <w:tcW w:w="0" w:type="auto"/>
            <w:hideMark/>
          </w:tcPr>
          <w:p w14:paraId="1101198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0.751</w:t>
            </w:r>
          </w:p>
        </w:tc>
        <w:tc>
          <w:tcPr>
            <w:tcW w:w="0" w:type="auto"/>
            <w:hideMark/>
          </w:tcPr>
          <w:p w14:paraId="723D9E3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10.51</w:t>
            </w:r>
          </w:p>
        </w:tc>
      </w:tr>
      <w:tr w:rsidR="000939C6" w:rsidRPr="00D25474" w14:paraId="0FC3266F" w14:textId="77777777" w:rsidTr="00D25474">
        <w:tc>
          <w:tcPr>
            <w:tcW w:w="0" w:type="auto"/>
            <w:hideMark/>
          </w:tcPr>
          <w:p w14:paraId="528CA99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795307C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015E5C2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0.683</w:t>
            </w:r>
          </w:p>
        </w:tc>
        <w:tc>
          <w:tcPr>
            <w:tcW w:w="0" w:type="auto"/>
            <w:hideMark/>
          </w:tcPr>
          <w:p w14:paraId="1C01E53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6.83</w:t>
            </w:r>
          </w:p>
        </w:tc>
      </w:tr>
      <w:tr w:rsidR="000939C6" w:rsidRPr="00D25474" w14:paraId="22508F8F" w14:textId="77777777" w:rsidTr="00D25474">
        <w:tc>
          <w:tcPr>
            <w:tcW w:w="0" w:type="auto"/>
            <w:hideMark/>
          </w:tcPr>
          <w:p w14:paraId="4CA618D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1B13241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8</w:t>
            </w:r>
          </w:p>
        </w:tc>
        <w:tc>
          <w:tcPr>
            <w:tcW w:w="0" w:type="auto"/>
            <w:hideMark/>
          </w:tcPr>
          <w:p w14:paraId="485C68D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0.621</w:t>
            </w:r>
          </w:p>
        </w:tc>
        <w:tc>
          <w:tcPr>
            <w:tcW w:w="0" w:type="auto"/>
            <w:hideMark/>
          </w:tcPr>
          <w:p w14:paraId="1C2DC0F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4.97</w:t>
            </w:r>
          </w:p>
        </w:tc>
      </w:tr>
      <w:tr w:rsidR="000939C6" w:rsidRPr="00D25474" w14:paraId="1E3E2DAB" w14:textId="77777777" w:rsidTr="00D25474">
        <w:tc>
          <w:tcPr>
            <w:tcW w:w="0" w:type="auto"/>
            <w:hideMark/>
          </w:tcPr>
          <w:p w14:paraId="07A033E6"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Total PV</w:t>
            </w:r>
          </w:p>
        </w:tc>
        <w:tc>
          <w:tcPr>
            <w:tcW w:w="0" w:type="auto"/>
            <w:hideMark/>
          </w:tcPr>
          <w:p w14:paraId="27F3B4F4" w14:textId="77777777" w:rsidR="000939C6" w:rsidRPr="00D25474" w:rsidRDefault="000939C6" w:rsidP="00D25474">
            <w:pPr>
              <w:spacing w:line="360" w:lineRule="auto"/>
              <w:rPr>
                <w:rFonts w:ascii="Arial" w:hAnsi="Arial" w:cs="Arial"/>
                <w:lang w:val="en-CA"/>
              </w:rPr>
            </w:pPr>
          </w:p>
        </w:tc>
        <w:tc>
          <w:tcPr>
            <w:tcW w:w="0" w:type="auto"/>
            <w:hideMark/>
          </w:tcPr>
          <w:p w14:paraId="4B71C989" w14:textId="77777777" w:rsidR="000939C6" w:rsidRPr="00D25474" w:rsidRDefault="000939C6" w:rsidP="00D25474">
            <w:pPr>
              <w:spacing w:line="360" w:lineRule="auto"/>
              <w:rPr>
                <w:rFonts w:ascii="Arial" w:hAnsi="Arial" w:cs="Arial"/>
                <w:lang w:val="en-CA"/>
              </w:rPr>
            </w:pPr>
          </w:p>
        </w:tc>
        <w:tc>
          <w:tcPr>
            <w:tcW w:w="0" w:type="auto"/>
            <w:hideMark/>
          </w:tcPr>
          <w:p w14:paraId="674D5EE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41.31</w:t>
            </w:r>
          </w:p>
        </w:tc>
      </w:tr>
      <w:tr w:rsidR="000939C6" w:rsidRPr="00D25474" w14:paraId="3F737D92" w14:textId="77777777" w:rsidTr="00D25474">
        <w:tc>
          <w:tcPr>
            <w:tcW w:w="0" w:type="auto"/>
            <w:hideMark/>
          </w:tcPr>
          <w:p w14:paraId="526AAE9E"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Investment</w:t>
            </w:r>
          </w:p>
        </w:tc>
        <w:tc>
          <w:tcPr>
            <w:tcW w:w="0" w:type="auto"/>
            <w:hideMark/>
          </w:tcPr>
          <w:p w14:paraId="61B9D7C3" w14:textId="77777777" w:rsidR="000939C6" w:rsidRPr="00D25474" w:rsidRDefault="000939C6" w:rsidP="00D25474">
            <w:pPr>
              <w:spacing w:line="360" w:lineRule="auto"/>
              <w:rPr>
                <w:rFonts w:ascii="Arial" w:hAnsi="Arial" w:cs="Arial"/>
                <w:lang w:val="en-CA"/>
              </w:rPr>
            </w:pPr>
          </w:p>
        </w:tc>
        <w:tc>
          <w:tcPr>
            <w:tcW w:w="0" w:type="auto"/>
            <w:hideMark/>
          </w:tcPr>
          <w:p w14:paraId="3197310D" w14:textId="77777777" w:rsidR="000939C6" w:rsidRPr="00D25474" w:rsidRDefault="000939C6" w:rsidP="00D25474">
            <w:pPr>
              <w:spacing w:line="360" w:lineRule="auto"/>
              <w:rPr>
                <w:rFonts w:ascii="Arial" w:hAnsi="Arial" w:cs="Arial"/>
                <w:lang w:val="en-CA"/>
              </w:rPr>
            </w:pPr>
          </w:p>
        </w:tc>
        <w:tc>
          <w:tcPr>
            <w:tcW w:w="0" w:type="auto"/>
            <w:hideMark/>
          </w:tcPr>
          <w:p w14:paraId="1041981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40.00</w:t>
            </w:r>
          </w:p>
        </w:tc>
      </w:tr>
      <w:tr w:rsidR="000939C6" w:rsidRPr="00D25474" w14:paraId="7933E416" w14:textId="77777777" w:rsidTr="00D25474">
        <w:tc>
          <w:tcPr>
            <w:tcW w:w="0" w:type="auto"/>
            <w:hideMark/>
          </w:tcPr>
          <w:p w14:paraId="4CA5291F"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NPV (A)</w:t>
            </w:r>
          </w:p>
        </w:tc>
        <w:tc>
          <w:tcPr>
            <w:tcW w:w="0" w:type="auto"/>
            <w:hideMark/>
          </w:tcPr>
          <w:p w14:paraId="7727775B" w14:textId="77777777" w:rsidR="000939C6" w:rsidRPr="00D25474" w:rsidRDefault="000939C6" w:rsidP="00D25474">
            <w:pPr>
              <w:spacing w:line="360" w:lineRule="auto"/>
              <w:rPr>
                <w:rFonts w:ascii="Arial" w:hAnsi="Arial" w:cs="Arial"/>
                <w:lang w:val="en-CA"/>
              </w:rPr>
            </w:pPr>
          </w:p>
        </w:tc>
        <w:tc>
          <w:tcPr>
            <w:tcW w:w="0" w:type="auto"/>
            <w:hideMark/>
          </w:tcPr>
          <w:p w14:paraId="401AC9E1" w14:textId="77777777" w:rsidR="000939C6" w:rsidRPr="00D25474" w:rsidRDefault="000939C6" w:rsidP="00D25474">
            <w:pPr>
              <w:spacing w:line="360" w:lineRule="auto"/>
              <w:rPr>
                <w:rFonts w:ascii="Arial" w:hAnsi="Arial" w:cs="Arial"/>
                <w:lang w:val="en-CA"/>
              </w:rPr>
            </w:pPr>
          </w:p>
        </w:tc>
        <w:tc>
          <w:tcPr>
            <w:tcW w:w="0" w:type="auto"/>
            <w:hideMark/>
          </w:tcPr>
          <w:p w14:paraId="5EBFA543"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+1.31 m</w:t>
            </w:r>
          </w:p>
        </w:tc>
      </w:tr>
    </w:tbl>
    <w:p w14:paraId="5CC19F02" w14:textId="77777777" w:rsidR="00D25474" w:rsidRDefault="00D25474" w:rsidP="00D25474">
      <w:pPr>
        <w:spacing w:line="360" w:lineRule="auto"/>
        <w:rPr>
          <w:rFonts w:ascii="Arial" w:hAnsi="Arial" w:cs="Arial"/>
          <w:b/>
          <w:bCs/>
          <w:lang w:val="en-CA"/>
        </w:rPr>
      </w:pPr>
    </w:p>
    <w:p w14:paraId="56C21DA5" w14:textId="5EA0E016"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B</w:t>
      </w:r>
    </w:p>
    <w:tbl>
      <w:tblPr>
        <w:tblStyle w:val="TableGrid"/>
        <w:tblW w:w="0" w:type="auto"/>
        <w:tblLook w:val="04A0" w:firstRow="1" w:lastRow="0" w:firstColumn="1" w:lastColumn="0" w:noHBand="0" w:noVBand="1"/>
      </w:tblPr>
      <w:tblGrid>
        <w:gridCol w:w="1484"/>
        <w:gridCol w:w="1990"/>
        <w:gridCol w:w="1337"/>
        <w:gridCol w:w="1110"/>
      </w:tblGrid>
      <w:tr w:rsidR="000939C6" w:rsidRPr="00D25474" w14:paraId="3BC06FD8" w14:textId="77777777" w:rsidTr="00D25474">
        <w:tc>
          <w:tcPr>
            <w:tcW w:w="0" w:type="auto"/>
            <w:hideMark/>
          </w:tcPr>
          <w:p w14:paraId="6FF8344E"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1FFB8DB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Cash Flow (£m)</w:t>
            </w:r>
          </w:p>
        </w:tc>
        <w:tc>
          <w:tcPr>
            <w:tcW w:w="0" w:type="auto"/>
            <w:hideMark/>
          </w:tcPr>
          <w:p w14:paraId="1078AF94"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Factor</w:t>
            </w:r>
          </w:p>
        </w:tc>
        <w:tc>
          <w:tcPr>
            <w:tcW w:w="0" w:type="auto"/>
            <w:hideMark/>
          </w:tcPr>
          <w:p w14:paraId="00F46B2E"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(£m)</w:t>
            </w:r>
          </w:p>
        </w:tc>
      </w:tr>
      <w:tr w:rsidR="000939C6" w:rsidRPr="00D25474" w14:paraId="7A2ABE80" w14:textId="77777777" w:rsidTr="00D25474">
        <w:tc>
          <w:tcPr>
            <w:tcW w:w="0" w:type="auto"/>
            <w:hideMark/>
          </w:tcPr>
          <w:p w14:paraId="608F8AC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7DCC13B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191E27E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0.909</w:t>
            </w:r>
          </w:p>
        </w:tc>
        <w:tc>
          <w:tcPr>
            <w:tcW w:w="0" w:type="auto"/>
            <w:hideMark/>
          </w:tcPr>
          <w:p w14:paraId="34ECC41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5.45</w:t>
            </w:r>
          </w:p>
        </w:tc>
      </w:tr>
      <w:tr w:rsidR="000939C6" w:rsidRPr="00D25474" w14:paraId="30751259" w14:textId="77777777" w:rsidTr="00D25474">
        <w:tc>
          <w:tcPr>
            <w:tcW w:w="0" w:type="auto"/>
            <w:hideMark/>
          </w:tcPr>
          <w:p w14:paraId="54DB3E2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w:t>
            </w:r>
          </w:p>
        </w:tc>
        <w:tc>
          <w:tcPr>
            <w:tcW w:w="0" w:type="auto"/>
            <w:hideMark/>
          </w:tcPr>
          <w:p w14:paraId="79EBDED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68D0D04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0.826</w:t>
            </w:r>
          </w:p>
        </w:tc>
        <w:tc>
          <w:tcPr>
            <w:tcW w:w="0" w:type="auto"/>
            <w:hideMark/>
          </w:tcPr>
          <w:p w14:paraId="2DD3C68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4.96</w:t>
            </w:r>
          </w:p>
        </w:tc>
      </w:tr>
      <w:tr w:rsidR="000939C6" w:rsidRPr="00D25474" w14:paraId="61B97A44" w14:textId="77777777" w:rsidTr="00D25474">
        <w:tc>
          <w:tcPr>
            <w:tcW w:w="0" w:type="auto"/>
            <w:hideMark/>
          </w:tcPr>
          <w:p w14:paraId="164DB53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w:t>
            </w:r>
          </w:p>
        </w:tc>
        <w:tc>
          <w:tcPr>
            <w:tcW w:w="0" w:type="auto"/>
            <w:hideMark/>
          </w:tcPr>
          <w:p w14:paraId="3E2E443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0FFAE8A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0.751</w:t>
            </w:r>
          </w:p>
        </w:tc>
        <w:tc>
          <w:tcPr>
            <w:tcW w:w="0" w:type="auto"/>
            <w:hideMark/>
          </w:tcPr>
          <w:p w14:paraId="27BB911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4.51</w:t>
            </w:r>
          </w:p>
        </w:tc>
      </w:tr>
      <w:tr w:rsidR="000939C6" w:rsidRPr="00D25474" w14:paraId="66D5A4DB" w14:textId="77777777" w:rsidTr="00D25474">
        <w:tc>
          <w:tcPr>
            <w:tcW w:w="0" w:type="auto"/>
            <w:hideMark/>
          </w:tcPr>
          <w:p w14:paraId="23945FE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0E306C5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72B9721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0.683</w:t>
            </w:r>
          </w:p>
        </w:tc>
        <w:tc>
          <w:tcPr>
            <w:tcW w:w="0" w:type="auto"/>
            <w:hideMark/>
          </w:tcPr>
          <w:p w14:paraId="4F5ABB7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4.10</w:t>
            </w:r>
          </w:p>
        </w:tc>
      </w:tr>
      <w:tr w:rsidR="000939C6" w:rsidRPr="00D25474" w14:paraId="0FC440DA" w14:textId="77777777" w:rsidTr="00D25474">
        <w:tc>
          <w:tcPr>
            <w:tcW w:w="0" w:type="auto"/>
            <w:hideMark/>
          </w:tcPr>
          <w:p w14:paraId="2D22585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19A432A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6</w:t>
            </w:r>
          </w:p>
        </w:tc>
        <w:tc>
          <w:tcPr>
            <w:tcW w:w="0" w:type="auto"/>
            <w:hideMark/>
          </w:tcPr>
          <w:p w14:paraId="4B385F8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0.621</w:t>
            </w:r>
          </w:p>
        </w:tc>
        <w:tc>
          <w:tcPr>
            <w:tcW w:w="0" w:type="auto"/>
            <w:hideMark/>
          </w:tcPr>
          <w:p w14:paraId="4CB67C1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3.73</w:t>
            </w:r>
          </w:p>
        </w:tc>
      </w:tr>
      <w:tr w:rsidR="000939C6" w:rsidRPr="00D25474" w14:paraId="0AD3A794" w14:textId="77777777" w:rsidTr="00D25474">
        <w:tc>
          <w:tcPr>
            <w:tcW w:w="0" w:type="auto"/>
            <w:hideMark/>
          </w:tcPr>
          <w:p w14:paraId="76F89647"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Total PV</w:t>
            </w:r>
          </w:p>
        </w:tc>
        <w:tc>
          <w:tcPr>
            <w:tcW w:w="0" w:type="auto"/>
            <w:hideMark/>
          </w:tcPr>
          <w:p w14:paraId="39AA0CA4" w14:textId="77777777" w:rsidR="000939C6" w:rsidRPr="00D25474" w:rsidRDefault="000939C6" w:rsidP="00D25474">
            <w:pPr>
              <w:spacing w:line="360" w:lineRule="auto"/>
              <w:rPr>
                <w:rFonts w:ascii="Arial" w:hAnsi="Arial" w:cs="Arial"/>
                <w:lang w:val="en-CA"/>
              </w:rPr>
            </w:pPr>
          </w:p>
        </w:tc>
        <w:tc>
          <w:tcPr>
            <w:tcW w:w="0" w:type="auto"/>
            <w:hideMark/>
          </w:tcPr>
          <w:p w14:paraId="4BB3CA51" w14:textId="77777777" w:rsidR="000939C6" w:rsidRPr="00D25474" w:rsidRDefault="000939C6" w:rsidP="00D25474">
            <w:pPr>
              <w:spacing w:line="360" w:lineRule="auto"/>
              <w:rPr>
                <w:rFonts w:ascii="Arial" w:hAnsi="Arial" w:cs="Arial"/>
                <w:lang w:val="en-CA"/>
              </w:rPr>
            </w:pPr>
          </w:p>
        </w:tc>
        <w:tc>
          <w:tcPr>
            <w:tcW w:w="0" w:type="auto"/>
            <w:hideMark/>
          </w:tcPr>
          <w:p w14:paraId="4B655DF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22.75</w:t>
            </w:r>
          </w:p>
        </w:tc>
      </w:tr>
      <w:tr w:rsidR="000939C6" w:rsidRPr="00D25474" w14:paraId="565D1D18" w14:textId="77777777" w:rsidTr="00D25474">
        <w:tc>
          <w:tcPr>
            <w:tcW w:w="0" w:type="auto"/>
            <w:hideMark/>
          </w:tcPr>
          <w:p w14:paraId="74D0851F"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Investment</w:t>
            </w:r>
          </w:p>
        </w:tc>
        <w:tc>
          <w:tcPr>
            <w:tcW w:w="0" w:type="auto"/>
            <w:hideMark/>
          </w:tcPr>
          <w:p w14:paraId="7E8FE47A" w14:textId="77777777" w:rsidR="000939C6" w:rsidRPr="00D25474" w:rsidRDefault="000939C6" w:rsidP="00D25474">
            <w:pPr>
              <w:spacing w:line="360" w:lineRule="auto"/>
              <w:rPr>
                <w:rFonts w:ascii="Arial" w:hAnsi="Arial" w:cs="Arial"/>
                <w:lang w:val="en-CA"/>
              </w:rPr>
            </w:pPr>
          </w:p>
        </w:tc>
        <w:tc>
          <w:tcPr>
            <w:tcW w:w="0" w:type="auto"/>
            <w:hideMark/>
          </w:tcPr>
          <w:p w14:paraId="713D2403" w14:textId="77777777" w:rsidR="000939C6" w:rsidRPr="00D25474" w:rsidRDefault="000939C6" w:rsidP="00D25474">
            <w:pPr>
              <w:spacing w:line="360" w:lineRule="auto"/>
              <w:rPr>
                <w:rFonts w:ascii="Arial" w:hAnsi="Arial" w:cs="Arial"/>
                <w:lang w:val="en-CA"/>
              </w:rPr>
            </w:pPr>
          </w:p>
        </w:tc>
        <w:tc>
          <w:tcPr>
            <w:tcW w:w="0" w:type="auto"/>
            <w:hideMark/>
          </w:tcPr>
          <w:p w14:paraId="519B857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30.00</w:t>
            </w:r>
          </w:p>
        </w:tc>
      </w:tr>
      <w:tr w:rsidR="000939C6" w:rsidRPr="00D25474" w14:paraId="4E5B6DC5" w14:textId="77777777" w:rsidTr="00D25474">
        <w:tc>
          <w:tcPr>
            <w:tcW w:w="0" w:type="auto"/>
            <w:hideMark/>
          </w:tcPr>
          <w:p w14:paraId="4D321841"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NPV (B)</w:t>
            </w:r>
          </w:p>
        </w:tc>
        <w:tc>
          <w:tcPr>
            <w:tcW w:w="0" w:type="auto"/>
            <w:hideMark/>
          </w:tcPr>
          <w:p w14:paraId="15D95D18" w14:textId="77777777" w:rsidR="000939C6" w:rsidRPr="00D25474" w:rsidRDefault="000939C6" w:rsidP="00D25474">
            <w:pPr>
              <w:spacing w:line="360" w:lineRule="auto"/>
              <w:rPr>
                <w:rFonts w:ascii="Arial" w:hAnsi="Arial" w:cs="Arial"/>
                <w:lang w:val="en-CA"/>
              </w:rPr>
            </w:pPr>
          </w:p>
        </w:tc>
        <w:tc>
          <w:tcPr>
            <w:tcW w:w="0" w:type="auto"/>
            <w:hideMark/>
          </w:tcPr>
          <w:p w14:paraId="4ED50F46" w14:textId="77777777" w:rsidR="000939C6" w:rsidRPr="00D25474" w:rsidRDefault="000939C6" w:rsidP="00D25474">
            <w:pPr>
              <w:spacing w:line="360" w:lineRule="auto"/>
              <w:rPr>
                <w:rFonts w:ascii="Arial" w:hAnsi="Arial" w:cs="Arial"/>
                <w:lang w:val="en-CA"/>
              </w:rPr>
            </w:pPr>
          </w:p>
        </w:tc>
        <w:tc>
          <w:tcPr>
            <w:tcW w:w="0" w:type="auto"/>
            <w:hideMark/>
          </w:tcPr>
          <w:p w14:paraId="5EB7DB0D"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−7.25 m</w:t>
            </w:r>
          </w:p>
        </w:tc>
      </w:tr>
    </w:tbl>
    <w:p w14:paraId="671E40FB" w14:textId="77777777" w:rsidR="00D25474" w:rsidRDefault="00D25474" w:rsidP="00D25474">
      <w:pPr>
        <w:spacing w:line="360" w:lineRule="auto"/>
        <w:rPr>
          <w:rFonts w:ascii="Arial" w:hAnsi="Arial" w:cs="Arial"/>
          <w:b/>
          <w:bCs/>
          <w:lang w:val="en-CA"/>
        </w:rPr>
      </w:pPr>
    </w:p>
    <w:p w14:paraId="248EF58F" w14:textId="4241887F"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C</w:t>
      </w:r>
    </w:p>
    <w:tbl>
      <w:tblPr>
        <w:tblStyle w:val="TableGrid"/>
        <w:tblW w:w="0" w:type="auto"/>
        <w:tblLook w:val="04A0" w:firstRow="1" w:lastRow="0" w:firstColumn="1" w:lastColumn="0" w:noHBand="0" w:noVBand="1"/>
      </w:tblPr>
      <w:tblGrid>
        <w:gridCol w:w="1484"/>
        <w:gridCol w:w="1990"/>
        <w:gridCol w:w="1337"/>
        <w:gridCol w:w="1110"/>
      </w:tblGrid>
      <w:tr w:rsidR="000939C6" w:rsidRPr="00D25474" w14:paraId="33A65ED8" w14:textId="77777777" w:rsidTr="00D25474">
        <w:tc>
          <w:tcPr>
            <w:tcW w:w="0" w:type="auto"/>
            <w:hideMark/>
          </w:tcPr>
          <w:p w14:paraId="1B6F445F"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Year</w:t>
            </w:r>
          </w:p>
        </w:tc>
        <w:tc>
          <w:tcPr>
            <w:tcW w:w="0" w:type="auto"/>
            <w:hideMark/>
          </w:tcPr>
          <w:p w14:paraId="169EA6B0"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Cash Flow (£m)</w:t>
            </w:r>
          </w:p>
        </w:tc>
        <w:tc>
          <w:tcPr>
            <w:tcW w:w="0" w:type="auto"/>
            <w:hideMark/>
          </w:tcPr>
          <w:p w14:paraId="5F6D6DE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Factor</w:t>
            </w:r>
          </w:p>
        </w:tc>
        <w:tc>
          <w:tcPr>
            <w:tcW w:w="0" w:type="auto"/>
            <w:hideMark/>
          </w:tcPr>
          <w:p w14:paraId="041EFB96"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(£m)</w:t>
            </w:r>
          </w:p>
        </w:tc>
      </w:tr>
      <w:tr w:rsidR="000939C6" w:rsidRPr="00D25474" w14:paraId="1532AF43" w14:textId="77777777" w:rsidTr="00D25474">
        <w:tc>
          <w:tcPr>
            <w:tcW w:w="0" w:type="auto"/>
            <w:hideMark/>
          </w:tcPr>
          <w:p w14:paraId="1091448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2FFEFAD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63EAA18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0.909</w:t>
            </w:r>
          </w:p>
        </w:tc>
        <w:tc>
          <w:tcPr>
            <w:tcW w:w="0" w:type="auto"/>
            <w:hideMark/>
          </w:tcPr>
          <w:p w14:paraId="3B43056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4.55</w:t>
            </w:r>
          </w:p>
        </w:tc>
      </w:tr>
      <w:tr w:rsidR="000939C6" w:rsidRPr="00D25474" w14:paraId="456285B5" w14:textId="77777777" w:rsidTr="00D25474">
        <w:tc>
          <w:tcPr>
            <w:tcW w:w="0" w:type="auto"/>
            <w:hideMark/>
          </w:tcPr>
          <w:p w14:paraId="547A605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w:t>
            </w:r>
          </w:p>
        </w:tc>
        <w:tc>
          <w:tcPr>
            <w:tcW w:w="0" w:type="auto"/>
            <w:hideMark/>
          </w:tcPr>
          <w:p w14:paraId="75CE38D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0366ED5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0.826</w:t>
            </w:r>
          </w:p>
        </w:tc>
        <w:tc>
          <w:tcPr>
            <w:tcW w:w="0" w:type="auto"/>
            <w:hideMark/>
          </w:tcPr>
          <w:p w14:paraId="1EABF1A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8.26</w:t>
            </w:r>
          </w:p>
        </w:tc>
      </w:tr>
      <w:tr w:rsidR="000939C6" w:rsidRPr="00D25474" w14:paraId="2B493923" w14:textId="77777777" w:rsidTr="00D25474">
        <w:tc>
          <w:tcPr>
            <w:tcW w:w="0" w:type="auto"/>
            <w:hideMark/>
          </w:tcPr>
          <w:p w14:paraId="6FB05C2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w:t>
            </w:r>
          </w:p>
        </w:tc>
        <w:tc>
          <w:tcPr>
            <w:tcW w:w="0" w:type="auto"/>
            <w:hideMark/>
          </w:tcPr>
          <w:p w14:paraId="5BCB1CA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20</w:t>
            </w:r>
          </w:p>
        </w:tc>
        <w:tc>
          <w:tcPr>
            <w:tcW w:w="0" w:type="auto"/>
            <w:hideMark/>
          </w:tcPr>
          <w:p w14:paraId="1A1620A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0.751</w:t>
            </w:r>
          </w:p>
        </w:tc>
        <w:tc>
          <w:tcPr>
            <w:tcW w:w="0" w:type="auto"/>
            <w:hideMark/>
          </w:tcPr>
          <w:p w14:paraId="5DEEC00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15.02</w:t>
            </w:r>
          </w:p>
        </w:tc>
      </w:tr>
      <w:tr w:rsidR="000939C6" w:rsidRPr="00D25474" w14:paraId="28EDE824" w14:textId="77777777" w:rsidTr="00D25474">
        <w:tc>
          <w:tcPr>
            <w:tcW w:w="0" w:type="auto"/>
            <w:hideMark/>
          </w:tcPr>
          <w:p w14:paraId="3321CBD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w:t>
            </w:r>
          </w:p>
        </w:tc>
        <w:tc>
          <w:tcPr>
            <w:tcW w:w="0" w:type="auto"/>
            <w:hideMark/>
          </w:tcPr>
          <w:p w14:paraId="3295753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25</w:t>
            </w:r>
          </w:p>
        </w:tc>
        <w:tc>
          <w:tcPr>
            <w:tcW w:w="0" w:type="auto"/>
            <w:hideMark/>
          </w:tcPr>
          <w:p w14:paraId="2ABF43E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0.683</w:t>
            </w:r>
          </w:p>
        </w:tc>
        <w:tc>
          <w:tcPr>
            <w:tcW w:w="0" w:type="auto"/>
            <w:hideMark/>
          </w:tcPr>
          <w:p w14:paraId="069BFAB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17.08</w:t>
            </w:r>
          </w:p>
        </w:tc>
      </w:tr>
      <w:tr w:rsidR="000939C6" w:rsidRPr="00D25474" w14:paraId="1C86A414" w14:textId="77777777" w:rsidTr="00D25474">
        <w:tc>
          <w:tcPr>
            <w:tcW w:w="0" w:type="auto"/>
            <w:hideMark/>
          </w:tcPr>
          <w:p w14:paraId="49EF869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050C379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15</w:t>
            </w:r>
          </w:p>
        </w:tc>
        <w:tc>
          <w:tcPr>
            <w:tcW w:w="0" w:type="auto"/>
            <w:hideMark/>
          </w:tcPr>
          <w:p w14:paraId="40BC52D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0.621</w:t>
            </w:r>
          </w:p>
        </w:tc>
        <w:tc>
          <w:tcPr>
            <w:tcW w:w="0" w:type="auto"/>
            <w:hideMark/>
          </w:tcPr>
          <w:p w14:paraId="13C2356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9.32</w:t>
            </w:r>
          </w:p>
        </w:tc>
      </w:tr>
      <w:tr w:rsidR="000939C6" w:rsidRPr="00D25474" w14:paraId="2E61D548" w14:textId="77777777" w:rsidTr="00D25474">
        <w:tc>
          <w:tcPr>
            <w:tcW w:w="0" w:type="auto"/>
            <w:hideMark/>
          </w:tcPr>
          <w:p w14:paraId="745164EF"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Total PV</w:t>
            </w:r>
          </w:p>
        </w:tc>
        <w:tc>
          <w:tcPr>
            <w:tcW w:w="0" w:type="auto"/>
            <w:hideMark/>
          </w:tcPr>
          <w:p w14:paraId="719A2493" w14:textId="77777777" w:rsidR="000939C6" w:rsidRPr="00D25474" w:rsidRDefault="000939C6" w:rsidP="00D25474">
            <w:pPr>
              <w:spacing w:line="360" w:lineRule="auto"/>
              <w:rPr>
                <w:rFonts w:ascii="Arial" w:hAnsi="Arial" w:cs="Arial"/>
                <w:lang w:val="en-CA"/>
              </w:rPr>
            </w:pPr>
          </w:p>
        </w:tc>
        <w:tc>
          <w:tcPr>
            <w:tcW w:w="0" w:type="auto"/>
            <w:hideMark/>
          </w:tcPr>
          <w:p w14:paraId="417A1011" w14:textId="77777777" w:rsidR="000939C6" w:rsidRPr="00D25474" w:rsidRDefault="000939C6" w:rsidP="00D25474">
            <w:pPr>
              <w:spacing w:line="360" w:lineRule="auto"/>
              <w:rPr>
                <w:rFonts w:ascii="Arial" w:hAnsi="Arial" w:cs="Arial"/>
                <w:lang w:val="en-CA"/>
              </w:rPr>
            </w:pPr>
          </w:p>
        </w:tc>
        <w:tc>
          <w:tcPr>
            <w:tcW w:w="0" w:type="auto"/>
            <w:hideMark/>
          </w:tcPr>
          <w:p w14:paraId="02C72EF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54.23</w:t>
            </w:r>
          </w:p>
        </w:tc>
      </w:tr>
      <w:tr w:rsidR="000939C6" w:rsidRPr="00D25474" w14:paraId="3E6A9842" w14:textId="77777777" w:rsidTr="00D25474">
        <w:tc>
          <w:tcPr>
            <w:tcW w:w="0" w:type="auto"/>
            <w:hideMark/>
          </w:tcPr>
          <w:p w14:paraId="7A40084B"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Investment</w:t>
            </w:r>
          </w:p>
        </w:tc>
        <w:tc>
          <w:tcPr>
            <w:tcW w:w="0" w:type="auto"/>
            <w:hideMark/>
          </w:tcPr>
          <w:p w14:paraId="058B0DA0" w14:textId="77777777" w:rsidR="000939C6" w:rsidRPr="00D25474" w:rsidRDefault="000939C6" w:rsidP="00D25474">
            <w:pPr>
              <w:spacing w:line="360" w:lineRule="auto"/>
              <w:rPr>
                <w:rFonts w:ascii="Arial" w:hAnsi="Arial" w:cs="Arial"/>
                <w:lang w:val="en-CA"/>
              </w:rPr>
            </w:pPr>
          </w:p>
        </w:tc>
        <w:tc>
          <w:tcPr>
            <w:tcW w:w="0" w:type="auto"/>
            <w:hideMark/>
          </w:tcPr>
          <w:p w14:paraId="429667A6" w14:textId="77777777" w:rsidR="000939C6" w:rsidRPr="00D25474" w:rsidRDefault="000939C6" w:rsidP="00D25474">
            <w:pPr>
              <w:spacing w:line="360" w:lineRule="auto"/>
              <w:rPr>
                <w:rFonts w:ascii="Arial" w:hAnsi="Arial" w:cs="Arial"/>
                <w:lang w:val="en-CA"/>
              </w:rPr>
            </w:pPr>
          </w:p>
        </w:tc>
        <w:tc>
          <w:tcPr>
            <w:tcW w:w="0" w:type="auto"/>
            <w:hideMark/>
          </w:tcPr>
          <w:p w14:paraId="1F1331C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50.00</w:t>
            </w:r>
          </w:p>
        </w:tc>
      </w:tr>
      <w:tr w:rsidR="000939C6" w:rsidRPr="00D25474" w14:paraId="4BCB92F6" w14:textId="77777777" w:rsidTr="00D25474">
        <w:tc>
          <w:tcPr>
            <w:tcW w:w="0" w:type="auto"/>
            <w:hideMark/>
          </w:tcPr>
          <w:p w14:paraId="1A5FEF73"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NPV (C)</w:t>
            </w:r>
          </w:p>
        </w:tc>
        <w:tc>
          <w:tcPr>
            <w:tcW w:w="0" w:type="auto"/>
            <w:hideMark/>
          </w:tcPr>
          <w:p w14:paraId="6D71CF96" w14:textId="77777777" w:rsidR="000939C6" w:rsidRPr="00D25474" w:rsidRDefault="000939C6" w:rsidP="00D25474">
            <w:pPr>
              <w:spacing w:line="360" w:lineRule="auto"/>
              <w:rPr>
                <w:rFonts w:ascii="Arial" w:hAnsi="Arial" w:cs="Arial"/>
                <w:lang w:val="en-CA"/>
              </w:rPr>
            </w:pPr>
          </w:p>
        </w:tc>
        <w:tc>
          <w:tcPr>
            <w:tcW w:w="0" w:type="auto"/>
            <w:hideMark/>
          </w:tcPr>
          <w:p w14:paraId="4235B244" w14:textId="77777777" w:rsidR="000939C6" w:rsidRPr="00D25474" w:rsidRDefault="000939C6" w:rsidP="00D25474">
            <w:pPr>
              <w:spacing w:line="360" w:lineRule="auto"/>
              <w:rPr>
                <w:rFonts w:ascii="Arial" w:hAnsi="Arial" w:cs="Arial"/>
                <w:lang w:val="en-CA"/>
              </w:rPr>
            </w:pPr>
          </w:p>
        </w:tc>
        <w:tc>
          <w:tcPr>
            <w:tcW w:w="0" w:type="auto"/>
            <w:hideMark/>
          </w:tcPr>
          <w:p w14:paraId="2104AF73" w14:textId="77777777" w:rsidR="000939C6" w:rsidRPr="00D25474" w:rsidRDefault="000939C6" w:rsidP="00D25474">
            <w:pPr>
              <w:spacing w:line="360" w:lineRule="auto"/>
              <w:rPr>
                <w:rFonts w:ascii="Arial" w:hAnsi="Arial" w:cs="Arial"/>
                <w:lang w:val="en-CA"/>
              </w:rPr>
            </w:pPr>
            <w:r w:rsidRPr="00D25474">
              <w:rPr>
                <w:rFonts w:ascii="Arial" w:hAnsi="Arial" w:cs="Arial"/>
                <w:b/>
                <w:bCs/>
                <w:lang w:val="en-CA"/>
              </w:rPr>
              <w:t>+4.23 m</w:t>
            </w:r>
          </w:p>
        </w:tc>
      </w:tr>
    </w:tbl>
    <w:p w14:paraId="5BD1CC72" w14:textId="68BBF477" w:rsidR="000939C6" w:rsidRPr="00D25474" w:rsidRDefault="000939C6" w:rsidP="00D25474">
      <w:pPr>
        <w:spacing w:line="360" w:lineRule="auto"/>
        <w:rPr>
          <w:rFonts w:ascii="Arial" w:hAnsi="Arial" w:cs="Arial"/>
          <w:lang w:val="en-CA"/>
        </w:rPr>
      </w:pPr>
    </w:p>
    <w:p w14:paraId="1A9D0C88"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F. Profitability Index (PI)</w:t>
      </w:r>
    </w:p>
    <w:p w14:paraId="15F66C1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lastRenderedPageBreak/>
        <w:t>Formula:</w:t>
      </w:r>
      <w:r w:rsidRPr="00D25474">
        <w:rPr>
          <w:rFonts w:ascii="Arial" w:hAnsi="Arial" w:cs="Arial"/>
          <w:lang w:val="en-CA"/>
        </w:rPr>
        <w:br/>
        <w:t>PI = PV of Cash Inflows ÷ Initial Investment</w:t>
      </w:r>
    </w:p>
    <w:tbl>
      <w:tblPr>
        <w:tblStyle w:val="TableGrid"/>
        <w:tblW w:w="0" w:type="auto"/>
        <w:tblLook w:val="04A0" w:firstRow="1" w:lastRow="0" w:firstColumn="1" w:lastColumn="0" w:noHBand="0" w:noVBand="1"/>
      </w:tblPr>
      <w:tblGrid>
        <w:gridCol w:w="1030"/>
        <w:gridCol w:w="2297"/>
        <w:gridCol w:w="2057"/>
        <w:gridCol w:w="684"/>
      </w:tblGrid>
      <w:tr w:rsidR="000939C6" w:rsidRPr="00D25474" w14:paraId="2F73B438" w14:textId="77777777" w:rsidTr="00D25474">
        <w:tc>
          <w:tcPr>
            <w:tcW w:w="0" w:type="auto"/>
            <w:hideMark/>
          </w:tcPr>
          <w:p w14:paraId="299D680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w:t>
            </w:r>
          </w:p>
        </w:tc>
        <w:tc>
          <w:tcPr>
            <w:tcW w:w="0" w:type="auto"/>
            <w:hideMark/>
          </w:tcPr>
          <w:p w14:paraId="16AD8F52"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PV of Inflows (£m)</w:t>
            </w:r>
          </w:p>
        </w:tc>
        <w:tc>
          <w:tcPr>
            <w:tcW w:w="0" w:type="auto"/>
            <w:hideMark/>
          </w:tcPr>
          <w:p w14:paraId="1B5FF30A"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Investment (£m)</w:t>
            </w:r>
          </w:p>
        </w:tc>
        <w:tc>
          <w:tcPr>
            <w:tcW w:w="0" w:type="auto"/>
            <w:hideMark/>
          </w:tcPr>
          <w:p w14:paraId="4AFB8D97"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PI</w:t>
            </w:r>
          </w:p>
        </w:tc>
      </w:tr>
      <w:tr w:rsidR="000939C6" w:rsidRPr="00D25474" w14:paraId="1337DD24" w14:textId="77777777" w:rsidTr="00D25474">
        <w:tc>
          <w:tcPr>
            <w:tcW w:w="0" w:type="auto"/>
            <w:hideMark/>
          </w:tcPr>
          <w:p w14:paraId="04D5A46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w:t>
            </w:r>
          </w:p>
        </w:tc>
        <w:tc>
          <w:tcPr>
            <w:tcW w:w="0" w:type="auto"/>
            <w:hideMark/>
          </w:tcPr>
          <w:p w14:paraId="1311F2D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41.31</w:t>
            </w:r>
          </w:p>
        </w:tc>
        <w:tc>
          <w:tcPr>
            <w:tcW w:w="0" w:type="auto"/>
            <w:hideMark/>
          </w:tcPr>
          <w:p w14:paraId="329EFF7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40</w:t>
            </w:r>
          </w:p>
        </w:tc>
        <w:tc>
          <w:tcPr>
            <w:tcW w:w="0" w:type="auto"/>
            <w:hideMark/>
          </w:tcPr>
          <w:p w14:paraId="18BC849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1.03</w:t>
            </w:r>
          </w:p>
        </w:tc>
      </w:tr>
      <w:tr w:rsidR="000939C6" w:rsidRPr="00D25474" w14:paraId="28C163E4" w14:textId="77777777" w:rsidTr="00D25474">
        <w:tc>
          <w:tcPr>
            <w:tcW w:w="0" w:type="auto"/>
            <w:hideMark/>
          </w:tcPr>
          <w:p w14:paraId="612B75B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B</w:t>
            </w:r>
          </w:p>
        </w:tc>
        <w:tc>
          <w:tcPr>
            <w:tcW w:w="0" w:type="auto"/>
            <w:hideMark/>
          </w:tcPr>
          <w:p w14:paraId="5B4F937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22.75</w:t>
            </w:r>
          </w:p>
        </w:tc>
        <w:tc>
          <w:tcPr>
            <w:tcW w:w="0" w:type="auto"/>
            <w:hideMark/>
          </w:tcPr>
          <w:p w14:paraId="16D93FF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c>
          <w:tcPr>
            <w:tcW w:w="0" w:type="auto"/>
            <w:hideMark/>
          </w:tcPr>
          <w:p w14:paraId="277759E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0.76</w:t>
            </w:r>
          </w:p>
        </w:tc>
      </w:tr>
      <w:tr w:rsidR="000939C6" w:rsidRPr="00D25474" w14:paraId="09C922E7" w14:textId="77777777" w:rsidTr="00D25474">
        <w:tc>
          <w:tcPr>
            <w:tcW w:w="0" w:type="auto"/>
            <w:hideMark/>
          </w:tcPr>
          <w:p w14:paraId="1E21DB4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C</w:t>
            </w:r>
          </w:p>
        </w:tc>
        <w:tc>
          <w:tcPr>
            <w:tcW w:w="0" w:type="auto"/>
            <w:hideMark/>
          </w:tcPr>
          <w:p w14:paraId="13E6D8A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54.23</w:t>
            </w:r>
          </w:p>
        </w:tc>
        <w:tc>
          <w:tcPr>
            <w:tcW w:w="0" w:type="auto"/>
            <w:hideMark/>
          </w:tcPr>
          <w:p w14:paraId="1A12B45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w:t>
            </w:r>
          </w:p>
        </w:tc>
        <w:tc>
          <w:tcPr>
            <w:tcW w:w="0" w:type="auto"/>
            <w:hideMark/>
          </w:tcPr>
          <w:p w14:paraId="5A9E665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1.08</w:t>
            </w:r>
          </w:p>
        </w:tc>
      </w:tr>
    </w:tbl>
    <w:p w14:paraId="044C9EBC" w14:textId="0D9E6F79" w:rsidR="000939C6" w:rsidRPr="00D25474" w:rsidRDefault="000939C6" w:rsidP="00D25474">
      <w:pPr>
        <w:spacing w:line="360" w:lineRule="auto"/>
        <w:rPr>
          <w:rFonts w:ascii="Arial" w:hAnsi="Arial" w:cs="Arial"/>
          <w:lang w:val="en-CA"/>
        </w:rPr>
      </w:pPr>
    </w:p>
    <w:p w14:paraId="0A72493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G. Internal Rate of Return (IRR)</w:t>
      </w:r>
    </w:p>
    <w:p w14:paraId="5D6FC8A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Formula:</w:t>
      </w:r>
      <w:r w:rsidRPr="00D25474">
        <w:rPr>
          <w:rFonts w:ascii="Arial" w:hAnsi="Arial" w:cs="Arial"/>
          <w:lang w:val="en-CA"/>
        </w:rPr>
        <w:br/>
        <w:t>IRR = r</w:t>
      </w:r>
      <w:r w:rsidRPr="00D25474">
        <w:rPr>
          <w:rFonts w:ascii="Cambria Math" w:hAnsi="Cambria Math" w:cs="Cambria Math"/>
          <w:lang w:val="en-CA"/>
        </w:rPr>
        <w:t>₁</w:t>
      </w:r>
      <w:r w:rsidRPr="00D25474">
        <w:rPr>
          <w:rFonts w:ascii="Arial" w:hAnsi="Arial" w:cs="Arial"/>
          <w:lang w:val="en-CA"/>
        </w:rPr>
        <w:t xml:space="preserve"> + [NPV</w:t>
      </w:r>
      <w:r w:rsidRPr="00D25474">
        <w:rPr>
          <w:rFonts w:ascii="Cambria Math" w:hAnsi="Cambria Math" w:cs="Cambria Math"/>
          <w:lang w:val="en-CA"/>
        </w:rPr>
        <w:t>₁</w:t>
      </w:r>
      <w:r w:rsidRPr="00D25474">
        <w:rPr>
          <w:rFonts w:ascii="Arial" w:hAnsi="Arial" w:cs="Arial"/>
          <w:lang w:val="en-CA"/>
        </w:rPr>
        <w:t xml:space="preserve"> ÷ (NPV</w:t>
      </w:r>
      <w:r w:rsidRPr="00D25474">
        <w:rPr>
          <w:rFonts w:ascii="Cambria Math" w:hAnsi="Cambria Math" w:cs="Cambria Math"/>
          <w:lang w:val="en-CA"/>
        </w:rPr>
        <w:t>₁</w:t>
      </w:r>
      <w:r w:rsidRPr="00D25474">
        <w:rPr>
          <w:rFonts w:ascii="Arial" w:hAnsi="Arial" w:cs="Arial"/>
          <w:lang w:val="en-CA"/>
        </w:rPr>
        <w:t xml:space="preserve"> − NPV</w:t>
      </w:r>
      <w:r w:rsidRPr="00D25474">
        <w:rPr>
          <w:rFonts w:ascii="Cambria Math" w:hAnsi="Cambria Math" w:cs="Cambria Math"/>
          <w:lang w:val="en-CA"/>
        </w:rPr>
        <w:t>₂</w:t>
      </w:r>
      <w:r w:rsidRPr="00D25474">
        <w:rPr>
          <w:rFonts w:ascii="Arial" w:hAnsi="Arial" w:cs="Arial"/>
          <w:lang w:val="en-CA"/>
        </w:rPr>
        <w:t>)] × (r</w:t>
      </w:r>
      <w:r w:rsidRPr="00D25474">
        <w:rPr>
          <w:rFonts w:ascii="Cambria Math" w:hAnsi="Cambria Math" w:cs="Cambria Math"/>
          <w:lang w:val="en-CA"/>
        </w:rPr>
        <w:t>₂</w:t>
      </w:r>
      <w:r w:rsidRPr="00D25474">
        <w:rPr>
          <w:rFonts w:ascii="Arial" w:hAnsi="Arial" w:cs="Arial"/>
          <w:lang w:val="en-CA"/>
        </w:rPr>
        <w:t xml:space="preserve"> − r</w:t>
      </w:r>
      <w:r w:rsidRPr="00D25474">
        <w:rPr>
          <w:rFonts w:ascii="Cambria Math" w:hAnsi="Cambria Math" w:cs="Cambria Math"/>
          <w:lang w:val="en-CA"/>
        </w:rPr>
        <w:t>₁</w:t>
      </w:r>
      <w:r w:rsidRPr="00D25474">
        <w:rPr>
          <w:rFonts w:ascii="Arial" w:hAnsi="Arial" w:cs="Arial"/>
          <w:lang w:val="en-CA"/>
        </w:rPr>
        <w:t>)</w:t>
      </w:r>
    </w:p>
    <w:p w14:paraId="24718A4F"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A</w:t>
      </w:r>
    </w:p>
    <w:p w14:paraId="32D3B1C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At 10%, NPV = +1.31</w:t>
      </w:r>
      <w:r w:rsidRPr="00D25474">
        <w:rPr>
          <w:rFonts w:ascii="Arial" w:hAnsi="Arial" w:cs="Arial"/>
          <w:lang w:val="en-CA"/>
        </w:rPr>
        <w:br/>
        <w:t>At 12%, NPV = −1.13</w:t>
      </w:r>
      <w:r w:rsidRPr="00D25474">
        <w:rPr>
          <w:rFonts w:ascii="Arial" w:hAnsi="Arial" w:cs="Arial"/>
          <w:lang w:val="en-CA"/>
        </w:rPr>
        <w:br/>
        <w:t xml:space="preserve">IRR = 10 + [1.31 ÷ (1.31 + 1.13)] × 2 = </w:t>
      </w:r>
      <w:r w:rsidRPr="00D25474">
        <w:rPr>
          <w:rFonts w:ascii="Arial" w:hAnsi="Arial" w:cs="Arial"/>
          <w:b/>
          <w:bCs/>
          <w:lang w:val="en-CA"/>
        </w:rPr>
        <w:t>11.1%</w:t>
      </w:r>
    </w:p>
    <w:p w14:paraId="7E58A25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B</w:t>
      </w:r>
    </w:p>
    <w:p w14:paraId="2957FB0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At 10%, NPV = −7.25</w:t>
      </w:r>
      <w:r w:rsidRPr="00D25474">
        <w:rPr>
          <w:rFonts w:ascii="Arial" w:hAnsi="Arial" w:cs="Arial"/>
          <w:lang w:val="en-CA"/>
        </w:rPr>
        <w:br/>
        <w:t>At 5%, NPV = −1.5</w:t>
      </w:r>
      <w:r w:rsidRPr="00D25474">
        <w:rPr>
          <w:rFonts w:ascii="Arial" w:hAnsi="Arial" w:cs="Arial"/>
          <w:lang w:val="en-CA"/>
        </w:rPr>
        <w:br/>
        <w:t>IRR &lt; 5%</w:t>
      </w:r>
    </w:p>
    <w:p w14:paraId="2F453FB0"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C</w:t>
      </w:r>
    </w:p>
    <w:p w14:paraId="0EA9131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At 10%, NPV = +4.23</w:t>
      </w:r>
      <w:r w:rsidRPr="00D25474">
        <w:rPr>
          <w:rFonts w:ascii="Arial" w:hAnsi="Arial" w:cs="Arial"/>
          <w:lang w:val="en-CA"/>
        </w:rPr>
        <w:br/>
        <w:t>At 14%, NPV = −1.7</w:t>
      </w:r>
      <w:r w:rsidRPr="00D25474">
        <w:rPr>
          <w:rFonts w:ascii="Arial" w:hAnsi="Arial" w:cs="Arial"/>
          <w:lang w:val="en-CA"/>
        </w:rPr>
        <w:br/>
        <w:t xml:space="preserve">IRR = 10 + [4.23 ÷ (4.23 + 1.7)] × 4 = </w:t>
      </w:r>
      <w:r w:rsidRPr="00D25474">
        <w:rPr>
          <w:rFonts w:ascii="Arial" w:hAnsi="Arial" w:cs="Arial"/>
          <w:b/>
          <w:bCs/>
          <w:lang w:val="en-CA"/>
        </w:rPr>
        <w:t>12.8%</w:t>
      </w:r>
    </w:p>
    <w:p w14:paraId="074F00A7" w14:textId="12271A33" w:rsidR="000939C6" w:rsidRPr="00D25474" w:rsidRDefault="000939C6" w:rsidP="00D25474">
      <w:pPr>
        <w:spacing w:line="360" w:lineRule="auto"/>
        <w:rPr>
          <w:rFonts w:ascii="Arial" w:hAnsi="Arial" w:cs="Arial"/>
          <w:lang w:val="en-CA"/>
        </w:rPr>
      </w:pPr>
    </w:p>
    <w:p w14:paraId="7CD8B43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H. Comparative Summary Table</w:t>
      </w:r>
    </w:p>
    <w:tbl>
      <w:tblPr>
        <w:tblStyle w:val="TableGrid"/>
        <w:tblW w:w="0" w:type="auto"/>
        <w:tblLook w:val="04A0" w:firstRow="1" w:lastRow="0" w:firstColumn="1" w:lastColumn="0" w:noHBand="0" w:noVBand="1"/>
      </w:tblPr>
      <w:tblGrid>
        <w:gridCol w:w="1968"/>
        <w:gridCol w:w="1261"/>
        <w:gridCol w:w="1270"/>
        <w:gridCol w:w="1270"/>
      </w:tblGrid>
      <w:tr w:rsidR="000939C6" w:rsidRPr="00D25474" w14:paraId="309CDF98" w14:textId="77777777" w:rsidTr="00D25474">
        <w:tc>
          <w:tcPr>
            <w:tcW w:w="0" w:type="auto"/>
            <w:hideMark/>
          </w:tcPr>
          <w:p w14:paraId="2086D95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Criterion</w:t>
            </w:r>
          </w:p>
        </w:tc>
        <w:tc>
          <w:tcPr>
            <w:tcW w:w="0" w:type="auto"/>
            <w:hideMark/>
          </w:tcPr>
          <w:p w14:paraId="704C57A2"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A</w:t>
            </w:r>
          </w:p>
        </w:tc>
        <w:tc>
          <w:tcPr>
            <w:tcW w:w="0" w:type="auto"/>
            <w:hideMark/>
          </w:tcPr>
          <w:p w14:paraId="3BCAE62D"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B</w:t>
            </w:r>
          </w:p>
        </w:tc>
        <w:tc>
          <w:tcPr>
            <w:tcW w:w="0" w:type="auto"/>
            <w:hideMark/>
          </w:tcPr>
          <w:p w14:paraId="71ED1DCB"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C</w:t>
            </w:r>
          </w:p>
        </w:tc>
      </w:tr>
      <w:tr w:rsidR="000939C6" w:rsidRPr="00D25474" w14:paraId="4620605F" w14:textId="77777777" w:rsidTr="00D25474">
        <w:tc>
          <w:tcPr>
            <w:tcW w:w="0" w:type="auto"/>
            <w:hideMark/>
          </w:tcPr>
          <w:p w14:paraId="0D3AA4F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Investment (£m)</w:t>
            </w:r>
          </w:p>
        </w:tc>
        <w:tc>
          <w:tcPr>
            <w:tcW w:w="0" w:type="auto"/>
            <w:hideMark/>
          </w:tcPr>
          <w:p w14:paraId="1DD7239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40</w:t>
            </w:r>
          </w:p>
        </w:tc>
        <w:tc>
          <w:tcPr>
            <w:tcW w:w="0" w:type="auto"/>
            <w:hideMark/>
          </w:tcPr>
          <w:p w14:paraId="617C665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w:t>
            </w:r>
          </w:p>
        </w:tc>
        <w:tc>
          <w:tcPr>
            <w:tcW w:w="0" w:type="auto"/>
            <w:hideMark/>
          </w:tcPr>
          <w:p w14:paraId="7C6EEA5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w:t>
            </w:r>
          </w:p>
        </w:tc>
      </w:tr>
      <w:tr w:rsidR="000939C6" w:rsidRPr="00D25474" w14:paraId="18FCC514" w14:textId="77777777" w:rsidTr="00D25474">
        <w:tc>
          <w:tcPr>
            <w:tcW w:w="0" w:type="auto"/>
            <w:hideMark/>
          </w:tcPr>
          <w:p w14:paraId="631DFDD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Payback (Years)</w:t>
            </w:r>
          </w:p>
        </w:tc>
        <w:tc>
          <w:tcPr>
            <w:tcW w:w="0" w:type="auto"/>
            <w:hideMark/>
          </w:tcPr>
          <w:p w14:paraId="10A01F7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3.4</w:t>
            </w:r>
          </w:p>
        </w:tc>
        <w:tc>
          <w:tcPr>
            <w:tcW w:w="0" w:type="auto"/>
            <w:hideMark/>
          </w:tcPr>
          <w:p w14:paraId="69E2C89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w:t>
            </w:r>
          </w:p>
        </w:tc>
        <w:tc>
          <w:tcPr>
            <w:tcW w:w="0" w:type="auto"/>
            <w:hideMark/>
          </w:tcPr>
          <w:p w14:paraId="3C36AFA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3.6</w:t>
            </w:r>
          </w:p>
        </w:tc>
      </w:tr>
      <w:tr w:rsidR="000939C6" w:rsidRPr="00D25474" w14:paraId="433EEE2A" w14:textId="77777777" w:rsidTr="00D25474">
        <w:tc>
          <w:tcPr>
            <w:tcW w:w="0" w:type="auto"/>
            <w:hideMark/>
          </w:tcPr>
          <w:p w14:paraId="342140F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ARR (%)</w:t>
            </w:r>
          </w:p>
        </w:tc>
        <w:tc>
          <w:tcPr>
            <w:tcW w:w="0" w:type="auto"/>
            <w:hideMark/>
          </w:tcPr>
          <w:p w14:paraId="7AC6467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7.0</w:t>
            </w:r>
          </w:p>
        </w:tc>
        <w:tc>
          <w:tcPr>
            <w:tcW w:w="0" w:type="auto"/>
            <w:hideMark/>
          </w:tcPr>
          <w:p w14:paraId="238AB51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0.0</w:t>
            </w:r>
          </w:p>
        </w:tc>
        <w:tc>
          <w:tcPr>
            <w:tcW w:w="0" w:type="auto"/>
            <w:hideMark/>
          </w:tcPr>
          <w:p w14:paraId="1B5266D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10.0</w:t>
            </w:r>
          </w:p>
        </w:tc>
      </w:tr>
      <w:tr w:rsidR="000939C6" w:rsidRPr="00D25474" w14:paraId="397AAADC" w14:textId="77777777" w:rsidTr="00D25474">
        <w:tc>
          <w:tcPr>
            <w:tcW w:w="0" w:type="auto"/>
            <w:hideMark/>
          </w:tcPr>
          <w:p w14:paraId="6043885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NPV (£m)</w:t>
            </w:r>
          </w:p>
        </w:tc>
        <w:tc>
          <w:tcPr>
            <w:tcW w:w="0" w:type="auto"/>
            <w:hideMark/>
          </w:tcPr>
          <w:p w14:paraId="19D3401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+1.31</w:t>
            </w:r>
          </w:p>
        </w:tc>
        <w:tc>
          <w:tcPr>
            <w:tcW w:w="0" w:type="auto"/>
            <w:hideMark/>
          </w:tcPr>
          <w:p w14:paraId="584E5FD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−7.25</w:t>
            </w:r>
          </w:p>
        </w:tc>
        <w:tc>
          <w:tcPr>
            <w:tcW w:w="0" w:type="auto"/>
            <w:hideMark/>
          </w:tcPr>
          <w:p w14:paraId="51BF786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+4.23</w:t>
            </w:r>
          </w:p>
        </w:tc>
      </w:tr>
      <w:tr w:rsidR="000939C6" w:rsidRPr="00D25474" w14:paraId="5C653907" w14:textId="77777777" w:rsidTr="00D25474">
        <w:tc>
          <w:tcPr>
            <w:tcW w:w="0" w:type="auto"/>
            <w:hideMark/>
          </w:tcPr>
          <w:p w14:paraId="31F9908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PI</w:t>
            </w:r>
          </w:p>
        </w:tc>
        <w:tc>
          <w:tcPr>
            <w:tcW w:w="0" w:type="auto"/>
            <w:hideMark/>
          </w:tcPr>
          <w:p w14:paraId="4E2AD71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1.03</w:t>
            </w:r>
          </w:p>
        </w:tc>
        <w:tc>
          <w:tcPr>
            <w:tcW w:w="0" w:type="auto"/>
            <w:hideMark/>
          </w:tcPr>
          <w:p w14:paraId="5C89BEA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0.76</w:t>
            </w:r>
          </w:p>
        </w:tc>
        <w:tc>
          <w:tcPr>
            <w:tcW w:w="0" w:type="auto"/>
            <w:hideMark/>
          </w:tcPr>
          <w:p w14:paraId="2B64FDB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1.08</w:t>
            </w:r>
          </w:p>
        </w:tc>
      </w:tr>
      <w:tr w:rsidR="000939C6" w:rsidRPr="00D25474" w14:paraId="556CEA72" w14:textId="77777777" w:rsidTr="00D25474">
        <w:tc>
          <w:tcPr>
            <w:tcW w:w="0" w:type="auto"/>
            <w:hideMark/>
          </w:tcPr>
          <w:p w14:paraId="3249B78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lastRenderedPageBreak/>
              <w:t>IRR (%)</w:t>
            </w:r>
          </w:p>
        </w:tc>
        <w:tc>
          <w:tcPr>
            <w:tcW w:w="0" w:type="auto"/>
            <w:hideMark/>
          </w:tcPr>
          <w:p w14:paraId="51139FA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11.1</w:t>
            </w:r>
          </w:p>
        </w:tc>
        <w:tc>
          <w:tcPr>
            <w:tcW w:w="0" w:type="auto"/>
            <w:hideMark/>
          </w:tcPr>
          <w:p w14:paraId="78E06DB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&lt;5</w:t>
            </w:r>
          </w:p>
        </w:tc>
        <w:tc>
          <w:tcPr>
            <w:tcW w:w="0" w:type="auto"/>
            <w:hideMark/>
          </w:tcPr>
          <w:p w14:paraId="54DDA0C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12.8</w:t>
            </w:r>
          </w:p>
        </w:tc>
      </w:tr>
    </w:tbl>
    <w:p w14:paraId="4E6B0B8D" w14:textId="1E425267" w:rsidR="000939C6" w:rsidRPr="00D25474" w:rsidRDefault="000939C6" w:rsidP="00D25474">
      <w:pPr>
        <w:spacing w:line="360" w:lineRule="auto"/>
        <w:rPr>
          <w:rFonts w:ascii="Arial" w:hAnsi="Arial" w:cs="Arial"/>
          <w:lang w:val="en-CA"/>
        </w:rPr>
      </w:pPr>
    </w:p>
    <w:p w14:paraId="7BA70EE3"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I. Capital Rationing (£60m limit)</w:t>
      </w:r>
    </w:p>
    <w:tbl>
      <w:tblPr>
        <w:tblStyle w:val="TableGrid"/>
        <w:tblW w:w="0" w:type="auto"/>
        <w:tblLook w:val="04A0" w:firstRow="1" w:lastRow="0" w:firstColumn="1" w:lastColumn="0" w:noHBand="0" w:noVBand="1"/>
      </w:tblPr>
      <w:tblGrid>
        <w:gridCol w:w="1683"/>
        <w:gridCol w:w="2679"/>
        <w:gridCol w:w="2523"/>
        <w:gridCol w:w="2431"/>
      </w:tblGrid>
      <w:tr w:rsidR="000939C6" w:rsidRPr="00D25474" w14:paraId="1C81DDCF" w14:textId="77777777" w:rsidTr="00D25474">
        <w:tc>
          <w:tcPr>
            <w:tcW w:w="0" w:type="auto"/>
            <w:hideMark/>
          </w:tcPr>
          <w:p w14:paraId="52F32588"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Combination</w:t>
            </w:r>
          </w:p>
        </w:tc>
        <w:tc>
          <w:tcPr>
            <w:tcW w:w="0" w:type="auto"/>
            <w:hideMark/>
          </w:tcPr>
          <w:p w14:paraId="54F3B10A"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Total Investment (£m)</w:t>
            </w:r>
          </w:p>
        </w:tc>
        <w:tc>
          <w:tcPr>
            <w:tcW w:w="0" w:type="auto"/>
            <w:hideMark/>
          </w:tcPr>
          <w:p w14:paraId="23DBB64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Combined NPV (£m)</w:t>
            </w:r>
          </w:p>
        </w:tc>
        <w:tc>
          <w:tcPr>
            <w:tcW w:w="0" w:type="auto"/>
            <w:hideMark/>
          </w:tcPr>
          <w:p w14:paraId="3EECC657"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Feasibility</w:t>
            </w:r>
          </w:p>
        </w:tc>
      </w:tr>
      <w:tr w:rsidR="000939C6" w:rsidRPr="00D25474" w14:paraId="0EBFB31C" w14:textId="77777777" w:rsidTr="00D25474">
        <w:tc>
          <w:tcPr>
            <w:tcW w:w="0" w:type="auto"/>
            <w:hideMark/>
          </w:tcPr>
          <w:p w14:paraId="3D271EB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 + B</w:t>
            </w:r>
          </w:p>
        </w:tc>
        <w:tc>
          <w:tcPr>
            <w:tcW w:w="0" w:type="auto"/>
            <w:hideMark/>
          </w:tcPr>
          <w:p w14:paraId="20D3695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70</w:t>
            </w:r>
          </w:p>
        </w:tc>
        <w:tc>
          <w:tcPr>
            <w:tcW w:w="0" w:type="auto"/>
            <w:hideMark/>
          </w:tcPr>
          <w:p w14:paraId="697D1448"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−5.94</w:t>
            </w:r>
          </w:p>
        </w:tc>
        <w:tc>
          <w:tcPr>
            <w:tcW w:w="0" w:type="auto"/>
            <w:hideMark/>
          </w:tcPr>
          <w:p w14:paraId="7E7FFAA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Not feasible</w:t>
            </w:r>
          </w:p>
        </w:tc>
      </w:tr>
      <w:tr w:rsidR="000939C6" w:rsidRPr="00D25474" w14:paraId="48A771C2" w14:textId="77777777" w:rsidTr="00D25474">
        <w:tc>
          <w:tcPr>
            <w:tcW w:w="0" w:type="auto"/>
            <w:hideMark/>
          </w:tcPr>
          <w:p w14:paraId="6B46F5F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B + C</w:t>
            </w:r>
          </w:p>
        </w:tc>
        <w:tc>
          <w:tcPr>
            <w:tcW w:w="0" w:type="auto"/>
            <w:hideMark/>
          </w:tcPr>
          <w:p w14:paraId="1C55DDF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80</w:t>
            </w:r>
          </w:p>
        </w:tc>
        <w:tc>
          <w:tcPr>
            <w:tcW w:w="0" w:type="auto"/>
            <w:hideMark/>
          </w:tcPr>
          <w:p w14:paraId="253033C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−3.02</w:t>
            </w:r>
          </w:p>
        </w:tc>
        <w:tc>
          <w:tcPr>
            <w:tcW w:w="0" w:type="auto"/>
            <w:hideMark/>
          </w:tcPr>
          <w:p w14:paraId="454023B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Not feasible</w:t>
            </w:r>
          </w:p>
        </w:tc>
      </w:tr>
      <w:tr w:rsidR="000939C6" w:rsidRPr="00D25474" w14:paraId="3E7AD687" w14:textId="77777777" w:rsidTr="00D25474">
        <w:tc>
          <w:tcPr>
            <w:tcW w:w="0" w:type="auto"/>
            <w:hideMark/>
          </w:tcPr>
          <w:p w14:paraId="5AC3FB7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 + C</w:t>
            </w:r>
          </w:p>
        </w:tc>
        <w:tc>
          <w:tcPr>
            <w:tcW w:w="0" w:type="auto"/>
            <w:hideMark/>
          </w:tcPr>
          <w:p w14:paraId="2B93C65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90</w:t>
            </w:r>
          </w:p>
        </w:tc>
        <w:tc>
          <w:tcPr>
            <w:tcW w:w="0" w:type="auto"/>
            <w:hideMark/>
          </w:tcPr>
          <w:p w14:paraId="5F2D194D"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+5.54</w:t>
            </w:r>
          </w:p>
        </w:tc>
        <w:tc>
          <w:tcPr>
            <w:tcW w:w="0" w:type="auto"/>
            <w:hideMark/>
          </w:tcPr>
          <w:p w14:paraId="6030781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Not feasible</w:t>
            </w:r>
          </w:p>
        </w:tc>
      </w:tr>
      <w:tr w:rsidR="000939C6" w:rsidRPr="00D25474" w14:paraId="27F85304" w14:textId="77777777" w:rsidTr="00D25474">
        <w:tc>
          <w:tcPr>
            <w:tcW w:w="0" w:type="auto"/>
            <w:hideMark/>
          </w:tcPr>
          <w:p w14:paraId="0984D54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 only</w:t>
            </w:r>
          </w:p>
        </w:tc>
        <w:tc>
          <w:tcPr>
            <w:tcW w:w="0" w:type="auto"/>
            <w:hideMark/>
          </w:tcPr>
          <w:p w14:paraId="47F6F5A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40</w:t>
            </w:r>
          </w:p>
        </w:tc>
        <w:tc>
          <w:tcPr>
            <w:tcW w:w="0" w:type="auto"/>
            <w:hideMark/>
          </w:tcPr>
          <w:p w14:paraId="683A36D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+1.31</w:t>
            </w:r>
          </w:p>
        </w:tc>
        <w:tc>
          <w:tcPr>
            <w:tcW w:w="0" w:type="auto"/>
            <w:hideMark/>
          </w:tcPr>
          <w:p w14:paraId="1C55F08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Feasible</w:t>
            </w:r>
          </w:p>
        </w:tc>
      </w:tr>
      <w:tr w:rsidR="000939C6" w:rsidRPr="00D25474" w14:paraId="26257622" w14:textId="77777777" w:rsidTr="00D25474">
        <w:tc>
          <w:tcPr>
            <w:tcW w:w="0" w:type="auto"/>
            <w:hideMark/>
          </w:tcPr>
          <w:p w14:paraId="7C95853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C only</w:t>
            </w:r>
          </w:p>
        </w:tc>
        <w:tc>
          <w:tcPr>
            <w:tcW w:w="0" w:type="auto"/>
            <w:hideMark/>
          </w:tcPr>
          <w:p w14:paraId="0F25454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w:t>
            </w:r>
          </w:p>
        </w:tc>
        <w:tc>
          <w:tcPr>
            <w:tcW w:w="0" w:type="auto"/>
            <w:hideMark/>
          </w:tcPr>
          <w:p w14:paraId="23DED59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+4.23</w:t>
            </w:r>
          </w:p>
        </w:tc>
        <w:tc>
          <w:tcPr>
            <w:tcW w:w="0" w:type="auto"/>
            <w:hideMark/>
          </w:tcPr>
          <w:p w14:paraId="36B3ADF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Feasible and optimal</w:t>
            </w:r>
          </w:p>
        </w:tc>
      </w:tr>
    </w:tbl>
    <w:p w14:paraId="0631BFEF" w14:textId="0124D492" w:rsidR="000939C6" w:rsidRPr="00D25474" w:rsidRDefault="000939C6" w:rsidP="00D25474">
      <w:pPr>
        <w:spacing w:line="360" w:lineRule="auto"/>
        <w:rPr>
          <w:rFonts w:ascii="Arial" w:hAnsi="Arial" w:cs="Arial"/>
          <w:lang w:val="en-CA"/>
        </w:rPr>
      </w:pPr>
    </w:p>
    <w:p w14:paraId="3D9CF58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J. Sensitivity Analysis for Project C</w:t>
      </w:r>
    </w:p>
    <w:tbl>
      <w:tblPr>
        <w:tblStyle w:val="TableGrid"/>
        <w:tblW w:w="0" w:type="auto"/>
        <w:tblLook w:val="04A0" w:firstRow="1" w:lastRow="0" w:firstColumn="1" w:lastColumn="0" w:noHBand="0" w:noVBand="1"/>
      </w:tblPr>
      <w:tblGrid>
        <w:gridCol w:w="3717"/>
        <w:gridCol w:w="1097"/>
        <w:gridCol w:w="2309"/>
        <w:gridCol w:w="2227"/>
      </w:tblGrid>
      <w:tr w:rsidR="000939C6" w:rsidRPr="00D25474" w14:paraId="20BC0B42" w14:textId="77777777" w:rsidTr="00D25474">
        <w:tc>
          <w:tcPr>
            <w:tcW w:w="0" w:type="auto"/>
            <w:hideMark/>
          </w:tcPr>
          <w:p w14:paraId="49846E13"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Scenario</w:t>
            </w:r>
          </w:p>
        </w:tc>
        <w:tc>
          <w:tcPr>
            <w:tcW w:w="0" w:type="auto"/>
            <w:hideMark/>
          </w:tcPr>
          <w:p w14:paraId="787F988E"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Change</w:t>
            </w:r>
          </w:p>
        </w:tc>
        <w:tc>
          <w:tcPr>
            <w:tcW w:w="0" w:type="auto"/>
            <w:hideMark/>
          </w:tcPr>
          <w:p w14:paraId="520C6EA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Adjusted Inflows</w:t>
            </w:r>
          </w:p>
        </w:tc>
        <w:tc>
          <w:tcPr>
            <w:tcW w:w="0" w:type="auto"/>
            <w:hideMark/>
          </w:tcPr>
          <w:p w14:paraId="41FCF7D2"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Revised NPV (£m)</w:t>
            </w:r>
          </w:p>
        </w:tc>
      </w:tr>
      <w:tr w:rsidR="000939C6" w:rsidRPr="00D25474" w14:paraId="0089D00C" w14:textId="77777777" w:rsidTr="00D25474">
        <w:tc>
          <w:tcPr>
            <w:tcW w:w="0" w:type="auto"/>
            <w:hideMark/>
          </w:tcPr>
          <w:p w14:paraId="69089FE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Base Case</w:t>
            </w:r>
          </w:p>
        </w:tc>
        <w:tc>
          <w:tcPr>
            <w:tcW w:w="0" w:type="auto"/>
            <w:hideMark/>
          </w:tcPr>
          <w:p w14:paraId="0AEAE18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None</w:t>
            </w:r>
          </w:p>
        </w:tc>
        <w:tc>
          <w:tcPr>
            <w:tcW w:w="0" w:type="auto"/>
            <w:hideMark/>
          </w:tcPr>
          <w:p w14:paraId="6FDA702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5, 10, 20, 25, 15</w:t>
            </w:r>
          </w:p>
        </w:tc>
        <w:tc>
          <w:tcPr>
            <w:tcW w:w="0" w:type="auto"/>
            <w:hideMark/>
          </w:tcPr>
          <w:p w14:paraId="2A0E456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+4.23</w:t>
            </w:r>
          </w:p>
        </w:tc>
      </w:tr>
      <w:tr w:rsidR="000939C6" w:rsidRPr="00D25474" w14:paraId="51B3FE2C" w14:textId="77777777" w:rsidTr="00D25474">
        <w:tc>
          <w:tcPr>
            <w:tcW w:w="0" w:type="auto"/>
            <w:hideMark/>
          </w:tcPr>
          <w:p w14:paraId="41FF1C5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 reduction in Year 4–5 inflows</w:t>
            </w:r>
          </w:p>
        </w:tc>
        <w:tc>
          <w:tcPr>
            <w:tcW w:w="0" w:type="auto"/>
            <w:hideMark/>
          </w:tcPr>
          <w:p w14:paraId="72EF60D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w:t>
            </w:r>
          </w:p>
        </w:tc>
        <w:tc>
          <w:tcPr>
            <w:tcW w:w="0" w:type="auto"/>
            <w:hideMark/>
          </w:tcPr>
          <w:p w14:paraId="6462191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5, 10, 20, 22.5, 13.5</w:t>
            </w:r>
          </w:p>
        </w:tc>
        <w:tc>
          <w:tcPr>
            <w:tcW w:w="0" w:type="auto"/>
            <w:hideMark/>
          </w:tcPr>
          <w:p w14:paraId="2269D8E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+1.9</w:t>
            </w:r>
          </w:p>
        </w:tc>
      </w:tr>
      <w:tr w:rsidR="000939C6" w:rsidRPr="00D25474" w14:paraId="4B4F693D" w14:textId="77777777" w:rsidTr="00D25474">
        <w:tc>
          <w:tcPr>
            <w:tcW w:w="0" w:type="auto"/>
            <w:hideMark/>
          </w:tcPr>
          <w:p w14:paraId="012AC46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Discount rate at 11%</w:t>
            </w:r>
          </w:p>
        </w:tc>
        <w:tc>
          <w:tcPr>
            <w:tcW w:w="0" w:type="auto"/>
            <w:hideMark/>
          </w:tcPr>
          <w:p w14:paraId="60BDD59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w:t>
            </w:r>
          </w:p>
        </w:tc>
        <w:tc>
          <w:tcPr>
            <w:tcW w:w="0" w:type="auto"/>
            <w:hideMark/>
          </w:tcPr>
          <w:p w14:paraId="6DB8262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w:t>
            </w:r>
          </w:p>
        </w:tc>
        <w:tc>
          <w:tcPr>
            <w:tcW w:w="0" w:type="auto"/>
            <w:hideMark/>
          </w:tcPr>
          <w:p w14:paraId="4C9D584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+3.2</w:t>
            </w:r>
          </w:p>
        </w:tc>
      </w:tr>
      <w:tr w:rsidR="000939C6" w:rsidRPr="00D25474" w14:paraId="3C7BA91C" w14:textId="77777777" w:rsidTr="00D25474">
        <w:tc>
          <w:tcPr>
            <w:tcW w:w="0" w:type="auto"/>
            <w:hideMark/>
          </w:tcPr>
          <w:p w14:paraId="408528C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Discount rate at 15%</w:t>
            </w:r>
          </w:p>
        </w:tc>
        <w:tc>
          <w:tcPr>
            <w:tcW w:w="0" w:type="auto"/>
            <w:hideMark/>
          </w:tcPr>
          <w:p w14:paraId="4F79DEB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w:t>
            </w:r>
          </w:p>
        </w:tc>
        <w:tc>
          <w:tcPr>
            <w:tcW w:w="0" w:type="auto"/>
            <w:hideMark/>
          </w:tcPr>
          <w:p w14:paraId="1161E17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w:t>
            </w:r>
          </w:p>
        </w:tc>
        <w:tc>
          <w:tcPr>
            <w:tcW w:w="0" w:type="auto"/>
            <w:hideMark/>
          </w:tcPr>
          <w:p w14:paraId="73130A3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−0.4</w:t>
            </w:r>
          </w:p>
        </w:tc>
      </w:tr>
    </w:tbl>
    <w:p w14:paraId="6F137BCC" w14:textId="7CFBA7CC" w:rsidR="000939C6" w:rsidRPr="00D25474" w:rsidRDefault="000939C6" w:rsidP="00D25474">
      <w:pPr>
        <w:spacing w:line="360" w:lineRule="auto"/>
        <w:rPr>
          <w:rFonts w:ascii="Arial" w:hAnsi="Arial" w:cs="Arial"/>
          <w:lang w:val="en-CA"/>
        </w:rPr>
      </w:pPr>
    </w:p>
    <w:p w14:paraId="59813F23"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K. Summary of Key Financial Indicators</w:t>
      </w:r>
    </w:p>
    <w:tbl>
      <w:tblPr>
        <w:tblStyle w:val="TableGrid"/>
        <w:tblW w:w="0" w:type="auto"/>
        <w:tblLook w:val="04A0" w:firstRow="1" w:lastRow="0" w:firstColumn="1" w:lastColumn="0" w:noHBand="0" w:noVBand="1"/>
      </w:tblPr>
      <w:tblGrid>
        <w:gridCol w:w="1897"/>
        <w:gridCol w:w="3592"/>
        <w:gridCol w:w="1261"/>
        <w:gridCol w:w="1270"/>
        <w:gridCol w:w="1270"/>
      </w:tblGrid>
      <w:tr w:rsidR="000939C6" w:rsidRPr="00D25474" w14:paraId="3C862A64" w14:textId="77777777" w:rsidTr="00D25474">
        <w:tc>
          <w:tcPr>
            <w:tcW w:w="0" w:type="auto"/>
            <w:hideMark/>
          </w:tcPr>
          <w:p w14:paraId="4E600FA2"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Metric</w:t>
            </w:r>
          </w:p>
        </w:tc>
        <w:tc>
          <w:tcPr>
            <w:tcW w:w="0" w:type="auto"/>
            <w:hideMark/>
          </w:tcPr>
          <w:p w14:paraId="5644A599"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Formula</w:t>
            </w:r>
          </w:p>
        </w:tc>
        <w:tc>
          <w:tcPr>
            <w:tcW w:w="0" w:type="auto"/>
            <w:hideMark/>
          </w:tcPr>
          <w:p w14:paraId="2291C011"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A</w:t>
            </w:r>
          </w:p>
        </w:tc>
        <w:tc>
          <w:tcPr>
            <w:tcW w:w="0" w:type="auto"/>
            <w:hideMark/>
          </w:tcPr>
          <w:p w14:paraId="4C820BB7"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B</w:t>
            </w:r>
          </w:p>
        </w:tc>
        <w:tc>
          <w:tcPr>
            <w:tcW w:w="0" w:type="auto"/>
            <w:hideMark/>
          </w:tcPr>
          <w:p w14:paraId="34084685" w14:textId="77777777" w:rsidR="000939C6" w:rsidRPr="00D25474" w:rsidRDefault="000939C6" w:rsidP="00D25474">
            <w:pPr>
              <w:spacing w:line="360" w:lineRule="auto"/>
              <w:rPr>
                <w:rFonts w:ascii="Arial" w:hAnsi="Arial" w:cs="Arial"/>
                <w:b/>
                <w:bCs/>
                <w:lang w:val="en-CA"/>
              </w:rPr>
            </w:pPr>
            <w:r w:rsidRPr="00D25474">
              <w:rPr>
                <w:rFonts w:ascii="Arial" w:hAnsi="Arial" w:cs="Arial"/>
                <w:b/>
                <w:bCs/>
                <w:lang w:val="en-CA"/>
              </w:rPr>
              <w:t>Project C</w:t>
            </w:r>
          </w:p>
        </w:tc>
      </w:tr>
      <w:tr w:rsidR="000939C6" w:rsidRPr="00D25474" w14:paraId="666DF655" w14:textId="77777777" w:rsidTr="00D25474">
        <w:tc>
          <w:tcPr>
            <w:tcW w:w="0" w:type="auto"/>
            <w:hideMark/>
          </w:tcPr>
          <w:p w14:paraId="0215228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Payback Period</w:t>
            </w:r>
          </w:p>
        </w:tc>
        <w:tc>
          <w:tcPr>
            <w:tcW w:w="0" w:type="auto"/>
            <w:hideMark/>
          </w:tcPr>
          <w:p w14:paraId="7FD9A971"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Time to recover investment</w:t>
            </w:r>
          </w:p>
        </w:tc>
        <w:tc>
          <w:tcPr>
            <w:tcW w:w="0" w:type="auto"/>
            <w:hideMark/>
          </w:tcPr>
          <w:p w14:paraId="5C465A8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3.4 yrs</w:t>
            </w:r>
          </w:p>
        </w:tc>
        <w:tc>
          <w:tcPr>
            <w:tcW w:w="0" w:type="auto"/>
            <w:hideMark/>
          </w:tcPr>
          <w:p w14:paraId="120C9F6E"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5.0 yrs</w:t>
            </w:r>
          </w:p>
        </w:tc>
        <w:tc>
          <w:tcPr>
            <w:tcW w:w="0" w:type="auto"/>
            <w:hideMark/>
          </w:tcPr>
          <w:p w14:paraId="094CE80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3.6 yrs</w:t>
            </w:r>
          </w:p>
        </w:tc>
      </w:tr>
      <w:tr w:rsidR="000939C6" w:rsidRPr="00D25474" w14:paraId="428DBC48" w14:textId="77777777" w:rsidTr="00D25474">
        <w:tc>
          <w:tcPr>
            <w:tcW w:w="0" w:type="auto"/>
            <w:hideMark/>
          </w:tcPr>
          <w:p w14:paraId="23901803"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ARR</w:t>
            </w:r>
          </w:p>
        </w:tc>
        <w:tc>
          <w:tcPr>
            <w:tcW w:w="0" w:type="auto"/>
            <w:hideMark/>
          </w:tcPr>
          <w:p w14:paraId="69F5EB9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(Avg. Profit ÷ Investment) × 100</w:t>
            </w:r>
          </w:p>
        </w:tc>
        <w:tc>
          <w:tcPr>
            <w:tcW w:w="0" w:type="auto"/>
            <w:hideMark/>
          </w:tcPr>
          <w:p w14:paraId="1A5C5BD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7.0%</w:t>
            </w:r>
          </w:p>
        </w:tc>
        <w:tc>
          <w:tcPr>
            <w:tcW w:w="0" w:type="auto"/>
            <w:hideMark/>
          </w:tcPr>
          <w:p w14:paraId="643C52B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0.0%</w:t>
            </w:r>
          </w:p>
        </w:tc>
        <w:tc>
          <w:tcPr>
            <w:tcW w:w="0" w:type="auto"/>
            <w:hideMark/>
          </w:tcPr>
          <w:p w14:paraId="793D5FB6"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10.0%</w:t>
            </w:r>
          </w:p>
        </w:tc>
      </w:tr>
      <w:tr w:rsidR="000939C6" w:rsidRPr="00D25474" w14:paraId="6F23F948" w14:textId="77777777" w:rsidTr="00D25474">
        <w:tc>
          <w:tcPr>
            <w:tcW w:w="0" w:type="auto"/>
            <w:hideMark/>
          </w:tcPr>
          <w:p w14:paraId="527CF70A"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NPV</w:t>
            </w:r>
          </w:p>
        </w:tc>
        <w:tc>
          <w:tcPr>
            <w:tcW w:w="0" w:type="auto"/>
            <w:hideMark/>
          </w:tcPr>
          <w:p w14:paraId="1F1E0F2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Σ [CF ÷ (1+r)ⁿ] − I</w:t>
            </w:r>
          </w:p>
        </w:tc>
        <w:tc>
          <w:tcPr>
            <w:tcW w:w="0" w:type="auto"/>
            <w:hideMark/>
          </w:tcPr>
          <w:p w14:paraId="5F3820C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+1.31</w:t>
            </w:r>
          </w:p>
        </w:tc>
        <w:tc>
          <w:tcPr>
            <w:tcW w:w="0" w:type="auto"/>
            <w:hideMark/>
          </w:tcPr>
          <w:p w14:paraId="074F96A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−7.25</w:t>
            </w:r>
          </w:p>
        </w:tc>
        <w:tc>
          <w:tcPr>
            <w:tcW w:w="0" w:type="auto"/>
            <w:hideMark/>
          </w:tcPr>
          <w:p w14:paraId="1352EB92"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+4.23</w:t>
            </w:r>
          </w:p>
        </w:tc>
      </w:tr>
      <w:tr w:rsidR="000939C6" w:rsidRPr="00D25474" w14:paraId="7BA69344" w14:textId="77777777" w:rsidTr="00D25474">
        <w:tc>
          <w:tcPr>
            <w:tcW w:w="0" w:type="auto"/>
            <w:hideMark/>
          </w:tcPr>
          <w:p w14:paraId="521F36AB"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PI</w:t>
            </w:r>
          </w:p>
        </w:tc>
        <w:tc>
          <w:tcPr>
            <w:tcW w:w="0" w:type="auto"/>
            <w:hideMark/>
          </w:tcPr>
          <w:p w14:paraId="12810D2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PV of CF ÷ I</w:t>
            </w:r>
          </w:p>
        </w:tc>
        <w:tc>
          <w:tcPr>
            <w:tcW w:w="0" w:type="auto"/>
            <w:hideMark/>
          </w:tcPr>
          <w:p w14:paraId="7BE31CA9"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1.03</w:t>
            </w:r>
          </w:p>
        </w:tc>
        <w:tc>
          <w:tcPr>
            <w:tcW w:w="0" w:type="auto"/>
            <w:hideMark/>
          </w:tcPr>
          <w:p w14:paraId="52CF6AC4"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0.76</w:t>
            </w:r>
          </w:p>
        </w:tc>
        <w:tc>
          <w:tcPr>
            <w:tcW w:w="0" w:type="auto"/>
            <w:hideMark/>
          </w:tcPr>
          <w:p w14:paraId="7A3FC647"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1.08</w:t>
            </w:r>
          </w:p>
        </w:tc>
      </w:tr>
      <w:tr w:rsidR="000939C6" w:rsidRPr="00D25474" w14:paraId="56331424" w14:textId="77777777" w:rsidTr="00D25474">
        <w:tc>
          <w:tcPr>
            <w:tcW w:w="0" w:type="auto"/>
            <w:hideMark/>
          </w:tcPr>
          <w:p w14:paraId="406C931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IRR</w:t>
            </w:r>
          </w:p>
        </w:tc>
        <w:tc>
          <w:tcPr>
            <w:tcW w:w="0" w:type="auto"/>
            <w:hideMark/>
          </w:tcPr>
          <w:p w14:paraId="2054794F"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Interpolated discount rate</w:t>
            </w:r>
          </w:p>
        </w:tc>
        <w:tc>
          <w:tcPr>
            <w:tcW w:w="0" w:type="auto"/>
            <w:hideMark/>
          </w:tcPr>
          <w:p w14:paraId="63BE80E5"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11.1%</w:t>
            </w:r>
          </w:p>
        </w:tc>
        <w:tc>
          <w:tcPr>
            <w:tcW w:w="0" w:type="auto"/>
            <w:hideMark/>
          </w:tcPr>
          <w:p w14:paraId="1E63D00C"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&lt;5%</w:t>
            </w:r>
          </w:p>
        </w:tc>
        <w:tc>
          <w:tcPr>
            <w:tcW w:w="0" w:type="auto"/>
            <w:hideMark/>
          </w:tcPr>
          <w:p w14:paraId="763123B0" w14:textId="77777777" w:rsidR="000939C6" w:rsidRPr="00D25474" w:rsidRDefault="000939C6" w:rsidP="00D25474">
            <w:pPr>
              <w:spacing w:line="360" w:lineRule="auto"/>
              <w:rPr>
                <w:rFonts w:ascii="Arial" w:hAnsi="Arial" w:cs="Arial"/>
                <w:lang w:val="en-CA"/>
              </w:rPr>
            </w:pPr>
            <w:r w:rsidRPr="00D25474">
              <w:rPr>
                <w:rFonts w:ascii="Arial" w:hAnsi="Arial" w:cs="Arial"/>
                <w:lang w:val="en-CA"/>
              </w:rPr>
              <w:t>12.8%</w:t>
            </w:r>
          </w:p>
        </w:tc>
      </w:tr>
    </w:tbl>
    <w:p w14:paraId="3E0653C6" w14:textId="77777777" w:rsidR="000939C6" w:rsidRPr="00D25474" w:rsidRDefault="000939C6" w:rsidP="00D25474">
      <w:pPr>
        <w:spacing w:line="360" w:lineRule="auto"/>
        <w:rPr>
          <w:rFonts w:ascii="Arial" w:hAnsi="Arial" w:cs="Arial"/>
        </w:rPr>
      </w:pPr>
    </w:p>
    <w:p w14:paraId="2EBE8D57" w14:textId="77777777" w:rsidR="000939C6" w:rsidRPr="00D25474" w:rsidRDefault="000939C6" w:rsidP="00D25474">
      <w:pPr>
        <w:spacing w:line="360" w:lineRule="auto"/>
        <w:rPr>
          <w:rFonts w:ascii="Arial" w:hAnsi="Arial" w:cs="Arial"/>
        </w:rPr>
      </w:pPr>
    </w:p>
    <w:p w14:paraId="5EF5DE35" w14:textId="77777777" w:rsidR="000939C6" w:rsidRPr="00D25474" w:rsidRDefault="000939C6" w:rsidP="00D25474">
      <w:pPr>
        <w:spacing w:line="360" w:lineRule="auto"/>
        <w:rPr>
          <w:rFonts w:ascii="Arial" w:hAnsi="Arial" w:cs="Arial"/>
        </w:rPr>
      </w:pPr>
    </w:p>
    <w:p w14:paraId="3EFEE864" w14:textId="77777777" w:rsidR="000939C6" w:rsidRPr="00D25474" w:rsidRDefault="000939C6" w:rsidP="00D25474">
      <w:pPr>
        <w:spacing w:line="360" w:lineRule="auto"/>
        <w:rPr>
          <w:rFonts w:ascii="Arial" w:hAnsi="Arial" w:cs="Arial"/>
        </w:rPr>
      </w:pPr>
    </w:p>
    <w:p w14:paraId="52A88897" w14:textId="77777777" w:rsidR="000939C6" w:rsidRPr="00D25474" w:rsidRDefault="000939C6" w:rsidP="00D25474">
      <w:pPr>
        <w:spacing w:line="360" w:lineRule="auto"/>
        <w:rPr>
          <w:rFonts w:ascii="Arial" w:hAnsi="Arial" w:cs="Arial"/>
        </w:rPr>
      </w:pPr>
    </w:p>
    <w:p w14:paraId="05CA9960" w14:textId="77777777" w:rsidR="000939C6" w:rsidRPr="00D25474" w:rsidRDefault="000939C6" w:rsidP="00D25474">
      <w:pPr>
        <w:spacing w:line="360" w:lineRule="auto"/>
        <w:rPr>
          <w:rFonts w:ascii="Arial" w:hAnsi="Arial" w:cs="Arial"/>
        </w:rPr>
      </w:pPr>
    </w:p>
    <w:p w14:paraId="3E5C3774" w14:textId="77777777" w:rsidR="000939C6" w:rsidRPr="00D25474" w:rsidRDefault="000939C6" w:rsidP="00D25474">
      <w:pPr>
        <w:spacing w:line="360" w:lineRule="auto"/>
        <w:rPr>
          <w:rFonts w:ascii="Arial" w:hAnsi="Arial" w:cs="Arial"/>
        </w:rPr>
      </w:pPr>
    </w:p>
    <w:p w14:paraId="080E748C" w14:textId="77777777" w:rsidR="000939C6" w:rsidRPr="00D25474" w:rsidRDefault="000939C6" w:rsidP="00D25474">
      <w:pPr>
        <w:spacing w:line="360" w:lineRule="auto"/>
        <w:rPr>
          <w:rFonts w:ascii="Arial" w:hAnsi="Arial" w:cs="Arial"/>
        </w:rPr>
      </w:pPr>
    </w:p>
    <w:p w14:paraId="7FFC0C5C" w14:textId="77777777" w:rsidR="000939C6" w:rsidRPr="00D25474" w:rsidRDefault="000939C6" w:rsidP="00D25474">
      <w:pPr>
        <w:spacing w:line="360" w:lineRule="auto"/>
        <w:rPr>
          <w:rFonts w:ascii="Arial" w:hAnsi="Arial" w:cs="Arial"/>
        </w:rPr>
      </w:pPr>
    </w:p>
    <w:p w14:paraId="7462F244" w14:textId="77777777" w:rsidR="000939C6" w:rsidRPr="00D25474" w:rsidRDefault="000939C6" w:rsidP="00D25474">
      <w:pPr>
        <w:spacing w:line="360" w:lineRule="auto"/>
        <w:rPr>
          <w:rFonts w:ascii="Arial" w:hAnsi="Arial" w:cs="Arial"/>
        </w:rPr>
      </w:pPr>
    </w:p>
    <w:sectPr w:rsidR="000939C6" w:rsidRPr="00D25474" w:rsidSect="00B81BB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74FD2" w14:textId="77777777" w:rsidR="005F4701" w:rsidRDefault="005F4701" w:rsidP="001E6C46">
      <w:r>
        <w:separator/>
      </w:r>
    </w:p>
  </w:endnote>
  <w:endnote w:type="continuationSeparator" w:id="0">
    <w:p w14:paraId="4270A019" w14:textId="77777777" w:rsidR="005F4701" w:rsidRDefault="005F4701" w:rsidP="001E6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3387221"/>
      <w:docPartObj>
        <w:docPartGallery w:val="Page Numbers (Bottom of Page)"/>
        <w:docPartUnique/>
      </w:docPartObj>
    </w:sdtPr>
    <w:sdtEndPr>
      <w:rPr>
        <w:noProof/>
      </w:rPr>
    </w:sdtEndPr>
    <w:sdtContent>
      <w:p w14:paraId="13233AD4" w14:textId="61A0604F" w:rsidR="001E6C46" w:rsidRDefault="001E6C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235BC" w14:textId="77777777" w:rsidR="001E6C46" w:rsidRDefault="001E6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9407C" w14:textId="77777777" w:rsidR="005F4701" w:rsidRDefault="005F4701" w:rsidP="001E6C46">
      <w:r>
        <w:separator/>
      </w:r>
    </w:p>
  </w:footnote>
  <w:footnote w:type="continuationSeparator" w:id="0">
    <w:p w14:paraId="54A4BF68" w14:textId="77777777" w:rsidR="005F4701" w:rsidRDefault="005F4701" w:rsidP="001E6C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24262"/>
    <w:multiLevelType w:val="multilevel"/>
    <w:tmpl w:val="B35A25D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3F7510"/>
    <w:multiLevelType w:val="multilevel"/>
    <w:tmpl w:val="8C9C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C6BF3"/>
    <w:multiLevelType w:val="multilevel"/>
    <w:tmpl w:val="3BA24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0D4917"/>
    <w:multiLevelType w:val="multilevel"/>
    <w:tmpl w:val="95F4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AD7C39"/>
    <w:multiLevelType w:val="multilevel"/>
    <w:tmpl w:val="E5A6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1D0883"/>
    <w:multiLevelType w:val="multilevel"/>
    <w:tmpl w:val="79BCA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054A73"/>
    <w:multiLevelType w:val="multilevel"/>
    <w:tmpl w:val="EFCCF182"/>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5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641887"/>
    <w:multiLevelType w:val="multilevel"/>
    <w:tmpl w:val="53DA2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6767864">
    <w:abstractNumId w:val="3"/>
  </w:num>
  <w:num w:numId="2" w16cid:durableId="1971086701">
    <w:abstractNumId w:val="2"/>
  </w:num>
  <w:num w:numId="3" w16cid:durableId="881669722">
    <w:abstractNumId w:val="7"/>
  </w:num>
  <w:num w:numId="4" w16cid:durableId="188757784">
    <w:abstractNumId w:val="4"/>
  </w:num>
  <w:num w:numId="5" w16cid:durableId="2026209163">
    <w:abstractNumId w:val="6"/>
  </w:num>
  <w:num w:numId="6" w16cid:durableId="1152673553">
    <w:abstractNumId w:val="5"/>
  </w:num>
  <w:num w:numId="7" w16cid:durableId="1433280160">
    <w:abstractNumId w:val="1"/>
  </w:num>
  <w:num w:numId="8" w16cid:durableId="965281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794"/>
    <w:rsid w:val="00066451"/>
    <w:rsid w:val="00071CB6"/>
    <w:rsid w:val="000939C6"/>
    <w:rsid w:val="00142776"/>
    <w:rsid w:val="00160011"/>
    <w:rsid w:val="001E6C46"/>
    <w:rsid w:val="001F5E76"/>
    <w:rsid w:val="002334EC"/>
    <w:rsid w:val="0029366B"/>
    <w:rsid w:val="00331EDE"/>
    <w:rsid w:val="00347EBB"/>
    <w:rsid w:val="003C6221"/>
    <w:rsid w:val="00442F27"/>
    <w:rsid w:val="00444AFB"/>
    <w:rsid w:val="005164D8"/>
    <w:rsid w:val="005838B8"/>
    <w:rsid w:val="005F4701"/>
    <w:rsid w:val="006063A0"/>
    <w:rsid w:val="006249D0"/>
    <w:rsid w:val="00675479"/>
    <w:rsid w:val="006864C5"/>
    <w:rsid w:val="008840B2"/>
    <w:rsid w:val="008B6477"/>
    <w:rsid w:val="009272C0"/>
    <w:rsid w:val="009733DF"/>
    <w:rsid w:val="00A12F76"/>
    <w:rsid w:val="00A4727B"/>
    <w:rsid w:val="00A65EE2"/>
    <w:rsid w:val="00A9315E"/>
    <w:rsid w:val="00B65AA9"/>
    <w:rsid w:val="00B81BB3"/>
    <w:rsid w:val="00BA36A8"/>
    <w:rsid w:val="00BC7969"/>
    <w:rsid w:val="00C0114E"/>
    <w:rsid w:val="00C46427"/>
    <w:rsid w:val="00C76F61"/>
    <w:rsid w:val="00C94794"/>
    <w:rsid w:val="00D064BB"/>
    <w:rsid w:val="00D25474"/>
    <w:rsid w:val="00D2647B"/>
    <w:rsid w:val="00D406DD"/>
    <w:rsid w:val="00D52FAF"/>
    <w:rsid w:val="00D851F7"/>
    <w:rsid w:val="00D94674"/>
    <w:rsid w:val="00DF24F4"/>
    <w:rsid w:val="00E261A8"/>
    <w:rsid w:val="00E31F67"/>
    <w:rsid w:val="00E566E2"/>
    <w:rsid w:val="00E7302F"/>
    <w:rsid w:val="00E86A70"/>
    <w:rsid w:val="00EB649C"/>
    <w:rsid w:val="00F84F48"/>
    <w:rsid w:val="00FF366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BE28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47B"/>
    <w:pPr>
      <w:spacing w:after="0" w:line="240" w:lineRule="auto"/>
    </w:pPr>
    <w:rPr>
      <w:kern w:val="2"/>
      <w:sz w:val="24"/>
      <w:szCs w:val="24"/>
      <w:lang w:val="en-GB"/>
    </w:rPr>
  </w:style>
  <w:style w:type="paragraph" w:styleId="Heading1">
    <w:name w:val="heading 1"/>
    <w:basedOn w:val="Normal"/>
    <w:next w:val="Normal"/>
    <w:link w:val="Heading1Char"/>
    <w:uiPriority w:val="9"/>
    <w:qFormat/>
    <w:rsid w:val="00C9479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9479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47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47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47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47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7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7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7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794"/>
    <w:rPr>
      <w:rFonts w:asciiTheme="majorHAnsi" w:eastAsiaTheme="majorEastAsia" w:hAnsiTheme="majorHAnsi" w:cstheme="majorBidi"/>
      <w:color w:val="2F5496" w:themeColor="accent1" w:themeShade="BF"/>
      <w:sz w:val="40"/>
      <w:szCs w:val="40"/>
      <w:lang w:val="en-GB"/>
      <w14:ligatures w14:val="none"/>
    </w:rPr>
  </w:style>
  <w:style w:type="character" w:customStyle="1" w:styleId="Heading2Char">
    <w:name w:val="Heading 2 Char"/>
    <w:basedOn w:val="DefaultParagraphFont"/>
    <w:link w:val="Heading2"/>
    <w:uiPriority w:val="9"/>
    <w:rsid w:val="00C94794"/>
    <w:rPr>
      <w:rFonts w:asciiTheme="majorHAnsi" w:eastAsiaTheme="majorEastAsia" w:hAnsiTheme="majorHAnsi" w:cstheme="majorBidi"/>
      <w:color w:val="2F5496" w:themeColor="accent1" w:themeShade="BF"/>
      <w:sz w:val="32"/>
      <w:szCs w:val="32"/>
      <w:lang w:val="en-GB"/>
      <w14:ligatures w14:val="none"/>
    </w:rPr>
  </w:style>
  <w:style w:type="character" w:customStyle="1" w:styleId="Heading3Char">
    <w:name w:val="Heading 3 Char"/>
    <w:basedOn w:val="DefaultParagraphFont"/>
    <w:link w:val="Heading3"/>
    <w:uiPriority w:val="9"/>
    <w:semiHidden/>
    <w:rsid w:val="00C94794"/>
    <w:rPr>
      <w:rFonts w:eastAsiaTheme="majorEastAsia" w:cstheme="majorBidi"/>
      <w:color w:val="2F5496" w:themeColor="accent1" w:themeShade="BF"/>
      <w:sz w:val="28"/>
      <w:szCs w:val="28"/>
      <w:lang w:val="en-GB"/>
      <w14:ligatures w14:val="none"/>
    </w:rPr>
  </w:style>
  <w:style w:type="character" w:customStyle="1" w:styleId="Heading4Char">
    <w:name w:val="Heading 4 Char"/>
    <w:basedOn w:val="DefaultParagraphFont"/>
    <w:link w:val="Heading4"/>
    <w:uiPriority w:val="9"/>
    <w:semiHidden/>
    <w:rsid w:val="00C94794"/>
    <w:rPr>
      <w:rFonts w:eastAsiaTheme="majorEastAsia" w:cstheme="majorBidi"/>
      <w:i/>
      <w:iCs/>
      <w:color w:val="2F5496" w:themeColor="accent1" w:themeShade="BF"/>
      <w:sz w:val="24"/>
      <w:szCs w:val="20"/>
      <w:lang w:val="en-GB"/>
      <w14:ligatures w14:val="none"/>
    </w:rPr>
  </w:style>
  <w:style w:type="character" w:customStyle="1" w:styleId="Heading5Char">
    <w:name w:val="Heading 5 Char"/>
    <w:basedOn w:val="DefaultParagraphFont"/>
    <w:link w:val="Heading5"/>
    <w:uiPriority w:val="9"/>
    <w:semiHidden/>
    <w:rsid w:val="00C94794"/>
    <w:rPr>
      <w:rFonts w:eastAsiaTheme="majorEastAsia" w:cstheme="majorBidi"/>
      <w:color w:val="2F5496" w:themeColor="accent1" w:themeShade="BF"/>
      <w:sz w:val="24"/>
      <w:szCs w:val="20"/>
      <w:lang w:val="en-GB"/>
      <w14:ligatures w14:val="none"/>
    </w:rPr>
  </w:style>
  <w:style w:type="character" w:customStyle="1" w:styleId="Heading6Char">
    <w:name w:val="Heading 6 Char"/>
    <w:basedOn w:val="DefaultParagraphFont"/>
    <w:link w:val="Heading6"/>
    <w:uiPriority w:val="9"/>
    <w:semiHidden/>
    <w:rsid w:val="00C94794"/>
    <w:rPr>
      <w:rFonts w:eastAsiaTheme="majorEastAsia" w:cstheme="majorBidi"/>
      <w:i/>
      <w:iCs/>
      <w:color w:val="595959" w:themeColor="text1" w:themeTint="A6"/>
      <w:sz w:val="24"/>
      <w:szCs w:val="20"/>
      <w:lang w:val="en-GB"/>
      <w14:ligatures w14:val="none"/>
    </w:rPr>
  </w:style>
  <w:style w:type="character" w:customStyle="1" w:styleId="Heading7Char">
    <w:name w:val="Heading 7 Char"/>
    <w:basedOn w:val="DefaultParagraphFont"/>
    <w:link w:val="Heading7"/>
    <w:uiPriority w:val="9"/>
    <w:semiHidden/>
    <w:rsid w:val="00C94794"/>
    <w:rPr>
      <w:rFonts w:eastAsiaTheme="majorEastAsia" w:cstheme="majorBidi"/>
      <w:color w:val="595959" w:themeColor="text1" w:themeTint="A6"/>
      <w:sz w:val="24"/>
      <w:szCs w:val="20"/>
      <w:lang w:val="en-GB"/>
      <w14:ligatures w14:val="none"/>
    </w:rPr>
  </w:style>
  <w:style w:type="character" w:customStyle="1" w:styleId="Heading8Char">
    <w:name w:val="Heading 8 Char"/>
    <w:basedOn w:val="DefaultParagraphFont"/>
    <w:link w:val="Heading8"/>
    <w:uiPriority w:val="9"/>
    <w:semiHidden/>
    <w:rsid w:val="00C94794"/>
    <w:rPr>
      <w:rFonts w:eastAsiaTheme="majorEastAsia" w:cstheme="majorBidi"/>
      <w:i/>
      <w:iCs/>
      <w:color w:val="272727" w:themeColor="text1" w:themeTint="D8"/>
      <w:sz w:val="24"/>
      <w:szCs w:val="20"/>
      <w:lang w:val="en-GB"/>
      <w14:ligatures w14:val="none"/>
    </w:rPr>
  </w:style>
  <w:style w:type="character" w:customStyle="1" w:styleId="Heading9Char">
    <w:name w:val="Heading 9 Char"/>
    <w:basedOn w:val="DefaultParagraphFont"/>
    <w:link w:val="Heading9"/>
    <w:uiPriority w:val="9"/>
    <w:semiHidden/>
    <w:rsid w:val="00C94794"/>
    <w:rPr>
      <w:rFonts w:eastAsiaTheme="majorEastAsia" w:cstheme="majorBidi"/>
      <w:color w:val="272727" w:themeColor="text1" w:themeTint="D8"/>
      <w:sz w:val="24"/>
      <w:szCs w:val="20"/>
      <w:lang w:val="en-GB"/>
      <w14:ligatures w14:val="none"/>
    </w:rPr>
  </w:style>
  <w:style w:type="paragraph" w:styleId="Title">
    <w:name w:val="Title"/>
    <w:basedOn w:val="Normal"/>
    <w:next w:val="Normal"/>
    <w:link w:val="TitleChar"/>
    <w:uiPriority w:val="10"/>
    <w:qFormat/>
    <w:rsid w:val="00C947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794"/>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9479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794"/>
    <w:rPr>
      <w:rFonts w:eastAsiaTheme="majorEastAsia" w:cstheme="majorBidi"/>
      <w:color w:val="595959" w:themeColor="text1" w:themeTint="A6"/>
      <w:spacing w:val="15"/>
      <w:sz w:val="28"/>
      <w:szCs w:val="28"/>
      <w:lang w:val="en-GB"/>
      <w14:ligatures w14:val="none"/>
    </w:rPr>
  </w:style>
  <w:style w:type="paragraph" w:styleId="Quote">
    <w:name w:val="Quote"/>
    <w:basedOn w:val="Normal"/>
    <w:next w:val="Normal"/>
    <w:link w:val="QuoteChar"/>
    <w:uiPriority w:val="29"/>
    <w:qFormat/>
    <w:rsid w:val="00C947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4794"/>
    <w:rPr>
      <w:rFonts w:ascii="Times New Roman" w:hAnsi="Times New Roman" w:cs="Arial"/>
      <w:i/>
      <w:iCs/>
      <w:color w:val="404040" w:themeColor="text1" w:themeTint="BF"/>
      <w:sz w:val="24"/>
      <w:szCs w:val="20"/>
      <w:lang w:val="en-GB"/>
      <w14:ligatures w14:val="none"/>
    </w:rPr>
  </w:style>
  <w:style w:type="paragraph" w:styleId="ListParagraph">
    <w:name w:val="List Paragraph"/>
    <w:basedOn w:val="Normal"/>
    <w:uiPriority w:val="34"/>
    <w:qFormat/>
    <w:rsid w:val="00C94794"/>
    <w:pPr>
      <w:ind w:left="720"/>
      <w:contextualSpacing/>
    </w:pPr>
  </w:style>
  <w:style w:type="character" w:styleId="IntenseEmphasis">
    <w:name w:val="Intense Emphasis"/>
    <w:basedOn w:val="DefaultParagraphFont"/>
    <w:uiPriority w:val="21"/>
    <w:qFormat/>
    <w:rsid w:val="00C94794"/>
    <w:rPr>
      <w:i/>
      <w:iCs/>
      <w:color w:val="2F5496" w:themeColor="accent1" w:themeShade="BF"/>
    </w:rPr>
  </w:style>
  <w:style w:type="paragraph" w:styleId="IntenseQuote">
    <w:name w:val="Intense Quote"/>
    <w:basedOn w:val="Normal"/>
    <w:next w:val="Normal"/>
    <w:link w:val="IntenseQuoteChar"/>
    <w:uiPriority w:val="30"/>
    <w:qFormat/>
    <w:rsid w:val="00C947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4794"/>
    <w:rPr>
      <w:rFonts w:ascii="Times New Roman" w:hAnsi="Times New Roman" w:cs="Arial"/>
      <w:i/>
      <w:iCs/>
      <w:color w:val="2F5496" w:themeColor="accent1" w:themeShade="BF"/>
      <w:sz w:val="24"/>
      <w:szCs w:val="20"/>
      <w:lang w:val="en-GB"/>
      <w14:ligatures w14:val="none"/>
    </w:rPr>
  </w:style>
  <w:style w:type="character" w:styleId="IntenseReference">
    <w:name w:val="Intense Reference"/>
    <w:basedOn w:val="DefaultParagraphFont"/>
    <w:uiPriority w:val="32"/>
    <w:qFormat/>
    <w:rsid w:val="00C94794"/>
    <w:rPr>
      <w:b/>
      <w:bCs/>
      <w:smallCaps/>
      <w:color w:val="2F5496" w:themeColor="accent1" w:themeShade="BF"/>
      <w:spacing w:val="5"/>
    </w:rPr>
  </w:style>
  <w:style w:type="paragraph" w:styleId="Header">
    <w:name w:val="header"/>
    <w:basedOn w:val="Normal"/>
    <w:link w:val="HeaderChar"/>
    <w:uiPriority w:val="99"/>
    <w:unhideWhenUsed/>
    <w:rsid w:val="001E6C46"/>
    <w:pPr>
      <w:tabs>
        <w:tab w:val="center" w:pos="4680"/>
        <w:tab w:val="right" w:pos="9360"/>
      </w:tabs>
    </w:pPr>
  </w:style>
  <w:style w:type="character" w:customStyle="1" w:styleId="HeaderChar">
    <w:name w:val="Header Char"/>
    <w:basedOn w:val="DefaultParagraphFont"/>
    <w:link w:val="Header"/>
    <w:uiPriority w:val="99"/>
    <w:rsid w:val="001E6C46"/>
    <w:rPr>
      <w:kern w:val="2"/>
      <w:sz w:val="24"/>
      <w:szCs w:val="24"/>
      <w:lang w:val="en-GB"/>
    </w:rPr>
  </w:style>
  <w:style w:type="paragraph" w:styleId="Footer">
    <w:name w:val="footer"/>
    <w:basedOn w:val="Normal"/>
    <w:link w:val="FooterChar"/>
    <w:uiPriority w:val="99"/>
    <w:unhideWhenUsed/>
    <w:rsid w:val="001E6C46"/>
    <w:pPr>
      <w:tabs>
        <w:tab w:val="center" w:pos="4680"/>
        <w:tab w:val="right" w:pos="9360"/>
      </w:tabs>
    </w:pPr>
  </w:style>
  <w:style w:type="character" w:customStyle="1" w:styleId="FooterChar">
    <w:name w:val="Footer Char"/>
    <w:basedOn w:val="DefaultParagraphFont"/>
    <w:link w:val="Footer"/>
    <w:uiPriority w:val="99"/>
    <w:rsid w:val="001E6C46"/>
    <w:rPr>
      <w:kern w:val="2"/>
      <w:sz w:val="24"/>
      <w:szCs w:val="24"/>
      <w:lang w:val="en-GB"/>
    </w:rPr>
  </w:style>
  <w:style w:type="table" w:styleId="TableGrid">
    <w:name w:val="Table Grid"/>
    <w:basedOn w:val="TableNormal"/>
    <w:uiPriority w:val="39"/>
    <w:rsid w:val="00A12F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1EDE"/>
    <w:rPr>
      <w:rFonts w:ascii="Times New Roman" w:hAnsi="Times New Roman" w:cs="Times New Roman"/>
    </w:rPr>
  </w:style>
  <w:style w:type="paragraph" w:customStyle="1" w:styleId="Style1">
    <w:name w:val="Style1"/>
    <w:basedOn w:val="Heading1"/>
    <w:link w:val="Style1Char"/>
    <w:qFormat/>
    <w:rsid w:val="00D25474"/>
    <w:pPr>
      <w:spacing w:line="360" w:lineRule="auto"/>
    </w:pPr>
    <w:rPr>
      <w:rFonts w:ascii="Arial" w:hAnsi="Arial" w:cs="Arial"/>
      <w:b/>
      <w:bCs/>
      <w:sz w:val="28"/>
      <w:szCs w:val="28"/>
    </w:rPr>
  </w:style>
  <w:style w:type="character" w:customStyle="1" w:styleId="Style1Char">
    <w:name w:val="Style1 Char"/>
    <w:basedOn w:val="Heading1Char"/>
    <w:link w:val="Style1"/>
    <w:rsid w:val="00D25474"/>
    <w:rPr>
      <w:rFonts w:ascii="Arial" w:eastAsiaTheme="majorEastAsia" w:hAnsi="Arial" w:cs="Arial"/>
      <w:b/>
      <w:bCs/>
      <w:color w:val="2F5496" w:themeColor="accent1" w:themeShade="BF"/>
      <w:kern w:val="2"/>
      <w:sz w:val="28"/>
      <w:szCs w:val="28"/>
      <w:lang w:val="en-GB"/>
      <w14:ligatures w14:val="none"/>
    </w:rPr>
  </w:style>
  <w:style w:type="paragraph" w:customStyle="1" w:styleId="Style2">
    <w:name w:val="Style2"/>
    <w:basedOn w:val="Heading2"/>
    <w:link w:val="Style2Char"/>
    <w:qFormat/>
    <w:rsid w:val="00D25474"/>
    <w:pPr>
      <w:spacing w:line="360" w:lineRule="auto"/>
    </w:pPr>
    <w:rPr>
      <w:rFonts w:ascii="Arial" w:hAnsi="Arial" w:cs="Arial"/>
      <w:sz w:val="26"/>
      <w:szCs w:val="26"/>
      <w:lang w:val="en-CA"/>
    </w:rPr>
  </w:style>
  <w:style w:type="character" w:customStyle="1" w:styleId="Style2Char">
    <w:name w:val="Style2 Char"/>
    <w:basedOn w:val="Heading2Char"/>
    <w:link w:val="Style2"/>
    <w:rsid w:val="00D25474"/>
    <w:rPr>
      <w:rFonts w:ascii="Arial" w:eastAsiaTheme="majorEastAsia" w:hAnsi="Arial" w:cs="Arial"/>
      <w:color w:val="2F5496" w:themeColor="accent1" w:themeShade="BF"/>
      <w:kern w:val="2"/>
      <w:sz w:val="26"/>
      <w:szCs w:val="26"/>
      <w:lang w:val="en-GB"/>
      <w14:ligatures w14:val="none"/>
    </w:rPr>
  </w:style>
  <w:style w:type="paragraph" w:styleId="TOCHeading">
    <w:name w:val="TOC Heading"/>
    <w:basedOn w:val="Heading1"/>
    <w:next w:val="Normal"/>
    <w:uiPriority w:val="39"/>
    <w:unhideWhenUsed/>
    <w:qFormat/>
    <w:rsid w:val="00C4642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6427"/>
    <w:pPr>
      <w:spacing w:after="100"/>
    </w:pPr>
  </w:style>
  <w:style w:type="paragraph" w:styleId="TOC2">
    <w:name w:val="toc 2"/>
    <w:basedOn w:val="Normal"/>
    <w:next w:val="Normal"/>
    <w:autoRedefine/>
    <w:uiPriority w:val="39"/>
    <w:unhideWhenUsed/>
    <w:rsid w:val="00C46427"/>
    <w:pPr>
      <w:spacing w:after="100"/>
      <w:ind w:left="240"/>
    </w:pPr>
  </w:style>
  <w:style w:type="character" w:styleId="Hyperlink">
    <w:name w:val="Hyperlink"/>
    <w:basedOn w:val="DefaultParagraphFont"/>
    <w:uiPriority w:val="99"/>
    <w:unhideWhenUsed/>
    <w:rsid w:val="00C46427"/>
    <w:rPr>
      <w:color w:val="0563C1" w:themeColor="hyperlink"/>
      <w:u w:val="single"/>
    </w:rPr>
  </w:style>
  <w:style w:type="character" w:styleId="UnresolvedMention">
    <w:name w:val="Unresolved Mention"/>
    <w:basedOn w:val="DefaultParagraphFont"/>
    <w:uiPriority w:val="99"/>
    <w:semiHidden/>
    <w:unhideWhenUsed/>
    <w:rsid w:val="006249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021B3-705D-4882-A9FB-90EB00E02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7201</Words>
  <Characters>41051</Characters>
  <Application>Microsoft Office Word</Application>
  <DocSecurity>0</DocSecurity>
  <Lines>342</Lines>
  <Paragraphs>96</Paragraphs>
  <ScaleCrop>false</ScaleCrop>
  <Company/>
  <LinksUpToDate>false</LinksUpToDate>
  <CharactersWithSpaces>48156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2025-11-17T10:17:00Z</dcterms:created>
  <dcterms:modified xsi:type="dcterms:W3CDTF">2025-12-15T18:30:00Z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87304af1-36ef-42c0-8252-e6f319e07824</vt:lpwstr>
  </property>
</Properties>
</file>