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E28191" w14:textId="77777777" w:rsidR="00D538B0" w:rsidRPr="00B55F5B" w:rsidRDefault="00D538B0" w:rsidP="00D538B0">
      <w:pPr>
        <w:spacing w:line="360" w:lineRule="auto"/>
        <w:jc w:val="both"/>
        <w:rPr>
          <w:rFonts w:ascii="Arial" w:hAnsi="Arial" w:cs="Arial"/>
          <w:sz w:val="32"/>
          <w:szCs w:val="32"/>
        </w:rPr>
      </w:pPr>
      <w:r w:rsidRPr="003B0424">
        <w:rPr>
          <w:rFonts w:ascii="Arial" w:hAnsi="Arial" w:cs="Arial"/>
          <w:b/>
          <w:bCs/>
          <w:sz w:val="32"/>
          <w:szCs w:val="32"/>
        </w:rPr>
        <w:t>Programme:</w:t>
      </w:r>
      <w:r w:rsidRPr="00B55F5B">
        <w:rPr>
          <w:rFonts w:ascii="Arial" w:hAnsi="Arial" w:cs="Arial"/>
          <w:sz w:val="32"/>
          <w:szCs w:val="32"/>
        </w:rPr>
        <w:t xml:space="preserve"> BSc (Hons) Health and Social Care</w:t>
      </w:r>
    </w:p>
    <w:p w14:paraId="190505ED" w14:textId="5AFA39DB" w:rsidR="00D538B0" w:rsidRPr="00B55F5B" w:rsidRDefault="00D538B0" w:rsidP="00D538B0">
      <w:pPr>
        <w:spacing w:line="360" w:lineRule="auto"/>
        <w:jc w:val="both"/>
        <w:rPr>
          <w:rFonts w:ascii="Arial" w:hAnsi="Arial" w:cs="Arial"/>
          <w:sz w:val="32"/>
          <w:szCs w:val="32"/>
        </w:rPr>
      </w:pPr>
      <w:r w:rsidRPr="003B0424">
        <w:rPr>
          <w:rFonts w:ascii="Arial" w:hAnsi="Arial" w:cs="Arial"/>
          <w:b/>
          <w:bCs/>
          <w:sz w:val="32"/>
          <w:szCs w:val="32"/>
        </w:rPr>
        <w:t xml:space="preserve">Module name: </w:t>
      </w:r>
      <w:r w:rsidRPr="00B55F5B">
        <w:rPr>
          <w:rFonts w:ascii="Arial" w:hAnsi="Arial" w:cs="Arial"/>
          <w:sz w:val="32"/>
          <w:szCs w:val="32"/>
        </w:rPr>
        <w:t>Protecting and Supporting Families in</w:t>
      </w:r>
      <w:r w:rsidR="0013455C" w:rsidRPr="00B55F5B">
        <w:rPr>
          <w:rFonts w:ascii="Arial" w:hAnsi="Arial" w:cs="Arial"/>
          <w:sz w:val="32"/>
          <w:szCs w:val="32"/>
        </w:rPr>
        <w:t xml:space="preserve"> </w:t>
      </w:r>
      <w:r w:rsidRPr="00B55F5B">
        <w:rPr>
          <w:rFonts w:ascii="Arial" w:hAnsi="Arial" w:cs="Arial"/>
          <w:sz w:val="32"/>
          <w:szCs w:val="32"/>
        </w:rPr>
        <w:t xml:space="preserve">Health and </w:t>
      </w:r>
      <w:r w:rsidR="0013455C" w:rsidRPr="00B55F5B">
        <w:rPr>
          <w:rFonts w:ascii="Arial" w:hAnsi="Arial" w:cs="Arial"/>
          <w:sz w:val="32"/>
          <w:szCs w:val="32"/>
        </w:rPr>
        <w:t xml:space="preserve">Social </w:t>
      </w:r>
      <w:r w:rsidRPr="00B55F5B">
        <w:rPr>
          <w:rFonts w:ascii="Arial" w:hAnsi="Arial" w:cs="Arial"/>
          <w:sz w:val="32"/>
          <w:szCs w:val="32"/>
        </w:rPr>
        <w:t>Care</w:t>
      </w:r>
    </w:p>
    <w:p w14:paraId="70C107F9" w14:textId="77777777" w:rsidR="00D538B0" w:rsidRPr="00B55F5B" w:rsidRDefault="00D538B0" w:rsidP="00D538B0">
      <w:pPr>
        <w:spacing w:line="360" w:lineRule="auto"/>
        <w:jc w:val="both"/>
        <w:rPr>
          <w:rFonts w:ascii="Arial" w:hAnsi="Arial" w:cs="Arial"/>
          <w:sz w:val="32"/>
          <w:szCs w:val="32"/>
        </w:rPr>
      </w:pPr>
      <w:r w:rsidRPr="003B0424">
        <w:rPr>
          <w:rFonts w:ascii="Arial" w:hAnsi="Arial" w:cs="Arial"/>
          <w:b/>
          <w:bCs/>
          <w:sz w:val="32"/>
          <w:szCs w:val="32"/>
        </w:rPr>
        <w:t>Module Code:</w:t>
      </w:r>
      <w:r w:rsidRPr="00B55F5B">
        <w:rPr>
          <w:rFonts w:ascii="Arial" w:hAnsi="Arial" w:cs="Arial"/>
          <w:sz w:val="32"/>
          <w:szCs w:val="32"/>
        </w:rPr>
        <w:t xml:space="preserve"> (BMHP5021_LON)</w:t>
      </w:r>
    </w:p>
    <w:p w14:paraId="5D995004" w14:textId="2A390AAE" w:rsidR="0060416A" w:rsidRPr="00B55F5B" w:rsidRDefault="0060416A" w:rsidP="00D538B0">
      <w:pPr>
        <w:spacing w:line="360" w:lineRule="auto"/>
        <w:jc w:val="both"/>
        <w:rPr>
          <w:rFonts w:ascii="Arial" w:hAnsi="Arial" w:cs="Arial"/>
          <w:sz w:val="32"/>
          <w:szCs w:val="32"/>
        </w:rPr>
      </w:pPr>
      <w:r w:rsidRPr="003B0424">
        <w:rPr>
          <w:rFonts w:ascii="Arial" w:hAnsi="Arial" w:cs="Arial"/>
          <w:b/>
          <w:bCs/>
          <w:sz w:val="32"/>
          <w:szCs w:val="32"/>
        </w:rPr>
        <w:t>Name:</w:t>
      </w:r>
      <w:r w:rsidRPr="00B55F5B">
        <w:rPr>
          <w:rFonts w:ascii="Arial" w:hAnsi="Arial" w:cs="Arial"/>
          <w:sz w:val="32"/>
          <w:szCs w:val="32"/>
        </w:rPr>
        <w:t xml:space="preserve"> Noemi Putz (</w:t>
      </w:r>
      <w:r w:rsidR="00030A56" w:rsidRPr="00B55F5B">
        <w:rPr>
          <w:rFonts w:ascii="Arial" w:hAnsi="Arial" w:cs="Arial"/>
          <w:sz w:val="32"/>
          <w:szCs w:val="32"/>
        </w:rPr>
        <w:t>2336726)</w:t>
      </w:r>
    </w:p>
    <w:p w14:paraId="765E107B" w14:textId="6AB75C0C" w:rsidR="00030A56" w:rsidRPr="00B55F5B" w:rsidRDefault="00030A56" w:rsidP="00D538B0">
      <w:pPr>
        <w:spacing w:line="360" w:lineRule="auto"/>
        <w:jc w:val="both"/>
        <w:rPr>
          <w:rFonts w:ascii="Arial" w:hAnsi="Arial" w:cs="Arial"/>
          <w:sz w:val="32"/>
          <w:szCs w:val="32"/>
        </w:rPr>
      </w:pPr>
      <w:r w:rsidRPr="003B0424">
        <w:rPr>
          <w:rFonts w:ascii="Arial" w:hAnsi="Arial" w:cs="Arial"/>
          <w:b/>
          <w:bCs/>
          <w:sz w:val="32"/>
          <w:szCs w:val="32"/>
        </w:rPr>
        <w:t xml:space="preserve">Lecture: </w:t>
      </w:r>
      <w:r w:rsidR="00B13AC8" w:rsidRPr="00B55F5B">
        <w:rPr>
          <w:rFonts w:ascii="Arial" w:hAnsi="Arial" w:cs="Arial"/>
          <w:sz w:val="32"/>
          <w:szCs w:val="32"/>
        </w:rPr>
        <w:t>Amanda Jones</w:t>
      </w:r>
    </w:p>
    <w:p w14:paraId="4E0AD0D1" w14:textId="639E6398" w:rsidR="00D538B0" w:rsidRPr="00B55F5B" w:rsidRDefault="00D538B0" w:rsidP="00A80F19">
      <w:pPr>
        <w:spacing w:line="360" w:lineRule="auto"/>
        <w:jc w:val="both"/>
        <w:rPr>
          <w:rFonts w:ascii="Arial" w:hAnsi="Arial" w:cs="Arial"/>
          <w:sz w:val="32"/>
          <w:szCs w:val="32"/>
        </w:rPr>
      </w:pPr>
      <w:r w:rsidRPr="003B0424">
        <w:rPr>
          <w:rFonts w:ascii="Arial" w:hAnsi="Arial" w:cs="Arial"/>
          <w:b/>
          <w:bCs/>
          <w:sz w:val="32"/>
          <w:szCs w:val="32"/>
        </w:rPr>
        <w:t xml:space="preserve">Assignment Title: </w:t>
      </w:r>
      <w:r w:rsidR="00454629" w:rsidRPr="00B55F5B">
        <w:rPr>
          <w:rFonts w:ascii="Arial" w:hAnsi="Arial" w:cs="Arial"/>
          <w:sz w:val="32"/>
          <w:szCs w:val="32"/>
        </w:rPr>
        <w:t>Written Report</w:t>
      </w:r>
      <w:r w:rsidR="006C48E7" w:rsidRPr="00B55F5B">
        <w:rPr>
          <w:rFonts w:ascii="Arial" w:hAnsi="Arial" w:cs="Arial"/>
          <w:sz w:val="32"/>
          <w:szCs w:val="32"/>
        </w:rPr>
        <w:t xml:space="preserve"> </w:t>
      </w:r>
    </w:p>
    <w:p w14:paraId="7E1D57E9" w14:textId="77777777" w:rsidR="00D538B0" w:rsidRDefault="00D538B0" w:rsidP="00A80F19">
      <w:pPr>
        <w:spacing w:line="360" w:lineRule="auto"/>
        <w:jc w:val="both"/>
        <w:rPr>
          <w:rFonts w:ascii="Arial" w:hAnsi="Arial" w:cs="Arial"/>
          <w:sz w:val="22"/>
          <w:szCs w:val="22"/>
        </w:rPr>
      </w:pPr>
    </w:p>
    <w:p w14:paraId="2E67D516" w14:textId="77777777" w:rsidR="00D538B0" w:rsidRDefault="00D538B0" w:rsidP="00A80F19">
      <w:pPr>
        <w:spacing w:line="360" w:lineRule="auto"/>
        <w:jc w:val="both"/>
        <w:rPr>
          <w:rFonts w:ascii="Arial" w:hAnsi="Arial" w:cs="Arial"/>
          <w:sz w:val="22"/>
          <w:szCs w:val="22"/>
        </w:rPr>
      </w:pPr>
    </w:p>
    <w:p w14:paraId="54197B8C" w14:textId="77777777" w:rsidR="00D538B0" w:rsidRDefault="00D538B0" w:rsidP="00A80F19">
      <w:pPr>
        <w:spacing w:line="360" w:lineRule="auto"/>
        <w:jc w:val="both"/>
        <w:rPr>
          <w:rFonts w:ascii="Arial" w:hAnsi="Arial" w:cs="Arial"/>
          <w:sz w:val="22"/>
          <w:szCs w:val="22"/>
        </w:rPr>
      </w:pPr>
    </w:p>
    <w:p w14:paraId="0325566A" w14:textId="60666ABB" w:rsidR="00CE44BA" w:rsidRPr="003B0424" w:rsidRDefault="00CE44BA" w:rsidP="00BE71B4">
      <w:pPr>
        <w:spacing w:line="360" w:lineRule="auto"/>
        <w:jc w:val="center"/>
        <w:rPr>
          <w:rFonts w:ascii="Arial" w:hAnsi="Arial" w:cs="Arial"/>
          <w:b/>
          <w:bCs/>
          <w:sz w:val="40"/>
          <w:szCs w:val="40"/>
        </w:rPr>
      </w:pPr>
      <w:r w:rsidRPr="003B0424">
        <w:rPr>
          <w:rFonts w:ascii="Arial" w:hAnsi="Arial" w:cs="Arial"/>
          <w:b/>
          <w:bCs/>
          <w:sz w:val="40"/>
          <w:szCs w:val="40"/>
        </w:rPr>
        <w:t>An Analysis of How Local Authority Websites Signpost Early Help Support for Families in England</w:t>
      </w:r>
    </w:p>
    <w:p w14:paraId="4A70DE2C" w14:textId="77777777" w:rsidR="00CE44BA" w:rsidRDefault="00CE44BA" w:rsidP="00A80F19">
      <w:pPr>
        <w:spacing w:line="360" w:lineRule="auto"/>
        <w:jc w:val="both"/>
        <w:rPr>
          <w:rFonts w:ascii="Arial" w:hAnsi="Arial" w:cs="Arial"/>
          <w:sz w:val="22"/>
          <w:szCs w:val="22"/>
        </w:rPr>
      </w:pPr>
    </w:p>
    <w:p w14:paraId="498F0D1D" w14:textId="77777777" w:rsidR="00BE71B4" w:rsidRDefault="00BE71B4" w:rsidP="00A80F19">
      <w:pPr>
        <w:spacing w:line="360" w:lineRule="auto"/>
        <w:jc w:val="both"/>
        <w:rPr>
          <w:rFonts w:ascii="Arial" w:hAnsi="Arial" w:cs="Arial"/>
          <w:sz w:val="22"/>
          <w:szCs w:val="22"/>
        </w:rPr>
      </w:pPr>
    </w:p>
    <w:p w14:paraId="0F8549FB" w14:textId="77777777" w:rsidR="00BE71B4" w:rsidRDefault="00BE71B4" w:rsidP="00A80F19">
      <w:pPr>
        <w:spacing w:line="360" w:lineRule="auto"/>
        <w:jc w:val="both"/>
        <w:rPr>
          <w:rFonts w:ascii="Arial" w:hAnsi="Arial" w:cs="Arial"/>
          <w:sz w:val="22"/>
          <w:szCs w:val="22"/>
        </w:rPr>
      </w:pPr>
    </w:p>
    <w:p w14:paraId="0212037C" w14:textId="77777777" w:rsidR="00BE71B4" w:rsidRDefault="00BE71B4" w:rsidP="00A80F19">
      <w:pPr>
        <w:spacing w:line="360" w:lineRule="auto"/>
        <w:jc w:val="both"/>
        <w:rPr>
          <w:rFonts w:ascii="Arial" w:hAnsi="Arial" w:cs="Arial"/>
          <w:sz w:val="22"/>
          <w:szCs w:val="22"/>
        </w:rPr>
      </w:pPr>
    </w:p>
    <w:p w14:paraId="429DB3F5" w14:textId="77777777" w:rsidR="00BE71B4" w:rsidRDefault="00BE71B4" w:rsidP="00A80F19">
      <w:pPr>
        <w:spacing w:line="360" w:lineRule="auto"/>
        <w:jc w:val="both"/>
        <w:rPr>
          <w:rFonts w:ascii="Arial" w:hAnsi="Arial" w:cs="Arial"/>
          <w:sz w:val="22"/>
          <w:szCs w:val="22"/>
        </w:rPr>
      </w:pPr>
    </w:p>
    <w:p w14:paraId="21CE34E1" w14:textId="77777777" w:rsidR="00BE71B4" w:rsidRDefault="00BE71B4" w:rsidP="00A80F19">
      <w:pPr>
        <w:spacing w:line="360" w:lineRule="auto"/>
        <w:jc w:val="both"/>
        <w:rPr>
          <w:rFonts w:ascii="Arial" w:hAnsi="Arial" w:cs="Arial"/>
          <w:sz w:val="22"/>
          <w:szCs w:val="22"/>
        </w:rPr>
      </w:pPr>
    </w:p>
    <w:p w14:paraId="72D99A3E" w14:textId="77777777" w:rsidR="00BE71B4" w:rsidRDefault="00BE71B4" w:rsidP="00A80F19">
      <w:pPr>
        <w:spacing w:line="360" w:lineRule="auto"/>
        <w:jc w:val="both"/>
        <w:rPr>
          <w:rFonts w:ascii="Arial" w:hAnsi="Arial" w:cs="Arial"/>
          <w:sz w:val="22"/>
          <w:szCs w:val="22"/>
        </w:rPr>
      </w:pPr>
    </w:p>
    <w:p w14:paraId="71A2FB0A" w14:textId="77777777" w:rsidR="00B7754C" w:rsidRDefault="00E53F71" w:rsidP="00A80F19">
      <w:pPr>
        <w:spacing w:line="360" w:lineRule="auto"/>
        <w:jc w:val="both"/>
        <w:rPr>
          <w:rFonts w:ascii="Arial" w:hAnsi="Arial" w:cs="Arial"/>
          <w:sz w:val="22"/>
          <w:szCs w:val="22"/>
        </w:rPr>
      </w:pPr>
      <w:r>
        <w:rPr>
          <w:rFonts w:ascii="Arial" w:hAnsi="Arial" w:cs="Arial"/>
          <w:sz w:val="22"/>
          <w:szCs w:val="22"/>
        </w:rPr>
        <w:t>11</w:t>
      </w:r>
      <w:r w:rsidRPr="00E53F71">
        <w:rPr>
          <w:rFonts w:ascii="Arial" w:hAnsi="Arial" w:cs="Arial"/>
          <w:sz w:val="22"/>
          <w:szCs w:val="22"/>
          <w:vertAlign w:val="superscript"/>
        </w:rPr>
        <w:t>th</w:t>
      </w:r>
      <w:r>
        <w:rPr>
          <w:rFonts w:ascii="Arial" w:hAnsi="Arial" w:cs="Arial"/>
          <w:sz w:val="22"/>
          <w:szCs w:val="22"/>
        </w:rPr>
        <w:t xml:space="preserve"> of December 2025</w:t>
      </w:r>
    </w:p>
    <w:sdt>
      <w:sdtPr>
        <w:rPr>
          <w:sz w:val="30"/>
          <w:szCs w:val="30"/>
        </w:rPr>
        <w:id w:val="1459529397"/>
        <w:docPartObj>
          <w:docPartGallery w:val="Table of Contents"/>
          <w:docPartUnique/>
        </w:docPartObj>
      </w:sdtPr>
      <w:sdtEndPr>
        <w:rPr>
          <w:rFonts w:asciiTheme="minorHAnsi" w:eastAsiaTheme="minorEastAsia" w:hAnsiTheme="minorHAnsi" w:cstheme="minorBidi"/>
          <w:noProof/>
          <w:color w:val="auto"/>
          <w:kern w:val="2"/>
          <w:lang w:val="en-GB" w:eastAsia="en-GB"/>
          <w14:ligatures w14:val="standardContextual"/>
        </w:rPr>
      </w:sdtEndPr>
      <w:sdtContent>
        <w:p w14:paraId="326FEDFA" w14:textId="77777777" w:rsidR="00534AD6" w:rsidRPr="00990302" w:rsidRDefault="00534AD6" w:rsidP="00990302">
          <w:pPr>
            <w:pStyle w:val="TOCHeading"/>
            <w:spacing w:line="480" w:lineRule="auto"/>
            <w:rPr>
              <w:sz w:val="30"/>
              <w:szCs w:val="30"/>
            </w:rPr>
          </w:pPr>
          <w:r w:rsidRPr="00990302">
            <w:rPr>
              <w:sz w:val="30"/>
              <w:szCs w:val="30"/>
            </w:rPr>
            <w:t>Table of Contents</w:t>
          </w:r>
        </w:p>
        <w:p w14:paraId="61981956" w14:textId="11612A5B" w:rsidR="00534AD6" w:rsidRPr="00990302" w:rsidRDefault="00534AD6" w:rsidP="00990302">
          <w:pPr>
            <w:pStyle w:val="TOC1"/>
            <w:tabs>
              <w:tab w:val="right" w:leader="dot" w:pos="9016"/>
            </w:tabs>
            <w:spacing w:line="480" w:lineRule="auto"/>
            <w:rPr>
              <w:noProof/>
              <w:sz w:val="30"/>
              <w:szCs w:val="30"/>
            </w:rPr>
          </w:pPr>
          <w:r w:rsidRPr="00990302">
            <w:rPr>
              <w:sz w:val="30"/>
              <w:szCs w:val="30"/>
            </w:rPr>
            <w:fldChar w:fldCharType="begin"/>
          </w:r>
          <w:r w:rsidRPr="00990302">
            <w:rPr>
              <w:sz w:val="30"/>
              <w:szCs w:val="30"/>
            </w:rPr>
            <w:instrText xml:space="preserve"> TOC \o "1-3" \h \z \u </w:instrText>
          </w:r>
          <w:r w:rsidRPr="00990302">
            <w:rPr>
              <w:sz w:val="30"/>
              <w:szCs w:val="30"/>
            </w:rPr>
            <w:fldChar w:fldCharType="separate"/>
          </w:r>
        </w:p>
        <w:p w14:paraId="2310D3BB" w14:textId="6CC0635C" w:rsidR="00534AD6" w:rsidRPr="00990302" w:rsidRDefault="00534AD6" w:rsidP="00990302">
          <w:pPr>
            <w:pStyle w:val="TOC1"/>
            <w:tabs>
              <w:tab w:val="right" w:leader="dot" w:pos="9016"/>
            </w:tabs>
            <w:spacing w:line="480" w:lineRule="auto"/>
            <w:rPr>
              <w:noProof/>
              <w:sz w:val="30"/>
              <w:szCs w:val="30"/>
            </w:rPr>
          </w:pPr>
          <w:hyperlink w:anchor="_Toc216346701" w:history="1">
            <w:r w:rsidRPr="00990302">
              <w:rPr>
                <w:rStyle w:val="Hyperlink"/>
                <w:noProof/>
                <w:sz w:val="30"/>
                <w:szCs w:val="30"/>
              </w:rPr>
              <w:t>Introduction</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_Toc216346701 \h </w:instrText>
            </w:r>
            <w:r w:rsidRPr="00990302">
              <w:rPr>
                <w:noProof/>
                <w:webHidden/>
                <w:sz w:val="30"/>
                <w:szCs w:val="30"/>
              </w:rPr>
            </w:r>
            <w:r w:rsidRPr="00990302">
              <w:rPr>
                <w:noProof/>
                <w:webHidden/>
                <w:sz w:val="30"/>
                <w:szCs w:val="30"/>
              </w:rPr>
              <w:fldChar w:fldCharType="separate"/>
            </w:r>
            <w:r w:rsidRPr="00990302">
              <w:rPr>
                <w:noProof/>
                <w:webHidden/>
                <w:sz w:val="30"/>
                <w:szCs w:val="30"/>
              </w:rPr>
              <w:t>2</w:t>
            </w:r>
            <w:r w:rsidRPr="00990302">
              <w:rPr>
                <w:noProof/>
                <w:webHidden/>
                <w:sz w:val="30"/>
                <w:szCs w:val="30"/>
              </w:rPr>
              <w:fldChar w:fldCharType="end"/>
            </w:r>
          </w:hyperlink>
        </w:p>
        <w:p w14:paraId="57977E74" w14:textId="2C99C5BE" w:rsidR="00534AD6" w:rsidRPr="00990302" w:rsidRDefault="00534AD6" w:rsidP="00990302">
          <w:pPr>
            <w:pStyle w:val="TOC1"/>
            <w:tabs>
              <w:tab w:val="right" w:leader="dot" w:pos="9016"/>
            </w:tabs>
            <w:spacing w:line="480" w:lineRule="auto"/>
            <w:rPr>
              <w:noProof/>
              <w:sz w:val="30"/>
              <w:szCs w:val="30"/>
            </w:rPr>
          </w:pPr>
          <w:hyperlink w:anchor="_Toc216346702" w:history="1">
            <w:r w:rsidRPr="00990302">
              <w:rPr>
                <w:rStyle w:val="Hyperlink"/>
                <w:noProof/>
                <w:sz w:val="30"/>
                <w:szCs w:val="30"/>
              </w:rPr>
              <w:t>Understanding the Early Help System</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_Toc216346702 \h </w:instrText>
            </w:r>
            <w:r w:rsidRPr="00990302">
              <w:rPr>
                <w:noProof/>
                <w:webHidden/>
                <w:sz w:val="30"/>
                <w:szCs w:val="30"/>
              </w:rPr>
            </w:r>
            <w:r w:rsidRPr="00990302">
              <w:rPr>
                <w:noProof/>
                <w:webHidden/>
                <w:sz w:val="30"/>
                <w:szCs w:val="30"/>
              </w:rPr>
              <w:fldChar w:fldCharType="separate"/>
            </w:r>
            <w:r w:rsidRPr="00990302">
              <w:rPr>
                <w:noProof/>
                <w:webHidden/>
                <w:sz w:val="30"/>
                <w:szCs w:val="30"/>
              </w:rPr>
              <w:t>2</w:t>
            </w:r>
            <w:r w:rsidRPr="00990302">
              <w:rPr>
                <w:noProof/>
                <w:webHidden/>
                <w:sz w:val="30"/>
                <w:szCs w:val="30"/>
              </w:rPr>
              <w:fldChar w:fldCharType="end"/>
            </w:r>
          </w:hyperlink>
        </w:p>
        <w:p w14:paraId="69DB19F4" w14:textId="4749723B" w:rsidR="00534AD6" w:rsidRPr="00990302" w:rsidRDefault="00534AD6" w:rsidP="00990302">
          <w:pPr>
            <w:pStyle w:val="TOC2"/>
            <w:tabs>
              <w:tab w:val="right" w:leader="dot" w:pos="9016"/>
            </w:tabs>
            <w:spacing w:line="480" w:lineRule="auto"/>
            <w:rPr>
              <w:noProof/>
              <w:sz w:val="30"/>
              <w:szCs w:val="30"/>
            </w:rPr>
          </w:pPr>
          <w:hyperlink w:anchor="_Toc216346703" w:history="1">
            <w:r w:rsidRPr="00990302">
              <w:rPr>
                <w:rStyle w:val="Hyperlink"/>
                <w:noProof/>
                <w:sz w:val="30"/>
                <w:szCs w:val="30"/>
              </w:rPr>
              <w:t>Purpose and Principles of Early Help</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_Toc216346703 \h </w:instrText>
            </w:r>
            <w:r w:rsidRPr="00990302">
              <w:rPr>
                <w:noProof/>
                <w:webHidden/>
                <w:sz w:val="30"/>
                <w:szCs w:val="30"/>
              </w:rPr>
            </w:r>
            <w:r w:rsidRPr="00990302">
              <w:rPr>
                <w:noProof/>
                <w:webHidden/>
                <w:sz w:val="30"/>
                <w:szCs w:val="30"/>
              </w:rPr>
              <w:fldChar w:fldCharType="separate"/>
            </w:r>
            <w:r w:rsidRPr="00990302">
              <w:rPr>
                <w:noProof/>
                <w:webHidden/>
                <w:sz w:val="30"/>
                <w:szCs w:val="30"/>
              </w:rPr>
              <w:t>2</w:t>
            </w:r>
            <w:r w:rsidRPr="00990302">
              <w:rPr>
                <w:noProof/>
                <w:webHidden/>
                <w:sz w:val="30"/>
                <w:szCs w:val="30"/>
              </w:rPr>
              <w:fldChar w:fldCharType="end"/>
            </w:r>
          </w:hyperlink>
        </w:p>
        <w:p w14:paraId="157FA279" w14:textId="47AD3B00" w:rsidR="00534AD6" w:rsidRPr="00990302" w:rsidRDefault="00534AD6" w:rsidP="00990302">
          <w:pPr>
            <w:pStyle w:val="TOC1"/>
            <w:tabs>
              <w:tab w:val="right" w:leader="dot" w:pos="9016"/>
            </w:tabs>
            <w:spacing w:line="480" w:lineRule="auto"/>
            <w:rPr>
              <w:noProof/>
              <w:sz w:val="30"/>
              <w:szCs w:val="30"/>
            </w:rPr>
          </w:pPr>
          <w:hyperlink w:anchor="_Toc216346704" w:history="1">
            <w:r w:rsidRPr="00990302">
              <w:rPr>
                <w:rStyle w:val="Hyperlink"/>
                <w:noProof/>
                <w:sz w:val="30"/>
                <w:szCs w:val="30"/>
              </w:rPr>
              <w:t>The Role of Multi-Agency Working in Early Help</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_Toc216346704 \h </w:instrText>
            </w:r>
            <w:r w:rsidRPr="00990302">
              <w:rPr>
                <w:noProof/>
                <w:webHidden/>
                <w:sz w:val="30"/>
                <w:szCs w:val="30"/>
              </w:rPr>
            </w:r>
            <w:r w:rsidRPr="00990302">
              <w:rPr>
                <w:noProof/>
                <w:webHidden/>
                <w:sz w:val="30"/>
                <w:szCs w:val="30"/>
              </w:rPr>
              <w:fldChar w:fldCharType="separate"/>
            </w:r>
            <w:r w:rsidRPr="00990302">
              <w:rPr>
                <w:noProof/>
                <w:webHidden/>
                <w:sz w:val="30"/>
                <w:szCs w:val="30"/>
              </w:rPr>
              <w:t>3</w:t>
            </w:r>
            <w:r w:rsidRPr="00990302">
              <w:rPr>
                <w:noProof/>
                <w:webHidden/>
                <w:sz w:val="30"/>
                <w:szCs w:val="30"/>
              </w:rPr>
              <w:fldChar w:fldCharType="end"/>
            </w:r>
          </w:hyperlink>
        </w:p>
        <w:p w14:paraId="5C88C6F5" w14:textId="7EB8DA7B" w:rsidR="00534AD6" w:rsidRPr="00990302" w:rsidRDefault="00534AD6" w:rsidP="00990302">
          <w:pPr>
            <w:pStyle w:val="TOC2"/>
            <w:tabs>
              <w:tab w:val="right" w:leader="dot" w:pos="9016"/>
            </w:tabs>
            <w:spacing w:line="480" w:lineRule="auto"/>
            <w:rPr>
              <w:noProof/>
              <w:sz w:val="30"/>
              <w:szCs w:val="30"/>
            </w:rPr>
          </w:pPr>
          <w:hyperlink w:anchor="_Toc216346705" w:history="1">
            <w:r w:rsidRPr="00990302">
              <w:rPr>
                <w:rStyle w:val="Hyperlink"/>
                <w:noProof/>
                <w:sz w:val="30"/>
                <w:szCs w:val="30"/>
              </w:rPr>
              <w:t>Benefits of Multi-Agency Working</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_Toc216346705 \h </w:instrText>
            </w:r>
            <w:r w:rsidRPr="00990302">
              <w:rPr>
                <w:noProof/>
                <w:webHidden/>
                <w:sz w:val="30"/>
                <w:szCs w:val="30"/>
              </w:rPr>
            </w:r>
            <w:r w:rsidRPr="00990302">
              <w:rPr>
                <w:noProof/>
                <w:webHidden/>
                <w:sz w:val="30"/>
                <w:szCs w:val="30"/>
              </w:rPr>
              <w:fldChar w:fldCharType="separate"/>
            </w:r>
            <w:r w:rsidRPr="00990302">
              <w:rPr>
                <w:noProof/>
                <w:webHidden/>
                <w:sz w:val="30"/>
                <w:szCs w:val="30"/>
              </w:rPr>
              <w:t>3</w:t>
            </w:r>
            <w:r w:rsidRPr="00990302">
              <w:rPr>
                <w:noProof/>
                <w:webHidden/>
                <w:sz w:val="30"/>
                <w:szCs w:val="30"/>
              </w:rPr>
              <w:fldChar w:fldCharType="end"/>
            </w:r>
          </w:hyperlink>
        </w:p>
        <w:p w14:paraId="06459E64" w14:textId="27F29A21" w:rsidR="00534AD6" w:rsidRPr="00990302" w:rsidRDefault="00534AD6" w:rsidP="00990302">
          <w:pPr>
            <w:pStyle w:val="TOC2"/>
            <w:tabs>
              <w:tab w:val="right" w:leader="dot" w:pos="9016"/>
            </w:tabs>
            <w:spacing w:line="480" w:lineRule="auto"/>
            <w:rPr>
              <w:noProof/>
              <w:sz w:val="30"/>
              <w:szCs w:val="30"/>
            </w:rPr>
          </w:pPr>
          <w:hyperlink w:anchor="_Toc216346706" w:history="1">
            <w:r w:rsidRPr="00990302">
              <w:rPr>
                <w:rStyle w:val="Hyperlink"/>
                <w:noProof/>
                <w:sz w:val="30"/>
                <w:szCs w:val="30"/>
              </w:rPr>
              <w:t>Challenges in Multi-Agency Working</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_Toc216346706 \h </w:instrText>
            </w:r>
            <w:r w:rsidRPr="00990302">
              <w:rPr>
                <w:noProof/>
                <w:webHidden/>
                <w:sz w:val="30"/>
                <w:szCs w:val="30"/>
              </w:rPr>
            </w:r>
            <w:r w:rsidRPr="00990302">
              <w:rPr>
                <w:noProof/>
                <w:webHidden/>
                <w:sz w:val="30"/>
                <w:szCs w:val="30"/>
              </w:rPr>
              <w:fldChar w:fldCharType="separate"/>
            </w:r>
            <w:r w:rsidRPr="00990302">
              <w:rPr>
                <w:noProof/>
                <w:webHidden/>
                <w:sz w:val="30"/>
                <w:szCs w:val="30"/>
              </w:rPr>
              <w:t>4</w:t>
            </w:r>
            <w:r w:rsidRPr="00990302">
              <w:rPr>
                <w:noProof/>
                <w:webHidden/>
                <w:sz w:val="30"/>
                <w:szCs w:val="30"/>
              </w:rPr>
              <w:fldChar w:fldCharType="end"/>
            </w:r>
          </w:hyperlink>
        </w:p>
        <w:p w14:paraId="37DA1FB2" w14:textId="3BA6235A" w:rsidR="00534AD6" w:rsidRPr="00990302" w:rsidRDefault="00534AD6" w:rsidP="00990302">
          <w:pPr>
            <w:pStyle w:val="TOC1"/>
            <w:tabs>
              <w:tab w:val="right" w:leader="dot" w:pos="9016"/>
            </w:tabs>
            <w:spacing w:line="480" w:lineRule="auto"/>
            <w:rPr>
              <w:noProof/>
              <w:sz w:val="30"/>
              <w:szCs w:val="30"/>
            </w:rPr>
          </w:pPr>
          <w:hyperlink w:anchor="_Toc216346707" w:history="1">
            <w:r w:rsidRPr="00990302">
              <w:rPr>
                <w:rStyle w:val="Hyperlink"/>
                <w:noProof/>
                <w:sz w:val="30"/>
                <w:szCs w:val="30"/>
              </w:rPr>
              <w:t>Evaluation of Local Authority Websites</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_Toc216346707 \h </w:instrText>
            </w:r>
            <w:r w:rsidRPr="00990302">
              <w:rPr>
                <w:noProof/>
                <w:webHidden/>
                <w:sz w:val="30"/>
                <w:szCs w:val="30"/>
              </w:rPr>
            </w:r>
            <w:r w:rsidRPr="00990302">
              <w:rPr>
                <w:noProof/>
                <w:webHidden/>
                <w:sz w:val="30"/>
                <w:szCs w:val="30"/>
              </w:rPr>
              <w:fldChar w:fldCharType="separate"/>
            </w:r>
            <w:r w:rsidRPr="00990302">
              <w:rPr>
                <w:noProof/>
                <w:webHidden/>
                <w:sz w:val="30"/>
                <w:szCs w:val="30"/>
              </w:rPr>
              <w:t>4</w:t>
            </w:r>
            <w:r w:rsidRPr="00990302">
              <w:rPr>
                <w:noProof/>
                <w:webHidden/>
                <w:sz w:val="30"/>
                <w:szCs w:val="30"/>
              </w:rPr>
              <w:fldChar w:fldCharType="end"/>
            </w:r>
          </w:hyperlink>
        </w:p>
        <w:p w14:paraId="45FEC070" w14:textId="1B335271" w:rsidR="00534AD6" w:rsidRPr="00990302" w:rsidRDefault="00534AD6" w:rsidP="00990302">
          <w:pPr>
            <w:pStyle w:val="TOC2"/>
            <w:tabs>
              <w:tab w:val="right" w:leader="dot" w:pos="9016"/>
            </w:tabs>
            <w:spacing w:line="480" w:lineRule="auto"/>
            <w:rPr>
              <w:noProof/>
              <w:sz w:val="30"/>
              <w:szCs w:val="30"/>
            </w:rPr>
          </w:pPr>
          <w:hyperlink w:anchor="_Toc216346708" w:history="1">
            <w:r w:rsidRPr="00990302">
              <w:rPr>
                <w:rStyle w:val="Hyperlink"/>
                <w:noProof/>
                <w:sz w:val="30"/>
                <w:szCs w:val="30"/>
              </w:rPr>
              <w:t>Leicestershire County Council</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_Toc216346708 \h </w:instrText>
            </w:r>
            <w:r w:rsidRPr="00990302">
              <w:rPr>
                <w:noProof/>
                <w:webHidden/>
                <w:sz w:val="30"/>
                <w:szCs w:val="30"/>
              </w:rPr>
            </w:r>
            <w:r w:rsidRPr="00990302">
              <w:rPr>
                <w:noProof/>
                <w:webHidden/>
                <w:sz w:val="30"/>
                <w:szCs w:val="30"/>
              </w:rPr>
              <w:fldChar w:fldCharType="separate"/>
            </w:r>
            <w:r w:rsidRPr="00990302">
              <w:rPr>
                <w:noProof/>
                <w:webHidden/>
                <w:sz w:val="30"/>
                <w:szCs w:val="30"/>
              </w:rPr>
              <w:t>4</w:t>
            </w:r>
            <w:r w:rsidRPr="00990302">
              <w:rPr>
                <w:noProof/>
                <w:webHidden/>
                <w:sz w:val="30"/>
                <w:szCs w:val="30"/>
              </w:rPr>
              <w:fldChar w:fldCharType="end"/>
            </w:r>
          </w:hyperlink>
        </w:p>
        <w:p w14:paraId="59295B2F" w14:textId="535882BA" w:rsidR="00534AD6" w:rsidRPr="00990302" w:rsidRDefault="00534AD6" w:rsidP="00990302">
          <w:pPr>
            <w:pStyle w:val="TOC2"/>
            <w:tabs>
              <w:tab w:val="right" w:leader="dot" w:pos="9016"/>
            </w:tabs>
            <w:spacing w:line="480" w:lineRule="auto"/>
            <w:rPr>
              <w:noProof/>
              <w:sz w:val="30"/>
              <w:szCs w:val="30"/>
            </w:rPr>
          </w:pPr>
          <w:hyperlink w:anchor="_Toc216346709" w:history="1">
            <w:r w:rsidRPr="00990302">
              <w:rPr>
                <w:rStyle w:val="Hyperlink"/>
                <w:noProof/>
                <w:sz w:val="30"/>
                <w:szCs w:val="30"/>
              </w:rPr>
              <w:t>Tower Hamlets Council</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_Toc216346709 \h </w:instrText>
            </w:r>
            <w:r w:rsidRPr="00990302">
              <w:rPr>
                <w:noProof/>
                <w:webHidden/>
                <w:sz w:val="30"/>
                <w:szCs w:val="30"/>
              </w:rPr>
            </w:r>
            <w:r w:rsidRPr="00990302">
              <w:rPr>
                <w:noProof/>
                <w:webHidden/>
                <w:sz w:val="30"/>
                <w:szCs w:val="30"/>
              </w:rPr>
              <w:fldChar w:fldCharType="separate"/>
            </w:r>
            <w:r w:rsidRPr="00990302">
              <w:rPr>
                <w:noProof/>
                <w:webHidden/>
                <w:sz w:val="30"/>
                <w:szCs w:val="30"/>
              </w:rPr>
              <w:t>5</w:t>
            </w:r>
            <w:r w:rsidRPr="00990302">
              <w:rPr>
                <w:noProof/>
                <w:webHidden/>
                <w:sz w:val="30"/>
                <w:szCs w:val="30"/>
              </w:rPr>
              <w:fldChar w:fldCharType="end"/>
            </w:r>
          </w:hyperlink>
        </w:p>
        <w:p w14:paraId="229BF364" w14:textId="2D8D227E" w:rsidR="00534AD6" w:rsidRPr="00990302" w:rsidRDefault="00534AD6" w:rsidP="00990302">
          <w:pPr>
            <w:pStyle w:val="TOC2"/>
            <w:tabs>
              <w:tab w:val="right" w:leader="dot" w:pos="9016"/>
            </w:tabs>
            <w:spacing w:line="480" w:lineRule="auto"/>
            <w:rPr>
              <w:noProof/>
              <w:sz w:val="30"/>
              <w:szCs w:val="30"/>
            </w:rPr>
          </w:pPr>
          <w:hyperlink w:anchor="_Toc216346710" w:history="1">
            <w:r w:rsidRPr="00990302">
              <w:rPr>
                <w:rStyle w:val="Hyperlink"/>
                <w:noProof/>
                <w:sz w:val="30"/>
                <w:szCs w:val="30"/>
              </w:rPr>
              <w:t>Southwark Council</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_Toc216346710 \h </w:instrText>
            </w:r>
            <w:r w:rsidRPr="00990302">
              <w:rPr>
                <w:noProof/>
                <w:webHidden/>
                <w:sz w:val="30"/>
                <w:szCs w:val="30"/>
              </w:rPr>
            </w:r>
            <w:r w:rsidRPr="00990302">
              <w:rPr>
                <w:noProof/>
                <w:webHidden/>
                <w:sz w:val="30"/>
                <w:szCs w:val="30"/>
              </w:rPr>
              <w:fldChar w:fldCharType="separate"/>
            </w:r>
            <w:r w:rsidRPr="00990302">
              <w:rPr>
                <w:noProof/>
                <w:webHidden/>
                <w:sz w:val="30"/>
                <w:szCs w:val="30"/>
              </w:rPr>
              <w:t>5</w:t>
            </w:r>
            <w:r w:rsidRPr="00990302">
              <w:rPr>
                <w:noProof/>
                <w:webHidden/>
                <w:sz w:val="30"/>
                <w:szCs w:val="30"/>
              </w:rPr>
              <w:fldChar w:fldCharType="end"/>
            </w:r>
          </w:hyperlink>
        </w:p>
        <w:p w14:paraId="53D50A96" w14:textId="2F6748F3" w:rsidR="00534AD6" w:rsidRPr="00990302" w:rsidRDefault="00534AD6" w:rsidP="00990302">
          <w:pPr>
            <w:pStyle w:val="TOC1"/>
            <w:tabs>
              <w:tab w:val="right" w:leader="dot" w:pos="9016"/>
            </w:tabs>
            <w:spacing w:line="480" w:lineRule="auto"/>
            <w:rPr>
              <w:noProof/>
              <w:sz w:val="30"/>
              <w:szCs w:val="30"/>
            </w:rPr>
          </w:pPr>
          <w:hyperlink w:anchor="_Toc216346711" w:history="1">
            <w:r w:rsidRPr="00990302">
              <w:rPr>
                <w:rStyle w:val="Hyperlink"/>
                <w:noProof/>
                <w:sz w:val="30"/>
                <w:szCs w:val="30"/>
              </w:rPr>
              <w:t>Comparative Analysis</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_Toc216346711 \h </w:instrText>
            </w:r>
            <w:r w:rsidRPr="00990302">
              <w:rPr>
                <w:noProof/>
                <w:webHidden/>
                <w:sz w:val="30"/>
                <w:szCs w:val="30"/>
              </w:rPr>
            </w:r>
            <w:r w:rsidRPr="00990302">
              <w:rPr>
                <w:noProof/>
                <w:webHidden/>
                <w:sz w:val="30"/>
                <w:szCs w:val="30"/>
              </w:rPr>
              <w:fldChar w:fldCharType="separate"/>
            </w:r>
            <w:r w:rsidRPr="00990302">
              <w:rPr>
                <w:noProof/>
                <w:webHidden/>
                <w:sz w:val="30"/>
                <w:szCs w:val="30"/>
              </w:rPr>
              <w:t>6</w:t>
            </w:r>
            <w:r w:rsidRPr="00990302">
              <w:rPr>
                <w:noProof/>
                <w:webHidden/>
                <w:sz w:val="30"/>
                <w:szCs w:val="30"/>
              </w:rPr>
              <w:fldChar w:fldCharType="end"/>
            </w:r>
          </w:hyperlink>
        </w:p>
        <w:p w14:paraId="2F03EC5E" w14:textId="3B33B956" w:rsidR="00534AD6" w:rsidRPr="00990302" w:rsidRDefault="00534AD6" w:rsidP="00990302">
          <w:pPr>
            <w:pStyle w:val="TOC1"/>
            <w:tabs>
              <w:tab w:val="right" w:leader="dot" w:pos="9016"/>
            </w:tabs>
            <w:spacing w:line="480" w:lineRule="auto"/>
            <w:rPr>
              <w:noProof/>
              <w:sz w:val="30"/>
              <w:szCs w:val="30"/>
            </w:rPr>
          </w:pPr>
          <w:hyperlink w:anchor="_Toc216346712" w:history="1">
            <w:r w:rsidRPr="00990302">
              <w:rPr>
                <w:rStyle w:val="Hyperlink"/>
                <w:noProof/>
                <w:sz w:val="30"/>
                <w:szCs w:val="30"/>
              </w:rPr>
              <w:t>Conclusion and Recommendations</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_Toc216346712 \h </w:instrText>
            </w:r>
            <w:r w:rsidRPr="00990302">
              <w:rPr>
                <w:noProof/>
                <w:webHidden/>
                <w:sz w:val="30"/>
                <w:szCs w:val="30"/>
              </w:rPr>
            </w:r>
            <w:r w:rsidRPr="00990302">
              <w:rPr>
                <w:noProof/>
                <w:webHidden/>
                <w:sz w:val="30"/>
                <w:szCs w:val="30"/>
              </w:rPr>
              <w:fldChar w:fldCharType="separate"/>
            </w:r>
            <w:r w:rsidRPr="00990302">
              <w:rPr>
                <w:noProof/>
                <w:webHidden/>
                <w:sz w:val="30"/>
                <w:szCs w:val="30"/>
              </w:rPr>
              <w:t>7</w:t>
            </w:r>
            <w:r w:rsidRPr="00990302">
              <w:rPr>
                <w:noProof/>
                <w:webHidden/>
                <w:sz w:val="30"/>
                <w:szCs w:val="30"/>
              </w:rPr>
              <w:fldChar w:fldCharType="end"/>
            </w:r>
          </w:hyperlink>
        </w:p>
        <w:p w14:paraId="448F9DC0" w14:textId="583D1BBB" w:rsidR="00534AD6" w:rsidRPr="00990302" w:rsidRDefault="00534AD6" w:rsidP="00990302">
          <w:pPr>
            <w:pStyle w:val="TOC2"/>
            <w:tabs>
              <w:tab w:val="right" w:leader="dot" w:pos="9016"/>
            </w:tabs>
            <w:spacing w:line="480" w:lineRule="auto"/>
            <w:rPr>
              <w:noProof/>
              <w:sz w:val="30"/>
              <w:szCs w:val="30"/>
            </w:rPr>
          </w:pPr>
          <w:hyperlink w:anchor="_Toc216346713" w:history="1">
            <w:r w:rsidRPr="00990302">
              <w:rPr>
                <w:rStyle w:val="Hyperlink"/>
                <w:noProof/>
                <w:sz w:val="30"/>
                <w:szCs w:val="30"/>
              </w:rPr>
              <w:t>Conclusion</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_Toc216346713 \h </w:instrText>
            </w:r>
            <w:r w:rsidRPr="00990302">
              <w:rPr>
                <w:noProof/>
                <w:webHidden/>
                <w:sz w:val="30"/>
                <w:szCs w:val="30"/>
              </w:rPr>
            </w:r>
            <w:r w:rsidRPr="00990302">
              <w:rPr>
                <w:noProof/>
                <w:webHidden/>
                <w:sz w:val="30"/>
                <w:szCs w:val="30"/>
              </w:rPr>
              <w:fldChar w:fldCharType="separate"/>
            </w:r>
            <w:r w:rsidRPr="00990302">
              <w:rPr>
                <w:noProof/>
                <w:webHidden/>
                <w:sz w:val="30"/>
                <w:szCs w:val="30"/>
              </w:rPr>
              <w:t>7</w:t>
            </w:r>
            <w:r w:rsidRPr="00990302">
              <w:rPr>
                <w:noProof/>
                <w:webHidden/>
                <w:sz w:val="30"/>
                <w:szCs w:val="30"/>
              </w:rPr>
              <w:fldChar w:fldCharType="end"/>
            </w:r>
          </w:hyperlink>
        </w:p>
        <w:p w14:paraId="54A3B327" w14:textId="2469BA12" w:rsidR="00534AD6" w:rsidRPr="00990302" w:rsidRDefault="00534AD6" w:rsidP="00990302">
          <w:pPr>
            <w:pStyle w:val="TOC2"/>
            <w:tabs>
              <w:tab w:val="right" w:leader="dot" w:pos="9016"/>
            </w:tabs>
            <w:spacing w:line="480" w:lineRule="auto"/>
            <w:rPr>
              <w:noProof/>
              <w:sz w:val="30"/>
              <w:szCs w:val="30"/>
            </w:rPr>
          </w:pPr>
          <w:hyperlink w:anchor="_Toc216346714" w:history="1">
            <w:r w:rsidRPr="00990302">
              <w:rPr>
                <w:rStyle w:val="Hyperlink"/>
                <w:noProof/>
                <w:sz w:val="30"/>
                <w:szCs w:val="30"/>
              </w:rPr>
              <w:t>Recommendations</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_Toc216346714 \h </w:instrText>
            </w:r>
            <w:r w:rsidRPr="00990302">
              <w:rPr>
                <w:noProof/>
                <w:webHidden/>
                <w:sz w:val="30"/>
                <w:szCs w:val="30"/>
              </w:rPr>
            </w:r>
            <w:r w:rsidRPr="00990302">
              <w:rPr>
                <w:noProof/>
                <w:webHidden/>
                <w:sz w:val="30"/>
                <w:szCs w:val="30"/>
              </w:rPr>
              <w:fldChar w:fldCharType="separate"/>
            </w:r>
            <w:r w:rsidRPr="00990302">
              <w:rPr>
                <w:noProof/>
                <w:webHidden/>
                <w:sz w:val="30"/>
                <w:szCs w:val="30"/>
              </w:rPr>
              <w:t>7</w:t>
            </w:r>
            <w:r w:rsidRPr="00990302">
              <w:rPr>
                <w:noProof/>
                <w:webHidden/>
                <w:sz w:val="30"/>
                <w:szCs w:val="30"/>
              </w:rPr>
              <w:fldChar w:fldCharType="end"/>
            </w:r>
          </w:hyperlink>
        </w:p>
        <w:p w14:paraId="271CC84B" w14:textId="2BD3A391" w:rsidR="00534AD6" w:rsidRPr="00990302" w:rsidRDefault="00534AD6" w:rsidP="00990302">
          <w:pPr>
            <w:pStyle w:val="TOC1"/>
            <w:tabs>
              <w:tab w:val="right" w:leader="dot" w:pos="9016"/>
            </w:tabs>
            <w:spacing w:line="480" w:lineRule="auto"/>
            <w:rPr>
              <w:noProof/>
              <w:sz w:val="30"/>
              <w:szCs w:val="30"/>
            </w:rPr>
          </w:pPr>
          <w:hyperlink w:anchor="_Toc216346715" w:history="1">
            <w:r w:rsidRPr="00990302">
              <w:rPr>
                <w:rStyle w:val="Hyperlink"/>
                <w:noProof/>
                <w:sz w:val="30"/>
                <w:szCs w:val="30"/>
              </w:rPr>
              <w:t>References</w:t>
            </w:r>
            <w:r w:rsidRPr="00990302">
              <w:rPr>
                <w:noProof/>
                <w:webHidden/>
                <w:sz w:val="30"/>
                <w:szCs w:val="30"/>
              </w:rPr>
              <w:tab/>
            </w:r>
            <w:r w:rsidRPr="00990302">
              <w:rPr>
                <w:noProof/>
                <w:webHidden/>
                <w:sz w:val="30"/>
                <w:szCs w:val="30"/>
              </w:rPr>
              <w:fldChar w:fldCharType="begin"/>
            </w:r>
            <w:r w:rsidRPr="00990302">
              <w:rPr>
                <w:noProof/>
                <w:webHidden/>
                <w:sz w:val="30"/>
                <w:szCs w:val="30"/>
              </w:rPr>
              <w:instrText xml:space="preserve"> PAGEREF _Toc216346715 \h </w:instrText>
            </w:r>
            <w:r w:rsidRPr="00990302">
              <w:rPr>
                <w:noProof/>
                <w:webHidden/>
                <w:sz w:val="30"/>
                <w:szCs w:val="30"/>
              </w:rPr>
            </w:r>
            <w:r w:rsidRPr="00990302">
              <w:rPr>
                <w:noProof/>
                <w:webHidden/>
                <w:sz w:val="30"/>
                <w:szCs w:val="30"/>
              </w:rPr>
              <w:fldChar w:fldCharType="separate"/>
            </w:r>
            <w:r w:rsidRPr="00990302">
              <w:rPr>
                <w:noProof/>
                <w:webHidden/>
                <w:sz w:val="30"/>
                <w:szCs w:val="30"/>
              </w:rPr>
              <w:t>8</w:t>
            </w:r>
            <w:r w:rsidRPr="00990302">
              <w:rPr>
                <w:noProof/>
                <w:webHidden/>
                <w:sz w:val="30"/>
                <w:szCs w:val="30"/>
              </w:rPr>
              <w:fldChar w:fldCharType="end"/>
            </w:r>
          </w:hyperlink>
        </w:p>
        <w:p w14:paraId="0B095B0D" w14:textId="2F0C7465" w:rsidR="00534AD6" w:rsidRPr="00990302" w:rsidRDefault="00534AD6" w:rsidP="00990302">
          <w:pPr>
            <w:spacing w:line="480" w:lineRule="auto"/>
            <w:rPr>
              <w:sz w:val="30"/>
              <w:szCs w:val="30"/>
            </w:rPr>
          </w:pPr>
          <w:r w:rsidRPr="00990302">
            <w:rPr>
              <w:b/>
              <w:bCs/>
              <w:noProof/>
              <w:sz w:val="30"/>
              <w:szCs w:val="30"/>
            </w:rPr>
            <w:fldChar w:fldCharType="end"/>
          </w:r>
        </w:p>
      </w:sdtContent>
    </w:sdt>
    <w:p w14:paraId="3F5861DE" w14:textId="2F0C7465" w:rsidR="00CE44BA" w:rsidRPr="00EC3962" w:rsidRDefault="00CE44BA" w:rsidP="007F4093">
      <w:pPr>
        <w:pStyle w:val="Heading1"/>
        <w:spacing w:line="360" w:lineRule="auto"/>
        <w:rPr>
          <w:rFonts w:ascii="Arial" w:hAnsi="Arial" w:cs="Arial"/>
        </w:rPr>
      </w:pPr>
      <w:bookmarkStart w:id="0" w:name="_Toc216346701"/>
      <w:r w:rsidRPr="00EC3962">
        <w:rPr>
          <w:rFonts w:ascii="Arial" w:hAnsi="Arial" w:cs="Arial"/>
        </w:rPr>
        <w:t>Introduction</w:t>
      </w:r>
      <w:bookmarkEnd w:id="0"/>
    </w:p>
    <w:p w14:paraId="2D1F2A0D" w14:textId="4152ADA5"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Early intervention is widely recognised as an essential feature of children’s services in England. Instead of waiting for difficulties to escalate into safeguarding crises, Early Help (EH) aims to identify emerging concerns and provide timely support to children and families (HM Government, 2023). As local authorities are responsible for coordinating EH services, the way they communicate this offer online plays a crucial role in whether families understand and access support effectively (DLUHC, 2022).</w:t>
      </w:r>
    </w:p>
    <w:p w14:paraId="64E8D724" w14:textId="1BDC6A03"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This report explores how three English local authority websites—Leicestershire County Council, Tower Hamlets Council, and Southwark Council—describe and signpost their Early Help provision. Each council was selected to highlight contrasting approaches in website design, clarity, and structure. The analysis evaluates accessibility, clarity, and comprehensiveness against national expectations outlined in Working Together to Safeguard Children 2023 (HM Government, 2023) and the Early Help System Guide (Department for Levelling Up, Housing and Communities, 2022). Scholarly literature on early intervention, multi-agency practice, and partnership working is incorporated to frame the analysis.</w:t>
      </w:r>
    </w:p>
    <w:p w14:paraId="33B539D5" w14:textId="4A0F250F"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The report concludes with recommendations for improving online Early Help information so that families can navigate support confidently and efficiently (EIF, 2019; Walker, 2018).</w:t>
      </w:r>
    </w:p>
    <w:p w14:paraId="25480402" w14:textId="432052A4" w:rsidR="00430E33" w:rsidRPr="00EC3962" w:rsidRDefault="00CE44BA" w:rsidP="007F4093">
      <w:pPr>
        <w:pStyle w:val="Heading1"/>
        <w:spacing w:line="360" w:lineRule="auto"/>
        <w:rPr>
          <w:rFonts w:ascii="Arial" w:hAnsi="Arial" w:cs="Arial"/>
        </w:rPr>
      </w:pPr>
      <w:bookmarkStart w:id="1" w:name="_Toc216346702"/>
      <w:r w:rsidRPr="00EC3962">
        <w:rPr>
          <w:rFonts w:ascii="Arial" w:hAnsi="Arial" w:cs="Arial"/>
        </w:rPr>
        <w:t>Understanding the Early Help System</w:t>
      </w:r>
      <w:bookmarkEnd w:id="1"/>
    </w:p>
    <w:p w14:paraId="2E74F55E" w14:textId="1E22B7AD"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The current national framework describes Early Help as support delivered “as soon as a problem emerges” at any stage of a child’s development (HM Government, 2023, p. 13). Early Help is a coordinated system of agencies—including health, education, housing, and voluntary organisations—working together to prevent issues from escalating (DLUHC, 2022).</w:t>
      </w:r>
    </w:p>
    <w:p w14:paraId="10563528" w14:textId="1ED0963D" w:rsidR="00CE44BA" w:rsidRPr="00EC3962" w:rsidRDefault="00CE44BA" w:rsidP="007F4093">
      <w:pPr>
        <w:pStyle w:val="Heading2"/>
        <w:spacing w:line="360" w:lineRule="auto"/>
        <w:rPr>
          <w:rFonts w:ascii="Arial" w:hAnsi="Arial" w:cs="Arial"/>
        </w:rPr>
      </w:pPr>
      <w:bookmarkStart w:id="2" w:name="_Toc216346703"/>
      <w:r w:rsidRPr="00EC3962">
        <w:rPr>
          <w:rFonts w:ascii="Arial" w:hAnsi="Arial" w:cs="Arial"/>
        </w:rPr>
        <w:t>Purpose and Principles of Early Help</w:t>
      </w:r>
      <w:bookmarkEnd w:id="2"/>
    </w:p>
    <w:p w14:paraId="5641F09C"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Statutory guidance and research identify several features defining high-quality Early Help:</w:t>
      </w:r>
    </w:p>
    <w:p w14:paraId="3AB8698A"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Acting early and preventing escalation: Timely responses reduce the likelihood of future statutory intervention (HM Government, 2023).</w:t>
      </w:r>
    </w:p>
    <w:p w14:paraId="4FB596F1"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A whole-family approach: Effective EH considers the wider family context, including parental mental health, financial stress, and housing stability (DLUHC, 2022; Walker, 2018).</w:t>
      </w:r>
    </w:p>
    <w:p w14:paraId="046C8428"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Strengths-based practice: Building on family strengths and encouraging families to contribute to decisions about support improves engagement (DLUHC, 2022).</w:t>
      </w:r>
    </w:p>
    <w:p w14:paraId="52169586"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Proportionate responses: EH offers graduated support, from universal services (health visitors, children’s centres) to targeted interventions with a key worker (EIF, 2019).</w:t>
      </w:r>
    </w:p>
    <w:p w14:paraId="23275E80" w14:textId="56CE7553"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Clear and accessible pathways: Families must understand how to access Early Help and what to expect (HM Government, 2023; DLUHC, 2022).</w:t>
      </w:r>
    </w:p>
    <w:p w14:paraId="00A38F28" w14:textId="4977DE9F"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The Early Intervention Foundation notes that when families cannot find information or navigate services easily, timely support is often delayed, undermining Early Help’s preventive purpose (EIF, 2019).</w:t>
      </w:r>
    </w:p>
    <w:p w14:paraId="281FBC77" w14:textId="62096E12" w:rsidR="00CE44BA" w:rsidRPr="00EC3962" w:rsidRDefault="00CE44BA" w:rsidP="007F4093">
      <w:pPr>
        <w:pStyle w:val="Heading1"/>
        <w:spacing w:line="360" w:lineRule="auto"/>
        <w:rPr>
          <w:rFonts w:ascii="Arial" w:hAnsi="Arial" w:cs="Arial"/>
        </w:rPr>
      </w:pPr>
      <w:bookmarkStart w:id="3" w:name="_Toc216346704"/>
      <w:r w:rsidRPr="00EC3962">
        <w:rPr>
          <w:rFonts w:ascii="Arial" w:hAnsi="Arial" w:cs="Arial"/>
        </w:rPr>
        <w:t>The Role of Multi-Agency Working in Early Help</w:t>
      </w:r>
      <w:bookmarkEnd w:id="3"/>
    </w:p>
    <w:p w14:paraId="738EB7AF" w14:textId="34ED2703" w:rsidR="00430E33"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Multi-agency collaboration is essential to Early Help. No single service can meet the complex needs that many families experience. Working Together 2023 places a legal expectation on safeguarding partners—including local authorities, health services, and police—to coordinate their work and share information to keep children safe (HM Government, 2023).</w:t>
      </w:r>
    </w:p>
    <w:p w14:paraId="10D4515E" w14:textId="4529A4BE" w:rsidR="00CE44BA" w:rsidRPr="00EC3962" w:rsidRDefault="00CE44BA" w:rsidP="007F4093">
      <w:pPr>
        <w:pStyle w:val="Heading2"/>
        <w:spacing w:line="360" w:lineRule="auto"/>
        <w:rPr>
          <w:rFonts w:ascii="Arial" w:hAnsi="Arial" w:cs="Arial"/>
        </w:rPr>
      </w:pPr>
      <w:bookmarkStart w:id="4" w:name="_Toc216346705"/>
      <w:r w:rsidRPr="00EC3962">
        <w:rPr>
          <w:rFonts w:ascii="Arial" w:hAnsi="Arial" w:cs="Arial"/>
        </w:rPr>
        <w:t>Benefits of Multi-Agency Working</w:t>
      </w:r>
      <w:bookmarkEnd w:id="4"/>
    </w:p>
    <w:p w14:paraId="3C424DED"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Research highlights key advantages of multi-agency cooperation:</w:t>
      </w:r>
    </w:p>
    <w:p w14:paraId="56B46193"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 xml:space="preserve">Holistic support: Families often face multiple, overlapping challenges. Collaboration ensures needs are addressed collectively rather than in isolation (Walker, 2018; </w:t>
      </w:r>
      <w:proofErr w:type="spellStart"/>
      <w:r w:rsidRPr="00EC3962">
        <w:rPr>
          <w:rFonts w:ascii="Arial" w:hAnsi="Arial" w:cs="Arial"/>
          <w:sz w:val="22"/>
          <w:szCs w:val="22"/>
        </w:rPr>
        <w:t>Bifulco</w:t>
      </w:r>
      <w:proofErr w:type="spellEnd"/>
      <w:r w:rsidRPr="00EC3962">
        <w:rPr>
          <w:rFonts w:ascii="Arial" w:hAnsi="Arial" w:cs="Arial"/>
          <w:sz w:val="22"/>
          <w:szCs w:val="22"/>
        </w:rPr>
        <w:t xml:space="preserve"> et al., 2007).</w:t>
      </w:r>
    </w:p>
    <w:p w14:paraId="6110347E"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Consistency and reduced duplication: Shared assessments and joint planning reduce repetitive demands on families (Walker, 2018).</w:t>
      </w:r>
    </w:p>
    <w:p w14:paraId="45BABBC9"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Timely identification of risk: Agencies communicating effectively are more likely to notice early warning signs (Journal of Applied Youth Studies, 2024).</w:t>
      </w:r>
    </w:p>
    <w:p w14:paraId="27C2EB15" w14:textId="77777777" w:rsidR="00CE44BA" w:rsidRPr="00EC3962" w:rsidRDefault="00CE44BA" w:rsidP="007F4093">
      <w:pPr>
        <w:spacing w:line="360" w:lineRule="auto"/>
        <w:jc w:val="both"/>
        <w:rPr>
          <w:rFonts w:ascii="Arial" w:hAnsi="Arial" w:cs="Arial"/>
          <w:sz w:val="22"/>
          <w:szCs w:val="22"/>
        </w:rPr>
      </w:pPr>
    </w:p>
    <w:p w14:paraId="4201CDE8" w14:textId="08FE7CA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These factors demonstrate that clear communication about multi-agency arrangements on local authority websites is vital for families to understand how support operates.</w:t>
      </w:r>
    </w:p>
    <w:p w14:paraId="28414A2D" w14:textId="69A1E3B7" w:rsidR="00CE44BA" w:rsidRPr="00EC3962" w:rsidRDefault="00CE44BA" w:rsidP="007F4093">
      <w:pPr>
        <w:pStyle w:val="Heading2"/>
        <w:spacing w:line="360" w:lineRule="auto"/>
        <w:rPr>
          <w:rFonts w:ascii="Arial" w:hAnsi="Arial" w:cs="Arial"/>
        </w:rPr>
      </w:pPr>
      <w:bookmarkStart w:id="5" w:name="_Toc216346706"/>
      <w:r w:rsidRPr="00EC3962">
        <w:rPr>
          <w:rFonts w:ascii="Arial" w:hAnsi="Arial" w:cs="Arial"/>
        </w:rPr>
        <w:t>Challenges in Multi-Agency Working</w:t>
      </w:r>
      <w:bookmarkEnd w:id="5"/>
    </w:p>
    <w:p w14:paraId="6BC768A7"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Despite benefits, research identifies persistent challenges:</w:t>
      </w:r>
    </w:p>
    <w:p w14:paraId="5C06B35F"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Differing agency cultures and priorities (</w:t>
      </w:r>
      <w:proofErr w:type="spellStart"/>
      <w:r w:rsidRPr="00EC3962">
        <w:rPr>
          <w:rFonts w:ascii="Arial" w:hAnsi="Arial" w:cs="Arial"/>
          <w:sz w:val="22"/>
          <w:szCs w:val="22"/>
        </w:rPr>
        <w:t>Bifulco</w:t>
      </w:r>
      <w:proofErr w:type="spellEnd"/>
      <w:r w:rsidRPr="00EC3962">
        <w:rPr>
          <w:rFonts w:ascii="Arial" w:hAnsi="Arial" w:cs="Arial"/>
          <w:sz w:val="22"/>
          <w:szCs w:val="22"/>
        </w:rPr>
        <w:t xml:space="preserve"> et al., 2007)</w:t>
      </w:r>
    </w:p>
    <w:p w14:paraId="081C2226"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Conflicting thresholds for intervention (Research in Practice, 2022)</w:t>
      </w:r>
    </w:p>
    <w:p w14:paraId="3A56CF17"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Variability in information-sharing practices (Journal of Applied Youth Studies, 2024)</w:t>
      </w:r>
    </w:p>
    <w:p w14:paraId="31EA2B56" w14:textId="27269514"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Resource pressures affecting service delivery (EIF, 2019)</w:t>
      </w:r>
    </w:p>
    <w:p w14:paraId="6BADF356" w14:textId="2600CEFD"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Clear explanation of multi-agency practice online can mitigate confusion and help families engage more effectively.</w:t>
      </w:r>
    </w:p>
    <w:p w14:paraId="0C3896F2" w14:textId="467CA861" w:rsidR="00CE44BA" w:rsidRPr="00EC3962" w:rsidRDefault="00CE44BA" w:rsidP="007F4093">
      <w:pPr>
        <w:pStyle w:val="Heading1"/>
        <w:spacing w:line="360" w:lineRule="auto"/>
        <w:rPr>
          <w:rFonts w:ascii="Arial" w:hAnsi="Arial" w:cs="Arial"/>
        </w:rPr>
      </w:pPr>
      <w:bookmarkStart w:id="6" w:name="_Toc216346707"/>
      <w:r w:rsidRPr="00EC3962">
        <w:rPr>
          <w:rFonts w:ascii="Arial" w:hAnsi="Arial" w:cs="Arial"/>
        </w:rPr>
        <w:t>Evaluation of Local Authority Websites</w:t>
      </w:r>
      <w:bookmarkEnd w:id="6"/>
    </w:p>
    <w:p w14:paraId="0ADDA1F1" w14:textId="1C028149" w:rsidR="00CE44BA" w:rsidRPr="00EC3962" w:rsidRDefault="00C83FEC" w:rsidP="007F4093">
      <w:pPr>
        <w:spacing w:line="360" w:lineRule="auto"/>
        <w:jc w:val="both"/>
        <w:rPr>
          <w:rFonts w:ascii="Arial" w:hAnsi="Arial" w:cs="Arial"/>
          <w:sz w:val="22"/>
          <w:szCs w:val="22"/>
        </w:rPr>
      </w:pPr>
      <w:r w:rsidRPr="00EC3962">
        <w:rPr>
          <w:rFonts w:ascii="Arial" w:hAnsi="Arial" w:cs="Arial"/>
          <w:sz w:val="22"/>
          <w:szCs w:val="22"/>
        </w:rPr>
        <w:t>Each website was examined for accessibility, clarity, structure, multi-agency information, and alignment with statutory guidance. This review also considered how easily families and practitioners could navigate the pages and locate essential information without specialist knowledge. Attention was given to the tone, organisation and depth of content to assess whether the sites genuinely support early engagement rather than creating additional barriers.</w:t>
      </w:r>
    </w:p>
    <w:p w14:paraId="027F2AE8" w14:textId="221099DA" w:rsidR="00CE44BA" w:rsidRPr="00EC3962" w:rsidRDefault="00CE44BA" w:rsidP="007F4093">
      <w:pPr>
        <w:pStyle w:val="Heading2"/>
        <w:spacing w:line="360" w:lineRule="auto"/>
        <w:rPr>
          <w:rFonts w:ascii="Arial" w:hAnsi="Arial" w:cs="Arial"/>
        </w:rPr>
      </w:pPr>
      <w:bookmarkStart w:id="7" w:name="_Toc216346708"/>
      <w:r w:rsidRPr="00EC3962">
        <w:rPr>
          <w:rFonts w:ascii="Arial" w:hAnsi="Arial" w:cs="Arial"/>
        </w:rPr>
        <w:t>Leicestershire County Council</w:t>
      </w:r>
      <w:bookmarkEnd w:id="7"/>
    </w:p>
    <w:p w14:paraId="3661C857" w14:textId="71EAFFE2"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Leicestershire presents EH information through the “Help for children and families” section. While comprehensive, the content is primarily practitioner-focused.</w:t>
      </w:r>
    </w:p>
    <w:p w14:paraId="604F7CFB"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Accessibility and Structure: The EH content is scattered across multiple sub-pages, requiring several clicks to locate information (Leicestershire County Council, n.d.-a).</w:t>
      </w:r>
    </w:p>
    <w:p w14:paraId="4F345E7C"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Clarity and Language: Technical terms such as “threshold” and “assessment criteria” may confuse families without professional knowledge (Leicestershire County Council, n.d.-b).</w:t>
      </w:r>
    </w:p>
    <w:p w14:paraId="27198DB2" w14:textId="77777777" w:rsidR="00CE44BA" w:rsidRPr="00EC3962" w:rsidRDefault="00CE44BA" w:rsidP="007F4093">
      <w:pPr>
        <w:spacing w:line="360" w:lineRule="auto"/>
        <w:jc w:val="both"/>
        <w:rPr>
          <w:rFonts w:ascii="Arial" w:hAnsi="Arial" w:cs="Arial"/>
          <w:sz w:val="22"/>
          <w:szCs w:val="22"/>
        </w:rPr>
      </w:pPr>
    </w:p>
    <w:p w14:paraId="15CB549B" w14:textId="5F676A13"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Referral Pathways: An online “request for support” form is available, but estimated completion time of up to one hour may discourage users (Leicestershire County Council, n.d.-b). Phone contact is also provided.</w:t>
      </w:r>
    </w:p>
    <w:p w14:paraId="30AD6D9A" w14:textId="1D5D472D"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Multi-Agency Information: Limited explanation of how partner agencies coordinate support; no diagrams or step-by-step guidance are included.</w:t>
      </w:r>
    </w:p>
    <w:p w14:paraId="08526824"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Summary:</w:t>
      </w:r>
    </w:p>
    <w:p w14:paraId="5C71F396"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Strengths: Comprehensive, multiple contact options</w:t>
      </w:r>
    </w:p>
    <w:p w14:paraId="37D5C298" w14:textId="1E804EE2"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Weaknesses: Specialist language, fragmented navigation, limited multi-agency clarity</w:t>
      </w:r>
    </w:p>
    <w:p w14:paraId="26FB745B" w14:textId="3B5EFD28" w:rsidR="00CE44BA" w:rsidRPr="00EC3962" w:rsidRDefault="00CE44BA" w:rsidP="007F4093">
      <w:pPr>
        <w:pStyle w:val="Heading2"/>
        <w:spacing w:line="360" w:lineRule="auto"/>
        <w:rPr>
          <w:rFonts w:ascii="Arial" w:hAnsi="Arial" w:cs="Arial"/>
        </w:rPr>
      </w:pPr>
      <w:bookmarkStart w:id="8" w:name="_Toc216346709"/>
      <w:r w:rsidRPr="00EC3962">
        <w:rPr>
          <w:rFonts w:ascii="Arial" w:hAnsi="Arial" w:cs="Arial"/>
        </w:rPr>
        <w:t>Tower Hamlets Council</w:t>
      </w:r>
      <w:bookmarkEnd w:id="8"/>
    </w:p>
    <w:p w14:paraId="29C1FD59" w14:textId="4622C531"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Tower Hamlets provides accessible EH information with a family-oriented approach.</w:t>
      </w:r>
    </w:p>
    <w:p w14:paraId="16AACE61" w14:textId="3EF3C49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Accessibility and Structure: Early Help is easily found via simple menus, with logical links to Family Hubs and the Multi-Agency Support Team (MAST) (Tower Hamlets Council, n.d.-a).</w:t>
      </w:r>
    </w:p>
    <w:p w14:paraId="1AC17EA4" w14:textId="28C99BE4"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Clarity and Presentation: Plain language is used, with clear examples such as parenting support, mental health advice, and budgeting help (Tower Hamlets Council, n.d.-b). A downloadable EH leaflet enhances accessibility.</w:t>
      </w:r>
    </w:p>
    <w:p w14:paraId="60FE2243" w14:textId="596E34CC"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Referral Pathways: Families can complete a MAST request-for-support form or call a central number. Consent requirements are clearly stated (Tower Hamlets Council, n.d.-b).</w:t>
      </w:r>
    </w:p>
    <w:p w14:paraId="7DD39163" w14:textId="73EC4E13"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Multi-Agency Information: The website explains the composition of MAST and the range of agencies involved, reflecting statutory multi-disciplinary expectations (DLUHC, 2022).</w:t>
      </w:r>
    </w:p>
    <w:p w14:paraId="387D7DB3"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Summary:</w:t>
      </w:r>
    </w:p>
    <w:p w14:paraId="414C03BC"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Strengths: Accessible, clear, family-friendly, downloadable resources, strong multi-agency explanation</w:t>
      </w:r>
    </w:p>
    <w:p w14:paraId="60DDBAC0" w14:textId="08117BDB" w:rsidR="002037A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Weaknesses: Information spread across multiple pages</w:t>
      </w:r>
    </w:p>
    <w:p w14:paraId="42F2E3A5" w14:textId="4B7C122F" w:rsidR="00CE44BA" w:rsidRPr="00EC3962" w:rsidRDefault="00CE44BA" w:rsidP="007F4093">
      <w:pPr>
        <w:pStyle w:val="Heading2"/>
        <w:spacing w:line="360" w:lineRule="auto"/>
        <w:rPr>
          <w:rFonts w:ascii="Arial" w:hAnsi="Arial" w:cs="Arial"/>
        </w:rPr>
      </w:pPr>
      <w:bookmarkStart w:id="9" w:name="_Toc216346710"/>
      <w:r w:rsidRPr="00EC3962">
        <w:rPr>
          <w:rFonts w:ascii="Arial" w:hAnsi="Arial" w:cs="Arial"/>
        </w:rPr>
        <w:t>Southwark Council</w:t>
      </w:r>
      <w:bookmarkEnd w:id="9"/>
    </w:p>
    <w:p w14:paraId="7B13FC2B"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Southwark structures EH information in a tiered model reflecting universal to targeted services.</w:t>
      </w:r>
    </w:p>
    <w:p w14:paraId="25B779D7" w14:textId="35523483"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Accessibility and Structure: Pages such as “Early Help for Everyone” and “If You Need Extra Early Help” guide families stepwise (Southwark Council, n.d.-a).</w:t>
      </w:r>
    </w:p>
    <w:p w14:paraId="002C299D" w14:textId="2DB55A7C"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Clarity and Language: Professional yet accessible tone. Clear explanation of consent and when safeguarding overrides consent builds trust (Southwark Council, n.d.-b).</w:t>
      </w:r>
    </w:p>
    <w:p w14:paraId="295E52B7" w14:textId="215D192C"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Referral Pathways: Families and professionals can complete a referral form; urgent concerns can be directed to a duty contact. Clear examples of needs illustrate the EH thresholds (Southwark Council, n.d.-c).</w:t>
      </w:r>
    </w:p>
    <w:p w14:paraId="3EB12BB8" w14:textId="0B9B6376"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Multi-Agency Information: The site lists partner agencies including schools, health services, and early years providers, though deeper explanation of roles could improve clarity.</w:t>
      </w:r>
    </w:p>
    <w:p w14:paraId="2DE7137A"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Summary:</w:t>
      </w:r>
    </w:p>
    <w:p w14:paraId="14E2FCCD"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Strengths: Structured, transparent, clear examples</w:t>
      </w:r>
    </w:p>
    <w:p w14:paraId="690EC31B" w14:textId="63435B5D"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Weaknesses: Text-heavy, limited visual resources</w:t>
      </w:r>
    </w:p>
    <w:p w14:paraId="52537849" w14:textId="2A14F327" w:rsidR="00CE44BA" w:rsidRPr="00EC3962" w:rsidRDefault="00CE44BA" w:rsidP="007F4093">
      <w:pPr>
        <w:pStyle w:val="Heading1"/>
        <w:spacing w:line="360" w:lineRule="auto"/>
        <w:rPr>
          <w:rFonts w:ascii="Arial" w:hAnsi="Arial" w:cs="Arial"/>
        </w:rPr>
      </w:pPr>
      <w:bookmarkStart w:id="10" w:name="_Toc216346711"/>
      <w:r w:rsidRPr="00EC3962">
        <w:rPr>
          <w:rFonts w:ascii="Arial" w:hAnsi="Arial" w:cs="Arial"/>
        </w:rPr>
        <w:t>Comparative Analysis</w:t>
      </w:r>
      <w:bookmarkEnd w:id="10"/>
    </w:p>
    <w:p w14:paraId="673A6C66" w14:textId="77777777" w:rsidR="00CE44BA" w:rsidRPr="00EC3962" w:rsidRDefault="00CE44BA" w:rsidP="007F4093">
      <w:pPr>
        <w:spacing w:line="360" w:lineRule="auto"/>
        <w:jc w:val="both"/>
        <w:rPr>
          <w:rFonts w:ascii="Arial" w:hAnsi="Arial" w:cs="Arial"/>
          <w:b/>
          <w:bCs/>
          <w:sz w:val="22"/>
          <w:szCs w:val="22"/>
        </w:rPr>
      </w:pPr>
      <w:r w:rsidRPr="00EC3962">
        <w:rPr>
          <w:rFonts w:ascii="Arial" w:hAnsi="Arial" w:cs="Arial"/>
          <w:b/>
          <w:bCs/>
          <w:sz w:val="22"/>
          <w:szCs w:val="22"/>
        </w:rPr>
        <w:t>Accessibility and Structure</w:t>
      </w:r>
    </w:p>
    <w:p w14:paraId="475D63C4"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Tower Hamlets is the most accessible, with simple navigation and clear landing pages (Tower Hamlets Council, n.d.-a).</w:t>
      </w:r>
    </w:p>
    <w:p w14:paraId="64C92075"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Southwark is structured but text-heavy (Southwark Council, n.d.-a).</w:t>
      </w:r>
    </w:p>
    <w:p w14:paraId="76425B40" w14:textId="11764872"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Leicestershire is more fragmented and professional-focused (Leicestershire County Council, n.d.-a).</w:t>
      </w:r>
    </w:p>
    <w:p w14:paraId="6AB399A3" w14:textId="77777777" w:rsidR="00CE44BA" w:rsidRPr="00EC3962" w:rsidRDefault="00CE44BA" w:rsidP="007F4093">
      <w:pPr>
        <w:spacing w:line="360" w:lineRule="auto"/>
        <w:jc w:val="both"/>
        <w:rPr>
          <w:rFonts w:ascii="Arial" w:hAnsi="Arial" w:cs="Arial"/>
          <w:b/>
          <w:bCs/>
          <w:sz w:val="22"/>
          <w:szCs w:val="22"/>
        </w:rPr>
      </w:pPr>
      <w:r w:rsidRPr="00EC3962">
        <w:rPr>
          <w:rFonts w:ascii="Arial" w:hAnsi="Arial" w:cs="Arial"/>
          <w:b/>
          <w:bCs/>
          <w:sz w:val="22"/>
          <w:szCs w:val="22"/>
        </w:rPr>
        <w:t>Clarity of EH Descriptions</w:t>
      </w:r>
    </w:p>
    <w:p w14:paraId="0719F7EE"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Tower Hamlets uses relatable examples and plain language (Tower Hamlets Council, n.d.-b).</w:t>
      </w:r>
    </w:p>
    <w:p w14:paraId="0A4926A7"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Southwark is professional but understandable (Southwark Council, n.d.-b).</w:t>
      </w:r>
    </w:p>
    <w:p w14:paraId="0008034F" w14:textId="01C5FD42"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Leicestershire is technical and less family-oriented (Leicestershire County Council, n.d.-b).</w:t>
      </w:r>
    </w:p>
    <w:p w14:paraId="4E738D65" w14:textId="77777777" w:rsidR="00CE44BA" w:rsidRPr="00EC3962" w:rsidRDefault="00CE44BA" w:rsidP="007F4093">
      <w:pPr>
        <w:spacing w:line="360" w:lineRule="auto"/>
        <w:jc w:val="both"/>
        <w:rPr>
          <w:rFonts w:ascii="Arial" w:hAnsi="Arial" w:cs="Arial"/>
          <w:b/>
          <w:bCs/>
          <w:sz w:val="22"/>
          <w:szCs w:val="22"/>
        </w:rPr>
      </w:pPr>
      <w:r w:rsidRPr="00EC3962">
        <w:rPr>
          <w:rFonts w:ascii="Arial" w:hAnsi="Arial" w:cs="Arial"/>
          <w:b/>
          <w:bCs/>
          <w:sz w:val="22"/>
          <w:szCs w:val="22"/>
        </w:rPr>
        <w:t>Referral Pathways</w:t>
      </w:r>
    </w:p>
    <w:p w14:paraId="42042F2A"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Tower Hamlets and Southwark are clear and accessible (Tower Hamlets Council, n.d.-b; Southwark Council, n.d.-c).</w:t>
      </w:r>
    </w:p>
    <w:p w14:paraId="43C9FC69" w14:textId="722CB4F0"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Leicestershire’s long form may discourage families (Leicestershire County Council, n.d.-b).</w:t>
      </w:r>
    </w:p>
    <w:p w14:paraId="36E52E1F" w14:textId="77777777" w:rsidR="00CE44BA" w:rsidRPr="00EC3962" w:rsidRDefault="00CE44BA" w:rsidP="007F4093">
      <w:pPr>
        <w:spacing w:line="360" w:lineRule="auto"/>
        <w:jc w:val="both"/>
        <w:rPr>
          <w:rFonts w:ascii="Arial" w:hAnsi="Arial" w:cs="Arial"/>
          <w:b/>
          <w:bCs/>
          <w:sz w:val="22"/>
          <w:szCs w:val="22"/>
        </w:rPr>
      </w:pPr>
      <w:r w:rsidRPr="00EC3962">
        <w:rPr>
          <w:rFonts w:ascii="Arial" w:hAnsi="Arial" w:cs="Arial"/>
          <w:b/>
          <w:bCs/>
          <w:sz w:val="22"/>
          <w:szCs w:val="22"/>
        </w:rPr>
        <w:t>Multi-Agency Presentation</w:t>
      </w:r>
    </w:p>
    <w:p w14:paraId="11273D45"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Tower Hamlets provides explicit team descriptions (Tower Hamlets Council, n.d.-a).</w:t>
      </w:r>
    </w:p>
    <w:p w14:paraId="29664A06"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Southwark lists partners but could explain roles more (Southwark Council, n.d.-b).</w:t>
      </w:r>
    </w:p>
    <w:p w14:paraId="3159BB36" w14:textId="2391772A"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Leicestershire has limited multi-agency information (Leicestershire County Council, n.d.-b).</w:t>
      </w:r>
    </w:p>
    <w:p w14:paraId="5A6FD225" w14:textId="77777777" w:rsidR="00CE44BA" w:rsidRPr="00EC3962" w:rsidRDefault="00CE44BA" w:rsidP="007F4093">
      <w:pPr>
        <w:spacing w:line="360" w:lineRule="auto"/>
        <w:jc w:val="both"/>
        <w:rPr>
          <w:rFonts w:ascii="Arial" w:hAnsi="Arial" w:cs="Arial"/>
          <w:b/>
          <w:bCs/>
          <w:sz w:val="22"/>
          <w:szCs w:val="22"/>
        </w:rPr>
      </w:pPr>
      <w:r w:rsidRPr="00EC3962">
        <w:rPr>
          <w:rFonts w:ascii="Arial" w:hAnsi="Arial" w:cs="Arial"/>
          <w:b/>
          <w:bCs/>
          <w:sz w:val="22"/>
          <w:szCs w:val="22"/>
        </w:rPr>
        <w:t>Alignment with National Guidance</w:t>
      </w:r>
    </w:p>
    <w:p w14:paraId="0EDDB2E1" w14:textId="77777777"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All councils meet baseline EH guidance (HM Government, 2023; DLUHC, 2022).</w:t>
      </w:r>
    </w:p>
    <w:p w14:paraId="08372F29" w14:textId="1E9543DB" w:rsidR="00CE44BA" w:rsidRPr="00EC3962" w:rsidRDefault="00CE44BA" w:rsidP="007F4093">
      <w:pPr>
        <w:spacing w:line="360" w:lineRule="auto"/>
        <w:jc w:val="both"/>
        <w:rPr>
          <w:rFonts w:ascii="Arial" w:hAnsi="Arial" w:cs="Arial"/>
          <w:sz w:val="22"/>
          <w:szCs w:val="22"/>
        </w:rPr>
      </w:pPr>
      <w:r w:rsidRPr="00EC3962">
        <w:rPr>
          <w:rFonts w:ascii="Arial" w:hAnsi="Arial" w:cs="Arial"/>
          <w:sz w:val="22"/>
          <w:szCs w:val="22"/>
        </w:rPr>
        <w:tab/>
        <w:t>•</w:t>
      </w:r>
      <w:r w:rsidRPr="00EC3962">
        <w:rPr>
          <w:rFonts w:ascii="Arial" w:hAnsi="Arial" w:cs="Arial"/>
          <w:sz w:val="22"/>
          <w:szCs w:val="22"/>
        </w:rPr>
        <w:tab/>
        <w:t>Tower Hamlets is most aligned with family-focused, accessible principles.</w:t>
      </w:r>
    </w:p>
    <w:p w14:paraId="7FFEC230" w14:textId="5F58D883" w:rsidR="00CE44BA" w:rsidRPr="00EC3962" w:rsidRDefault="00CE44BA" w:rsidP="007F4093">
      <w:pPr>
        <w:pStyle w:val="Heading1"/>
        <w:spacing w:line="360" w:lineRule="auto"/>
        <w:rPr>
          <w:rFonts w:ascii="Arial" w:hAnsi="Arial" w:cs="Arial"/>
        </w:rPr>
      </w:pPr>
      <w:bookmarkStart w:id="11" w:name="_Toc216346712"/>
      <w:r w:rsidRPr="00EC3962">
        <w:rPr>
          <w:rFonts w:ascii="Arial" w:hAnsi="Arial" w:cs="Arial"/>
        </w:rPr>
        <w:t>Conclusion and Recommendations</w:t>
      </w:r>
      <w:bookmarkEnd w:id="11"/>
    </w:p>
    <w:p w14:paraId="422FADB1" w14:textId="6E76FD04" w:rsidR="00CE44BA" w:rsidRPr="00EC3962" w:rsidRDefault="00CE44BA" w:rsidP="007F4093">
      <w:pPr>
        <w:pStyle w:val="Heading2"/>
        <w:spacing w:line="360" w:lineRule="auto"/>
        <w:rPr>
          <w:rFonts w:ascii="Arial" w:hAnsi="Arial" w:cs="Arial"/>
        </w:rPr>
      </w:pPr>
      <w:bookmarkStart w:id="12" w:name="_Toc216346713"/>
      <w:r w:rsidRPr="00EC3962">
        <w:rPr>
          <w:rFonts w:ascii="Arial" w:hAnsi="Arial" w:cs="Arial"/>
        </w:rPr>
        <w:t>Conclusion</w:t>
      </w:r>
      <w:bookmarkEnd w:id="12"/>
    </w:p>
    <w:p w14:paraId="1C565C8D" w14:textId="77777777" w:rsidR="00C15A21" w:rsidRPr="00EC3962" w:rsidRDefault="00C15A21" w:rsidP="007F4093">
      <w:pPr>
        <w:spacing w:line="360" w:lineRule="auto"/>
        <w:jc w:val="both"/>
        <w:rPr>
          <w:rFonts w:ascii="Arial" w:hAnsi="Arial" w:cs="Arial"/>
          <w:sz w:val="22"/>
          <w:szCs w:val="22"/>
        </w:rPr>
      </w:pPr>
      <w:r w:rsidRPr="00EC3962">
        <w:rPr>
          <w:rFonts w:ascii="Arial" w:hAnsi="Arial" w:cs="Arial"/>
          <w:sz w:val="22"/>
          <w:szCs w:val="22"/>
        </w:rPr>
        <w:t>Overall, the comparison shows clear differences in how each area presents its Early Help offer. Tower Hamlets provides the most intuitive and welcoming online information, using straightforward explanations and family-centred design that make the service easy to understand and navigate. Southwark demonstrates strong practice in outlining how consent works and in mapping out the steps involved in the Early Help journey, which can be particularly reassuring for practitioners and families alike. Leicestershire offers a wide range of detail, but the volume and complexity of the content may make it harder for some users to quickly grasp key messages, indicating that simplification could enhance accessibility.</w:t>
      </w:r>
    </w:p>
    <w:p w14:paraId="3514425B" w14:textId="38294844" w:rsidR="00C15A21" w:rsidRPr="00EC3962" w:rsidRDefault="00C15A21" w:rsidP="007F4093">
      <w:pPr>
        <w:spacing w:line="360" w:lineRule="auto"/>
        <w:jc w:val="both"/>
        <w:rPr>
          <w:rFonts w:ascii="Arial" w:hAnsi="Arial" w:cs="Arial"/>
          <w:sz w:val="22"/>
          <w:szCs w:val="22"/>
        </w:rPr>
      </w:pPr>
      <w:r w:rsidRPr="00EC3962">
        <w:rPr>
          <w:rFonts w:ascii="Arial" w:hAnsi="Arial" w:cs="Arial"/>
          <w:sz w:val="22"/>
          <w:szCs w:val="22"/>
        </w:rPr>
        <w:t>The findings reinforce the importance of clear, concise and user-friendly digital communication for encouraging families to seek support at the earliest opportunity. When online guidance is simple, transparent and easy to locate, families are more likely to engage sooner and professionals can make better-informed referrals (EIF, 2019; Walker, 2018). Ensuring that Early Help webpages are well structured and inclusive can also reduce inequalities by giving all families—regardless of background, language or digital confidence—a fair chance to understand the support available to them (LGA, 2020; Munro, 2011). Strengthening these aspects ultimately contributes to earlier intervention and improved outcomes for children and young people.</w:t>
      </w:r>
    </w:p>
    <w:p w14:paraId="3E046B8B" w14:textId="77777777" w:rsidR="00CE44BA" w:rsidRPr="00EC3962" w:rsidRDefault="00CE44BA" w:rsidP="007F4093">
      <w:pPr>
        <w:pStyle w:val="Heading2"/>
        <w:spacing w:line="360" w:lineRule="auto"/>
        <w:jc w:val="both"/>
        <w:rPr>
          <w:rFonts w:ascii="Arial" w:hAnsi="Arial" w:cs="Arial"/>
        </w:rPr>
      </w:pPr>
      <w:bookmarkStart w:id="13" w:name="_Toc216346714"/>
      <w:r w:rsidRPr="00EC3962">
        <w:rPr>
          <w:rFonts w:ascii="Arial" w:hAnsi="Arial" w:cs="Arial"/>
        </w:rPr>
        <w:t>Recommendations</w:t>
      </w:r>
      <w:bookmarkEnd w:id="13"/>
    </w:p>
    <w:p w14:paraId="4786BFB1" w14:textId="109D4D16"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Improving Early Help (EH) information online can make it easier for families, professionals and community partners to understand what support is available and how to access it. One key step is to use simple, everyday language across all EH webpages so that families can quickly understand what services do, who they are for, and how to reach them. Research shows that accessible wording can significantly reduce barriers for parents seeking support (Munro, 2011).</w:t>
      </w:r>
    </w:p>
    <w:p w14:paraId="744F9AAE" w14:textId="7DA2EF9F"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It is also helpful to offer downloadable leaflets, diagrams and step-by-step flowcharts. These tools allow families and practitioners to revisit information in their own time and share it with others involved in the child’s life. Visual summaries are known to increase comprehension, especially for families navigating complex systems (DfE, 2018).</w:t>
      </w:r>
    </w:p>
    <w:p w14:paraId="40C5D71A" w14:textId="6ECFB486"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Webpages should explain what happens after someone is referred to Early Help, including typical timescales, the role of the lead professional and how families will be kept updated. Clear expectations support transparency and reduce anxiety during the waiting period (Turney et al., 2012).</w:t>
      </w:r>
    </w:p>
    <w:p w14:paraId="408F5494" w14:textId="314D6BFF"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Because Early Help often involves several agencies working together, it is useful to include visual explanations of how different services link up—for example, diagrams showing schools, health teams, youth services and community groups working in partnership. This helps families understand who might be involved and why (Working Together to Safeguard Children, 2023).</w:t>
      </w:r>
    </w:p>
    <w:p w14:paraId="593DA1E1" w14:textId="0234DE19"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Providing multilingual materials—including translated guidance, short videos or easy-read versions—helps ensure inclusivity for families who may not speak English as a first language. Evidence suggests that culturally sensitive resources improve engagement and trust in services (Bernard &amp; Gupta, 2008).</w:t>
      </w:r>
    </w:p>
    <w:p w14:paraId="18D92724" w14:textId="41390AFF"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Adding short, anonymised case studies can help reduce stigma by showing that Early Help is a normal, supportive process used by many families. Examples make it easier for people to see how the service might fit their own situation and give reassurance about what to expect (Featherstone et al., 2014).</w:t>
      </w:r>
    </w:p>
    <w:p w14:paraId="27DA601C" w14:textId="5DBF57EF" w:rsidR="00857460" w:rsidRPr="00EC3962" w:rsidRDefault="00857460" w:rsidP="007F4093">
      <w:pPr>
        <w:spacing w:line="360" w:lineRule="auto"/>
        <w:jc w:val="both"/>
        <w:rPr>
          <w:rFonts w:ascii="Arial" w:hAnsi="Arial" w:cs="Arial"/>
          <w:sz w:val="22"/>
          <w:szCs w:val="22"/>
        </w:rPr>
      </w:pPr>
      <w:r w:rsidRPr="00EC3962">
        <w:rPr>
          <w:rFonts w:ascii="Arial" w:hAnsi="Arial" w:cs="Arial"/>
          <w:sz w:val="22"/>
          <w:szCs w:val="22"/>
        </w:rPr>
        <w:t>Finally, Early Help should be highly visible from the organisation’s homepage, using clear navigation and simple signposting. When support is easy to find, families are more likely to self-refer early, improving outcomes for children and preventing issues from escalating (Local Government Association, 2020).</w:t>
      </w:r>
    </w:p>
    <w:p w14:paraId="40F918F7" w14:textId="256FF8B8" w:rsidR="00CE44BA" w:rsidRPr="00EC3962" w:rsidRDefault="00CE44BA" w:rsidP="007F4093">
      <w:pPr>
        <w:pStyle w:val="Heading1"/>
        <w:spacing w:line="360" w:lineRule="auto"/>
        <w:rPr>
          <w:rFonts w:ascii="Arial" w:hAnsi="Arial" w:cs="Arial"/>
        </w:rPr>
      </w:pPr>
      <w:bookmarkStart w:id="14" w:name="_Toc216346715"/>
      <w:r w:rsidRPr="00EC3962">
        <w:rPr>
          <w:rFonts w:ascii="Arial" w:hAnsi="Arial" w:cs="Arial"/>
        </w:rPr>
        <w:t>References</w:t>
      </w:r>
      <w:bookmarkEnd w:id="14"/>
      <w:r w:rsidRPr="00EC3962">
        <w:rPr>
          <w:rFonts w:ascii="Arial" w:hAnsi="Arial" w:cs="Arial"/>
        </w:rPr>
        <w:t xml:space="preserve"> </w:t>
      </w:r>
    </w:p>
    <w:p w14:paraId="5C50C57B" w14:textId="52A15AD2"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Bernard, C. and Gupta, A. (2008) Black children’s lives: investigating child abuse and neglect in the UK. London: NSPCC.</w:t>
      </w:r>
    </w:p>
    <w:p w14:paraId="36370B3E" w14:textId="1798857D" w:rsidR="00206CCB" w:rsidRPr="00EC3962" w:rsidRDefault="00206CCB" w:rsidP="007F4093">
      <w:pPr>
        <w:pStyle w:val="ListParagraph"/>
        <w:numPr>
          <w:ilvl w:val="0"/>
          <w:numId w:val="2"/>
        </w:numPr>
        <w:spacing w:line="360" w:lineRule="auto"/>
        <w:jc w:val="both"/>
        <w:rPr>
          <w:rFonts w:ascii="Arial" w:hAnsi="Arial" w:cs="Arial"/>
          <w:sz w:val="22"/>
          <w:szCs w:val="22"/>
        </w:rPr>
      </w:pPr>
      <w:proofErr w:type="spellStart"/>
      <w:r w:rsidRPr="00EC3962">
        <w:rPr>
          <w:rFonts w:ascii="Arial" w:hAnsi="Arial" w:cs="Arial"/>
          <w:sz w:val="22"/>
          <w:szCs w:val="22"/>
        </w:rPr>
        <w:t>Bifulco</w:t>
      </w:r>
      <w:proofErr w:type="spellEnd"/>
      <w:r w:rsidRPr="00EC3962">
        <w:rPr>
          <w:rFonts w:ascii="Arial" w:hAnsi="Arial" w:cs="Arial"/>
          <w:sz w:val="22"/>
          <w:szCs w:val="22"/>
        </w:rPr>
        <w:t xml:space="preserve">, A., Moran, P., Jacobs, C. and </w:t>
      </w:r>
      <w:proofErr w:type="spellStart"/>
      <w:r w:rsidRPr="00EC3962">
        <w:rPr>
          <w:rFonts w:ascii="Arial" w:hAnsi="Arial" w:cs="Arial"/>
          <w:sz w:val="22"/>
          <w:szCs w:val="22"/>
        </w:rPr>
        <w:t>Bunn</w:t>
      </w:r>
      <w:proofErr w:type="spellEnd"/>
      <w:r w:rsidRPr="00EC3962">
        <w:rPr>
          <w:rFonts w:ascii="Arial" w:hAnsi="Arial" w:cs="Arial"/>
          <w:sz w:val="22"/>
          <w:szCs w:val="22"/>
        </w:rPr>
        <w:t>, A. (2007) ‘Multi-agency working: implications for an early-intervention social work team’, Child &amp; Family Social Work, 12(2), pp. 143–151.</w:t>
      </w:r>
    </w:p>
    <w:p w14:paraId="24FCB6A6" w14:textId="76ED4306"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Department for Education (DfE) (2018) Information sharing: advice for practitioners providing safeguarding services to children, young people, parents and carers. London: DfE.</w:t>
      </w:r>
    </w:p>
    <w:p w14:paraId="7534F741" w14:textId="66A70C21"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Department for Levelling Up, Housing and Communities (2022) Early Help System Guide: Supporting Families. London: HM Government.</w:t>
      </w:r>
    </w:p>
    <w:p w14:paraId="38ADA6DE" w14:textId="2A621B6B"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Early Intervention Foundation (2019) Evaluating Early Help. London: EIF. Available at: https://www.eif.org.uk (Accessed: 21 November 2025).</w:t>
      </w:r>
    </w:p>
    <w:p w14:paraId="6181A5D9" w14:textId="40F94A5B"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Early Intervention Foundation (EIF) (2019) Adverse childhood experiences: what we know, what we don’t know, and what should happen next. London: EIF.</w:t>
      </w:r>
    </w:p>
    <w:p w14:paraId="18F1B6FC" w14:textId="1AFBFA64"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Featherstone, B., White, S. and Morris, K. (2014) Re-imagining child protection: towards humane social work with families. Bristol: Policy Press.</w:t>
      </w:r>
    </w:p>
    <w:p w14:paraId="4E860997" w14:textId="14572593"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HM Government (2023) Working Together to Safeguard Children 2023: Statutory Guidance on Multi-agency Working to Help, Support and Protect Children and their Families. London: HM Government.</w:t>
      </w:r>
    </w:p>
    <w:p w14:paraId="0FD4CCA6" w14:textId="1D2D511E"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Journal of Applied Youth Studies (2024) ‘Implementation of Multi-agency Safeguarding Arrangements: Aligning Policy and Practice Using Normalisation Process Theory’, Journal of Applied Youth Studies, 7, pp. 449–468.</w:t>
      </w:r>
    </w:p>
    <w:p w14:paraId="472E2A85" w14:textId="7C4ED6F8"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Leicestershire County Council (n.d.-a) Help for children and families. Available at: https://www.leicestershire.gov.uk/education-and-children/social-care-and-supporting-families/help-for-children-and-families (Accessed: 21 November 2025).</w:t>
      </w:r>
    </w:p>
    <w:p w14:paraId="219BF5D4" w14:textId="7C8E1595"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Leicestershire County Council (n.d.-b) Early Help. Available at: https://resources.leicestershire.gov.uk/education-and-children/child-protection-and-safeguarding/early-help (Accessed: 21 November 2025).</w:t>
      </w:r>
    </w:p>
    <w:p w14:paraId="6665E8B4" w14:textId="699D5210"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Local Government Association (LGA) (2020) Early help: the evidence base. London: LGA.</w:t>
      </w:r>
    </w:p>
    <w:p w14:paraId="1D556AA8" w14:textId="4903E5DD"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Munro, E. (2011) The Munro Review of Child Protection: final report—A child-centred system. London: Department for Education.</w:t>
      </w:r>
    </w:p>
    <w:p w14:paraId="492670D7" w14:textId="6F6AFFE0"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Southwark Council (n.d.-a) About Early Help. Available at: https://www.southwark.gov.uk/children-and-families/childrens-social-care/early-help/about-early-help (Accessed: 21 November 2025).</w:t>
      </w:r>
    </w:p>
    <w:p w14:paraId="0B72ACE6" w14:textId="506F7CB3"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Southwark Council (n.d.-b) Early Help for everyone. Available at: https://www.southwark.gov.uk/children-and-families/childrens-social-care/early-help/about-early-help/early-help-everyone (Accessed: 21 November 2025).</w:t>
      </w:r>
    </w:p>
    <w:p w14:paraId="7718DE3F" w14:textId="1A4E33C1"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Southwark Council (n.d.-c) If you need extra early help. Available at: https://www.southwark.gov.uk/children-and-families/childrens-social-care/early-help/about-early-help/if-you-need-extra-early (Accessed: 21 November 2025).</w:t>
      </w:r>
    </w:p>
    <w:p w14:paraId="4513BA01" w14:textId="7CAF2832"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Tower Hamlets Council (n.d.-a) About Early Help. Available at: https://www.towerhamlets.gov.uk/lgnl/health__social_care/children_and_family_care/Early_Help/About_Early_Help.aspx (Accessed: 21 November 2025).</w:t>
      </w:r>
    </w:p>
    <w:p w14:paraId="6CD0E6C3" w14:textId="5632C9EC"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Tower Hamlets Council (n.d.-b) Tower Hamlets Family Hubs. Available at: https://www.towerhamlets.gov.uk/lgnl/health__social_care/children_and_family_care/Early_Help/Tower-Hamlets-Family-Hubs.aspx (Accessed: 21 November 2025).</w:t>
      </w:r>
    </w:p>
    <w:p w14:paraId="0029B422" w14:textId="683DB719"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 xml:space="preserve">Turney, D., Platt, D., </w:t>
      </w:r>
      <w:proofErr w:type="spellStart"/>
      <w:r w:rsidRPr="00EC3962">
        <w:rPr>
          <w:rFonts w:ascii="Arial" w:hAnsi="Arial" w:cs="Arial"/>
          <w:sz w:val="22"/>
          <w:szCs w:val="22"/>
        </w:rPr>
        <w:t>Selwyn</w:t>
      </w:r>
      <w:proofErr w:type="spellEnd"/>
      <w:r w:rsidRPr="00EC3962">
        <w:rPr>
          <w:rFonts w:ascii="Arial" w:hAnsi="Arial" w:cs="Arial"/>
          <w:sz w:val="22"/>
          <w:szCs w:val="22"/>
        </w:rPr>
        <w:t>, J. and Farmer, E. (2012) Improving child and family assessments: turning research into practice. London: Jessica Kingsley.</w:t>
      </w:r>
    </w:p>
    <w:p w14:paraId="48796B71" w14:textId="17149775" w:rsidR="00206CCB" w:rsidRPr="00EC3962"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Walker, G. (2018) Working Together for Children: A Critical Introduction to Multi-Agency Working. 2nd edn. London: Bloomsbury Academic.</w:t>
      </w:r>
    </w:p>
    <w:p w14:paraId="2A27BABD" w14:textId="751BB73F" w:rsidR="009855A3" w:rsidRPr="009855A3" w:rsidRDefault="00206CCB" w:rsidP="007F4093">
      <w:pPr>
        <w:pStyle w:val="ListParagraph"/>
        <w:numPr>
          <w:ilvl w:val="0"/>
          <w:numId w:val="2"/>
        </w:numPr>
        <w:spacing w:line="360" w:lineRule="auto"/>
        <w:jc w:val="both"/>
        <w:rPr>
          <w:rFonts w:ascii="Arial" w:hAnsi="Arial" w:cs="Arial"/>
          <w:sz w:val="22"/>
          <w:szCs w:val="22"/>
        </w:rPr>
      </w:pPr>
      <w:r w:rsidRPr="00EC3962">
        <w:rPr>
          <w:rFonts w:ascii="Arial" w:hAnsi="Arial" w:cs="Arial"/>
          <w:sz w:val="22"/>
          <w:szCs w:val="22"/>
        </w:rPr>
        <w:t>Walker, S. (2018) Supporting children and families: information sharing and early intervention. London: Jessi</w:t>
      </w:r>
      <w:r w:rsidRPr="00206CCB">
        <w:rPr>
          <w:rFonts w:ascii="Arial" w:hAnsi="Arial" w:cs="Arial"/>
          <w:sz w:val="22"/>
          <w:szCs w:val="22"/>
        </w:rPr>
        <w:t>ca Kingsley.</w:t>
      </w:r>
    </w:p>
    <w:sectPr w:rsidR="009855A3" w:rsidRPr="009855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9FC7DF" w14:textId="77777777" w:rsidR="00990302" w:rsidRDefault="00990302" w:rsidP="00990302">
      <w:pPr>
        <w:spacing w:after="0" w:line="240" w:lineRule="auto"/>
      </w:pPr>
      <w:r>
        <w:separator/>
      </w:r>
    </w:p>
  </w:endnote>
  <w:endnote w:type="continuationSeparator" w:id="0">
    <w:p w14:paraId="582A6A40" w14:textId="77777777" w:rsidR="00990302" w:rsidRDefault="00990302" w:rsidP="00990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933DA0" w14:textId="77777777" w:rsidR="00990302" w:rsidRDefault="00990302" w:rsidP="00990302">
      <w:pPr>
        <w:spacing w:after="0" w:line="240" w:lineRule="auto"/>
      </w:pPr>
      <w:r>
        <w:separator/>
      </w:r>
    </w:p>
  </w:footnote>
  <w:footnote w:type="continuationSeparator" w:id="0">
    <w:p w14:paraId="65A94B48" w14:textId="77777777" w:rsidR="00990302" w:rsidRDefault="00990302" w:rsidP="00990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13BAF"/>
    <w:multiLevelType w:val="hybridMultilevel"/>
    <w:tmpl w:val="EBA4708A"/>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9378A"/>
    <w:multiLevelType w:val="hybridMultilevel"/>
    <w:tmpl w:val="C81EA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072272">
    <w:abstractNumId w:val="0"/>
  </w:num>
  <w:num w:numId="2" w16cid:durableId="20107946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4BA"/>
    <w:rsid w:val="000043D1"/>
    <w:rsid w:val="00030A56"/>
    <w:rsid w:val="0013455C"/>
    <w:rsid w:val="002037AA"/>
    <w:rsid w:val="00206CCB"/>
    <w:rsid w:val="003B0424"/>
    <w:rsid w:val="003D224F"/>
    <w:rsid w:val="00430E33"/>
    <w:rsid w:val="00442CA0"/>
    <w:rsid w:val="00454629"/>
    <w:rsid w:val="00534AD6"/>
    <w:rsid w:val="005C295D"/>
    <w:rsid w:val="0060416A"/>
    <w:rsid w:val="006C48E7"/>
    <w:rsid w:val="00705A37"/>
    <w:rsid w:val="00722709"/>
    <w:rsid w:val="00746757"/>
    <w:rsid w:val="007857F6"/>
    <w:rsid w:val="007F4093"/>
    <w:rsid w:val="00857460"/>
    <w:rsid w:val="00866351"/>
    <w:rsid w:val="00905D3E"/>
    <w:rsid w:val="009855A3"/>
    <w:rsid w:val="00990302"/>
    <w:rsid w:val="00A25429"/>
    <w:rsid w:val="00A80F19"/>
    <w:rsid w:val="00AA49E2"/>
    <w:rsid w:val="00B13AC8"/>
    <w:rsid w:val="00B3041E"/>
    <w:rsid w:val="00B55F5B"/>
    <w:rsid w:val="00B7754C"/>
    <w:rsid w:val="00BE71B4"/>
    <w:rsid w:val="00BF7BA6"/>
    <w:rsid w:val="00C15A21"/>
    <w:rsid w:val="00C83FEC"/>
    <w:rsid w:val="00CC59AC"/>
    <w:rsid w:val="00CE002D"/>
    <w:rsid w:val="00CE44BA"/>
    <w:rsid w:val="00D538B0"/>
    <w:rsid w:val="00E53F71"/>
    <w:rsid w:val="00EA1D9F"/>
    <w:rsid w:val="00EC3962"/>
    <w:rsid w:val="00F71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780A1E"/>
  <w15:chartTrackingRefBased/>
  <w15:docId w15:val="{B3BB018D-B8FE-4146-AB3B-64AB36826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54C"/>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0BF7BA6"/>
    <w:pPr>
      <w:ind w:left="720"/>
      <w:contextualSpacing/>
    </w:pPr>
  </w:style>
  <w:style w:type="paragraph" w:styleId="TOCHeading">
    <w:name w:val="TOC Heading"/>
    <w:basedOn w:val="Heading1"/>
    <w:next w:val="Normal"/>
    <w:uiPriority w:val="39"/>
    <w:unhideWhenUsed/>
    <w:qFormat/>
    <w:rsid w:val="00534AD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34AD6"/>
    <w:pPr>
      <w:spacing w:after="100"/>
    </w:pPr>
  </w:style>
  <w:style w:type="paragraph" w:styleId="TOC2">
    <w:name w:val="toc 2"/>
    <w:basedOn w:val="Normal"/>
    <w:next w:val="Normal"/>
    <w:autoRedefine/>
    <w:uiPriority w:val="39"/>
    <w:unhideWhenUsed/>
    <w:rsid w:val="00534AD6"/>
    <w:pPr>
      <w:spacing w:after="100"/>
      <w:ind w:left="240"/>
    </w:pPr>
  </w:style>
  <w:style w:type="character" w:styleId="Hyperlink">
    <w:name w:val="Hyperlink"/>
    <w:basedOn w:val="DefaultParagraphFont"/>
    <w:uiPriority w:val="99"/>
    <w:unhideWhenUsed/>
    <w:rsid w:val="00534AD6"/>
    <w:rPr>
      <w:color w:val="467886" w:themeColor="hyperlink"/>
      <w:u w:val="single"/>
    </w:rPr>
  </w:style>
  <w:style w:type="paragraph" w:styleId="Header">
    <w:name w:val="header"/>
    <w:basedOn w:val="Normal"/>
    <w:link w:val="HeaderChar"/>
    <w:uiPriority w:val="99"/>
    <w:unhideWhenUsed/>
    <w:rsid w:val="00990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302"/>
  </w:style>
  <w:style w:type="paragraph" w:styleId="Footer">
    <w:name w:val="footer"/>
    <w:basedOn w:val="Normal"/>
    <w:link w:val="FooterChar"/>
    <w:uiPriority w:val="99"/>
    <w:unhideWhenUsed/>
    <w:rsid w:val="00990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2791</Words>
  <Characters>15912</Characters>
  <Application>Microsoft Office Word</Application>
  <DocSecurity>0</DocSecurity>
  <Lines>132</Lines>
  <Paragraphs>37</Paragraphs>
  <ScaleCrop>false</ScaleCrop>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2</cp:revision>
  <dcterms:created xsi:type="dcterms:W3CDTF">2025-12-11T12:11:00Z</dcterms:created>
  <dcterms:modified xsi:type="dcterms:W3CDTF">2025-12-11T12:11:00Z</dcterms:modified>
</cp:coreProperties>
</file>