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ECEC87B" w:rsidP="72DA92D2" w:rsidRDefault="3ECEC87B" w14:paraId="3A005633" w14:textId="3771F689">
      <w:pPr>
        <w:rPr>
          <w:b w:val="1"/>
          <w:bCs w:val="1"/>
        </w:rPr>
      </w:pPr>
      <w:r w:rsidRPr="72DA92D2" w:rsidR="3ECEC87B">
        <w:rPr>
          <w:b w:val="1"/>
          <w:bCs w:val="1"/>
        </w:rPr>
        <w:t>Organisational c</w:t>
      </w:r>
      <w:r w:rsidRPr="72DA92D2" w:rsidR="174BB8BC">
        <w:rPr>
          <w:b w:val="1"/>
          <w:bCs w:val="1"/>
        </w:rPr>
        <w:t xml:space="preserve">ulture: individual report </w:t>
      </w:r>
      <w:r w:rsidRPr="72DA92D2" w:rsidR="174BB8BC">
        <w:rPr>
          <w:b w:val="1"/>
          <w:bCs w:val="1"/>
        </w:rPr>
        <w:t>( Toyota</w:t>
      </w:r>
      <w:r w:rsidRPr="72DA92D2" w:rsidR="174BB8BC">
        <w:rPr>
          <w:b w:val="1"/>
          <w:bCs w:val="1"/>
        </w:rPr>
        <w:t xml:space="preserve">) </w:t>
      </w:r>
    </w:p>
    <w:p w:rsidR="174BB8BC" w:rsidP="72DA92D2" w:rsidRDefault="174BB8BC" w14:paraId="60E6FC1B" w14:textId="631C32EF">
      <w:pPr>
        <w:rPr>
          <w:b w:val="1"/>
          <w:bCs w:val="1"/>
        </w:rPr>
      </w:pPr>
      <w:r w:rsidRPr="72DA92D2" w:rsidR="174BB8BC">
        <w:rPr>
          <w:b w:val="1"/>
          <w:bCs w:val="1"/>
        </w:rPr>
        <w:t xml:space="preserve">Assessment </w:t>
      </w:r>
      <w:r w:rsidRPr="72DA92D2" w:rsidR="174BB8BC">
        <w:rPr>
          <w:b w:val="1"/>
          <w:bCs w:val="1"/>
        </w:rPr>
        <w:t>component</w:t>
      </w:r>
      <w:r w:rsidRPr="72DA92D2" w:rsidR="174BB8BC">
        <w:rPr>
          <w:b w:val="1"/>
          <w:bCs w:val="1"/>
        </w:rPr>
        <w:t xml:space="preserve"> 1 </w:t>
      </w:r>
    </w:p>
    <w:p w:rsidR="2E94F253" w:rsidP="72DA92D2" w:rsidRDefault="2E94F253" w14:paraId="65153C1D" w14:textId="23D82DED">
      <w:pPr>
        <w:rPr>
          <w:b w:val="1"/>
          <w:bCs w:val="1"/>
        </w:rPr>
      </w:pPr>
      <w:r w:rsidRPr="72DA92D2" w:rsidR="2E94F253">
        <w:rPr>
          <w:b w:val="1"/>
          <w:bCs w:val="1"/>
        </w:rPr>
        <w:t xml:space="preserve">Lecturer </w:t>
      </w:r>
      <w:r w:rsidRPr="72DA92D2" w:rsidR="2E94F253">
        <w:rPr>
          <w:b w:val="1"/>
          <w:bCs w:val="1"/>
        </w:rPr>
        <w:t>name :</w:t>
      </w:r>
      <w:r w:rsidRPr="72DA92D2" w:rsidR="2E94F253">
        <w:rPr>
          <w:b w:val="1"/>
          <w:bCs w:val="1"/>
        </w:rPr>
        <w:t xml:space="preserve"> Ibrahim Ruf</w:t>
      </w:r>
      <w:r w:rsidRPr="72DA92D2" w:rsidR="6A428C6B">
        <w:rPr>
          <w:b w:val="1"/>
          <w:bCs w:val="1"/>
        </w:rPr>
        <w:t>ai</w:t>
      </w:r>
    </w:p>
    <w:p w:rsidR="174BB8BC" w:rsidP="72DA92D2" w:rsidRDefault="174BB8BC" w14:paraId="5DB80A26" w14:textId="547ECFAD">
      <w:pPr>
        <w:rPr>
          <w:b w:val="1"/>
          <w:bCs w:val="1"/>
        </w:rPr>
      </w:pPr>
      <w:r w:rsidRPr="72DA92D2" w:rsidR="174BB8BC">
        <w:rPr>
          <w:b w:val="1"/>
          <w:bCs w:val="1"/>
        </w:rPr>
        <w:t xml:space="preserve">Student </w:t>
      </w:r>
      <w:r w:rsidRPr="72DA92D2" w:rsidR="174BB8BC">
        <w:rPr>
          <w:b w:val="1"/>
          <w:bCs w:val="1"/>
        </w:rPr>
        <w:t>name :</w:t>
      </w:r>
      <w:r w:rsidRPr="72DA92D2" w:rsidR="174BB8BC">
        <w:rPr>
          <w:b w:val="1"/>
          <w:bCs w:val="1"/>
        </w:rPr>
        <w:t xml:space="preserve"> Nadim Hussain </w:t>
      </w:r>
    </w:p>
    <w:p w:rsidR="174BB8BC" w:rsidP="72DA92D2" w:rsidRDefault="174BB8BC" w14:paraId="187C1EBF" w14:textId="0326B0B6">
      <w:pPr>
        <w:rPr>
          <w:b w:val="1"/>
          <w:bCs w:val="1"/>
        </w:rPr>
      </w:pPr>
      <w:r w:rsidRPr="72DA92D2" w:rsidR="174BB8BC">
        <w:rPr>
          <w:b w:val="1"/>
          <w:bCs w:val="1"/>
        </w:rPr>
        <w:t xml:space="preserve">Student ID: 2408865 </w:t>
      </w:r>
    </w:p>
    <w:p w:rsidR="174BB8BC" w:rsidP="72DA92D2" w:rsidRDefault="174BB8BC" w14:paraId="01FCB922" w14:textId="275541F6">
      <w:pPr>
        <w:rPr>
          <w:b w:val="1"/>
          <w:bCs w:val="1"/>
        </w:rPr>
      </w:pPr>
      <w:r w:rsidRPr="72DA92D2" w:rsidR="174BB8BC">
        <w:rPr>
          <w:b w:val="1"/>
          <w:bCs w:val="1"/>
        </w:rPr>
        <w:t xml:space="preserve">Module LCLM 5005 – ORGANISATIONAL CULTURE </w:t>
      </w:r>
    </w:p>
    <w:p w:rsidR="174BB8BC" w:rsidP="72DA92D2" w:rsidRDefault="174BB8BC" w14:paraId="5C75DEBB" w14:textId="1C7E2ABD">
      <w:pPr>
        <w:rPr>
          <w:b w:val="1"/>
          <w:bCs w:val="1"/>
        </w:rPr>
      </w:pPr>
      <w:r w:rsidRPr="72DA92D2" w:rsidR="174BB8BC">
        <w:rPr>
          <w:b w:val="1"/>
          <w:bCs w:val="1"/>
        </w:rPr>
        <w:t xml:space="preserve">WORD COUNT: </w:t>
      </w:r>
      <w:r w:rsidRPr="72DA92D2" w:rsidR="6A03B36C">
        <w:rPr>
          <w:b w:val="1"/>
          <w:bCs w:val="1"/>
        </w:rPr>
        <w:t>3286</w:t>
      </w:r>
    </w:p>
    <w:p w:rsidR="43422CE2" w:rsidP="72DA92D2" w:rsidRDefault="43422CE2" w14:paraId="797FD098" w14:textId="37CDC8AE">
      <w:pPr>
        <w:rPr>
          <w:b w:val="1"/>
          <w:bCs w:val="1"/>
        </w:rPr>
      </w:pPr>
      <w:r w:rsidRPr="72DA92D2" w:rsidR="43422CE2">
        <w:rPr>
          <w:b w:val="1"/>
          <w:bCs w:val="1"/>
        </w:rPr>
        <w:t>DEADLINE :</w:t>
      </w:r>
      <w:r w:rsidRPr="72DA92D2" w:rsidR="43422CE2">
        <w:rPr>
          <w:b w:val="1"/>
          <w:bCs w:val="1"/>
        </w:rPr>
        <w:t xml:space="preserve"> </w:t>
      </w:r>
      <w:r w:rsidRPr="72DA92D2" w:rsidR="43422CE2">
        <w:rPr>
          <w:rFonts w:ascii="Aptos Narrow" w:hAnsi="Aptos Narrow" w:eastAsia="Aptos Narrow" w:cs="Aptos Narrow"/>
          <w:b w:val="1"/>
          <w:bCs w:val="1"/>
          <w:noProof w:val="0"/>
          <w:color w:val="000000" w:themeColor="text1" w:themeTint="FF" w:themeShade="FF"/>
          <w:sz w:val="22"/>
          <w:szCs w:val="22"/>
          <w:lang w:val="en-GB"/>
        </w:rPr>
        <w:t>13/07/2026</w:t>
      </w:r>
      <w:r w:rsidRPr="72DA92D2" w:rsidR="2F28B938">
        <w:rPr>
          <w:rFonts w:ascii="Aptos Narrow" w:hAnsi="Aptos Narrow" w:eastAsia="Aptos Narrow" w:cs="Aptos Narrow"/>
          <w:b w:val="1"/>
          <w:bCs w:val="1"/>
          <w:noProof w:val="0"/>
          <w:color w:val="000000" w:themeColor="text1" w:themeTint="FF" w:themeShade="FF"/>
          <w:sz w:val="22"/>
          <w:szCs w:val="22"/>
          <w:lang w:val="en-GB"/>
        </w:rPr>
        <w:t xml:space="preserve"> </w:t>
      </w:r>
    </w:p>
    <w:p w:rsidR="72DA92D2" w:rsidP="72DA92D2" w:rsidRDefault="72DA92D2" w14:paraId="5D887E01" w14:textId="51034442">
      <w:pPr>
        <w:rPr>
          <w:rFonts w:ascii="Aptos Narrow" w:hAnsi="Aptos Narrow" w:eastAsia="Aptos Narrow" w:cs="Aptos Narrow"/>
          <w:b w:val="1"/>
          <w:bCs w:val="1"/>
          <w:noProof w:val="0"/>
          <w:color w:val="000000" w:themeColor="text1" w:themeTint="FF" w:themeShade="FF"/>
          <w:sz w:val="22"/>
          <w:szCs w:val="22"/>
          <w:lang w:val="en-GB"/>
        </w:rPr>
      </w:pPr>
    </w:p>
    <w:p w:rsidR="72DA92D2" w:rsidP="72DA92D2" w:rsidRDefault="72DA92D2" w14:paraId="208F0201" w14:textId="230EFE6A">
      <w:pPr>
        <w:rPr>
          <w:rFonts w:ascii="Aptos Narrow" w:hAnsi="Aptos Narrow" w:eastAsia="Aptos Narrow" w:cs="Aptos Narrow"/>
          <w:b w:val="1"/>
          <w:bCs w:val="1"/>
          <w:noProof w:val="0"/>
          <w:color w:val="000000" w:themeColor="text1" w:themeTint="FF" w:themeShade="FF"/>
          <w:sz w:val="22"/>
          <w:szCs w:val="22"/>
          <w:lang w:val="en-GB"/>
        </w:rPr>
      </w:pPr>
    </w:p>
    <w:p w:rsidR="72DA92D2" w:rsidP="72DA92D2" w:rsidRDefault="72DA92D2" w14:paraId="4DAC81FD" w14:textId="3394A662">
      <w:pPr>
        <w:rPr>
          <w:rFonts w:ascii="Aptos Narrow" w:hAnsi="Aptos Narrow" w:eastAsia="Aptos Narrow" w:cs="Aptos Narrow"/>
          <w:b w:val="1"/>
          <w:bCs w:val="1"/>
          <w:noProof w:val="0"/>
          <w:color w:val="000000" w:themeColor="text1" w:themeTint="FF" w:themeShade="FF"/>
          <w:sz w:val="22"/>
          <w:szCs w:val="22"/>
          <w:lang w:val="en-GB"/>
        </w:rPr>
      </w:pPr>
    </w:p>
    <w:p w:rsidR="72DA92D2" w:rsidP="72DA92D2" w:rsidRDefault="72DA92D2" w14:paraId="4F2CC1EA" w14:textId="3FE5219F">
      <w:pPr>
        <w:rPr>
          <w:rFonts w:ascii="Aptos Narrow" w:hAnsi="Aptos Narrow" w:eastAsia="Aptos Narrow" w:cs="Aptos Narrow"/>
          <w:b w:val="1"/>
          <w:bCs w:val="1"/>
          <w:noProof w:val="0"/>
          <w:color w:val="000000" w:themeColor="text1" w:themeTint="FF" w:themeShade="FF"/>
          <w:sz w:val="22"/>
          <w:szCs w:val="22"/>
          <w:lang w:val="en-GB"/>
        </w:rPr>
      </w:pPr>
    </w:p>
    <w:p w:rsidR="72DA92D2" w:rsidRDefault="72DA92D2" w14:paraId="31E8DEDA" w14:textId="009B9C00">
      <w:r>
        <w:br w:type="page"/>
      </w:r>
    </w:p>
    <w:p w:rsidR="4DDEC5B4" w:rsidP="72DA92D2" w:rsidRDefault="4DDEC5B4" w14:paraId="2E8368FF" w14:textId="352CD174">
      <w:pPr>
        <w:pStyle w:val="Heading2"/>
      </w:pPr>
      <w:r w:rsidRPr="72DA92D2" w:rsidR="4DDEC5B4">
        <w:rPr>
          <w:rFonts w:ascii="Aptos" w:hAnsi="Aptos" w:eastAsia="Aptos" w:cs="Aptos"/>
          <w:noProof w:val="0"/>
          <w:sz w:val="22"/>
          <w:szCs w:val="22"/>
          <w:lang w:val="en-GB"/>
        </w:rPr>
        <w:t>Contents</w:t>
      </w:r>
    </w:p>
    <w:p w:rsidR="4DDEC5B4" w:rsidP="72DA92D2" w:rsidRDefault="4DDEC5B4" w14:paraId="51DCF822" w14:textId="019380CD">
      <w:pPr>
        <w:pStyle w:val="Heading3"/>
      </w:pPr>
      <w:r w:rsidRPr="72DA92D2" w:rsidR="4DDEC5B4">
        <w:rPr>
          <w:rFonts w:ascii="Aptos" w:hAnsi="Aptos" w:eastAsia="Aptos" w:cs="Aptos"/>
          <w:noProof w:val="0"/>
          <w:sz w:val="22"/>
          <w:szCs w:val="22"/>
          <w:lang w:val="en-GB"/>
        </w:rPr>
        <w:t>1. Introduction</w:t>
      </w:r>
    </w:p>
    <w:p w:rsidR="4DDEC5B4" w:rsidRDefault="4DDEC5B4" w14:paraId="0D366985" w14:textId="2F130F94">
      <w:r w:rsidRPr="72DA92D2" w:rsidR="4DDEC5B4">
        <w:rPr>
          <w:rFonts w:ascii="Aptos" w:hAnsi="Aptos" w:eastAsia="Aptos" w:cs="Aptos"/>
          <w:noProof w:val="0"/>
          <w:sz w:val="22"/>
          <w:szCs w:val="22"/>
          <w:lang w:val="en-GB"/>
        </w:rPr>
        <w:t>This section introduces organisational culture as an invisible yet pervasive management control tool using Mullins and Christy’s (2016) baseline framework. It frames Toyota as the ultimate global automotive benchmark of lean operations but introduces the core thesis: a firm’s greatest cultural strengths can simultaneously act as its most dangerous points of systemic failure during a crisis.</w:t>
      </w:r>
    </w:p>
    <w:p w:rsidR="4DDEC5B4" w:rsidP="72DA92D2" w:rsidRDefault="4DDEC5B4" w14:paraId="14A58341" w14:textId="592D66A6">
      <w:pPr>
        <w:pStyle w:val="Heading3"/>
      </w:pPr>
      <w:r w:rsidRPr="72DA92D2" w:rsidR="4DDEC5B4">
        <w:rPr>
          <w:rFonts w:ascii="Aptos" w:hAnsi="Aptos" w:eastAsia="Aptos" w:cs="Aptos"/>
          <w:noProof w:val="0"/>
          <w:sz w:val="22"/>
          <w:szCs w:val="22"/>
          <w:lang w:val="en-GB"/>
        </w:rPr>
        <w:t>2. The Historical, Philosophical, and Societal Foundations of Toyota's Culture</w:t>
      </w:r>
    </w:p>
    <w:p w:rsidR="4DDEC5B4" w:rsidRDefault="4DDEC5B4" w14:paraId="534248C0" w14:textId="5A37889C">
      <w:r w:rsidRPr="72DA92D2" w:rsidR="4DDEC5B4">
        <w:rPr>
          <w:rFonts w:ascii="Aptos" w:hAnsi="Aptos" w:eastAsia="Aptos" w:cs="Aptos"/>
          <w:noProof w:val="0"/>
          <w:sz w:val="22"/>
          <w:szCs w:val="22"/>
          <w:lang w:val="en-GB"/>
        </w:rPr>
        <w:t xml:space="preserve">This chapter deconstructs </w:t>
      </w:r>
      <w:r w:rsidRPr="72DA92D2" w:rsidR="4DDEC5B4">
        <w:rPr>
          <w:rFonts w:ascii="Aptos" w:hAnsi="Aptos" w:eastAsia="Aptos" w:cs="Aptos"/>
          <w:i w:val="1"/>
          <w:iCs w:val="1"/>
          <w:noProof w:val="0"/>
          <w:sz w:val="22"/>
          <w:szCs w:val="22"/>
          <w:lang w:val="en-GB"/>
        </w:rPr>
        <w:t>why</w:t>
      </w:r>
      <w:r w:rsidRPr="72DA92D2" w:rsidR="4DDEC5B4">
        <w:rPr>
          <w:rFonts w:ascii="Aptos" w:hAnsi="Aptos" w:eastAsia="Aptos" w:cs="Aptos"/>
          <w:noProof w:val="0"/>
          <w:sz w:val="22"/>
          <w:szCs w:val="22"/>
          <w:lang w:val="en-GB"/>
        </w:rPr>
        <w:t xml:space="preserve"> Toyota behaves the way it does by looking backward. It explores its historical evolution:</w:t>
      </w:r>
    </w:p>
    <w:p w:rsidR="4DDEC5B4" w:rsidP="72DA92D2" w:rsidRDefault="4DDEC5B4" w14:paraId="7C7F15C4" w14:textId="0A35F55F">
      <w:pPr>
        <w:pStyle w:val="ListParagraph"/>
        <w:numPr>
          <w:ilvl w:val="0"/>
          <w:numId w:val="16"/>
        </w:numPr>
        <w:spacing w:before="0" w:beforeAutospacing="off" w:after="0" w:afterAutospacing="off"/>
        <w:rPr>
          <w:rFonts w:ascii="Aptos" w:hAnsi="Aptos" w:eastAsia="Aptos" w:cs="Aptos"/>
          <w:noProof w:val="0"/>
          <w:sz w:val="22"/>
          <w:szCs w:val="22"/>
          <w:lang w:val="en-GB"/>
        </w:rPr>
      </w:pPr>
      <w:r w:rsidRPr="72DA92D2" w:rsidR="4DDEC5B4">
        <w:rPr>
          <w:rFonts w:ascii="Aptos" w:hAnsi="Aptos" w:eastAsia="Aptos" w:cs="Aptos"/>
          <w:b w:val="1"/>
          <w:bCs w:val="1"/>
          <w:noProof w:val="0"/>
          <w:sz w:val="22"/>
          <w:szCs w:val="22"/>
          <w:lang w:val="en-GB"/>
        </w:rPr>
        <w:t>The structural roots:</w:t>
      </w:r>
      <w:r w:rsidRPr="72DA92D2" w:rsidR="4DDEC5B4">
        <w:rPr>
          <w:rFonts w:ascii="Aptos" w:hAnsi="Aptos" w:eastAsia="Aptos" w:cs="Aptos"/>
          <w:noProof w:val="0"/>
          <w:sz w:val="22"/>
          <w:szCs w:val="22"/>
          <w:lang w:val="en-GB"/>
        </w:rPr>
        <w:t xml:space="preserve"> Sakichi Toyoda's invention of automatic loom halts (</w:t>
      </w:r>
      <w:r w:rsidRPr="72DA92D2" w:rsidR="4DDEC5B4">
        <w:rPr>
          <w:rFonts w:ascii="Aptos" w:hAnsi="Aptos" w:eastAsia="Aptos" w:cs="Aptos"/>
          <w:i w:val="1"/>
          <w:iCs w:val="1"/>
          <w:noProof w:val="0"/>
          <w:sz w:val="22"/>
          <w:szCs w:val="22"/>
          <w:lang w:val="en-GB"/>
        </w:rPr>
        <w:t>jidoka</w:t>
      </w:r>
      <w:r w:rsidRPr="72DA92D2" w:rsidR="4DDEC5B4">
        <w:rPr>
          <w:rFonts w:ascii="Aptos" w:hAnsi="Aptos" w:eastAsia="Aptos" w:cs="Aptos"/>
          <w:noProof w:val="0"/>
          <w:sz w:val="22"/>
          <w:szCs w:val="22"/>
          <w:lang w:val="en-GB"/>
        </w:rPr>
        <w:t>).</w:t>
      </w:r>
    </w:p>
    <w:p w:rsidR="4DDEC5B4" w:rsidP="72DA92D2" w:rsidRDefault="4DDEC5B4" w14:paraId="6B724957" w14:textId="0901C039">
      <w:pPr>
        <w:pStyle w:val="ListParagraph"/>
        <w:numPr>
          <w:ilvl w:val="0"/>
          <w:numId w:val="16"/>
        </w:numPr>
        <w:spacing w:before="0" w:beforeAutospacing="off" w:after="0" w:afterAutospacing="off"/>
        <w:rPr>
          <w:rFonts w:ascii="Aptos" w:hAnsi="Aptos" w:eastAsia="Aptos" w:cs="Aptos"/>
          <w:noProof w:val="0"/>
          <w:sz w:val="22"/>
          <w:szCs w:val="22"/>
          <w:lang w:val="en-GB"/>
        </w:rPr>
      </w:pPr>
      <w:r w:rsidRPr="72DA92D2" w:rsidR="4DDEC5B4">
        <w:rPr>
          <w:rFonts w:ascii="Aptos" w:hAnsi="Aptos" w:eastAsia="Aptos" w:cs="Aptos"/>
          <w:b w:val="1"/>
          <w:bCs w:val="1"/>
          <w:noProof w:val="0"/>
          <w:sz w:val="22"/>
          <w:szCs w:val="22"/>
          <w:lang w:val="en-GB"/>
        </w:rPr>
        <w:t>The economic realities:</w:t>
      </w:r>
      <w:r w:rsidRPr="72DA92D2" w:rsidR="4DDEC5B4">
        <w:rPr>
          <w:rFonts w:ascii="Aptos" w:hAnsi="Aptos" w:eastAsia="Aptos" w:cs="Aptos"/>
          <w:noProof w:val="0"/>
          <w:sz w:val="22"/>
          <w:szCs w:val="22"/>
          <w:lang w:val="en-GB"/>
        </w:rPr>
        <w:t xml:space="preserve"> Post-WWII asset scarcity which forced Taiichi Ohno to create </w:t>
      </w:r>
      <w:r w:rsidRPr="72DA92D2" w:rsidR="4DDEC5B4">
        <w:rPr>
          <w:rFonts w:ascii="Aptos" w:hAnsi="Aptos" w:eastAsia="Aptos" w:cs="Aptos"/>
          <w:i w:val="1"/>
          <w:iCs w:val="1"/>
          <w:noProof w:val="0"/>
          <w:sz w:val="22"/>
          <w:szCs w:val="22"/>
          <w:lang w:val="en-GB"/>
        </w:rPr>
        <w:t>Just-in-Time</w:t>
      </w:r>
      <w:r w:rsidRPr="72DA92D2" w:rsidR="4DDEC5B4">
        <w:rPr>
          <w:rFonts w:ascii="Aptos" w:hAnsi="Aptos" w:eastAsia="Aptos" w:cs="Aptos"/>
          <w:noProof w:val="0"/>
          <w:sz w:val="22"/>
          <w:szCs w:val="22"/>
          <w:lang w:val="en-GB"/>
        </w:rPr>
        <w:t xml:space="preserve"> (JIT) manufacturing to completely eliminate waste (</w:t>
      </w:r>
      <w:r w:rsidRPr="72DA92D2" w:rsidR="4DDEC5B4">
        <w:rPr>
          <w:rFonts w:ascii="Aptos" w:hAnsi="Aptos" w:eastAsia="Aptos" w:cs="Aptos"/>
          <w:i w:val="1"/>
          <w:iCs w:val="1"/>
          <w:noProof w:val="0"/>
          <w:sz w:val="22"/>
          <w:szCs w:val="22"/>
          <w:lang w:val="en-GB"/>
        </w:rPr>
        <w:t>muda</w:t>
      </w:r>
      <w:r w:rsidRPr="72DA92D2" w:rsidR="4DDEC5B4">
        <w:rPr>
          <w:rFonts w:ascii="Aptos" w:hAnsi="Aptos" w:eastAsia="Aptos" w:cs="Aptos"/>
          <w:noProof w:val="0"/>
          <w:sz w:val="22"/>
          <w:szCs w:val="22"/>
          <w:lang w:val="en-GB"/>
        </w:rPr>
        <w:t>).</w:t>
      </w:r>
    </w:p>
    <w:p w:rsidR="4DDEC5B4" w:rsidP="72DA92D2" w:rsidRDefault="4DDEC5B4" w14:paraId="6780049F" w14:textId="2F98BB07">
      <w:pPr>
        <w:pStyle w:val="ListParagraph"/>
        <w:numPr>
          <w:ilvl w:val="0"/>
          <w:numId w:val="16"/>
        </w:numPr>
        <w:spacing w:before="0" w:beforeAutospacing="off" w:after="0" w:afterAutospacing="off"/>
        <w:rPr>
          <w:rFonts w:ascii="Aptos" w:hAnsi="Aptos" w:eastAsia="Aptos" w:cs="Aptos"/>
          <w:noProof w:val="0"/>
          <w:sz w:val="22"/>
          <w:szCs w:val="22"/>
          <w:lang w:val="en-GB"/>
        </w:rPr>
      </w:pPr>
      <w:r w:rsidRPr="72DA92D2" w:rsidR="4DDEC5B4">
        <w:rPr>
          <w:rFonts w:ascii="Aptos" w:hAnsi="Aptos" w:eastAsia="Aptos" w:cs="Aptos"/>
          <w:b w:val="1"/>
          <w:bCs w:val="1"/>
          <w:noProof w:val="0"/>
          <w:sz w:val="22"/>
          <w:szCs w:val="22"/>
          <w:lang w:val="en-GB"/>
        </w:rPr>
        <w:t>The modern codification:</w:t>
      </w:r>
      <w:r w:rsidRPr="72DA92D2" w:rsidR="4DDEC5B4">
        <w:rPr>
          <w:rFonts w:ascii="Aptos" w:hAnsi="Aptos" w:eastAsia="Aptos" w:cs="Aptos"/>
          <w:noProof w:val="0"/>
          <w:sz w:val="22"/>
          <w:szCs w:val="22"/>
          <w:lang w:val="en-GB"/>
        </w:rPr>
        <w:t xml:space="preserve"> How these practices merged into "The Toyota Way" (2001) under the twin pillars of </w:t>
      </w:r>
      <w:r w:rsidRPr="72DA92D2" w:rsidR="4DDEC5B4">
        <w:rPr>
          <w:rFonts w:ascii="Aptos" w:hAnsi="Aptos" w:eastAsia="Aptos" w:cs="Aptos"/>
          <w:i w:val="1"/>
          <w:iCs w:val="1"/>
          <w:noProof w:val="0"/>
          <w:sz w:val="22"/>
          <w:szCs w:val="22"/>
          <w:lang w:val="en-GB"/>
        </w:rPr>
        <w:t>Continuous Improvement</w:t>
      </w:r>
      <w:r w:rsidRPr="72DA92D2" w:rsidR="4DDEC5B4">
        <w:rPr>
          <w:rFonts w:ascii="Aptos" w:hAnsi="Aptos" w:eastAsia="Aptos" w:cs="Aptos"/>
          <w:noProof w:val="0"/>
          <w:sz w:val="22"/>
          <w:szCs w:val="22"/>
          <w:lang w:val="en-GB"/>
        </w:rPr>
        <w:t xml:space="preserve"> and </w:t>
      </w:r>
      <w:r w:rsidRPr="72DA92D2" w:rsidR="4DDEC5B4">
        <w:rPr>
          <w:rFonts w:ascii="Aptos" w:hAnsi="Aptos" w:eastAsia="Aptos" w:cs="Aptos"/>
          <w:i w:val="1"/>
          <w:iCs w:val="1"/>
          <w:noProof w:val="0"/>
          <w:sz w:val="22"/>
          <w:szCs w:val="22"/>
          <w:lang w:val="en-GB"/>
        </w:rPr>
        <w:t>Respect for People</w:t>
      </w:r>
      <w:r w:rsidRPr="72DA92D2" w:rsidR="4DDEC5B4">
        <w:rPr>
          <w:rFonts w:ascii="Aptos" w:hAnsi="Aptos" w:eastAsia="Aptos" w:cs="Aptos"/>
          <w:noProof w:val="0"/>
          <w:sz w:val="22"/>
          <w:szCs w:val="22"/>
          <w:lang w:val="en-GB"/>
        </w:rPr>
        <w:t>.</w:t>
      </w:r>
    </w:p>
    <w:p w:rsidR="4DDEC5B4" w:rsidP="72DA92D2" w:rsidRDefault="4DDEC5B4" w14:paraId="2BEA123C" w14:textId="7F78EECF">
      <w:pPr>
        <w:pStyle w:val="Heading3"/>
      </w:pPr>
      <w:r w:rsidRPr="72DA92D2" w:rsidR="4DDEC5B4">
        <w:rPr>
          <w:rFonts w:ascii="Aptos" w:hAnsi="Aptos" w:eastAsia="Aptos" w:cs="Aptos"/>
          <w:noProof w:val="0"/>
          <w:sz w:val="22"/>
          <w:szCs w:val="22"/>
          <w:lang w:val="en-GB"/>
        </w:rPr>
        <w:t>3. Decision-Making Processes: Consensus vs. Strategic Agility</w:t>
      </w:r>
    </w:p>
    <w:p w:rsidR="4DDEC5B4" w:rsidRDefault="4DDEC5B4" w14:paraId="022358F0" w14:textId="44200A97">
      <w:r w:rsidRPr="72DA92D2" w:rsidR="4DDEC5B4">
        <w:rPr>
          <w:rFonts w:ascii="Aptos" w:hAnsi="Aptos" w:eastAsia="Aptos" w:cs="Aptos"/>
          <w:noProof w:val="0"/>
          <w:sz w:val="22"/>
          <w:szCs w:val="22"/>
          <w:lang w:val="en-GB"/>
        </w:rPr>
        <w:t xml:space="preserve">This section performs a critical trade-off analysis of how Toyota makes choices. It details the process of </w:t>
      </w:r>
      <w:r w:rsidRPr="72DA92D2" w:rsidR="4DDEC5B4">
        <w:rPr>
          <w:rFonts w:ascii="Aptos" w:hAnsi="Aptos" w:eastAsia="Aptos" w:cs="Aptos"/>
          <w:b w:val="1"/>
          <w:bCs w:val="1"/>
          <w:i w:val="1"/>
          <w:iCs w:val="1"/>
          <w:noProof w:val="0"/>
          <w:sz w:val="22"/>
          <w:szCs w:val="22"/>
          <w:lang w:val="en-GB"/>
        </w:rPr>
        <w:t>nemawashi</w:t>
      </w:r>
      <w:r w:rsidRPr="72DA92D2" w:rsidR="4DDEC5B4">
        <w:rPr>
          <w:rFonts w:ascii="Aptos" w:hAnsi="Aptos" w:eastAsia="Aptos" w:cs="Aptos"/>
          <w:noProof w:val="0"/>
          <w:sz w:val="22"/>
          <w:szCs w:val="22"/>
          <w:lang w:val="en-GB"/>
        </w:rPr>
        <w:t xml:space="preserve"> (informal, horizontal root-building alignment) and the </w:t>
      </w:r>
      <w:r w:rsidRPr="72DA92D2" w:rsidR="4DDEC5B4">
        <w:rPr>
          <w:rFonts w:ascii="Aptos" w:hAnsi="Aptos" w:eastAsia="Aptos" w:cs="Aptos"/>
          <w:b w:val="1"/>
          <w:bCs w:val="1"/>
          <w:i w:val="1"/>
          <w:iCs w:val="1"/>
          <w:noProof w:val="0"/>
          <w:sz w:val="22"/>
          <w:szCs w:val="22"/>
          <w:lang w:val="en-GB"/>
        </w:rPr>
        <w:t>ringi</w:t>
      </w:r>
      <w:r w:rsidRPr="72DA92D2" w:rsidR="4DDEC5B4">
        <w:rPr>
          <w:rFonts w:ascii="Aptos" w:hAnsi="Aptos" w:eastAsia="Aptos" w:cs="Aptos"/>
          <w:b w:val="1"/>
          <w:bCs w:val="1"/>
          <w:noProof w:val="0"/>
          <w:sz w:val="22"/>
          <w:szCs w:val="22"/>
          <w:lang w:val="en-GB"/>
        </w:rPr>
        <w:t xml:space="preserve"> system</w:t>
      </w:r>
      <w:r w:rsidRPr="72DA92D2" w:rsidR="4DDEC5B4">
        <w:rPr>
          <w:rFonts w:ascii="Aptos" w:hAnsi="Aptos" w:eastAsia="Aptos" w:cs="Aptos"/>
          <w:noProof w:val="0"/>
          <w:sz w:val="22"/>
          <w:szCs w:val="22"/>
          <w:lang w:val="en-GB"/>
        </w:rPr>
        <w:t xml:space="preserve"> (formal document circulation). A comparative matrix evaluates this slow-input, hyper-fast execution approach against Western top-down directives. Finally, it uses the </w:t>
      </w:r>
      <w:r w:rsidRPr="72DA92D2" w:rsidR="4DDEC5B4">
        <w:rPr>
          <w:rFonts w:ascii="Aptos" w:hAnsi="Aptos" w:eastAsia="Aptos" w:cs="Aptos"/>
          <w:b w:val="1"/>
          <w:bCs w:val="1"/>
          <w:noProof w:val="0"/>
          <w:sz w:val="22"/>
          <w:szCs w:val="22"/>
          <w:lang w:val="en-GB"/>
        </w:rPr>
        <w:t>2010 global recall crisis</w:t>
      </w:r>
      <w:r w:rsidRPr="72DA92D2" w:rsidR="4DDEC5B4">
        <w:rPr>
          <w:rFonts w:ascii="Aptos" w:hAnsi="Aptos" w:eastAsia="Aptos" w:cs="Aptos"/>
          <w:noProof w:val="0"/>
          <w:sz w:val="22"/>
          <w:szCs w:val="22"/>
          <w:lang w:val="en-GB"/>
        </w:rPr>
        <w:t xml:space="preserve"> as an empirical case study showing how this exact process turns into an organizational bottleneck during an fast-evolving public crisis.</w:t>
      </w:r>
    </w:p>
    <w:p w:rsidR="4DDEC5B4" w:rsidP="72DA92D2" w:rsidRDefault="4DDEC5B4" w14:paraId="50194687" w14:textId="13C8E4E5">
      <w:pPr>
        <w:pStyle w:val="Heading3"/>
      </w:pPr>
      <w:r w:rsidRPr="72DA92D2" w:rsidR="4DDEC5B4">
        <w:rPr>
          <w:rFonts w:ascii="Aptos" w:hAnsi="Aptos" w:eastAsia="Aptos" w:cs="Aptos"/>
          <w:noProof w:val="0"/>
          <w:sz w:val="22"/>
          <w:szCs w:val="22"/>
          <w:lang w:val="en-GB"/>
        </w:rPr>
        <w:t>4. Methodological Application of Cultural Frameworks</w:t>
      </w:r>
    </w:p>
    <w:p w:rsidR="4DDEC5B4" w:rsidRDefault="4DDEC5B4" w14:paraId="256EFB53" w14:textId="5C10BA1A">
      <w:r w:rsidRPr="72DA92D2" w:rsidR="4DDEC5B4">
        <w:rPr>
          <w:rFonts w:ascii="Aptos" w:hAnsi="Aptos" w:eastAsia="Aptos" w:cs="Aptos"/>
          <w:noProof w:val="0"/>
          <w:sz w:val="22"/>
          <w:szCs w:val="22"/>
          <w:lang w:val="en-GB"/>
        </w:rPr>
        <w:t>Here, the text applies academic machinery to diagnose the explicit structural layers of Toyota's ecosystem:</w:t>
      </w:r>
    </w:p>
    <w:p w:rsidR="4DDEC5B4" w:rsidP="72DA92D2" w:rsidRDefault="4DDEC5B4" w14:paraId="6EED61FB" w14:textId="44C385B9">
      <w:pPr>
        <w:pStyle w:val="ListParagraph"/>
        <w:numPr>
          <w:ilvl w:val="0"/>
          <w:numId w:val="17"/>
        </w:numPr>
        <w:spacing w:before="0" w:beforeAutospacing="off" w:after="0" w:afterAutospacing="off"/>
        <w:rPr>
          <w:rFonts w:ascii="Aptos" w:hAnsi="Aptos" w:eastAsia="Aptos" w:cs="Aptos"/>
          <w:noProof w:val="0"/>
          <w:sz w:val="22"/>
          <w:szCs w:val="22"/>
          <w:lang w:val="en-GB"/>
        </w:rPr>
      </w:pPr>
      <w:r w:rsidRPr="72DA92D2" w:rsidR="4DDEC5B4">
        <w:rPr>
          <w:rFonts w:ascii="Aptos" w:hAnsi="Aptos" w:eastAsia="Aptos" w:cs="Aptos"/>
          <w:b w:val="1"/>
          <w:bCs w:val="1"/>
          <w:noProof w:val="0"/>
          <w:sz w:val="22"/>
          <w:szCs w:val="22"/>
          <w:lang w:val="en-GB"/>
        </w:rPr>
        <w:t>Schein's Iceberg Model:</w:t>
      </w:r>
      <w:r w:rsidRPr="72DA92D2" w:rsidR="4DDEC5B4">
        <w:rPr>
          <w:rFonts w:ascii="Aptos" w:hAnsi="Aptos" w:eastAsia="Aptos" w:cs="Aptos"/>
          <w:noProof w:val="0"/>
          <w:sz w:val="22"/>
          <w:szCs w:val="22"/>
          <w:lang w:val="en-GB"/>
        </w:rPr>
        <w:t xml:space="preserve"> Unpacks visible artifacts (uniforms, </w:t>
      </w:r>
      <w:r w:rsidRPr="72DA92D2" w:rsidR="4DDEC5B4">
        <w:rPr>
          <w:rFonts w:ascii="Aptos" w:hAnsi="Aptos" w:eastAsia="Aptos" w:cs="Aptos"/>
          <w:i w:val="1"/>
          <w:iCs w:val="1"/>
          <w:noProof w:val="0"/>
          <w:sz w:val="22"/>
          <w:szCs w:val="22"/>
          <w:lang w:val="en-GB"/>
        </w:rPr>
        <w:t>andon cords</w:t>
      </w:r>
      <w:r w:rsidRPr="72DA92D2" w:rsidR="4DDEC5B4">
        <w:rPr>
          <w:rFonts w:ascii="Aptos" w:hAnsi="Aptos" w:eastAsia="Aptos" w:cs="Aptos"/>
          <w:noProof w:val="0"/>
          <w:sz w:val="22"/>
          <w:szCs w:val="22"/>
          <w:lang w:val="en-GB"/>
        </w:rPr>
        <w:t>), espoused values (</w:t>
      </w:r>
      <w:r w:rsidRPr="72DA92D2" w:rsidR="4DDEC5B4">
        <w:rPr>
          <w:rFonts w:ascii="Aptos" w:hAnsi="Aptos" w:eastAsia="Aptos" w:cs="Aptos"/>
          <w:i w:val="1"/>
          <w:iCs w:val="1"/>
          <w:noProof w:val="0"/>
          <w:sz w:val="22"/>
          <w:szCs w:val="22"/>
          <w:lang w:val="en-GB"/>
        </w:rPr>
        <w:t>genchi genbutsu</w:t>
      </w:r>
      <w:r w:rsidRPr="72DA92D2" w:rsidR="4DDEC5B4">
        <w:rPr>
          <w:rFonts w:ascii="Aptos" w:hAnsi="Aptos" w:eastAsia="Aptos" w:cs="Aptos"/>
          <w:noProof w:val="0"/>
          <w:sz w:val="22"/>
          <w:szCs w:val="22"/>
          <w:lang w:val="en-GB"/>
        </w:rPr>
        <w:t>), and underlying basic assumptions (avoidance of waste as a moral duty).</w:t>
      </w:r>
    </w:p>
    <w:p w:rsidR="4DDEC5B4" w:rsidP="72DA92D2" w:rsidRDefault="4DDEC5B4" w14:paraId="25818ADB" w14:textId="0EB30E3B">
      <w:pPr>
        <w:pStyle w:val="ListParagraph"/>
        <w:numPr>
          <w:ilvl w:val="0"/>
          <w:numId w:val="17"/>
        </w:numPr>
        <w:spacing w:before="0" w:beforeAutospacing="off" w:after="0" w:afterAutospacing="off"/>
        <w:rPr>
          <w:rFonts w:ascii="Aptos" w:hAnsi="Aptos" w:eastAsia="Aptos" w:cs="Aptos"/>
          <w:noProof w:val="0"/>
          <w:sz w:val="22"/>
          <w:szCs w:val="22"/>
          <w:lang w:val="en-GB"/>
        </w:rPr>
      </w:pPr>
      <w:r w:rsidRPr="4A469ACD" w:rsidR="02264DC9">
        <w:rPr>
          <w:rFonts w:ascii="Aptos" w:hAnsi="Aptos" w:eastAsia="Aptos" w:cs="Aptos"/>
          <w:b w:val="1"/>
          <w:bCs w:val="1"/>
          <w:noProof w:val="0"/>
          <w:sz w:val="22"/>
          <w:szCs w:val="22"/>
          <w:lang w:val="en-GB"/>
        </w:rPr>
        <w:t>Hofstede's Dimensions:</w:t>
      </w:r>
      <w:r w:rsidRPr="4A469ACD" w:rsidR="02264DC9">
        <w:rPr>
          <w:rFonts w:ascii="Aptos" w:hAnsi="Aptos" w:eastAsia="Aptos" w:cs="Aptos"/>
          <w:noProof w:val="0"/>
          <w:sz w:val="22"/>
          <w:szCs w:val="22"/>
          <w:lang w:val="en-GB"/>
        </w:rPr>
        <w:t xml:space="preserve"> Examines how Japanese national traits</w:t>
      </w:r>
      <w:r w:rsidRPr="4A469ACD" w:rsidR="0E62FD87">
        <w:rPr>
          <w:rFonts w:ascii="Aptos" w:hAnsi="Aptos" w:eastAsia="Aptos" w:cs="Aptos"/>
          <w:noProof w:val="0"/>
          <w:sz w:val="22"/>
          <w:szCs w:val="22"/>
          <w:lang w:val="en-GB"/>
        </w:rPr>
        <w:t xml:space="preserve"> </w:t>
      </w:r>
      <w:r w:rsidRPr="4A469ACD" w:rsidR="02264DC9">
        <w:rPr>
          <w:rFonts w:ascii="Aptos" w:hAnsi="Aptos" w:eastAsia="Aptos" w:cs="Aptos"/>
          <w:noProof w:val="0"/>
          <w:sz w:val="22"/>
          <w:szCs w:val="22"/>
          <w:lang w:val="en-GB"/>
        </w:rPr>
        <w:t xml:space="preserve">such as exceptionally high </w:t>
      </w:r>
      <w:r w:rsidRPr="4A469ACD" w:rsidR="02264DC9">
        <w:rPr>
          <w:rFonts w:ascii="Aptos" w:hAnsi="Aptos" w:eastAsia="Aptos" w:cs="Aptos"/>
          <w:i w:val="1"/>
          <w:iCs w:val="1"/>
          <w:noProof w:val="0"/>
          <w:sz w:val="22"/>
          <w:szCs w:val="22"/>
          <w:lang w:val="en-GB"/>
        </w:rPr>
        <w:t>Uncertainty Avoidance</w:t>
      </w:r>
      <w:r w:rsidRPr="4A469ACD" w:rsidR="02264DC9">
        <w:rPr>
          <w:rFonts w:ascii="Aptos" w:hAnsi="Aptos" w:eastAsia="Aptos" w:cs="Aptos"/>
          <w:noProof w:val="0"/>
          <w:sz w:val="22"/>
          <w:szCs w:val="22"/>
          <w:lang w:val="en-GB"/>
        </w:rPr>
        <w:t xml:space="preserve"> and deeply rooted </w:t>
      </w:r>
      <w:r w:rsidRPr="4A469ACD" w:rsidR="02264DC9">
        <w:rPr>
          <w:rFonts w:ascii="Aptos" w:hAnsi="Aptos" w:eastAsia="Aptos" w:cs="Aptos"/>
          <w:i w:val="1"/>
          <w:iCs w:val="1"/>
          <w:noProof w:val="0"/>
          <w:sz w:val="22"/>
          <w:szCs w:val="22"/>
          <w:lang w:val="en-GB"/>
        </w:rPr>
        <w:t>Collectivism</w:t>
      </w:r>
      <w:r w:rsidRPr="4A469ACD" w:rsidR="754F3F54">
        <w:rPr>
          <w:rFonts w:ascii="Aptos" w:hAnsi="Aptos" w:eastAsia="Aptos" w:cs="Aptos"/>
          <w:i w:val="1"/>
          <w:iCs w:val="1"/>
          <w:noProof w:val="0"/>
          <w:sz w:val="22"/>
          <w:szCs w:val="22"/>
          <w:lang w:val="en-GB"/>
        </w:rPr>
        <w:t xml:space="preserve"> </w:t>
      </w:r>
      <w:r w:rsidRPr="4A469ACD" w:rsidR="754F3F54">
        <w:rPr>
          <w:rFonts w:ascii="Aptos" w:hAnsi="Aptos" w:eastAsia="Aptos" w:cs="Aptos"/>
          <w:noProof w:val="0"/>
          <w:sz w:val="22"/>
          <w:szCs w:val="22"/>
          <w:lang w:val="en-GB"/>
        </w:rPr>
        <w:t>d</w:t>
      </w:r>
      <w:r w:rsidRPr="4A469ACD" w:rsidR="02264DC9">
        <w:rPr>
          <w:rFonts w:ascii="Aptos" w:hAnsi="Aptos" w:eastAsia="Aptos" w:cs="Aptos"/>
          <w:noProof w:val="0"/>
          <w:sz w:val="22"/>
          <w:szCs w:val="22"/>
          <w:lang w:val="en-GB"/>
        </w:rPr>
        <w:t xml:space="preserve">irectly dictate corporate </w:t>
      </w:r>
      <w:r w:rsidRPr="4A469ACD" w:rsidR="78160FE8">
        <w:rPr>
          <w:rFonts w:ascii="Aptos" w:hAnsi="Aptos" w:eastAsia="Aptos" w:cs="Aptos"/>
          <w:noProof w:val="0"/>
          <w:sz w:val="22"/>
          <w:szCs w:val="22"/>
          <w:lang w:val="en-GB"/>
        </w:rPr>
        <w:t>behaviour</w:t>
      </w:r>
      <w:r w:rsidRPr="4A469ACD" w:rsidR="02264DC9">
        <w:rPr>
          <w:rFonts w:ascii="Aptos" w:hAnsi="Aptos" w:eastAsia="Aptos" w:cs="Aptos"/>
          <w:noProof w:val="0"/>
          <w:sz w:val="22"/>
          <w:szCs w:val="22"/>
          <w:lang w:val="en-GB"/>
        </w:rPr>
        <w:t>.</w:t>
      </w:r>
    </w:p>
    <w:p w:rsidR="4DDEC5B4" w:rsidP="72DA92D2" w:rsidRDefault="4DDEC5B4" w14:paraId="3A79F05A" w14:textId="6780C5F4">
      <w:pPr>
        <w:pStyle w:val="ListParagraph"/>
        <w:numPr>
          <w:ilvl w:val="0"/>
          <w:numId w:val="17"/>
        </w:numPr>
        <w:spacing w:before="0" w:beforeAutospacing="off" w:after="0" w:afterAutospacing="off"/>
        <w:rPr>
          <w:rFonts w:ascii="Aptos" w:hAnsi="Aptos" w:eastAsia="Aptos" w:cs="Aptos"/>
          <w:noProof w:val="0"/>
          <w:sz w:val="22"/>
          <w:szCs w:val="22"/>
          <w:lang w:val="en-GB"/>
        </w:rPr>
      </w:pPr>
      <w:r w:rsidRPr="72DA92D2" w:rsidR="4DDEC5B4">
        <w:rPr>
          <w:rFonts w:ascii="Aptos" w:hAnsi="Aptos" w:eastAsia="Aptos" w:cs="Aptos"/>
          <w:b w:val="1"/>
          <w:bCs w:val="1"/>
          <w:noProof w:val="0"/>
          <w:sz w:val="22"/>
          <w:szCs w:val="22"/>
          <w:lang w:val="en-GB"/>
        </w:rPr>
        <w:t>Handy's Typology:</w:t>
      </w:r>
      <w:r w:rsidRPr="72DA92D2" w:rsidR="4DDEC5B4">
        <w:rPr>
          <w:rFonts w:ascii="Aptos" w:hAnsi="Aptos" w:eastAsia="Aptos" w:cs="Aptos"/>
          <w:noProof w:val="0"/>
          <w:sz w:val="22"/>
          <w:szCs w:val="22"/>
          <w:lang w:val="en-GB"/>
        </w:rPr>
        <w:t xml:space="preserve"> Explains how Toyota functions primarily as a process-driven </w:t>
      </w:r>
      <w:r w:rsidRPr="72DA92D2" w:rsidR="4DDEC5B4">
        <w:rPr>
          <w:rFonts w:ascii="Aptos" w:hAnsi="Aptos" w:eastAsia="Aptos" w:cs="Aptos"/>
          <w:i w:val="1"/>
          <w:iCs w:val="1"/>
          <w:noProof w:val="0"/>
          <w:sz w:val="22"/>
          <w:szCs w:val="22"/>
          <w:lang w:val="en-GB"/>
        </w:rPr>
        <w:t>Role culture</w:t>
      </w:r>
      <w:r w:rsidRPr="72DA92D2" w:rsidR="4DDEC5B4">
        <w:rPr>
          <w:rFonts w:ascii="Aptos" w:hAnsi="Aptos" w:eastAsia="Aptos" w:cs="Aptos"/>
          <w:noProof w:val="0"/>
          <w:sz w:val="22"/>
          <w:szCs w:val="22"/>
          <w:lang w:val="en-GB"/>
        </w:rPr>
        <w:t xml:space="preserve"> that strategically injects </w:t>
      </w:r>
      <w:r w:rsidRPr="72DA92D2" w:rsidR="4DDEC5B4">
        <w:rPr>
          <w:rFonts w:ascii="Aptos" w:hAnsi="Aptos" w:eastAsia="Aptos" w:cs="Aptos"/>
          <w:i w:val="1"/>
          <w:iCs w:val="1"/>
          <w:noProof w:val="0"/>
          <w:sz w:val="22"/>
          <w:szCs w:val="22"/>
          <w:lang w:val="en-GB"/>
        </w:rPr>
        <w:t>Task culture</w:t>
      </w:r>
      <w:r w:rsidRPr="72DA92D2" w:rsidR="4DDEC5B4">
        <w:rPr>
          <w:rFonts w:ascii="Aptos" w:hAnsi="Aptos" w:eastAsia="Aptos" w:cs="Aptos"/>
          <w:noProof w:val="0"/>
          <w:sz w:val="22"/>
          <w:szCs w:val="22"/>
          <w:lang w:val="en-GB"/>
        </w:rPr>
        <w:t xml:space="preserve"> project groups.</w:t>
      </w:r>
    </w:p>
    <w:p w:rsidR="4DDEC5B4" w:rsidP="72DA92D2" w:rsidRDefault="4DDEC5B4" w14:paraId="06779E57" w14:textId="3E150794">
      <w:pPr>
        <w:pStyle w:val="ListParagraph"/>
        <w:numPr>
          <w:ilvl w:val="0"/>
          <w:numId w:val="17"/>
        </w:numPr>
        <w:spacing w:before="0" w:beforeAutospacing="off" w:after="0" w:afterAutospacing="off"/>
        <w:rPr>
          <w:rFonts w:ascii="Aptos" w:hAnsi="Aptos" w:eastAsia="Aptos" w:cs="Aptos"/>
          <w:noProof w:val="0"/>
          <w:sz w:val="22"/>
          <w:szCs w:val="22"/>
          <w:lang w:val="en-GB"/>
        </w:rPr>
      </w:pPr>
      <w:r w:rsidRPr="72DA92D2" w:rsidR="4DDEC5B4">
        <w:rPr>
          <w:rFonts w:ascii="Aptos" w:hAnsi="Aptos" w:eastAsia="Aptos" w:cs="Aptos"/>
          <w:b w:val="1"/>
          <w:bCs w:val="1"/>
          <w:noProof w:val="0"/>
          <w:sz w:val="22"/>
          <w:szCs w:val="22"/>
          <w:lang w:val="en-GB"/>
        </w:rPr>
        <w:t>The Cultural Web:</w:t>
      </w:r>
      <w:r w:rsidRPr="72DA92D2" w:rsidR="4DDEC5B4">
        <w:rPr>
          <w:rFonts w:ascii="Aptos" w:hAnsi="Aptos" w:eastAsia="Aptos" w:cs="Aptos"/>
          <w:noProof w:val="0"/>
          <w:sz w:val="22"/>
          <w:szCs w:val="22"/>
          <w:lang w:val="en-GB"/>
        </w:rPr>
        <w:t xml:space="preserve"> Maps the stories, control systems, rituals, and power dynamics reinforcing the main operational paradigm.</w:t>
      </w:r>
    </w:p>
    <w:p w:rsidR="4DDEC5B4" w:rsidP="72DA92D2" w:rsidRDefault="4DDEC5B4" w14:paraId="0EAE9FF7" w14:textId="6E9700EB">
      <w:pPr>
        <w:pStyle w:val="Heading3"/>
      </w:pPr>
      <w:r w:rsidRPr="72DA92D2" w:rsidR="4DDEC5B4">
        <w:rPr>
          <w:rFonts w:ascii="Aptos" w:hAnsi="Aptos" w:eastAsia="Aptos" w:cs="Aptos"/>
          <w:noProof w:val="0"/>
          <w:sz w:val="22"/>
          <w:szCs w:val="22"/>
          <w:lang w:val="en-GB"/>
        </w:rPr>
        <w:t>5. Culture and the External Environment: Adaptation vs. Inertia</w:t>
      </w:r>
    </w:p>
    <w:p w:rsidR="4DDEC5B4" w:rsidRDefault="4DDEC5B4" w14:paraId="2DEBBCB9" w14:textId="2A5B2A8F">
      <w:r w:rsidRPr="4A469ACD" w:rsidR="02264DC9">
        <w:rPr>
          <w:rFonts w:ascii="Aptos" w:hAnsi="Aptos" w:eastAsia="Aptos" w:cs="Aptos"/>
          <w:noProof w:val="0"/>
          <w:sz w:val="22"/>
          <w:szCs w:val="22"/>
          <w:lang w:val="en-GB"/>
        </w:rPr>
        <w:t xml:space="preserve">This module studies how Toyota filters external industry disruption. It contrasts its past </w:t>
      </w:r>
      <w:r w:rsidRPr="4A469ACD" w:rsidR="02264DC9">
        <w:rPr>
          <w:rFonts w:ascii="Aptos" w:hAnsi="Aptos" w:eastAsia="Aptos" w:cs="Aptos"/>
          <w:b w:val="1"/>
          <w:bCs w:val="1"/>
          <w:noProof w:val="0"/>
          <w:sz w:val="22"/>
          <w:szCs w:val="22"/>
          <w:lang w:val="en-GB"/>
        </w:rPr>
        <w:t>evolutionary success</w:t>
      </w:r>
      <w:r w:rsidRPr="4A469ACD" w:rsidR="02264DC9">
        <w:rPr>
          <w:rFonts w:ascii="Aptos" w:hAnsi="Aptos" w:eastAsia="Aptos" w:cs="Aptos"/>
          <w:noProof w:val="0"/>
          <w:sz w:val="22"/>
          <w:szCs w:val="22"/>
          <w:lang w:val="en-GB"/>
        </w:rPr>
        <w:t xml:space="preserve"> (developing the mass-market hybrid Prius by focusing on long-term orientation) against its contemporary </w:t>
      </w:r>
      <w:r w:rsidRPr="4A469ACD" w:rsidR="02264DC9">
        <w:rPr>
          <w:rFonts w:ascii="Aptos" w:hAnsi="Aptos" w:eastAsia="Aptos" w:cs="Aptos"/>
          <w:b w:val="1"/>
          <w:bCs w:val="1"/>
          <w:noProof w:val="0"/>
          <w:sz w:val="22"/>
          <w:szCs w:val="22"/>
          <w:lang w:val="en-GB"/>
        </w:rPr>
        <w:t>architectural struggle</w:t>
      </w:r>
      <w:r w:rsidRPr="4A469ACD" w:rsidR="02264DC9">
        <w:rPr>
          <w:rFonts w:ascii="Aptos" w:hAnsi="Aptos" w:eastAsia="Aptos" w:cs="Aptos"/>
          <w:noProof w:val="0"/>
          <w:sz w:val="22"/>
          <w:szCs w:val="22"/>
          <w:lang w:val="en-GB"/>
        </w:rPr>
        <w:t xml:space="preserve"> with pure Battery Electric Vehicles (BEVs). It applies </w:t>
      </w:r>
      <w:r w:rsidRPr="4A469ACD" w:rsidR="02264DC9">
        <w:rPr>
          <w:rFonts w:ascii="Aptos" w:hAnsi="Aptos" w:eastAsia="Aptos" w:cs="Aptos"/>
          <w:b w:val="1"/>
          <w:bCs w:val="1"/>
          <w:noProof w:val="0"/>
          <w:sz w:val="22"/>
          <w:szCs w:val="22"/>
          <w:lang w:val="en-GB"/>
        </w:rPr>
        <w:t>Denison's Model</w:t>
      </w:r>
      <w:r w:rsidRPr="4A469ACD" w:rsidR="02264DC9">
        <w:rPr>
          <w:rFonts w:ascii="Aptos" w:hAnsi="Aptos" w:eastAsia="Aptos" w:cs="Aptos"/>
          <w:noProof w:val="0"/>
          <w:sz w:val="22"/>
          <w:szCs w:val="22"/>
          <w:lang w:val="en-GB"/>
        </w:rPr>
        <w:t xml:space="preserve"> to </w:t>
      </w:r>
      <w:r w:rsidRPr="4A469ACD" w:rsidR="351BD131">
        <w:rPr>
          <w:rFonts w:ascii="Aptos" w:hAnsi="Aptos" w:eastAsia="Aptos" w:cs="Aptos"/>
          <w:noProof w:val="0"/>
          <w:sz w:val="22"/>
          <w:szCs w:val="22"/>
          <w:lang w:val="en-GB"/>
        </w:rPr>
        <w:t>analyse</w:t>
      </w:r>
      <w:r w:rsidRPr="4A469ACD" w:rsidR="02264DC9">
        <w:rPr>
          <w:rFonts w:ascii="Aptos" w:hAnsi="Aptos" w:eastAsia="Aptos" w:cs="Aptos"/>
          <w:noProof w:val="0"/>
          <w:sz w:val="22"/>
          <w:szCs w:val="22"/>
          <w:lang w:val="en-GB"/>
        </w:rPr>
        <w:t xml:space="preserve"> the systemic tension between </w:t>
      </w:r>
      <w:r w:rsidRPr="4A469ACD" w:rsidR="02264DC9">
        <w:rPr>
          <w:rFonts w:ascii="Aptos" w:hAnsi="Aptos" w:eastAsia="Aptos" w:cs="Aptos"/>
          <w:i w:val="1"/>
          <w:iCs w:val="1"/>
          <w:noProof w:val="0"/>
          <w:sz w:val="22"/>
          <w:szCs w:val="22"/>
          <w:lang w:val="en-GB"/>
        </w:rPr>
        <w:t>consistency</w:t>
      </w:r>
      <w:r w:rsidRPr="4A469ACD" w:rsidR="02264DC9">
        <w:rPr>
          <w:rFonts w:ascii="Aptos" w:hAnsi="Aptos" w:eastAsia="Aptos" w:cs="Aptos"/>
          <w:noProof w:val="0"/>
          <w:sz w:val="22"/>
          <w:szCs w:val="22"/>
          <w:lang w:val="en-GB"/>
        </w:rPr>
        <w:t xml:space="preserve"> (which Toyota excels at via incremental </w:t>
      </w:r>
      <w:r w:rsidRPr="4A469ACD" w:rsidR="02264DC9">
        <w:rPr>
          <w:rFonts w:ascii="Aptos" w:hAnsi="Aptos" w:eastAsia="Aptos" w:cs="Aptos"/>
          <w:i w:val="1"/>
          <w:iCs w:val="1"/>
          <w:noProof w:val="0"/>
          <w:sz w:val="22"/>
          <w:szCs w:val="22"/>
          <w:lang w:val="en-GB"/>
        </w:rPr>
        <w:t>kaizen</w:t>
      </w:r>
      <w:r w:rsidRPr="4A469ACD" w:rsidR="02264DC9">
        <w:rPr>
          <w:rFonts w:ascii="Aptos" w:hAnsi="Aptos" w:eastAsia="Aptos" w:cs="Aptos"/>
          <w:noProof w:val="0"/>
          <w:sz w:val="22"/>
          <w:szCs w:val="22"/>
          <w:lang w:val="en-GB"/>
        </w:rPr>
        <w:t xml:space="preserve">) and </w:t>
      </w:r>
      <w:r w:rsidRPr="4A469ACD" w:rsidR="02264DC9">
        <w:rPr>
          <w:rFonts w:ascii="Aptos" w:hAnsi="Aptos" w:eastAsia="Aptos" w:cs="Aptos"/>
          <w:i w:val="1"/>
          <w:iCs w:val="1"/>
          <w:noProof w:val="0"/>
          <w:sz w:val="22"/>
          <w:szCs w:val="22"/>
          <w:lang w:val="en-GB"/>
        </w:rPr>
        <w:t>adaptability</w:t>
      </w:r>
      <w:r w:rsidRPr="4A469ACD" w:rsidR="02264DC9">
        <w:rPr>
          <w:rFonts w:ascii="Aptos" w:hAnsi="Aptos" w:eastAsia="Aptos" w:cs="Aptos"/>
          <w:noProof w:val="0"/>
          <w:sz w:val="22"/>
          <w:szCs w:val="22"/>
          <w:lang w:val="en-GB"/>
        </w:rPr>
        <w:t xml:space="preserve"> (where it experiences inertia due to its past success traps).</w:t>
      </w:r>
    </w:p>
    <w:p w:rsidR="4DDEC5B4" w:rsidP="72DA92D2" w:rsidRDefault="4DDEC5B4" w14:paraId="07BF2467" w14:textId="04D06D6E">
      <w:pPr>
        <w:pStyle w:val="Heading3"/>
      </w:pPr>
      <w:r w:rsidRPr="72DA92D2" w:rsidR="4DDEC5B4">
        <w:rPr>
          <w:rFonts w:ascii="Aptos" w:hAnsi="Aptos" w:eastAsia="Aptos" w:cs="Aptos"/>
          <w:noProof w:val="0"/>
          <w:sz w:val="22"/>
          <w:szCs w:val="22"/>
          <w:lang w:val="en-GB"/>
        </w:rPr>
        <w:t>6. Critical Evaluation: Culture as a Strategic Enabler or Institutional Barrier?</w:t>
      </w:r>
    </w:p>
    <w:p w:rsidR="4DDEC5B4" w:rsidRDefault="4DDEC5B4" w14:paraId="7C6180BC" w14:textId="1EA90397">
      <w:r w:rsidRPr="4A469ACD" w:rsidR="02264DC9">
        <w:rPr>
          <w:rFonts w:ascii="Aptos" w:hAnsi="Aptos" w:eastAsia="Aptos" w:cs="Aptos"/>
          <w:noProof w:val="0"/>
          <w:sz w:val="22"/>
          <w:szCs w:val="22"/>
          <w:lang w:val="en-GB"/>
        </w:rPr>
        <w:t xml:space="preserve">A balanced evaluation comparing Toyota's cultural outcomes. It explores the </w:t>
      </w:r>
      <w:r w:rsidRPr="4A469ACD" w:rsidR="02264DC9">
        <w:rPr>
          <w:rFonts w:ascii="Aptos" w:hAnsi="Aptos" w:eastAsia="Aptos" w:cs="Aptos"/>
          <w:b w:val="1"/>
          <w:bCs w:val="1"/>
          <w:noProof w:val="0"/>
          <w:sz w:val="22"/>
          <w:szCs w:val="22"/>
          <w:lang w:val="en-GB"/>
        </w:rPr>
        <w:t>Enabler</w:t>
      </w:r>
      <w:r w:rsidRPr="4A469ACD" w:rsidR="02264DC9">
        <w:rPr>
          <w:rFonts w:ascii="Aptos" w:hAnsi="Aptos" w:eastAsia="Aptos" w:cs="Aptos"/>
          <w:noProof w:val="0"/>
          <w:sz w:val="22"/>
          <w:szCs w:val="22"/>
          <w:lang w:val="en-GB"/>
        </w:rPr>
        <w:t xml:space="preserve"> dimensions (</w:t>
      </w:r>
      <w:r w:rsidRPr="4A469ACD" w:rsidR="2EF8172A">
        <w:rPr>
          <w:rFonts w:ascii="Aptos" w:hAnsi="Aptos" w:eastAsia="Aptos" w:cs="Aptos"/>
          <w:noProof w:val="0"/>
          <w:sz w:val="22"/>
          <w:szCs w:val="22"/>
          <w:lang w:val="en-GB"/>
        </w:rPr>
        <w:t>unrivalled</w:t>
      </w:r>
      <w:r w:rsidRPr="4A469ACD" w:rsidR="02264DC9">
        <w:rPr>
          <w:rFonts w:ascii="Aptos" w:hAnsi="Aptos" w:eastAsia="Aptos" w:cs="Aptos"/>
          <w:noProof w:val="0"/>
          <w:sz w:val="22"/>
          <w:szCs w:val="22"/>
          <w:lang w:val="en-GB"/>
        </w:rPr>
        <w:t xml:space="preserve"> manufacturing quality, lower operational overhead, employee retention) against its darker </w:t>
      </w:r>
      <w:r w:rsidRPr="4A469ACD" w:rsidR="02264DC9">
        <w:rPr>
          <w:rFonts w:ascii="Aptos" w:hAnsi="Aptos" w:eastAsia="Aptos" w:cs="Aptos"/>
          <w:b w:val="1"/>
          <w:bCs w:val="1"/>
          <w:noProof w:val="0"/>
          <w:sz w:val="22"/>
          <w:szCs w:val="22"/>
          <w:lang w:val="en-GB"/>
        </w:rPr>
        <w:t>Barrier</w:t>
      </w:r>
      <w:r w:rsidRPr="4A469ACD" w:rsidR="02264DC9">
        <w:rPr>
          <w:rFonts w:ascii="Aptos" w:hAnsi="Aptos" w:eastAsia="Aptos" w:cs="Aptos"/>
          <w:noProof w:val="0"/>
          <w:sz w:val="22"/>
          <w:szCs w:val="22"/>
          <w:lang w:val="en-GB"/>
        </w:rPr>
        <w:t xml:space="preserve"> manifestations (the </w:t>
      </w:r>
      <w:r w:rsidRPr="4A469ACD" w:rsidR="02264DC9">
        <w:rPr>
          <w:rFonts w:ascii="Aptos" w:hAnsi="Aptos" w:eastAsia="Aptos" w:cs="Aptos"/>
          <w:i w:val="1"/>
          <w:iCs w:val="1"/>
          <w:noProof w:val="0"/>
          <w:sz w:val="22"/>
          <w:szCs w:val="22"/>
          <w:lang w:val="en-GB"/>
        </w:rPr>
        <w:t>groupthink</w:t>
      </w:r>
      <w:r w:rsidRPr="4A469ACD" w:rsidR="02264DC9">
        <w:rPr>
          <w:rFonts w:ascii="Aptos" w:hAnsi="Aptos" w:eastAsia="Aptos" w:cs="Aptos"/>
          <w:noProof w:val="0"/>
          <w:sz w:val="22"/>
          <w:szCs w:val="22"/>
          <w:lang w:val="en-GB"/>
        </w:rPr>
        <w:t xml:space="preserve"> trap, strict deference to seniority which silences middle management, and an ethnocentric governance model focused on Japanese headquarters).</w:t>
      </w:r>
    </w:p>
    <w:p w:rsidR="4DDEC5B4" w:rsidP="72DA92D2" w:rsidRDefault="4DDEC5B4" w14:paraId="0BAD0A83" w14:textId="0D2251E1">
      <w:pPr>
        <w:pStyle w:val="Heading3"/>
      </w:pPr>
      <w:r w:rsidRPr="72DA92D2" w:rsidR="4DDEC5B4">
        <w:rPr>
          <w:rFonts w:ascii="Aptos" w:hAnsi="Aptos" w:eastAsia="Aptos" w:cs="Aptos"/>
          <w:noProof w:val="0"/>
          <w:sz w:val="22"/>
          <w:szCs w:val="22"/>
          <w:lang w:val="en-GB"/>
        </w:rPr>
        <w:t>7. Cross-Cultural Friction in Global Subsidiaries</w:t>
      </w:r>
    </w:p>
    <w:p w:rsidR="4DDEC5B4" w:rsidRDefault="4DDEC5B4" w14:paraId="3A4EDDBC" w14:textId="605CE18B">
      <w:r w:rsidRPr="4A469ACD" w:rsidR="02264DC9">
        <w:rPr>
          <w:rFonts w:ascii="Aptos" w:hAnsi="Aptos" w:eastAsia="Aptos" w:cs="Aptos"/>
          <w:noProof w:val="0"/>
          <w:sz w:val="22"/>
          <w:szCs w:val="22"/>
          <w:lang w:val="en-GB"/>
        </w:rPr>
        <w:t xml:space="preserve">This section details what happens when Toyota transfers its deeply Japanese corporate identity into overseas plants. It explores the friction point in </w:t>
      </w:r>
      <w:r w:rsidRPr="4A469ACD" w:rsidR="02264DC9">
        <w:rPr>
          <w:rFonts w:ascii="Aptos" w:hAnsi="Aptos" w:eastAsia="Aptos" w:cs="Aptos"/>
          <w:b w:val="1"/>
          <w:bCs w:val="1"/>
          <w:noProof w:val="0"/>
          <w:sz w:val="22"/>
          <w:szCs w:val="22"/>
          <w:lang w:val="en-GB"/>
        </w:rPr>
        <w:t>North America</w:t>
      </w:r>
      <w:r w:rsidRPr="4A469ACD" w:rsidR="02264DC9">
        <w:rPr>
          <w:rFonts w:ascii="Aptos" w:hAnsi="Aptos" w:eastAsia="Aptos" w:cs="Aptos"/>
          <w:noProof w:val="0"/>
          <w:sz w:val="22"/>
          <w:szCs w:val="22"/>
          <w:lang w:val="en-GB"/>
        </w:rPr>
        <w:t xml:space="preserve"> (where individualistic workers initially viewed </w:t>
      </w:r>
      <w:r w:rsidRPr="4A469ACD" w:rsidR="02264DC9">
        <w:rPr>
          <w:rFonts w:ascii="Aptos" w:hAnsi="Aptos" w:eastAsia="Aptos" w:cs="Aptos"/>
          <w:i w:val="1"/>
          <w:iCs w:val="1"/>
          <w:noProof w:val="0"/>
          <w:sz w:val="22"/>
          <w:szCs w:val="22"/>
          <w:lang w:val="en-GB"/>
        </w:rPr>
        <w:t>kaizen</w:t>
      </w:r>
      <w:r w:rsidRPr="4A469ACD" w:rsidR="02264DC9">
        <w:rPr>
          <w:rFonts w:ascii="Aptos" w:hAnsi="Aptos" w:eastAsia="Aptos" w:cs="Aptos"/>
          <w:noProof w:val="0"/>
          <w:sz w:val="22"/>
          <w:szCs w:val="22"/>
          <w:lang w:val="en-GB"/>
        </w:rPr>
        <w:t xml:space="preserve"> teams with corporate suspicion) and </w:t>
      </w:r>
      <w:r w:rsidRPr="4A469ACD" w:rsidR="02264DC9">
        <w:rPr>
          <w:rFonts w:ascii="Aptos" w:hAnsi="Aptos" w:eastAsia="Aptos" w:cs="Aptos"/>
          <w:b w:val="1"/>
          <w:bCs w:val="1"/>
          <w:noProof w:val="0"/>
          <w:sz w:val="22"/>
          <w:szCs w:val="22"/>
          <w:lang w:val="en-GB"/>
        </w:rPr>
        <w:t>Europe</w:t>
      </w:r>
      <w:r w:rsidRPr="4A469ACD" w:rsidR="02264DC9">
        <w:rPr>
          <w:rFonts w:ascii="Aptos" w:hAnsi="Aptos" w:eastAsia="Aptos" w:cs="Aptos"/>
          <w:noProof w:val="0"/>
          <w:sz w:val="22"/>
          <w:szCs w:val="22"/>
          <w:lang w:val="en-GB"/>
        </w:rPr>
        <w:t xml:space="preserve"> (where industrialized engineering </w:t>
      </w:r>
      <w:r w:rsidRPr="4A469ACD" w:rsidR="0B479B6C">
        <w:rPr>
          <w:rFonts w:ascii="Aptos" w:hAnsi="Aptos" w:eastAsia="Aptos" w:cs="Aptos"/>
          <w:noProof w:val="0"/>
          <w:sz w:val="22"/>
          <w:szCs w:val="22"/>
          <w:lang w:val="en-GB"/>
        </w:rPr>
        <w:t>labour</w:t>
      </w:r>
      <w:r w:rsidRPr="4A469ACD" w:rsidR="02264DC9">
        <w:rPr>
          <w:rFonts w:ascii="Aptos" w:hAnsi="Aptos" w:eastAsia="Aptos" w:cs="Aptos"/>
          <w:noProof w:val="0"/>
          <w:sz w:val="22"/>
          <w:szCs w:val="22"/>
          <w:lang w:val="en-GB"/>
        </w:rPr>
        <w:t xml:space="preserve"> traditions resisted rigid process sheets in </w:t>
      </w:r>
      <w:r w:rsidRPr="4A469ACD" w:rsidR="3DD1AA93">
        <w:rPr>
          <w:rFonts w:ascii="Aptos" w:hAnsi="Aptos" w:eastAsia="Aptos" w:cs="Aptos"/>
          <w:noProof w:val="0"/>
          <w:sz w:val="22"/>
          <w:szCs w:val="22"/>
          <w:lang w:val="en-GB"/>
        </w:rPr>
        <w:t>favour</w:t>
      </w:r>
      <w:r w:rsidRPr="4A469ACD" w:rsidR="02264DC9">
        <w:rPr>
          <w:rFonts w:ascii="Aptos" w:hAnsi="Aptos" w:eastAsia="Aptos" w:cs="Aptos"/>
          <w:noProof w:val="0"/>
          <w:sz w:val="22"/>
          <w:szCs w:val="22"/>
          <w:lang w:val="en-GB"/>
        </w:rPr>
        <w:t xml:space="preserve"> of individual autonomy), illustrating the boundaries of uniform global corporate identity.</w:t>
      </w:r>
    </w:p>
    <w:p w:rsidR="4DDEC5B4" w:rsidP="72DA92D2" w:rsidRDefault="4DDEC5B4" w14:paraId="4DA852E9" w14:textId="62238989">
      <w:pPr>
        <w:pStyle w:val="Heading3"/>
      </w:pPr>
      <w:r w:rsidRPr="72DA92D2" w:rsidR="4DDEC5B4">
        <w:rPr>
          <w:rFonts w:ascii="Aptos" w:hAnsi="Aptos" w:eastAsia="Aptos" w:cs="Aptos"/>
          <w:noProof w:val="0"/>
          <w:sz w:val="22"/>
          <w:szCs w:val="22"/>
          <w:lang w:val="en-GB"/>
        </w:rPr>
        <w:t>8. Impact of Culture on Organisational Performance</w:t>
      </w:r>
    </w:p>
    <w:p w:rsidR="4DDEC5B4" w:rsidRDefault="4DDEC5B4" w14:paraId="336F4E9E" w14:textId="44EAE493">
      <w:r w:rsidRPr="72DA92D2" w:rsidR="4DDEC5B4">
        <w:rPr>
          <w:rFonts w:ascii="Aptos" w:hAnsi="Aptos" w:eastAsia="Aptos" w:cs="Aptos"/>
          <w:noProof w:val="0"/>
          <w:sz w:val="22"/>
          <w:szCs w:val="22"/>
          <w:lang w:val="en-GB"/>
        </w:rPr>
        <w:t xml:space="preserve">This connects culture directly to business outcomes. It reviews the </w:t>
      </w:r>
      <w:r w:rsidRPr="72DA92D2" w:rsidR="4DDEC5B4">
        <w:rPr>
          <w:rFonts w:ascii="Aptos" w:hAnsi="Aptos" w:eastAsia="Aptos" w:cs="Aptos"/>
          <w:b w:val="1"/>
          <w:bCs w:val="1"/>
          <w:noProof w:val="0"/>
          <w:sz w:val="22"/>
          <w:szCs w:val="22"/>
          <w:lang w:val="en-GB"/>
        </w:rPr>
        <w:t>positive vectors</w:t>
      </w:r>
      <w:r w:rsidRPr="72DA92D2" w:rsidR="4DDEC5B4">
        <w:rPr>
          <w:rFonts w:ascii="Aptos" w:hAnsi="Aptos" w:eastAsia="Aptos" w:cs="Aptos"/>
          <w:noProof w:val="0"/>
          <w:sz w:val="22"/>
          <w:szCs w:val="22"/>
          <w:lang w:val="en-GB"/>
        </w:rPr>
        <w:t xml:space="preserve"> (consistently higher operating profit margins than volume competitors, premium global brand value) alongside the </w:t>
      </w:r>
      <w:r w:rsidRPr="72DA92D2" w:rsidR="4DDEC5B4">
        <w:rPr>
          <w:rFonts w:ascii="Aptos" w:hAnsi="Aptos" w:eastAsia="Aptos" w:cs="Aptos"/>
          <w:b w:val="1"/>
          <w:bCs w:val="1"/>
          <w:noProof w:val="0"/>
          <w:sz w:val="22"/>
          <w:szCs w:val="22"/>
          <w:lang w:val="en-GB"/>
        </w:rPr>
        <w:t>negative performance metrics</w:t>
      </w:r>
      <w:r w:rsidRPr="72DA92D2" w:rsidR="4DDEC5B4">
        <w:rPr>
          <w:rFonts w:ascii="Aptos" w:hAnsi="Aptos" w:eastAsia="Aptos" w:cs="Aptos"/>
          <w:noProof w:val="0"/>
          <w:sz w:val="22"/>
          <w:szCs w:val="22"/>
          <w:lang w:val="en-GB"/>
        </w:rPr>
        <w:t xml:space="preserve"> (billions of dollars spent on regulatory fines and legal settlements during 2010, alongside multi-billion-dollar opportunity costs in missing out on early global EV market share).</w:t>
      </w:r>
    </w:p>
    <w:p w:rsidR="4DDEC5B4" w:rsidP="72DA92D2" w:rsidRDefault="4DDEC5B4" w14:paraId="6F8A9A80" w14:textId="30B8ACE1">
      <w:pPr>
        <w:pStyle w:val="Heading3"/>
      </w:pPr>
      <w:r w:rsidRPr="72DA92D2" w:rsidR="4DDEC5B4">
        <w:rPr>
          <w:rFonts w:ascii="Aptos" w:hAnsi="Aptos" w:eastAsia="Aptos" w:cs="Aptos"/>
          <w:noProof w:val="0"/>
          <w:sz w:val="22"/>
          <w:szCs w:val="22"/>
          <w:lang w:val="en-GB"/>
        </w:rPr>
        <w:t>9. Strategic, Evidence-Based Recommendations &amp; Conclusion</w:t>
      </w:r>
    </w:p>
    <w:p w:rsidR="4DDEC5B4" w:rsidRDefault="4DDEC5B4" w14:paraId="3E2D0CA0" w14:textId="208ACF24">
      <w:r w:rsidRPr="72DA92D2" w:rsidR="4DDEC5B4">
        <w:rPr>
          <w:rFonts w:ascii="Aptos" w:hAnsi="Aptos" w:eastAsia="Aptos" w:cs="Aptos"/>
          <w:noProof w:val="0"/>
          <w:sz w:val="22"/>
          <w:szCs w:val="22"/>
          <w:lang w:val="en-GB"/>
        </w:rPr>
        <w:t xml:space="preserve">The final section summarizes the core analytical insights. It provides four targeted corporate recommendations to prepare Toyota for autonomous, software-defined mobility: </w:t>
      </w:r>
      <w:r w:rsidRPr="72DA92D2" w:rsidR="4DDEC5B4">
        <w:rPr>
          <w:rFonts w:ascii="Aptos" w:hAnsi="Aptos" w:eastAsia="Aptos" w:cs="Aptos"/>
          <w:i w:val="1"/>
          <w:iCs w:val="1"/>
          <w:noProof w:val="0"/>
          <w:sz w:val="22"/>
          <w:szCs w:val="22"/>
          <w:lang w:val="en-GB"/>
        </w:rPr>
        <w:t>regional strategic decentralization</w:t>
      </w:r>
      <w:r w:rsidRPr="72DA92D2" w:rsidR="4DDEC5B4">
        <w:rPr>
          <w:rFonts w:ascii="Aptos" w:hAnsi="Aptos" w:eastAsia="Aptos" w:cs="Aptos"/>
          <w:noProof w:val="0"/>
          <w:sz w:val="22"/>
          <w:szCs w:val="22"/>
          <w:lang w:val="en-GB"/>
        </w:rPr>
        <w:t xml:space="preserve">, developing a </w:t>
      </w:r>
      <w:r w:rsidRPr="72DA92D2" w:rsidR="4DDEC5B4">
        <w:rPr>
          <w:rFonts w:ascii="Aptos" w:hAnsi="Aptos" w:eastAsia="Aptos" w:cs="Aptos"/>
          <w:i w:val="1"/>
          <w:iCs w:val="1"/>
          <w:noProof w:val="0"/>
          <w:sz w:val="22"/>
          <w:szCs w:val="22"/>
          <w:lang w:val="en-GB"/>
        </w:rPr>
        <w:t>dual-core ambidextrous operational culture</w:t>
      </w:r>
      <w:r w:rsidRPr="72DA92D2" w:rsidR="4DDEC5B4">
        <w:rPr>
          <w:rFonts w:ascii="Aptos" w:hAnsi="Aptos" w:eastAsia="Aptos" w:cs="Aptos"/>
          <w:noProof w:val="0"/>
          <w:sz w:val="22"/>
          <w:szCs w:val="22"/>
          <w:lang w:val="en-GB"/>
        </w:rPr>
        <w:t xml:space="preserve">, embedding </w:t>
      </w:r>
      <w:r w:rsidRPr="72DA92D2" w:rsidR="4DDEC5B4">
        <w:rPr>
          <w:rFonts w:ascii="Aptos" w:hAnsi="Aptos" w:eastAsia="Aptos" w:cs="Aptos"/>
          <w:i w:val="1"/>
          <w:iCs w:val="1"/>
          <w:noProof w:val="0"/>
          <w:sz w:val="22"/>
          <w:szCs w:val="22"/>
          <w:lang w:val="en-GB"/>
        </w:rPr>
        <w:t>psychological safety metrics</w:t>
      </w:r>
      <w:r w:rsidRPr="72DA92D2" w:rsidR="4DDEC5B4">
        <w:rPr>
          <w:rFonts w:ascii="Aptos" w:hAnsi="Aptos" w:eastAsia="Aptos" w:cs="Aptos"/>
          <w:noProof w:val="0"/>
          <w:sz w:val="22"/>
          <w:szCs w:val="22"/>
          <w:lang w:val="en-GB"/>
        </w:rPr>
        <w:t xml:space="preserve"> to encourage internal critique, and </w:t>
      </w:r>
      <w:r w:rsidRPr="72DA92D2" w:rsidR="4DDEC5B4">
        <w:rPr>
          <w:rFonts w:ascii="Aptos" w:hAnsi="Aptos" w:eastAsia="Aptos" w:cs="Aptos"/>
          <w:i w:val="1"/>
          <w:iCs w:val="1"/>
          <w:noProof w:val="0"/>
          <w:sz w:val="22"/>
          <w:szCs w:val="22"/>
          <w:lang w:val="en-GB"/>
        </w:rPr>
        <w:t>infusing cross-industry software engineering talent</w:t>
      </w:r>
      <w:r w:rsidRPr="72DA92D2" w:rsidR="4DDEC5B4">
        <w:rPr>
          <w:rFonts w:ascii="Aptos" w:hAnsi="Aptos" w:eastAsia="Aptos" w:cs="Aptos"/>
          <w:noProof w:val="0"/>
          <w:sz w:val="22"/>
          <w:szCs w:val="22"/>
          <w:lang w:val="en-GB"/>
        </w:rPr>
        <w:t xml:space="preserve"> into its upper executive ranks.</w:t>
      </w:r>
    </w:p>
    <w:p w:rsidR="72DA92D2" w:rsidP="72DA92D2" w:rsidRDefault="72DA92D2" w14:paraId="2FCB9C85" w14:textId="4A43D44D">
      <w:pPr>
        <w:rPr>
          <w:b w:val="1"/>
          <w:bCs w:val="1"/>
        </w:rPr>
      </w:pPr>
    </w:p>
    <w:p w:rsidR="72DA92D2" w:rsidP="72DA92D2" w:rsidRDefault="72DA92D2" w14:paraId="28AB0CB2" w14:textId="132D51E7">
      <w:pPr>
        <w:spacing w:before="0" w:beforeAutospacing="off"/>
        <w:rPr>
          <w:rFonts w:ascii="Aptos" w:hAnsi="Aptos" w:eastAsia="Aptos" w:cs="Aptos"/>
          <w:b w:val="1"/>
          <w:bCs w:val="1"/>
          <w:noProof w:val="0"/>
          <w:sz w:val="28"/>
          <w:szCs w:val="28"/>
          <w:lang w:val="en-GB"/>
        </w:rPr>
      </w:pPr>
      <w:r>
        <w:br w:type="page"/>
      </w:r>
      <w:r w:rsidRPr="72DA92D2" w:rsidR="68A494EF">
        <w:rPr>
          <w:rFonts w:ascii="Aptos" w:hAnsi="Aptos" w:eastAsia="Aptos" w:cs="Aptos"/>
          <w:b w:val="1"/>
          <w:bCs w:val="1"/>
          <w:noProof w:val="0"/>
          <w:sz w:val="28"/>
          <w:szCs w:val="28"/>
          <w:lang w:val="en-GB"/>
        </w:rPr>
        <w:t>Organisational Culture and Its Influence on Toyota Motor Corporation: A Critical Analysis</w:t>
      </w:r>
    </w:p>
    <w:p w:rsidR="68A494EF" w:rsidP="72DA92D2" w:rsidRDefault="68A494EF" w14:paraId="7435ACB7" w14:textId="1A78F315">
      <w:pPr>
        <w:pStyle w:val="Heading2"/>
        <w:spacing w:before="0" w:beforeAutospacing="off"/>
      </w:pPr>
      <w:r w:rsidRPr="72DA92D2" w:rsidR="68A494EF">
        <w:rPr>
          <w:rFonts w:ascii="Aptos" w:hAnsi="Aptos" w:eastAsia="Aptos" w:cs="Aptos"/>
          <w:noProof w:val="0"/>
          <w:sz w:val="22"/>
          <w:szCs w:val="22"/>
          <w:lang w:val="en-GB"/>
        </w:rPr>
        <w:t>1. Introduction</w:t>
      </w:r>
    </w:p>
    <w:p w:rsidR="68A494EF" w:rsidP="72DA92D2" w:rsidRDefault="68A494EF" w14:paraId="766D8510" w14:textId="0093F4A8">
      <w:pPr>
        <w:spacing w:before="0" w:beforeAutospacing="off"/>
      </w:pPr>
      <w:r w:rsidRPr="72DA92D2" w:rsidR="68A494EF">
        <w:rPr>
          <w:rFonts w:ascii="Aptos" w:hAnsi="Aptos" w:eastAsia="Aptos" w:cs="Aptos"/>
          <w:noProof w:val="0"/>
          <w:sz w:val="22"/>
          <w:szCs w:val="22"/>
          <w:lang w:val="en-GB"/>
        </w:rPr>
        <w:t>Organisational culture has long been recognised as a central determinant of organisational behaviour, shaping how employees interact, how decisions are made, and how organisations respond to internal and external pressures. Mullins and Christy (2016) emphasise that culture fundamentally influences “how things are done around here,” acting as an invisible yet pervasive mechanism that dictates structural choices, motivation, job satisfaction, power dynamics, and management control systems. Within multinational enterprises (MNEs), the management of culture becomes exponentially more complex. Global organisations must seamlessly integrate diverse national cultures, distinct regulatory landscapes, and localized operational practices into a coherent corporate identity to prevent structural fragmentation.</w:t>
      </w:r>
    </w:p>
    <w:p w:rsidR="68A494EF" w:rsidP="72DA92D2" w:rsidRDefault="68A494EF" w14:paraId="050831DE" w14:textId="0B755A14">
      <w:pPr>
        <w:spacing w:before="0" w:beforeAutospacing="off"/>
      </w:pPr>
      <w:r w:rsidRPr="72DA92D2" w:rsidR="68A494EF">
        <w:rPr>
          <w:rFonts w:ascii="Aptos" w:hAnsi="Aptos" w:eastAsia="Aptos" w:cs="Aptos"/>
          <w:noProof w:val="0"/>
          <w:sz w:val="22"/>
          <w:szCs w:val="22"/>
          <w:lang w:val="en-GB"/>
        </w:rPr>
        <w:t>Toyota Motor Corporation represents one of the most widely studied and emulated examples of organisational culture in modern management literature. Its distinctive corporate culture—deeply rooted in Japanese societal values and operationalised globally through the Toyota Production System (TPS)—has been credited with driving decades of high performance, market-share dominance, and world-class manufacturing quality. For over half a century, competitors across the globe have attempted to replicate Toyota's operational frameworks, viewing them as the benchmark for lean efficiency and systematic execution.</w:t>
      </w:r>
    </w:p>
    <w:p w:rsidR="68A494EF" w:rsidP="72DA92D2" w:rsidRDefault="68A494EF" w14:paraId="02380916" w14:textId="1754B0A3">
      <w:pPr>
        <w:spacing w:before="0" w:beforeAutospacing="off"/>
      </w:pPr>
      <w:r w:rsidRPr="72DA92D2" w:rsidR="68A494EF">
        <w:rPr>
          <w:rFonts w:ascii="Aptos" w:hAnsi="Aptos" w:eastAsia="Aptos" w:cs="Aptos"/>
          <w:noProof w:val="0"/>
          <w:sz w:val="22"/>
          <w:szCs w:val="22"/>
          <w:lang w:val="en-GB"/>
        </w:rPr>
        <w:t>However, an organisation’s core cultural strengths can also manifest as its most vulnerable points of systemic failure. Toyota’s culture has faced intense academic and regulatory criticism. Major industrial events, most notably the devastating 2010 global recall crisis, exposed vulnerabilities within the company's cultural fabric. This crisis revealed how an extreme emphasis on consensus, uncritical deference to hierarchy, and corporate insularity could lead to catastrophic delays in critical safety decision-making.</w:t>
      </w:r>
    </w:p>
    <w:p w:rsidR="68A494EF" w:rsidP="72DA92D2" w:rsidRDefault="68A494EF" w14:paraId="2B7E6261" w14:textId="689ADDC0">
      <w:pPr>
        <w:spacing w:before="0" w:beforeAutospacing="off"/>
      </w:pPr>
      <w:r w:rsidRPr="72DA92D2" w:rsidR="68A494EF">
        <w:rPr>
          <w:rFonts w:ascii="Aptos" w:hAnsi="Aptos" w:eastAsia="Aptos" w:cs="Aptos"/>
          <w:noProof w:val="0"/>
          <w:sz w:val="22"/>
          <w:szCs w:val="22"/>
          <w:lang w:val="en-GB"/>
        </w:rPr>
        <w:t>This report provides a comprehensive, critical evaluation of Toyota’s organisational culture. It explores how this culture shapes and is shaped by the company’s structural and decision-making frameworks; applies seminal cultural frameworks—including Schein’s Three-Level Model, Hofstede’s Cultural Dimensions, Handy’s Cultural Typology, and the Cultural Web—to diagnose its core traits; investigates how the culture interacts with volatile external environments; and assesses whether it functions primarily as a strategic enabler or an institutional barrier. Finally, the paper provides evidence-based recommendations designed to optimize Toyota's cultural agility as it navigates the highly disruptive transition toward electric, autonomous, and software-defined mobility.</w:t>
      </w:r>
    </w:p>
    <w:p w:rsidR="68A494EF" w:rsidP="72DA92D2" w:rsidRDefault="68A494EF" w14:paraId="6FAC268C" w14:textId="1D2D7723">
      <w:pPr>
        <w:pStyle w:val="Heading2"/>
        <w:spacing w:before="0" w:beforeAutospacing="off"/>
      </w:pPr>
      <w:r w:rsidRPr="72DA92D2" w:rsidR="68A494EF">
        <w:rPr>
          <w:rFonts w:ascii="Aptos" w:hAnsi="Aptos" w:eastAsia="Aptos" w:cs="Aptos"/>
          <w:noProof w:val="0"/>
          <w:sz w:val="22"/>
          <w:szCs w:val="22"/>
          <w:lang w:val="en-GB"/>
        </w:rPr>
        <w:t>2. The Historical, Philosophical, and Societal Foundations of Toyota's Culture</w:t>
      </w:r>
    </w:p>
    <w:p w:rsidR="68A494EF" w:rsidP="72DA92D2" w:rsidRDefault="68A494EF" w14:paraId="5D620D8F" w14:textId="63F3698A">
      <w:pPr>
        <w:spacing w:before="0" w:beforeAutospacing="off"/>
      </w:pPr>
      <w:r w:rsidRPr="72DA92D2" w:rsidR="68A494EF">
        <w:rPr>
          <w:rFonts w:ascii="Aptos" w:hAnsi="Aptos" w:eastAsia="Aptos" w:cs="Aptos"/>
          <w:noProof w:val="0"/>
          <w:sz w:val="22"/>
          <w:szCs w:val="22"/>
          <w:lang w:val="en-GB"/>
        </w:rPr>
        <w:t xml:space="preserve">To fully comprehend the contemporary organisational culture of Toyota, one must trace its evolution back to the late 19th and early 20th centuries, deeply rooted in the industrial philosophy of the Toyoda family. Sakichi Toyoda, an inventor and industrialist, initially founded Toyoda Automatic Loom Works. His landmark invention of an automatic loom that stopped instantly when a single thread broke laid the philosophical and technical foundation for </w:t>
      </w:r>
      <w:r w:rsidRPr="72DA92D2" w:rsidR="68A494EF">
        <w:rPr>
          <w:rFonts w:ascii="Aptos" w:hAnsi="Aptos" w:eastAsia="Aptos" w:cs="Aptos"/>
          <w:i w:val="1"/>
          <w:iCs w:val="1"/>
          <w:noProof w:val="0"/>
          <w:sz w:val="22"/>
          <w:szCs w:val="22"/>
          <w:lang w:val="en-GB"/>
        </w:rPr>
        <w:t>jidoka</w:t>
      </w:r>
      <w:r w:rsidRPr="72DA92D2" w:rsidR="68A494EF">
        <w:rPr>
          <w:rFonts w:ascii="Aptos" w:hAnsi="Aptos" w:eastAsia="Aptos" w:cs="Aptos"/>
          <w:noProof w:val="0"/>
          <w:sz w:val="22"/>
          <w:szCs w:val="22"/>
          <w:lang w:val="en-GB"/>
        </w:rPr>
        <w:t xml:space="preserve"> (automation with a human touch). This integration of human intelligence with mechanical precision was not merely a technical innovation; it was an early cultural artifact reflecting an absolute intolerance for waste and an unyielding commitment to built-in quality at the point of origin.</w:t>
      </w:r>
    </w:p>
    <w:p w:rsidR="68A494EF" w:rsidP="72DA92D2" w:rsidRDefault="68A494EF" w14:paraId="71F3BDC5" w14:textId="00B5C207">
      <w:pPr>
        <w:spacing w:before="0" w:beforeAutospacing="off"/>
      </w:pPr>
      <w:r w:rsidRPr="72DA92D2" w:rsidR="68A494EF">
        <w:rPr>
          <w:rFonts w:ascii="Aptos" w:hAnsi="Aptos" w:eastAsia="Aptos" w:cs="Aptos"/>
          <w:noProof w:val="0"/>
          <w:sz w:val="22"/>
          <w:szCs w:val="22"/>
          <w:lang w:val="en-GB"/>
        </w:rPr>
        <w:t>Following the devastation of World War II, Japan faced severe capital shortages, scarce natural resources, hyperinflation, and a fractured domestic market. It was within this environment of extreme macroeconomic constraint that Kiichiro Toyoda (Sakichi’s son) and the legendary production engineer Taiichi Ohno developed the bedrock principles of what would eventually become the Toyota Production System (TPS). Faced with the impossibility of competing directly with the massive economies of scale enjoyed by American automotive giants like Ford, Toyota focused instead on flexibility, the absolute elimination of non-value-added waste (</w:t>
      </w:r>
      <w:r w:rsidRPr="72DA92D2" w:rsidR="68A494EF">
        <w:rPr>
          <w:rFonts w:ascii="Aptos" w:hAnsi="Aptos" w:eastAsia="Aptos" w:cs="Aptos"/>
          <w:i w:val="1"/>
          <w:iCs w:val="1"/>
          <w:noProof w:val="0"/>
          <w:sz w:val="22"/>
          <w:szCs w:val="22"/>
          <w:lang w:val="en-GB"/>
        </w:rPr>
        <w:t>muda</w:t>
      </w:r>
      <w:r w:rsidRPr="72DA92D2" w:rsidR="68A494EF">
        <w:rPr>
          <w:rFonts w:ascii="Aptos" w:hAnsi="Aptos" w:eastAsia="Aptos" w:cs="Aptos"/>
          <w:noProof w:val="0"/>
          <w:sz w:val="22"/>
          <w:szCs w:val="22"/>
          <w:lang w:val="en-GB"/>
        </w:rPr>
        <w:t xml:space="preserve">), and rapid inventory turnover. This gave birth to </w:t>
      </w:r>
      <w:r w:rsidRPr="72DA92D2" w:rsidR="68A494EF">
        <w:rPr>
          <w:rFonts w:ascii="Aptos" w:hAnsi="Aptos" w:eastAsia="Aptos" w:cs="Aptos"/>
          <w:i w:val="1"/>
          <w:iCs w:val="1"/>
          <w:noProof w:val="0"/>
          <w:sz w:val="22"/>
          <w:szCs w:val="22"/>
          <w:lang w:val="en-GB"/>
        </w:rPr>
        <w:t>Just-in-Time</w:t>
      </w:r>
      <w:r w:rsidRPr="72DA92D2" w:rsidR="68A494EF">
        <w:rPr>
          <w:rFonts w:ascii="Aptos" w:hAnsi="Aptos" w:eastAsia="Aptos" w:cs="Aptos"/>
          <w:noProof w:val="0"/>
          <w:sz w:val="22"/>
          <w:szCs w:val="22"/>
          <w:lang w:val="en-GB"/>
        </w:rPr>
        <w:t xml:space="preserve"> (JIT) manufacturing, transforming operational constraints into a distinct competitive advantage.</w:t>
      </w:r>
    </w:p>
    <w:p w:rsidR="68A494EF" w:rsidP="72DA92D2" w:rsidRDefault="68A494EF" w14:paraId="781D77DA" w14:textId="5D7ACE77">
      <w:pPr>
        <w:spacing w:before="0" w:beforeAutospacing="off"/>
      </w:pPr>
      <w:r w:rsidRPr="72DA92D2" w:rsidR="68A494EF">
        <w:rPr>
          <w:rFonts w:ascii="Aptos" w:hAnsi="Aptos" w:eastAsia="Aptos" w:cs="Aptos"/>
          <w:noProof w:val="0"/>
          <w:sz w:val="22"/>
          <w:szCs w:val="22"/>
          <w:lang w:val="en-GB"/>
        </w:rPr>
        <w:t>Over the decades, these operational methodologies evolved into a comprehensive, holistic corporate philosophy. In 2001, Toyota formalized these principles into an internal guiding document known as "The Toyota Way." Grounded in two primary pillars—</w:t>
      </w:r>
      <w:r w:rsidRPr="72DA92D2" w:rsidR="68A494EF">
        <w:rPr>
          <w:rFonts w:ascii="Aptos" w:hAnsi="Aptos" w:eastAsia="Aptos" w:cs="Aptos"/>
          <w:b w:val="1"/>
          <w:bCs w:val="1"/>
          <w:noProof w:val="0"/>
          <w:sz w:val="22"/>
          <w:szCs w:val="22"/>
          <w:lang w:val="en-GB"/>
        </w:rPr>
        <w:t>Continuous Improvement (</w:t>
      </w:r>
      <w:r w:rsidRPr="72DA92D2" w:rsidR="68A494EF">
        <w:rPr>
          <w:rFonts w:ascii="Aptos" w:hAnsi="Aptos" w:eastAsia="Aptos" w:cs="Aptos"/>
          <w:b w:val="1"/>
          <w:bCs w:val="1"/>
          <w:i w:val="1"/>
          <w:iCs w:val="1"/>
          <w:noProof w:val="0"/>
          <w:sz w:val="22"/>
          <w:szCs w:val="22"/>
          <w:lang w:val="en-GB"/>
        </w:rPr>
        <w:t>Kaizen</w:t>
      </w:r>
      <w:r w:rsidRPr="72DA92D2" w:rsidR="68A494EF">
        <w:rPr>
          <w:rFonts w:ascii="Aptos" w:hAnsi="Aptos" w:eastAsia="Aptos" w:cs="Aptos"/>
          <w:b w:val="1"/>
          <w:bCs w:val="1"/>
          <w:noProof w:val="0"/>
          <w:sz w:val="22"/>
          <w:szCs w:val="22"/>
          <w:lang w:val="en-GB"/>
        </w:rPr>
        <w:t>)</w:t>
      </w:r>
      <w:r w:rsidRPr="72DA92D2" w:rsidR="68A494EF">
        <w:rPr>
          <w:rFonts w:ascii="Aptos" w:hAnsi="Aptos" w:eastAsia="Aptos" w:cs="Aptos"/>
          <w:noProof w:val="0"/>
          <w:sz w:val="22"/>
          <w:szCs w:val="22"/>
          <w:lang w:val="en-GB"/>
        </w:rPr>
        <w:t xml:space="preserve"> and </w:t>
      </w:r>
      <w:r w:rsidRPr="72DA92D2" w:rsidR="68A494EF">
        <w:rPr>
          <w:rFonts w:ascii="Aptos" w:hAnsi="Aptos" w:eastAsia="Aptos" w:cs="Aptos"/>
          <w:b w:val="1"/>
          <w:bCs w:val="1"/>
          <w:noProof w:val="0"/>
          <w:sz w:val="22"/>
          <w:szCs w:val="22"/>
          <w:lang w:val="en-GB"/>
        </w:rPr>
        <w:t>Respect for People</w:t>
      </w:r>
      <w:r w:rsidRPr="72DA92D2" w:rsidR="68A494EF">
        <w:rPr>
          <w:rFonts w:ascii="Aptos" w:hAnsi="Aptos" w:eastAsia="Aptos" w:cs="Aptos"/>
          <w:noProof w:val="0"/>
          <w:sz w:val="22"/>
          <w:szCs w:val="22"/>
          <w:lang w:val="en-GB"/>
        </w:rPr>
        <w:t>—this philosophy serves as the company's ethical compass and operational blueprint, standardizing expectations across its vast network of global manufacturing subsidiaries.</w:t>
      </w:r>
    </w:p>
    <w:p w:rsidR="68A494EF" w:rsidP="72DA92D2" w:rsidRDefault="68A494EF" w14:paraId="06588B67" w14:textId="5699095C">
      <w:pPr>
        <w:spacing w:before="0" w:beforeAutospacing="off"/>
        <w:rPr>
          <w:rFonts w:ascii="Consolas" w:hAnsi="Consolas" w:eastAsia="Consolas" w:cs="Consolas"/>
          <w:noProof w:val="0"/>
          <w:sz w:val="22"/>
          <w:szCs w:val="22"/>
          <w:lang w:val="en-GB"/>
        </w:rPr>
      </w:pPr>
      <w:r w:rsidRPr="72DA92D2" w:rsidR="68A494EF">
        <w:rPr>
          <w:rFonts w:ascii="Consolas" w:hAnsi="Consolas" w:eastAsia="Consolas" w:cs="Consolas"/>
          <w:noProof w:val="0"/>
          <w:sz w:val="22"/>
          <w:szCs w:val="22"/>
          <w:lang w:val="en-GB"/>
        </w:rPr>
        <w:t xml:space="preserve">                     </w:t>
      </w:r>
      <w:r>
        <w:br/>
      </w:r>
    </w:p>
    <w:p w:rsidR="68A494EF" w:rsidP="72DA92D2" w:rsidRDefault="68A494EF" w14:paraId="21CE9027" w14:textId="46545882">
      <w:pPr>
        <w:spacing w:before="0" w:beforeAutospacing="off"/>
      </w:pPr>
      <w:r w:rsidRPr="4A469ACD" w:rsidR="584A96C0">
        <w:rPr>
          <w:rFonts w:ascii="Aptos" w:hAnsi="Aptos" w:eastAsia="Aptos" w:cs="Aptos"/>
          <w:noProof w:val="0"/>
          <w:sz w:val="22"/>
          <w:szCs w:val="22"/>
          <w:lang w:val="en-GB"/>
        </w:rPr>
        <w:t xml:space="preserve">The historical context of post-war Japan also infused Toyota with an underlying sense of collective vulnerability and long-term orientation. Survival depended entirely on teamwork, mutual reliance, and the suppression of individual ego in </w:t>
      </w:r>
      <w:r w:rsidRPr="4A469ACD" w:rsidR="0B764402">
        <w:rPr>
          <w:rFonts w:ascii="Aptos" w:hAnsi="Aptos" w:eastAsia="Aptos" w:cs="Aptos"/>
          <w:noProof w:val="0"/>
          <w:sz w:val="22"/>
          <w:szCs w:val="22"/>
          <w:lang w:val="en-GB"/>
        </w:rPr>
        <w:t>Favor</w:t>
      </w:r>
      <w:r w:rsidRPr="4A469ACD" w:rsidR="584A96C0">
        <w:rPr>
          <w:rFonts w:ascii="Aptos" w:hAnsi="Aptos" w:eastAsia="Aptos" w:cs="Aptos"/>
          <w:noProof w:val="0"/>
          <w:sz w:val="22"/>
          <w:szCs w:val="22"/>
          <w:lang w:val="en-GB"/>
        </w:rPr>
        <w:t xml:space="preserve"> of group preservation. Consequently, Toyota’s culture developed as a closed-loop ecosystem where individual performance is explicitly subservient to the harmony and continuous optimization of the collective enterprise.</w:t>
      </w:r>
    </w:p>
    <w:p w:rsidR="78AB5254" w:rsidP="72DA92D2" w:rsidRDefault="78AB5254" w14:paraId="6F77D75D" w14:textId="346C05AE">
      <w:pPr>
        <w:pStyle w:val="Heading2"/>
        <w:spacing w:before="0" w:beforeAutospacing="off"/>
      </w:pPr>
      <w:r w:rsidRPr="72DA92D2" w:rsidR="78AB5254">
        <w:rPr>
          <w:rFonts w:ascii="Aptos" w:hAnsi="Aptos" w:eastAsia="Aptos" w:cs="Aptos"/>
          <w:noProof w:val="0"/>
          <w:sz w:val="22"/>
          <w:szCs w:val="22"/>
          <w:lang w:val="en-GB"/>
        </w:rPr>
        <w:t xml:space="preserve">3 . </w:t>
      </w:r>
      <w:r w:rsidRPr="72DA92D2" w:rsidR="68A494EF">
        <w:rPr>
          <w:rFonts w:ascii="Aptos" w:hAnsi="Aptos" w:eastAsia="Aptos" w:cs="Aptos"/>
          <w:noProof w:val="0"/>
          <w:sz w:val="22"/>
          <w:szCs w:val="22"/>
          <w:lang w:val="en-GB"/>
        </w:rPr>
        <w:t>Decision-Making Processes: Consensus vs. Strategic Agility</w:t>
      </w:r>
    </w:p>
    <w:p w:rsidR="68A494EF" w:rsidP="72DA92D2" w:rsidRDefault="68A494EF" w14:paraId="62ACC4F0" w14:textId="530A6373">
      <w:pPr>
        <w:spacing w:before="0" w:beforeAutospacing="off"/>
      </w:pPr>
      <w:r w:rsidRPr="4A469ACD" w:rsidR="584A96C0">
        <w:rPr>
          <w:rFonts w:ascii="Aptos" w:hAnsi="Aptos" w:eastAsia="Aptos" w:cs="Aptos"/>
          <w:noProof w:val="0"/>
          <w:sz w:val="22"/>
          <w:szCs w:val="22"/>
          <w:lang w:val="en-GB"/>
        </w:rPr>
        <w:t>Decision</w:t>
      </w:r>
      <w:r>
        <w:noBreakHyphen/>
      </w:r>
      <w:r w:rsidRPr="4A469ACD" w:rsidR="584A96C0">
        <w:rPr>
          <w:rFonts w:ascii="Aptos" w:hAnsi="Aptos" w:eastAsia="Aptos" w:cs="Aptos"/>
          <w:noProof w:val="0"/>
          <w:sz w:val="22"/>
          <w:szCs w:val="22"/>
          <w:lang w:val="en-GB"/>
        </w:rPr>
        <w:t>making</w:t>
      </w:r>
      <w:r w:rsidRPr="4A469ACD" w:rsidR="584A96C0">
        <w:rPr>
          <w:rFonts w:ascii="Aptos" w:hAnsi="Aptos" w:eastAsia="Aptos" w:cs="Aptos"/>
          <w:noProof w:val="0"/>
          <w:sz w:val="22"/>
          <w:szCs w:val="22"/>
          <w:lang w:val="en-GB"/>
        </w:rPr>
        <w:t xml:space="preserve"> within Toyota cannot be fully understood without </w:t>
      </w:r>
      <w:r w:rsidRPr="4A469ACD" w:rsidR="3BA52A87">
        <w:rPr>
          <w:rFonts w:ascii="Aptos" w:hAnsi="Aptos" w:eastAsia="Aptos" w:cs="Aptos"/>
          <w:noProof w:val="0"/>
          <w:sz w:val="22"/>
          <w:szCs w:val="22"/>
          <w:lang w:val="en-GB"/>
        </w:rPr>
        <w:t>analysing</w:t>
      </w:r>
      <w:r w:rsidRPr="4A469ACD" w:rsidR="584A96C0">
        <w:rPr>
          <w:rFonts w:ascii="Aptos" w:hAnsi="Aptos" w:eastAsia="Aptos" w:cs="Aptos"/>
          <w:noProof w:val="0"/>
          <w:sz w:val="22"/>
          <w:szCs w:val="22"/>
          <w:lang w:val="en-GB"/>
        </w:rPr>
        <w:t xml:space="preserve"> the Japanese cultural practice of </w:t>
      </w:r>
      <w:r w:rsidRPr="4A469ACD" w:rsidR="584A96C0">
        <w:rPr>
          <w:rFonts w:ascii="Aptos" w:hAnsi="Aptos" w:eastAsia="Aptos" w:cs="Aptos"/>
          <w:b w:val="1"/>
          <w:bCs w:val="1"/>
          <w:i w:val="1"/>
          <w:iCs w:val="1"/>
          <w:noProof w:val="0"/>
          <w:sz w:val="22"/>
          <w:szCs w:val="22"/>
          <w:lang w:val="en-GB"/>
        </w:rPr>
        <w:t>nemawashi</w:t>
      </w:r>
      <w:r w:rsidRPr="4A469ACD" w:rsidR="584A96C0">
        <w:rPr>
          <w:rFonts w:ascii="Aptos" w:hAnsi="Aptos" w:eastAsia="Aptos" w:cs="Aptos"/>
          <w:noProof w:val="0"/>
          <w:sz w:val="22"/>
          <w:szCs w:val="22"/>
          <w:lang w:val="en-GB"/>
        </w:rPr>
        <w:t xml:space="preserve">. Translated literally as "preparing the roots" (a metaphor derived from traditional Japanese gardening where a tree's roots are carefully prepared before transplantation), </w:t>
      </w:r>
      <w:r w:rsidRPr="4A469ACD" w:rsidR="584A96C0">
        <w:rPr>
          <w:rFonts w:ascii="Aptos" w:hAnsi="Aptos" w:eastAsia="Aptos" w:cs="Aptos"/>
          <w:i w:val="1"/>
          <w:iCs w:val="1"/>
          <w:noProof w:val="0"/>
          <w:sz w:val="22"/>
          <w:szCs w:val="22"/>
          <w:lang w:val="en-GB"/>
        </w:rPr>
        <w:t>nemawashi</w:t>
      </w:r>
      <w:r w:rsidRPr="4A469ACD" w:rsidR="584A96C0">
        <w:rPr>
          <w:rFonts w:ascii="Aptos" w:hAnsi="Aptos" w:eastAsia="Aptos" w:cs="Aptos"/>
          <w:noProof w:val="0"/>
          <w:sz w:val="22"/>
          <w:szCs w:val="22"/>
          <w:lang w:val="en-GB"/>
        </w:rPr>
        <w:t xml:space="preserve"> is an informal, highly sophisticated process of consensus-building that occurs long before any formal meeting takes place or an official decision is executed.</w:t>
      </w:r>
    </w:p>
    <w:p w:rsidR="46802775" w:rsidP="72DA92D2" w:rsidRDefault="46802775" w14:paraId="428CC957" w14:textId="2D593BFC">
      <w:pPr>
        <w:pStyle w:val="Heading3"/>
        <w:spacing w:before="0" w:beforeAutospacing="off"/>
      </w:pPr>
      <w:r w:rsidRPr="72DA92D2" w:rsidR="46802775">
        <w:rPr>
          <w:rFonts w:ascii="Aptos" w:hAnsi="Aptos" w:eastAsia="Aptos" w:cs="Aptos"/>
          <w:noProof w:val="0"/>
          <w:sz w:val="22"/>
          <w:szCs w:val="22"/>
          <w:lang w:val="en-GB"/>
        </w:rPr>
        <w:t>3</w:t>
      </w:r>
      <w:r w:rsidRPr="72DA92D2" w:rsidR="68A494EF">
        <w:rPr>
          <w:rFonts w:ascii="Aptos" w:hAnsi="Aptos" w:eastAsia="Aptos" w:cs="Aptos"/>
          <w:noProof w:val="0"/>
          <w:sz w:val="22"/>
          <w:szCs w:val="22"/>
          <w:lang w:val="en-GB"/>
        </w:rPr>
        <w:t xml:space="preserve">.1. The Mechanics of </w:t>
      </w:r>
      <w:r w:rsidRPr="72DA92D2" w:rsidR="68A494EF">
        <w:rPr>
          <w:rFonts w:ascii="Aptos" w:hAnsi="Aptos" w:eastAsia="Aptos" w:cs="Aptos"/>
          <w:noProof w:val="0"/>
          <w:sz w:val="22"/>
          <w:szCs w:val="22"/>
          <w:lang w:val="en-GB"/>
        </w:rPr>
        <w:t>Nemawashi</w:t>
      </w:r>
      <w:r w:rsidRPr="72DA92D2" w:rsidR="68A494EF">
        <w:rPr>
          <w:rFonts w:ascii="Aptos" w:hAnsi="Aptos" w:eastAsia="Aptos" w:cs="Aptos"/>
          <w:noProof w:val="0"/>
          <w:sz w:val="22"/>
          <w:szCs w:val="22"/>
          <w:lang w:val="en-GB"/>
        </w:rPr>
        <w:t xml:space="preserve"> and the </w:t>
      </w:r>
      <w:r w:rsidRPr="72DA92D2" w:rsidR="68A494EF">
        <w:rPr>
          <w:rFonts w:ascii="Aptos" w:hAnsi="Aptos" w:eastAsia="Aptos" w:cs="Aptos"/>
          <w:noProof w:val="0"/>
          <w:sz w:val="22"/>
          <w:szCs w:val="22"/>
          <w:lang w:val="en-GB"/>
        </w:rPr>
        <w:t>Ringi</w:t>
      </w:r>
      <w:r w:rsidRPr="72DA92D2" w:rsidR="68A494EF">
        <w:rPr>
          <w:rFonts w:ascii="Aptos" w:hAnsi="Aptos" w:eastAsia="Aptos" w:cs="Aptos"/>
          <w:noProof w:val="0"/>
          <w:sz w:val="22"/>
          <w:szCs w:val="22"/>
          <w:lang w:val="en-GB"/>
        </w:rPr>
        <w:t xml:space="preserve"> System</w:t>
      </w:r>
    </w:p>
    <w:p w:rsidR="68A494EF" w:rsidP="72DA92D2" w:rsidRDefault="68A494EF" w14:paraId="3500F185" w14:textId="6521732F">
      <w:pPr>
        <w:spacing w:before="0" w:beforeAutospacing="off"/>
      </w:pPr>
      <w:r w:rsidRPr="72DA92D2" w:rsidR="68A494EF">
        <w:rPr>
          <w:rFonts w:ascii="Aptos" w:hAnsi="Aptos" w:eastAsia="Aptos" w:cs="Aptos"/>
          <w:noProof w:val="0"/>
          <w:sz w:val="22"/>
          <w:szCs w:val="22"/>
          <w:lang w:val="en-GB"/>
        </w:rPr>
        <w:t>When a manager or engineer proposes a structural change, technical modification, or policy shift at Toyota, they do not simply present it to a board of directors for a majority vote. Instead, they engage in extensive, one-on-one, horizontal and vertical dialogues across all affected departments. They discuss the merits, listen to objections, incorporate feedback, and gradually align the entire organizational network.</w:t>
      </w:r>
    </w:p>
    <w:p w:rsidR="68A494EF" w:rsidP="72DA92D2" w:rsidRDefault="68A494EF" w14:paraId="346C8DF1" w14:textId="3EB5B47C">
      <w:pPr>
        <w:spacing w:before="0" w:beforeAutospacing="off"/>
      </w:pPr>
      <w:r w:rsidRPr="72DA92D2" w:rsidR="68A494EF">
        <w:rPr>
          <w:rFonts w:ascii="Aptos" w:hAnsi="Aptos" w:eastAsia="Aptos" w:cs="Aptos"/>
          <w:noProof w:val="0"/>
          <w:sz w:val="22"/>
          <w:szCs w:val="22"/>
          <w:lang w:val="en-GB"/>
        </w:rPr>
        <w:t xml:space="preserve">By the time the formal proposal enters the boardroom for official sign-off via the </w:t>
      </w:r>
      <w:r w:rsidRPr="72DA92D2" w:rsidR="68A494EF">
        <w:rPr>
          <w:rFonts w:ascii="Aptos" w:hAnsi="Aptos" w:eastAsia="Aptos" w:cs="Aptos"/>
          <w:b w:val="1"/>
          <w:bCs w:val="1"/>
          <w:i w:val="1"/>
          <w:iCs w:val="1"/>
          <w:noProof w:val="0"/>
          <w:sz w:val="22"/>
          <w:szCs w:val="22"/>
          <w:lang w:val="en-GB"/>
        </w:rPr>
        <w:t>ringi</w:t>
      </w:r>
      <w:r w:rsidRPr="72DA92D2" w:rsidR="68A494EF">
        <w:rPr>
          <w:rFonts w:ascii="Aptos" w:hAnsi="Aptos" w:eastAsia="Aptos" w:cs="Aptos"/>
          <w:b w:val="1"/>
          <w:bCs w:val="1"/>
          <w:noProof w:val="0"/>
          <w:sz w:val="22"/>
          <w:szCs w:val="22"/>
          <w:lang w:val="en-GB"/>
        </w:rPr>
        <w:t xml:space="preserve"> system</w:t>
      </w:r>
      <w:r w:rsidRPr="72DA92D2" w:rsidR="68A494EF">
        <w:rPr>
          <w:rFonts w:ascii="Aptos" w:hAnsi="Aptos" w:eastAsia="Aptos" w:cs="Aptos"/>
          <w:noProof w:val="0"/>
          <w:sz w:val="22"/>
          <w:szCs w:val="22"/>
          <w:lang w:val="en-GB"/>
        </w:rPr>
        <w:t xml:space="preserve"> (the circulation of a formal decision document requiring physical stamps of approval from stakeholders), consensus has already been achieved.</w:t>
      </w:r>
    </w:p>
    <w:tbl>
      <w:tblPr>
        <w:tblStyle w:val="TableNormal"/>
        <w:bidiVisual w:val="0"/>
        <w:tblW w:w="0" w:type="auto"/>
        <w:tblLook w:val="06A0" w:firstRow="1" w:lastRow="0" w:firstColumn="1" w:lastColumn="0" w:noHBand="1" w:noVBand="1"/>
      </w:tblPr>
      <w:tblGrid>
        <w:gridCol w:w="3060"/>
        <w:gridCol w:w="2850"/>
        <w:gridCol w:w="3352"/>
      </w:tblGrid>
      <w:tr w:rsidR="72DA92D2" w:rsidTr="72DA92D2" w14:paraId="660CB11D">
        <w:trPr>
          <w:trHeight w:val="300"/>
        </w:trPr>
        <w:tc>
          <w:tcPr>
            <w:tcW w:w="30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3BC0DA98" w14:textId="53E15AC9">
            <w:pPr>
              <w:spacing w:before="0" w:beforeAutospacing="off" w:after="0" w:afterAutospacing="off"/>
            </w:pPr>
            <w:r w:rsidRPr="72DA92D2" w:rsidR="72DA92D2">
              <w:rPr>
                <w:b w:val="1"/>
                <w:bCs w:val="1"/>
              </w:rPr>
              <w:t>Decision-Making Phase</w:t>
            </w:r>
          </w:p>
        </w:tc>
        <w:tc>
          <w:tcPr>
            <w:tcW w:w="285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05D635DD" w14:textId="2393C6A6">
            <w:pPr>
              <w:spacing w:before="0" w:beforeAutospacing="off" w:after="0" w:afterAutospacing="off"/>
            </w:pPr>
            <w:r w:rsidRPr="72DA92D2" w:rsidR="72DA92D2">
              <w:rPr>
                <w:b w:val="1"/>
                <w:bCs w:val="1"/>
              </w:rPr>
              <w:t>Traditional Top-Down Approach</w:t>
            </w:r>
          </w:p>
        </w:tc>
        <w:tc>
          <w:tcPr>
            <w:tcW w:w="335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3B74C1F0" w14:textId="149DB022">
            <w:pPr>
              <w:spacing w:before="0" w:beforeAutospacing="off" w:after="0" w:afterAutospacing="off"/>
            </w:pPr>
            <w:r w:rsidRPr="72DA92D2" w:rsidR="72DA92D2">
              <w:rPr>
                <w:b w:val="1"/>
                <w:bCs w:val="1"/>
              </w:rPr>
              <w:t>Toyota's Nemawashi / Ringi Approach</w:t>
            </w:r>
          </w:p>
        </w:tc>
      </w:tr>
      <w:tr w:rsidR="72DA92D2" w:rsidTr="72DA92D2" w14:paraId="4E01458A">
        <w:trPr>
          <w:trHeight w:val="300"/>
        </w:trPr>
        <w:tc>
          <w:tcPr>
            <w:tcW w:w="30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6C6222D1" w14:textId="072669AC">
            <w:pPr>
              <w:spacing w:before="0" w:beforeAutospacing="off" w:after="0" w:afterAutospacing="off"/>
            </w:pPr>
            <w:r w:rsidRPr="72DA92D2" w:rsidR="72DA92D2">
              <w:rPr>
                <w:b w:val="1"/>
                <w:bCs w:val="1"/>
              </w:rPr>
              <w:t>Initial Conception</w:t>
            </w:r>
          </w:p>
        </w:tc>
        <w:tc>
          <w:tcPr>
            <w:tcW w:w="285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5318DD93" w14:textId="63BFCD46">
            <w:pPr>
              <w:spacing w:before="0" w:beforeAutospacing="off" w:after="0" w:afterAutospacing="off"/>
            </w:pPr>
            <w:r w:rsidR="72DA92D2">
              <w:rPr/>
              <w:t>Fast; formulated by senior leadership or single executives.</w:t>
            </w:r>
          </w:p>
        </w:tc>
        <w:tc>
          <w:tcPr>
            <w:tcW w:w="335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20EA352F" w14:textId="0C16C7E6">
            <w:pPr>
              <w:spacing w:before="0" w:beforeAutospacing="off" w:after="0" w:afterAutospacing="off"/>
            </w:pPr>
            <w:r w:rsidR="72DA92D2">
              <w:rPr/>
              <w:t>Slow; extensive cross-functional discussions at lower/middle tiers.</w:t>
            </w:r>
          </w:p>
        </w:tc>
      </w:tr>
      <w:tr w:rsidR="72DA92D2" w:rsidTr="72DA92D2" w14:paraId="681EDAFF">
        <w:trPr>
          <w:trHeight w:val="300"/>
        </w:trPr>
        <w:tc>
          <w:tcPr>
            <w:tcW w:w="30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03C5CC0E" w14:textId="59DDCEFD">
            <w:pPr>
              <w:spacing w:before="0" w:beforeAutospacing="off" w:after="0" w:afterAutospacing="off"/>
            </w:pPr>
            <w:r w:rsidRPr="72DA92D2" w:rsidR="72DA92D2">
              <w:rPr>
                <w:b w:val="1"/>
                <w:bCs w:val="1"/>
              </w:rPr>
              <w:t>Stakeholder Alignment</w:t>
            </w:r>
          </w:p>
        </w:tc>
        <w:tc>
          <w:tcPr>
            <w:tcW w:w="285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60CBE202" w14:textId="5C2585B5">
            <w:pPr>
              <w:spacing w:before="0" w:beforeAutospacing="off" w:after="0" w:afterAutospacing="off"/>
            </w:pPr>
            <w:r w:rsidR="72DA92D2">
              <w:rPr/>
              <w:t>Low; directives are pushed down with minimal consultation.</w:t>
            </w:r>
          </w:p>
        </w:tc>
        <w:tc>
          <w:tcPr>
            <w:tcW w:w="335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1A0C50F1" w14:textId="71502B3D">
            <w:pPr>
              <w:spacing w:before="0" w:beforeAutospacing="off" w:after="0" w:afterAutospacing="off"/>
            </w:pPr>
            <w:r w:rsidR="72DA92D2">
              <w:rPr/>
              <w:t>Absolute; every impacted department is consulted individually.</w:t>
            </w:r>
          </w:p>
        </w:tc>
      </w:tr>
      <w:tr w:rsidR="72DA92D2" w:rsidTr="72DA92D2" w14:paraId="2449D9AB">
        <w:trPr>
          <w:trHeight w:val="300"/>
        </w:trPr>
        <w:tc>
          <w:tcPr>
            <w:tcW w:w="30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2625EF72" w14:textId="24D62B1B">
            <w:pPr>
              <w:spacing w:before="0" w:beforeAutospacing="off" w:after="0" w:afterAutospacing="off"/>
            </w:pPr>
            <w:r w:rsidRPr="72DA92D2" w:rsidR="72DA92D2">
              <w:rPr>
                <w:b w:val="1"/>
                <w:bCs w:val="1"/>
              </w:rPr>
              <w:t>Implementation Speed</w:t>
            </w:r>
          </w:p>
        </w:tc>
        <w:tc>
          <w:tcPr>
            <w:tcW w:w="285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7608B2F6" w14:textId="78DB0481">
            <w:pPr>
              <w:spacing w:before="0" w:beforeAutospacing="off" w:after="0" w:afterAutospacing="off"/>
            </w:pPr>
            <w:r w:rsidR="72DA92D2">
              <w:rPr/>
              <w:t>Slow; plagued by friction, resistance, and operational misunderstandings.</w:t>
            </w:r>
          </w:p>
        </w:tc>
        <w:tc>
          <w:tcPr>
            <w:tcW w:w="335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4CD22BF7" w14:textId="0C08C150">
            <w:pPr>
              <w:spacing w:before="0" w:beforeAutospacing="off" w:after="0" w:afterAutospacing="off"/>
            </w:pPr>
            <w:r w:rsidR="72DA92D2">
              <w:rPr/>
              <w:t>Extremely Rapid; execution is seamless as everyone is pre-aligned.</w:t>
            </w:r>
          </w:p>
        </w:tc>
      </w:tr>
      <w:tr w:rsidR="72DA92D2" w:rsidTr="72DA92D2" w14:paraId="388175F8">
        <w:trPr>
          <w:trHeight w:val="300"/>
        </w:trPr>
        <w:tc>
          <w:tcPr>
            <w:tcW w:w="30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078C07ED" w14:textId="5BD0EA7B">
            <w:pPr>
              <w:spacing w:before="0" w:beforeAutospacing="off" w:after="0" w:afterAutospacing="off"/>
            </w:pPr>
            <w:r w:rsidRPr="72DA92D2" w:rsidR="72DA92D2">
              <w:rPr>
                <w:b w:val="1"/>
                <w:bCs w:val="1"/>
              </w:rPr>
              <w:t>Risk of Overlooking Flaws</w:t>
            </w:r>
          </w:p>
        </w:tc>
        <w:tc>
          <w:tcPr>
            <w:tcW w:w="285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04D99F47" w14:textId="73726B78">
            <w:pPr>
              <w:spacing w:before="0" w:beforeAutospacing="off" w:after="0" w:afterAutospacing="off"/>
            </w:pPr>
            <w:r w:rsidR="72DA92D2">
              <w:rPr/>
              <w:t>High; blind spots remain unvoiced due to lack of diverse input.</w:t>
            </w:r>
          </w:p>
        </w:tc>
        <w:tc>
          <w:tcPr>
            <w:tcW w:w="335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2DA92D2" w:rsidP="72DA92D2" w:rsidRDefault="72DA92D2" w14:paraId="4099B014" w14:textId="2A9D4A2B">
            <w:pPr>
              <w:spacing w:before="0" w:beforeAutospacing="off" w:after="0" w:afterAutospacing="off"/>
            </w:pPr>
            <w:r w:rsidR="72DA92D2">
              <w:rPr/>
              <w:t>Low; exhaustive vetting filters out operational defects early.</w:t>
            </w:r>
          </w:p>
        </w:tc>
      </w:tr>
    </w:tbl>
    <w:p w:rsidR="68A494EF" w:rsidP="72DA92D2" w:rsidRDefault="68A494EF" w14:paraId="528EE1BA" w14:textId="6D5D1370">
      <w:pPr>
        <w:bidi w:val="0"/>
        <w:spacing w:before="0" w:beforeAutospacing="off"/>
      </w:pPr>
      <w:r w:rsidRPr="72DA92D2" w:rsidR="68A494EF">
        <w:rPr>
          <w:rFonts w:ascii="Aptos" w:hAnsi="Aptos" w:eastAsia="Aptos" w:cs="Aptos"/>
          <w:noProof w:val="0"/>
          <w:sz w:val="22"/>
          <w:szCs w:val="22"/>
          <w:lang w:val="en-GB"/>
        </w:rPr>
        <w:t>This consensus-driven methodology yields significant advantages in stable operational conditions. Because every stakeholder has contributed to the decision-making process, implementation is incredibly fast, efficient, and free of internal resistance. Everyone understands the exact rationale behind the decision, eliminating the friction, political infighting, and execution delays that frequently derail strategic initiatives in Western corporations.</w:t>
      </w:r>
    </w:p>
    <w:p w:rsidR="68A494EF" w:rsidP="72DA92D2" w:rsidRDefault="68A494EF" w14:paraId="19C1E829" w14:textId="46601770">
      <w:pPr>
        <w:bidi w:val="0"/>
        <w:spacing w:before="0" w:beforeAutospacing="off"/>
      </w:pPr>
      <w:r w:rsidRPr="72DA92D2" w:rsidR="68A494EF">
        <w:rPr>
          <w:rFonts w:ascii="Aptos" w:hAnsi="Aptos" w:eastAsia="Aptos" w:cs="Aptos"/>
          <w:noProof w:val="0"/>
          <w:sz w:val="22"/>
          <w:szCs w:val="22"/>
          <w:lang w:val="en-GB"/>
        </w:rPr>
        <w:t>However, this deeply collectivist approach has a severe systemic downside: it can compromise organizational agility in times of crisis. When an unexpected, fast-moving threat emerges, the requirement for exhaustive, multi-layered consensus can paralyze leadership.</w:t>
      </w:r>
    </w:p>
    <w:p w:rsidR="68A494EF" w:rsidP="72DA92D2" w:rsidRDefault="68A494EF" w14:paraId="628D9332" w14:textId="5DBD3603">
      <w:pPr>
        <w:bidi w:val="0"/>
        <w:spacing w:before="0" w:beforeAutospacing="off"/>
      </w:pPr>
      <w:r w:rsidRPr="72DA92D2" w:rsidR="68A494EF">
        <w:rPr>
          <w:rFonts w:ascii="Aptos" w:hAnsi="Aptos" w:eastAsia="Aptos" w:cs="Aptos"/>
          <w:noProof w:val="0"/>
          <w:sz w:val="22"/>
          <w:szCs w:val="22"/>
          <w:lang w:val="en-GB"/>
        </w:rPr>
        <w:t xml:space="preserve">The </w:t>
      </w:r>
      <w:r w:rsidRPr="72DA92D2" w:rsidR="68A494EF">
        <w:rPr>
          <w:rFonts w:ascii="Aptos" w:hAnsi="Aptos" w:eastAsia="Aptos" w:cs="Aptos"/>
          <w:b w:val="1"/>
          <w:bCs w:val="1"/>
          <w:noProof w:val="0"/>
          <w:sz w:val="22"/>
          <w:szCs w:val="22"/>
          <w:lang w:val="en-GB"/>
        </w:rPr>
        <w:t>2010 recall crisis</w:t>
      </w:r>
      <w:r w:rsidRPr="72DA92D2" w:rsidR="68A494EF">
        <w:rPr>
          <w:rFonts w:ascii="Aptos" w:hAnsi="Aptos" w:eastAsia="Aptos" w:cs="Aptos"/>
          <w:noProof w:val="0"/>
          <w:sz w:val="22"/>
          <w:szCs w:val="22"/>
          <w:lang w:val="en-GB"/>
        </w:rPr>
        <w:t xml:space="preserve"> served as a stark historical validation of this vulnerability (Wada, 2012). Faced with global reports of unintended acceleration in several vehicle models, Toyota’s centralized, consensus-bound leadership in Japan struggled to digest information originating from its North American subsidiaries. Regional executives who identified the technical and public relations problems lacked the autonomous authority to issue immediate, sweeping recalls or alter public communications without navigating the multi-tiered </w:t>
      </w:r>
      <w:r w:rsidRPr="72DA92D2" w:rsidR="68A494EF">
        <w:rPr>
          <w:rFonts w:ascii="Aptos" w:hAnsi="Aptos" w:eastAsia="Aptos" w:cs="Aptos"/>
          <w:i w:val="1"/>
          <w:iCs w:val="1"/>
          <w:noProof w:val="0"/>
          <w:sz w:val="22"/>
          <w:szCs w:val="22"/>
          <w:lang w:val="en-GB"/>
        </w:rPr>
        <w:t>nemawashi</w:t>
      </w:r>
      <w:r w:rsidRPr="72DA92D2" w:rsidR="68A494EF">
        <w:rPr>
          <w:rFonts w:ascii="Aptos" w:hAnsi="Aptos" w:eastAsia="Aptos" w:cs="Aptos"/>
          <w:noProof w:val="0"/>
          <w:sz w:val="22"/>
          <w:szCs w:val="22"/>
          <w:lang w:val="en-GB"/>
        </w:rPr>
        <w:t xml:space="preserve"> channels back in Toyota City.</w:t>
      </w:r>
    </w:p>
    <w:p w:rsidR="68A494EF" w:rsidP="72DA92D2" w:rsidRDefault="68A494EF" w14:paraId="2E899FF6" w14:textId="6B29034E">
      <w:pPr>
        <w:bidi w:val="0"/>
        <w:spacing w:before="0" w:beforeAutospacing="off"/>
      </w:pPr>
      <w:r w:rsidRPr="72DA92D2" w:rsidR="68A494EF">
        <w:rPr>
          <w:rFonts w:ascii="Aptos" w:hAnsi="Aptos" w:eastAsia="Aptos" w:cs="Aptos"/>
          <w:noProof w:val="0"/>
          <w:sz w:val="22"/>
          <w:szCs w:val="22"/>
          <w:lang w:val="en-GB"/>
        </w:rPr>
        <w:t>The resulting delays in public acknowledgement and regulatory action caused immense reputational damage and financial penalties, illustrating that while consensus-building guarantees high-quality execution in predictable environments, it acts as a dangerous bottleneck during fast-evolving crises.</w:t>
      </w:r>
    </w:p>
    <w:p w:rsidR="6BAE4D9C" w:rsidP="72DA92D2" w:rsidRDefault="6BAE4D9C" w14:paraId="395D204D" w14:textId="1235418C">
      <w:pPr>
        <w:pStyle w:val="Heading2"/>
        <w:bidi w:val="0"/>
        <w:spacing w:before="0" w:beforeAutospacing="off"/>
      </w:pPr>
      <w:r w:rsidRPr="72DA92D2" w:rsidR="6BAE4D9C">
        <w:rPr>
          <w:rFonts w:ascii="Aptos" w:hAnsi="Aptos" w:eastAsia="Aptos" w:cs="Aptos"/>
          <w:noProof w:val="0"/>
          <w:sz w:val="22"/>
          <w:szCs w:val="22"/>
          <w:lang w:val="en-GB"/>
        </w:rPr>
        <w:t>4</w:t>
      </w:r>
      <w:r w:rsidRPr="72DA92D2" w:rsidR="68A494EF">
        <w:rPr>
          <w:rFonts w:ascii="Aptos" w:hAnsi="Aptos" w:eastAsia="Aptos" w:cs="Aptos"/>
          <w:noProof w:val="0"/>
          <w:sz w:val="22"/>
          <w:szCs w:val="22"/>
          <w:lang w:val="en-GB"/>
        </w:rPr>
        <w:t>. Methodological Application of Cultural Frameworks</w:t>
      </w:r>
    </w:p>
    <w:p w:rsidR="68A494EF" w:rsidP="72DA92D2" w:rsidRDefault="68A494EF" w14:paraId="4E5D9702" w14:textId="4AC25173">
      <w:pPr>
        <w:bidi w:val="0"/>
        <w:spacing w:before="0" w:beforeAutospacing="off"/>
      </w:pPr>
      <w:r w:rsidRPr="4A469ACD" w:rsidR="584A96C0">
        <w:rPr>
          <w:rFonts w:ascii="Aptos" w:hAnsi="Aptos" w:eastAsia="Aptos" w:cs="Aptos"/>
          <w:noProof w:val="0"/>
          <w:sz w:val="22"/>
          <w:szCs w:val="22"/>
          <w:lang w:val="en-GB"/>
        </w:rPr>
        <w:t xml:space="preserve">To move beyond superficial observations of Toyota’s workplace characteristics, it is necessary to deploy rigorous academic frameworks. By examining the firm through the lenses of Edgar Schein, Geert Hofstede, Charles Handy, and Johnson’s Cultural Web, we can deconstruct the mechanisms that drive Toyota’s corporate </w:t>
      </w:r>
      <w:r w:rsidRPr="4A469ACD" w:rsidR="5334572B">
        <w:rPr>
          <w:rFonts w:ascii="Aptos" w:hAnsi="Aptos" w:eastAsia="Aptos" w:cs="Aptos"/>
          <w:noProof w:val="0"/>
          <w:sz w:val="22"/>
          <w:szCs w:val="22"/>
          <w:lang w:val="en-GB"/>
        </w:rPr>
        <w:t>behaviour</w:t>
      </w:r>
      <w:r w:rsidRPr="4A469ACD" w:rsidR="584A96C0">
        <w:rPr>
          <w:rFonts w:ascii="Aptos" w:hAnsi="Aptos" w:eastAsia="Aptos" w:cs="Aptos"/>
          <w:noProof w:val="0"/>
          <w:sz w:val="22"/>
          <w:szCs w:val="22"/>
          <w:lang w:val="en-GB"/>
        </w:rPr>
        <w:t>.</w:t>
      </w:r>
    </w:p>
    <w:p w:rsidR="5A5134E5" w:rsidP="72DA92D2" w:rsidRDefault="5A5134E5" w14:paraId="7615DA38" w14:textId="33705183">
      <w:pPr>
        <w:pStyle w:val="Heading2"/>
        <w:bidi w:val="0"/>
        <w:spacing w:before="0" w:beforeAutospacing="off"/>
      </w:pPr>
      <w:r w:rsidRPr="72DA92D2" w:rsidR="5A5134E5">
        <w:rPr>
          <w:rFonts w:ascii="Aptos" w:hAnsi="Aptos" w:eastAsia="Aptos" w:cs="Aptos"/>
          <w:noProof w:val="0"/>
          <w:sz w:val="22"/>
          <w:szCs w:val="22"/>
          <w:lang w:val="en-GB"/>
        </w:rPr>
        <w:t>5</w:t>
      </w:r>
      <w:r w:rsidRPr="72DA92D2" w:rsidR="68A494EF">
        <w:rPr>
          <w:rFonts w:ascii="Aptos" w:hAnsi="Aptos" w:eastAsia="Aptos" w:cs="Aptos"/>
          <w:noProof w:val="0"/>
          <w:sz w:val="22"/>
          <w:szCs w:val="22"/>
          <w:lang w:val="en-GB"/>
        </w:rPr>
        <w:t>. Culture and the External Environment: Adaptation vs. Inertia</w:t>
      </w:r>
    </w:p>
    <w:p w:rsidR="68A494EF" w:rsidP="72DA92D2" w:rsidRDefault="68A494EF" w14:paraId="32E1A73A" w14:textId="35CBB225">
      <w:pPr>
        <w:bidi w:val="0"/>
        <w:spacing w:before="0" w:beforeAutospacing="off"/>
      </w:pPr>
      <w:r w:rsidRPr="72DA92D2" w:rsidR="68A494EF">
        <w:rPr>
          <w:rFonts w:ascii="Aptos" w:hAnsi="Aptos" w:eastAsia="Aptos" w:cs="Aptos"/>
          <w:noProof w:val="0"/>
          <w:sz w:val="22"/>
          <w:szCs w:val="22"/>
          <w:lang w:val="en-GB"/>
        </w:rPr>
        <w:t>The global automotive sector is undergoing its most profound structural shift in a century, driven by electrification, autonomous driving, digital connectivity, and stringent carbon-neutral regulations. An organization's culture serves as the filter through which it interprets and responds to these volatile external pressures.</w:t>
      </w:r>
    </w:p>
    <w:p w:rsidR="68A494EF" w:rsidP="72DA92D2" w:rsidRDefault="68A494EF" w14:paraId="78BDB3C7" w14:textId="625B8EAA">
      <w:pPr>
        <w:pStyle w:val="Heading3"/>
        <w:bidi w:val="0"/>
        <w:spacing w:before="0" w:beforeAutospacing="off"/>
      </w:pPr>
      <w:r w:rsidRPr="72DA92D2" w:rsidR="68A494EF">
        <w:rPr>
          <w:rFonts w:ascii="Aptos" w:hAnsi="Aptos" w:eastAsia="Aptos" w:cs="Aptos"/>
          <w:noProof w:val="0"/>
          <w:sz w:val="22"/>
          <w:szCs w:val="22"/>
          <w:lang w:val="en-GB"/>
        </w:rPr>
        <w:t>6.</w:t>
      </w:r>
      <w:r w:rsidRPr="72DA92D2" w:rsidR="05B6F04F">
        <w:rPr>
          <w:rFonts w:ascii="Aptos" w:hAnsi="Aptos" w:eastAsia="Aptos" w:cs="Aptos"/>
          <w:noProof w:val="0"/>
          <w:sz w:val="22"/>
          <w:szCs w:val="22"/>
          <w:lang w:val="en-GB"/>
        </w:rPr>
        <w:t xml:space="preserve"> </w:t>
      </w:r>
      <w:r w:rsidRPr="72DA92D2" w:rsidR="68A494EF">
        <w:rPr>
          <w:rFonts w:ascii="Aptos" w:hAnsi="Aptos" w:eastAsia="Aptos" w:cs="Aptos"/>
          <w:noProof w:val="0"/>
          <w:sz w:val="22"/>
          <w:szCs w:val="22"/>
          <w:lang w:val="en-GB"/>
        </w:rPr>
        <w:t>Leveraging Culture for Evolutionary Advantage</w:t>
      </w:r>
    </w:p>
    <w:p w:rsidR="68A494EF" w:rsidP="72DA92D2" w:rsidRDefault="68A494EF" w14:paraId="4FA1A054" w14:textId="7BB1B5A6">
      <w:pPr>
        <w:bidi w:val="0"/>
        <w:spacing w:before="0" w:beforeAutospacing="off"/>
      </w:pPr>
      <w:r w:rsidRPr="72DA92D2" w:rsidR="68A494EF">
        <w:rPr>
          <w:rFonts w:ascii="Aptos" w:hAnsi="Aptos" w:eastAsia="Aptos" w:cs="Aptos"/>
          <w:noProof w:val="0"/>
          <w:sz w:val="22"/>
          <w:szCs w:val="22"/>
          <w:lang w:val="en-GB"/>
        </w:rPr>
        <w:t xml:space="preserve">For decades, Toyota utilized its culture of </w:t>
      </w:r>
      <w:r w:rsidRPr="72DA92D2" w:rsidR="68A494EF">
        <w:rPr>
          <w:rFonts w:ascii="Aptos" w:hAnsi="Aptos" w:eastAsia="Aptos" w:cs="Aptos"/>
          <w:i w:val="1"/>
          <w:iCs w:val="1"/>
          <w:noProof w:val="0"/>
          <w:sz w:val="22"/>
          <w:szCs w:val="22"/>
          <w:lang w:val="en-GB"/>
        </w:rPr>
        <w:t>kaizen</w:t>
      </w:r>
      <w:r w:rsidRPr="72DA92D2" w:rsidR="68A494EF">
        <w:rPr>
          <w:rFonts w:ascii="Aptos" w:hAnsi="Aptos" w:eastAsia="Aptos" w:cs="Aptos"/>
          <w:noProof w:val="0"/>
          <w:sz w:val="22"/>
          <w:szCs w:val="22"/>
          <w:lang w:val="en-GB"/>
        </w:rPr>
        <w:t xml:space="preserve"> to adapt to shifting external pressures more effectively than its global competitors. When oil crises plagued the global economy in the 1970s and subsequent decades, consumer demand shifted rapidly toward fuel-efficient vehicles. Toyota’s culture, which viewed material waste as a fundamental failure, had already optimized the production of small, highly efficient internal combustion engines.</w:t>
      </w:r>
    </w:p>
    <w:p w:rsidR="68A494EF" w:rsidP="72DA92D2" w:rsidRDefault="68A494EF" w14:paraId="2E860C4E" w14:textId="3B80AE4C">
      <w:pPr>
        <w:bidi w:val="0"/>
        <w:spacing w:before="0" w:beforeAutospacing="off"/>
      </w:pPr>
      <w:r w:rsidRPr="72DA92D2" w:rsidR="68A494EF">
        <w:rPr>
          <w:rFonts w:ascii="Aptos" w:hAnsi="Aptos" w:eastAsia="Aptos" w:cs="Aptos"/>
          <w:noProof w:val="0"/>
          <w:sz w:val="22"/>
          <w:szCs w:val="22"/>
          <w:lang w:val="en-GB"/>
        </w:rPr>
        <w:t>Furthermore, the company's long-term orientation allowed its leadership to invest heavily in alternative powertrain technologies throughout the 1990s. This sustained cultural and financial commitment culminated in the introduction of the Prius, the world's first mass-produced hybrid vehicle. The Prius project demonstrates how long-term thinking, combined with a disciplined, cross-functional task culture, can anticipate global regulatory shifts and consumer demands, creating a multi-decade competitive advantage.</w:t>
      </w:r>
    </w:p>
    <w:p w:rsidR="68A494EF" w:rsidP="72DA92D2" w:rsidRDefault="68A494EF" w14:paraId="472634FF" w14:textId="6082D7F8">
      <w:pPr>
        <w:pStyle w:val="Heading3"/>
        <w:bidi w:val="0"/>
        <w:spacing w:before="0" w:beforeAutospacing="off"/>
      </w:pPr>
      <w:r w:rsidRPr="72DA92D2" w:rsidR="68A494EF">
        <w:rPr>
          <w:rFonts w:ascii="Aptos" w:hAnsi="Aptos" w:eastAsia="Aptos" w:cs="Aptos"/>
          <w:noProof w:val="0"/>
          <w:sz w:val="22"/>
          <w:szCs w:val="22"/>
          <w:lang w:val="en-GB"/>
        </w:rPr>
        <w:t>6.2. Cultural Rigidity in the Face of Architectural Innovation</w:t>
      </w:r>
    </w:p>
    <w:p w:rsidR="68A494EF" w:rsidP="72DA92D2" w:rsidRDefault="68A494EF" w14:paraId="086844C6" w14:textId="12C74381">
      <w:pPr>
        <w:bidi w:val="0"/>
        <w:spacing w:before="0" w:beforeAutospacing="off"/>
      </w:pPr>
      <w:r w:rsidRPr="4A469ACD" w:rsidR="584A96C0">
        <w:rPr>
          <w:rFonts w:ascii="Aptos" w:hAnsi="Aptos" w:eastAsia="Aptos" w:cs="Aptos"/>
          <w:noProof w:val="0"/>
          <w:sz w:val="22"/>
          <w:szCs w:val="22"/>
          <w:lang w:val="en-GB"/>
        </w:rPr>
        <w:t xml:space="preserve">Despite these historical successes, Toyota’s culture has experienced severe friction when confronted with the </w:t>
      </w:r>
      <w:r w:rsidRPr="4A469ACD" w:rsidR="584A96C0">
        <w:rPr>
          <w:rFonts w:ascii="Aptos" w:hAnsi="Aptos" w:eastAsia="Aptos" w:cs="Aptos"/>
          <w:b w:val="1"/>
          <w:bCs w:val="1"/>
          <w:noProof w:val="0"/>
          <w:sz w:val="22"/>
          <w:szCs w:val="22"/>
          <w:lang w:val="en-GB"/>
        </w:rPr>
        <w:t>Battery Electric Vehicle (EV) revolution</w:t>
      </w:r>
      <w:r w:rsidRPr="4A469ACD" w:rsidR="584A96C0">
        <w:rPr>
          <w:rFonts w:ascii="Aptos" w:hAnsi="Aptos" w:eastAsia="Aptos" w:cs="Aptos"/>
          <w:noProof w:val="0"/>
          <w:sz w:val="22"/>
          <w:szCs w:val="22"/>
          <w:lang w:val="en-GB"/>
        </w:rPr>
        <w:t xml:space="preserve">. This dilemma can be </w:t>
      </w:r>
      <w:r w:rsidRPr="4A469ACD" w:rsidR="221ECC13">
        <w:rPr>
          <w:rFonts w:ascii="Aptos" w:hAnsi="Aptos" w:eastAsia="Aptos" w:cs="Aptos"/>
          <w:noProof w:val="0"/>
          <w:sz w:val="22"/>
          <w:szCs w:val="22"/>
          <w:lang w:val="en-GB"/>
        </w:rPr>
        <w:t>analysed</w:t>
      </w:r>
      <w:r w:rsidRPr="4A469ACD" w:rsidR="584A96C0">
        <w:rPr>
          <w:rFonts w:ascii="Aptos" w:hAnsi="Aptos" w:eastAsia="Aptos" w:cs="Aptos"/>
          <w:noProof w:val="0"/>
          <w:sz w:val="22"/>
          <w:szCs w:val="22"/>
          <w:lang w:val="en-GB"/>
        </w:rPr>
        <w:t xml:space="preserve"> through </w:t>
      </w:r>
      <w:r w:rsidRPr="4A469ACD" w:rsidR="584A96C0">
        <w:rPr>
          <w:rFonts w:ascii="Aptos" w:hAnsi="Aptos" w:eastAsia="Aptos" w:cs="Aptos"/>
          <w:b w:val="1"/>
          <w:bCs w:val="1"/>
          <w:noProof w:val="0"/>
          <w:sz w:val="22"/>
          <w:szCs w:val="22"/>
          <w:lang w:val="en-GB"/>
        </w:rPr>
        <w:t>Denison's Organisational Culture Model</w:t>
      </w:r>
      <w:r w:rsidRPr="4A469ACD" w:rsidR="584A96C0">
        <w:rPr>
          <w:rFonts w:ascii="Aptos" w:hAnsi="Aptos" w:eastAsia="Aptos" w:cs="Aptos"/>
          <w:noProof w:val="0"/>
          <w:sz w:val="22"/>
          <w:szCs w:val="22"/>
          <w:lang w:val="en-GB"/>
        </w:rPr>
        <w:t xml:space="preserve">, which highlights the critical structural tension between </w:t>
      </w:r>
      <w:r w:rsidRPr="4A469ACD" w:rsidR="584A96C0">
        <w:rPr>
          <w:rFonts w:ascii="Aptos" w:hAnsi="Aptos" w:eastAsia="Aptos" w:cs="Aptos"/>
          <w:i w:val="1"/>
          <w:iCs w:val="1"/>
          <w:noProof w:val="0"/>
          <w:sz w:val="22"/>
          <w:szCs w:val="22"/>
          <w:lang w:val="en-GB"/>
        </w:rPr>
        <w:t>consistency</w:t>
      </w:r>
      <w:r w:rsidRPr="4A469ACD" w:rsidR="584A96C0">
        <w:rPr>
          <w:rFonts w:ascii="Aptos" w:hAnsi="Aptos" w:eastAsia="Aptos" w:cs="Aptos"/>
          <w:noProof w:val="0"/>
          <w:sz w:val="22"/>
          <w:szCs w:val="22"/>
          <w:lang w:val="en-GB"/>
        </w:rPr>
        <w:t xml:space="preserve"> (internal process control) and </w:t>
      </w:r>
      <w:r w:rsidRPr="4A469ACD" w:rsidR="584A96C0">
        <w:rPr>
          <w:rFonts w:ascii="Aptos" w:hAnsi="Aptos" w:eastAsia="Aptos" w:cs="Aptos"/>
          <w:i w:val="1"/>
          <w:iCs w:val="1"/>
          <w:noProof w:val="0"/>
          <w:sz w:val="22"/>
          <w:szCs w:val="22"/>
          <w:lang w:val="en-GB"/>
        </w:rPr>
        <w:t>adaptability</w:t>
      </w:r>
      <w:r w:rsidRPr="4A469ACD" w:rsidR="584A96C0">
        <w:rPr>
          <w:rFonts w:ascii="Aptos" w:hAnsi="Aptos" w:eastAsia="Aptos" w:cs="Aptos"/>
          <w:noProof w:val="0"/>
          <w:sz w:val="22"/>
          <w:szCs w:val="22"/>
          <w:lang w:val="en-GB"/>
        </w:rPr>
        <w:t xml:space="preserve"> (external market orientation).</w:t>
      </w:r>
    </w:p>
    <w:p w:rsidR="68A494EF" w:rsidP="72DA92D2" w:rsidRDefault="68A494EF" w14:paraId="47BC3EE5" w14:textId="23C73963">
      <w:pPr>
        <w:bidi w:val="0"/>
        <w:spacing w:before="0" w:beforeAutospacing="off"/>
      </w:pPr>
      <w:r w:rsidRPr="72DA92D2" w:rsidR="68A494EF">
        <w:rPr>
          <w:rFonts w:ascii="Aptos" w:hAnsi="Aptos" w:eastAsia="Aptos" w:cs="Aptos"/>
          <w:noProof w:val="0"/>
          <w:sz w:val="22"/>
          <w:szCs w:val="22"/>
          <w:lang w:val="en-GB"/>
        </w:rPr>
        <w:t xml:space="preserve">Toyota’s culture excels at </w:t>
      </w:r>
      <w:r w:rsidRPr="72DA92D2" w:rsidR="68A494EF">
        <w:rPr>
          <w:rFonts w:ascii="Aptos" w:hAnsi="Aptos" w:eastAsia="Aptos" w:cs="Aptos"/>
          <w:i w:val="1"/>
          <w:iCs w:val="1"/>
          <w:noProof w:val="0"/>
          <w:sz w:val="22"/>
          <w:szCs w:val="22"/>
          <w:lang w:val="en-GB"/>
        </w:rPr>
        <w:t>consistency</w:t>
      </w:r>
      <w:r w:rsidRPr="72DA92D2" w:rsidR="68A494EF">
        <w:rPr>
          <w:rFonts w:ascii="Aptos" w:hAnsi="Aptos" w:eastAsia="Aptos" w:cs="Aptos"/>
          <w:noProof w:val="0"/>
          <w:sz w:val="22"/>
          <w:szCs w:val="22"/>
          <w:lang w:val="en-GB"/>
        </w:rPr>
        <w:t xml:space="preserve"> and incremental optimization. </w:t>
      </w:r>
      <w:r w:rsidRPr="72DA92D2" w:rsidR="68A494EF">
        <w:rPr>
          <w:rFonts w:ascii="Aptos" w:hAnsi="Aptos" w:eastAsia="Aptos" w:cs="Aptos"/>
          <w:i w:val="1"/>
          <w:iCs w:val="1"/>
          <w:noProof w:val="0"/>
          <w:sz w:val="22"/>
          <w:szCs w:val="22"/>
          <w:lang w:val="en-GB"/>
        </w:rPr>
        <w:t>Kaizen</w:t>
      </w:r>
      <w:r w:rsidRPr="72DA92D2" w:rsidR="68A494EF">
        <w:rPr>
          <w:rFonts w:ascii="Aptos" w:hAnsi="Aptos" w:eastAsia="Aptos" w:cs="Aptos"/>
          <w:noProof w:val="0"/>
          <w:sz w:val="22"/>
          <w:szCs w:val="22"/>
          <w:lang w:val="en-GB"/>
        </w:rPr>
        <w:t xml:space="preserve"> is designed to take an existing process or technology—such as an internal combustion engine or a hybrid powertrain—and make it 1% better every day through relentless refinement.</w:t>
      </w:r>
    </w:p>
    <w:p w:rsidR="68A494EF" w:rsidP="72DA92D2" w:rsidRDefault="68A494EF" w14:paraId="37915985" w14:textId="2FEC27BB">
      <w:pPr>
        <w:bidi w:val="0"/>
        <w:spacing w:before="0" w:beforeAutospacing="off"/>
      </w:pPr>
      <w:r w:rsidRPr="72DA92D2" w:rsidR="68A494EF">
        <w:rPr>
          <w:rFonts w:ascii="Aptos" w:hAnsi="Aptos" w:eastAsia="Aptos" w:cs="Aptos"/>
          <w:noProof w:val="0"/>
          <w:sz w:val="22"/>
          <w:szCs w:val="22"/>
          <w:lang w:val="en-GB"/>
        </w:rPr>
        <w:t xml:space="preserve">However, the transition to pure Battery Electric Vehicles (BEVs) is not an evolutionary change; it is a </w:t>
      </w:r>
      <w:r w:rsidRPr="72DA92D2" w:rsidR="68A494EF">
        <w:rPr>
          <w:rFonts w:ascii="Aptos" w:hAnsi="Aptos" w:eastAsia="Aptos" w:cs="Aptos"/>
          <w:b w:val="1"/>
          <w:bCs w:val="1"/>
          <w:noProof w:val="0"/>
          <w:sz w:val="22"/>
          <w:szCs w:val="22"/>
          <w:lang w:val="en-GB"/>
        </w:rPr>
        <w:t>disruptive, architectural innovation</w:t>
      </w:r>
      <w:r w:rsidRPr="72DA92D2" w:rsidR="68A494EF">
        <w:rPr>
          <w:rFonts w:ascii="Aptos" w:hAnsi="Aptos" w:eastAsia="Aptos" w:cs="Aptos"/>
          <w:noProof w:val="0"/>
          <w:sz w:val="22"/>
          <w:szCs w:val="22"/>
          <w:lang w:val="en-GB"/>
        </w:rPr>
        <w:t xml:space="preserve"> that renders traditional engine manufacturing capabilities obsolete. It requires entirely different organizational competencies in software engineering, battery chemistry, and digital platforms.</w:t>
      </w:r>
    </w:p>
    <w:p w:rsidR="68A494EF" w:rsidP="72DA92D2" w:rsidRDefault="68A494EF" w14:paraId="6A77CB0D" w14:textId="3764E1BF">
      <w:pPr>
        <w:bidi w:val="0"/>
        <w:spacing w:before="0" w:beforeAutospacing="off"/>
        <w:rPr>
          <w:rFonts w:ascii="Consolas" w:hAnsi="Consolas" w:eastAsia="Consolas" w:cs="Consolas"/>
          <w:noProof w:val="0"/>
          <w:sz w:val="22"/>
          <w:szCs w:val="22"/>
          <w:lang w:val="en-GB"/>
        </w:rPr>
      </w:pPr>
      <w:r w:rsidRPr="72DA92D2" w:rsidR="68A494EF">
        <w:rPr>
          <w:rFonts w:ascii="Consolas" w:hAnsi="Consolas" w:eastAsia="Consolas" w:cs="Consolas"/>
          <w:noProof w:val="0"/>
          <w:sz w:val="22"/>
          <w:szCs w:val="22"/>
          <w:lang w:val="en-GB"/>
        </w:rPr>
        <w:t xml:space="preserve">                    </w:t>
      </w:r>
    </w:p>
    <w:p w:rsidR="68A494EF" w:rsidP="72DA92D2" w:rsidRDefault="68A494EF" w14:paraId="14A6FD3B" w14:textId="4049886B">
      <w:pPr>
        <w:bidi w:val="0"/>
        <w:spacing w:before="0" w:beforeAutospacing="off"/>
      </w:pPr>
      <w:r w:rsidRPr="72DA92D2" w:rsidR="68A494EF">
        <w:rPr>
          <w:rFonts w:ascii="Aptos" w:hAnsi="Aptos" w:eastAsia="Aptos" w:cs="Aptos"/>
          <w:noProof w:val="0"/>
          <w:sz w:val="22"/>
          <w:szCs w:val="22"/>
          <w:lang w:val="en-GB"/>
        </w:rPr>
        <w:t>Here, Toyota’s high uncertainty avoidance, role-based culture, and deep commitment to its historic hybrid success created institutional inertia. Senior leadership in Japan publicly doubted the speed of global EV adoption for years, choosing instead to protect their mastery of hybrid systems and invest in hydrogen fuel cell technology—a long-term bet that aligned with their historical preference for slow, closed-loop engineering ecosystems.</w:t>
      </w:r>
    </w:p>
    <w:p w:rsidR="68A494EF" w:rsidP="72DA92D2" w:rsidRDefault="68A494EF" w14:paraId="51D9E631" w14:textId="6600123E">
      <w:pPr>
        <w:bidi w:val="0"/>
        <w:spacing w:before="0" w:beforeAutospacing="off"/>
      </w:pPr>
      <w:r w:rsidRPr="72DA92D2" w:rsidR="68A494EF">
        <w:rPr>
          <w:rFonts w:ascii="Aptos" w:hAnsi="Aptos" w:eastAsia="Aptos" w:cs="Aptos"/>
          <w:noProof w:val="0"/>
          <w:sz w:val="22"/>
          <w:szCs w:val="22"/>
          <w:lang w:val="en-GB"/>
        </w:rPr>
        <w:t>As a result, agile, software-first competitors like Tesla and well-funded Chinese EV conglomerates captured substantial early market share in the premium electric space. This reveals that an internal culture optimized for incremental quality control can struggle to pivot when external environments demand radical, disruptive change.</w:t>
      </w:r>
    </w:p>
    <w:p w:rsidR="68A494EF" w:rsidP="72DA92D2" w:rsidRDefault="68A494EF" w14:paraId="05A8188B" w14:textId="4FF20F9B">
      <w:pPr>
        <w:pStyle w:val="Heading2"/>
        <w:bidi w:val="0"/>
        <w:spacing w:before="0" w:beforeAutospacing="off"/>
      </w:pPr>
      <w:r w:rsidRPr="72DA92D2" w:rsidR="68A494EF">
        <w:rPr>
          <w:rFonts w:ascii="Aptos" w:hAnsi="Aptos" w:eastAsia="Aptos" w:cs="Aptos"/>
          <w:noProof w:val="0"/>
          <w:sz w:val="22"/>
          <w:szCs w:val="22"/>
          <w:lang w:val="en-GB"/>
        </w:rPr>
        <w:t>7. Critical Evaluation: Culture as a Strategic Enabler or Institutional Barrier?</w:t>
      </w:r>
    </w:p>
    <w:p w:rsidR="68A494EF" w:rsidP="72DA92D2" w:rsidRDefault="68A494EF" w14:paraId="6B5C6D94" w14:textId="4DCBAB26">
      <w:pPr>
        <w:bidi w:val="0"/>
        <w:spacing w:before="0" w:beforeAutospacing="off"/>
      </w:pPr>
      <w:r w:rsidRPr="72DA92D2" w:rsidR="68A494EF">
        <w:rPr>
          <w:rFonts w:ascii="Aptos" w:hAnsi="Aptos" w:eastAsia="Aptos" w:cs="Aptos"/>
          <w:noProof w:val="0"/>
          <w:sz w:val="22"/>
          <w:szCs w:val="22"/>
          <w:lang w:val="en-GB"/>
        </w:rPr>
        <w:t>To arrive at a balanced, objective evaluation of Toyota's cultural ecosystem, we must synthesize how its core traits simultaneously function as powerful strategic enablers and insidious institutional barriers.</w:t>
      </w:r>
    </w:p>
    <w:p w:rsidR="68A494EF" w:rsidP="72DA92D2" w:rsidRDefault="68A494EF" w14:paraId="75F88CC0" w14:textId="004D06FD">
      <w:pPr>
        <w:pStyle w:val="Heading3"/>
        <w:bidi w:val="0"/>
        <w:spacing w:before="0" w:beforeAutospacing="off"/>
      </w:pPr>
      <w:r w:rsidRPr="72DA92D2" w:rsidR="68A494EF">
        <w:rPr>
          <w:rFonts w:ascii="Aptos" w:hAnsi="Aptos" w:eastAsia="Aptos" w:cs="Aptos"/>
          <w:noProof w:val="0"/>
          <w:sz w:val="22"/>
          <w:szCs w:val="22"/>
          <w:lang w:val="en-GB"/>
        </w:rPr>
        <w:t>7.1. The Enabler: Operational Excellence and Organizational Longevity</w:t>
      </w:r>
    </w:p>
    <w:p w:rsidR="68A494EF" w:rsidP="72DA92D2" w:rsidRDefault="68A494EF" w14:paraId="56B2EEC2" w14:textId="6F5F555E">
      <w:pPr>
        <w:bidi w:val="0"/>
        <w:spacing w:before="0" w:beforeAutospacing="off"/>
      </w:pPr>
      <w:r w:rsidRPr="72DA92D2" w:rsidR="68A494EF">
        <w:rPr>
          <w:rFonts w:ascii="Aptos" w:hAnsi="Aptos" w:eastAsia="Aptos" w:cs="Aptos"/>
          <w:noProof w:val="0"/>
          <w:sz w:val="22"/>
          <w:szCs w:val="22"/>
          <w:lang w:val="en-GB"/>
        </w:rPr>
        <w:t>When functioning as intended, Toyota’s culture is arguably the most potent operational enabler in industrial history. It delivers substantial strategic advantages:</w:t>
      </w:r>
    </w:p>
    <w:p w:rsidR="68A494EF" w:rsidP="72DA92D2" w:rsidRDefault="68A494EF" w14:paraId="4C0E2ECE" w14:textId="5982A183">
      <w:pPr>
        <w:pStyle w:val="ListParagraph"/>
        <w:numPr>
          <w:ilvl w:val="0"/>
          <w:numId w:val="6"/>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Unparalleled Quality Assurance:</w:t>
      </w:r>
      <w:r w:rsidRPr="72DA92D2" w:rsidR="68A494EF">
        <w:rPr>
          <w:rFonts w:ascii="Aptos" w:hAnsi="Aptos" w:eastAsia="Aptos" w:cs="Aptos"/>
          <w:noProof w:val="0"/>
          <w:sz w:val="22"/>
          <w:szCs w:val="22"/>
          <w:lang w:val="en-GB"/>
        </w:rPr>
        <w:t xml:space="preserve"> By embedding the assumption that quality is a collective moral duty, Toyota consistently ranks at the top of global automotive reliability indices, translating directly into premium brand equity and high customer retention.</w:t>
      </w:r>
    </w:p>
    <w:p w:rsidR="68A494EF" w:rsidP="72DA92D2" w:rsidRDefault="68A494EF" w14:paraId="724FD771" w14:textId="6314D8E9">
      <w:pPr>
        <w:pStyle w:val="ListParagraph"/>
        <w:numPr>
          <w:ilvl w:val="0"/>
          <w:numId w:val="6"/>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Extremely Low Operational Waste:</w:t>
      </w:r>
      <w:r w:rsidRPr="72DA92D2" w:rsidR="68A494EF">
        <w:rPr>
          <w:rFonts w:ascii="Aptos" w:hAnsi="Aptos" w:eastAsia="Aptos" w:cs="Aptos"/>
          <w:noProof w:val="0"/>
          <w:sz w:val="22"/>
          <w:szCs w:val="22"/>
          <w:lang w:val="en-GB"/>
        </w:rPr>
        <w:t xml:space="preserve"> The relentless cultural focus on </w:t>
      </w:r>
      <w:r w:rsidRPr="72DA92D2" w:rsidR="68A494EF">
        <w:rPr>
          <w:rFonts w:ascii="Aptos" w:hAnsi="Aptos" w:eastAsia="Aptos" w:cs="Aptos"/>
          <w:i w:val="1"/>
          <w:iCs w:val="1"/>
          <w:noProof w:val="0"/>
          <w:sz w:val="22"/>
          <w:szCs w:val="22"/>
          <w:lang w:val="en-GB"/>
        </w:rPr>
        <w:t>muda</w:t>
      </w:r>
      <w:r w:rsidRPr="72DA92D2" w:rsidR="68A494EF">
        <w:rPr>
          <w:rFonts w:ascii="Aptos" w:hAnsi="Aptos" w:eastAsia="Aptos" w:cs="Aptos"/>
          <w:noProof w:val="0"/>
          <w:sz w:val="22"/>
          <w:szCs w:val="22"/>
          <w:lang w:val="en-GB"/>
        </w:rPr>
        <w:t xml:space="preserve">, </w:t>
      </w:r>
      <w:r w:rsidRPr="72DA92D2" w:rsidR="68A494EF">
        <w:rPr>
          <w:rFonts w:ascii="Aptos" w:hAnsi="Aptos" w:eastAsia="Aptos" w:cs="Aptos"/>
          <w:i w:val="1"/>
          <w:iCs w:val="1"/>
          <w:noProof w:val="0"/>
          <w:sz w:val="22"/>
          <w:szCs w:val="22"/>
          <w:lang w:val="en-GB"/>
        </w:rPr>
        <w:t>mura</w:t>
      </w:r>
      <w:r w:rsidRPr="72DA92D2" w:rsidR="68A494EF">
        <w:rPr>
          <w:rFonts w:ascii="Aptos" w:hAnsi="Aptos" w:eastAsia="Aptos" w:cs="Aptos"/>
          <w:noProof w:val="0"/>
          <w:sz w:val="22"/>
          <w:szCs w:val="22"/>
          <w:lang w:val="en-GB"/>
        </w:rPr>
        <w:t xml:space="preserve"> (unevenness), and </w:t>
      </w:r>
      <w:r w:rsidRPr="72DA92D2" w:rsidR="68A494EF">
        <w:rPr>
          <w:rFonts w:ascii="Aptos" w:hAnsi="Aptos" w:eastAsia="Aptos" w:cs="Aptos"/>
          <w:i w:val="1"/>
          <w:iCs w:val="1"/>
          <w:noProof w:val="0"/>
          <w:sz w:val="22"/>
          <w:szCs w:val="22"/>
          <w:lang w:val="en-GB"/>
        </w:rPr>
        <w:t>muri</w:t>
      </w:r>
      <w:r w:rsidRPr="72DA92D2" w:rsidR="68A494EF">
        <w:rPr>
          <w:rFonts w:ascii="Aptos" w:hAnsi="Aptos" w:eastAsia="Aptos" w:cs="Aptos"/>
          <w:noProof w:val="0"/>
          <w:sz w:val="22"/>
          <w:szCs w:val="22"/>
          <w:lang w:val="en-GB"/>
        </w:rPr>
        <w:t xml:space="preserve"> (overburden) allows Toyota to operate with minimal inventory, maximizing cash flow efficiency and capital productivity.</w:t>
      </w:r>
    </w:p>
    <w:p w:rsidR="68A494EF" w:rsidP="72DA92D2" w:rsidRDefault="68A494EF" w14:paraId="56B118D4" w14:textId="6984A6D7">
      <w:pPr>
        <w:pStyle w:val="ListParagraph"/>
        <w:numPr>
          <w:ilvl w:val="0"/>
          <w:numId w:val="6"/>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High Employee Engagement and Safety:</w:t>
      </w:r>
      <w:r w:rsidRPr="72DA92D2" w:rsidR="68A494EF">
        <w:rPr>
          <w:rFonts w:ascii="Aptos" w:hAnsi="Aptos" w:eastAsia="Aptos" w:cs="Aptos"/>
          <w:noProof w:val="0"/>
          <w:sz w:val="22"/>
          <w:szCs w:val="22"/>
          <w:lang w:val="en-GB"/>
        </w:rPr>
        <w:t xml:space="preserve"> The execution of "Respect for People" gives shop-floor workers a genuine voice in process design, leading to low labor turnover, high institutional memory, and superior workplace safety metrics compared to traditional manufacturing environments.</w:t>
      </w:r>
    </w:p>
    <w:p w:rsidR="68A494EF" w:rsidP="72DA92D2" w:rsidRDefault="68A494EF" w14:paraId="7EBA0851" w14:textId="4DE7C126">
      <w:pPr>
        <w:pStyle w:val="Heading3"/>
        <w:bidi w:val="0"/>
        <w:spacing w:before="0" w:beforeAutospacing="off"/>
      </w:pPr>
      <w:r w:rsidRPr="72DA92D2" w:rsidR="68A494EF">
        <w:rPr>
          <w:rFonts w:ascii="Aptos" w:hAnsi="Aptos" w:eastAsia="Aptos" w:cs="Aptos"/>
          <w:noProof w:val="0"/>
          <w:sz w:val="22"/>
          <w:szCs w:val="22"/>
          <w:lang w:val="en-GB"/>
        </w:rPr>
        <w:t>7.2. The Barrier: Cultural Blind Spots and Insular Governance</w:t>
      </w:r>
    </w:p>
    <w:p w:rsidR="68A494EF" w:rsidP="72DA92D2" w:rsidRDefault="68A494EF" w14:paraId="35809147" w14:textId="60F2B7E9">
      <w:pPr>
        <w:bidi w:val="0"/>
        <w:spacing w:before="0" w:beforeAutospacing="off"/>
      </w:pPr>
      <w:r w:rsidRPr="72DA92D2" w:rsidR="68A494EF">
        <w:rPr>
          <w:rFonts w:ascii="Aptos" w:hAnsi="Aptos" w:eastAsia="Aptos" w:cs="Aptos"/>
          <w:noProof w:val="0"/>
          <w:sz w:val="22"/>
          <w:szCs w:val="22"/>
          <w:lang w:val="en-GB"/>
        </w:rPr>
        <w:t>Conversely, the darker side of Toyota’s tightly bound cultural ecosystem manifests as a significant institutional barrier:</w:t>
      </w:r>
    </w:p>
    <w:p w:rsidR="68A494EF" w:rsidP="72DA92D2" w:rsidRDefault="68A494EF" w14:paraId="7F074D6C" w14:textId="082E34A9">
      <w:pPr>
        <w:pStyle w:val="ListParagraph"/>
        <w:numPr>
          <w:ilvl w:val="0"/>
          <w:numId w:val="7"/>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The "Groupthink" Phenomenon and Excessive Conformity:</w:t>
      </w:r>
      <w:r w:rsidRPr="72DA92D2" w:rsidR="68A494EF">
        <w:rPr>
          <w:rFonts w:ascii="Aptos" w:hAnsi="Aptos" w:eastAsia="Aptos" w:cs="Aptos"/>
          <w:noProof w:val="0"/>
          <w:sz w:val="22"/>
          <w:szCs w:val="22"/>
          <w:lang w:val="en-GB"/>
        </w:rPr>
        <w:t xml:space="preserve"> The high collectivism and high uncertainty avoidance that preserve harmony can inadvertently suppress internal dissent. Employees and middle managers, socialized to show deep deference to seniority, may become hesitant to pass negative news up the hierarchy or challenge flawed executive assumptions.</w:t>
      </w:r>
    </w:p>
    <w:p w:rsidR="68A494EF" w:rsidP="72DA92D2" w:rsidRDefault="68A494EF" w14:paraId="0AE8671E" w14:textId="0963181A">
      <w:pPr>
        <w:pStyle w:val="ListParagraph"/>
        <w:numPr>
          <w:ilvl w:val="0"/>
          <w:numId w:val="7"/>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Insularity and Ethnocentrism:</w:t>
      </w:r>
      <w:r w:rsidRPr="72DA92D2" w:rsidR="68A494EF">
        <w:rPr>
          <w:rFonts w:ascii="Aptos" w:hAnsi="Aptos" w:eastAsia="Aptos" w:cs="Aptos"/>
          <w:noProof w:val="0"/>
          <w:sz w:val="22"/>
          <w:szCs w:val="22"/>
          <w:lang w:val="en-GB"/>
        </w:rPr>
        <w:t xml:space="preserve"> For a long period of its global expansion, Toyota maintained an ethnocentric management structure. The ultimate decision-making power remained concentrated within an elite circle of Japanese executives in Toyota City. This insularity limited the organization's ability to integrate insights from its foreign executives in North America and Europe, who were much closer to local regulatory disruptions and changing consumer preferences (Abo, 2018).</w:t>
      </w:r>
    </w:p>
    <w:p w:rsidR="68A494EF" w:rsidP="72DA92D2" w:rsidRDefault="68A494EF" w14:paraId="7AB7F75D" w14:textId="110DD1FE">
      <w:pPr>
        <w:pStyle w:val="ListParagraph"/>
        <w:numPr>
          <w:ilvl w:val="0"/>
          <w:numId w:val="7"/>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Snares of Past Success:</w:t>
      </w:r>
      <w:r w:rsidRPr="72DA92D2" w:rsidR="68A494EF">
        <w:rPr>
          <w:rFonts w:ascii="Aptos" w:hAnsi="Aptos" w:eastAsia="Aptos" w:cs="Aptos"/>
          <w:noProof w:val="0"/>
          <w:sz w:val="22"/>
          <w:szCs w:val="22"/>
          <w:lang w:val="en-GB"/>
        </w:rPr>
        <w:t xml:space="preserve"> Toyota's mastery of the hybrid market created an internal culture that was deeply protective of its legacy achievements. This historical pride can make the organization blind to structural threats, transforming a once-agile pioneer into a conservative defender of status-quo technologies.</w:t>
      </w:r>
    </w:p>
    <w:p w:rsidR="68A494EF" w:rsidP="72DA92D2" w:rsidRDefault="68A494EF" w14:paraId="25F5DB8E" w14:textId="2E3FB6F5">
      <w:pPr>
        <w:pStyle w:val="Heading2"/>
        <w:bidi w:val="0"/>
        <w:spacing w:before="0" w:beforeAutospacing="off"/>
      </w:pPr>
      <w:r w:rsidRPr="72DA92D2" w:rsidR="68A494EF">
        <w:rPr>
          <w:rFonts w:ascii="Aptos" w:hAnsi="Aptos" w:eastAsia="Aptos" w:cs="Aptos"/>
          <w:noProof w:val="0"/>
          <w:sz w:val="22"/>
          <w:szCs w:val="22"/>
          <w:lang w:val="en-GB"/>
        </w:rPr>
        <w:t>8. Cross-Cultural Friction in Global Subsidiaries</w:t>
      </w:r>
    </w:p>
    <w:p w:rsidR="68A494EF" w:rsidP="72DA92D2" w:rsidRDefault="68A494EF" w14:paraId="52EADF73" w14:textId="76B5953D">
      <w:pPr>
        <w:bidi w:val="0"/>
        <w:spacing w:before="0" w:beforeAutospacing="off"/>
      </w:pPr>
      <w:r w:rsidRPr="72DA92D2" w:rsidR="68A494EF">
        <w:rPr>
          <w:rFonts w:ascii="Aptos" w:hAnsi="Aptos" w:eastAsia="Aptos" w:cs="Aptos"/>
          <w:noProof w:val="0"/>
          <w:sz w:val="22"/>
          <w:szCs w:val="22"/>
          <w:lang w:val="en-GB"/>
        </w:rPr>
        <w:t>As Toyota expanded its manufacturing footprint into North America, Europe, and emerging markets, it encountered significant friction when transferring its deeply Japanese corporate culture into diverse national contexts. This process of cultural transferability often exposes the limits of a standardized global corporate identity.</w:t>
      </w:r>
    </w:p>
    <w:p w:rsidR="68A494EF" w:rsidP="72DA92D2" w:rsidRDefault="68A494EF" w14:paraId="43F92520" w14:textId="13B0F77C">
      <w:pPr>
        <w:pStyle w:val="Heading3"/>
        <w:bidi w:val="0"/>
        <w:spacing w:before="0" w:beforeAutospacing="off"/>
      </w:pPr>
      <w:r w:rsidRPr="72DA92D2" w:rsidR="68A494EF">
        <w:rPr>
          <w:rFonts w:ascii="Aptos" w:hAnsi="Aptos" w:eastAsia="Aptos" w:cs="Aptos"/>
          <w:noProof w:val="0"/>
          <w:sz w:val="22"/>
          <w:szCs w:val="22"/>
          <w:lang w:val="en-GB"/>
        </w:rPr>
        <w:t>8.1. The North American Adaptation</w:t>
      </w:r>
    </w:p>
    <w:p w:rsidR="68A494EF" w:rsidP="72DA92D2" w:rsidRDefault="68A494EF" w14:paraId="06F393EF" w14:textId="139A1185">
      <w:pPr>
        <w:bidi w:val="0"/>
        <w:spacing w:before="0" w:beforeAutospacing="off"/>
      </w:pPr>
      <w:r w:rsidRPr="72DA92D2" w:rsidR="68A494EF">
        <w:rPr>
          <w:rFonts w:ascii="Aptos" w:hAnsi="Aptos" w:eastAsia="Aptos" w:cs="Aptos"/>
          <w:noProof w:val="0"/>
          <w:sz w:val="22"/>
          <w:szCs w:val="22"/>
          <w:lang w:val="en-GB"/>
        </w:rPr>
        <w:t>When Toyota established its early joint ventures and wholly-owned plants in the United States (such as NUMMI in California and its plant in Georgetown, Kentucky), American workers accustomed to individualistic reward systems and adversarial union-management relationships struggled to adapt to Toyota's collectivist expectations.</w:t>
      </w:r>
    </w:p>
    <w:p w:rsidR="68A494EF" w:rsidP="72DA92D2" w:rsidRDefault="68A494EF" w14:paraId="39327B51" w14:textId="7A05D16E">
      <w:pPr>
        <w:bidi w:val="0"/>
        <w:spacing w:before="0" w:beforeAutospacing="off"/>
      </w:pPr>
      <w:r w:rsidRPr="72DA92D2" w:rsidR="68A494EF">
        <w:rPr>
          <w:rFonts w:ascii="Aptos" w:hAnsi="Aptos" w:eastAsia="Aptos" w:cs="Aptos"/>
          <w:noProof w:val="0"/>
          <w:sz w:val="22"/>
          <w:szCs w:val="22"/>
          <w:lang w:val="en-GB"/>
        </w:rPr>
        <w:t xml:space="preserve">The concept of </w:t>
      </w:r>
      <w:r w:rsidRPr="72DA92D2" w:rsidR="68A494EF">
        <w:rPr>
          <w:rFonts w:ascii="Aptos" w:hAnsi="Aptos" w:eastAsia="Aptos" w:cs="Aptos"/>
          <w:i w:val="1"/>
          <w:iCs w:val="1"/>
          <w:noProof w:val="0"/>
          <w:sz w:val="22"/>
          <w:szCs w:val="22"/>
          <w:lang w:val="en-GB"/>
        </w:rPr>
        <w:t>kaizen</w:t>
      </w:r>
      <w:r w:rsidRPr="72DA92D2" w:rsidR="68A494EF">
        <w:rPr>
          <w:rFonts w:ascii="Aptos" w:hAnsi="Aptos" w:eastAsia="Aptos" w:cs="Aptos"/>
          <w:noProof w:val="0"/>
          <w:sz w:val="22"/>
          <w:szCs w:val="22"/>
          <w:lang w:val="en-GB"/>
        </w:rPr>
        <w:t xml:space="preserve"> circles was initially met with suspicion by workers who viewed it as a management ploy to increase labor productivity without additional compensation. To overcome this friction, Toyota had to invest heavily in cultural socialization, flying American team leaders to Japan to experience the "Respect for People" pillar firsthand. This demonstrated that </w:t>
      </w:r>
      <w:r w:rsidRPr="72DA92D2" w:rsidR="68A494EF">
        <w:rPr>
          <w:rFonts w:ascii="Aptos" w:hAnsi="Aptos" w:eastAsia="Aptos" w:cs="Aptos"/>
          <w:i w:val="1"/>
          <w:iCs w:val="1"/>
          <w:noProof w:val="0"/>
          <w:sz w:val="22"/>
          <w:szCs w:val="22"/>
          <w:lang w:val="en-GB"/>
        </w:rPr>
        <w:t>kaizen</w:t>
      </w:r>
      <w:r w:rsidRPr="72DA92D2" w:rsidR="68A494EF">
        <w:rPr>
          <w:rFonts w:ascii="Aptos" w:hAnsi="Aptos" w:eastAsia="Aptos" w:cs="Aptos"/>
          <w:noProof w:val="0"/>
          <w:sz w:val="22"/>
          <w:szCs w:val="22"/>
          <w:lang w:val="en-GB"/>
        </w:rPr>
        <w:t xml:space="preserve"> was not merely about speed, but about genuine worker-led ergonomics and problem-solving.</w:t>
      </w:r>
    </w:p>
    <w:p w:rsidR="68A494EF" w:rsidP="72DA92D2" w:rsidRDefault="68A494EF" w14:paraId="53EDAA0A" w14:textId="427E13E6">
      <w:pPr>
        <w:pStyle w:val="Heading3"/>
        <w:bidi w:val="0"/>
        <w:spacing w:before="0" w:beforeAutospacing="off"/>
      </w:pPr>
      <w:r w:rsidRPr="72DA92D2" w:rsidR="68A494EF">
        <w:rPr>
          <w:rFonts w:ascii="Aptos" w:hAnsi="Aptos" w:eastAsia="Aptos" w:cs="Aptos"/>
          <w:noProof w:val="0"/>
          <w:sz w:val="22"/>
          <w:szCs w:val="22"/>
          <w:lang w:val="en-GB"/>
        </w:rPr>
        <w:t>8.2. The European Confrontation with Hierarchy</w:t>
      </w:r>
    </w:p>
    <w:p w:rsidR="68A494EF" w:rsidP="72DA92D2" w:rsidRDefault="68A494EF" w14:paraId="170B2E7D" w14:textId="2F2D4E02">
      <w:pPr>
        <w:bidi w:val="0"/>
        <w:spacing w:before="0" w:beforeAutospacing="off"/>
      </w:pPr>
      <w:r w:rsidRPr="4A469ACD" w:rsidR="584A96C0">
        <w:rPr>
          <w:rFonts w:ascii="Aptos" w:hAnsi="Aptos" w:eastAsia="Aptos" w:cs="Aptos"/>
          <w:noProof w:val="0"/>
          <w:sz w:val="22"/>
          <w:szCs w:val="22"/>
          <w:lang w:val="en-GB"/>
        </w:rPr>
        <w:t xml:space="preserve">In its European operations, particularly in countries with strong traditions of industrialized </w:t>
      </w:r>
      <w:r w:rsidRPr="4A469ACD" w:rsidR="5F34ABDB">
        <w:rPr>
          <w:rFonts w:ascii="Aptos" w:hAnsi="Aptos" w:eastAsia="Aptos" w:cs="Aptos"/>
          <w:noProof w:val="0"/>
          <w:sz w:val="22"/>
          <w:szCs w:val="22"/>
          <w:lang w:val="en-GB"/>
        </w:rPr>
        <w:t>labour</w:t>
      </w:r>
      <w:r w:rsidRPr="4A469ACD" w:rsidR="584A96C0">
        <w:rPr>
          <w:rFonts w:ascii="Aptos" w:hAnsi="Aptos" w:eastAsia="Aptos" w:cs="Aptos"/>
          <w:noProof w:val="0"/>
          <w:sz w:val="22"/>
          <w:szCs w:val="22"/>
          <w:lang w:val="en-GB"/>
        </w:rPr>
        <w:t xml:space="preserve"> democracy and localized autonomy (such as the UK and France), Toyota’s centralized strategic control and requirement for meticulous adherence to standard work sheets </w:t>
      </w:r>
      <w:r w:rsidRPr="4A469ACD" w:rsidR="584A96C0">
        <w:rPr>
          <w:rFonts w:ascii="Aptos" w:hAnsi="Aptos" w:eastAsia="Aptos" w:cs="Aptos"/>
          <w:noProof w:val="0"/>
          <w:sz w:val="22"/>
          <w:szCs w:val="22"/>
          <w:lang w:val="en-GB"/>
        </w:rPr>
        <w:t>encountered</w:t>
      </w:r>
      <w:r w:rsidRPr="4A469ACD" w:rsidR="584A96C0">
        <w:rPr>
          <w:rFonts w:ascii="Aptos" w:hAnsi="Aptos" w:eastAsia="Aptos" w:cs="Aptos"/>
          <w:noProof w:val="0"/>
          <w:sz w:val="22"/>
          <w:szCs w:val="22"/>
          <w:lang w:val="en-GB"/>
        </w:rPr>
        <w:t xml:space="preserve"> resistance. European engineers and line workers </w:t>
      </w:r>
      <w:r w:rsidRPr="4A469ACD" w:rsidR="584A96C0">
        <w:rPr>
          <w:rFonts w:ascii="Aptos" w:hAnsi="Aptos" w:eastAsia="Aptos" w:cs="Aptos"/>
          <w:noProof w:val="0"/>
          <w:sz w:val="22"/>
          <w:szCs w:val="22"/>
          <w:lang w:val="en-GB"/>
        </w:rPr>
        <w:t>frequently</w:t>
      </w:r>
      <w:r w:rsidRPr="4A469ACD" w:rsidR="584A96C0">
        <w:rPr>
          <w:rFonts w:ascii="Aptos" w:hAnsi="Aptos" w:eastAsia="Aptos" w:cs="Aptos"/>
          <w:noProof w:val="0"/>
          <w:sz w:val="22"/>
          <w:szCs w:val="22"/>
          <w:lang w:val="en-GB"/>
        </w:rPr>
        <w:t xml:space="preserve"> valued individual creativity and autonomous problem-solving over rigid process conformity.</w:t>
      </w:r>
    </w:p>
    <w:p w:rsidR="68A494EF" w:rsidP="72DA92D2" w:rsidRDefault="68A494EF" w14:paraId="69E37130" w14:textId="4D549668">
      <w:pPr>
        <w:bidi w:val="0"/>
        <w:spacing w:before="0" w:beforeAutospacing="off"/>
      </w:pPr>
      <w:r w:rsidRPr="4A469ACD" w:rsidR="584A96C0">
        <w:rPr>
          <w:rFonts w:ascii="Aptos" w:hAnsi="Aptos" w:eastAsia="Aptos" w:cs="Aptos"/>
          <w:noProof w:val="0"/>
          <w:sz w:val="22"/>
          <w:szCs w:val="22"/>
          <w:lang w:val="en-GB"/>
        </w:rPr>
        <w:t xml:space="preserve">This cultural friction forced Toyota to introduce localized modifications to its management style, giving European design and manufacturing hubs greater freedom to customize vehicles for local tastes. This adaptation highlighted that while the operational core of TPS is globally transferable, the </w:t>
      </w:r>
      <w:r w:rsidRPr="4A469ACD" w:rsidR="441601F4">
        <w:rPr>
          <w:rFonts w:ascii="Aptos" w:hAnsi="Aptos" w:eastAsia="Aptos" w:cs="Aptos"/>
          <w:noProof w:val="0"/>
          <w:sz w:val="22"/>
          <w:szCs w:val="22"/>
          <w:lang w:val="en-GB"/>
        </w:rPr>
        <w:t>behavioural</w:t>
      </w:r>
      <w:r w:rsidRPr="4A469ACD" w:rsidR="584A96C0">
        <w:rPr>
          <w:rFonts w:ascii="Aptos" w:hAnsi="Aptos" w:eastAsia="Aptos" w:cs="Aptos"/>
          <w:noProof w:val="0"/>
          <w:sz w:val="22"/>
          <w:szCs w:val="22"/>
          <w:lang w:val="en-GB"/>
        </w:rPr>
        <w:t xml:space="preserve"> assumptions underlying it must be negotiated when </w:t>
      </w:r>
      <w:r w:rsidRPr="4A469ACD" w:rsidR="584A96C0">
        <w:rPr>
          <w:rFonts w:ascii="Aptos" w:hAnsi="Aptos" w:eastAsia="Aptos" w:cs="Aptos"/>
          <w:noProof w:val="0"/>
          <w:sz w:val="22"/>
          <w:szCs w:val="22"/>
          <w:lang w:val="en-GB"/>
        </w:rPr>
        <w:t>operating</w:t>
      </w:r>
      <w:r w:rsidRPr="4A469ACD" w:rsidR="584A96C0">
        <w:rPr>
          <w:rFonts w:ascii="Aptos" w:hAnsi="Aptos" w:eastAsia="Aptos" w:cs="Aptos"/>
          <w:noProof w:val="0"/>
          <w:sz w:val="22"/>
          <w:szCs w:val="22"/>
          <w:lang w:val="en-GB"/>
        </w:rPr>
        <w:t xml:space="preserve"> outside of Japan.</w:t>
      </w:r>
    </w:p>
    <w:p w:rsidR="68A494EF" w:rsidP="72DA92D2" w:rsidRDefault="68A494EF" w14:paraId="0074DE74" w14:textId="55515574">
      <w:pPr>
        <w:pStyle w:val="Heading2"/>
        <w:bidi w:val="0"/>
        <w:spacing w:before="0" w:beforeAutospacing="off"/>
      </w:pPr>
      <w:r w:rsidRPr="72DA92D2" w:rsidR="68A494EF">
        <w:rPr>
          <w:rFonts w:ascii="Aptos" w:hAnsi="Aptos" w:eastAsia="Aptos" w:cs="Aptos"/>
          <w:noProof w:val="0"/>
          <w:sz w:val="22"/>
          <w:szCs w:val="22"/>
          <w:lang w:val="en-GB"/>
        </w:rPr>
        <w:t>9. Impact of Culture on Organisational Performance</w:t>
      </w:r>
    </w:p>
    <w:p w:rsidR="68A494EF" w:rsidP="72DA92D2" w:rsidRDefault="68A494EF" w14:paraId="4B077685" w14:textId="530A9543">
      <w:pPr>
        <w:bidi w:val="0"/>
        <w:spacing w:before="0" w:beforeAutospacing="off"/>
      </w:pPr>
      <w:r w:rsidRPr="72DA92D2" w:rsidR="68A494EF">
        <w:rPr>
          <w:rFonts w:ascii="Aptos" w:hAnsi="Aptos" w:eastAsia="Aptos" w:cs="Aptos"/>
          <w:noProof w:val="0"/>
          <w:sz w:val="22"/>
          <w:szCs w:val="22"/>
          <w:lang w:val="en-GB"/>
        </w:rPr>
        <w:t>The direct correlation between Toyota’s organizational culture and its long-term financial and non-financial performance metrics is substantial and deeply documented.</w:t>
      </w:r>
    </w:p>
    <w:p w:rsidR="68A494EF" w:rsidP="72DA92D2" w:rsidRDefault="68A494EF" w14:paraId="0C63E2EE" w14:textId="3450B5A9">
      <w:pPr>
        <w:pStyle w:val="Heading3"/>
        <w:bidi w:val="0"/>
        <w:spacing w:before="0" w:beforeAutospacing="off"/>
      </w:pPr>
      <w:r w:rsidRPr="72DA92D2" w:rsidR="68A494EF">
        <w:rPr>
          <w:rFonts w:ascii="Aptos" w:hAnsi="Aptos" w:eastAsia="Aptos" w:cs="Aptos"/>
          <w:noProof w:val="0"/>
          <w:sz w:val="22"/>
          <w:szCs w:val="22"/>
          <w:lang w:val="en-GB"/>
        </w:rPr>
        <w:t>9.1. Positive Performance Outcomes</w:t>
      </w:r>
    </w:p>
    <w:p w:rsidR="68A494EF" w:rsidP="72DA92D2" w:rsidRDefault="68A494EF" w14:paraId="0F840D66" w14:textId="3346F71D">
      <w:pPr>
        <w:bidi w:val="0"/>
        <w:spacing w:before="0" w:beforeAutospacing="off"/>
      </w:pPr>
      <w:r w:rsidRPr="72DA92D2" w:rsidR="68A494EF">
        <w:rPr>
          <w:rFonts w:ascii="Aptos" w:hAnsi="Aptos" w:eastAsia="Aptos" w:cs="Aptos"/>
          <w:noProof w:val="0"/>
          <w:sz w:val="22"/>
          <w:szCs w:val="22"/>
          <w:lang w:val="en-GB"/>
        </w:rPr>
        <w:t>For decades, Toyota's cultural engine translated directly into dominant financial and market outcomes:</w:t>
      </w:r>
    </w:p>
    <w:p w:rsidR="68A494EF" w:rsidP="72DA92D2" w:rsidRDefault="68A494EF" w14:paraId="53B8D110" w14:textId="29A5476B">
      <w:pPr>
        <w:pStyle w:val="ListParagraph"/>
        <w:numPr>
          <w:ilvl w:val="0"/>
          <w:numId w:val="8"/>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Profitability and Market Capitalization:</w:t>
      </w:r>
      <w:r w:rsidRPr="72DA92D2" w:rsidR="68A494EF">
        <w:rPr>
          <w:rFonts w:ascii="Aptos" w:hAnsi="Aptos" w:eastAsia="Aptos" w:cs="Aptos"/>
          <w:noProof w:val="0"/>
          <w:sz w:val="22"/>
          <w:szCs w:val="22"/>
          <w:lang w:val="en-GB"/>
        </w:rPr>
        <w:t xml:space="preserve"> Toyota has consistently maintained some of the highest operating profit margins in the volume automotive industry, often outperforming its Detroit-based competitors even during broader macroeconomic downturns.</w:t>
      </w:r>
    </w:p>
    <w:p w:rsidR="68A494EF" w:rsidP="72DA92D2" w:rsidRDefault="68A494EF" w14:paraId="1BF99DCE" w14:textId="6A6C6B63">
      <w:pPr>
        <w:pStyle w:val="ListParagraph"/>
        <w:numPr>
          <w:ilvl w:val="0"/>
          <w:numId w:val="8"/>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Brand Asset Valuations:</w:t>
      </w:r>
      <w:r w:rsidRPr="72DA92D2" w:rsidR="68A494EF">
        <w:rPr>
          <w:rFonts w:ascii="Aptos" w:hAnsi="Aptos" w:eastAsia="Aptos" w:cs="Aptos"/>
          <w:noProof w:val="0"/>
          <w:sz w:val="22"/>
          <w:szCs w:val="22"/>
          <w:lang w:val="en-GB"/>
        </w:rPr>
        <w:t xml:space="preserve"> Interbrand’s global rankings consistently place Toyota as one of the world's most valuable automotive brands, a valuation built entirely upon the cultural foundations of reliability and operational integrity.</w:t>
      </w:r>
    </w:p>
    <w:p w:rsidR="68A494EF" w:rsidP="72DA92D2" w:rsidRDefault="68A494EF" w14:paraId="11212781" w14:textId="57A4F9E4">
      <w:pPr>
        <w:pStyle w:val="ListParagraph"/>
        <w:numPr>
          <w:ilvl w:val="0"/>
          <w:numId w:val="8"/>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Operational Adaptability:</w:t>
      </w:r>
      <w:r w:rsidRPr="72DA92D2" w:rsidR="68A494EF">
        <w:rPr>
          <w:rFonts w:ascii="Aptos" w:hAnsi="Aptos" w:eastAsia="Aptos" w:cs="Aptos"/>
          <w:noProof w:val="0"/>
          <w:sz w:val="22"/>
          <w:szCs w:val="22"/>
          <w:lang w:val="en-GB"/>
        </w:rPr>
        <w:t xml:space="preserve"> Through its global network of plants operating under uniform TPS cultures, Toyota can rapidly shift production across regions to optimize for changing currency values and trade flows, protecting its baseline financial performance.</w:t>
      </w:r>
    </w:p>
    <w:p w:rsidR="68A494EF" w:rsidP="72DA92D2" w:rsidRDefault="68A494EF" w14:paraId="08B679D2" w14:textId="6C00025B">
      <w:pPr>
        <w:pStyle w:val="Heading3"/>
        <w:bidi w:val="0"/>
        <w:spacing w:before="0" w:beforeAutospacing="off"/>
      </w:pPr>
      <w:r w:rsidRPr="72DA92D2" w:rsidR="68A494EF">
        <w:rPr>
          <w:rFonts w:ascii="Aptos" w:hAnsi="Aptos" w:eastAsia="Aptos" w:cs="Aptos"/>
          <w:noProof w:val="0"/>
          <w:sz w:val="22"/>
          <w:szCs w:val="22"/>
          <w:lang w:val="en-GB"/>
        </w:rPr>
        <w:t>9.2. Negative Performance Adjustments</w:t>
      </w:r>
    </w:p>
    <w:p w:rsidR="68A494EF" w:rsidP="72DA92D2" w:rsidRDefault="68A494EF" w14:paraId="4409798D" w14:textId="520263BD">
      <w:pPr>
        <w:bidi w:val="0"/>
        <w:spacing w:before="0" w:beforeAutospacing="off"/>
      </w:pPr>
      <w:r w:rsidRPr="72DA92D2" w:rsidR="68A494EF">
        <w:rPr>
          <w:rFonts w:ascii="Aptos" w:hAnsi="Aptos" w:eastAsia="Aptos" w:cs="Aptos"/>
          <w:noProof w:val="0"/>
          <w:sz w:val="22"/>
          <w:szCs w:val="22"/>
          <w:lang w:val="en-GB"/>
        </w:rPr>
        <w:t>However, cultural friction points have also caused visible contractions in performance:</w:t>
      </w:r>
    </w:p>
    <w:p w:rsidR="68A494EF" w:rsidP="72DA92D2" w:rsidRDefault="68A494EF" w14:paraId="0FD638A9" w14:textId="327ED3E8">
      <w:pPr>
        <w:pStyle w:val="ListParagraph"/>
        <w:numPr>
          <w:ilvl w:val="0"/>
          <w:numId w:val="9"/>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The Financial and Reputational Costs of the Recall Crisis:</w:t>
      </w:r>
      <w:r w:rsidRPr="72DA92D2" w:rsidR="68A494EF">
        <w:rPr>
          <w:rFonts w:ascii="Aptos" w:hAnsi="Aptos" w:eastAsia="Aptos" w:cs="Aptos"/>
          <w:noProof w:val="0"/>
          <w:sz w:val="22"/>
          <w:szCs w:val="22"/>
          <w:lang w:val="en-GB"/>
        </w:rPr>
        <w:t xml:space="preserve"> The 2010 delay in recognizing and rectifying pedal-trapping and braking issues resulted in billions of dollars in direct regulatory fines, legal settlements, and lost sales. The intangible damage to Toyota's reputation for safety took years of costly marketing and public relations campaigns to restore.</w:t>
      </w:r>
    </w:p>
    <w:p w:rsidR="68A494EF" w:rsidP="72DA92D2" w:rsidRDefault="68A494EF" w14:paraId="229543BA" w14:textId="05186FBA">
      <w:pPr>
        <w:pStyle w:val="ListParagraph"/>
        <w:numPr>
          <w:ilvl w:val="0"/>
          <w:numId w:val="9"/>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b w:val="1"/>
          <w:bCs w:val="1"/>
          <w:noProof w:val="0"/>
          <w:sz w:val="22"/>
          <w:szCs w:val="22"/>
          <w:lang w:val="en-GB"/>
        </w:rPr>
        <w:t>Opportunity Costs in the Modern EV Segment:</w:t>
      </w:r>
      <w:r w:rsidRPr="72DA92D2" w:rsidR="68A494EF">
        <w:rPr>
          <w:rFonts w:ascii="Aptos" w:hAnsi="Aptos" w:eastAsia="Aptos" w:cs="Aptos"/>
          <w:noProof w:val="0"/>
          <w:sz w:val="22"/>
          <w:szCs w:val="22"/>
          <w:lang w:val="en-GB"/>
        </w:rPr>
        <w:t xml:space="preserve"> The delayed development of dedicated, software-defined electric vehicle platforms has forced Toyota into a multi-billion-dollar catch-up capital expenditure program. While Toyota remains highly profitable due to booming global demand for its hybrid vehicles, it faces long-term strategic vulnerabilities in major automotive markets like China, where pure electric adoption has accelerated rapidly.</w:t>
      </w:r>
    </w:p>
    <w:p w:rsidR="68A494EF" w:rsidP="72DA92D2" w:rsidRDefault="68A494EF" w14:paraId="63EDED96" w14:textId="0AAE7594">
      <w:pPr>
        <w:pStyle w:val="Heading2"/>
        <w:bidi w:val="0"/>
        <w:spacing w:before="0" w:beforeAutospacing="off"/>
      </w:pPr>
      <w:r w:rsidRPr="72DA92D2" w:rsidR="68A494EF">
        <w:rPr>
          <w:rFonts w:ascii="Aptos" w:hAnsi="Aptos" w:eastAsia="Aptos" w:cs="Aptos"/>
          <w:noProof w:val="0"/>
          <w:sz w:val="22"/>
          <w:szCs w:val="22"/>
          <w:lang w:val="en-GB"/>
        </w:rPr>
        <w:t>10. Strategic, Evidence-Based Recommendations</w:t>
      </w:r>
    </w:p>
    <w:p w:rsidR="68A494EF" w:rsidP="72DA92D2" w:rsidRDefault="68A494EF" w14:paraId="31D3539A" w14:textId="14F62788">
      <w:pPr>
        <w:bidi w:val="0"/>
        <w:spacing w:before="0" w:beforeAutospacing="off"/>
      </w:pPr>
      <w:r w:rsidRPr="72DA92D2" w:rsidR="68A494EF">
        <w:rPr>
          <w:rFonts w:ascii="Aptos" w:hAnsi="Aptos" w:eastAsia="Aptos" w:cs="Aptos"/>
          <w:noProof w:val="0"/>
          <w:sz w:val="22"/>
          <w:szCs w:val="22"/>
          <w:lang w:val="en-GB"/>
        </w:rPr>
        <w:t>To preserve the core strengths of its operational culture while cultivating the radical agility required for the next century of mobility, Toyota Motor Corporation should implement the following targeted, evidence-based interventions:</w:t>
      </w:r>
    </w:p>
    <w:p w:rsidR="68A494EF" w:rsidP="72DA92D2" w:rsidRDefault="68A494EF" w14:paraId="00AABDAB" w14:textId="3298F0DA">
      <w:pPr>
        <w:bidi w:val="0"/>
        <w:spacing w:before="0" w:beforeAutospacing="off"/>
      </w:pPr>
      <w:r w:rsidRPr="72DA92D2" w:rsidR="68A494EF">
        <w:rPr>
          <w:rFonts w:ascii="Aptos" w:hAnsi="Aptos" w:eastAsia="Aptos" w:cs="Aptos"/>
          <w:noProof w:val="0"/>
          <w:sz w:val="22"/>
          <w:szCs w:val="22"/>
          <w:lang w:val="en-GB"/>
        </w:rPr>
        <w:t xml:space="preserve">Toyota Motor Corporation's organizational culture stands as an extraordinary monument to industrial engineering and corporate philosophy. Deeply anchored in Japanese societal norms and institutionalized via the twin pillars of </w:t>
      </w:r>
      <w:r w:rsidRPr="72DA92D2" w:rsidR="68A494EF">
        <w:rPr>
          <w:rFonts w:ascii="Aptos" w:hAnsi="Aptos" w:eastAsia="Aptos" w:cs="Aptos"/>
          <w:i w:val="1"/>
          <w:iCs w:val="1"/>
          <w:noProof w:val="0"/>
          <w:sz w:val="22"/>
          <w:szCs w:val="22"/>
          <w:lang w:val="en-GB"/>
        </w:rPr>
        <w:t>The Toyota Way</w:t>
      </w:r>
      <w:r w:rsidRPr="72DA92D2" w:rsidR="68A494EF">
        <w:rPr>
          <w:rFonts w:ascii="Aptos" w:hAnsi="Aptos" w:eastAsia="Aptos" w:cs="Aptos"/>
          <w:noProof w:val="0"/>
          <w:sz w:val="22"/>
          <w:szCs w:val="22"/>
          <w:lang w:val="en-GB"/>
        </w:rPr>
        <w:t>—Continuous Improvement and Respect for People—this culture has driven decades of world-class manufacturing quality, lean efficiency, and industry-leading profitability. Schein’s model reveals an ecosystem where visible artifacts like the Andon cord are tightly bound to deep basic assumptions regarding the absolute sacredness of quality and structural efficiency.</w:t>
      </w:r>
    </w:p>
    <w:p w:rsidR="68A494EF" w:rsidP="72DA92D2" w:rsidRDefault="68A494EF" w14:paraId="4A52F2A0" w14:textId="586FF501">
      <w:pPr>
        <w:bidi w:val="0"/>
        <w:spacing w:before="0" w:beforeAutospacing="off"/>
      </w:pPr>
      <w:r w:rsidRPr="72DA92D2" w:rsidR="68A494EF">
        <w:rPr>
          <w:rFonts w:ascii="Aptos" w:hAnsi="Aptos" w:eastAsia="Aptos" w:cs="Aptos"/>
          <w:noProof w:val="0"/>
          <w:sz w:val="22"/>
          <w:szCs w:val="22"/>
          <w:lang w:val="en-GB"/>
        </w:rPr>
        <w:t xml:space="preserve">Yet, this comprehensive analysis has demonstrated that the very cultural mechanisms that guarantee operational excellence in a predictable market can mutate into severe institutional liabilities during periods of radical volatility. High uncertainty avoidance and consensus-driven decision-making processes like </w:t>
      </w:r>
      <w:r w:rsidRPr="72DA92D2" w:rsidR="68A494EF">
        <w:rPr>
          <w:rFonts w:ascii="Aptos" w:hAnsi="Aptos" w:eastAsia="Aptos" w:cs="Aptos"/>
          <w:i w:val="1"/>
          <w:iCs w:val="1"/>
          <w:noProof w:val="0"/>
          <w:sz w:val="22"/>
          <w:szCs w:val="22"/>
          <w:lang w:val="en-GB"/>
        </w:rPr>
        <w:t>nemawashi</w:t>
      </w:r>
      <w:r w:rsidRPr="72DA92D2" w:rsidR="68A494EF">
        <w:rPr>
          <w:rFonts w:ascii="Aptos" w:hAnsi="Aptos" w:eastAsia="Aptos" w:cs="Aptos"/>
          <w:noProof w:val="0"/>
          <w:sz w:val="22"/>
          <w:szCs w:val="22"/>
          <w:lang w:val="en-GB"/>
        </w:rPr>
        <w:t xml:space="preserve"> provide unparalleled execution stability, but they can paralyze organizational agility when managing high-stakes corporate crises or responding to disruptive technological changes like the electric vehicle revolution.</w:t>
      </w:r>
    </w:p>
    <w:p w:rsidR="68A494EF" w:rsidP="72DA92D2" w:rsidRDefault="68A494EF" w14:paraId="5FD8EA6E" w14:textId="1C7636DD">
      <w:pPr>
        <w:bidi w:val="0"/>
        <w:spacing w:before="0" w:beforeAutospacing="off"/>
      </w:pPr>
      <w:r w:rsidRPr="72DA92D2" w:rsidR="68A494EF">
        <w:rPr>
          <w:rFonts w:ascii="Aptos" w:hAnsi="Aptos" w:eastAsia="Aptos" w:cs="Aptos"/>
          <w:noProof w:val="0"/>
          <w:sz w:val="22"/>
          <w:szCs w:val="22"/>
          <w:lang w:val="en-GB"/>
        </w:rPr>
        <w:t>Organizational culture is not a static historical relic; it is a living, evolving system that must adapt to survive. Toyota’s ultimate challenge as it navigates the future of global mobility is not technical, but cultural. By preserving the disciplined operational core of the Toyota Production System while actively cultivating localized autonomy, structural ambidexterity, and psychological safety, Toyota can ensure that its unique corporate culture remains its greatest strategic asset for the century to come.</w:t>
      </w:r>
    </w:p>
    <w:p w:rsidR="68A494EF" w:rsidP="72DA92D2" w:rsidRDefault="68A494EF" w14:paraId="441F1D0E" w14:textId="6B3A5518">
      <w:pPr>
        <w:pStyle w:val="Heading2"/>
        <w:bidi w:val="0"/>
        <w:spacing w:before="0" w:beforeAutospacing="off"/>
      </w:pPr>
      <w:r w:rsidRPr="72DA92D2" w:rsidR="68A494EF">
        <w:rPr>
          <w:rFonts w:ascii="Aptos" w:hAnsi="Aptos" w:eastAsia="Aptos" w:cs="Aptos"/>
          <w:noProof w:val="0"/>
          <w:sz w:val="22"/>
          <w:szCs w:val="22"/>
          <w:lang w:val="en-GB"/>
        </w:rPr>
        <w:t>References</w:t>
      </w:r>
    </w:p>
    <w:p w:rsidR="68A494EF" w:rsidP="72DA92D2" w:rsidRDefault="68A494EF" w14:paraId="6747CE99" w14:textId="17DFC224">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Abo, T. (2018) </w:t>
      </w:r>
      <w:r w:rsidRPr="72DA92D2" w:rsidR="68A494EF">
        <w:rPr>
          <w:rFonts w:ascii="Aptos" w:hAnsi="Aptos" w:eastAsia="Aptos" w:cs="Aptos"/>
          <w:i w:val="1"/>
          <w:iCs w:val="1"/>
          <w:noProof w:val="0"/>
          <w:sz w:val="22"/>
          <w:szCs w:val="22"/>
          <w:lang w:val="en-GB"/>
        </w:rPr>
        <w:t>Japanese Hybrid Factories: A Comparison of Global Production Strategies</w:t>
      </w:r>
      <w:r w:rsidRPr="72DA92D2" w:rsidR="68A494EF">
        <w:rPr>
          <w:rFonts w:ascii="Aptos" w:hAnsi="Aptos" w:eastAsia="Aptos" w:cs="Aptos"/>
          <w:noProof w:val="0"/>
          <w:sz w:val="22"/>
          <w:szCs w:val="22"/>
          <w:lang w:val="en-GB"/>
        </w:rPr>
        <w:t>. Palgrave Macmillan.</w:t>
      </w:r>
    </w:p>
    <w:p w:rsidR="68A494EF" w:rsidP="72DA92D2" w:rsidRDefault="68A494EF" w14:paraId="57D2B0D9" w14:textId="421C18AD">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Bhasin, S. (2015) 'Lean management beyond manufacturing: a holistic approach', </w:t>
      </w:r>
      <w:r w:rsidRPr="72DA92D2" w:rsidR="68A494EF">
        <w:rPr>
          <w:rFonts w:ascii="Aptos" w:hAnsi="Aptos" w:eastAsia="Aptos" w:cs="Aptos"/>
          <w:i w:val="1"/>
          <w:iCs w:val="1"/>
          <w:noProof w:val="0"/>
          <w:sz w:val="22"/>
          <w:szCs w:val="22"/>
          <w:lang w:val="en-GB"/>
        </w:rPr>
        <w:t>International Journal of Productivity and Performance Management</w:t>
      </w:r>
      <w:r w:rsidRPr="72DA92D2" w:rsidR="68A494EF">
        <w:rPr>
          <w:rFonts w:ascii="Aptos" w:hAnsi="Aptos" w:eastAsia="Aptos" w:cs="Aptos"/>
          <w:noProof w:val="0"/>
          <w:sz w:val="22"/>
          <w:szCs w:val="22"/>
          <w:lang w:val="en-GB"/>
        </w:rPr>
        <w:t>, 64(7), pp. 873–895.</w:t>
      </w:r>
    </w:p>
    <w:p w:rsidR="68A494EF" w:rsidP="72DA92D2" w:rsidRDefault="68A494EF" w14:paraId="5AAFA195" w14:textId="77F4D5E6">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Denison, D. R. (1990) </w:t>
      </w:r>
      <w:r w:rsidRPr="72DA92D2" w:rsidR="68A494EF">
        <w:rPr>
          <w:rFonts w:ascii="Aptos" w:hAnsi="Aptos" w:eastAsia="Aptos" w:cs="Aptos"/>
          <w:i w:val="1"/>
          <w:iCs w:val="1"/>
          <w:noProof w:val="0"/>
          <w:sz w:val="22"/>
          <w:szCs w:val="22"/>
          <w:lang w:val="en-GB"/>
        </w:rPr>
        <w:t>Corporate Culture and Organizational Effectiveness</w:t>
      </w:r>
      <w:r w:rsidRPr="72DA92D2" w:rsidR="68A494EF">
        <w:rPr>
          <w:rFonts w:ascii="Aptos" w:hAnsi="Aptos" w:eastAsia="Aptos" w:cs="Aptos"/>
          <w:noProof w:val="0"/>
          <w:sz w:val="22"/>
          <w:szCs w:val="22"/>
          <w:lang w:val="en-GB"/>
        </w:rPr>
        <w:t>. John Wiley &amp; Sons.</w:t>
      </w:r>
    </w:p>
    <w:p w:rsidR="68A494EF" w:rsidP="72DA92D2" w:rsidRDefault="68A494EF" w14:paraId="0ABAE04C" w14:textId="5FAB61E1">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Edmondson, A. C. (2018) </w:t>
      </w:r>
      <w:r w:rsidRPr="72DA92D2" w:rsidR="68A494EF">
        <w:rPr>
          <w:rFonts w:ascii="Aptos" w:hAnsi="Aptos" w:eastAsia="Aptos" w:cs="Aptos"/>
          <w:i w:val="1"/>
          <w:iCs w:val="1"/>
          <w:noProof w:val="0"/>
          <w:sz w:val="22"/>
          <w:szCs w:val="22"/>
          <w:lang w:val="en-GB"/>
        </w:rPr>
        <w:t>The Fearless Organization: Creating Psychological Safety in the Workplace for Learning, Innovation, and Growth</w:t>
      </w:r>
      <w:r w:rsidRPr="72DA92D2" w:rsidR="68A494EF">
        <w:rPr>
          <w:rFonts w:ascii="Aptos" w:hAnsi="Aptos" w:eastAsia="Aptos" w:cs="Aptos"/>
          <w:noProof w:val="0"/>
          <w:sz w:val="22"/>
          <w:szCs w:val="22"/>
          <w:lang w:val="en-GB"/>
        </w:rPr>
        <w:t>. John Wiley &amp; Sons.</w:t>
      </w:r>
    </w:p>
    <w:p w:rsidR="68A494EF" w:rsidP="72DA92D2" w:rsidRDefault="68A494EF" w14:paraId="06BFE5C0" w14:textId="55889BE0">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Handy, C. (1993) </w:t>
      </w:r>
      <w:r w:rsidRPr="72DA92D2" w:rsidR="68A494EF">
        <w:rPr>
          <w:rFonts w:ascii="Aptos" w:hAnsi="Aptos" w:eastAsia="Aptos" w:cs="Aptos"/>
          <w:i w:val="1"/>
          <w:iCs w:val="1"/>
          <w:noProof w:val="0"/>
          <w:sz w:val="22"/>
          <w:szCs w:val="22"/>
          <w:lang w:val="en-GB"/>
        </w:rPr>
        <w:t>Understanding Organisations</w:t>
      </w:r>
      <w:r w:rsidRPr="72DA92D2" w:rsidR="68A494EF">
        <w:rPr>
          <w:rFonts w:ascii="Aptos" w:hAnsi="Aptos" w:eastAsia="Aptos" w:cs="Aptos"/>
          <w:noProof w:val="0"/>
          <w:sz w:val="22"/>
          <w:szCs w:val="22"/>
          <w:lang w:val="en-GB"/>
        </w:rPr>
        <w:t>. 4th edn. Penguin.</w:t>
      </w:r>
    </w:p>
    <w:p w:rsidR="68A494EF" w:rsidP="72DA92D2" w:rsidRDefault="68A494EF" w14:paraId="04337D8C" w14:textId="2D659A33">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Hofstede, G. (2011) 'Dimensionalizing cultures: The Hofstede model in context', </w:t>
      </w:r>
      <w:r w:rsidRPr="72DA92D2" w:rsidR="68A494EF">
        <w:rPr>
          <w:rFonts w:ascii="Aptos" w:hAnsi="Aptos" w:eastAsia="Aptos" w:cs="Aptos"/>
          <w:i w:val="1"/>
          <w:iCs w:val="1"/>
          <w:noProof w:val="0"/>
          <w:sz w:val="22"/>
          <w:szCs w:val="22"/>
          <w:lang w:val="en-GB"/>
        </w:rPr>
        <w:t>Online Readings in Psychology and Culture</w:t>
      </w:r>
      <w:r w:rsidRPr="72DA92D2" w:rsidR="68A494EF">
        <w:rPr>
          <w:rFonts w:ascii="Aptos" w:hAnsi="Aptos" w:eastAsia="Aptos" w:cs="Aptos"/>
          <w:noProof w:val="0"/>
          <w:sz w:val="22"/>
          <w:szCs w:val="22"/>
          <w:lang w:val="en-GB"/>
        </w:rPr>
        <w:t>, 2(1), pp. 1–26.</w:t>
      </w:r>
    </w:p>
    <w:p w:rsidR="68A494EF" w:rsidP="72DA92D2" w:rsidRDefault="68A494EF" w14:paraId="4D551B08" w14:textId="1782C662">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Johnson, G., Whittington, R., Scholes, K., Angwin, D. and Regnér, P. (2020) </w:t>
      </w:r>
      <w:r w:rsidRPr="72DA92D2" w:rsidR="68A494EF">
        <w:rPr>
          <w:rFonts w:ascii="Aptos" w:hAnsi="Aptos" w:eastAsia="Aptos" w:cs="Aptos"/>
          <w:i w:val="1"/>
          <w:iCs w:val="1"/>
          <w:noProof w:val="0"/>
          <w:sz w:val="22"/>
          <w:szCs w:val="22"/>
          <w:lang w:val="en-GB"/>
        </w:rPr>
        <w:t>Exploring Strategy: Text and Cases</w:t>
      </w:r>
      <w:r w:rsidRPr="72DA92D2" w:rsidR="68A494EF">
        <w:rPr>
          <w:rFonts w:ascii="Aptos" w:hAnsi="Aptos" w:eastAsia="Aptos" w:cs="Aptos"/>
          <w:noProof w:val="0"/>
          <w:sz w:val="22"/>
          <w:szCs w:val="22"/>
          <w:lang w:val="en-GB"/>
        </w:rPr>
        <w:t>. 12th edn. Pearson.</w:t>
      </w:r>
    </w:p>
    <w:p w:rsidR="68A494EF" w:rsidP="72DA92D2" w:rsidRDefault="68A494EF" w14:paraId="756C768C" w14:textId="336F9DAF">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Liker, J. (2004) </w:t>
      </w:r>
      <w:r w:rsidRPr="72DA92D2" w:rsidR="68A494EF">
        <w:rPr>
          <w:rFonts w:ascii="Aptos" w:hAnsi="Aptos" w:eastAsia="Aptos" w:cs="Aptos"/>
          <w:i w:val="1"/>
          <w:iCs w:val="1"/>
          <w:noProof w:val="0"/>
          <w:sz w:val="22"/>
          <w:szCs w:val="22"/>
          <w:lang w:val="en-GB"/>
        </w:rPr>
        <w:t>The Toyota Way: 14 Management Principles from the World’s Greatest Manufacturer</w:t>
      </w:r>
      <w:r w:rsidRPr="72DA92D2" w:rsidR="68A494EF">
        <w:rPr>
          <w:rFonts w:ascii="Aptos" w:hAnsi="Aptos" w:eastAsia="Aptos" w:cs="Aptos"/>
          <w:noProof w:val="0"/>
          <w:sz w:val="22"/>
          <w:szCs w:val="22"/>
          <w:lang w:val="en-GB"/>
        </w:rPr>
        <w:t>. McGraw</w:t>
      </w:r>
      <w:r>
        <w:noBreakHyphen/>
      </w:r>
      <w:r w:rsidRPr="72DA92D2" w:rsidR="68A494EF">
        <w:rPr>
          <w:rFonts w:ascii="Aptos" w:hAnsi="Aptos" w:eastAsia="Aptos" w:cs="Aptos"/>
          <w:noProof w:val="0"/>
          <w:sz w:val="22"/>
          <w:szCs w:val="22"/>
          <w:lang w:val="en-GB"/>
        </w:rPr>
        <w:t>Hill.</w:t>
      </w:r>
    </w:p>
    <w:p w:rsidR="68A494EF" w:rsidP="72DA92D2" w:rsidRDefault="68A494EF" w14:paraId="66E095DE" w14:textId="0954A56C">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Mullins, L. and Christy, G. (2016) </w:t>
      </w:r>
      <w:r w:rsidRPr="72DA92D2" w:rsidR="68A494EF">
        <w:rPr>
          <w:rFonts w:ascii="Aptos" w:hAnsi="Aptos" w:eastAsia="Aptos" w:cs="Aptos"/>
          <w:i w:val="1"/>
          <w:iCs w:val="1"/>
          <w:noProof w:val="0"/>
          <w:sz w:val="22"/>
          <w:szCs w:val="22"/>
          <w:lang w:val="en-GB"/>
        </w:rPr>
        <w:t>Management and Organisational Behaviour</w:t>
      </w:r>
      <w:r w:rsidRPr="72DA92D2" w:rsidR="68A494EF">
        <w:rPr>
          <w:rFonts w:ascii="Aptos" w:hAnsi="Aptos" w:eastAsia="Aptos" w:cs="Aptos"/>
          <w:noProof w:val="0"/>
          <w:sz w:val="22"/>
          <w:szCs w:val="22"/>
          <w:lang w:val="en-GB"/>
        </w:rPr>
        <w:t>. 11th edn. Pearson.</w:t>
      </w:r>
    </w:p>
    <w:p w:rsidR="68A494EF" w:rsidP="72DA92D2" w:rsidRDefault="68A494EF" w14:paraId="51B1AA43" w14:textId="40D30E27">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Ohno, T. (1988) </w:t>
      </w:r>
      <w:r w:rsidRPr="72DA92D2" w:rsidR="68A494EF">
        <w:rPr>
          <w:rFonts w:ascii="Aptos" w:hAnsi="Aptos" w:eastAsia="Aptos" w:cs="Aptos"/>
          <w:i w:val="1"/>
          <w:iCs w:val="1"/>
          <w:noProof w:val="0"/>
          <w:sz w:val="22"/>
          <w:szCs w:val="22"/>
          <w:lang w:val="en-GB"/>
        </w:rPr>
        <w:t>Toyota Production System: Beyond Large</w:t>
      </w:r>
      <w:r>
        <w:noBreakHyphen/>
      </w:r>
      <w:r w:rsidRPr="72DA92D2" w:rsidR="68A494EF">
        <w:rPr>
          <w:rFonts w:ascii="Aptos" w:hAnsi="Aptos" w:eastAsia="Aptos" w:cs="Aptos"/>
          <w:i w:val="1"/>
          <w:iCs w:val="1"/>
          <w:noProof w:val="0"/>
          <w:sz w:val="22"/>
          <w:szCs w:val="22"/>
          <w:lang w:val="en-GB"/>
        </w:rPr>
        <w:t>Scale Production</w:t>
      </w:r>
      <w:r w:rsidRPr="72DA92D2" w:rsidR="68A494EF">
        <w:rPr>
          <w:rFonts w:ascii="Aptos" w:hAnsi="Aptos" w:eastAsia="Aptos" w:cs="Aptos"/>
          <w:noProof w:val="0"/>
          <w:sz w:val="22"/>
          <w:szCs w:val="22"/>
          <w:lang w:val="en-GB"/>
        </w:rPr>
        <w:t>. Productivity Press.</w:t>
      </w:r>
    </w:p>
    <w:p w:rsidR="68A494EF" w:rsidP="72DA92D2" w:rsidRDefault="68A494EF" w14:paraId="7736DFB0" w14:textId="1318578B">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Schein, E. (2010) </w:t>
      </w:r>
      <w:r w:rsidRPr="72DA92D2" w:rsidR="68A494EF">
        <w:rPr>
          <w:rFonts w:ascii="Aptos" w:hAnsi="Aptos" w:eastAsia="Aptos" w:cs="Aptos"/>
          <w:i w:val="1"/>
          <w:iCs w:val="1"/>
          <w:noProof w:val="0"/>
          <w:sz w:val="22"/>
          <w:szCs w:val="22"/>
          <w:lang w:val="en-GB"/>
        </w:rPr>
        <w:t>Organizational Culture and Leadership</w:t>
      </w:r>
      <w:r w:rsidRPr="72DA92D2" w:rsidR="68A494EF">
        <w:rPr>
          <w:rFonts w:ascii="Aptos" w:hAnsi="Aptos" w:eastAsia="Aptos" w:cs="Aptos"/>
          <w:noProof w:val="0"/>
          <w:sz w:val="22"/>
          <w:szCs w:val="22"/>
          <w:lang w:val="en-GB"/>
        </w:rPr>
        <w:t>. 4th edn. Jossey</w:t>
      </w:r>
      <w:r>
        <w:noBreakHyphen/>
      </w:r>
      <w:r w:rsidRPr="72DA92D2" w:rsidR="68A494EF">
        <w:rPr>
          <w:rFonts w:ascii="Aptos" w:hAnsi="Aptos" w:eastAsia="Aptos" w:cs="Aptos"/>
          <w:noProof w:val="0"/>
          <w:sz w:val="22"/>
          <w:szCs w:val="22"/>
          <w:lang w:val="en-GB"/>
        </w:rPr>
        <w:t>Bass.</w:t>
      </w:r>
    </w:p>
    <w:p w:rsidR="68A494EF" w:rsidP="72DA92D2" w:rsidRDefault="68A494EF" w14:paraId="29282E77" w14:textId="7D132182">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Spears, J. (2019) 'The role of culture in Toyota’s global expansion', </w:t>
      </w:r>
      <w:r w:rsidRPr="72DA92D2" w:rsidR="68A494EF">
        <w:rPr>
          <w:rFonts w:ascii="Aptos" w:hAnsi="Aptos" w:eastAsia="Aptos" w:cs="Aptos"/>
          <w:i w:val="1"/>
          <w:iCs w:val="1"/>
          <w:noProof w:val="0"/>
          <w:sz w:val="22"/>
          <w:szCs w:val="22"/>
          <w:lang w:val="en-GB"/>
        </w:rPr>
        <w:t>Journal of International Business Studies</w:t>
      </w:r>
      <w:r w:rsidRPr="72DA92D2" w:rsidR="68A494EF">
        <w:rPr>
          <w:rFonts w:ascii="Aptos" w:hAnsi="Aptos" w:eastAsia="Aptos" w:cs="Aptos"/>
          <w:noProof w:val="0"/>
          <w:sz w:val="22"/>
          <w:szCs w:val="22"/>
          <w:lang w:val="en-GB"/>
        </w:rPr>
        <w:t>, 50(4), pp. 612–630.</w:t>
      </w:r>
    </w:p>
    <w:p w:rsidR="68A494EF" w:rsidP="72DA92D2" w:rsidRDefault="68A494EF" w14:paraId="4E196354" w14:textId="28547998">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Wada, K. (2012) 'The recall crisis and Toyota’s culture', </w:t>
      </w:r>
      <w:r w:rsidRPr="72DA92D2" w:rsidR="68A494EF">
        <w:rPr>
          <w:rFonts w:ascii="Aptos" w:hAnsi="Aptos" w:eastAsia="Aptos" w:cs="Aptos"/>
          <w:i w:val="1"/>
          <w:iCs w:val="1"/>
          <w:noProof w:val="0"/>
          <w:sz w:val="22"/>
          <w:szCs w:val="22"/>
          <w:lang w:val="en-GB"/>
        </w:rPr>
        <w:t>Asian Business &amp; Management</w:t>
      </w:r>
      <w:r w:rsidRPr="72DA92D2" w:rsidR="68A494EF">
        <w:rPr>
          <w:rFonts w:ascii="Aptos" w:hAnsi="Aptos" w:eastAsia="Aptos" w:cs="Aptos"/>
          <w:noProof w:val="0"/>
          <w:sz w:val="22"/>
          <w:szCs w:val="22"/>
          <w:lang w:val="en-GB"/>
        </w:rPr>
        <w:t>, 11(4), pp. 443–461.</w:t>
      </w:r>
    </w:p>
    <w:p w:rsidR="68A494EF" w:rsidP="72DA92D2" w:rsidRDefault="68A494EF" w14:paraId="4880A97F" w14:textId="1537C2C2">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Womack, J., Jones, D. and Roos, D. (2007) </w:t>
      </w:r>
      <w:r w:rsidRPr="72DA92D2" w:rsidR="68A494EF">
        <w:rPr>
          <w:rFonts w:ascii="Aptos" w:hAnsi="Aptos" w:eastAsia="Aptos" w:cs="Aptos"/>
          <w:i w:val="1"/>
          <w:iCs w:val="1"/>
          <w:noProof w:val="0"/>
          <w:sz w:val="22"/>
          <w:szCs w:val="22"/>
          <w:lang w:val="en-GB"/>
        </w:rPr>
        <w:t>The Machine That Changed the World</w:t>
      </w:r>
      <w:r w:rsidRPr="72DA92D2" w:rsidR="68A494EF">
        <w:rPr>
          <w:rFonts w:ascii="Aptos" w:hAnsi="Aptos" w:eastAsia="Aptos" w:cs="Aptos"/>
          <w:noProof w:val="0"/>
          <w:sz w:val="22"/>
          <w:szCs w:val="22"/>
          <w:lang w:val="en-GB"/>
        </w:rPr>
        <w:t>. Simon &amp; Schuster.</w:t>
      </w:r>
    </w:p>
    <w:p w:rsidR="68A494EF" w:rsidP="72DA92D2" w:rsidRDefault="68A494EF" w14:paraId="43077B69" w14:textId="5DD9FFF3">
      <w:pPr>
        <w:pStyle w:val="ListParagraph"/>
        <w:numPr>
          <w:ilvl w:val="0"/>
          <w:numId w:val="14"/>
        </w:numPr>
        <w:bidi w:val="0"/>
        <w:spacing w:before="0" w:beforeAutospacing="off"/>
        <w:rPr>
          <w:rFonts w:ascii="Aptos" w:hAnsi="Aptos" w:eastAsia="Aptos" w:cs="Aptos"/>
          <w:noProof w:val="0"/>
          <w:sz w:val="22"/>
          <w:szCs w:val="22"/>
          <w:lang w:val="en-GB"/>
        </w:rPr>
      </w:pPr>
      <w:r w:rsidRPr="72DA92D2" w:rsidR="68A494EF">
        <w:rPr>
          <w:rFonts w:ascii="Aptos" w:hAnsi="Aptos" w:eastAsia="Aptos" w:cs="Aptos"/>
          <w:noProof w:val="0"/>
          <w:sz w:val="22"/>
          <w:szCs w:val="22"/>
          <w:lang w:val="en-GB"/>
        </w:rPr>
        <w:t xml:space="preserve">Yin, R. K. (2018) </w:t>
      </w:r>
      <w:r w:rsidRPr="72DA92D2" w:rsidR="68A494EF">
        <w:rPr>
          <w:rFonts w:ascii="Aptos" w:hAnsi="Aptos" w:eastAsia="Aptos" w:cs="Aptos"/>
          <w:i w:val="1"/>
          <w:iCs w:val="1"/>
          <w:noProof w:val="0"/>
          <w:sz w:val="22"/>
          <w:szCs w:val="22"/>
          <w:lang w:val="en-GB"/>
        </w:rPr>
        <w:t>Case Study Research and Applications: Design and Methods</w:t>
      </w:r>
      <w:r w:rsidRPr="72DA92D2" w:rsidR="68A494EF">
        <w:rPr>
          <w:rFonts w:ascii="Aptos" w:hAnsi="Aptos" w:eastAsia="Aptos" w:cs="Aptos"/>
          <w:noProof w:val="0"/>
          <w:sz w:val="22"/>
          <w:szCs w:val="22"/>
          <w:lang w:val="en-GB"/>
        </w:rPr>
        <w:t>. 6th edn. SAGE Publications.</w:t>
      </w:r>
    </w:p>
    <w:p w:rsidR="72DA92D2" w:rsidRDefault="72DA92D2" w14:paraId="45540FBF" w14:textId="55006AAA"/>
    <w:sectPr w:rsidR="00DA6300">
      <w:pgSz w:w="11906" w:h="16838" w:orient="portrait"/>
      <w:pgMar w:top="1440" w:right="1440" w:bottom="1440" w:left="1440" w:header="708" w:footer="708" w:gutter="0"/>
      <w:cols w:space="708"/>
      <w:docGrid w:linePitch="360"/>
      <w:headerReference w:type="default" r:id="Re59ba7b99dcb42be"/>
      <w:footerReference w:type="default" r:id="R3b7aa5ccde0f401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469ACD" w:rsidTr="4A469ACD" w14:paraId="266F06F1">
      <w:trPr>
        <w:trHeight w:val="300"/>
      </w:trPr>
      <w:tc>
        <w:tcPr>
          <w:tcW w:w="3005" w:type="dxa"/>
          <w:tcMar/>
        </w:tcPr>
        <w:p w:rsidR="4A469ACD" w:rsidP="4A469ACD" w:rsidRDefault="4A469ACD" w14:paraId="31B94198" w14:textId="6B7341F9">
          <w:pPr>
            <w:pStyle w:val="Header"/>
            <w:bidi w:val="0"/>
            <w:ind w:left="-115"/>
            <w:jc w:val="left"/>
          </w:pPr>
        </w:p>
      </w:tc>
      <w:tc>
        <w:tcPr>
          <w:tcW w:w="3005" w:type="dxa"/>
          <w:tcMar/>
        </w:tcPr>
        <w:p w:rsidR="4A469ACD" w:rsidP="4A469ACD" w:rsidRDefault="4A469ACD" w14:paraId="5EF6CFAC" w14:textId="1382035B">
          <w:pPr>
            <w:pStyle w:val="Header"/>
            <w:bidi w:val="0"/>
            <w:jc w:val="center"/>
          </w:pPr>
        </w:p>
      </w:tc>
      <w:tc>
        <w:tcPr>
          <w:tcW w:w="3005" w:type="dxa"/>
          <w:tcMar/>
        </w:tcPr>
        <w:p w:rsidR="4A469ACD" w:rsidP="4A469ACD" w:rsidRDefault="4A469ACD" w14:paraId="222AC66F" w14:textId="42B821CC">
          <w:pPr>
            <w:pStyle w:val="Header"/>
            <w:bidi w:val="0"/>
            <w:ind w:right="-115"/>
            <w:jc w:val="right"/>
          </w:pPr>
        </w:p>
      </w:tc>
    </w:tr>
  </w:tbl>
  <w:p w:rsidR="4A469ACD" w:rsidP="4A469ACD" w:rsidRDefault="4A469ACD" w14:paraId="0A0D7A36" w14:textId="2DC03DE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469ACD" w:rsidTr="4A469ACD" w14:paraId="4EBB0AF1">
      <w:trPr>
        <w:trHeight w:val="300"/>
      </w:trPr>
      <w:tc>
        <w:tcPr>
          <w:tcW w:w="3005" w:type="dxa"/>
          <w:tcMar/>
        </w:tcPr>
        <w:p w:rsidR="4A469ACD" w:rsidP="4A469ACD" w:rsidRDefault="4A469ACD" w14:paraId="636FAF52" w14:textId="3FA24925">
          <w:pPr>
            <w:pStyle w:val="Header"/>
            <w:bidi w:val="0"/>
            <w:ind w:left="-115"/>
            <w:jc w:val="left"/>
          </w:pPr>
        </w:p>
      </w:tc>
      <w:tc>
        <w:tcPr>
          <w:tcW w:w="3005" w:type="dxa"/>
          <w:tcMar/>
        </w:tcPr>
        <w:p w:rsidR="4A469ACD" w:rsidP="4A469ACD" w:rsidRDefault="4A469ACD" w14:paraId="6F6140B5" w14:textId="666E3607">
          <w:pPr>
            <w:pStyle w:val="Header"/>
            <w:bidi w:val="0"/>
            <w:jc w:val="center"/>
          </w:pPr>
        </w:p>
      </w:tc>
      <w:tc>
        <w:tcPr>
          <w:tcW w:w="3005" w:type="dxa"/>
          <w:tcMar/>
        </w:tcPr>
        <w:p w:rsidR="4A469ACD" w:rsidP="4A469ACD" w:rsidRDefault="4A469ACD" w14:paraId="03CE8202" w14:textId="19522B00">
          <w:pPr>
            <w:pStyle w:val="Header"/>
            <w:bidi w:val="0"/>
            <w:ind w:right="-115"/>
            <w:jc w:val="right"/>
          </w:pPr>
        </w:p>
      </w:tc>
    </w:tr>
  </w:tbl>
  <w:p w:rsidR="4A469ACD" w:rsidP="4A469ACD" w:rsidRDefault="4A469ACD" w14:paraId="46D955CD" w14:textId="02EE16FB">
    <w:pPr>
      <w:pStyle w:val="Header"/>
      <w:bidi w:val="0"/>
    </w:pPr>
  </w:p>
</w:hdr>
</file>

<file path=word/intelligence2.xml><?xml version="1.0" encoding="utf-8"?>
<int2:intelligence xmlns:int2="http://schemas.microsoft.com/office/intelligence/2020/intelligence">
  <int2:observations>
    <int2:textHash int2:hashCode="/XpnRczSGNplqc" int2:id="WYmwbcty">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6f147f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483c7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ad683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22f42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2e81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374eb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eee4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cf90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e68d4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29406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84b4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98fe1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87de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065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7c74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eed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ccf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82"/>
  <w:proofState w:spelling="clean" w:grammar="dirty"/>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EB"/>
    <w:rsid w:val="00082B94"/>
    <w:rsid w:val="00336529"/>
    <w:rsid w:val="009479EB"/>
    <w:rsid w:val="00DA6300"/>
    <w:rsid w:val="00E43F37"/>
    <w:rsid w:val="02264DC9"/>
    <w:rsid w:val="05B6F04F"/>
    <w:rsid w:val="08FBE82B"/>
    <w:rsid w:val="09F9363B"/>
    <w:rsid w:val="0B479B6C"/>
    <w:rsid w:val="0B764402"/>
    <w:rsid w:val="0E62FD87"/>
    <w:rsid w:val="12C4657F"/>
    <w:rsid w:val="174BB8BC"/>
    <w:rsid w:val="1E5DBF26"/>
    <w:rsid w:val="221ECC13"/>
    <w:rsid w:val="23E0FA20"/>
    <w:rsid w:val="23EA93D6"/>
    <w:rsid w:val="29BED3D1"/>
    <w:rsid w:val="2B729837"/>
    <w:rsid w:val="2BECBDD5"/>
    <w:rsid w:val="2E94F253"/>
    <w:rsid w:val="2EF8172A"/>
    <w:rsid w:val="2F28B938"/>
    <w:rsid w:val="351BD131"/>
    <w:rsid w:val="3BA52A87"/>
    <w:rsid w:val="3DD1AA93"/>
    <w:rsid w:val="3ECEC87B"/>
    <w:rsid w:val="3F55B760"/>
    <w:rsid w:val="3F70BB39"/>
    <w:rsid w:val="4044B050"/>
    <w:rsid w:val="4044B050"/>
    <w:rsid w:val="4079493F"/>
    <w:rsid w:val="43422CE2"/>
    <w:rsid w:val="441601F4"/>
    <w:rsid w:val="46802775"/>
    <w:rsid w:val="48BCDBA0"/>
    <w:rsid w:val="4A469ACD"/>
    <w:rsid w:val="4C6D3839"/>
    <w:rsid w:val="4DDEC5B4"/>
    <w:rsid w:val="53047E8B"/>
    <w:rsid w:val="5334572B"/>
    <w:rsid w:val="55638589"/>
    <w:rsid w:val="584A96C0"/>
    <w:rsid w:val="5A5134E5"/>
    <w:rsid w:val="5CFAB5F3"/>
    <w:rsid w:val="5F34ABDB"/>
    <w:rsid w:val="61A21811"/>
    <w:rsid w:val="67832196"/>
    <w:rsid w:val="67C31811"/>
    <w:rsid w:val="67C31811"/>
    <w:rsid w:val="68A494EF"/>
    <w:rsid w:val="6A03B36C"/>
    <w:rsid w:val="6A428C6B"/>
    <w:rsid w:val="6BAE4D9C"/>
    <w:rsid w:val="70BC78E4"/>
    <w:rsid w:val="725BE4B9"/>
    <w:rsid w:val="72DA92D2"/>
    <w:rsid w:val="738127A6"/>
    <w:rsid w:val="749D2D0C"/>
    <w:rsid w:val="754F3F54"/>
    <w:rsid w:val="78160FE8"/>
    <w:rsid w:val="78AB5254"/>
    <w:rsid w:val="7B393A09"/>
    <w:rsid w:val="7B9726E9"/>
    <w:rsid w:val="7E368C87"/>
    <w:rsid w:val="7E368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6B933"/>
  <w15:chartTrackingRefBased/>
  <w15:docId w15:val="{7CADD47A-E629-490E-B850-2A569D0E7B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line="480" w:lineRule="auto"/>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479E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9E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9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9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9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9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9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9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9EB"/>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479E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479E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479E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479E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479E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479E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479E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479E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479EB"/>
    <w:rPr>
      <w:rFonts w:eastAsiaTheme="majorEastAsia" w:cstheme="majorBidi"/>
      <w:color w:val="272727" w:themeColor="text1" w:themeTint="D8"/>
    </w:rPr>
  </w:style>
  <w:style w:type="paragraph" w:styleId="Title">
    <w:name w:val="Title"/>
    <w:basedOn w:val="Normal"/>
    <w:next w:val="Normal"/>
    <w:link w:val="TitleChar"/>
    <w:uiPriority w:val="10"/>
    <w:qFormat/>
    <w:rsid w:val="009479E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479E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479EB"/>
    <w:pPr>
      <w:numPr>
        <w:ilvl w:val="1"/>
      </w:numPr>
      <w:spacing w:after="160"/>
      <w:ind w:left="720" w:hanging="72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479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9EB"/>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9479EB"/>
    <w:rPr>
      <w:i/>
      <w:iCs/>
      <w:color w:val="404040" w:themeColor="text1" w:themeTint="BF"/>
    </w:rPr>
  </w:style>
  <w:style w:type="paragraph" w:styleId="ListParagraph">
    <w:name w:val="List Paragraph"/>
    <w:basedOn w:val="Normal"/>
    <w:uiPriority w:val="34"/>
    <w:qFormat/>
    <w:rsid w:val="009479EB"/>
    <w:pPr>
      <w:contextualSpacing/>
    </w:pPr>
  </w:style>
  <w:style w:type="character" w:styleId="IntenseEmphasis">
    <w:name w:val="Intense Emphasis"/>
    <w:basedOn w:val="DefaultParagraphFont"/>
    <w:uiPriority w:val="21"/>
    <w:qFormat/>
    <w:rsid w:val="009479EB"/>
    <w:rPr>
      <w:i/>
      <w:iCs/>
      <w:color w:val="0F4761" w:themeColor="accent1" w:themeShade="BF"/>
    </w:rPr>
  </w:style>
  <w:style w:type="paragraph" w:styleId="IntenseQuote">
    <w:name w:val="Intense Quote"/>
    <w:basedOn w:val="Normal"/>
    <w:next w:val="Normal"/>
    <w:link w:val="IntenseQuoteChar"/>
    <w:uiPriority w:val="30"/>
    <w:qFormat/>
    <w:rsid w:val="009479E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479EB"/>
    <w:rPr>
      <w:i/>
      <w:iCs/>
      <w:color w:val="0F4761" w:themeColor="accent1" w:themeShade="BF"/>
    </w:rPr>
  </w:style>
  <w:style w:type="character" w:styleId="IntenseReference">
    <w:name w:val="Intense Reference"/>
    <w:basedOn w:val="DefaultParagraphFont"/>
    <w:uiPriority w:val="32"/>
    <w:qFormat/>
    <w:rsid w:val="009479EB"/>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4A469ACD"/>
    <w:pPr>
      <w:tabs>
        <w:tab w:val="center" w:leader="none" w:pos="4680"/>
        <w:tab w:val="right" w:leader="none" w:pos="9360"/>
      </w:tabs>
      <w:spacing w:after="0" w:line="240" w:lineRule="auto"/>
    </w:pPr>
  </w:style>
  <w:style w:type="paragraph" w:styleId="Footer">
    <w:uiPriority w:val="99"/>
    <w:name w:val="footer"/>
    <w:basedOn w:val="Normal"/>
    <w:unhideWhenUsed/>
    <w:rsid w:val="4A469ACD"/>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e4cfed1053e64833" /><Relationship Type="http://schemas.openxmlformats.org/officeDocument/2006/relationships/numbering" Target="numbering.xml" Id="Rb844b09bbae8425c" /><Relationship Type="http://schemas.openxmlformats.org/officeDocument/2006/relationships/header" Target="header.xml" Id="Re59ba7b99dcb42be" /><Relationship Type="http://schemas.openxmlformats.org/officeDocument/2006/relationships/footer" Target="footer.xml" Id="R3b7aa5ccde0f401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053f1bfc572002f91256c21e2ebe187c">
  <xsd:schema xmlns:xsd="http://www.w3.org/2001/XMLSchema" xmlns:xs="http://www.w3.org/2001/XMLSchema" xmlns:p="http://schemas.microsoft.com/office/2006/metadata/properties" xmlns:ns3="0085e1a2-9cbf-4b92-866b-21f3c89040b6" targetNamespace="http://schemas.microsoft.com/office/2006/metadata/properties" ma:root="true" ma:fieldsID="e131ce035135481d411ba6ed3bd18af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3818C13-9761-48B7-9C7D-ADF90F1BC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5B1344-F0B9-4F9D-BF06-52F09E55B287}">
  <ds:schemaRefs>
    <ds:schemaRef ds:uri="http://schemas.microsoft.com/sharepoint/v3/contenttype/forms"/>
  </ds:schemaRefs>
</ds:datastoreItem>
</file>

<file path=customXml/itemProps3.xml><?xml version="1.0" encoding="utf-8"?>
<ds:datastoreItem xmlns:ds="http://schemas.openxmlformats.org/officeDocument/2006/customXml" ds:itemID="{5A1945CA-EBDE-4FCD-A123-555A005C5BF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awais</dc:creator>
  <keywords/>
  <dc:description/>
  <lastModifiedBy>Nadim Hussain (2408865)</lastModifiedBy>
  <revision>5</revision>
  <dcterms:created xsi:type="dcterms:W3CDTF">2026-05-19T18:01:00.0000000Z</dcterms:created>
  <dcterms:modified xsi:type="dcterms:W3CDTF">2026-06-30T15:41:00.5838272Z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