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body>
    <w:tbl>
      <w:tblPr>
        <w:tblpPr w:leftFromText="187" w:rightFromText="187" w:vertAnchor="page" w:horzAnchor="margin" w:tblpXSpec="center" w:tblpY="12736"/>
        <w:tblW w:w="4047" w:type="pct"/>
        <w:tblLook w:val="04A0" w:firstRow="1" w:lastRow="0" w:firstColumn="1" w:lastColumn="0" w:noHBand="0" w:noVBand="1"/>
      </w:tblPr>
      <w:tblGrid>
        <w:gridCol w:w="7888"/>
      </w:tblGrid>
      <w:tr w:rsidR="00304AA7" w:rsidTr="00304AA7">
        <w:trPr>
          <w:trHeight w:val="1459"/>
        </w:trPr>
        <w:tc>
          <w:tcPr>
            <w:tcW w:w="7888" w:type="dxa"/>
            <w:tcMar>
              <w:top w:w="216" w:type="dxa"/>
              <w:left w:w="115" w:type="dxa"/>
              <w:bottom w:w="216" w:type="dxa"/>
              <w:right w:w="115" w:type="dxa"/>
            </w:tcMar>
          </w:tcPr>
          <w:sdt>
            <w:sdtPr>
              <w:rPr>
                <w:sz w:val="28"/>
                <w:szCs w:val="28"/>
              </w:rPr>
              <w:alias w:val="Author"/>
              <w:id w:val="13406928"/>
              <w:placeholder>
                <w:docPart w:val="AD72AB98C2154CF983ABB0ECD435EC55"/>
              </w:placeholder>
              <w:dataBinding w:prefixMappings="xmlns:ns0='http://schemas.openxmlformats.org/package/2006/metadata/core-properties' xmlns:ns1='http://purl.org/dc/elements/1.1/'" w:xpath="/ns0:coreProperties[1]/ns1:creator[1]" w:storeItemID="{6C3C8BC8-F283-45AE-878A-BAB7291924A1}"/>
              <w:text/>
            </w:sdtPr>
            <w:sdtContent>
              <w:p w:rsidR="00304AA7" w:rsidRPr="00224570" w:rsidRDefault="00304AA7" w:rsidP="00304AA7">
                <w:pPr>
                  <w:pStyle w:val="NoSpacing"/>
                  <w:rPr>
                    <w:sz w:val="28"/>
                    <w:szCs w:val="28"/>
                  </w:rPr>
                </w:pPr>
                <w:r w:rsidRPr="00224570">
                  <w:rPr>
                    <w:sz w:val="28"/>
                    <w:szCs w:val="28"/>
                  </w:rPr>
                  <w:t xml:space="preserve">Student:               </w:t>
                </w:r>
                <w:r w:rsidRPr="00224570">
                  <w:rPr>
                    <w:sz w:val="28"/>
                    <w:szCs w:val="28"/>
                    <w:lang w:val="en-GB"/>
                  </w:rPr>
                  <w:t>Laurentiu Grigoras</w:t>
                </w:r>
              </w:p>
            </w:sdtContent>
          </w:sdt>
          <w:p w:rsidR="00304AA7" w:rsidRDefault="00304AA7" w:rsidP="00304AA7">
            <w:pPr>
              <w:pStyle w:val="NoSpacing"/>
              <w:rPr>
                <w:sz w:val="28"/>
                <w:szCs w:val="28"/>
              </w:rPr>
            </w:pPr>
            <w:r w:rsidRPr="00224570">
              <w:rPr>
                <w:sz w:val="28"/>
                <w:szCs w:val="28"/>
              </w:rPr>
              <w:t>Student ID:          1905618</w:t>
            </w:r>
          </w:p>
          <w:p w:rsidR="00304AA7" w:rsidRPr="00224570" w:rsidRDefault="00304AA7" w:rsidP="00304AA7">
            <w:pPr>
              <w:pStyle w:val="NoSpacing"/>
              <w:rPr>
                <w:sz w:val="28"/>
                <w:szCs w:val="28"/>
              </w:rPr>
            </w:pPr>
            <w:r>
              <w:rPr>
                <w:sz w:val="28"/>
                <w:szCs w:val="28"/>
              </w:rPr>
              <w:t>Word Count:        4,986</w:t>
            </w:r>
          </w:p>
          <w:p w:rsidR="00304AA7" w:rsidRPr="00224570" w:rsidRDefault="00304AA7" w:rsidP="00304AA7">
            <w:pPr>
              <w:pStyle w:val="NoSpacing"/>
              <w:rPr>
                <w:sz w:val="28"/>
                <w:szCs w:val="28"/>
              </w:rPr>
            </w:pPr>
            <w:r w:rsidRPr="00224570">
              <w:rPr>
                <w:sz w:val="28"/>
                <w:szCs w:val="28"/>
              </w:rPr>
              <w:t xml:space="preserve">Lecturer:               </w:t>
            </w:r>
            <w:proofErr w:type="spellStart"/>
            <w:r w:rsidRPr="00224570">
              <w:rPr>
                <w:sz w:val="28"/>
                <w:szCs w:val="28"/>
              </w:rPr>
              <w:t>Jia</w:t>
            </w:r>
            <w:proofErr w:type="spellEnd"/>
            <w:r w:rsidRPr="00224570">
              <w:rPr>
                <w:sz w:val="28"/>
                <w:szCs w:val="28"/>
              </w:rPr>
              <w:t xml:space="preserve"> Miao</w:t>
            </w:r>
          </w:p>
          <w:sdt>
            <w:sdtPr>
              <w:rPr>
                <w:sz w:val="28"/>
                <w:szCs w:val="28"/>
              </w:rPr>
              <w:alias w:val="Date"/>
              <w:tag w:val="Date"/>
              <w:id w:val="13406932"/>
              <w:placeholder>
                <w:docPart w:val="2A0082F34915495C875DC2CD47BFCEDD"/>
              </w:placeholder>
              <w:dataBinding w:prefixMappings="xmlns:ns0='http://schemas.microsoft.com/office/2006/coverPageProps'" w:xpath="/ns0:CoverPageProperties[1]/ns0:PublishDate[1]" w:storeItemID="{55AF091B-3C7A-41E3-B477-F2FDAA23CFDA}"/>
              <w:date w:fullDate="2020-01-17T00:00:00Z">
                <w:dateFormat w:val="M-d-yyyy"/>
                <w:lid w:val="en-US"/>
                <w:storeMappedDataAs w:val="dateTime"/>
                <w:calendar w:val="gregorian"/>
              </w:date>
            </w:sdtPr>
            <w:sdtContent>
              <w:p w:rsidR="00304AA7" w:rsidRPr="00224570" w:rsidRDefault="00304AA7" w:rsidP="00304AA7">
                <w:pPr>
                  <w:pStyle w:val="NoSpacing"/>
                  <w:rPr>
                    <w:sz w:val="28"/>
                    <w:szCs w:val="28"/>
                  </w:rPr>
                </w:pPr>
                <w:r w:rsidRPr="00224570">
                  <w:rPr>
                    <w:sz w:val="28"/>
                    <w:szCs w:val="28"/>
                  </w:rPr>
                  <w:t>1-17-2020</w:t>
                </w:r>
              </w:p>
            </w:sdtContent>
          </w:sdt>
          <w:p w:rsidR="00304AA7" w:rsidRDefault="00304AA7" w:rsidP="00304AA7">
            <w:pPr>
              <w:pStyle w:val="NoSpacing"/>
              <w:rPr>
                <w:color w:val="5B9BD5" w:themeColor="accent1"/>
              </w:rPr>
            </w:pPr>
          </w:p>
        </w:tc>
      </w:tr>
    </w:tbl>
    <w:sdt>
      <w:sdtPr>
        <w:id w:val="-643814963"/>
        <w:docPartObj>
          <w:docPartGallery w:val="Cover Pages"/>
          <w:docPartUnique/>
        </w:docPartObj>
      </w:sdtPr>
      <w:sdtEndPr/>
      <w:sdtContent>
        <w:p w:rsidR="00253FA9" w:rsidRDefault="00253FA9" w:rsidP="00253FA9">
          <w:pPr>
            <w:jc w:val="center"/>
          </w:pPr>
          <w:r>
            <w:rPr>
              <w:noProof/>
              <w:lang w:eastAsia="en-GB"/>
            </w:rPr>
            <w:drawing>
              <wp:inline distT="0" distB="0" distL="0" distR="0">
                <wp:extent cx="3028950" cy="1514475"/>
                <wp:effectExtent l="0" t="0" r="0" b="9525"/>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uwtsd logo.png"/>
                        <pic:cNvPicPr/>
                      </pic:nvPicPr>
                      <pic:blipFill>
                        <a:blip r:embed="rId9">
                          <a:extLst>
                            <a:ext uri="{28A0092B-C50C-407E-A947-70E740481C1C}">
                              <a14:useLocalDpi xmlns:a14="http://schemas.microsoft.com/office/drawing/2010/main" val="0"/>
                            </a:ext>
                          </a:extLst>
                        </a:blip>
                        <a:stretch>
                          <a:fillRect/>
                        </a:stretch>
                      </pic:blipFill>
                      <pic:spPr>
                        <a:xfrm>
                          <a:off x="0" y="0"/>
                          <a:ext cx="3028950" cy="1514475"/>
                        </a:xfrm>
                        <a:prstGeom prst="rect">
                          <a:avLst/>
                        </a:prstGeom>
                      </pic:spPr>
                    </pic:pic>
                  </a:graphicData>
                </a:graphic>
              </wp:inline>
            </w:drawing>
          </w:r>
        </w:p>
        <w:tbl>
          <w:tblPr>
            <w:tblpPr w:leftFromText="187" w:rightFromText="187" w:vertAnchor="page" w:horzAnchor="margin" w:tblpXSpec="center" w:tblpY="5971"/>
            <w:tblW w:w="4531" w:type="pct"/>
            <w:tblBorders>
              <w:left w:val="single" w:sz="12" w:space="0" w:color="5B9BD5" w:themeColor="accent1"/>
            </w:tblBorders>
            <w:tblCellMar>
              <w:left w:w="144" w:type="dxa"/>
              <w:right w:w="115" w:type="dxa"/>
            </w:tblCellMar>
            <w:tblLook w:val="04A0" w:firstRow="1" w:lastRow="0" w:firstColumn="1" w:lastColumn="0" w:noHBand="0" w:noVBand="1"/>
          </w:tblPr>
          <w:tblGrid>
            <w:gridCol w:w="8818"/>
          </w:tblGrid>
          <w:tr w:rsidR="00253FA9" w:rsidTr="00224570">
            <w:trPr>
              <w:trHeight w:val="308"/>
            </w:trPr>
            <w:sdt>
              <w:sdtPr>
                <w:rPr>
                  <w:sz w:val="36"/>
                  <w:szCs w:val="36"/>
                </w:rPr>
                <w:alias w:val="Company"/>
                <w:id w:val="13406915"/>
                <w:placeholder>
                  <w:docPart w:val="1C81E7F465D74B06B8E607FA309A8F26"/>
                </w:placeholder>
                <w:dataBinding w:prefixMappings="xmlns:ns0='http://schemas.openxmlformats.org/officeDocument/2006/extended-properties'" w:xpath="/ns0:Properties[1]/ns0:Company[1]" w:storeItemID="{6668398D-A668-4E3E-A5EB-62B293D839F1}"/>
                <w:text/>
              </w:sdtPr>
              <w:sdtEndPr/>
              <w:sdtContent>
                <w:tc>
                  <w:tcPr>
                    <w:tcW w:w="8818" w:type="dxa"/>
                    <w:tcMar>
                      <w:top w:w="216" w:type="dxa"/>
                      <w:left w:w="115" w:type="dxa"/>
                      <w:bottom w:w="216" w:type="dxa"/>
                      <w:right w:w="115" w:type="dxa"/>
                    </w:tcMar>
                  </w:tcPr>
                  <w:p w:rsidR="00253FA9" w:rsidRPr="00224570" w:rsidRDefault="00253FA9" w:rsidP="00224570">
                    <w:pPr>
                      <w:pStyle w:val="NoSpacing"/>
                      <w:rPr>
                        <w:sz w:val="24"/>
                      </w:rPr>
                    </w:pPr>
                    <w:r w:rsidRPr="00224570">
                      <w:rPr>
                        <w:sz w:val="36"/>
                        <w:szCs w:val="36"/>
                      </w:rPr>
                      <w:t>University of Wales Trinity Saint David</w:t>
                    </w:r>
                  </w:p>
                </w:tc>
              </w:sdtContent>
            </w:sdt>
          </w:tr>
          <w:tr w:rsidR="00253FA9" w:rsidTr="00224570">
            <w:trPr>
              <w:trHeight w:val="1264"/>
            </w:trPr>
            <w:tc>
              <w:tcPr>
                <w:tcW w:w="8818" w:type="dxa"/>
              </w:tcPr>
              <w:p w:rsidR="00253FA9" w:rsidRPr="00224570" w:rsidRDefault="008528CB" w:rsidP="00224570">
                <w:pPr>
                  <w:pStyle w:val="NoSpacing"/>
                  <w:spacing w:line="216" w:lineRule="auto"/>
                  <w:jc w:val="center"/>
                  <w:rPr>
                    <w:rFonts w:asciiTheme="majorHAnsi" w:eastAsiaTheme="majorEastAsia" w:hAnsiTheme="majorHAnsi" w:cstheme="majorBidi"/>
                    <w:sz w:val="88"/>
                    <w:szCs w:val="88"/>
                  </w:rPr>
                </w:pPr>
                <w:sdt>
                  <w:sdtPr>
                    <w:rPr>
                      <w:rFonts w:eastAsiaTheme="majorEastAsia" w:cstheme="minorHAnsi"/>
                      <w:b/>
                      <w:sz w:val="56"/>
                      <w:szCs w:val="56"/>
                    </w:rPr>
                    <w:alias w:val="Title"/>
                    <w:id w:val="13406919"/>
                    <w:placeholder>
                      <w:docPart w:val="758529DA3FA94E69973EE47D9E26526B"/>
                    </w:placeholder>
                    <w:dataBinding w:prefixMappings="xmlns:ns0='http://schemas.openxmlformats.org/package/2006/metadata/core-properties' xmlns:ns1='http://purl.org/dc/elements/1.1/'" w:xpath="/ns0:coreProperties[1]/ns1:title[1]" w:storeItemID="{6C3C8BC8-F283-45AE-878A-BAB7291924A1}"/>
                    <w:text/>
                  </w:sdtPr>
                  <w:sdtEndPr/>
                  <w:sdtContent>
                    <w:r w:rsidR="00253FA9" w:rsidRPr="00224570">
                      <w:rPr>
                        <w:rFonts w:eastAsiaTheme="majorEastAsia" w:cstheme="minorHAnsi"/>
                        <w:b/>
                        <w:sz w:val="56"/>
                        <w:szCs w:val="56"/>
                      </w:rPr>
                      <w:t>FINANCIAL MANAGEMENT ASSIGNMENT</w:t>
                    </w:r>
                  </w:sdtContent>
                </w:sdt>
                <w:r w:rsidR="005B6293" w:rsidRPr="00224570">
                  <w:rPr>
                    <w:rFonts w:eastAsiaTheme="majorEastAsia" w:cstheme="minorHAnsi"/>
                    <w:b/>
                    <w:sz w:val="56"/>
                    <w:szCs w:val="56"/>
                  </w:rPr>
                  <w:t xml:space="preserve"> – Term 1</w:t>
                </w:r>
              </w:p>
            </w:tc>
          </w:tr>
          <w:tr w:rsidR="00253FA9" w:rsidTr="00224570">
            <w:trPr>
              <w:trHeight w:val="323"/>
            </w:trPr>
            <w:sdt>
              <w:sdtPr>
                <w:rPr>
                  <w:b/>
                  <w:sz w:val="28"/>
                  <w:szCs w:val="28"/>
                </w:rPr>
                <w:alias w:val="Subtitle"/>
                <w:id w:val="13406923"/>
                <w:placeholder>
                  <w:docPart w:val="BE34F65612A74983A8B574A1BA1AA032"/>
                </w:placeholder>
                <w:dataBinding w:prefixMappings="xmlns:ns0='http://schemas.openxmlformats.org/package/2006/metadata/core-properties' xmlns:ns1='http://purl.org/dc/elements/1.1/'" w:xpath="/ns0:coreProperties[1]/ns1:subject[1]" w:storeItemID="{6C3C8BC8-F283-45AE-878A-BAB7291924A1}"/>
                <w:text/>
              </w:sdtPr>
              <w:sdtEndPr/>
              <w:sdtContent>
                <w:tc>
                  <w:tcPr>
                    <w:tcW w:w="8818" w:type="dxa"/>
                    <w:tcMar>
                      <w:top w:w="216" w:type="dxa"/>
                      <w:left w:w="115" w:type="dxa"/>
                      <w:bottom w:w="216" w:type="dxa"/>
                      <w:right w:w="115" w:type="dxa"/>
                    </w:tcMar>
                  </w:tcPr>
                  <w:p w:rsidR="00253FA9" w:rsidRPr="00224570" w:rsidRDefault="00304AA7" w:rsidP="00224570">
                    <w:pPr>
                      <w:pStyle w:val="NoSpacing"/>
                      <w:jc w:val="center"/>
                      <w:rPr>
                        <w:sz w:val="24"/>
                      </w:rPr>
                    </w:pPr>
                    <w:r>
                      <w:rPr>
                        <w:b/>
                        <w:sz w:val="28"/>
                        <w:szCs w:val="28"/>
                        <w:lang w:val="en-GB"/>
                      </w:rPr>
                      <w:t>2014 – 2018 Financial Ratios Analysis of Unilever Group</w:t>
                    </w:r>
                  </w:p>
                </w:tc>
              </w:sdtContent>
            </w:sdt>
          </w:tr>
        </w:tbl>
        <w:p w:rsidR="00253FA9" w:rsidRDefault="00253FA9" w:rsidP="00253FA9">
          <w:pPr>
            <w:jc w:val="center"/>
          </w:pPr>
          <w:r>
            <w:br w:type="page"/>
          </w:r>
        </w:p>
      </w:sdtContent>
    </w:sdt>
    <w:sdt>
      <w:sdtPr>
        <w:rPr>
          <w:rFonts w:asciiTheme="minorHAnsi" w:eastAsiaTheme="minorHAnsi" w:hAnsiTheme="minorHAnsi" w:cstheme="minorBidi"/>
          <w:color w:val="auto"/>
          <w:sz w:val="22"/>
          <w:szCs w:val="22"/>
          <w:lang w:val="en-GB"/>
        </w:rPr>
        <w:id w:val="1474176524"/>
        <w:docPartObj>
          <w:docPartGallery w:val="Table of Contents"/>
          <w:docPartUnique/>
        </w:docPartObj>
      </w:sdtPr>
      <w:sdtEndPr>
        <w:rPr>
          <w:b/>
          <w:bCs/>
          <w:noProof/>
        </w:rPr>
      </w:sdtEndPr>
      <w:sdtContent>
        <w:p w:rsidR="00206EBE" w:rsidRPr="00422DAF" w:rsidRDefault="00206EBE">
          <w:pPr>
            <w:pStyle w:val="TOCHeading"/>
            <w:rPr>
              <w:rFonts w:asciiTheme="minorHAnsi" w:hAnsiTheme="minorHAnsi" w:cstheme="minorHAnsi"/>
              <w:b/>
              <w:color w:val="auto"/>
            </w:rPr>
          </w:pPr>
          <w:r w:rsidRPr="00422DAF">
            <w:rPr>
              <w:rFonts w:asciiTheme="minorHAnsi" w:hAnsiTheme="minorHAnsi" w:cstheme="minorHAnsi"/>
              <w:b/>
              <w:color w:val="auto"/>
            </w:rPr>
            <w:t>Contents</w:t>
          </w:r>
        </w:p>
        <w:p w:rsidR="00CA3F52" w:rsidRDefault="00206EBE">
          <w:pPr>
            <w:pStyle w:val="TOC1"/>
            <w:tabs>
              <w:tab w:val="right" w:leader="dot" w:pos="9736"/>
            </w:tabs>
            <w:rPr>
              <w:rFonts w:eastAsiaTheme="minorEastAsia"/>
              <w:noProof/>
              <w:lang w:eastAsia="en-GB"/>
            </w:rPr>
          </w:pPr>
          <w:r>
            <w:fldChar w:fldCharType="begin"/>
          </w:r>
          <w:r>
            <w:instrText xml:space="preserve"> TOC \o "1-3" \h \z \u </w:instrText>
          </w:r>
          <w:r>
            <w:fldChar w:fldCharType="separate"/>
          </w:r>
          <w:hyperlink w:anchor="_Toc30151570" w:history="1">
            <w:r w:rsidR="00CA3F52" w:rsidRPr="00821E3F">
              <w:rPr>
                <w:rStyle w:val="Hyperlink"/>
                <w:noProof/>
              </w:rPr>
              <w:t>Part A: Introduction</w:t>
            </w:r>
            <w:r w:rsidR="00CA3F52">
              <w:rPr>
                <w:noProof/>
                <w:webHidden/>
              </w:rPr>
              <w:tab/>
            </w:r>
            <w:r w:rsidR="00CA3F52">
              <w:rPr>
                <w:noProof/>
                <w:webHidden/>
              </w:rPr>
              <w:fldChar w:fldCharType="begin"/>
            </w:r>
            <w:r w:rsidR="00CA3F52">
              <w:rPr>
                <w:noProof/>
                <w:webHidden/>
              </w:rPr>
              <w:instrText xml:space="preserve"> PAGEREF _Toc30151570 \h </w:instrText>
            </w:r>
            <w:r w:rsidR="00CA3F52">
              <w:rPr>
                <w:noProof/>
                <w:webHidden/>
              </w:rPr>
            </w:r>
            <w:r w:rsidR="00CA3F52">
              <w:rPr>
                <w:noProof/>
                <w:webHidden/>
              </w:rPr>
              <w:fldChar w:fldCharType="separate"/>
            </w:r>
            <w:r w:rsidR="00CA3F52">
              <w:rPr>
                <w:noProof/>
                <w:webHidden/>
              </w:rPr>
              <w:t>2</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71" w:history="1">
            <w:r w:rsidR="00CA3F52" w:rsidRPr="00821E3F">
              <w:rPr>
                <w:rStyle w:val="Hyperlink"/>
                <w:noProof/>
              </w:rPr>
              <w:t>Business model</w:t>
            </w:r>
            <w:r w:rsidR="00CA3F52">
              <w:rPr>
                <w:noProof/>
                <w:webHidden/>
              </w:rPr>
              <w:tab/>
            </w:r>
            <w:r w:rsidR="00CA3F52">
              <w:rPr>
                <w:noProof/>
                <w:webHidden/>
              </w:rPr>
              <w:fldChar w:fldCharType="begin"/>
            </w:r>
            <w:r w:rsidR="00CA3F52">
              <w:rPr>
                <w:noProof/>
                <w:webHidden/>
              </w:rPr>
              <w:instrText xml:space="preserve"> PAGEREF _Toc30151571 \h </w:instrText>
            </w:r>
            <w:r w:rsidR="00CA3F52">
              <w:rPr>
                <w:noProof/>
                <w:webHidden/>
              </w:rPr>
            </w:r>
            <w:r w:rsidR="00CA3F52">
              <w:rPr>
                <w:noProof/>
                <w:webHidden/>
              </w:rPr>
              <w:fldChar w:fldCharType="separate"/>
            </w:r>
            <w:r w:rsidR="00CA3F52">
              <w:rPr>
                <w:noProof/>
                <w:webHidden/>
              </w:rPr>
              <w:t>2</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72" w:history="1">
            <w:r w:rsidR="00CA3F52" w:rsidRPr="00821E3F">
              <w:rPr>
                <w:rStyle w:val="Hyperlink"/>
                <w:noProof/>
              </w:rPr>
              <w:t>Market place and the main competitors</w:t>
            </w:r>
            <w:r w:rsidR="00CA3F52">
              <w:rPr>
                <w:noProof/>
                <w:webHidden/>
              </w:rPr>
              <w:tab/>
            </w:r>
            <w:r w:rsidR="00CA3F52">
              <w:rPr>
                <w:noProof/>
                <w:webHidden/>
              </w:rPr>
              <w:fldChar w:fldCharType="begin"/>
            </w:r>
            <w:r w:rsidR="00CA3F52">
              <w:rPr>
                <w:noProof/>
                <w:webHidden/>
              </w:rPr>
              <w:instrText xml:space="preserve"> PAGEREF _Toc30151572 \h </w:instrText>
            </w:r>
            <w:r w:rsidR="00CA3F52">
              <w:rPr>
                <w:noProof/>
                <w:webHidden/>
              </w:rPr>
            </w:r>
            <w:r w:rsidR="00CA3F52">
              <w:rPr>
                <w:noProof/>
                <w:webHidden/>
              </w:rPr>
              <w:fldChar w:fldCharType="separate"/>
            </w:r>
            <w:r w:rsidR="00CA3F52">
              <w:rPr>
                <w:noProof/>
                <w:webHidden/>
              </w:rPr>
              <w:t>2</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73" w:history="1">
            <w:r w:rsidR="00CA3F52" w:rsidRPr="00821E3F">
              <w:rPr>
                <w:rStyle w:val="Hyperlink"/>
                <w:noProof/>
              </w:rPr>
              <w:t>Major events 2014 – 2018</w:t>
            </w:r>
            <w:r w:rsidR="00CA3F52">
              <w:rPr>
                <w:noProof/>
                <w:webHidden/>
              </w:rPr>
              <w:tab/>
            </w:r>
            <w:r w:rsidR="00CA3F52">
              <w:rPr>
                <w:noProof/>
                <w:webHidden/>
              </w:rPr>
              <w:fldChar w:fldCharType="begin"/>
            </w:r>
            <w:r w:rsidR="00CA3F52">
              <w:rPr>
                <w:noProof/>
                <w:webHidden/>
              </w:rPr>
              <w:instrText xml:space="preserve"> PAGEREF _Toc30151573 \h </w:instrText>
            </w:r>
            <w:r w:rsidR="00CA3F52">
              <w:rPr>
                <w:noProof/>
                <w:webHidden/>
              </w:rPr>
            </w:r>
            <w:r w:rsidR="00CA3F52">
              <w:rPr>
                <w:noProof/>
                <w:webHidden/>
              </w:rPr>
              <w:fldChar w:fldCharType="separate"/>
            </w:r>
            <w:r w:rsidR="00CA3F52">
              <w:rPr>
                <w:noProof/>
                <w:webHidden/>
              </w:rPr>
              <w:t>3</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74" w:history="1">
            <w:r w:rsidR="00CA3F52" w:rsidRPr="00821E3F">
              <w:rPr>
                <w:rStyle w:val="Hyperlink"/>
                <w:noProof/>
              </w:rPr>
              <w:t>Part B: Financial analysis</w:t>
            </w:r>
            <w:r w:rsidR="00CA3F52">
              <w:rPr>
                <w:noProof/>
                <w:webHidden/>
              </w:rPr>
              <w:tab/>
            </w:r>
            <w:r w:rsidR="00CA3F52">
              <w:rPr>
                <w:noProof/>
                <w:webHidden/>
              </w:rPr>
              <w:fldChar w:fldCharType="begin"/>
            </w:r>
            <w:r w:rsidR="00CA3F52">
              <w:rPr>
                <w:noProof/>
                <w:webHidden/>
              </w:rPr>
              <w:instrText xml:space="preserve"> PAGEREF _Toc30151574 \h </w:instrText>
            </w:r>
            <w:r w:rsidR="00CA3F52">
              <w:rPr>
                <w:noProof/>
                <w:webHidden/>
              </w:rPr>
            </w:r>
            <w:r w:rsidR="00CA3F52">
              <w:rPr>
                <w:noProof/>
                <w:webHidden/>
              </w:rPr>
              <w:fldChar w:fldCharType="separate"/>
            </w:r>
            <w:r w:rsidR="00CA3F52">
              <w:rPr>
                <w:noProof/>
                <w:webHidden/>
              </w:rPr>
              <w:t>3</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75" w:history="1">
            <w:r w:rsidR="00CA3F52" w:rsidRPr="00821E3F">
              <w:rPr>
                <w:rStyle w:val="Hyperlink"/>
                <w:noProof/>
              </w:rPr>
              <w:t>Profitability ratios</w:t>
            </w:r>
            <w:r w:rsidR="00CA3F52">
              <w:rPr>
                <w:noProof/>
                <w:webHidden/>
              </w:rPr>
              <w:tab/>
            </w:r>
            <w:r w:rsidR="00CA3F52">
              <w:rPr>
                <w:noProof/>
                <w:webHidden/>
              </w:rPr>
              <w:fldChar w:fldCharType="begin"/>
            </w:r>
            <w:r w:rsidR="00CA3F52">
              <w:rPr>
                <w:noProof/>
                <w:webHidden/>
              </w:rPr>
              <w:instrText xml:space="preserve"> PAGEREF _Toc30151575 \h </w:instrText>
            </w:r>
            <w:r w:rsidR="00CA3F52">
              <w:rPr>
                <w:noProof/>
                <w:webHidden/>
              </w:rPr>
            </w:r>
            <w:r w:rsidR="00CA3F52">
              <w:rPr>
                <w:noProof/>
                <w:webHidden/>
              </w:rPr>
              <w:fldChar w:fldCharType="separate"/>
            </w:r>
            <w:r w:rsidR="00CA3F52">
              <w:rPr>
                <w:noProof/>
                <w:webHidden/>
              </w:rPr>
              <w:t>3</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76" w:history="1">
            <w:r w:rsidR="00CA3F52" w:rsidRPr="00821E3F">
              <w:rPr>
                <w:rStyle w:val="Hyperlink"/>
                <w:noProof/>
                <w:shd w:val="clear" w:color="auto" w:fill="FFFFFF"/>
              </w:rPr>
              <w:t>Net Profit Margin Ratio</w:t>
            </w:r>
            <w:r w:rsidR="00CA3F52">
              <w:rPr>
                <w:noProof/>
                <w:webHidden/>
              </w:rPr>
              <w:tab/>
            </w:r>
            <w:r w:rsidR="00CA3F52">
              <w:rPr>
                <w:noProof/>
                <w:webHidden/>
              </w:rPr>
              <w:fldChar w:fldCharType="begin"/>
            </w:r>
            <w:r w:rsidR="00CA3F52">
              <w:rPr>
                <w:noProof/>
                <w:webHidden/>
              </w:rPr>
              <w:instrText xml:space="preserve"> PAGEREF _Toc30151576 \h </w:instrText>
            </w:r>
            <w:r w:rsidR="00CA3F52">
              <w:rPr>
                <w:noProof/>
                <w:webHidden/>
              </w:rPr>
            </w:r>
            <w:r w:rsidR="00CA3F52">
              <w:rPr>
                <w:noProof/>
                <w:webHidden/>
              </w:rPr>
              <w:fldChar w:fldCharType="separate"/>
            </w:r>
            <w:r w:rsidR="00CA3F52">
              <w:rPr>
                <w:noProof/>
                <w:webHidden/>
              </w:rPr>
              <w:t>4</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77" w:history="1">
            <w:r w:rsidR="00CA3F52" w:rsidRPr="00821E3F">
              <w:rPr>
                <w:rStyle w:val="Hyperlink"/>
                <w:noProof/>
                <w:shd w:val="clear" w:color="auto" w:fill="FFFFFF"/>
              </w:rPr>
              <w:t>Operating Margin Ratio</w:t>
            </w:r>
            <w:r w:rsidR="00CA3F52">
              <w:rPr>
                <w:noProof/>
                <w:webHidden/>
              </w:rPr>
              <w:tab/>
            </w:r>
            <w:r w:rsidR="00CA3F52">
              <w:rPr>
                <w:noProof/>
                <w:webHidden/>
              </w:rPr>
              <w:fldChar w:fldCharType="begin"/>
            </w:r>
            <w:r w:rsidR="00CA3F52">
              <w:rPr>
                <w:noProof/>
                <w:webHidden/>
              </w:rPr>
              <w:instrText xml:space="preserve"> PAGEREF _Toc30151577 \h </w:instrText>
            </w:r>
            <w:r w:rsidR="00CA3F52">
              <w:rPr>
                <w:noProof/>
                <w:webHidden/>
              </w:rPr>
            </w:r>
            <w:r w:rsidR="00CA3F52">
              <w:rPr>
                <w:noProof/>
                <w:webHidden/>
              </w:rPr>
              <w:fldChar w:fldCharType="separate"/>
            </w:r>
            <w:r w:rsidR="00CA3F52">
              <w:rPr>
                <w:noProof/>
                <w:webHidden/>
              </w:rPr>
              <w:t>5</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78" w:history="1">
            <w:r w:rsidR="00CA3F52" w:rsidRPr="00821E3F">
              <w:rPr>
                <w:rStyle w:val="Hyperlink"/>
                <w:noProof/>
                <w:shd w:val="clear" w:color="auto" w:fill="FFFFFF"/>
              </w:rPr>
              <w:t>Efficiency ratios</w:t>
            </w:r>
            <w:r w:rsidR="00CA3F52">
              <w:rPr>
                <w:noProof/>
                <w:webHidden/>
              </w:rPr>
              <w:tab/>
            </w:r>
            <w:r w:rsidR="00CA3F52">
              <w:rPr>
                <w:noProof/>
                <w:webHidden/>
              </w:rPr>
              <w:fldChar w:fldCharType="begin"/>
            </w:r>
            <w:r w:rsidR="00CA3F52">
              <w:rPr>
                <w:noProof/>
                <w:webHidden/>
              </w:rPr>
              <w:instrText xml:space="preserve"> PAGEREF _Toc30151578 \h </w:instrText>
            </w:r>
            <w:r w:rsidR="00CA3F52">
              <w:rPr>
                <w:noProof/>
                <w:webHidden/>
              </w:rPr>
            </w:r>
            <w:r w:rsidR="00CA3F52">
              <w:rPr>
                <w:noProof/>
                <w:webHidden/>
              </w:rPr>
              <w:fldChar w:fldCharType="separate"/>
            </w:r>
            <w:r w:rsidR="00CA3F52">
              <w:rPr>
                <w:noProof/>
                <w:webHidden/>
              </w:rPr>
              <w:t>5</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79" w:history="1">
            <w:r w:rsidR="00CA3F52" w:rsidRPr="00821E3F">
              <w:rPr>
                <w:rStyle w:val="Hyperlink"/>
                <w:noProof/>
                <w:shd w:val="clear" w:color="auto" w:fill="FFFFFF"/>
              </w:rPr>
              <w:t>Fixed Assets Turnover Ratio</w:t>
            </w:r>
            <w:r w:rsidR="00CA3F52">
              <w:rPr>
                <w:noProof/>
                <w:webHidden/>
              </w:rPr>
              <w:tab/>
            </w:r>
            <w:r w:rsidR="00CA3F52">
              <w:rPr>
                <w:noProof/>
                <w:webHidden/>
              </w:rPr>
              <w:fldChar w:fldCharType="begin"/>
            </w:r>
            <w:r w:rsidR="00CA3F52">
              <w:rPr>
                <w:noProof/>
                <w:webHidden/>
              </w:rPr>
              <w:instrText xml:space="preserve"> PAGEREF _Toc30151579 \h </w:instrText>
            </w:r>
            <w:r w:rsidR="00CA3F52">
              <w:rPr>
                <w:noProof/>
                <w:webHidden/>
              </w:rPr>
            </w:r>
            <w:r w:rsidR="00CA3F52">
              <w:rPr>
                <w:noProof/>
                <w:webHidden/>
              </w:rPr>
              <w:fldChar w:fldCharType="separate"/>
            </w:r>
            <w:r w:rsidR="00CA3F52">
              <w:rPr>
                <w:noProof/>
                <w:webHidden/>
              </w:rPr>
              <w:t>6</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80" w:history="1">
            <w:r w:rsidR="00CA3F52" w:rsidRPr="00821E3F">
              <w:rPr>
                <w:rStyle w:val="Hyperlink"/>
                <w:noProof/>
                <w:bdr w:val="none" w:sz="0" w:space="0" w:color="auto" w:frame="1"/>
              </w:rPr>
              <w:t>Total asset turnover Ratio</w:t>
            </w:r>
            <w:r w:rsidR="00CA3F52">
              <w:rPr>
                <w:noProof/>
                <w:webHidden/>
              </w:rPr>
              <w:tab/>
            </w:r>
            <w:r w:rsidR="00CA3F52">
              <w:rPr>
                <w:noProof/>
                <w:webHidden/>
              </w:rPr>
              <w:fldChar w:fldCharType="begin"/>
            </w:r>
            <w:r w:rsidR="00CA3F52">
              <w:rPr>
                <w:noProof/>
                <w:webHidden/>
              </w:rPr>
              <w:instrText xml:space="preserve"> PAGEREF _Toc30151580 \h </w:instrText>
            </w:r>
            <w:r w:rsidR="00CA3F52">
              <w:rPr>
                <w:noProof/>
                <w:webHidden/>
              </w:rPr>
            </w:r>
            <w:r w:rsidR="00CA3F52">
              <w:rPr>
                <w:noProof/>
                <w:webHidden/>
              </w:rPr>
              <w:fldChar w:fldCharType="separate"/>
            </w:r>
            <w:r w:rsidR="00CA3F52">
              <w:rPr>
                <w:noProof/>
                <w:webHidden/>
              </w:rPr>
              <w:t>7</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81" w:history="1">
            <w:r w:rsidR="00CA3F52" w:rsidRPr="00821E3F">
              <w:rPr>
                <w:rStyle w:val="Hyperlink"/>
                <w:noProof/>
                <w:shd w:val="clear" w:color="auto" w:fill="FFFFFF"/>
              </w:rPr>
              <w:t>Liquidity ratios</w:t>
            </w:r>
            <w:r w:rsidR="00CA3F52">
              <w:rPr>
                <w:noProof/>
                <w:webHidden/>
              </w:rPr>
              <w:tab/>
            </w:r>
            <w:r w:rsidR="00CA3F52">
              <w:rPr>
                <w:noProof/>
                <w:webHidden/>
              </w:rPr>
              <w:fldChar w:fldCharType="begin"/>
            </w:r>
            <w:r w:rsidR="00CA3F52">
              <w:rPr>
                <w:noProof/>
                <w:webHidden/>
              </w:rPr>
              <w:instrText xml:space="preserve"> PAGEREF _Toc30151581 \h </w:instrText>
            </w:r>
            <w:r w:rsidR="00CA3F52">
              <w:rPr>
                <w:noProof/>
                <w:webHidden/>
              </w:rPr>
            </w:r>
            <w:r w:rsidR="00CA3F52">
              <w:rPr>
                <w:noProof/>
                <w:webHidden/>
              </w:rPr>
              <w:fldChar w:fldCharType="separate"/>
            </w:r>
            <w:r w:rsidR="00CA3F52">
              <w:rPr>
                <w:noProof/>
                <w:webHidden/>
              </w:rPr>
              <w:t>8</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82" w:history="1">
            <w:r w:rsidR="00CA3F52" w:rsidRPr="00821E3F">
              <w:rPr>
                <w:rStyle w:val="Hyperlink"/>
                <w:noProof/>
                <w:shd w:val="clear" w:color="auto" w:fill="FFFFFF"/>
              </w:rPr>
              <w:t>Current ratio</w:t>
            </w:r>
            <w:r w:rsidR="00CA3F52">
              <w:rPr>
                <w:noProof/>
                <w:webHidden/>
              </w:rPr>
              <w:tab/>
            </w:r>
            <w:r w:rsidR="00CA3F52">
              <w:rPr>
                <w:noProof/>
                <w:webHidden/>
              </w:rPr>
              <w:fldChar w:fldCharType="begin"/>
            </w:r>
            <w:r w:rsidR="00CA3F52">
              <w:rPr>
                <w:noProof/>
                <w:webHidden/>
              </w:rPr>
              <w:instrText xml:space="preserve"> PAGEREF _Toc30151582 \h </w:instrText>
            </w:r>
            <w:r w:rsidR="00CA3F52">
              <w:rPr>
                <w:noProof/>
                <w:webHidden/>
              </w:rPr>
            </w:r>
            <w:r w:rsidR="00CA3F52">
              <w:rPr>
                <w:noProof/>
                <w:webHidden/>
              </w:rPr>
              <w:fldChar w:fldCharType="separate"/>
            </w:r>
            <w:r w:rsidR="00CA3F52">
              <w:rPr>
                <w:noProof/>
                <w:webHidden/>
              </w:rPr>
              <w:t>9</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83" w:history="1">
            <w:r w:rsidR="00CA3F52" w:rsidRPr="00821E3F">
              <w:rPr>
                <w:rStyle w:val="Hyperlink"/>
                <w:noProof/>
                <w:bdr w:val="none" w:sz="0" w:space="0" w:color="auto" w:frame="1"/>
              </w:rPr>
              <w:t>Quick Ratio</w:t>
            </w:r>
            <w:r w:rsidR="00CA3F52">
              <w:rPr>
                <w:noProof/>
                <w:webHidden/>
              </w:rPr>
              <w:tab/>
            </w:r>
            <w:r w:rsidR="00CA3F52">
              <w:rPr>
                <w:noProof/>
                <w:webHidden/>
              </w:rPr>
              <w:fldChar w:fldCharType="begin"/>
            </w:r>
            <w:r w:rsidR="00CA3F52">
              <w:rPr>
                <w:noProof/>
                <w:webHidden/>
              </w:rPr>
              <w:instrText xml:space="preserve"> PAGEREF _Toc30151583 \h </w:instrText>
            </w:r>
            <w:r w:rsidR="00CA3F52">
              <w:rPr>
                <w:noProof/>
                <w:webHidden/>
              </w:rPr>
            </w:r>
            <w:r w:rsidR="00CA3F52">
              <w:rPr>
                <w:noProof/>
                <w:webHidden/>
              </w:rPr>
              <w:fldChar w:fldCharType="separate"/>
            </w:r>
            <w:r w:rsidR="00CA3F52">
              <w:rPr>
                <w:noProof/>
                <w:webHidden/>
              </w:rPr>
              <w:t>10</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84" w:history="1">
            <w:r w:rsidR="00CA3F52" w:rsidRPr="00821E3F">
              <w:rPr>
                <w:rStyle w:val="Hyperlink"/>
                <w:noProof/>
              </w:rPr>
              <w:t>Cash Ratio</w:t>
            </w:r>
            <w:r w:rsidR="00CA3F52">
              <w:rPr>
                <w:noProof/>
                <w:webHidden/>
              </w:rPr>
              <w:tab/>
            </w:r>
            <w:r w:rsidR="00CA3F52">
              <w:rPr>
                <w:noProof/>
                <w:webHidden/>
              </w:rPr>
              <w:fldChar w:fldCharType="begin"/>
            </w:r>
            <w:r w:rsidR="00CA3F52">
              <w:rPr>
                <w:noProof/>
                <w:webHidden/>
              </w:rPr>
              <w:instrText xml:space="preserve"> PAGEREF _Toc30151584 \h </w:instrText>
            </w:r>
            <w:r w:rsidR="00CA3F52">
              <w:rPr>
                <w:noProof/>
                <w:webHidden/>
              </w:rPr>
            </w:r>
            <w:r w:rsidR="00CA3F52">
              <w:rPr>
                <w:noProof/>
                <w:webHidden/>
              </w:rPr>
              <w:fldChar w:fldCharType="separate"/>
            </w:r>
            <w:r w:rsidR="00CA3F52">
              <w:rPr>
                <w:noProof/>
                <w:webHidden/>
              </w:rPr>
              <w:t>10</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85" w:history="1">
            <w:r w:rsidR="00CA3F52" w:rsidRPr="00821E3F">
              <w:rPr>
                <w:rStyle w:val="Hyperlink"/>
                <w:noProof/>
                <w:bdr w:val="none" w:sz="0" w:space="0" w:color="auto" w:frame="1"/>
              </w:rPr>
              <w:t>Leverage ratios</w:t>
            </w:r>
            <w:r w:rsidR="00CA3F52">
              <w:rPr>
                <w:noProof/>
                <w:webHidden/>
              </w:rPr>
              <w:tab/>
            </w:r>
            <w:r w:rsidR="00CA3F52">
              <w:rPr>
                <w:noProof/>
                <w:webHidden/>
              </w:rPr>
              <w:fldChar w:fldCharType="begin"/>
            </w:r>
            <w:r w:rsidR="00CA3F52">
              <w:rPr>
                <w:noProof/>
                <w:webHidden/>
              </w:rPr>
              <w:instrText xml:space="preserve"> PAGEREF _Toc30151585 \h </w:instrText>
            </w:r>
            <w:r w:rsidR="00CA3F52">
              <w:rPr>
                <w:noProof/>
                <w:webHidden/>
              </w:rPr>
            </w:r>
            <w:r w:rsidR="00CA3F52">
              <w:rPr>
                <w:noProof/>
                <w:webHidden/>
              </w:rPr>
              <w:fldChar w:fldCharType="separate"/>
            </w:r>
            <w:r w:rsidR="00CA3F52">
              <w:rPr>
                <w:noProof/>
                <w:webHidden/>
              </w:rPr>
              <w:t>11</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86" w:history="1">
            <w:r w:rsidR="00CA3F52" w:rsidRPr="00821E3F">
              <w:rPr>
                <w:rStyle w:val="Hyperlink"/>
                <w:noProof/>
                <w:bdr w:val="none" w:sz="0" w:space="0" w:color="auto" w:frame="1"/>
              </w:rPr>
              <w:t>Debt-to-capital</w:t>
            </w:r>
            <w:r w:rsidR="00CA3F52">
              <w:rPr>
                <w:noProof/>
                <w:webHidden/>
              </w:rPr>
              <w:tab/>
            </w:r>
            <w:r w:rsidR="00CA3F52">
              <w:rPr>
                <w:noProof/>
                <w:webHidden/>
              </w:rPr>
              <w:fldChar w:fldCharType="begin"/>
            </w:r>
            <w:r w:rsidR="00CA3F52">
              <w:rPr>
                <w:noProof/>
                <w:webHidden/>
              </w:rPr>
              <w:instrText xml:space="preserve"> PAGEREF _Toc30151586 \h </w:instrText>
            </w:r>
            <w:r w:rsidR="00CA3F52">
              <w:rPr>
                <w:noProof/>
                <w:webHidden/>
              </w:rPr>
            </w:r>
            <w:r w:rsidR="00CA3F52">
              <w:rPr>
                <w:noProof/>
                <w:webHidden/>
              </w:rPr>
              <w:fldChar w:fldCharType="separate"/>
            </w:r>
            <w:r w:rsidR="00CA3F52">
              <w:rPr>
                <w:noProof/>
                <w:webHidden/>
              </w:rPr>
              <w:t>12</w:t>
            </w:r>
            <w:r w:rsidR="00CA3F52">
              <w:rPr>
                <w:noProof/>
                <w:webHidden/>
              </w:rPr>
              <w:fldChar w:fldCharType="end"/>
            </w:r>
          </w:hyperlink>
        </w:p>
        <w:p w:rsidR="00CA3F52" w:rsidRDefault="008528CB">
          <w:pPr>
            <w:pStyle w:val="TOC2"/>
            <w:tabs>
              <w:tab w:val="right" w:leader="dot" w:pos="9736"/>
            </w:tabs>
            <w:rPr>
              <w:rFonts w:eastAsiaTheme="minorEastAsia"/>
              <w:noProof/>
              <w:lang w:eastAsia="en-GB"/>
            </w:rPr>
          </w:pPr>
          <w:hyperlink w:anchor="_Toc30151587" w:history="1">
            <w:r w:rsidR="00CA3F52" w:rsidRPr="00821E3F">
              <w:rPr>
                <w:rStyle w:val="Hyperlink"/>
                <w:noProof/>
                <w:bdr w:val="none" w:sz="0" w:space="0" w:color="auto" w:frame="1"/>
              </w:rPr>
              <w:t>Debt-to-equity</w:t>
            </w:r>
            <w:r w:rsidR="00CA3F52">
              <w:rPr>
                <w:noProof/>
                <w:webHidden/>
              </w:rPr>
              <w:tab/>
            </w:r>
            <w:r w:rsidR="00CA3F52">
              <w:rPr>
                <w:noProof/>
                <w:webHidden/>
              </w:rPr>
              <w:fldChar w:fldCharType="begin"/>
            </w:r>
            <w:r w:rsidR="00CA3F52">
              <w:rPr>
                <w:noProof/>
                <w:webHidden/>
              </w:rPr>
              <w:instrText xml:space="preserve"> PAGEREF _Toc30151587 \h </w:instrText>
            </w:r>
            <w:r w:rsidR="00CA3F52">
              <w:rPr>
                <w:noProof/>
                <w:webHidden/>
              </w:rPr>
            </w:r>
            <w:r w:rsidR="00CA3F52">
              <w:rPr>
                <w:noProof/>
                <w:webHidden/>
              </w:rPr>
              <w:fldChar w:fldCharType="separate"/>
            </w:r>
            <w:r w:rsidR="00CA3F52">
              <w:rPr>
                <w:noProof/>
                <w:webHidden/>
              </w:rPr>
              <w:t>13</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88" w:history="1">
            <w:r w:rsidR="00CA3F52" w:rsidRPr="00821E3F">
              <w:rPr>
                <w:rStyle w:val="Hyperlink"/>
                <w:noProof/>
              </w:rPr>
              <w:t>Part B: Conclusion</w:t>
            </w:r>
            <w:r w:rsidR="00CA3F52">
              <w:rPr>
                <w:noProof/>
                <w:webHidden/>
              </w:rPr>
              <w:tab/>
            </w:r>
            <w:r w:rsidR="00CA3F52">
              <w:rPr>
                <w:noProof/>
                <w:webHidden/>
              </w:rPr>
              <w:fldChar w:fldCharType="begin"/>
            </w:r>
            <w:r w:rsidR="00CA3F52">
              <w:rPr>
                <w:noProof/>
                <w:webHidden/>
              </w:rPr>
              <w:instrText xml:space="preserve"> PAGEREF _Toc30151588 \h </w:instrText>
            </w:r>
            <w:r w:rsidR="00CA3F52">
              <w:rPr>
                <w:noProof/>
                <w:webHidden/>
              </w:rPr>
            </w:r>
            <w:r w:rsidR="00CA3F52">
              <w:rPr>
                <w:noProof/>
                <w:webHidden/>
              </w:rPr>
              <w:fldChar w:fldCharType="separate"/>
            </w:r>
            <w:r w:rsidR="00CA3F52">
              <w:rPr>
                <w:noProof/>
                <w:webHidden/>
              </w:rPr>
              <w:t>13</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89" w:history="1">
            <w:r w:rsidR="00CA3F52" w:rsidRPr="00821E3F">
              <w:rPr>
                <w:rStyle w:val="Hyperlink"/>
                <w:noProof/>
              </w:rPr>
              <w:t>Part C: Investment Appraisal</w:t>
            </w:r>
            <w:r w:rsidR="00CA3F52">
              <w:rPr>
                <w:noProof/>
                <w:webHidden/>
              </w:rPr>
              <w:tab/>
            </w:r>
            <w:r w:rsidR="00CA3F52">
              <w:rPr>
                <w:noProof/>
                <w:webHidden/>
              </w:rPr>
              <w:fldChar w:fldCharType="begin"/>
            </w:r>
            <w:r w:rsidR="00CA3F52">
              <w:rPr>
                <w:noProof/>
                <w:webHidden/>
              </w:rPr>
              <w:instrText xml:space="preserve"> PAGEREF _Toc30151589 \h </w:instrText>
            </w:r>
            <w:r w:rsidR="00CA3F52">
              <w:rPr>
                <w:noProof/>
                <w:webHidden/>
              </w:rPr>
            </w:r>
            <w:r w:rsidR="00CA3F52">
              <w:rPr>
                <w:noProof/>
                <w:webHidden/>
              </w:rPr>
              <w:fldChar w:fldCharType="separate"/>
            </w:r>
            <w:r w:rsidR="00CA3F52">
              <w:rPr>
                <w:noProof/>
                <w:webHidden/>
              </w:rPr>
              <w:t>14</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90" w:history="1">
            <w:r w:rsidR="00CA3F52" w:rsidRPr="00821E3F">
              <w:rPr>
                <w:rStyle w:val="Hyperlink"/>
                <w:noProof/>
              </w:rPr>
              <w:t>Payback Period (PBP)</w:t>
            </w:r>
            <w:r w:rsidR="00CA3F52">
              <w:rPr>
                <w:noProof/>
                <w:webHidden/>
              </w:rPr>
              <w:tab/>
            </w:r>
            <w:r w:rsidR="00CA3F52">
              <w:rPr>
                <w:noProof/>
                <w:webHidden/>
              </w:rPr>
              <w:fldChar w:fldCharType="begin"/>
            </w:r>
            <w:r w:rsidR="00CA3F52">
              <w:rPr>
                <w:noProof/>
                <w:webHidden/>
              </w:rPr>
              <w:instrText xml:space="preserve"> PAGEREF _Toc30151590 \h </w:instrText>
            </w:r>
            <w:r w:rsidR="00CA3F52">
              <w:rPr>
                <w:noProof/>
                <w:webHidden/>
              </w:rPr>
            </w:r>
            <w:r w:rsidR="00CA3F52">
              <w:rPr>
                <w:noProof/>
                <w:webHidden/>
              </w:rPr>
              <w:fldChar w:fldCharType="separate"/>
            </w:r>
            <w:r w:rsidR="00CA3F52">
              <w:rPr>
                <w:noProof/>
                <w:webHidden/>
              </w:rPr>
              <w:t>14</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91" w:history="1">
            <w:r w:rsidR="00CA3F52" w:rsidRPr="00821E3F">
              <w:rPr>
                <w:rStyle w:val="Hyperlink"/>
                <w:noProof/>
              </w:rPr>
              <w:t>Accounting Rate of return (ARR)</w:t>
            </w:r>
            <w:r w:rsidR="00CA3F52">
              <w:rPr>
                <w:noProof/>
                <w:webHidden/>
              </w:rPr>
              <w:tab/>
            </w:r>
            <w:r w:rsidR="00CA3F52">
              <w:rPr>
                <w:noProof/>
                <w:webHidden/>
              </w:rPr>
              <w:fldChar w:fldCharType="begin"/>
            </w:r>
            <w:r w:rsidR="00CA3F52">
              <w:rPr>
                <w:noProof/>
                <w:webHidden/>
              </w:rPr>
              <w:instrText xml:space="preserve"> PAGEREF _Toc30151591 \h </w:instrText>
            </w:r>
            <w:r w:rsidR="00CA3F52">
              <w:rPr>
                <w:noProof/>
                <w:webHidden/>
              </w:rPr>
            </w:r>
            <w:r w:rsidR="00CA3F52">
              <w:rPr>
                <w:noProof/>
                <w:webHidden/>
              </w:rPr>
              <w:fldChar w:fldCharType="separate"/>
            </w:r>
            <w:r w:rsidR="00CA3F52">
              <w:rPr>
                <w:noProof/>
                <w:webHidden/>
              </w:rPr>
              <w:t>15</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92" w:history="1">
            <w:r w:rsidR="00CA3F52" w:rsidRPr="00821E3F">
              <w:rPr>
                <w:rStyle w:val="Hyperlink"/>
                <w:noProof/>
              </w:rPr>
              <w:t>Net Present Value (NPV)</w:t>
            </w:r>
            <w:r w:rsidR="00CA3F52">
              <w:rPr>
                <w:noProof/>
                <w:webHidden/>
              </w:rPr>
              <w:tab/>
            </w:r>
            <w:r w:rsidR="00CA3F52">
              <w:rPr>
                <w:noProof/>
                <w:webHidden/>
              </w:rPr>
              <w:fldChar w:fldCharType="begin"/>
            </w:r>
            <w:r w:rsidR="00CA3F52">
              <w:rPr>
                <w:noProof/>
                <w:webHidden/>
              </w:rPr>
              <w:instrText xml:space="preserve"> PAGEREF _Toc30151592 \h </w:instrText>
            </w:r>
            <w:r w:rsidR="00CA3F52">
              <w:rPr>
                <w:noProof/>
                <w:webHidden/>
              </w:rPr>
            </w:r>
            <w:r w:rsidR="00CA3F52">
              <w:rPr>
                <w:noProof/>
                <w:webHidden/>
              </w:rPr>
              <w:fldChar w:fldCharType="separate"/>
            </w:r>
            <w:r w:rsidR="00CA3F52">
              <w:rPr>
                <w:noProof/>
                <w:webHidden/>
              </w:rPr>
              <w:t>16</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93" w:history="1">
            <w:r w:rsidR="00CA3F52" w:rsidRPr="00821E3F">
              <w:rPr>
                <w:rStyle w:val="Hyperlink"/>
                <w:noProof/>
              </w:rPr>
              <w:t>Internal Rate of Return (IRR)</w:t>
            </w:r>
            <w:r w:rsidR="00CA3F52">
              <w:rPr>
                <w:noProof/>
                <w:webHidden/>
              </w:rPr>
              <w:tab/>
            </w:r>
            <w:r w:rsidR="00CA3F52">
              <w:rPr>
                <w:noProof/>
                <w:webHidden/>
              </w:rPr>
              <w:fldChar w:fldCharType="begin"/>
            </w:r>
            <w:r w:rsidR="00CA3F52">
              <w:rPr>
                <w:noProof/>
                <w:webHidden/>
              </w:rPr>
              <w:instrText xml:space="preserve"> PAGEREF _Toc30151593 \h </w:instrText>
            </w:r>
            <w:r w:rsidR="00CA3F52">
              <w:rPr>
                <w:noProof/>
                <w:webHidden/>
              </w:rPr>
            </w:r>
            <w:r w:rsidR="00CA3F52">
              <w:rPr>
                <w:noProof/>
                <w:webHidden/>
              </w:rPr>
              <w:fldChar w:fldCharType="separate"/>
            </w:r>
            <w:r w:rsidR="00CA3F52">
              <w:rPr>
                <w:noProof/>
                <w:webHidden/>
              </w:rPr>
              <w:t>16</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94" w:history="1">
            <w:r w:rsidR="00CA3F52" w:rsidRPr="00821E3F">
              <w:rPr>
                <w:rStyle w:val="Hyperlink"/>
                <w:noProof/>
              </w:rPr>
              <w:t>Part C: Conclusion</w:t>
            </w:r>
            <w:r w:rsidR="00CA3F52">
              <w:rPr>
                <w:noProof/>
                <w:webHidden/>
              </w:rPr>
              <w:tab/>
            </w:r>
            <w:r w:rsidR="00CA3F52">
              <w:rPr>
                <w:noProof/>
                <w:webHidden/>
              </w:rPr>
              <w:fldChar w:fldCharType="begin"/>
            </w:r>
            <w:r w:rsidR="00CA3F52">
              <w:rPr>
                <w:noProof/>
                <w:webHidden/>
              </w:rPr>
              <w:instrText xml:space="preserve"> PAGEREF _Toc30151594 \h </w:instrText>
            </w:r>
            <w:r w:rsidR="00CA3F52">
              <w:rPr>
                <w:noProof/>
                <w:webHidden/>
              </w:rPr>
            </w:r>
            <w:r w:rsidR="00CA3F52">
              <w:rPr>
                <w:noProof/>
                <w:webHidden/>
              </w:rPr>
              <w:fldChar w:fldCharType="separate"/>
            </w:r>
            <w:r w:rsidR="00CA3F52">
              <w:rPr>
                <w:noProof/>
                <w:webHidden/>
              </w:rPr>
              <w:t>17</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95" w:history="1">
            <w:r w:rsidR="00CA3F52" w:rsidRPr="00821E3F">
              <w:rPr>
                <w:rStyle w:val="Hyperlink"/>
                <w:noProof/>
              </w:rPr>
              <w:t>Bibliography</w:t>
            </w:r>
            <w:r w:rsidR="00CA3F52">
              <w:rPr>
                <w:noProof/>
                <w:webHidden/>
              </w:rPr>
              <w:tab/>
            </w:r>
            <w:r w:rsidR="00CA3F52">
              <w:rPr>
                <w:noProof/>
                <w:webHidden/>
              </w:rPr>
              <w:fldChar w:fldCharType="begin"/>
            </w:r>
            <w:r w:rsidR="00CA3F52">
              <w:rPr>
                <w:noProof/>
                <w:webHidden/>
              </w:rPr>
              <w:instrText xml:space="preserve"> PAGEREF _Toc30151595 \h </w:instrText>
            </w:r>
            <w:r w:rsidR="00CA3F52">
              <w:rPr>
                <w:noProof/>
                <w:webHidden/>
              </w:rPr>
            </w:r>
            <w:r w:rsidR="00CA3F52">
              <w:rPr>
                <w:noProof/>
                <w:webHidden/>
              </w:rPr>
              <w:fldChar w:fldCharType="separate"/>
            </w:r>
            <w:r w:rsidR="00CA3F52">
              <w:rPr>
                <w:noProof/>
                <w:webHidden/>
              </w:rPr>
              <w:t>19</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96" w:history="1">
            <w:r w:rsidR="00CA3F52" w:rsidRPr="00821E3F">
              <w:rPr>
                <w:rStyle w:val="Hyperlink"/>
                <w:noProof/>
              </w:rPr>
              <w:t>Appendix 1</w:t>
            </w:r>
            <w:r w:rsidR="00CA3F52">
              <w:rPr>
                <w:noProof/>
                <w:webHidden/>
              </w:rPr>
              <w:tab/>
            </w:r>
            <w:r w:rsidR="00CA3F52">
              <w:rPr>
                <w:noProof/>
                <w:webHidden/>
              </w:rPr>
              <w:fldChar w:fldCharType="begin"/>
            </w:r>
            <w:r w:rsidR="00CA3F52">
              <w:rPr>
                <w:noProof/>
                <w:webHidden/>
              </w:rPr>
              <w:instrText xml:space="preserve"> PAGEREF _Toc30151596 \h </w:instrText>
            </w:r>
            <w:r w:rsidR="00CA3F52">
              <w:rPr>
                <w:noProof/>
                <w:webHidden/>
              </w:rPr>
            </w:r>
            <w:r w:rsidR="00CA3F52">
              <w:rPr>
                <w:noProof/>
                <w:webHidden/>
              </w:rPr>
              <w:fldChar w:fldCharType="separate"/>
            </w:r>
            <w:r w:rsidR="00CA3F52">
              <w:rPr>
                <w:noProof/>
                <w:webHidden/>
              </w:rPr>
              <w:t>21</w:t>
            </w:r>
            <w:r w:rsidR="00CA3F52">
              <w:rPr>
                <w:noProof/>
                <w:webHidden/>
              </w:rPr>
              <w:fldChar w:fldCharType="end"/>
            </w:r>
          </w:hyperlink>
        </w:p>
        <w:p w:rsidR="00CA3F52" w:rsidRDefault="008528CB">
          <w:pPr>
            <w:pStyle w:val="TOC1"/>
            <w:tabs>
              <w:tab w:val="right" w:leader="dot" w:pos="9736"/>
            </w:tabs>
            <w:rPr>
              <w:rFonts w:eastAsiaTheme="minorEastAsia"/>
              <w:noProof/>
              <w:lang w:eastAsia="en-GB"/>
            </w:rPr>
          </w:pPr>
          <w:hyperlink w:anchor="_Toc30151597" w:history="1">
            <w:r w:rsidR="00CA3F52" w:rsidRPr="00821E3F">
              <w:rPr>
                <w:rStyle w:val="Hyperlink"/>
                <w:noProof/>
              </w:rPr>
              <w:t>Appendix 2</w:t>
            </w:r>
            <w:r w:rsidR="00CA3F52">
              <w:rPr>
                <w:noProof/>
                <w:webHidden/>
              </w:rPr>
              <w:tab/>
            </w:r>
            <w:r w:rsidR="00CA3F52">
              <w:rPr>
                <w:noProof/>
                <w:webHidden/>
              </w:rPr>
              <w:fldChar w:fldCharType="begin"/>
            </w:r>
            <w:r w:rsidR="00CA3F52">
              <w:rPr>
                <w:noProof/>
                <w:webHidden/>
              </w:rPr>
              <w:instrText xml:space="preserve"> PAGEREF _Toc30151597 \h </w:instrText>
            </w:r>
            <w:r w:rsidR="00CA3F52">
              <w:rPr>
                <w:noProof/>
                <w:webHidden/>
              </w:rPr>
            </w:r>
            <w:r w:rsidR="00CA3F52">
              <w:rPr>
                <w:noProof/>
                <w:webHidden/>
              </w:rPr>
              <w:fldChar w:fldCharType="separate"/>
            </w:r>
            <w:r w:rsidR="00CA3F52">
              <w:rPr>
                <w:noProof/>
                <w:webHidden/>
              </w:rPr>
              <w:t>27</w:t>
            </w:r>
            <w:r w:rsidR="00CA3F52">
              <w:rPr>
                <w:noProof/>
                <w:webHidden/>
              </w:rPr>
              <w:fldChar w:fldCharType="end"/>
            </w:r>
          </w:hyperlink>
        </w:p>
        <w:p w:rsidR="00206EBE" w:rsidRDefault="00206EBE">
          <w:r>
            <w:rPr>
              <w:b/>
              <w:bCs/>
              <w:noProof/>
            </w:rPr>
            <w:fldChar w:fldCharType="end"/>
          </w:r>
        </w:p>
      </w:sdtContent>
    </w:sdt>
    <w:p w:rsidR="00242164" w:rsidRDefault="00242164" w:rsidP="002F5925">
      <w:pPr>
        <w:spacing w:line="360" w:lineRule="auto"/>
        <w:rPr>
          <w:sz w:val="24"/>
          <w:szCs w:val="24"/>
        </w:rPr>
      </w:pPr>
    </w:p>
    <w:p w:rsidR="00242164" w:rsidRDefault="00242164" w:rsidP="002F5925">
      <w:pPr>
        <w:spacing w:line="360" w:lineRule="auto"/>
        <w:rPr>
          <w:sz w:val="24"/>
          <w:szCs w:val="24"/>
        </w:rPr>
      </w:pPr>
    </w:p>
    <w:p w:rsidR="00242164" w:rsidRDefault="00242164" w:rsidP="002F5925">
      <w:pPr>
        <w:spacing w:line="360" w:lineRule="auto"/>
        <w:rPr>
          <w:sz w:val="24"/>
          <w:szCs w:val="24"/>
        </w:rPr>
      </w:pPr>
    </w:p>
    <w:p w:rsidR="00C7636C" w:rsidRDefault="002A08FB" w:rsidP="00415536">
      <w:pPr>
        <w:pStyle w:val="Heading1"/>
        <w:spacing w:after="100" w:afterAutospacing="1"/>
      </w:pPr>
      <w:bookmarkStart w:id="0" w:name="_Toc30151570"/>
      <w:r>
        <w:lastRenderedPageBreak/>
        <w:t>Part A</w:t>
      </w:r>
      <w:r w:rsidR="00242164">
        <w:t xml:space="preserve">: </w:t>
      </w:r>
      <w:r w:rsidR="001B70C2" w:rsidRPr="0073699A">
        <w:t>Introduction</w:t>
      </w:r>
      <w:bookmarkEnd w:id="0"/>
    </w:p>
    <w:p w:rsidR="0073699A" w:rsidRDefault="009E5623" w:rsidP="002F5925">
      <w:pPr>
        <w:spacing w:line="360" w:lineRule="auto"/>
        <w:jc w:val="both"/>
        <w:rPr>
          <w:sz w:val="24"/>
          <w:szCs w:val="24"/>
        </w:rPr>
      </w:pPr>
      <w:r>
        <w:rPr>
          <w:sz w:val="24"/>
          <w:szCs w:val="24"/>
        </w:rPr>
        <w:t>In this report</w:t>
      </w:r>
      <w:r w:rsidR="003B7992" w:rsidRPr="003B7992">
        <w:rPr>
          <w:sz w:val="24"/>
          <w:szCs w:val="24"/>
        </w:rPr>
        <w:t>, we are going to describe the financial state of Unilever plc analysing and interpreting the most important financial ratios in the period 2014 - 2018. Also, the coefficients from 2018 will be compared with the results obtained by Procter &amp; Gamble, which is one of the top Unilever's competitors, in the same year.</w:t>
      </w:r>
      <w:r w:rsidR="003B7992">
        <w:rPr>
          <w:sz w:val="24"/>
          <w:szCs w:val="24"/>
        </w:rPr>
        <w:t xml:space="preserve"> </w:t>
      </w:r>
      <w:r w:rsidR="0073699A" w:rsidRPr="0073699A">
        <w:rPr>
          <w:sz w:val="24"/>
          <w:szCs w:val="24"/>
        </w:rPr>
        <w:t>Unilever is co-located</w:t>
      </w:r>
      <w:r w:rsidR="00AF4E96">
        <w:rPr>
          <w:sz w:val="24"/>
          <w:szCs w:val="24"/>
        </w:rPr>
        <w:t xml:space="preserve"> </w:t>
      </w:r>
      <w:r w:rsidR="0073699A" w:rsidRPr="0073699A">
        <w:rPr>
          <w:sz w:val="24"/>
          <w:szCs w:val="24"/>
        </w:rPr>
        <w:t>in London, United Kingdom, and Rotterdam, Netherlands, a transnational British-Dutch consumer goods business. The products include food and drink, cleaners, beauty products and personal care products (around 40% of their revenue). It is the 7th most valuable company in Europe</w:t>
      </w:r>
      <w:r w:rsidR="0010741C">
        <w:rPr>
          <w:sz w:val="24"/>
          <w:szCs w:val="24"/>
        </w:rPr>
        <w:t xml:space="preserve"> </w:t>
      </w:r>
      <w:sdt>
        <w:sdtPr>
          <w:rPr>
            <w:sz w:val="24"/>
            <w:szCs w:val="24"/>
          </w:rPr>
          <w:id w:val="1953819268"/>
          <w:citation/>
        </w:sdtPr>
        <w:sdtEndPr/>
        <w:sdtContent>
          <w:r w:rsidR="0010741C">
            <w:rPr>
              <w:sz w:val="24"/>
              <w:szCs w:val="24"/>
            </w:rPr>
            <w:fldChar w:fldCharType="begin"/>
          </w:r>
          <w:r w:rsidR="0010741C">
            <w:rPr>
              <w:sz w:val="24"/>
              <w:szCs w:val="24"/>
            </w:rPr>
            <w:instrText xml:space="preserve"> CITATION Sta191 \l 2057 </w:instrText>
          </w:r>
          <w:r w:rsidR="0010741C">
            <w:rPr>
              <w:sz w:val="24"/>
              <w:szCs w:val="24"/>
            </w:rPr>
            <w:fldChar w:fldCharType="separate"/>
          </w:r>
          <w:r w:rsidR="00C1213C" w:rsidRPr="00C1213C">
            <w:rPr>
              <w:noProof/>
              <w:sz w:val="24"/>
              <w:szCs w:val="24"/>
            </w:rPr>
            <w:t>(Statista, 2019)</w:t>
          </w:r>
          <w:r w:rsidR="0010741C">
            <w:rPr>
              <w:sz w:val="24"/>
              <w:szCs w:val="24"/>
            </w:rPr>
            <w:fldChar w:fldCharType="end"/>
          </w:r>
        </w:sdtContent>
      </w:sdt>
      <w:r w:rsidR="0073699A" w:rsidRPr="0073699A">
        <w:rPr>
          <w:sz w:val="24"/>
          <w:szCs w:val="24"/>
        </w:rPr>
        <w:t>. Unilever is one of the largest multinationals wit</w:t>
      </w:r>
      <w:r w:rsidR="00AF4E96">
        <w:rPr>
          <w:sz w:val="24"/>
          <w:szCs w:val="24"/>
        </w:rPr>
        <w:t>h goods in nearly 190 countries</w:t>
      </w:r>
      <w:sdt>
        <w:sdtPr>
          <w:rPr>
            <w:sz w:val="24"/>
            <w:szCs w:val="24"/>
          </w:rPr>
          <w:id w:val="-1468812953"/>
          <w:citation/>
        </w:sdtPr>
        <w:sdtEndPr/>
        <w:sdtContent>
          <w:r w:rsidR="00AF4E96">
            <w:rPr>
              <w:sz w:val="24"/>
              <w:szCs w:val="24"/>
            </w:rPr>
            <w:fldChar w:fldCharType="begin"/>
          </w:r>
          <w:r w:rsidR="00AF4E96">
            <w:rPr>
              <w:sz w:val="24"/>
              <w:szCs w:val="24"/>
            </w:rPr>
            <w:instrText xml:space="preserve"> CITATION Uni19 \l 2057 </w:instrText>
          </w:r>
          <w:r w:rsidR="00AF4E96">
            <w:rPr>
              <w:sz w:val="24"/>
              <w:szCs w:val="24"/>
            </w:rPr>
            <w:fldChar w:fldCharType="separate"/>
          </w:r>
          <w:r w:rsidR="00C1213C">
            <w:rPr>
              <w:noProof/>
              <w:sz w:val="24"/>
              <w:szCs w:val="24"/>
            </w:rPr>
            <w:t xml:space="preserve"> </w:t>
          </w:r>
          <w:r w:rsidR="00C1213C" w:rsidRPr="00C1213C">
            <w:rPr>
              <w:noProof/>
              <w:sz w:val="24"/>
              <w:szCs w:val="24"/>
            </w:rPr>
            <w:t>(Unilever, 2019)</w:t>
          </w:r>
          <w:r w:rsidR="00AF4E96">
            <w:rPr>
              <w:sz w:val="24"/>
              <w:szCs w:val="24"/>
            </w:rPr>
            <w:fldChar w:fldCharType="end"/>
          </w:r>
        </w:sdtContent>
      </w:sdt>
      <w:r w:rsidR="00AF4E96">
        <w:rPr>
          <w:sz w:val="24"/>
          <w:szCs w:val="24"/>
        </w:rPr>
        <w:t>.</w:t>
      </w:r>
    </w:p>
    <w:p w:rsidR="00AF4E96" w:rsidRDefault="00022CFE" w:rsidP="00415536">
      <w:pPr>
        <w:pStyle w:val="Heading2"/>
        <w:spacing w:after="100" w:afterAutospacing="1"/>
      </w:pPr>
      <w:bookmarkStart w:id="1" w:name="_Toc30151571"/>
      <w:r>
        <w:t>Business model</w:t>
      </w:r>
      <w:bookmarkEnd w:id="1"/>
    </w:p>
    <w:p w:rsidR="00022CFE" w:rsidRDefault="00022CFE" w:rsidP="002F5925">
      <w:pPr>
        <w:spacing w:line="360" w:lineRule="auto"/>
        <w:jc w:val="both"/>
        <w:rPr>
          <w:sz w:val="24"/>
          <w:szCs w:val="24"/>
        </w:rPr>
      </w:pPr>
      <w:r w:rsidRPr="00022CFE">
        <w:rPr>
          <w:sz w:val="24"/>
          <w:szCs w:val="24"/>
        </w:rPr>
        <w:t>The traditional strategy of Unilever offers a competitive advantage by addressing the unique needs and preferences of customers. Common approaches are used in this business model to guarantee business growth and stability by the company</w:t>
      </w:r>
      <w:r>
        <w:rPr>
          <w:sz w:val="24"/>
          <w:szCs w:val="24"/>
        </w:rPr>
        <w:t xml:space="preserve"> </w:t>
      </w:r>
      <w:sdt>
        <w:sdtPr>
          <w:rPr>
            <w:sz w:val="24"/>
            <w:szCs w:val="24"/>
          </w:rPr>
          <w:id w:val="-1731997200"/>
          <w:citation/>
        </w:sdtPr>
        <w:sdtEndPr/>
        <w:sdtContent>
          <w:r>
            <w:rPr>
              <w:sz w:val="24"/>
              <w:szCs w:val="24"/>
            </w:rPr>
            <w:fldChar w:fldCharType="begin"/>
          </w:r>
          <w:r>
            <w:rPr>
              <w:sz w:val="24"/>
              <w:szCs w:val="24"/>
            </w:rPr>
            <w:instrText xml:space="preserve"> CITATION Por08 \l 2057 </w:instrText>
          </w:r>
          <w:r>
            <w:rPr>
              <w:sz w:val="24"/>
              <w:szCs w:val="24"/>
            </w:rPr>
            <w:fldChar w:fldCharType="separate"/>
          </w:r>
          <w:r w:rsidR="00C1213C" w:rsidRPr="00C1213C">
            <w:rPr>
              <w:noProof/>
              <w:sz w:val="24"/>
              <w:szCs w:val="24"/>
            </w:rPr>
            <w:t>(Porter, 2008)</w:t>
          </w:r>
          <w:r>
            <w:rPr>
              <w:sz w:val="24"/>
              <w:szCs w:val="24"/>
            </w:rPr>
            <w:fldChar w:fldCharType="end"/>
          </w:r>
        </w:sdtContent>
      </w:sdt>
      <w:r w:rsidRPr="00022CFE">
        <w:rPr>
          <w:sz w:val="24"/>
          <w:szCs w:val="24"/>
        </w:rPr>
        <w:t xml:space="preserve">. </w:t>
      </w:r>
      <w:r w:rsidR="00BE10F6" w:rsidRPr="00BE10F6">
        <w:rPr>
          <w:sz w:val="24"/>
          <w:szCs w:val="24"/>
        </w:rPr>
        <w:t xml:space="preserve">For Unilever, the competitive edge is focused on approaches to product development that incorporate analysis to meet the demands of the consumer. Therefore, by combining intensive strategies, the business maintains its growth. Unilever moves its priority on the condition of the consumer products market in its intensive growth strategies. Unilever's continuous success in global operations is ensured by the combination of such a generic competitive strategy and </w:t>
      </w:r>
      <w:r w:rsidR="00BE10F6">
        <w:rPr>
          <w:sz w:val="24"/>
          <w:szCs w:val="24"/>
        </w:rPr>
        <w:t xml:space="preserve">intensive strategies for growth </w:t>
      </w:r>
      <w:sdt>
        <w:sdtPr>
          <w:rPr>
            <w:sz w:val="24"/>
            <w:szCs w:val="24"/>
          </w:rPr>
          <w:id w:val="2078555996"/>
          <w:citation/>
        </w:sdtPr>
        <w:sdtEndPr/>
        <w:sdtContent>
          <w:r>
            <w:rPr>
              <w:sz w:val="24"/>
              <w:szCs w:val="24"/>
            </w:rPr>
            <w:fldChar w:fldCharType="begin"/>
          </w:r>
          <w:r>
            <w:rPr>
              <w:sz w:val="24"/>
              <w:szCs w:val="24"/>
            </w:rPr>
            <w:instrText xml:space="preserve"> CITATION You17 \l 2057 </w:instrText>
          </w:r>
          <w:r>
            <w:rPr>
              <w:sz w:val="24"/>
              <w:szCs w:val="24"/>
            </w:rPr>
            <w:fldChar w:fldCharType="separate"/>
          </w:r>
          <w:r w:rsidR="00C1213C" w:rsidRPr="00C1213C">
            <w:rPr>
              <w:noProof/>
              <w:sz w:val="24"/>
              <w:szCs w:val="24"/>
            </w:rPr>
            <w:t>(Young, 2017)</w:t>
          </w:r>
          <w:r>
            <w:rPr>
              <w:sz w:val="24"/>
              <w:szCs w:val="24"/>
            </w:rPr>
            <w:fldChar w:fldCharType="end"/>
          </w:r>
        </w:sdtContent>
      </w:sdt>
      <w:r w:rsidR="00BE10F6">
        <w:rPr>
          <w:sz w:val="24"/>
          <w:szCs w:val="24"/>
        </w:rPr>
        <w:t>.</w:t>
      </w:r>
    </w:p>
    <w:p w:rsidR="00AF4E96" w:rsidRDefault="00A948AA" w:rsidP="00415536">
      <w:pPr>
        <w:pStyle w:val="Heading2"/>
        <w:spacing w:after="100" w:afterAutospacing="1"/>
      </w:pPr>
      <w:bookmarkStart w:id="2" w:name="_Toc30151572"/>
      <w:r>
        <w:t>Market place and the main competitors</w:t>
      </w:r>
      <w:bookmarkEnd w:id="2"/>
    </w:p>
    <w:p w:rsidR="00AF4E96" w:rsidRDefault="00011E5C" w:rsidP="002F5925">
      <w:pPr>
        <w:spacing w:line="360" w:lineRule="auto"/>
        <w:jc w:val="both"/>
        <w:rPr>
          <w:sz w:val="24"/>
          <w:szCs w:val="24"/>
        </w:rPr>
      </w:pPr>
      <w:r w:rsidRPr="00011E5C">
        <w:rPr>
          <w:sz w:val="24"/>
          <w:szCs w:val="24"/>
        </w:rPr>
        <w:t>Knorr, Dove, Axe and Lipton are some of Unilever's most famous brands. The U</w:t>
      </w:r>
      <w:r w:rsidR="000D562D">
        <w:rPr>
          <w:sz w:val="24"/>
          <w:szCs w:val="24"/>
        </w:rPr>
        <w:t>nilever Group was listed in 2018</w:t>
      </w:r>
      <w:r w:rsidRPr="00011E5C">
        <w:rPr>
          <w:sz w:val="24"/>
          <w:szCs w:val="24"/>
        </w:rPr>
        <w:t xml:space="preserve"> as the world's fourth-largest sales company, FMCG</w:t>
      </w:r>
      <w:r w:rsidR="000D562D">
        <w:rPr>
          <w:sz w:val="24"/>
          <w:szCs w:val="24"/>
        </w:rPr>
        <w:t xml:space="preserve"> with net sales of 60.12 million USD</w:t>
      </w:r>
      <w:r>
        <w:rPr>
          <w:sz w:val="24"/>
          <w:szCs w:val="24"/>
        </w:rPr>
        <w:t xml:space="preserve"> </w:t>
      </w:r>
      <w:sdt>
        <w:sdtPr>
          <w:rPr>
            <w:sz w:val="24"/>
            <w:szCs w:val="24"/>
          </w:rPr>
          <w:id w:val="110401649"/>
          <w:citation/>
        </w:sdtPr>
        <w:sdtEndPr/>
        <w:sdtContent>
          <w:r>
            <w:rPr>
              <w:sz w:val="24"/>
              <w:szCs w:val="24"/>
            </w:rPr>
            <w:fldChar w:fldCharType="begin"/>
          </w:r>
          <w:r>
            <w:rPr>
              <w:sz w:val="24"/>
              <w:szCs w:val="24"/>
            </w:rPr>
            <w:instrText xml:space="preserve"> CITATION Sta191 \l 2057 </w:instrText>
          </w:r>
          <w:r>
            <w:rPr>
              <w:sz w:val="24"/>
              <w:szCs w:val="24"/>
            </w:rPr>
            <w:fldChar w:fldCharType="separate"/>
          </w:r>
          <w:r w:rsidR="00C1213C" w:rsidRPr="00C1213C">
            <w:rPr>
              <w:noProof/>
              <w:sz w:val="24"/>
              <w:szCs w:val="24"/>
            </w:rPr>
            <w:t>(Statista, 2019)</w:t>
          </w:r>
          <w:r>
            <w:rPr>
              <w:sz w:val="24"/>
              <w:szCs w:val="24"/>
            </w:rPr>
            <w:fldChar w:fldCharType="end"/>
          </w:r>
        </w:sdtContent>
      </w:sdt>
      <w:r w:rsidRPr="00011E5C">
        <w:rPr>
          <w:sz w:val="24"/>
          <w:szCs w:val="24"/>
        </w:rPr>
        <w:t>.</w:t>
      </w:r>
      <w:r w:rsidR="000D562D">
        <w:rPr>
          <w:sz w:val="24"/>
          <w:szCs w:val="24"/>
        </w:rPr>
        <w:t xml:space="preserve"> </w:t>
      </w:r>
      <w:r w:rsidR="000D562D" w:rsidRPr="000D562D">
        <w:rPr>
          <w:sz w:val="24"/>
          <w:szCs w:val="24"/>
        </w:rPr>
        <w:t>In comparison, in 2018, Procter</w:t>
      </w:r>
      <w:r w:rsidR="000D562D">
        <w:rPr>
          <w:sz w:val="24"/>
          <w:szCs w:val="24"/>
        </w:rPr>
        <w:t xml:space="preserve"> </w:t>
      </w:r>
      <w:r w:rsidR="000D562D" w:rsidRPr="000D562D">
        <w:rPr>
          <w:sz w:val="24"/>
          <w:szCs w:val="24"/>
        </w:rPr>
        <w:t>&amp;</w:t>
      </w:r>
      <w:r w:rsidR="000D562D">
        <w:rPr>
          <w:sz w:val="24"/>
          <w:szCs w:val="24"/>
        </w:rPr>
        <w:t xml:space="preserve"> </w:t>
      </w:r>
      <w:r w:rsidR="000D562D" w:rsidRPr="000D562D">
        <w:rPr>
          <w:sz w:val="24"/>
          <w:szCs w:val="24"/>
        </w:rPr>
        <w:t>Gamble was listed as the world's second largest consumer goods company with net sales of approximately USD 60.34 billion</w:t>
      </w:r>
      <w:r w:rsidR="000D562D">
        <w:rPr>
          <w:sz w:val="24"/>
          <w:szCs w:val="24"/>
        </w:rPr>
        <w:t xml:space="preserve"> </w:t>
      </w:r>
      <w:sdt>
        <w:sdtPr>
          <w:rPr>
            <w:sz w:val="24"/>
            <w:szCs w:val="24"/>
          </w:rPr>
          <w:id w:val="-273472250"/>
          <w:citation/>
        </w:sdtPr>
        <w:sdtEndPr/>
        <w:sdtContent>
          <w:r w:rsidR="000D562D">
            <w:rPr>
              <w:sz w:val="24"/>
              <w:szCs w:val="24"/>
            </w:rPr>
            <w:fldChar w:fldCharType="begin"/>
          </w:r>
          <w:r w:rsidR="000D562D">
            <w:rPr>
              <w:sz w:val="24"/>
              <w:szCs w:val="24"/>
            </w:rPr>
            <w:instrText xml:space="preserve"> CITATION Sta191 \l 2057 </w:instrText>
          </w:r>
          <w:r w:rsidR="000D562D">
            <w:rPr>
              <w:sz w:val="24"/>
              <w:szCs w:val="24"/>
            </w:rPr>
            <w:fldChar w:fldCharType="separate"/>
          </w:r>
          <w:r w:rsidR="00C1213C" w:rsidRPr="00C1213C">
            <w:rPr>
              <w:noProof/>
              <w:sz w:val="24"/>
              <w:szCs w:val="24"/>
            </w:rPr>
            <w:t>(Statista, 2019)</w:t>
          </w:r>
          <w:r w:rsidR="000D562D">
            <w:rPr>
              <w:sz w:val="24"/>
              <w:szCs w:val="24"/>
            </w:rPr>
            <w:fldChar w:fldCharType="end"/>
          </w:r>
        </w:sdtContent>
      </w:sdt>
      <w:r w:rsidR="000D562D" w:rsidRPr="000D562D">
        <w:rPr>
          <w:sz w:val="24"/>
          <w:szCs w:val="24"/>
        </w:rPr>
        <w:t>.</w:t>
      </w:r>
      <w:r w:rsidRPr="00011E5C">
        <w:rPr>
          <w:sz w:val="24"/>
          <w:szCs w:val="24"/>
        </w:rPr>
        <w:t xml:space="preserve"> Unilever's overall global media perception is positive, and the business is often portra</w:t>
      </w:r>
      <w:r>
        <w:rPr>
          <w:sz w:val="24"/>
          <w:szCs w:val="24"/>
        </w:rPr>
        <w:t xml:space="preserve">yed as responsible and creative </w:t>
      </w:r>
      <w:sdt>
        <w:sdtPr>
          <w:rPr>
            <w:sz w:val="24"/>
            <w:szCs w:val="24"/>
          </w:rPr>
          <w:id w:val="-160318333"/>
          <w:citation/>
        </w:sdtPr>
        <w:sdtEndPr/>
        <w:sdtContent>
          <w:r>
            <w:rPr>
              <w:sz w:val="24"/>
              <w:szCs w:val="24"/>
            </w:rPr>
            <w:fldChar w:fldCharType="begin"/>
          </w:r>
          <w:r>
            <w:rPr>
              <w:sz w:val="24"/>
              <w:szCs w:val="24"/>
            </w:rPr>
            <w:instrText xml:space="preserve"> CITATION Uni19 \l 2057 </w:instrText>
          </w:r>
          <w:r>
            <w:rPr>
              <w:sz w:val="24"/>
              <w:szCs w:val="24"/>
            </w:rPr>
            <w:fldChar w:fldCharType="separate"/>
          </w:r>
          <w:r w:rsidR="00C1213C" w:rsidRPr="00C1213C">
            <w:rPr>
              <w:noProof/>
              <w:sz w:val="24"/>
              <w:szCs w:val="24"/>
            </w:rPr>
            <w:t>(Unilever, 2019)</w:t>
          </w:r>
          <w:r>
            <w:rPr>
              <w:sz w:val="24"/>
              <w:szCs w:val="24"/>
            </w:rPr>
            <w:fldChar w:fldCharType="end"/>
          </w:r>
        </w:sdtContent>
      </w:sdt>
      <w:r>
        <w:rPr>
          <w:sz w:val="24"/>
          <w:szCs w:val="24"/>
        </w:rPr>
        <w:t>.</w:t>
      </w:r>
      <w:r w:rsidR="008443E5">
        <w:rPr>
          <w:sz w:val="24"/>
          <w:szCs w:val="24"/>
        </w:rPr>
        <w:t xml:space="preserve"> </w:t>
      </w:r>
      <w:r w:rsidR="008443E5" w:rsidRPr="008443E5">
        <w:rPr>
          <w:sz w:val="24"/>
          <w:szCs w:val="24"/>
        </w:rPr>
        <w:t xml:space="preserve">Colgate Palmolive, Kimberly, Procter &amp; Gamble, Kerry, Nestlé, </w:t>
      </w:r>
      <w:proofErr w:type="spellStart"/>
      <w:r w:rsidR="008443E5" w:rsidRPr="008443E5">
        <w:rPr>
          <w:sz w:val="24"/>
          <w:szCs w:val="24"/>
        </w:rPr>
        <w:t>Mondelez</w:t>
      </w:r>
      <w:proofErr w:type="spellEnd"/>
      <w:r w:rsidR="008443E5" w:rsidRPr="008443E5">
        <w:rPr>
          <w:sz w:val="24"/>
          <w:szCs w:val="24"/>
        </w:rPr>
        <w:t xml:space="preserve"> International, Johnson &amp; Johnson, Newell Brands, Reckitt Benckiser, </w:t>
      </w:r>
      <w:proofErr w:type="spellStart"/>
      <w:r w:rsidR="008443E5" w:rsidRPr="008443E5">
        <w:rPr>
          <w:sz w:val="24"/>
          <w:szCs w:val="24"/>
        </w:rPr>
        <w:t>Edgewell</w:t>
      </w:r>
      <w:proofErr w:type="spellEnd"/>
      <w:r w:rsidR="008443E5" w:rsidRPr="008443E5">
        <w:rPr>
          <w:sz w:val="24"/>
          <w:szCs w:val="24"/>
        </w:rPr>
        <w:t xml:space="preserve"> Staff Care and Estee Lauder are som</w:t>
      </w:r>
      <w:r w:rsidR="008443E5">
        <w:rPr>
          <w:sz w:val="24"/>
          <w:szCs w:val="24"/>
        </w:rPr>
        <w:t xml:space="preserve">e of Unilever's top competitors </w:t>
      </w:r>
      <w:sdt>
        <w:sdtPr>
          <w:rPr>
            <w:sz w:val="24"/>
            <w:szCs w:val="24"/>
          </w:rPr>
          <w:id w:val="-1462341352"/>
          <w:citation/>
        </w:sdtPr>
        <w:sdtEndPr/>
        <w:sdtContent>
          <w:r w:rsidR="008443E5">
            <w:rPr>
              <w:sz w:val="24"/>
              <w:szCs w:val="24"/>
            </w:rPr>
            <w:fldChar w:fldCharType="begin"/>
          </w:r>
          <w:r w:rsidR="008443E5">
            <w:rPr>
              <w:sz w:val="24"/>
              <w:szCs w:val="24"/>
            </w:rPr>
            <w:instrText xml:space="preserve"> CITATION Cra19 \l 2057 </w:instrText>
          </w:r>
          <w:r w:rsidR="008443E5">
            <w:rPr>
              <w:sz w:val="24"/>
              <w:szCs w:val="24"/>
            </w:rPr>
            <w:fldChar w:fldCharType="separate"/>
          </w:r>
          <w:r w:rsidR="00C1213C" w:rsidRPr="00C1213C">
            <w:rPr>
              <w:noProof/>
              <w:sz w:val="24"/>
              <w:szCs w:val="24"/>
            </w:rPr>
            <w:t>(Craft, 2019)</w:t>
          </w:r>
          <w:r w:rsidR="008443E5">
            <w:rPr>
              <w:sz w:val="24"/>
              <w:szCs w:val="24"/>
            </w:rPr>
            <w:fldChar w:fldCharType="end"/>
          </w:r>
        </w:sdtContent>
      </w:sdt>
      <w:r w:rsidR="008443E5">
        <w:rPr>
          <w:sz w:val="24"/>
          <w:szCs w:val="24"/>
        </w:rPr>
        <w:t>.</w:t>
      </w:r>
      <w:r w:rsidR="004010ED">
        <w:rPr>
          <w:sz w:val="24"/>
          <w:szCs w:val="24"/>
        </w:rPr>
        <w:t xml:space="preserve"> </w:t>
      </w:r>
      <w:r w:rsidR="004010ED" w:rsidRPr="004010ED">
        <w:rPr>
          <w:sz w:val="24"/>
          <w:szCs w:val="24"/>
        </w:rPr>
        <w:t>The Unilever brand in 2019 was valued at around US$ 4.16 billion. In contrast, the valuation f</w:t>
      </w:r>
      <w:r w:rsidR="004010ED">
        <w:rPr>
          <w:sz w:val="24"/>
          <w:szCs w:val="24"/>
        </w:rPr>
        <w:t xml:space="preserve">or the brand was US 1.9 billion in 2012 </w:t>
      </w:r>
      <w:sdt>
        <w:sdtPr>
          <w:rPr>
            <w:sz w:val="24"/>
            <w:szCs w:val="24"/>
          </w:rPr>
          <w:id w:val="-2102023418"/>
          <w:citation/>
        </w:sdtPr>
        <w:sdtEndPr/>
        <w:sdtContent>
          <w:r w:rsidR="004010ED">
            <w:rPr>
              <w:sz w:val="24"/>
              <w:szCs w:val="24"/>
            </w:rPr>
            <w:fldChar w:fldCharType="begin"/>
          </w:r>
          <w:r w:rsidR="004010ED">
            <w:rPr>
              <w:sz w:val="24"/>
              <w:szCs w:val="24"/>
            </w:rPr>
            <w:instrText xml:space="preserve"> CITATION Sta192 \l 2057 </w:instrText>
          </w:r>
          <w:r w:rsidR="004010ED">
            <w:rPr>
              <w:sz w:val="24"/>
              <w:szCs w:val="24"/>
            </w:rPr>
            <w:fldChar w:fldCharType="separate"/>
          </w:r>
          <w:r w:rsidR="00C1213C" w:rsidRPr="00C1213C">
            <w:rPr>
              <w:noProof/>
              <w:sz w:val="24"/>
              <w:szCs w:val="24"/>
            </w:rPr>
            <w:t>(Statista, 2019)</w:t>
          </w:r>
          <w:r w:rsidR="004010ED">
            <w:rPr>
              <w:sz w:val="24"/>
              <w:szCs w:val="24"/>
            </w:rPr>
            <w:fldChar w:fldCharType="end"/>
          </w:r>
        </w:sdtContent>
      </w:sdt>
      <w:r w:rsidR="004010ED">
        <w:rPr>
          <w:sz w:val="24"/>
          <w:szCs w:val="24"/>
        </w:rPr>
        <w:t>.</w:t>
      </w:r>
      <w:r w:rsidR="000D562D">
        <w:rPr>
          <w:sz w:val="24"/>
          <w:szCs w:val="24"/>
        </w:rPr>
        <w:t xml:space="preserve"> </w:t>
      </w:r>
    </w:p>
    <w:p w:rsidR="00AF4E96" w:rsidRDefault="00B97B04" w:rsidP="00415536">
      <w:pPr>
        <w:pStyle w:val="Heading2"/>
        <w:spacing w:after="100" w:afterAutospacing="1"/>
      </w:pPr>
      <w:bookmarkStart w:id="3" w:name="_Toc30151573"/>
      <w:r w:rsidRPr="009F1D8A">
        <w:lastRenderedPageBreak/>
        <w:t>Major events 2014 – 2018</w:t>
      </w:r>
      <w:bookmarkEnd w:id="3"/>
    </w:p>
    <w:p w:rsidR="00F92B7E" w:rsidRDefault="00B516B8" w:rsidP="00EC3613">
      <w:pPr>
        <w:spacing w:after="120" w:line="360" w:lineRule="auto"/>
        <w:jc w:val="both"/>
        <w:rPr>
          <w:rFonts w:cstheme="minorHAnsi"/>
          <w:sz w:val="24"/>
          <w:szCs w:val="24"/>
        </w:rPr>
      </w:pPr>
      <w:r>
        <w:rPr>
          <w:rFonts w:cstheme="minorHAnsi"/>
          <w:sz w:val="24"/>
          <w:szCs w:val="24"/>
        </w:rPr>
        <w:t xml:space="preserve"> In the table from Appendix 2 </w:t>
      </w:r>
      <w:r w:rsidR="00E03F43" w:rsidRPr="00E03F43">
        <w:rPr>
          <w:rFonts w:cstheme="minorHAnsi"/>
          <w:sz w:val="24"/>
          <w:szCs w:val="24"/>
        </w:rPr>
        <w:t xml:space="preserve"> are highlighted the most important</w:t>
      </w:r>
      <w:r w:rsidR="00E03F43">
        <w:rPr>
          <w:rFonts w:cstheme="minorHAnsi"/>
          <w:sz w:val="24"/>
          <w:szCs w:val="24"/>
        </w:rPr>
        <w:t xml:space="preserve"> events that influenced the Unile</w:t>
      </w:r>
      <w:r w:rsidR="00E03F43" w:rsidRPr="00E03F43">
        <w:rPr>
          <w:rFonts w:cstheme="minorHAnsi"/>
          <w:sz w:val="24"/>
          <w:szCs w:val="24"/>
        </w:rPr>
        <w:t>ver's financial he</w:t>
      </w:r>
      <w:r w:rsidR="00F26D60">
        <w:rPr>
          <w:rFonts w:cstheme="minorHAnsi"/>
          <w:sz w:val="24"/>
          <w:szCs w:val="24"/>
        </w:rPr>
        <w:t xml:space="preserve">alth during the analysed period </w:t>
      </w:r>
      <w:sdt>
        <w:sdtPr>
          <w:rPr>
            <w:rFonts w:cstheme="minorHAnsi"/>
            <w:sz w:val="24"/>
            <w:szCs w:val="24"/>
          </w:rPr>
          <w:id w:val="-1327971357"/>
          <w:citation/>
        </w:sdtPr>
        <w:sdtEndPr/>
        <w:sdtContent>
          <w:r w:rsidR="00F26D60">
            <w:rPr>
              <w:rFonts w:cstheme="minorHAnsi"/>
              <w:sz w:val="24"/>
              <w:szCs w:val="24"/>
            </w:rPr>
            <w:fldChar w:fldCharType="begin"/>
          </w:r>
          <w:r w:rsidR="00F26D60">
            <w:rPr>
              <w:rFonts w:cstheme="minorHAnsi"/>
              <w:sz w:val="24"/>
              <w:szCs w:val="24"/>
            </w:rPr>
            <w:instrText xml:space="preserve"> CITATION For19 \l 2057 </w:instrText>
          </w:r>
          <w:r w:rsidR="00F26D60">
            <w:rPr>
              <w:rFonts w:cstheme="minorHAnsi"/>
              <w:sz w:val="24"/>
              <w:szCs w:val="24"/>
            </w:rPr>
            <w:fldChar w:fldCharType="separate"/>
          </w:r>
          <w:r w:rsidR="00C1213C" w:rsidRPr="00C1213C">
            <w:rPr>
              <w:rFonts w:cstheme="minorHAnsi"/>
              <w:noProof/>
              <w:sz w:val="24"/>
              <w:szCs w:val="24"/>
            </w:rPr>
            <w:t>(Forbes, 2019)</w:t>
          </w:r>
          <w:r w:rsidR="00F26D60">
            <w:rPr>
              <w:rFonts w:cstheme="minorHAnsi"/>
              <w:sz w:val="24"/>
              <w:szCs w:val="24"/>
            </w:rPr>
            <w:fldChar w:fldCharType="end"/>
          </w:r>
        </w:sdtContent>
      </w:sdt>
      <w:r w:rsidR="00F26D60">
        <w:rPr>
          <w:rFonts w:cstheme="minorHAnsi"/>
          <w:sz w:val="24"/>
          <w:szCs w:val="24"/>
        </w:rPr>
        <w:t>.</w:t>
      </w:r>
      <w:r w:rsidR="00E03F43" w:rsidRPr="00E03F43">
        <w:rPr>
          <w:rFonts w:cstheme="minorHAnsi"/>
          <w:sz w:val="24"/>
          <w:szCs w:val="24"/>
        </w:rPr>
        <w:t xml:space="preserve">  For Procter &amp; Gamble, are mentioned only t</w:t>
      </w:r>
      <w:r w:rsidR="00F26D60">
        <w:rPr>
          <w:rFonts w:cstheme="minorHAnsi"/>
          <w:sz w:val="24"/>
          <w:szCs w:val="24"/>
        </w:rPr>
        <w:t xml:space="preserve">he events from 2018 </w:t>
      </w:r>
      <w:sdt>
        <w:sdtPr>
          <w:rPr>
            <w:rFonts w:cstheme="minorHAnsi"/>
            <w:sz w:val="24"/>
            <w:szCs w:val="24"/>
          </w:rPr>
          <w:id w:val="1202902254"/>
          <w:citation/>
        </w:sdtPr>
        <w:sdtEndPr/>
        <w:sdtContent>
          <w:r w:rsidR="00F26D60">
            <w:rPr>
              <w:rFonts w:cstheme="minorHAnsi"/>
              <w:sz w:val="24"/>
              <w:szCs w:val="24"/>
            </w:rPr>
            <w:fldChar w:fldCharType="begin"/>
          </w:r>
          <w:r w:rsidR="00F26D60">
            <w:rPr>
              <w:rFonts w:cstheme="minorHAnsi"/>
              <w:sz w:val="24"/>
              <w:szCs w:val="24"/>
            </w:rPr>
            <w:instrText xml:space="preserve"> CITATION Dig19 \l 2057 </w:instrText>
          </w:r>
          <w:r w:rsidR="00F26D60">
            <w:rPr>
              <w:rFonts w:cstheme="minorHAnsi"/>
              <w:sz w:val="24"/>
              <w:szCs w:val="24"/>
            </w:rPr>
            <w:fldChar w:fldCharType="separate"/>
          </w:r>
          <w:r w:rsidR="00C1213C" w:rsidRPr="00C1213C">
            <w:rPr>
              <w:rFonts w:cstheme="minorHAnsi"/>
              <w:noProof/>
              <w:sz w:val="24"/>
              <w:szCs w:val="24"/>
            </w:rPr>
            <w:t>(Digiday, 2019)</w:t>
          </w:r>
          <w:r w:rsidR="00F26D60">
            <w:rPr>
              <w:rFonts w:cstheme="minorHAnsi"/>
              <w:sz w:val="24"/>
              <w:szCs w:val="24"/>
            </w:rPr>
            <w:fldChar w:fldCharType="end"/>
          </w:r>
        </w:sdtContent>
      </w:sdt>
      <w:r w:rsidR="00F26D60">
        <w:rPr>
          <w:rFonts w:cstheme="minorHAnsi"/>
          <w:sz w:val="24"/>
          <w:szCs w:val="24"/>
        </w:rPr>
        <w:t>.</w:t>
      </w:r>
      <w:r>
        <w:rPr>
          <w:rFonts w:cstheme="minorHAnsi"/>
          <w:sz w:val="24"/>
          <w:szCs w:val="24"/>
        </w:rPr>
        <w:t xml:space="preserve"> </w:t>
      </w:r>
    </w:p>
    <w:p w:rsidR="00866C83" w:rsidRDefault="002A08FB" w:rsidP="00415536">
      <w:pPr>
        <w:pStyle w:val="Heading1"/>
        <w:spacing w:after="100" w:afterAutospacing="1"/>
      </w:pPr>
      <w:bookmarkStart w:id="4" w:name="_Toc30151574"/>
      <w:r>
        <w:t>Part B</w:t>
      </w:r>
      <w:r w:rsidR="00EC3613">
        <w:t xml:space="preserve">: </w:t>
      </w:r>
      <w:r w:rsidR="009A2213">
        <w:t>Financial analysis</w:t>
      </w:r>
      <w:bookmarkEnd w:id="4"/>
    </w:p>
    <w:p w:rsidR="009A2213" w:rsidRPr="00F26D60" w:rsidRDefault="00731784" w:rsidP="00EC3613">
      <w:pPr>
        <w:spacing w:after="240" w:line="360" w:lineRule="auto"/>
        <w:jc w:val="both"/>
        <w:rPr>
          <w:rFonts w:cstheme="minorHAnsi"/>
          <w:sz w:val="24"/>
          <w:szCs w:val="24"/>
        </w:rPr>
      </w:pPr>
      <w:r w:rsidRPr="00731784">
        <w:rPr>
          <w:rFonts w:cstheme="minorHAnsi"/>
          <w:sz w:val="24"/>
          <w:szCs w:val="24"/>
        </w:rPr>
        <w:t>As it is mentioned in the introduction, we will analyse and interpret the financial ratios using the data provided by Unilever and Procter &amp; Gamble Financial Statements taken from Annual Reports during 2014 - 2018. The results for 2018 will be compared with Procter &amp; Gamble ratios calculated for the same year. The Financial Statements are shown in Appendix 1.</w:t>
      </w:r>
    </w:p>
    <w:p w:rsidR="00086615" w:rsidRPr="00C36247" w:rsidRDefault="009A2213" w:rsidP="00415536">
      <w:pPr>
        <w:pStyle w:val="Heading1"/>
        <w:spacing w:after="100" w:afterAutospacing="1"/>
      </w:pPr>
      <w:bookmarkStart w:id="5" w:name="_Toc30151575"/>
      <w:r w:rsidRPr="00C36247">
        <w:t>Profitability ratios</w:t>
      </w:r>
      <w:bookmarkEnd w:id="5"/>
    </w:p>
    <w:p w:rsidR="00086615" w:rsidRPr="00C36247" w:rsidRDefault="00086615" w:rsidP="00EC3613">
      <w:pPr>
        <w:spacing w:after="0" w:line="360" w:lineRule="auto"/>
        <w:jc w:val="both"/>
        <w:rPr>
          <w:rFonts w:cstheme="minorHAnsi"/>
          <w:sz w:val="24"/>
          <w:szCs w:val="24"/>
        </w:rPr>
      </w:pPr>
      <w:r w:rsidRPr="00C36247">
        <w:rPr>
          <w:rFonts w:cstheme="minorHAnsi"/>
          <w:sz w:val="24"/>
          <w:szCs w:val="24"/>
        </w:rPr>
        <w:t>The profitability ratios consist of a group of metrics which measure the capability of a business to generate revenue in relation to its expenses, operating costs, assets on the balance sheet and equity.</w:t>
      </w:r>
      <w:r w:rsidR="00132AE1" w:rsidRPr="00C36247">
        <w:rPr>
          <w:rFonts w:cstheme="minorHAnsi"/>
          <w:sz w:val="24"/>
          <w:szCs w:val="24"/>
        </w:rPr>
        <w:t xml:space="preserve"> </w:t>
      </w:r>
      <w:r w:rsidRPr="00C36247">
        <w:rPr>
          <w:rFonts w:cstheme="minorHAnsi"/>
          <w:sz w:val="24"/>
          <w:szCs w:val="24"/>
        </w:rPr>
        <w:t>Return on investment also reveals how businesses use their existing assets to generate profit and shareholder value.</w:t>
      </w:r>
      <w:r w:rsidR="00132AE1" w:rsidRPr="00C36247">
        <w:rPr>
          <w:rFonts w:cstheme="minorHAnsi"/>
          <w:sz w:val="24"/>
          <w:szCs w:val="24"/>
        </w:rPr>
        <w:t xml:space="preserve"> </w:t>
      </w:r>
      <w:r w:rsidRPr="00C36247">
        <w:rPr>
          <w:rFonts w:cstheme="minorHAnsi"/>
          <w:sz w:val="24"/>
          <w:szCs w:val="24"/>
        </w:rPr>
        <w:t>Lower ratios often provide better results, but when compared to results from other, similar companies, the company's own historical performance or the average industry, ratios provide much more detail.</w:t>
      </w:r>
    </w:p>
    <w:p w:rsidR="00460075" w:rsidRPr="0019255D" w:rsidRDefault="00086615" w:rsidP="002F5925">
      <w:pPr>
        <w:spacing w:line="360" w:lineRule="auto"/>
        <w:jc w:val="both"/>
        <w:rPr>
          <w:rFonts w:cstheme="minorHAnsi"/>
          <w:b/>
          <w:sz w:val="24"/>
          <w:szCs w:val="24"/>
        </w:rPr>
      </w:pPr>
      <w:r w:rsidRPr="00C36247">
        <w:rPr>
          <w:rFonts w:cstheme="minorHAnsi"/>
          <w:sz w:val="24"/>
          <w:szCs w:val="24"/>
          <w:shd w:val="clear" w:color="auto" w:fill="FFFFFF"/>
        </w:rPr>
        <w:t> </w:t>
      </w:r>
      <w:r w:rsidR="00132AE1" w:rsidRPr="00C36247">
        <w:rPr>
          <w:rFonts w:cstheme="minorHAnsi"/>
          <w:sz w:val="24"/>
          <w:szCs w:val="24"/>
          <w:shd w:val="clear" w:color="auto" w:fill="FFFFFF"/>
        </w:rPr>
        <w:t xml:space="preserve">The </w:t>
      </w:r>
      <w:r w:rsidR="00132AE1" w:rsidRPr="005F2A55">
        <w:rPr>
          <w:rFonts w:cstheme="minorHAnsi"/>
          <w:b/>
          <w:sz w:val="24"/>
          <w:szCs w:val="24"/>
          <w:shd w:val="clear" w:color="auto" w:fill="FFFFFF"/>
        </w:rPr>
        <w:t>net profit margin</w:t>
      </w:r>
      <w:r w:rsidR="00132AE1" w:rsidRPr="00C36247">
        <w:rPr>
          <w:rFonts w:cstheme="minorHAnsi"/>
          <w:sz w:val="24"/>
          <w:szCs w:val="24"/>
          <w:shd w:val="clear" w:color="auto" w:fill="FFFFFF"/>
        </w:rPr>
        <w:t xml:space="preserve"> is the ability of a company to generate income after taxes. The </w:t>
      </w:r>
      <w:r w:rsidR="00132AE1" w:rsidRPr="005F2A55">
        <w:rPr>
          <w:rFonts w:cstheme="minorHAnsi"/>
          <w:b/>
          <w:sz w:val="24"/>
          <w:szCs w:val="24"/>
          <w:shd w:val="clear" w:color="auto" w:fill="FFFFFF"/>
        </w:rPr>
        <w:t>gross margin</w:t>
      </w:r>
      <w:r w:rsidR="00132AE1" w:rsidRPr="00C36247">
        <w:rPr>
          <w:rFonts w:cstheme="minorHAnsi"/>
          <w:sz w:val="24"/>
          <w:szCs w:val="24"/>
          <w:shd w:val="clear" w:color="auto" w:fill="FFFFFF"/>
        </w:rPr>
        <w:t xml:space="preserve"> measures how much an enterprise can increase sales above COGS (the cost of sold goods). </w:t>
      </w:r>
      <w:r w:rsidR="00132AE1" w:rsidRPr="005F2A55">
        <w:rPr>
          <w:rFonts w:cstheme="minorHAnsi"/>
          <w:b/>
          <w:sz w:val="24"/>
          <w:szCs w:val="24"/>
          <w:shd w:val="clear" w:color="auto" w:fill="FFFFFF"/>
        </w:rPr>
        <w:t>Operating margin</w:t>
      </w:r>
      <w:r w:rsidR="00132AE1" w:rsidRPr="00C36247">
        <w:rPr>
          <w:rFonts w:cstheme="minorHAnsi"/>
          <w:sz w:val="24"/>
          <w:szCs w:val="24"/>
          <w:shd w:val="clear" w:color="auto" w:fill="FFFFFF"/>
        </w:rPr>
        <w:t xml:space="preserve"> is the proportion of the remaining sales after additional operating costs</w:t>
      </w:r>
      <w:r w:rsidRPr="00C36247">
        <w:rPr>
          <w:rFonts w:cstheme="minorHAnsi"/>
          <w:sz w:val="24"/>
          <w:szCs w:val="24"/>
          <w:shd w:val="clear" w:color="auto" w:fill="FFFFFF"/>
        </w:rPr>
        <w:t xml:space="preserve"> </w:t>
      </w:r>
      <w:sdt>
        <w:sdtPr>
          <w:rPr>
            <w:rFonts w:cstheme="minorHAnsi"/>
            <w:sz w:val="24"/>
            <w:szCs w:val="24"/>
            <w:shd w:val="clear" w:color="auto" w:fill="FFFFFF"/>
          </w:rPr>
          <w:id w:val="1094984343"/>
          <w:citation/>
        </w:sdtPr>
        <w:sdtEndPr/>
        <w:sdtContent>
          <w:r w:rsidRPr="00C36247">
            <w:rPr>
              <w:rFonts w:cstheme="minorHAnsi"/>
              <w:sz w:val="24"/>
              <w:szCs w:val="24"/>
              <w:shd w:val="clear" w:color="auto" w:fill="FFFFFF"/>
            </w:rPr>
            <w:fldChar w:fldCharType="begin"/>
          </w:r>
          <w:r w:rsidRPr="00C36247">
            <w:rPr>
              <w:rFonts w:cstheme="minorHAnsi"/>
              <w:sz w:val="24"/>
              <w:szCs w:val="24"/>
              <w:shd w:val="clear" w:color="auto" w:fill="FFFFFF"/>
            </w:rPr>
            <w:instrText xml:space="preserve">CITATION kEN19 \l 2057 </w:instrText>
          </w:r>
          <w:r w:rsidRPr="00C36247">
            <w:rPr>
              <w:rFonts w:cstheme="minorHAnsi"/>
              <w:sz w:val="24"/>
              <w:szCs w:val="24"/>
              <w:shd w:val="clear" w:color="auto" w:fill="FFFFFF"/>
            </w:rPr>
            <w:fldChar w:fldCharType="separate"/>
          </w:r>
          <w:r w:rsidR="00C1213C" w:rsidRPr="00C1213C">
            <w:rPr>
              <w:rFonts w:cstheme="minorHAnsi"/>
              <w:noProof/>
              <w:sz w:val="24"/>
              <w:szCs w:val="24"/>
              <w:shd w:val="clear" w:color="auto" w:fill="FFFFFF"/>
            </w:rPr>
            <w:t>(Kenton, 2019)</w:t>
          </w:r>
          <w:r w:rsidRPr="00C36247">
            <w:rPr>
              <w:rFonts w:cstheme="minorHAnsi"/>
              <w:sz w:val="24"/>
              <w:szCs w:val="24"/>
              <w:shd w:val="clear" w:color="auto" w:fill="FFFFFF"/>
            </w:rPr>
            <w:fldChar w:fldCharType="end"/>
          </w:r>
        </w:sdtContent>
      </w:sdt>
      <w:r w:rsidR="00132AE1" w:rsidRPr="00C36247">
        <w:rPr>
          <w:rFonts w:cstheme="minorHAnsi"/>
          <w:sz w:val="24"/>
          <w:szCs w:val="24"/>
          <w:shd w:val="clear" w:color="auto" w:fill="FFFFFF"/>
        </w:rPr>
        <w:t>.</w:t>
      </w:r>
      <w:r w:rsidR="005F2A55">
        <w:rPr>
          <w:rFonts w:cstheme="minorHAnsi"/>
          <w:sz w:val="24"/>
          <w:szCs w:val="24"/>
          <w:shd w:val="clear" w:color="auto" w:fill="FFFFFF"/>
        </w:rPr>
        <w:t xml:space="preserve"> </w:t>
      </w:r>
      <w:r w:rsidR="00923F96">
        <w:rPr>
          <w:rFonts w:cstheme="minorHAnsi"/>
          <w:sz w:val="24"/>
          <w:szCs w:val="24"/>
          <w:shd w:val="clear" w:color="auto" w:fill="FFFFFF"/>
        </w:rPr>
        <w:t>Equations</w:t>
      </w:r>
      <w:r w:rsidR="005F2A55">
        <w:rPr>
          <w:rFonts w:cstheme="minorHAnsi"/>
          <w:sz w:val="24"/>
          <w:szCs w:val="24"/>
          <w:shd w:val="clear" w:color="auto" w:fill="FFFFFF"/>
        </w:rPr>
        <w:t xml:space="preserve"> for these ratios are:</w:t>
      </w:r>
    </w:p>
    <w:p w:rsidR="00460075" w:rsidRPr="0019255D" w:rsidRDefault="0019255D" w:rsidP="002F5925">
      <w:pPr>
        <w:spacing w:line="360" w:lineRule="auto"/>
        <w:jc w:val="both"/>
        <w:rPr>
          <w:rFonts w:eastAsiaTheme="minorEastAsia" w:cstheme="minorHAnsi"/>
          <w:b/>
          <w:sz w:val="24"/>
          <w:szCs w:val="24"/>
          <w:shd w:val="clear" w:color="auto" w:fill="FFFFFF"/>
        </w:rPr>
      </w:pPr>
      <m:oMathPara>
        <m:oMathParaPr>
          <m:jc m:val="left"/>
        </m:oMathParaPr>
        <m:oMath>
          <m:r>
            <m:rPr>
              <m:sty m:val="b"/>
            </m:rPr>
            <w:rPr>
              <w:rFonts w:ascii="Cambria Math" w:hAnsi="Cambria Math" w:cs="Cambria Math"/>
              <w:sz w:val="24"/>
              <w:szCs w:val="24"/>
              <w:shd w:val="clear" w:color="auto" w:fill="FFFFFF"/>
            </w:rPr>
            <m:t>Gross Margin=</m:t>
          </m:r>
          <m:f>
            <m:fPr>
              <m:ctrlPr>
                <w:rPr>
                  <w:rFonts w:ascii="Cambria Math" w:hAnsi="Cambria Math" w:cstheme="minorHAnsi"/>
                  <w:b/>
                  <w:sz w:val="24"/>
                  <w:szCs w:val="24"/>
                  <w:shd w:val="clear" w:color="auto" w:fill="FFFFFF"/>
                </w:rPr>
              </m:ctrlPr>
            </m:fPr>
            <m:num>
              <m:r>
                <m:rPr>
                  <m:sty m:val="b"/>
                </m:rPr>
                <w:rPr>
                  <w:rFonts w:ascii="Cambria Math" w:hAnsi="Cambria Math" w:cstheme="minorHAnsi"/>
                  <w:sz w:val="24"/>
                  <w:szCs w:val="24"/>
                  <w:shd w:val="clear" w:color="auto" w:fill="FFFFFF"/>
                </w:rPr>
                <m:t>Gross Profit</m:t>
              </m:r>
            </m:num>
            <m:den>
              <m:r>
                <m:rPr>
                  <m:sty m:val="b"/>
                </m:rPr>
                <w:rPr>
                  <w:rFonts w:ascii="Cambria Math" w:hAnsi="Cambria Math" w:cs="Cambria Math"/>
                  <w:sz w:val="24"/>
                  <w:szCs w:val="24"/>
                  <w:shd w:val="clear" w:color="auto" w:fill="FFFFFF"/>
                </w:rPr>
                <m:t>Sales</m:t>
              </m:r>
            </m:den>
          </m:f>
        </m:oMath>
      </m:oMathPara>
    </w:p>
    <w:p w:rsidR="00460075" w:rsidRPr="0019255D" w:rsidRDefault="0019255D" w:rsidP="002F5925">
      <w:pPr>
        <w:spacing w:line="360" w:lineRule="auto"/>
        <w:jc w:val="both"/>
        <w:rPr>
          <w:rFonts w:eastAsiaTheme="minorEastAsia" w:cstheme="minorHAnsi"/>
          <w:b/>
          <w:sz w:val="24"/>
          <w:szCs w:val="24"/>
          <w:shd w:val="clear" w:color="auto" w:fill="FFFFFF"/>
        </w:rPr>
      </w:pPr>
      <m:oMathPara>
        <m:oMathParaPr>
          <m:jc m:val="left"/>
        </m:oMathParaPr>
        <m:oMath>
          <m:r>
            <m:rPr>
              <m:sty m:val="b"/>
            </m:rPr>
            <w:rPr>
              <w:rFonts w:ascii="Cambria Math" w:eastAsiaTheme="minorEastAsia" w:hAnsi="Cambria Math" w:cs="Cambria Math"/>
              <w:sz w:val="24"/>
              <w:szCs w:val="24"/>
              <w:shd w:val="clear" w:color="auto" w:fill="FFFFFF"/>
            </w:rPr>
            <m:t>Operating Margin=</m:t>
          </m:r>
          <m:f>
            <m:fPr>
              <m:ctrlPr>
                <w:rPr>
                  <w:rFonts w:ascii="Cambria Math" w:eastAsiaTheme="minorEastAsia" w:hAnsi="Cambria Math" w:cstheme="minorHAnsi"/>
                  <w:b/>
                  <w:sz w:val="24"/>
                  <w:szCs w:val="24"/>
                  <w:shd w:val="clear" w:color="auto" w:fill="FFFFFF"/>
                </w:rPr>
              </m:ctrlPr>
            </m:fPr>
            <m:num>
              <m:r>
                <m:rPr>
                  <m:sty m:val="b"/>
                </m:rPr>
                <w:rPr>
                  <w:rFonts w:ascii="Cambria Math" w:eastAsiaTheme="minorEastAsia" w:hAnsi="Cambria Math" w:cstheme="minorHAnsi"/>
                  <w:sz w:val="24"/>
                  <w:szCs w:val="24"/>
                  <w:shd w:val="clear" w:color="auto" w:fill="FFFFFF"/>
                </w:rPr>
                <m:t>Operating Income</m:t>
              </m:r>
            </m:num>
            <m:den>
              <m:r>
                <m:rPr>
                  <m:sty m:val="b"/>
                </m:rPr>
                <w:rPr>
                  <w:rFonts w:ascii="Cambria Math" w:eastAsiaTheme="minorEastAsia" w:hAnsi="Cambria Math" w:cs="Cambria Math"/>
                  <w:sz w:val="24"/>
                  <w:szCs w:val="24"/>
                  <w:shd w:val="clear" w:color="auto" w:fill="FFFFFF"/>
                </w:rPr>
                <m:t>Sales</m:t>
              </m:r>
            </m:den>
          </m:f>
        </m:oMath>
      </m:oMathPara>
    </w:p>
    <w:p w:rsidR="0019255D" w:rsidRPr="0019255D" w:rsidRDefault="0019255D" w:rsidP="002F5925">
      <w:pPr>
        <w:spacing w:line="360" w:lineRule="auto"/>
        <w:jc w:val="both"/>
        <w:rPr>
          <w:rFonts w:cstheme="minorHAnsi"/>
          <w:b/>
          <w:sz w:val="24"/>
          <w:szCs w:val="24"/>
        </w:rPr>
      </w:pPr>
      <m:oMathPara>
        <m:oMathParaPr>
          <m:jc m:val="left"/>
        </m:oMathParaPr>
        <m:oMath>
          <m:r>
            <m:rPr>
              <m:sty m:val="b"/>
            </m:rPr>
            <w:rPr>
              <w:rFonts w:ascii="Cambria Math" w:eastAsiaTheme="minorEastAsia" w:hAnsi="Cambria Math" w:cs="Cambria Math"/>
              <w:sz w:val="24"/>
              <w:szCs w:val="24"/>
              <w:shd w:val="clear" w:color="auto" w:fill="FFFFFF"/>
            </w:rPr>
            <m:t>Net Profit margin=</m:t>
          </m:r>
          <m:f>
            <m:fPr>
              <m:ctrlPr>
                <w:rPr>
                  <w:rFonts w:ascii="Cambria Math" w:eastAsiaTheme="minorEastAsia" w:hAnsi="Cambria Math" w:cstheme="minorHAnsi"/>
                  <w:b/>
                  <w:sz w:val="24"/>
                  <w:szCs w:val="24"/>
                  <w:shd w:val="clear" w:color="auto" w:fill="FFFFFF"/>
                </w:rPr>
              </m:ctrlPr>
            </m:fPr>
            <m:num>
              <m:r>
                <m:rPr>
                  <m:sty m:val="b"/>
                </m:rPr>
                <w:rPr>
                  <w:rFonts w:ascii="Cambria Math" w:eastAsiaTheme="minorEastAsia" w:hAnsi="Cambria Math" w:cstheme="minorHAnsi"/>
                  <w:sz w:val="24"/>
                  <w:szCs w:val="24"/>
                  <w:shd w:val="clear" w:color="auto" w:fill="FFFFFF"/>
                </w:rPr>
                <m:t>Net Income</m:t>
              </m:r>
            </m:num>
            <m:den>
              <m:r>
                <m:rPr>
                  <m:sty m:val="b"/>
                </m:rPr>
                <w:rPr>
                  <w:rFonts w:ascii="Cambria Math" w:eastAsiaTheme="minorEastAsia" w:hAnsi="Cambria Math" w:cs="Cambria Math"/>
                  <w:sz w:val="24"/>
                  <w:szCs w:val="24"/>
                  <w:shd w:val="clear" w:color="auto" w:fill="FFFFFF"/>
                </w:rPr>
                <m:t>Sales</m:t>
              </m:r>
            </m:den>
          </m:f>
        </m:oMath>
      </m:oMathPara>
    </w:p>
    <w:p w:rsidR="00376902" w:rsidRDefault="00376902" w:rsidP="002F5925">
      <w:pPr>
        <w:spacing w:line="360" w:lineRule="auto"/>
        <w:jc w:val="both"/>
        <w:rPr>
          <w:rFonts w:cstheme="minorHAnsi"/>
          <w:b/>
          <w:sz w:val="24"/>
          <w:szCs w:val="24"/>
          <w:shd w:val="clear" w:color="auto" w:fill="FFFFFF"/>
        </w:rPr>
      </w:pPr>
    </w:p>
    <w:p w:rsidR="00460075" w:rsidRDefault="004F27BE" w:rsidP="002F5925">
      <w:pPr>
        <w:spacing w:line="360" w:lineRule="auto"/>
        <w:jc w:val="both"/>
        <w:rPr>
          <w:rFonts w:cstheme="minorHAnsi"/>
          <w:sz w:val="24"/>
          <w:szCs w:val="24"/>
          <w:shd w:val="clear" w:color="auto" w:fill="FFFFFF"/>
        </w:rPr>
      </w:pPr>
      <w:r w:rsidRPr="00415536">
        <w:rPr>
          <w:rFonts w:cstheme="minorHAnsi"/>
          <w:b/>
          <w:sz w:val="24"/>
          <w:szCs w:val="24"/>
          <w:shd w:val="clear" w:color="auto" w:fill="FFFFFF"/>
        </w:rPr>
        <w:lastRenderedPageBreak/>
        <w:t>Table 1.</w:t>
      </w:r>
      <w:r>
        <w:rPr>
          <w:rFonts w:cstheme="minorHAnsi"/>
          <w:sz w:val="24"/>
          <w:szCs w:val="24"/>
          <w:shd w:val="clear" w:color="auto" w:fill="FFFFFF"/>
        </w:rPr>
        <w:t xml:space="preserve"> Gross Profit, Operating Income, Sales and Net Income of Unilever (2014 – 2018) and Procter &amp; Gamble  (2018</w:t>
      </w:r>
      <w:r w:rsidR="00887DBD">
        <w:rPr>
          <w:rFonts w:cstheme="minorHAnsi"/>
          <w:sz w:val="24"/>
          <w:szCs w:val="24"/>
          <w:shd w:val="clear" w:color="auto" w:fill="FFFFFF"/>
        </w:rPr>
        <w:t xml:space="preserve">) </w:t>
      </w:r>
      <w:sdt>
        <w:sdtPr>
          <w:rPr>
            <w:rFonts w:cstheme="minorHAnsi"/>
            <w:sz w:val="24"/>
            <w:szCs w:val="24"/>
            <w:shd w:val="clear" w:color="auto" w:fill="FFFFFF"/>
          </w:rPr>
          <w:id w:val="882909059"/>
          <w:citation/>
        </w:sdtPr>
        <w:sdtEndPr/>
        <w:sdtContent>
          <w:r w:rsidR="00887DBD">
            <w:rPr>
              <w:rFonts w:cstheme="minorHAnsi"/>
              <w:sz w:val="24"/>
              <w:szCs w:val="24"/>
              <w:shd w:val="clear" w:color="auto" w:fill="FFFFFF"/>
            </w:rPr>
            <w:fldChar w:fldCharType="begin"/>
          </w:r>
          <w:r w:rsidR="00887DBD">
            <w:rPr>
              <w:rFonts w:cstheme="minorHAnsi"/>
              <w:sz w:val="24"/>
              <w:szCs w:val="24"/>
              <w:shd w:val="clear" w:color="auto" w:fill="FFFFFF"/>
            </w:rPr>
            <w:instrText xml:space="preserve">CITATION Uni15 \l 2057 </w:instrText>
          </w:r>
          <w:r w:rsidR="00887DBD">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2015)</w:t>
          </w:r>
          <w:r w:rsidR="00887DBD">
            <w:rPr>
              <w:rFonts w:cstheme="minorHAnsi"/>
              <w:sz w:val="24"/>
              <w:szCs w:val="24"/>
              <w:shd w:val="clear" w:color="auto" w:fill="FFFFFF"/>
            </w:rPr>
            <w:fldChar w:fldCharType="end"/>
          </w:r>
        </w:sdtContent>
      </w:sdt>
      <w:r w:rsidR="00887DBD">
        <w:rPr>
          <w:rFonts w:cstheme="minorHAnsi"/>
          <w:sz w:val="24"/>
          <w:szCs w:val="24"/>
          <w:shd w:val="clear" w:color="auto" w:fill="FFFFFF"/>
        </w:rPr>
        <w:t xml:space="preserve">, </w:t>
      </w:r>
      <w:sdt>
        <w:sdtPr>
          <w:rPr>
            <w:rFonts w:cstheme="minorHAnsi"/>
            <w:sz w:val="24"/>
            <w:szCs w:val="24"/>
            <w:shd w:val="clear" w:color="auto" w:fill="FFFFFF"/>
          </w:rPr>
          <w:id w:val="345840354"/>
          <w:citation/>
        </w:sdtPr>
        <w:sdtEndPr/>
        <w:sdtContent>
          <w:r w:rsidR="00887DBD">
            <w:rPr>
              <w:rFonts w:cstheme="minorHAnsi"/>
              <w:sz w:val="24"/>
              <w:szCs w:val="24"/>
              <w:shd w:val="clear" w:color="auto" w:fill="FFFFFF"/>
            </w:rPr>
            <w:fldChar w:fldCharType="begin"/>
          </w:r>
          <w:r w:rsidR="00887DBD">
            <w:rPr>
              <w:rFonts w:cstheme="minorHAnsi"/>
              <w:sz w:val="24"/>
              <w:szCs w:val="24"/>
              <w:shd w:val="clear" w:color="auto" w:fill="FFFFFF"/>
            </w:rPr>
            <w:instrText xml:space="preserve"> CITATION Uni17 \l 2057 </w:instrText>
          </w:r>
          <w:r w:rsidR="00887DBD">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2017)</w:t>
          </w:r>
          <w:r w:rsidR="00887DBD">
            <w:rPr>
              <w:rFonts w:cstheme="minorHAnsi"/>
              <w:sz w:val="24"/>
              <w:szCs w:val="24"/>
              <w:shd w:val="clear" w:color="auto" w:fill="FFFFFF"/>
            </w:rPr>
            <w:fldChar w:fldCharType="end"/>
          </w:r>
        </w:sdtContent>
      </w:sdt>
      <w:r w:rsidR="00887DBD">
        <w:rPr>
          <w:rFonts w:cstheme="minorHAnsi"/>
          <w:sz w:val="24"/>
          <w:szCs w:val="24"/>
          <w:shd w:val="clear" w:color="auto" w:fill="FFFFFF"/>
        </w:rPr>
        <w:t xml:space="preserve">, </w:t>
      </w:r>
      <w:sdt>
        <w:sdtPr>
          <w:rPr>
            <w:rFonts w:cstheme="minorHAnsi"/>
            <w:sz w:val="24"/>
            <w:szCs w:val="24"/>
            <w:shd w:val="clear" w:color="auto" w:fill="FFFFFF"/>
          </w:rPr>
          <w:id w:val="-964734393"/>
          <w:citation/>
        </w:sdtPr>
        <w:sdtEndPr/>
        <w:sdtContent>
          <w:r w:rsidR="00887DBD">
            <w:rPr>
              <w:rFonts w:cstheme="minorHAnsi"/>
              <w:sz w:val="24"/>
              <w:szCs w:val="24"/>
              <w:shd w:val="clear" w:color="auto" w:fill="FFFFFF"/>
            </w:rPr>
            <w:fldChar w:fldCharType="begin"/>
          </w:r>
          <w:r w:rsidR="00887DBD">
            <w:rPr>
              <w:rFonts w:cstheme="minorHAnsi"/>
              <w:sz w:val="24"/>
              <w:szCs w:val="24"/>
              <w:shd w:val="clear" w:color="auto" w:fill="FFFFFF"/>
            </w:rPr>
            <w:instrText xml:space="preserve"> CITATION Uni191 \l 2057 </w:instrText>
          </w:r>
          <w:r w:rsidR="00887DBD">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2019)</w:t>
          </w:r>
          <w:r w:rsidR="00887DBD">
            <w:rPr>
              <w:rFonts w:cstheme="minorHAnsi"/>
              <w:sz w:val="24"/>
              <w:szCs w:val="24"/>
              <w:shd w:val="clear" w:color="auto" w:fill="FFFFFF"/>
            </w:rPr>
            <w:fldChar w:fldCharType="end"/>
          </w:r>
        </w:sdtContent>
      </w:sdt>
      <w:r w:rsidR="00644870">
        <w:rPr>
          <w:rFonts w:cstheme="minorHAnsi"/>
          <w:sz w:val="24"/>
          <w:szCs w:val="24"/>
          <w:shd w:val="clear" w:color="auto" w:fill="FFFFFF"/>
        </w:rPr>
        <w:t xml:space="preserve">, </w:t>
      </w:r>
      <w:sdt>
        <w:sdtPr>
          <w:rPr>
            <w:rFonts w:cstheme="minorHAnsi"/>
            <w:sz w:val="24"/>
            <w:szCs w:val="24"/>
            <w:shd w:val="clear" w:color="auto" w:fill="FFFFFF"/>
          </w:rPr>
          <w:id w:val="990440573"/>
          <w:citation/>
        </w:sdtPr>
        <w:sdtEndPr/>
        <w:sdtContent>
          <w:r w:rsidR="00644870">
            <w:rPr>
              <w:rFonts w:cstheme="minorHAnsi"/>
              <w:sz w:val="24"/>
              <w:szCs w:val="24"/>
              <w:shd w:val="clear" w:color="auto" w:fill="FFFFFF"/>
            </w:rPr>
            <w:fldChar w:fldCharType="begin"/>
          </w:r>
          <w:r w:rsidR="00644870">
            <w:rPr>
              <w:rFonts w:cstheme="minorHAnsi"/>
              <w:sz w:val="24"/>
              <w:szCs w:val="24"/>
              <w:shd w:val="clear" w:color="auto" w:fill="FFFFFF"/>
            </w:rPr>
            <w:instrText xml:space="preserve"> CITATION Pro19 \l 2057 </w:instrText>
          </w:r>
          <w:r w:rsidR="00644870">
            <w:rPr>
              <w:rFonts w:cstheme="minorHAnsi"/>
              <w:sz w:val="24"/>
              <w:szCs w:val="24"/>
              <w:shd w:val="clear" w:color="auto" w:fill="FFFFFF"/>
            </w:rPr>
            <w:fldChar w:fldCharType="separate"/>
          </w:r>
          <w:r w:rsidR="00C1213C" w:rsidRPr="00C1213C">
            <w:rPr>
              <w:rFonts w:cstheme="minorHAnsi"/>
              <w:noProof/>
              <w:sz w:val="24"/>
              <w:szCs w:val="24"/>
              <w:shd w:val="clear" w:color="auto" w:fill="FFFFFF"/>
            </w:rPr>
            <w:t>(Procter &amp; Gamble, 2019)</w:t>
          </w:r>
          <w:r w:rsidR="00644870">
            <w:rPr>
              <w:rFonts w:cstheme="minorHAnsi"/>
              <w:sz w:val="24"/>
              <w:szCs w:val="24"/>
              <w:shd w:val="clear" w:color="auto" w:fill="FFFFFF"/>
            </w:rPr>
            <w:fldChar w:fldCharType="end"/>
          </w:r>
        </w:sdtContent>
      </w:sdt>
      <w:r w:rsidR="00644870">
        <w:rPr>
          <w:rFonts w:cstheme="minorHAnsi"/>
          <w:sz w:val="24"/>
          <w:szCs w:val="24"/>
          <w:shd w:val="clear" w:color="auto" w:fill="FFFFFF"/>
        </w:rPr>
        <w:t>.</w:t>
      </w:r>
    </w:p>
    <w:tbl>
      <w:tblPr>
        <w:tblStyle w:val="TableGrid"/>
        <w:tblW w:w="10065" w:type="dxa"/>
        <w:tblInd w:w="-289" w:type="dxa"/>
        <w:tblLook w:val="04A0" w:firstRow="1" w:lastRow="0" w:firstColumn="1" w:lastColumn="0" w:noHBand="0" w:noVBand="1"/>
      </w:tblPr>
      <w:tblGrid>
        <w:gridCol w:w="2244"/>
        <w:gridCol w:w="1088"/>
        <w:gridCol w:w="1088"/>
        <w:gridCol w:w="1088"/>
        <w:gridCol w:w="1088"/>
        <w:gridCol w:w="1088"/>
        <w:gridCol w:w="2381"/>
      </w:tblGrid>
      <w:tr w:rsidR="005A5596" w:rsidRPr="004F27BE" w:rsidTr="005A5596">
        <w:trPr>
          <w:trHeight w:val="635"/>
        </w:trPr>
        <w:tc>
          <w:tcPr>
            <w:tcW w:w="2244" w:type="dxa"/>
            <w:vMerge w:val="restart"/>
          </w:tcPr>
          <w:p w:rsidR="005A5596" w:rsidRDefault="005A5596" w:rsidP="00C36247">
            <w:pPr>
              <w:spacing w:line="360" w:lineRule="auto"/>
              <w:jc w:val="both"/>
              <w:rPr>
                <w:rFonts w:cstheme="minorHAnsi"/>
                <w:b/>
                <w:sz w:val="24"/>
                <w:szCs w:val="24"/>
                <w:shd w:val="clear" w:color="auto" w:fill="FFFFFF"/>
              </w:rPr>
            </w:pPr>
          </w:p>
          <w:p w:rsidR="005A5596" w:rsidRPr="004F27BE" w:rsidRDefault="005A5596" w:rsidP="00C36247">
            <w:pPr>
              <w:spacing w:line="360" w:lineRule="auto"/>
              <w:jc w:val="both"/>
              <w:rPr>
                <w:rFonts w:cstheme="minorHAnsi"/>
                <w:b/>
                <w:sz w:val="24"/>
                <w:szCs w:val="24"/>
                <w:shd w:val="clear" w:color="auto" w:fill="FFFFFF"/>
              </w:rPr>
            </w:pPr>
            <w:r>
              <w:rPr>
                <w:rFonts w:cstheme="minorHAnsi"/>
                <w:b/>
                <w:sz w:val="24"/>
                <w:szCs w:val="24"/>
                <w:shd w:val="clear" w:color="auto" w:fill="FFFFFF"/>
              </w:rPr>
              <w:t>Financial Data</w:t>
            </w:r>
          </w:p>
        </w:tc>
        <w:tc>
          <w:tcPr>
            <w:tcW w:w="5440" w:type="dxa"/>
            <w:gridSpan w:val="5"/>
          </w:tcPr>
          <w:p w:rsidR="005A5596" w:rsidRPr="004F27BE" w:rsidRDefault="005A5596" w:rsidP="005A5596">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Unilever</w:t>
            </w:r>
            <w:r>
              <w:rPr>
                <w:rFonts w:cstheme="minorHAnsi"/>
                <w:b/>
                <w:sz w:val="24"/>
                <w:szCs w:val="24"/>
                <w:shd w:val="clear" w:color="auto" w:fill="FFFFFF"/>
              </w:rPr>
              <w:t xml:space="preserve"> Group</w:t>
            </w:r>
          </w:p>
          <w:p w:rsidR="005A5596" w:rsidRPr="004F27BE" w:rsidRDefault="005A5596" w:rsidP="00C36247">
            <w:pPr>
              <w:spacing w:line="360" w:lineRule="auto"/>
              <w:jc w:val="both"/>
              <w:rPr>
                <w:rFonts w:cstheme="minorHAnsi"/>
                <w:b/>
                <w:sz w:val="24"/>
                <w:szCs w:val="24"/>
                <w:shd w:val="clear" w:color="auto" w:fill="FFFFFF"/>
              </w:rPr>
            </w:pPr>
          </w:p>
        </w:tc>
        <w:tc>
          <w:tcPr>
            <w:tcW w:w="2381" w:type="dxa"/>
            <w:vMerge w:val="restart"/>
          </w:tcPr>
          <w:p w:rsidR="005A5596" w:rsidRDefault="005A5596" w:rsidP="005A5596">
            <w:pPr>
              <w:jc w:val="center"/>
              <w:rPr>
                <w:rFonts w:cstheme="minorHAnsi"/>
                <w:b/>
                <w:sz w:val="24"/>
                <w:szCs w:val="24"/>
                <w:shd w:val="clear" w:color="auto" w:fill="FFFFFF"/>
              </w:rPr>
            </w:pPr>
          </w:p>
          <w:p w:rsidR="005A5596" w:rsidRPr="004F27BE" w:rsidRDefault="005A5596" w:rsidP="005A5596">
            <w:pPr>
              <w:jc w:val="center"/>
              <w:rPr>
                <w:rFonts w:cstheme="minorHAnsi"/>
                <w:b/>
                <w:sz w:val="24"/>
                <w:szCs w:val="24"/>
                <w:shd w:val="clear" w:color="auto" w:fill="FFFFFF"/>
              </w:rPr>
            </w:pPr>
            <w:r w:rsidRPr="004F27BE">
              <w:rPr>
                <w:rFonts w:cstheme="minorHAnsi"/>
                <w:b/>
                <w:sz w:val="24"/>
                <w:szCs w:val="24"/>
                <w:shd w:val="clear" w:color="auto" w:fill="FFFFFF"/>
              </w:rPr>
              <w:t>Procter &amp; Gamble</w:t>
            </w:r>
          </w:p>
          <w:p w:rsidR="005A5596" w:rsidRPr="004F27BE" w:rsidRDefault="005A5596" w:rsidP="005A5596">
            <w:pPr>
              <w:jc w:val="center"/>
              <w:rPr>
                <w:rFonts w:cstheme="minorHAnsi"/>
                <w:b/>
                <w:sz w:val="24"/>
                <w:szCs w:val="24"/>
                <w:shd w:val="clear" w:color="auto" w:fill="FFFFFF"/>
              </w:rPr>
            </w:pPr>
            <w:r w:rsidRPr="004F27BE">
              <w:rPr>
                <w:rFonts w:cstheme="minorHAnsi"/>
                <w:b/>
                <w:sz w:val="24"/>
                <w:szCs w:val="24"/>
                <w:shd w:val="clear" w:color="auto" w:fill="FFFFFF"/>
              </w:rPr>
              <w:t>2018</w:t>
            </w:r>
          </w:p>
        </w:tc>
      </w:tr>
      <w:tr w:rsidR="005A5596" w:rsidRPr="004F27BE" w:rsidTr="005A5596">
        <w:trPr>
          <w:trHeight w:val="567"/>
        </w:trPr>
        <w:tc>
          <w:tcPr>
            <w:tcW w:w="2244" w:type="dxa"/>
            <w:vMerge/>
          </w:tcPr>
          <w:p w:rsidR="005A5596" w:rsidRPr="004F27BE" w:rsidRDefault="005A5596" w:rsidP="005A5596">
            <w:pPr>
              <w:spacing w:line="360" w:lineRule="auto"/>
              <w:jc w:val="both"/>
              <w:rPr>
                <w:rFonts w:cstheme="minorHAnsi"/>
                <w:b/>
                <w:sz w:val="24"/>
                <w:szCs w:val="24"/>
                <w:shd w:val="clear" w:color="auto" w:fill="FFFFFF"/>
              </w:rPr>
            </w:pPr>
          </w:p>
        </w:tc>
        <w:tc>
          <w:tcPr>
            <w:tcW w:w="1088"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2014</w:t>
            </w:r>
          </w:p>
        </w:tc>
        <w:tc>
          <w:tcPr>
            <w:tcW w:w="1088"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2015</w:t>
            </w:r>
          </w:p>
        </w:tc>
        <w:tc>
          <w:tcPr>
            <w:tcW w:w="1088"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2016</w:t>
            </w:r>
          </w:p>
        </w:tc>
        <w:tc>
          <w:tcPr>
            <w:tcW w:w="1088"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2017</w:t>
            </w:r>
          </w:p>
        </w:tc>
        <w:tc>
          <w:tcPr>
            <w:tcW w:w="1088"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2018</w:t>
            </w:r>
          </w:p>
        </w:tc>
        <w:tc>
          <w:tcPr>
            <w:tcW w:w="2381" w:type="dxa"/>
            <w:vMerge/>
          </w:tcPr>
          <w:p w:rsidR="005A5596" w:rsidRPr="004F27BE" w:rsidRDefault="005A5596" w:rsidP="005A5596">
            <w:pPr>
              <w:spacing w:line="360" w:lineRule="auto"/>
              <w:jc w:val="center"/>
              <w:rPr>
                <w:rFonts w:cstheme="minorHAnsi"/>
                <w:b/>
                <w:sz w:val="24"/>
                <w:szCs w:val="24"/>
                <w:shd w:val="clear" w:color="auto" w:fill="FFFFFF"/>
              </w:rPr>
            </w:pPr>
          </w:p>
        </w:tc>
      </w:tr>
      <w:tr w:rsidR="005A5596" w:rsidTr="005A5596">
        <w:tc>
          <w:tcPr>
            <w:tcW w:w="2244"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Sales (€m)</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48,436</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53,272</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52,713</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53,715</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50,982</w:t>
            </w:r>
          </w:p>
        </w:tc>
        <w:tc>
          <w:tcPr>
            <w:tcW w:w="2381"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66,832</w:t>
            </w:r>
          </w:p>
        </w:tc>
      </w:tr>
      <w:tr w:rsidR="005A5596" w:rsidTr="005A5596">
        <w:tc>
          <w:tcPr>
            <w:tcW w:w="2244"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Gross Profit (€m)</w:t>
            </w:r>
          </w:p>
        </w:tc>
        <w:tc>
          <w:tcPr>
            <w:tcW w:w="1088" w:type="dxa"/>
          </w:tcPr>
          <w:p w:rsidR="005A5596" w:rsidRDefault="005A5596" w:rsidP="005A5596">
            <w:pPr>
              <w:jc w:val="both"/>
              <w:rPr>
                <w:rFonts w:cstheme="minorHAnsi"/>
                <w:sz w:val="24"/>
                <w:szCs w:val="24"/>
                <w:shd w:val="clear" w:color="auto" w:fill="FFFFFF"/>
              </w:rPr>
            </w:pPr>
            <w:r>
              <w:rPr>
                <w:rFonts w:cstheme="minorHAnsi"/>
                <w:sz w:val="24"/>
                <w:szCs w:val="24"/>
                <w:shd w:val="clear" w:color="auto" w:fill="FFFFFF"/>
              </w:rPr>
              <w:t>Not provided</w:t>
            </w:r>
          </w:p>
        </w:tc>
        <w:tc>
          <w:tcPr>
            <w:tcW w:w="1088" w:type="dxa"/>
          </w:tcPr>
          <w:p w:rsidR="005A5596" w:rsidRDefault="005A5596" w:rsidP="005A5596">
            <w:r w:rsidRPr="001B76C5">
              <w:rPr>
                <w:rFonts w:cstheme="minorHAnsi"/>
                <w:sz w:val="24"/>
                <w:szCs w:val="24"/>
                <w:shd w:val="clear" w:color="auto" w:fill="FFFFFF"/>
              </w:rPr>
              <w:t>Not provided</w:t>
            </w:r>
          </w:p>
        </w:tc>
        <w:tc>
          <w:tcPr>
            <w:tcW w:w="1088" w:type="dxa"/>
          </w:tcPr>
          <w:p w:rsidR="005A5596" w:rsidRDefault="005A5596" w:rsidP="005A5596">
            <w:r w:rsidRPr="001B76C5">
              <w:rPr>
                <w:rFonts w:cstheme="minorHAnsi"/>
                <w:sz w:val="24"/>
                <w:szCs w:val="24"/>
                <w:shd w:val="clear" w:color="auto" w:fill="FFFFFF"/>
              </w:rPr>
              <w:t>Not provided</w:t>
            </w:r>
          </w:p>
        </w:tc>
        <w:tc>
          <w:tcPr>
            <w:tcW w:w="1088" w:type="dxa"/>
          </w:tcPr>
          <w:p w:rsidR="005A5596" w:rsidRDefault="005A5596" w:rsidP="005A5596">
            <w:r w:rsidRPr="001B76C5">
              <w:rPr>
                <w:rFonts w:cstheme="minorHAnsi"/>
                <w:sz w:val="24"/>
                <w:szCs w:val="24"/>
                <w:shd w:val="clear" w:color="auto" w:fill="FFFFFF"/>
              </w:rPr>
              <w:t>Not provided</w:t>
            </w:r>
          </w:p>
        </w:tc>
        <w:tc>
          <w:tcPr>
            <w:tcW w:w="1088" w:type="dxa"/>
          </w:tcPr>
          <w:p w:rsidR="005A5596" w:rsidRDefault="005A5596" w:rsidP="005A5596">
            <w:r w:rsidRPr="001B76C5">
              <w:rPr>
                <w:rFonts w:cstheme="minorHAnsi"/>
                <w:sz w:val="24"/>
                <w:szCs w:val="24"/>
                <w:shd w:val="clear" w:color="auto" w:fill="FFFFFF"/>
              </w:rPr>
              <w:t>Not provided</w:t>
            </w:r>
          </w:p>
        </w:tc>
        <w:tc>
          <w:tcPr>
            <w:tcW w:w="2381" w:type="dxa"/>
          </w:tcPr>
          <w:p w:rsidR="005A5596" w:rsidRDefault="005A5596" w:rsidP="005A5596">
            <w:pPr>
              <w:spacing w:line="360" w:lineRule="auto"/>
              <w:jc w:val="both"/>
              <w:rPr>
                <w:rFonts w:cstheme="minorHAnsi"/>
                <w:sz w:val="24"/>
                <w:szCs w:val="24"/>
                <w:shd w:val="clear" w:color="auto" w:fill="FFFFFF"/>
              </w:rPr>
            </w:pPr>
          </w:p>
        </w:tc>
      </w:tr>
      <w:tr w:rsidR="005A5596" w:rsidTr="005A5596">
        <w:tc>
          <w:tcPr>
            <w:tcW w:w="2244"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Operating Income (€m)</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7,980</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7,515</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7,801</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8,857</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12,535</w:t>
            </w:r>
          </w:p>
        </w:tc>
        <w:tc>
          <w:tcPr>
            <w:tcW w:w="2381"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13,711</w:t>
            </w:r>
          </w:p>
        </w:tc>
      </w:tr>
      <w:tr w:rsidR="005A5596" w:rsidTr="005A5596">
        <w:tc>
          <w:tcPr>
            <w:tcW w:w="2244"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Net Income (€m)</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5,515</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5,259</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5,547</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6,486</w:t>
            </w:r>
          </w:p>
        </w:tc>
        <w:tc>
          <w:tcPr>
            <w:tcW w:w="1088"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9,808</w:t>
            </w:r>
          </w:p>
        </w:tc>
        <w:tc>
          <w:tcPr>
            <w:tcW w:w="2381"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9,861</w:t>
            </w:r>
          </w:p>
        </w:tc>
      </w:tr>
    </w:tbl>
    <w:p w:rsidR="004F27BE" w:rsidRDefault="004F27BE" w:rsidP="00C36247">
      <w:pPr>
        <w:spacing w:line="360" w:lineRule="auto"/>
        <w:jc w:val="both"/>
        <w:rPr>
          <w:rFonts w:cstheme="minorHAnsi"/>
          <w:sz w:val="24"/>
          <w:szCs w:val="24"/>
          <w:shd w:val="clear" w:color="auto" w:fill="FFFFFF"/>
        </w:rPr>
      </w:pPr>
    </w:p>
    <w:p w:rsidR="006C0281" w:rsidRPr="001459C1" w:rsidRDefault="006C0281" w:rsidP="00C36247">
      <w:pPr>
        <w:spacing w:line="360" w:lineRule="auto"/>
        <w:jc w:val="both"/>
        <w:rPr>
          <w:rFonts w:cstheme="minorHAnsi"/>
          <w:sz w:val="24"/>
          <w:szCs w:val="24"/>
          <w:shd w:val="clear" w:color="auto" w:fill="FFFFFF"/>
        </w:rPr>
      </w:pPr>
      <w:r w:rsidRPr="00415536">
        <w:rPr>
          <w:b/>
          <w:sz w:val="24"/>
          <w:szCs w:val="24"/>
        </w:rPr>
        <w:t>Tab</w:t>
      </w:r>
      <w:r w:rsidR="002747A9" w:rsidRPr="00415536">
        <w:rPr>
          <w:b/>
          <w:sz w:val="24"/>
          <w:szCs w:val="24"/>
        </w:rPr>
        <w:t>le</w:t>
      </w:r>
      <w:r w:rsidR="00415536" w:rsidRPr="00415536">
        <w:rPr>
          <w:b/>
          <w:sz w:val="24"/>
          <w:szCs w:val="24"/>
        </w:rPr>
        <w:t xml:space="preserve"> </w:t>
      </w:r>
      <w:r w:rsidRPr="00415536">
        <w:rPr>
          <w:b/>
          <w:sz w:val="24"/>
          <w:szCs w:val="24"/>
        </w:rPr>
        <w:t>2</w:t>
      </w:r>
      <w:r w:rsidR="00415536">
        <w:rPr>
          <w:sz w:val="24"/>
          <w:szCs w:val="24"/>
        </w:rPr>
        <w:t>.</w:t>
      </w:r>
      <w:r w:rsidRPr="001459C1">
        <w:rPr>
          <w:sz w:val="24"/>
          <w:szCs w:val="24"/>
        </w:rPr>
        <w:t xml:space="preserve"> Profitability ratios of</w:t>
      </w:r>
      <w:r w:rsidR="001459C1">
        <w:rPr>
          <w:sz w:val="24"/>
          <w:szCs w:val="24"/>
        </w:rPr>
        <w:t xml:space="preserve"> </w:t>
      </w:r>
      <w:r w:rsidRPr="001459C1">
        <w:rPr>
          <w:sz w:val="24"/>
          <w:szCs w:val="24"/>
        </w:rPr>
        <w:t>Unilever Group (2014 - 2018) and Procter &amp; Gamble (2018)</w:t>
      </w:r>
    </w:p>
    <w:tbl>
      <w:tblPr>
        <w:tblStyle w:val="TableGrid"/>
        <w:tblW w:w="10065" w:type="dxa"/>
        <w:tblInd w:w="-289" w:type="dxa"/>
        <w:tblLook w:val="04A0" w:firstRow="1" w:lastRow="0" w:firstColumn="1" w:lastColumn="0" w:noHBand="0" w:noVBand="1"/>
      </w:tblPr>
      <w:tblGrid>
        <w:gridCol w:w="2594"/>
        <w:gridCol w:w="925"/>
        <w:gridCol w:w="925"/>
        <w:gridCol w:w="925"/>
        <w:gridCol w:w="925"/>
        <w:gridCol w:w="925"/>
        <w:gridCol w:w="2846"/>
      </w:tblGrid>
      <w:tr w:rsidR="005A5596" w:rsidRPr="004F27BE" w:rsidTr="009D2D0E">
        <w:trPr>
          <w:trHeight w:val="510"/>
        </w:trPr>
        <w:tc>
          <w:tcPr>
            <w:tcW w:w="2594" w:type="dxa"/>
            <w:vMerge w:val="restart"/>
          </w:tcPr>
          <w:p w:rsidR="005A5596" w:rsidRDefault="005A5596" w:rsidP="009D2D0E">
            <w:pPr>
              <w:spacing w:line="360" w:lineRule="auto"/>
              <w:jc w:val="both"/>
              <w:rPr>
                <w:rFonts w:cstheme="minorHAnsi"/>
                <w:b/>
                <w:sz w:val="24"/>
                <w:szCs w:val="24"/>
                <w:shd w:val="clear" w:color="auto" w:fill="FFFFFF"/>
              </w:rPr>
            </w:pPr>
          </w:p>
          <w:p w:rsidR="005A5596" w:rsidRPr="004F27BE" w:rsidRDefault="005A5596" w:rsidP="009D2D0E">
            <w:pPr>
              <w:spacing w:line="360" w:lineRule="auto"/>
              <w:jc w:val="both"/>
              <w:rPr>
                <w:rFonts w:cstheme="minorHAnsi"/>
                <w:b/>
                <w:sz w:val="24"/>
                <w:szCs w:val="24"/>
                <w:shd w:val="clear" w:color="auto" w:fill="FFFFFF"/>
              </w:rPr>
            </w:pPr>
            <w:r>
              <w:rPr>
                <w:rFonts w:cstheme="minorHAnsi"/>
                <w:b/>
                <w:sz w:val="24"/>
                <w:szCs w:val="24"/>
                <w:shd w:val="clear" w:color="auto" w:fill="FFFFFF"/>
              </w:rPr>
              <w:t>Profitability Ratio</w:t>
            </w:r>
          </w:p>
        </w:tc>
        <w:tc>
          <w:tcPr>
            <w:tcW w:w="4625" w:type="dxa"/>
            <w:gridSpan w:val="5"/>
          </w:tcPr>
          <w:p w:rsidR="005A5596" w:rsidRPr="004F27BE" w:rsidRDefault="005A5596" w:rsidP="005A5596">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Unilever</w:t>
            </w:r>
            <w:r>
              <w:rPr>
                <w:rFonts w:cstheme="minorHAnsi"/>
                <w:b/>
                <w:sz w:val="24"/>
                <w:szCs w:val="24"/>
                <w:shd w:val="clear" w:color="auto" w:fill="FFFFFF"/>
              </w:rPr>
              <w:t xml:space="preserve"> Group</w:t>
            </w:r>
          </w:p>
          <w:p w:rsidR="005A5596" w:rsidRPr="004F27BE" w:rsidRDefault="005A5596" w:rsidP="009D2D0E">
            <w:pPr>
              <w:spacing w:line="360" w:lineRule="auto"/>
              <w:jc w:val="both"/>
              <w:rPr>
                <w:rFonts w:cstheme="minorHAnsi"/>
                <w:b/>
                <w:sz w:val="24"/>
                <w:szCs w:val="24"/>
                <w:shd w:val="clear" w:color="auto" w:fill="FFFFFF"/>
              </w:rPr>
            </w:pPr>
          </w:p>
        </w:tc>
        <w:tc>
          <w:tcPr>
            <w:tcW w:w="2846" w:type="dxa"/>
            <w:vMerge w:val="restart"/>
          </w:tcPr>
          <w:p w:rsidR="005A5596" w:rsidRPr="004F27BE" w:rsidRDefault="005A5596" w:rsidP="009D2D0E">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Procter &amp; Gamble</w:t>
            </w:r>
          </w:p>
          <w:p w:rsidR="005A5596" w:rsidRPr="004F27BE" w:rsidRDefault="005A5596" w:rsidP="009D2D0E">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2018</w:t>
            </w:r>
          </w:p>
        </w:tc>
      </w:tr>
      <w:tr w:rsidR="005A5596" w:rsidRPr="004F27BE" w:rsidTr="009D2D0E">
        <w:trPr>
          <w:trHeight w:val="360"/>
        </w:trPr>
        <w:tc>
          <w:tcPr>
            <w:tcW w:w="2594" w:type="dxa"/>
            <w:vMerge/>
          </w:tcPr>
          <w:p w:rsidR="005A5596" w:rsidRPr="004F27BE" w:rsidRDefault="005A5596" w:rsidP="005A5596">
            <w:pPr>
              <w:spacing w:line="360" w:lineRule="auto"/>
              <w:jc w:val="both"/>
              <w:rPr>
                <w:rFonts w:cstheme="minorHAnsi"/>
                <w:b/>
                <w:sz w:val="24"/>
                <w:szCs w:val="24"/>
                <w:shd w:val="clear" w:color="auto" w:fill="FFFFFF"/>
              </w:rPr>
            </w:pPr>
          </w:p>
        </w:tc>
        <w:tc>
          <w:tcPr>
            <w:tcW w:w="925"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2014</w:t>
            </w:r>
          </w:p>
        </w:tc>
        <w:tc>
          <w:tcPr>
            <w:tcW w:w="925"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2015</w:t>
            </w:r>
          </w:p>
        </w:tc>
        <w:tc>
          <w:tcPr>
            <w:tcW w:w="925"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2016</w:t>
            </w:r>
          </w:p>
        </w:tc>
        <w:tc>
          <w:tcPr>
            <w:tcW w:w="925"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2017</w:t>
            </w:r>
          </w:p>
        </w:tc>
        <w:tc>
          <w:tcPr>
            <w:tcW w:w="925" w:type="dxa"/>
          </w:tcPr>
          <w:p w:rsidR="005A5596" w:rsidRPr="004F27BE" w:rsidRDefault="005A5596" w:rsidP="005A5596">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2018</w:t>
            </w:r>
          </w:p>
        </w:tc>
        <w:tc>
          <w:tcPr>
            <w:tcW w:w="2846" w:type="dxa"/>
            <w:vMerge/>
          </w:tcPr>
          <w:p w:rsidR="005A5596" w:rsidRPr="004F27BE" w:rsidRDefault="005A5596" w:rsidP="005A5596">
            <w:pPr>
              <w:spacing w:line="360" w:lineRule="auto"/>
              <w:jc w:val="center"/>
              <w:rPr>
                <w:rFonts w:cstheme="minorHAnsi"/>
                <w:b/>
                <w:sz w:val="24"/>
                <w:szCs w:val="24"/>
                <w:shd w:val="clear" w:color="auto" w:fill="FFFFFF"/>
              </w:rPr>
            </w:pPr>
          </w:p>
        </w:tc>
      </w:tr>
      <w:tr w:rsidR="005A5596" w:rsidTr="009D2D0E">
        <w:tc>
          <w:tcPr>
            <w:tcW w:w="2594"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Operating Margin</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0.16</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0.14</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0.15</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0.16</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0.25</w:t>
            </w:r>
          </w:p>
        </w:tc>
        <w:tc>
          <w:tcPr>
            <w:tcW w:w="2846"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0.21</w:t>
            </w:r>
          </w:p>
        </w:tc>
      </w:tr>
      <w:tr w:rsidR="005A5596" w:rsidTr="009D2D0E">
        <w:tc>
          <w:tcPr>
            <w:tcW w:w="2594"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Net Profit Margin</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0.11</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0.099</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0.10</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0.12</w:t>
            </w:r>
          </w:p>
        </w:tc>
        <w:tc>
          <w:tcPr>
            <w:tcW w:w="925"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0.19</w:t>
            </w:r>
          </w:p>
        </w:tc>
        <w:tc>
          <w:tcPr>
            <w:tcW w:w="2846" w:type="dxa"/>
          </w:tcPr>
          <w:p w:rsidR="005A5596" w:rsidRDefault="005A5596" w:rsidP="005A5596">
            <w:pPr>
              <w:spacing w:line="360" w:lineRule="auto"/>
              <w:jc w:val="both"/>
              <w:rPr>
                <w:rFonts w:cstheme="minorHAnsi"/>
                <w:sz w:val="24"/>
                <w:szCs w:val="24"/>
                <w:shd w:val="clear" w:color="auto" w:fill="FFFFFF"/>
              </w:rPr>
            </w:pPr>
            <w:r>
              <w:rPr>
                <w:rFonts w:cstheme="minorHAnsi"/>
                <w:sz w:val="24"/>
                <w:szCs w:val="24"/>
                <w:shd w:val="clear" w:color="auto" w:fill="FFFFFF"/>
              </w:rPr>
              <w:t>0.15</w:t>
            </w:r>
          </w:p>
        </w:tc>
      </w:tr>
    </w:tbl>
    <w:p w:rsidR="006C0281" w:rsidRDefault="006C0281" w:rsidP="00C36247">
      <w:pPr>
        <w:spacing w:line="360" w:lineRule="auto"/>
        <w:jc w:val="both"/>
        <w:rPr>
          <w:rFonts w:cstheme="minorHAnsi"/>
          <w:sz w:val="24"/>
          <w:szCs w:val="24"/>
          <w:shd w:val="clear" w:color="auto" w:fill="FFFFFF"/>
        </w:rPr>
      </w:pPr>
    </w:p>
    <w:p w:rsidR="009C6309" w:rsidRDefault="009C6309" w:rsidP="00415536">
      <w:pPr>
        <w:pStyle w:val="Heading2"/>
        <w:spacing w:after="100" w:afterAutospacing="1"/>
        <w:rPr>
          <w:shd w:val="clear" w:color="auto" w:fill="FFFFFF"/>
        </w:rPr>
      </w:pPr>
      <w:bookmarkStart w:id="6" w:name="_Toc30151576"/>
      <w:r>
        <w:rPr>
          <w:shd w:val="clear" w:color="auto" w:fill="FFFFFF"/>
        </w:rPr>
        <w:t>Net Profit Margin Ratio</w:t>
      </w:r>
      <w:bookmarkEnd w:id="6"/>
    </w:p>
    <w:p w:rsidR="006C0281" w:rsidRDefault="00F90FA7" w:rsidP="002F5925">
      <w:pPr>
        <w:spacing w:line="360" w:lineRule="auto"/>
        <w:jc w:val="both"/>
        <w:rPr>
          <w:rFonts w:cstheme="minorHAnsi"/>
          <w:sz w:val="24"/>
          <w:szCs w:val="24"/>
          <w:shd w:val="clear" w:color="auto" w:fill="FFFFFF"/>
        </w:rPr>
      </w:pPr>
      <w:r>
        <w:rPr>
          <w:rFonts w:cstheme="minorHAnsi"/>
          <w:sz w:val="24"/>
          <w:szCs w:val="24"/>
          <w:shd w:val="clear" w:color="auto" w:fill="FFFFFF"/>
        </w:rPr>
        <w:t xml:space="preserve">As we can see in the tables above, even if in 2015 the sales volume increased compared with 2014, the net profit margin (NPM) was slightly the same. Hence, Unilever earned </w:t>
      </w:r>
      <w:r w:rsidR="009E5623">
        <w:rPr>
          <w:rFonts w:cstheme="minorHAnsi"/>
          <w:sz w:val="24"/>
          <w:szCs w:val="24"/>
          <w:shd w:val="clear" w:color="auto" w:fill="FFFFFF"/>
        </w:rPr>
        <w:t>approximatively 11</w:t>
      </w:r>
      <w:r>
        <w:rPr>
          <w:rFonts w:cstheme="minorHAnsi"/>
          <w:sz w:val="24"/>
          <w:szCs w:val="24"/>
          <w:shd w:val="clear" w:color="auto" w:fill="FFFFFF"/>
        </w:rPr>
        <w:t xml:space="preserve"> pence for £1</w:t>
      </w:r>
      <w:r w:rsidR="00681D51">
        <w:rPr>
          <w:rFonts w:cstheme="minorHAnsi"/>
          <w:sz w:val="24"/>
          <w:szCs w:val="24"/>
          <w:shd w:val="clear" w:color="auto" w:fill="FFFFFF"/>
        </w:rPr>
        <w:t xml:space="preserve"> revenue</w:t>
      </w:r>
      <w:r>
        <w:rPr>
          <w:rFonts w:cstheme="minorHAnsi"/>
          <w:sz w:val="24"/>
          <w:szCs w:val="24"/>
          <w:shd w:val="clear" w:color="auto" w:fill="FFFFFF"/>
        </w:rPr>
        <w:t>.</w:t>
      </w:r>
      <w:r w:rsidR="00681D51">
        <w:rPr>
          <w:rFonts w:cstheme="minorHAnsi"/>
          <w:sz w:val="24"/>
          <w:szCs w:val="24"/>
          <w:shd w:val="clear" w:color="auto" w:fill="FFFFFF"/>
        </w:rPr>
        <w:t xml:space="preserve"> Between 2015 and 2017, both sales and NPM were very closed in value. The low value of NPM is due to the very high competition within the market and the increased bargaining power of the consumers </w:t>
      </w:r>
      <w:sdt>
        <w:sdtPr>
          <w:rPr>
            <w:rFonts w:cstheme="minorHAnsi"/>
            <w:sz w:val="24"/>
            <w:szCs w:val="24"/>
            <w:shd w:val="clear" w:color="auto" w:fill="FFFFFF"/>
          </w:rPr>
          <w:id w:val="-1394812773"/>
          <w:citation/>
        </w:sdtPr>
        <w:sdtEndPr/>
        <w:sdtContent>
          <w:r w:rsidR="00681D51">
            <w:rPr>
              <w:rFonts w:cstheme="minorHAnsi"/>
              <w:sz w:val="24"/>
              <w:szCs w:val="24"/>
              <w:shd w:val="clear" w:color="auto" w:fill="FFFFFF"/>
            </w:rPr>
            <w:fldChar w:fldCharType="begin"/>
          </w:r>
          <w:r w:rsidR="00681D51">
            <w:rPr>
              <w:rFonts w:cstheme="minorHAnsi"/>
              <w:sz w:val="24"/>
              <w:szCs w:val="24"/>
              <w:shd w:val="clear" w:color="auto" w:fill="FFFFFF"/>
            </w:rPr>
            <w:instrText xml:space="preserve"> CITATION Por08 \l 2057 </w:instrText>
          </w:r>
          <w:r w:rsidR="00681D51">
            <w:rPr>
              <w:rFonts w:cstheme="minorHAnsi"/>
              <w:sz w:val="24"/>
              <w:szCs w:val="24"/>
              <w:shd w:val="clear" w:color="auto" w:fill="FFFFFF"/>
            </w:rPr>
            <w:fldChar w:fldCharType="separate"/>
          </w:r>
          <w:r w:rsidR="00C1213C" w:rsidRPr="00C1213C">
            <w:rPr>
              <w:rFonts w:cstheme="minorHAnsi"/>
              <w:noProof/>
              <w:sz w:val="24"/>
              <w:szCs w:val="24"/>
              <w:shd w:val="clear" w:color="auto" w:fill="FFFFFF"/>
            </w:rPr>
            <w:t>(Porter, 2008)</w:t>
          </w:r>
          <w:r w:rsidR="00681D51">
            <w:rPr>
              <w:rFonts w:cstheme="minorHAnsi"/>
              <w:sz w:val="24"/>
              <w:szCs w:val="24"/>
              <w:shd w:val="clear" w:color="auto" w:fill="FFFFFF"/>
            </w:rPr>
            <w:fldChar w:fldCharType="end"/>
          </w:r>
        </w:sdtContent>
      </w:sdt>
      <w:r w:rsidR="00681D51">
        <w:rPr>
          <w:rFonts w:cstheme="minorHAnsi"/>
          <w:sz w:val="24"/>
          <w:szCs w:val="24"/>
          <w:shd w:val="clear" w:color="auto" w:fill="FFFFFF"/>
        </w:rPr>
        <w:t xml:space="preserve">. </w:t>
      </w:r>
      <w:r w:rsidR="00681D51" w:rsidRPr="00681D51">
        <w:rPr>
          <w:rFonts w:cstheme="minorHAnsi"/>
          <w:sz w:val="24"/>
          <w:szCs w:val="24"/>
          <w:shd w:val="clear" w:color="auto" w:fill="FFFFFF"/>
        </w:rPr>
        <w:t xml:space="preserve">The profit margin is used mainly for internal </w:t>
      </w:r>
      <w:proofErr w:type="gramStart"/>
      <w:r w:rsidR="00681D51" w:rsidRPr="00681D51">
        <w:rPr>
          <w:rFonts w:cstheme="minorHAnsi"/>
          <w:sz w:val="24"/>
          <w:szCs w:val="24"/>
          <w:shd w:val="clear" w:color="auto" w:fill="FFFFFF"/>
        </w:rPr>
        <w:t>comparison,</w:t>
      </w:r>
      <w:proofErr w:type="gramEnd"/>
      <w:r w:rsidR="00681D51" w:rsidRPr="00681D51">
        <w:rPr>
          <w:rFonts w:cstheme="minorHAnsi"/>
          <w:sz w:val="24"/>
          <w:szCs w:val="24"/>
          <w:shd w:val="clear" w:color="auto" w:fill="FFFFFF"/>
        </w:rPr>
        <w:t xml:space="preserve"> as reasonable profit margins vary from industry to industry. Strict profit margins generally sug</w:t>
      </w:r>
      <w:r w:rsidR="0019255D">
        <w:rPr>
          <w:rFonts w:cstheme="minorHAnsi"/>
          <w:sz w:val="24"/>
          <w:szCs w:val="24"/>
          <w:shd w:val="clear" w:color="auto" w:fill="FFFFFF"/>
        </w:rPr>
        <w:t xml:space="preserve">gest a rise in volatile profits </w:t>
      </w:r>
      <w:r w:rsidR="00681D51" w:rsidRPr="00681D51">
        <w:rPr>
          <w:rFonts w:cstheme="minorHAnsi"/>
          <w:sz w:val="24"/>
          <w:szCs w:val="24"/>
          <w:shd w:val="clear" w:color="auto" w:fill="FFFFFF"/>
        </w:rPr>
        <w:t xml:space="preserve"> Large profit margins reduce the risk of a decline in sales leading to a net loss of profit for b</w:t>
      </w:r>
      <w:r w:rsidR="00681D51">
        <w:rPr>
          <w:rFonts w:cstheme="minorHAnsi"/>
          <w:sz w:val="24"/>
          <w:szCs w:val="24"/>
          <w:shd w:val="clear" w:color="auto" w:fill="FFFFFF"/>
        </w:rPr>
        <w:t xml:space="preserve">usinesses with high fixed costs </w:t>
      </w:r>
      <w:sdt>
        <w:sdtPr>
          <w:rPr>
            <w:rFonts w:cstheme="minorHAnsi"/>
            <w:sz w:val="24"/>
            <w:szCs w:val="24"/>
            <w:shd w:val="clear" w:color="auto" w:fill="FFFFFF"/>
          </w:rPr>
          <w:id w:val="-1084376385"/>
          <w:citation/>
        </w:sdtPr>
        <w:sdtEndPr/>
        <w:sdtContent>
          <w:r w:rsidR="00681D51">
            <w:rPr>
              <w:rFonts w:cstheme="minorHAnsi"/>
              <w:sz w:val="24"/>
              <w:szCs w:val="24"/>
              <w:shd w:val="clear" w:color="auto" w:fill="FFFFFF"/>
            </w:rPr>
            <w:fldChar w:fldCharType="begin"/>
          </w:r>
          <w:r w:rsidR="00681D51">
            <w:rPr>
              <w:rFonts w:cstheme="minorHAnsi"/>
              <w:sz w:val="24"/>
              <w:szCs w:val="24"/>
              <w:shd w:val="clear" w:color="auto" w:fill="FFFFFF"/>
            </w:rPr>
            <w:instrText xml:space="preserve"> CITATION Ych19 \l 2057 </w:instrText>
          </w:r>
          <w:r w:rsidR="00681D51">
            <w:rPr>
              <w:rFonts w:cstheme="minorHAnsi"/>
              <w:sz w:val="24"/>
              <w:szCs w:val="24"/>
              <w:shd w:val="clear" w:color="auto" w:fill="FFFFFF"/>
            </w:rPr>
            <w:fldChar w:fldCharType="separate"/>
          </w:r>
          <w:r w:rsidR="00C1213C" w:rsidRPr="00C1213C">
            <w:rPr>
              <w:rFonts w:cstheme="minorHAnsi"/>
              <w:noProof/>
              <w:sz w:val="24"/>
              <w:szCs w:val="24"/>
              <w:shd w:val="clear" w:color="auto" w:fill="FFFFFF"/>
            </w:rPr>
            <w:t>(Ycharts, 2019)</w:t>
          </w:r>
          <w:r w:rsidR="00681D51">
            <w:rPr>
              <w:rFonts w:cstheme="minorHAnsi"/>
              <w:sz w:val="24"/>
              <w:szCs w:val="24"/>
              <w:shd w:val="clear" w:color="auto" w:fill="FFFFFF"/>
            </w:rPr>
            <w:fldChar w:fldCharType="end"/>
          </w:r>
        </w:sdtContent>
      </w:sdt>
      <w:r w:rsidR="00681D51">
        <w:rPr>
          <w:rFonts w:cstheme="minorHAnsi"/>
          <w:sz w:val="24"/>
          <w:szCs w:val="24"/>
          <w:shd w:val="clear" w:color="auto" w:fill="FFFFFF"/>
        </w:rPr>
        <w:t>.</w:t>
      </w:r>
      <w:r w:rsidR="004F276C">
        <w:rPr>
          <w:rFonts w:cstheme="minorHAnsi"/>
          <w:sz w:val="24"/>
          <w:szCs w:val="24"/>
          <w:shd w:val="clear" w:color="auto" w:fill="FFFFFF"/>
        </w:rPr>
        <w:t xml:space="preserve"> </w:t>
      </w:r>
      <w:r w:rsidR="00921631">
        <w:rPr>
          <w:rFonts w:cstheme="minorHAnsi"/>
          <w:sz w:val="24"/>
          <w:szCs w:val="24"/>
          <w:shd w:val="clear" w:color="auto" w:fill="FFFFFF"/>
        </w:rPr>
        <w:t xml:space="preserve">In 2018, Unilever Group had a total revenue significantly less than its top competitor, Procter &amp; Gamble. However, the net income and the net </w:t>
      </w:r>
      <w:r w:rsidR="00921631">
        <w:rPr>
          <w:rFonts w:cstheme="minorHAnsi"/>
          <w:sz w:val="24"/>
          <w:szCs w:val="24"/>
          <w:shd w:val="clear" w:color="auto" w:fill="FFFFFF"/>
        </w:rPr>
        <w:lastRenderedPageBreak/>
        <w:t xml:space="preserve">profit </w:t>
      </w:r>
      <w:r w:rsidR="009E5623">
        <w:rPr>
          <w:rFonts w:cstheme="minorHAnsi"/>
          <w:sz w:val="24"/>
          <w:szCs w:val="24"/>
          <w:shd w:val="clear" w:color="auto" w:fill="FFFFFF"/>
        </w:rPr>
        <w:t>margin are almost equal (</w:t>
      </w:r>
      <w:r w:rsidR="00921631">
        <w:rPr>
          <w:rFonts w:cstheme="minorHAnsi"/>
          <w:sz w:val="24"/>
          <w:szCs w:val="24"/>
          <w:shd w:val="clear" w:color="auto" w:fill="FFFFFF"/>
        </w:rPr>
        <w:t xml:space="preserve">Unilever-19%, P&amp;G-15%). </w:t>
      </w:r>
      <w:r w:rsidR="00E55248">
        <w:rPr>
          <w:rFonts w:cstheme="minorHAnsi"/>
          <w:sz w:val="24"/>
          <w:szCs w:val="24"/>
          <w:shd w:val="clear" w:color="auto" w:fill="FFFFFF"/>
        </w:rPr>
        <w:t>A possible cause might be the investments P&amp;G made in properties and new manufacturing facilities.</w:t>
      </w:r>
    </w:p>
    <w:p w:rsidR="009C6309" w:rsidRDefault="009C6309" w:rsidP="00415536">
      <w:pPr>
        <w:pStyle w:val="Heading2"/>
        <w:spacing w:after="100" w:afterAutospacing="1"/>
        <w:rPr>
          <w:shd w:val="clear" w:color="auto" w:fill="FFFFFF"/>
        </w:rPr>
      </w:pPr>
      <w:bookmarkStart w:id="7" w:name="_Toc30151577"/>
      <w:r>
        <w:rPr>
          <w:shd w:val="clear" w:color="auto" w:fill="FFFFFF"/>
        </w:rPr>
        <w:t>Operating Margin Ratio</w:t>
      </w:r>
      <w:bookmarkEnd w:id="7"/>
    </w:p>
    <w:p w:rsidR="00F13CB1" w:rsidRDefault="00F13CB1" w:rsidP="002F5925">
      <w:pPr>
        <w:spacing w:line="360" w:lineRule="auto"/>
        <w:jc w:val="both"/>
        <w:rPr>
          <w:rFonts w:cstheme="minorHAnsi"/>
          <w:sz w:val="24"/>
          <w:szCs w:val="24"/>
          <w:shd w:val="clear" w:color="auto" w:fill="FFFFFF"/>
        </w:rPr>
      </w:pPr>
      <w:r>
        <w:rPr>
          <w:rFonts w:cstheme="minorHAnsi"/>
          <w:sz w:val="24"/>
          <w:szCs w:val="24"/>
          <w:shd w:val="clear" w:color="auto" w:fill="FFFFFF"/>
        </w:rPr>
        <w:t xml:space="preserve">Between 2014 and 2017, the operating margins were almost constant at an average of 15%, and that can be interpreted that Unilever kept its operating costs under control. </w:t>
      </w:r>
      <w:r w:rsidRPr="00BB65DF">
        <w:rPr>
          <w:rFonts w:cstheme="minorHAnsi"/>
          <w:sz w:val="24"/>
          <w:szCs w:val="24"/>
          <w:shd w:val="clear" w:color="auto" w:fill="FFFFFF"/>
        </w:rPr>
        <w:t xml:space="preserve">Receiving 15% of its income from its service helps </w:t>
      </w:r>
      <w:r>
        <w:rPr>
          <w:rFonts w:cstheme="minorHAnsi"/>
          <w:sz w:val="24"/>
          <w:szCs w:val="24"/>
          <w:shd w:val="clear" w:color="auto" w:fill="FFFFFF"/>
        </w:rPr>
        <w:t>it operate smoothly and support the c</w:t>
      </w:r>
      <w:r w:rsidRPr="00BB65DF">
        <w:rPr>
          <w:rFonts w:cstheme="minorHAnsi"/>
          <w:sz w:val="24"/>
          <w:szCs w:val="24"/>
          <w:shd w:val="clear" w:color="auto" w:fill="FFFFFF"/>
        </w:rPr>
        <w:t>ompany with this profit. It also ensures that Unilever is not dependent on operating income.</w:t>
      </w:r>
      <w:r>
        <w:rPr>
          <w:rFonts w:cstheme="minorHAnsi"/>
          <w:sz w:val="24"/>
          <w:szCs w:val="24"/>
          <w:shd w:val="clear" w:color="auto" w:fill="FFFFFF"/>
        </w:rPr>
        <w:t xml:space="preserve">  However, if </w:t>
      </w:r>
      <w:r w:rsidRPr="006C3B08">
        <w:rPr>
          <w:rFonts w:cstheme="minorHAnsi"/>
          <w:sz w:val="24"/>
          <w:szCs w:val="24"/>
          <w:shd w:val="clear" w:color="auto" w:fill="FFFFFF"/>
        </w:rPr>
        <w:t xml:space="preserve">business falls, the organisation needs to </w:t>
      </w:r>
      <w:r>
        <w:rPr>
          <w:rFonts w:cstheme="minorHAnsi"/>
          <w:sz w:val="24"/>
          <w:szCs w:val="24"/>
          <w:shd w:val="clear" w:color="auto" w:fill="FFFFFF"/>
        </w:rPr>
        <w:t xml:space="preserve">find a new way to generate income </w:t>
      </w:r>
      <w:sdt>
        <w:sdtPr>
          <w:rPr>
            <w:rFonts w:cstheme="minorHAnsi"/>
            <w:sz w:val="24"/>
            <w:szCs w:val="24"/>
            <w:shd w:val="clear" w:color="auto" w:fill="FFFFFF"/>
          </w:rPr>
          <w:id w:val="-398436488"/>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mya19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(myaccountingcourse, 2019)</w:t>
          </w:r>
          <w:r>
            <w:rPr>
              <w:rFonts w:cstheme="minorHAnsi"/>
              <w:sz w:val="24"/>
              <w:szCs w:val="24"/>
              <w:shd w:val="clear" w:color="auto" w:fill="FFFFFF"/>
            </w:rPr>
            <w:fldChar w:fldCharType="end"/>
          </w:r>
        </w:sdtContent>
      </w:sdt>
      <w:r w:rsidRPr="006C3B08">
        <w:rPr>
          <w:rFonts w:cstheme="minorHAnsi"/>
          <w:sz w:val="24"/>
          <w:szCs w:val="24"/>
          <w:shd w:val="clear" w:color="auto" w:fill="FFFFFF"/>
        </w:rPr>
        <w:t>.</w:t>
      </w:r>
      <w:r>
        <w:rPr>
          <w:rFonts w:cstheme="minorHAnsi"/>
          <w:sz w:val="24"/>
          <w:szCs w:val="24"/>
          <w:shd w:val="clear" w:color="auto" w:fill="FFFFFF"/>
        </w:rPr>
        <w:t xml:space="preserve"> </w:t>
      </w:r>
      <w:r w:rsidRPr="00251A83">
        <w:rPr>
          <w:rFonts w:cstheme="minorHAnsi"/>
          <w:sz w:val="24"/>
          <w:szCs w:val="24"/>
          <w:shd w:val="clear" w:color="auto" w:fill="FFFFFF"/>
        </w:rPr>
        <w:t>Unilever started operating in three new di</w:t>
      </w:r>
      <w:r>
        <w:rPr>
          <w:rFonts w:cstheme="minorHAnsi"/>
          <w:sz w:val="24"/>
          <w:szCs w:val="24"/>
          <w:shd w:val="clear" w:color="auto" w:fill="FFFFFF"/>
        </w:rPr>
        <w:t xml:space="preserve">visions since beginning of 2018 </w:t>
      </w:r>
      <w:sdt>
        <w:sdtPr>
          <w:rPr>
            <w:rFonts w:cstheme="minorHAnsi"/>
            <w:sz w:val="24"/>
            <w:szCs w:val="24"/>
            <w:shd w:val="clear" w:color="auto" w:fill="FFFFFF"/>
          </w:rPr>
          <w:id w:val="-1756739573"/>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Uni191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2019)</w:t>
          </w:r>
          <w:r>
            <w:rPr>
              <w:rFonts w:cstheme="minorHAnsi"/>
              <w:sz w:val="24"/>
              <w:szCs w:val="24"/>
              <w:shd w:val="clear" w:color="auto" w:fill="FFFFFF"/>
            </w:rPr>
            <w:fldChar w:fldCharType="end"/>
          </w:r>
        </w:sdtContent>
      </w:sdt>
      <w:r>
        <w:rPr>
          <w:rFonts w:cstheme="minorHAnsi"/>
          <w:sz w:val="24"/>
          <w:szCs w:val="24"/>
          <w:shd w:val="clear" w:color="auto" w:fill="FFFFFF"/>
        </w:rPr>
        <w:t>and this can be a cause of both operating income and operating margin, from 16% in 2017 to 25% in 2018. With 25</w:t>
      </w:r>
      <w:r w:rsidRPr="00D5194F">
        <w:rPr>
          <w:rFonts w:cstheme="minorHAnsi"/>
          <w:sz w:val="24"/>
          <w:szCs w:val="24"/>
          <w:shd w:val="clear" w:color="auto" w:fill="FFFFFF"/>
        </w:rPr>
        <w:t>% operating margi</w:t>
      </w:r>
      <w:r>
        <w:rPr>
          <w:rFonts w:cstheme="minorHAnsi"/>
          <w:sz w:val="24"/>
          <w:szCs w:val="24"/>
          <w:shd w:val="clear" w:color="auto" w:fill="FFFFFF"/>
        </w:rPr>
        <w:t>n ratio means that only 20 pence will remain for every £1</w:t>
      </w:r>
      <w:r w:rsidRPr="00D5194F">
        <w:rPr>
          <w:rFonts w:cstheme="minorHAnsi"/>
          <w:sz w:val="24"/>
          <w:szCs w:val="24"/>
          <w:shd w:val="clear" w:color="auto" w:fill="FFFFFF"/>
        </w:rPr>
        <w:t xml:space="preserve"> in sales after the operating costs have been charged. This implies also that the non-operative expenses are </w:t>
      </w:r>
      <w:r>
        <w:rPr>
          <w:rFonts w:cstheme="minorHAnsi"/>
          <w:sz w:val="24"/>
          <w:szCs w:val="24"/>
          <w:shd w:val="clear" w:color="auto" w:fill="FFFFFF"/>
        </w:rPr>
        <w:t>only 20 pence</w:t>
      </w:r>
      <w:r w:rsidRPr="00D5194F">
        <w:rPr>
          <w:rFonts w:cstheme="minorHAnsi"/>
          <w:sz w:val="24"/>
          <w:szCs w:val="24"/>
          <w:shd w:val="clear" w:color="auto" w:fill="FFFFFF"/>
        </w:rPr>
        <w:t xml:space="preserve"> remaining.</w:t>
      </w:r>
      <w:r>
        <w:rPr>
          <w:rFonts w:cstheme="minorHAnsi"/>
          <w:sz w:val="24"/>
          <w:szCs w:val="24"/>
          <w:shd w:val="clear" w:color="auto" w:fill="FFFFFF"/>
        </w:rPr>
        <w:t xml:space="preserve"> The operating income and operating margin for P&amp;G in 2018 are very close to Unilever and one of the causes being the similarity between the business models </w:t>
      </w:r>
      <w:sdt>
        <w:sdtPr>
          <w:rPr>
            <w:rFonts w:cstheme="minorHAnsi"/>
            <w:sz w:val="24"/>
            <w:szCs w:val="24"/>
            <w:shd w:val="clear" w:color="auto" w:fill="FFFFFF"/>
          </w:rPr>
          <w:id w:val="552892053"/>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Pro19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(Procter &amp; Gamble, 2019)</w:t>
          </w:r>
          <w:r>
            <w:rPr>
              <w:rFonts w:cstheme="minorHAnsi"/>
              <w:sz w:val="24"/>
              <w:szCs w:val="24"/>
              <w:shd w:val="clear" w:color="auto" w:fill="FFFFFF"/>
            </w:rPr>
            <w:fldChar w:fldCharType="end"/>
          </w:r>
        </w:sdtContent>
      </w:sdt>
      <w:r>
        <w:rPr>
          <w:rFonts w:cstheme="minorHAnsi"/>
          <w:sz w:val="24"/>
          <w:szCs w:val="24"/>
          <w:shd w:val="clear" w:color="auto" w:fill="FFFFFF"/>
        </w:rPr>
        <w:t>.</w:t>
      </w:r>
    </w:p>
    <w:p w:rsidR="004F276C" w:rsidRDefault="004F276C" w:rsidP="002F5925">
      <w:pPr>
        <w:spacing w:line="360" w:lineRule="auto"/>
        <w:jc w:val="both"/>
        <w:rPr>
          <w:rFonts w:cstheme="minorHAnsi"/>
          <w:sz w:val="24"/>
          <w:szCs w:val="24"/>
          <w:shd w:val="clear" w:color="auto" w:fill="FFFFFF"/>
        </w:rPr>
      </w:pPr>
    </w:p>
    <w:p w:rsidR="00132AE1" w:rsidRPr="00C36247" w:rsidRDefault="009C6309" w:rsidP="00415536">
      <w:pPr>
        <w:pStyle w:val="Heading1"/>
        <w:spacing w:after="100" w:afterAutospacing="1"/>
        <w:rPr>
          <w:shd w:val="clear" w:color="auto" w:fill="FFFFFF"/>
        </w:rPr>
      </w:pPr>
      <w:bookmarkStart w:id="8" w:name="_Toc30151578"/>
      <w:r w:rsidRPr="00C36247">
        <w:rPr>
          <w:shd w:val="clear" w:color="auto" w:fill="FFFFFF"/>
        </w:rPr>
        <w:t>Efficiency ratios</w:t>
      </w:r>
      <w:bookmarkEnd w:id="8"/>
    </w:p>
    <w:p w:rsidR="00030B04" w:rsidRDefault="00030B04" w:rsidP="002F5925">
      <w:pPr>
        <w:spacing w:line="360" w:lineRule="auto"/>
        <w:jc w:val="both"/>
        <w:rPr>
          <w:rFonts w:cstheme="minorHAnsi"/>
          <w:sz w:val="24"/>
          <w:szCs w:val="24"/>
          <w:shd w:val="clear" w:color="auto" w:fill="FFFFFF"/>
        </w:rPr>
      </w:pPr>
      <w:r w:rsidRPr="00030B04">
        <w:rPr>
          <w:rFonts w:cstheme="minorHAnsi"/>
          <w:sz w:val="24"/>
          <w:szCs w:val="24"/>
          <w:shd w:val="clear" w:color="auto" w:fill="FFFFFF"/>
        </w:rPr>
        <w:t>The efficiency ratio generally analyses the way a company internally uses its assets and liabilities. The return on receivables, liabilities, the quantity and consumption of stocks as well as the general application of inventory and machinery are calculated by the efficiency ratio. The greater, the lower the ratio (50% is usually considered the highest ideal ratio). An increase in the efficiency ratio shows that cost increases or profit decreases. An efficiency ratio measures the ability of a company to generate revenue through its assets (Kenton, 2019). In this report, we will analyse fixed asset turnover and total asset turnover ratios. The equations for these ratios are:</w:t>
      </w:r>
    </w:p>
    <w:p w:rsidR="0019255D" w:rsidRPr="0019255D" w:rsidRDefault="0019255D" w:rsidP="002F5925">
      <w:pPr>
        <w:spacing w:line="360" w:lineRule="auto"/>
        <w:jc w:val="both"/>
        <w:rPr>
          <w:rFonts w:cstheme="minorHAnsi"/>
          <w:b/>
          <w:sz w:val="24"/>
          <w:szCs w:val="24"/>
          <w:shd w:val="clear" w:color="auto" w:fill="FFFFFF"/>
        </w:rPr>
      </w:pPr>
      <m:oMathPara>
        <m:oMathParaPr>
          <m:jc m:val="left"/>
        </m:oMathParaPr>
        <m:oMath>
          <m:r>
            <m:rPr>
              <m:sty m:val="b"/>
            </m:rPr>
            <w:rPr>
              <w:rFonts w:ascii="Cambria Math" w:hAnsi="Cambria Math" w:cs="Cambria Math"/>
              <w:sz w:val="24"/>
              <w:szCs w:val="24"/>
              <w:shd w:val="clear" w:color="auto" w:fill="FFFFFF"/>
            </w:rPr>
            <m:t>Fixed Asset Turnover=</m:t>
          </m:r>
          <m:f>
            <m:fPr>
              <m:ctrlPr>
                <w:rPr>
                  <w:rFonts w:ascii="Cambria Math" w:hAnsi="Cambria Math" w:cstheme="minorHAnsi"/>
                  <w:b/>
                  <w:sz w:val="24"/>
                  <w:szCs w:val="24"/>
                  <w:shd w:val="clear" w:color="auto" w:fill="FFFFFF"/>
                </w:rPr>
              </m:ctrlPr>
            </m:fPr>
            <m:num>
              <m:r>
                <m:rPr>
                  <m:sty m:val="b"/>
                </m:rPr>
                <w:rPr>
                  <w:rFonts w:ascii="Cambria Math" w:hAnsi="Cambria Math" w:cstheme="minorHAnsi"/>
                  <w:sz w:val="24"/>
                  <w:szCs w:val="24"/>
                  <w:shd w:val="clear" w:color="auto" w:fill="FFFFFF"/>
                </w:rPr>
                <m:t>Sales</m:t>
              </m:r>
            </m:num>
            <m:den>
              <m:r>
                <m:rPr>
                  <m:sty m:val="b"/>
                </m:rPr>
                <w:rPr>
                  <w:rFonts w:ascii="Cambria Math" w:hAnsi="Cambria Math" w:cs="Cambria Math"/>
                  <w:sz w:val="24"/>
                  <w:szCs w:val="24"/>
                  <w:shd w:val="clear" w:color="auto" w:fill="FFFFFF"/>
                </w:rPr>
                <m:t>Fixes Assets</m:t>
              </m:r>
            </m:den>
          </m:f>
          <m:r>
            <m:rPr>
              <m:sty m:val="b"/>
            </m:rPr>
            <w:rPr>
              <w:rFonts w:ascii="Cambria Math" w:eastAsiaTheme="minorEastAsia" w:hAnsi="Cambria Math" w:cs="Cambria Math"/>
              <w:sz w:val="24"/>
              <w:szCs w:val="24"/>
              <w:shd w:val="clear" w:color="auto" w:fill="FFFFFF"/>
            </w:rPr>
            <m:t>=</m:t>
          </m:r>
          <m:f>
            <m:fPr>
              <m:ctrlPr>
                <w:rPr>
                  <w:rFonts w:ascii="Cambria Math" w:eastAsiaTheme="minorEastAsia" w:hAnsi="Cambria Math" w:cstheme="minorHAnsi"/>
                  <w:b/>
                  <w:sz w:val="24"/>
                  <w:szCs w:val="24"/>
                  <w:shd w:val="clear" w:color="auto" w:fill="FFFFFF"/>
                </w:rPr>
              </m:ctrlPr>
            </m:fPr>
            <m:num>
              <m:r>
                <m:rPr>
                  <m:sty m:val="b"/>
                </m:rPr>
                <w:rPr>
                  <w:rFonts w:ascii="Cambria Math" w:eastAsiaTheme="minorEastAsia" w:hAnsi="Cambria Math" w:cstheme="minorHAnsi"/>
                  <w:sz w:val="24"/>
                  <w:szCs w:val="24"/>
                  <w:shd w:val="clear" w:color="auto" w:fill="FFFFFF"/>
                </w:rPr>
                <m:t>Sales</m:t>
              </m:r>
            </m:num>
            <m:den>
              <m:r>
                <m:rPr>
                  <m:sty m:val="b"/>
                </m:rPr>
                <w:rPr>
                  <w:rFonts w:ascii="Cambria Math" w:eastAsiaTheme="minorEastAsia" w:hAnsi="Cambria Math" w:cs="Cambria Math"/>
                  <w:sz w:val="24"/>
                  <w:szCs w:val="24"/>
                  <w:shd w:val="clear" w:color="auto" w:fill="FFFFFF"/>
                </w:rPr>
                <m:t>Property, Plant, Equipment</m:t>
              </m:r>
            </m:den>
          </m:f>
        </m:oMath>
      </m:oMathPara>
    </w:p>
    <w:p w:rsidR="00AF4E96" w:rsidRPr="0019255D" w:rsidRDefault="0019255D" w:rsidP="002F5925">
      <w:pPr>
        <w:spacing w:line="360" w:lineRule="auto"/>
        <w:jc w:val="both"/>
        <w:rPr>
          <w:rFonts w:cstheme="minorHAnsi"/>
          <w:b/>
          <w:sz w:val="24"/>
          <w:szCs w:val="24"/>
        </w:rPr>
      </w:pPr>
      <m:oMathPara>
        <m:oMathParaPr>
          <m:jc m:val="left"/>
        </m:oMathParaPr>
        <m:oMath>
          <m:r>
            <m:rPr>
              <m:sty m:val="b"/>
            </m:rPr>
            <w:rPr>
              <w:rFonts w:ascii="Cambria Math" w:hAnsi="Cambria Math" w:cs="Cambria Math"/>
              <w:sz w:val="24"/>
              <w:szCs w:val="24"/>
            </w:rPr>
            <m:t>Total Asset Turnover=</m:t>
          </m:r>
          <m:f>
            <m:fPr>
              <m:ctrlPr>
                <w:rPr>
                  <w:rFonts w:ascii="Cambria Math" w:hAnsi="Cambria Math" w:cstheme="minorHAnsi"/>
                  <w:b/>
                  <w:sz w:val="24"/>
                  <w:szCs w:val="24"/>
                </w:rPr>
              </m:ctrlPr>
            </m:fPr>
            <m:num>
              <m:r>
                <m:rPr>
                  <m:sty m:val="b"/>
                </m:rPr>
                <w:rPr>
                  <w:rFonts w:ascii="Cambria Math" w:hAnsi="Cambria Math" w:cstheme="minorHAnsi"/>
                  <w:sz w:val="24"/>
                  <w:szCs w:val="24"/>
                </w:rPr>
                <m:t>Sales</m:t>
              </m:r>
            </m:num>
            <m:den>
              <m:r>
                <m:rPr>
                  <m:sty m:val="b"/>
                </m:rPr>
                <w:rPr>
                  <w:rFonts w:ascii="Cambria Math" w:hAnsi="Cambria Math" w:cs="Cambria Math"/>
                  <w:sz w:val="24"/>
                  <w:szCs w:val="24"/>
                </w:rPr>
                <m:t>Total assets</m:t>
              </m:r>
            </m:den>
          </m:f>
        </m:oMath>
      </m:oMathPara>
    </w:p>
    <w:p w:rsidR="00376902" w:rsidRDefault="00376902" w:rsidP="002F5925">
      <w:pPr>
        <w:spacing w:line="360" w:lineRule="auto"/>
        <w:jc w:val="both"/>
        <w:rPr>
          <w:rFonts w:cstheme="minorHAnsi"/>
          <w:b/>
          <w:sz w:val="24"/>
          <w:szCs w:val="24"/>
          <w:shd w:val="clear" w:color="auto" w:fill="FFFFFF"/>
        </w:rPr>
      </w:pPr>
    </w:p>
    <w:p w:rsidR="0019255D" w:rsidRDefault="0019255D" w:rsidP="002F5925">
      <w:pPr>
        <w:spacing w:line="360" w:lineRule="auto"/>
        <w:jc w:val="both"/>
        <w:rPr>
          <w:rFonts w:cstheme="minorHAnsi"/>
          <w:sz w:val="24"/>
          <w:szCs w:val="24"/>
          <w:shd w:val="clear" w:color="auto" w:fill="FFFFFF"/>
        </w:rPr>
      </w:pPr>
      <w:r w:rsidRPr="00415536">
        <w:rPr>
          <w:rFonts w:cstheme="minorHAnsi"/>
          <w:b/>
          <w:sz w:val="24"/>
          <w:szCs w:val="24"/>
          <w:shd w:val="clear" w:color="auto" w:fill="FFFFFF"/>
        </w:rPr>
        <w:lastRenderedPageBreak/>
        <w:t>Table 3</w:t>
      </w:r>
      <w:r>
        <w:rPr>
          <w:rFonts w:cstheme="minorHAnsi"/>
          <w:sz w:val="24"/>
          <w:szCs w:val="24"/>
          <w:shd w:val="clear" w:color="auto" w:fill="FFFFFF"/>
        </w:rPr>
        <w:t xml:space="preserve">. Fixed Assets and Total Assets of Unilever (2014 – 2018) and Procter &amp; Gamble  (2018) </w:t>
      </w:r>
      <w:sdt>
        <w:sdtPr>
          <w:rPr>
            <w:rFonts w:cstheme="minorHAnsi"/>
            <w:sz w:val="24"/>
            <w:szCs w:val="24"/>
            <w:shd w:val="clear" w:color="auto" w:fill="FFFFFF"/>
          </w:rPr>
          <w:id w:val="2081935887"/>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CITATION Uni15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2015)</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sdt>
        <w:sdtPr>
          <w:rPr>
            <w:rFonts w:cstheme="minorHAnsi"/>
            <w:sz w:val="24"/>
            <w:szCs w:val="24"/>
            <w:shd w:val="clear" w:color="auto" w:fill="FFFFFF"/>
          </w:rPr>
          <w:id w:val="-216286388"/>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Uni17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2017)</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sdt>
        <w:sdtPr>
          <w:rPr>
            <w:rFonts w:cstheme="minorHAnsi"/>
            <w:sz w:val="24"/>
            <w:szCs w:val="24"/>
            <w:shd w:val="clear" w:color="auto" w:fill="FFFFFF"/>
          </w:rPr>
          <w:id w:val="-1021544385"/>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Uni191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2019)</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sdt>
        <w:sdtPr>
          <w:rPr>
            <w:rFonts w:cstheme="minorHAnsi"/>
            <w:sz w:val="24"/>
            <w:szCs w:val="24"/>
            <w:shd w:val="clear" w:color="auto" w:fill="FFFFFF"/>
          </w:rPr>
          <w:id w:val="1399476103"/>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Pro19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(Procter &amp; Gamble, 2019)</w:t>
          </w:r>
          <w:r>
            <w:rPr>
              <w:rFonts w:cstheme="minorHAnsi"/>
              <w:sz w:val="24"/>
              <w:szCs w:val="24"/>
              <w:shd w:val="clear" w:color="auto" w:fill="FFFFFF"/>
            </w:rPr>
            <w:fldChar w:fldCharType="end"/>
          </w:r>
        </w:sdtContent>
      </w:sdt>
      <w:r>
        <w:rPr>
          <w:rFonts w:cstheme="minorHAnsi"/>
          <w:sz w:val="24"/>
          <w:szCs w:val="24"/>
          <w:shd w:val="clear" w:color="auto" w:fill="FFFFFF"/>
        </w:rPr>
        <w:t>.</w:t>
      </w:r>
    </w:p>
    <w:tbl>
      <w:tblPr>
        <w:tblStyle w:val="TableGrid"/>
        <w:tblW w:w="9673" w:type="dxa"/>
        <w:tblInd w:w="-289" w:type="dxa"/>
        <w:tblLook w:val="04A0" w:firstRow="1" w:lastRow="0" w:firstColumn="1" w:lastColumn="0" w:noHBand="0" w:noVBand="1"/>
      </w:tblPr>
      <w:tblGrid>
        <w:gridCol w:w="2437"/>
        <w:gridCol w:w="953"/>
        <w:gridCol w:w="885"/>
        <w:gridCol w:w="1042"/>
        <w:gridCol w:w="1042"/>
        <w:gridCol w:w="1045"/>
        <w:gridCol w:w="2269"/>
      </w:tblGrid>
      <w:tr w:rsidR="0019255D" w:rsidRPr="004F27BE" w:rsidTr="003435A5">
        <w:trPr>
          <w:trHeight w:val="1201"/>
        </w:trPr>
        <w:tc>
          <w:tcPr>
            <w:tcW w:w="2450" w:type="dxa"/>
            <w:vMerge w:val="restart"/>
            <w:vAlign w:val="center"/>
          </w:tcPr>
          <w:p w:rsidR="0019255D" w:rsidRDefault="0019255D" w:rsidP="009D2D0E">
            <w:pPr>
              <w:spacing w:line="360" w:lineRule="auto"/>
              <w:jc w:val="both"/>
              <w:rPr>
                <w:rFonts w:cstheme="minorHAnsi"/>
                <w:b/>
                <w:sz w:val="24"/>
                <w:szCs w:val="24"/>
                <w:shd w:val="clear" w:color="auto" w:fill="FFFFFF"/>
              </w:rPr>
            </w:pPr>
          </w:p>
          <w:p w:rsidR="0019255D" w:rsidRPr="004F27BE" w:rsidRDefault="0019255D" w:rsidP="009D2D0E">
            <w:pPr>
              <w:spacing w:line="360" w:lineRule="auto"/>
              <w:jc w:val="both"/>
              <w:rPr>
                <w:rFonts w:cstheme="minorHAnsi"/>
                <w:b/>
                <w:sz w:val="24"/>
                <w:szCs w:val="24"/>
                <w:shd w:val="clear" w:color="auto" w:fill="FFFFFF"/>
              </w:rPr>
            </w:pPr>
            <w:r>
              <w:rPr>
                <w:rFonts w:cstheme="minorHAnsi"/>
                <w:b/>
                <w:sz w:val="24"/>
                <w:szCs w:val="24"/>
                <w:shd w:val="clear" w:color="auto" w:fill="FFFFFF"/>
              </w:rPr>
              <w:t>Financial Data</w:t>
            </w:r>
          </w:p>
        </w:tc>
        <w:tc>
          <w:tcPr>
            <w:tcW w:w="4939" w:type="dxa"/>
            <w:gridSpan w:val="5"/>
            <w:vAlign w:val="center"/>
          </w:tcPr>
          <w:p w:rsidR="0019255D" w:rsidRPr="004F27BE" w:rsidRDefault="0019255D" w:rsidP="009D2D0E">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Unilever</w:t>
            </w:r>
            <w:r>
              <w:rPr>
                <w:rFonts w:cstheme="minorHAnsi"/>
                <w:b/>
                <w:sz w:val="24"/>
                <w:szCs w:val="24"/>
                <w:shd w:val="clear" w:color="auto" w:fill="FFFFFF"/>
              </w:rPr>
              <w:t xml:space="preserve"> Group</w:t>
            </w:r>
          </w:p>
          <w:p w:rsidR="0019255D" w:rsidRPr="004F27BE" w:rsidRDefault="0019255D" w:rsidP="009D2D0E">
            <w:pPr>
              <w:spacing w:line="360" w:lineRule="auto"/>
              <w:jc w:val="both"/>
              <w:rPr>
                <w:rFonts w:cstheme="minorHAnsi"/>
                <w:b/>
                <w:sz w:val="24"/>
                <w:szCs w:val="24"/>
                <w:shd w:val="clear" w:color="auto" w:fill="FFFFFF"/>
              </w:rPr>
            </w:pPr>
          </w:p>
        </w:tc>
        <w:tc>
          <w:tcPr>
            <w:tcW w:w="2284" w:type="dxa"/>
            <w:vMerge w:val="restart"/>
            <w:vAlign w:val="center"/>
          </w:tcPr>
          <w:p w:rsidR="0019255D" w:rsidRDefault="0019255D" w:rsidP="009D2D0E">
            <w:pPr>
              <w:jc w:val="center"/>
              <w:rPr>
                <w:rFonts w:cstheme="minorHAnsi"/>
                <w:b/>
                <w:sz w:val="24"/>
                <w:szCs w:val="24"/>
                <w:shd w:val="clear" w:color="auto" w:fill="FFFFFF"/>
              </w:rPr>
            </w:pPr>
          </w:p>
          <w:p w:rsidR="0019255D" w:rsidRPr="004F27BE" w:rsidRDefault="0019255D" w:rsidP="009D2D0E">
            <w:pPr>
              <w:jc w:val="center"/>
              <w:rPr>
                <w:rFonts w:cstheme="minorHAnsi"/>
                <w:b/>
                <w:sz w:val="24"/>
                <w:szCs w:val="24"/>
                <w:shd w:val="clear" w:color="auto" w:fill="FFFFFF"/>
              </w:rPr>
            </w:pPr>
            <w:r w:rsidRPr="004F27BE">
              <w:rPr>
                <w:rFonts w:cstheme="minorHAnsi"/>
                <w:b/>
                <w:sz w:val="24"/>
                <w:szCs w:val="24"/>
                <w:shd w:val="clear" w:color="auto" w:fill="FFFFFF"/>
              </w:rPr>
              <w:t>Procter &amp; Gamble</w:t>
            </w:r>
          </w:p>
          <w:p w:rsidR="0019255D" w:rsidRPr="004F27BE" w:rsidRDefault="0019255D" w:rsidP="009D2D0E">
            <w:pPr>
              <w:jc w:val="center"/>
              <w:rPr>
                <w:rFonts w:cstheme="minorHAnsi"/>
                <w:b/>
                <w:sz w:val="24"/>
                <w:szCs w:val="24"/>
                <w:shd w:val="clear" w:color="auto" w:fill="FFFFFF"/>
              </w:rPr>
            </w:pPr>
            <w:r w:rsidRPr="004F27BE">
              <w:rPr>
                <w:rFonts w:cstheme="minorHAnsi"/>
                <w:b/>
                <w:sz w:val="24"/>
                <w:szCs w:val="24"/>
                <w:shd w:val="clear" w:color="auto" w:fill="FFFFFF"/>
              </w:rPr>
              <w:t>2018</w:t>
            </w:r>
          </w:p>
        </w:tc>
      </w:tr>
      <w:tr w:rsidR="0019255D" w:rsidRPr="004F27BE" w:rsidTr="003435A5">
        <w:trPr>
          <w:trHeight w:val="1072"/>
        </w:trPr>
        <w:tc>
          <w:tcPr>
            <w:tcW w:w="2450" w:type="dxa"/>
            <w:vMerge/>
            <w:vAlign w:val="center"/>
          </w:tcPr>
          <w:p w:rsidR="0019255D" w:rsidRPr="004F27BE" w:rsidRDefault="0019255D" w:rsidP="009D2D0E">
            <w:pPr>
              <w:spacing w:line="360" w:lineRule="auto"/>
              <w:jc w:val="both"/>
              <w:rPr>
                <w:rFonts w:cstheme="minorHAnsi"/>
                <w:b/>
                <w:sz w:val="24"/>
                <w:szCs w:val="24"/>
                <w:shd w:val="clear" w:color="auto" w:fill="FFFFFF"/>
              </w:rPr>
            </w:pPr>
          </w:p>
        </w:tc>
        <w:tc>
          <w:tcPr>
            <w:tcW w:w="954" w:type="dxa"/>
            <w:vAlign w:val="center"/>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2014</w:t>
            </w:r>
          </w:p>
        </w:tc>
        <w:tc>
          <w:tcPr>
            <w:tcW w:w="850" w:type="dxa"/>
            <w:vAlign w:val="center"/>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2015</w:t>
            </w:r>
          </w:p>
        </w:tc>
        <w:tc>
          <w:tcPr>
            <w:tcW w:w="1044" w:type="dxa"/>
            <w:vAlign w:val="center"/>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2016</w:t>
            </w:r>
          </w:p>
        </w:tc>
        <w:tc>
          <w:tcPr>
            <w:tcW w:w="1044" w:type="dxa"/>
            <w:vAlign w:val="center"/>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2017</w:t>
            </w:r>
          </w:p>
        </w:tc>
        <w:tc>
          <w:tcPr>
            <w:tcW w:w="1044" w:type="dxa"/>
            <w:vAlign w:val="center"/>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2018</w:t>
            </w:r>
          </w:p>
        </w:tc>
        <w:tc>
          <w:tcPr>
            <w:tcW w:w="2284" w:type="dxa"/>
            <w:vMerge/>
            <w:vAlign w:val="center"/>
          </w:tcPr>
          <w:p w:rsidR="0019255D" w:rsidRPr="004F27BE" w:rsidRDefault="0019255D" w:rsidP="009D2D0E">
            <w:pPr>
              <w:spacing w:line="360" w:lineRule="auto"/>
              <w:jc w:val="center"/>
              <w:rPr>
                <w:rFonts w:cstheme="minorHAnsi"/>
                <w:b/>
                <w:sz w:val="24"/>
                <w:szCs w:val="24"/>
                <w:shd w:val="clear" w:color="auto" w:fill="FFFFFF"/>
              </w:rPr>
            </w:pPr>
          </w:p>
        </w:tc>
      </w:tr>
      <w:tr w:rsidR="0019255D" w:rsidTr="003435A5">
        <w:trPr>
          <w:trHeight w:val="851"/>
        </w:trPr>
        <w:tc>
          <w:tcPr>
            <w:tcW w:w="2450" w:type="dxa"/>
            <w:vAlign w:val="center"/>
          </w:tcPr>
          <w:p w:rsidR="0019255D" w:rsidRDefault="0019255D" w:rsidP="009D2D0E">
            <w:pPr>
              <w:spacing w:line="360" w:lineRule="auto"/>
              <w:jc w:val="both"/>
              <w:rPr>
                <w:rFonts w:cstheme="minorHAnsi"/>
                <w:sz w:val="24"/>
                <w:szCs w:val="24"/>
                <w:shd w:val="clear" w:color="auto" w:fill="FFFFFF"/>
              </w:rPr>
            </w:pPr>
            <w:r>
              <w:rPr>
                <w:rFonts w:cstheme="minorHAnsi"/>
                <w:sz w:val="24"/>
                <w:szCs w:val="24"/>
                <w:shd w:val="clear" w:color="auto" w:fill="FFFFFF"/>
              </w:rPr>
              <w:t>Sales (€m)</w:t>
            </w:r>
          </w:p>
        </w:tc>
        <w:tc>
          <w:tcPr>
            <w:tcW w:w="954"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48,436</w:t>
            </w:r>
          </w:p>
        </w:tc>
        <w:tc>
          <w:tcPr>
            <w:tcW w:w="850"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53,272</w:t>
            </w:r>
          </w:p>
        </w:tc>
        <w:tc>
          <w:tcPr>
            <w:tcW w:w="1044"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52,713</w:t>
            </w:r>
          </w:p>
        </w:tc>
        <w:tc>
          <w:tcPr>
            <w:tcW w:w="1044"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53,715</w:t>
            </w:r>
          </w:p>
        </w:tc>
        <w:tc>
          <w:tcPr>
            <w:tcW w:w="1044"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50,982</w:t>
            </w:r>
          </w:p>
        </w:tc>
        <w:tc>
          <w:tcPr>
            <w:tcW w:w="2284"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66,832</w:t>
            </w:r>
          </w:p>
        </w:tc>
      </w:tr>
      <w:tr w:rsidR="0019255D" w:rsidTr="003435A5">
        <w:trPr>
          <w:trHeight w:val="851"/>
        </w:trPr>
        <w:tc>
          <w:tcPr>
            <w:tcW w:w="2450" w:type="dxa"/>
            <w:vAlign w:val="center"/>
          </w:tcPr>
          <w:p w:rsidR="0019255D" w:rsidRDefault="0019255D" w:rsidP="009D2D0E">
            <w:pPr>
              <w:spacing w:line="360" w:lineRule="auto"/>
              <w:jc w:val="both"/>
              <w:rPr>
                <w:rFonts w:cstheme="minorHAnsi"/>
                <w:sz w:val="24"/>
                <w:szCs w:val="24"/>
                <w:shd w:val="clear" w:color="auto" w:fill="FFFFFF"/>
              </w:rPr>
            </w:pPr>
            <w:r>
              <w:rPr>
                <w:rFonts w:cstheme="minorHAnsi"/>
                <w:sz w:val="24"/>
                <w:szCs w:val="24"/>
                <w:shd w:val="clear" w:color="auto" w:fill="FFFFFF"/>
              </w:rPr>
              <w:t>Fixed Assets/PPE (€m)</w:t>
            </w:r>
          </w:p>
        </w:tc>
        <w:tc>
          <w:tcPr>
            <w:tcW w:w="954" w:type="dxa"/>
            <w:vAlign w:val="center"/>
          </w:tcPr>
          <w:p w:rsidR="0019255D" w:rsidRDefault="00394852" w:rsidP="009D2D0E">
            <w:pPr>
              <w:jc w:val="both"/>
              <w:rPr>
                <w:rFonts w:cstheme="minorHAnsi"/>
                <w:sz w:val="24"/>
                <w:szCs w:val="24"/>
                <w:shd w:val="clear" w:color="auto" w:fill="FFFFFF"/>
              </w:rPr>
            </w:pPr>
            <w:r>
              <w:rPr>
                <w:rFonts w:cstheme="minorHAnsi"/>
                <w:sz w:val="24"/>
                <w:szCs w:val="24"/>
                <w:shd w:val="clear" w:color="auto" w:fill="FFFFFF"/>
              </w:rPr>
              <w:t>10,472</w:t>
            </w:r>
          </w:p>
        </w:tc>
        <w:tc>
          <w:tcPr>
            <w:tcW w:w="850" w:type="dxa"/>
            <w:vAlign w:val="center"/>
          </w:tcPr>
          <w:p w:rsidR="0019255D" w:rsidRDefault="00394852" w:rsidP="009D2D0E">
            <w:r>
              <w:t>11,058</w:t>
            </w:r>
          </w:p>
        </w:tc>
        <w:tc>
          <w:tcPr>
            <w:tcW w:w="1044" w:type="dxa"/>
            <w:vAlign w:val="center"/>
          </w:tcPr>
          <w:p w:rsidR="0019255D" w:rsidRDefault="00394852" w:rsidP="009D2D0E">
            <w:r>
              <w:t>11,673</w:t>
            </w:r>
          </w:p>
        </w:tc>
        <w:tc>
          <w:tcPr>
            <w:tcW w:w="1044" w:type="dxa"/>
            <w:vAlign w:val="center"/>
          </w:tcPr>
          <w:p w:rsidR="0019255D" w:rsidRDefault="00394852" w:rsidP="009D2D0E">
            <w:r>
              <w:t>10,411</w:t>
            </w:r>
          </w:p>
        </w:tc>
        <w:tc>
          <w:tcPr>
            <w:tcW w:w="1044" w:type="dxa"/>
            <w:vAlign w:val="center"/>
          </w:tcPr>
          <w:p w:rsidR="0019255D" w:rsidRDefault="00394852" w:rsidP="009D2D0E">
            <w:r>
              <w:t>10,347</w:t>
            </w:r>
          </w:p>
        </w:tc>
        <w:tc>
          <w:tcPr>
            <w:tcW w:w="2284" w:type="dxa"/>
            <w:vAlign w:val="center"/>
          </w:tcPr>
          <w:p w:rsidR="0019255D" w:rsidRDefault="001C6279" w:rsidP="009D2D0E">
            <w:pPr>
              <w:spacing w:line="360" w:lineRule="auto"/>
              <w:jc w:val="both"/>
              <w:rPr>
                <w:rFonts w:cstheme="minorHAnsi"/>
                <w:sz w:val="24"/>
                <w:szCs w:val="24"/>
                <w:shd w:val="clear" w:color="auto" w:fill="FFFFFF"/>
              </w:rPr>
            </w:pPr>
            <w:r>
              <w:rPr>
                <w:rFonts w:cstheme="minorHAnsi"/>
                <w:sz w:val="24"/>
                <w:szCs w:val="24"/>
                <w:shd w:val="clear" w:color="auto" w:fill="FFFFFF"/>
              </w:rPr>
              <w:t>20,600</w:t>
            </w:r>
          </w:p>
        </w:tc>
      </w:tr>
      <w:tr w:rsidR="0019255D" w:rsidTr="003435A5">
        <w:trPr>
          <w:trHeight w:val="851"/>
        </w:trPr>
        <w:tc>
          <w:tcPr>
            <w:tcW w:w="2450" w:type="dxa"/>
            <w:vAlign w:val="center"/>
          </w:tcPr>
          <w:p w:rsidR="0019255D" w:rsidRDefault="0019255D" w:rsidP="009D2D0E">
            <w:pPr>
              <w:spacing w:line="360" w:lineRule="auto"/>
              <w:jc w:val="both"/>
              <w:rPr>
                <w:rFonts w:cstheme="minorHAnsi"/>
                <w:sz w:val="24"/>
                <w:szCs w:val="24"/>
                <w:shd w:val="clear" w:color="auto" w:fill="FFFFFF"/>
              </w:rPr>
            </w:pPr>
            <w:r>
              <w:rPr>
                <w:rFonts w:cstheme="minorHAnsi"/>
                <w:sz w:val="24"/>
                <w:szCs w:val="24"/>
                <w:shd w:val="clear" w:color="auto" w:fill="FFFFFF"/>
              </w:rPr>
              <w:t>Total Assets (€m)</w:t>
            </w:r>
          </w:p>
        </w:tc>
        <w:tc>
          <w:tcPr>
            <w:tcW w:w="954"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48,027</w:t>
            </w:r>
          </w:p>
        </w:tc>
        <w:tc>
          <w:tcPr>
            <w:tcW w:w="850"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52,298</w:t>
            </w:r>
          </w:p>
        </w:tc>
        <w:tc>
          <w:tcPr>
            <w:tcW w:w="1044"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56,429</w:t>
            </w:r>
          </w:p>
        </w:tc>
        <w:tc>
          <w:tcPr>
            <w:tcW w:w="1044"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60,285</w:t>
            </w:r>
          </w:p>
        </w:tc>
        <w:tc>
          <w:tcPr>
            <w:tcW w:w="1044" w:type="dxa"/>
            <w:vAlign w:val="center"/>
          </w:tcPr>
          <w:p w:rsidR="0019255D" w:rsidRDefault="00394852" w:rsidP="009D2D0E">
            <w:pPr>
              <w:spacing w:line="360" w:lineRule="auto"/>
              <w:jc w:val="both"/>
              <w:rPr>
                <w:rFonts w:cstheme="minorHAnsi"/>
                <w:sz w:val="24"/>
                <w:szCs w:val="24"/>
                <w:shd w:val="clear" w:color="auto" w:fill="FFFFFF"/>
              </w:rPr>
            </w:pPr>
            <w:r>
              <w:rPr>
                <w:rFonts w:cstheme="minorHAnsi"/>
                <w:sz w:val="24"/>
                <w:szCs w:val="24"/>
                <w:shd w:val="clear" w:color="auto" w:fill="FFFFFF"/>
              </w:rPr>
              <w:t>59,456</w:t>
            </w:r>
          </w:p>
        </w:tc>
        <w:tc>
          <w:tcPr>
            <w:tcW w:w="2284" w:type="dxa"/>
            <w:vAlign w:val="center"/>
          </w:tcPr>
          <w:p w:rsidR="0019255D" w:rsidRDefault="001C6279" w:rsidP="009D2D0E">
            <w:pPr>
              <w:spacing w:line="360" w:lineRule="auto"/>
              <w:jc w:val="both"/>
              <w:rPr>
                <w:rFonts w:cstheme="minorHAnsi"/>
                <w:sz w:val="24"/>
                <w:szCs w:val="24"/>
                <w:shd w:val="clear" w:color="auto" w:fill="FFFFFF"/>
              </w:rPr>
            </w:pPr>
            <w:r>
              <w:rPr>
                <w:rFonts w:cstheme="minorHAnsi"/>
                <w:sz w:val="24"/>
                <w:szCs w:val="24"/>
                <w:shd w:val="clear" w:color="auto" w:fill="FFFFFF"/>
              </w:rPr>
              <w:t>118,310</w:t>
            </w:r>
          </w:p>
        </w:tc>
      </w:tr>
    </w:tbl>
    <w:p w:rsidR="0019255D" w:rsidRDefault="0019255D" w:rsidP="0019255D">
      <w:pPr>
        <w:spacing w:line="360" w:lineRule="auto"/>
        <w:jc w:val="both"/>
        <w:rPr>
          <w:rFonts w:cstheme="minorHAnsi"/>
          <w:sz w:val="24"/>
          <w:szCs w:val="24"/>
          <w:shd w:val="clear" w:color="auto" w:fill="FFFFFF"/>
        </w:rPr>
      </w:pPr>
    </w:p>
    <w:p w:rsidR="0019255D" w:rsidRPr="001459C1" w:rsidRDefault="0019255D" w:rsidP="0019255D">
      <w:pPr>
        <w:spacing w:line="360" w:lineRule="auto"/>
        <w:jc w:val="both"/>
        <w:rPr>
          <w:rFonts w:cstheme="minorHAnsi"/>
          <w:sz w:val="24"/>
          <w:szCs w:val="24"/>
          <w:shd w:val="clear" w:color="auto" w:fill="FFFFFF"/>
        </w:rPr>
      </w:pPr>
      <w:r w:rsidRPr="00415536">
        <w:rPr>
          <w:b/>
          <w:sz w:val="24"/>
          <w:szCs w:val="24"/>
        </w:rPr>
        <w:t>Tab</w:t>
      </w:r>
      <w:r w:rsidR="002747A9" w:rsidRPr="00415536">
        <w:rPr>
          <w:b/>
          <w:sz w:val="24"/>
          <w:szCs w:val="24"/>
        </w:rPr>
        <w:t>le</w:t>
      </w:r>
      <w:r w:rsidRPr="00415536">
        <w:rPr>
          <w:b/>
          <w:sz w:val="24"/>
          <w:szCs w:val="24"/>
        </w:rPr>
        <w:t xml:space="preserve"> 4</w:t>
      </w:r>
      <w:r w:rsidR="00415536">
        <w:rPr>
          <w:b/>
          <w:sz w:val="24"/>
          <w:szCs w:val="24"/>
        </w:rPr>
        <w:t>.</w:t>
      </w:r>
      <w:r w:rsidRPr="001459C1">
        <w:rPr>
          <w:sz w:val="24"/>
          <w:szCs w:val="24"/>
        </w:rPr>
        <w:t xml:space="preserve"> </w:t>
      </w:r>
      <w:r>
        <w:rPr>
          <w:sz w:val="24"/>
          <w:szCs w:val="24"/>
        </w:rPr>
        <w:t>Efficiency</w:t>
      </w:r>
      <w:r w:rsidRPr="001459C1">
        <w:rPr>
          <w:sz w:val="24"/>
          <w:szCs w:val="24"/>
        </w:rPr>
        <w:t xml:space="preserve"> ratios of</w:t>
      </w:r>
      <w:r>
        <w:rPr>
          <w:sz w:val="24"/>
          <w:szCs w:val="24"/>
        </w:rPr>
        <w:t xml:space="preserve"> </w:t>
      </w:r>
      <w:r w:rsidRPr="001459C1">
        <w:rPr>
          <w:sz w:val="24"/>
          <w:szCs w:val="24"/>
        </w:rPr>
        <w:t>Unilever Group (2014 - 2018) and Procter &amp; Gamble (2018)</w:t>
      </w:r>
    </w:p>
    <w:tbl>
      <w:tblPr>
        <w:tblStyle w:val="TableGrid"/>
        <w:tblW w:w="9703" w:type="dxa"/>
        <w:tblInd w:w="-289" w:type="dxa"/>
        <w:tblLook w:val="04A0" w:firstRow="1" w:lastRow="0" w:firstColumn="1" w:lastColumn="0" w:noHBand="0" w:noVBand="1"/>
      </w:tblPr>
      <w:tblGrid>
        <w:gridCol w:w="2501"/>
        <w:gridCol w:w="1051"/>
        <w:gridCol w:w="819"/>
        <w:gridCol w:w="956"/>
        <w:gridCol w:w="1092"/>
        <w:gridCol w:w="961"/>
        <w:gridCol w:w="2323"/>
      </w:tblGrid>
      <w:tr w:rsidR="0019255D" w:rsidRPr="004F27BE" w:rsidTr="002F5925">
        <w:trPr>
          <w:trHeight w:val="721"/>
        </w:trPr>
        <w:tc>
          <w:tcPr>
            <w:tcW w:w="2501" w:type="dxa"/>
            <w:vMerge w:val="restart"/>
          </w:tcPr>
          <w:p w:rsidR="0019255D" w:rsidRDefault="0019255D" w:rsidP="009D2D0E">
            <w:pPr>
              <w:spacing w:line="360" w:lineRule="auto"/>
              <w:jc w:val="both"/>
              <w:rPr>
                <w:rFonts w:cstheme="minorHAnsi"/>
                <w:b/>
                <w:sz w:val="24"/>
                <w:szCs w:val="24"/>
                <w:shd w:val="clear" w:color="auto" w:fill="FFFFFF"/>
              </w:rPr>
            </w:pPr>
          </w:p>
          <w:p w:rsidR="0019255D" w:rsidRPr="004F27BE" w:rsidRDefault="0019255D" w:rsidP="009D2D0E">
            <w:pPr>
              <w:spacing w:line="360" w:lineRule="auto"/>
              <w:jc w:val="both"/>
              <w:rPr>
                <w:rFonts w:cstheme="minorHAnsi"/>
                <w:b/>
                <w:sz w:val="24"/>
                <w:szCs w:val="24"/>
                <w:shd w:val="clear" w:color="auto" w:fill="FFFFFF"/>
              </w:rPr>
            </w:pPr>
            <w:r>
              <w:rPr>
                <w:rFonts w:cstheme="minorHAnsi"/>
                <w:b/>
                <w:sz w:val="24"/>
                <w:szCs w:val="24"/>
                <w:shd w:val="clear" w:color="auto" w:fill="FFFFFF"/>
              </w:rPr>
              <w:t>Efficiency Ratio</w:t>
            </w:r>
          </w:p>
        </w:tc>
        <w:tc>
          <w:tcPr>
            <w:tcW w:w="4879" w:type="dxa"/>
            <w:gridSpan w:val="5"/>
          </w:tcPr>
          <w:p w:rsidR="0019255D" w:rsidRPr="004F27BE" w:rsidRDefault="0019255D" w:rsidP="009D2D0E">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Unilever</w:t>
            </w:r>
            <w:r>
              <w:rPr>
                <w:rFonts w:cstheme="minorHAnsi"/>
                <w:b/>
                <w:sz w:val="24"/>
                <w:szCs w:val="24"/>
                <w:shd w:val="clear" w:color="auto" w:fill="FFFFFF"/>
              </w:rPr>
              <w:t xml:space="preserve"> Group</w:t>
            </w:r>
          </w:p>
          <w:p w:rsidR="0019255D" w:rsidRPr="004F27BE" w:rsidRDefault="0019255D" w:rsidP="009D2D0E">
            <w:pPr>
              <w:spacing w:line="360" w:lineRule="auto"/>
              <w:jc w:val="both"/>
              <w:rPr>
                <w:rFonts w:cstheme="minorHAnsi"/>
                <w:b/>
                <w:sz w:val="24"/>
                <w:szCs w:val="24"/>
                <w:shd w:val="clear" w:color="auto" w:fill="FFFFFF"/>
              </w:rPr>
            </w:pPr>
          </w:p>
        </w:tc>
        <w:tc>
          <w:tcPr>
            <w:tcW w:w="2323" w:type="dxa"/>
            <w:vMerge w:val="restart"/>
          </w:tcPr>
          <w:p w:rsidR="0019255D" w:rsidRPr="004F27BE" w:rsidRDefault="0019255D" w:rsidP="009D2D0E">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Procter &amp; Gamble</w:t>
            </w:r>
          </w:p>
          <w:p w:rsidR="0019255D" w:rsidRPr="004F27BE" w:rsidRDefault="0019255D" w:rsidP="009D2D0E">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2018</w:t>
            </w:r>
          </w:p>
        </w:tc>
      </w:tr>
      <w:tr w:rsidR="0019255D" w:rsidRPr="004F27BE" w:rsidTr="002F5925">
        <w:trPr>
          <w:trHeight w:val="508"/>
        </w:trPr>
        <w:tc>
          <w:tcPr>
            <w:tcW w:w="2501" w:type="dxa"/>
            <w:vMerge/>
          </w:tcPr>
          <w:p w:rsidR="0019255D" w:rsidRPr="004F27BE" w:rsidRDefault="0019255D" w:rsidP="009D2D0E">
            <w:pPr>
              <w:spacing w:line="360" w:lineRule="auto"/>
              <w:jc w:val="both"/>
              <w:rPr>
                <w:rFonts w:cstheme="minorHAnsi"/>
                <w:b/>
                <w:sz w:val="24"/>
                <w:szCs w:val="24"/>
                <w:shd w:val="clear" w:color="auto" w:fill="FFFFFF"/>
              </w:rPr>
            </w:pPr>
          </w:p>
        </w:tc>
        <w:tc>
          <w:tcPr>
            <w:tcW w:w="1051" w:type="dxa"/>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2014</w:t>
            </w:r>
          </w:p>
        </w:tc>
        <w:tc>
          <w:tcPr>
            <w:tcW w:w="819" w:type="dxa"/>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2015</w:t>
            </w:r>
          </w:p>
        </w:tc>
        <w:tc>
          <w:tcPr>
            <w:tcW w:w="956" w:type="dxa"/>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2016</w:t>
            </w:r>
          </w:p>
        </w:tc>
        <w:tc>
          <w:tcPr>
            <w:tcW w:w="1092" w:type="dxa"/>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2017</w:t>
            </w:r>
          </w:p>
        </w:tc>
        <w:tc>
          <w:tcPr>
            <w:tcW w:w="958" w:type="dxa"/>
          </w:tcPr>
          <w:p w:rsidR="0019255D" w:rsidRPr="004F27BE" w:rsidRDefault="0019255D" w:rsidP="009D2D0E">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2018</w:t>
            </w:r>
          </w:p>
        </w:tc>
        <w:tc>
          <w:tcPr>
            <w:tcW w:w="2323" w:type="dxa"/>
            <w:vMerge/>
          </w:tcPr>
          <w:p w:rsidR="0019255D" w:rsidRPr="004F27BE" w:rsidRDefault="0019255D" w:rsidP="009D2D0E">
            <w:pPr>
              <w:spacing w:line="360" w:lineRule="auto"/>
              <w:jc w:val="center"/>
              <w:rPr>
                <w:rFonts w:cstheme="minorHAnsi"/>
                <w:b/>
                <w:sz w:val="24"/>
                <w:szCs w:val="24"/>
                <w:shd w:val="clear" w:color="auto" w:fill="FFFFFF"/>
              </w:rPr>
            </w:pPr>
          </w:p>
        </w:tc>
      </w:tr>
      <w:tr w:rsidR="0019255D" w:rsidTr="002F5925">
        <w:trPr>
          <w:trHeight w:val="1230"/>
        </w:trPr>
        <w:tc>
          <w:tcPr>
            <w:tcW w:w="2501" w:type="dxa"/>
            <w:vAlign w:val="center"/>
          </w:tcPr>
          <w:p w:rsidR="0019255D" w:rsidRDefault="00F667A6" w:rsidP="009D2D0E">
            <w:pPr>
              <w:spacing w:line="360" w:lineRule="auto"/>
              <w:jc w:val="both"/>
              <w:rPr>
                <w:rFonts w:cstheme="minorHAnsi"/>
                <w:sz w:val="24"/>
                <w:szCs w:val="24"/>
                <w:shd w:val="clear" w:color="auto" w:fill="FFFFFF"/>
              </w:rPr>
            </w:pPr>
            <w:r>
              <w:rPr>
                <w:rFonts w:cstheme="minorHAnsi"/>
                <w:sz w:val="24"/>
                <w:szCs w:val="24"/>
                <w:shd w:val="clear" w:color="auto" w:fill="FFFFFF"/>
              </w:rPr>
              <w:t xml:space="preserve">Fixed </w:t>
            </w:r>
            <w:r w:rsidR="0019255D">
              <w:rPr>
                <w:rFonts w:cstheme="minorHAnsi"/>
                <w:sz w:val="24"/>
                <w:szCs w:val="24"/>
                <w:shd w:val="clear" w:color="auto" w:fill="FFFFFF"/>
              </w:rPr>
              <w:t>Asset Turnover Ratio</w:t>
            </w:r>
          </w:p>
        </w:tc>
        <w:tc>
          <w:tcPr>
            <w:tcW w:w="1051"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4.63</w:t>
            </w:r>
          </w:p>
        </w:tc>
        <w:tc>
          <w:tcPr>
            <w:tcW w:w="819"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4.82</w:t>
            </w:r>
          </w:p>
        </w:tc>
        <w:tc>
          <w:tcPr>
            <w:tcW w:w="956"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4.52</w:t>
            </w:r>
          </w:p>
        </w:tc>
        <w:tc>
          <w:tcPr>
            <w:tcW w:w="1092"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5.12</w:t>
            </w:r>
          </w:p>
        </w:tc>
        <w:tc>
          <w:tcPr>
            <w:tcW w:w="958" w:type="dxa"/>
            <w:vAlign w:val="center"/>
          </w:tcPr>
          <w:p w:rsidR="0019255D" w:rsidRDefault="008162AB" w:rsidP="008162AB">
            <w:pPr>
              <w:spacing w:line="360" w:lineRule="auto"/>
              <w:jc w:val="both"/>
              <w:rPr>
                <w:rFonts w:cstheme="minorHAnsi"/>
                <w:sz w:val="24"/>
                <w:szCs w:val="24"/>
                <w:shd w:val="clear" w:color="auto" w:fill="FFFFFF"/>
              </w:rPr>
            </w:pPr>
            <w:r>
              <w:rPr>
                <w:rFonts w:cstheme="minorHAnsi"/>
                <w:sz w:val="24"/>
                <w:szCs w:val="24"/>
                <w:shd w:val="clear" w:color="auto" w:fill="FFFFFF"/>
              </w:rPr>
              <w:t>4.93</w:t>
            </w:r>
          </w:p>
        </w:tc>
        <w:tc>
          <w:tcPr>
            <w:tcW w:w="2323"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3.24</w:t>
            </w:r>
          </w:p>
        </w:tc>
      </w:tr>
      <w:tr w:rsidR="0019255D" w:rsidTr="002F5925">
        <w:trPr>
          <w:trHeight w:val="679"/>
        </w:trPr>
        <w:tc>
          <w:tcPr>
            <w:tcW w:w="2501" w:type="dxa"/>
            <w:vAlign w:val="center"/>
          </w:tcPr>
          <w:p w:rsidR="0019255D" w:rsidRDefault="0019255D" w:rsidP="009D2D0E">
            <w:pPr>
              <w:spacing w:line="360" w:lineRule="auto"/>
              <w:jc w:val="both"/>
              <w:rPr>
                <w:rFonts w:cstheme="minorHAnsi"/>
                <w:sz w:val="24"/>
                <w:szCs w:val="24"/>
                <w:shd w:val="clear" w:color="auto" w:fill="FFFFFF"/>
              </w:rPr>
            </w:pPr>
            <w:r>
              <w:rPr>
                <w:rFonts w:cstheme="minorHAnsi"/>
                <w:sz w:val="24"/>
                <w:szCs w:val="24"/>
                <w:shd w:val="clear" w:color="auto" w:fill="FFFFFF"/>
              </w:rPr>
              <w:t>Asset turnover Ratio</w:t>
            </w:r>
          </w:p>
        </w:tc>
        <w:tc>
          <w:tcPr>
            <w:tcW w:w="1051"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1.01</w:t>
            </w:r>
          </w:p>
        </w:tc>
        <w:tc>
          <w:tcPr>
            <w:tcW w:w="819"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1.02</w:t>
            </w:r>
          </w:p>
        </w:tc>
        <w:tc>
          <w:tcPr>
            <w:tcW w:w="956"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0.93</w:t>
            </w:r>
          </w:p>
        </w:tc>
        <w:tc>
          <w:tcPr>
            <w:tcW w:w="1092"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0.89</w:t>
            </w:r>
          </w:p>
        </w:tc>
        <w:tc>
          <w:tcPr>
            <w:tcW w:w="958"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0.86</w:t>
            </w:r>
          </w:p>
        </w:tc>
        <w:tc>
          <w:tcPr>
            <w:tcW w:w="2323" w:type="dxa"/>
            <w:vAlign w:val="center"/>
          </w:tcPr>
          <w:p w:rsidR="0019255D" w:rsidRDefault="008162AB" w:rsidP="009D2D0E">
            <w:pPr>
              <w:spacing w:line="360" w:lineRule="auto"/>
              <w:jc w:val="both"/>
              <w:rPr>
                <w:rFonts w:cstheme="minorHAnsi"/>
                <w:sz w:val="24"/>
                <w:szCs w:val="24"/>
                <w:shd w:val="clear" w:color="auto" w:fill="FFFFFF"/>
              </w:rPr>
            </w:pPr>
            <w:r>
              <w:rPr>
                <w:rFonts w:cstheme="minorHAnsi"/>
                <w:sz w:val="24"/>
                <w:szCs w:val="24"/>
                <w:shd w:val="clear" w:color="auto" w:fill="FFFFFF"/>
              </w:rPr>
              <w:t>0.56</w:t>
            </w:r>
          </w:p>
        </w:tc>
      </w:tr>
    </w:tbl>
    <w:p w:rsidR="002A08FB" w:rsidRDefault="002A08FB" w:rsidP="001E187E">
      <w:pPr>
        <w:pStyle w:val="Heading2"/>
        <w:spacing w:before="480" w:after="100" w:afterAutospacing="1"/>
        <w:rPr>
          <w:rFonts w:eastAsiaTheme="minorHAnsi"/>
          <w:shd w:val="clear" w:color="auto" w:fill="FFFFFF"/>
        </w:rPr>
      </w:pPr>
      <w:bookmarkStart w:id="9" w:name="_Toc30151579"/>
      <w:r>
        <w:rPr>
          <w:rFonts w:eastAsiaTheme="minorHAnsi"/>
          <w:shd w:val="clear" w:color="auto" w:fill="FFFFFF"/>
        </w:rPr>
        <w:t>Fixed Assets Turnover Ratio</w:t>
      </w:r>
      <w:bookmarkEnd w:id="9"/>
    </w:p>
    <w:p w:rsidR="00D21791" w:rsidRPr="001E187E" w:rsidRDefault="002A08FB" w:rsidP="001E187E">
      <w:pPr>
        <w:spacing w:line="360" w:lineRule="auto"/>
        <w:jc w:val="both"/>
      </w:pPr>
      <w:r w:rsidRPr="000D25F2">
        <w:rPr>
          <w:sz w:val="24"/>
          <w:szCs w:val="24"/>
        </w:rPr>
        <w:t xml:space="preserve">The fixed asset turnover is an efficiency ratio which calculates companies by comparing net sales with fixed assets to redeem their investment in property and plants and equipment. It thus measures how effectively a business with its machinery and equipment is making revenue. It is difficult to interpret the fixed asset turnover ratio. This is because certain factors such as a company's life cycle, a product life cycle, the initial plant capacity &amp; relative sales affect that ratio. In addition, there are factors that </w:t>
      </w:r>
      <w:r w:rsidRPr="000D25F2">
        <w:rPr>
          <w:sz w:val="24"/>
          <w:szCs w:val="24"/>
        </w:rPr>
        <w:lastRenderedPageBreak/>
        <w:t xml:space="preserve">affect this ratio, such as asset assessment (depreciation accounting), the timing of purchase, etc. The higher the overall turnover of the properties, the better </w:t>
      </w:r>
      <w:sdt>
        <w:sdtPr>
          <w:rPr>
            <w:sz w:val="24"/>
            <w:szCs w:val="24"/>
          </w:rPr>
          <w:id w:val="-2119205746"/>
          <w:citation/>
        </w:sdtPr>
        <w:sdtEndPr/>
        <w:sdtContent>
          <w:r w:rsidRPr="000D25F2">
            <w:rPr>
              <w:sz w:val="24"/>
              <w:szCs w:val="24"/>
            </w:rPr>
            <w:fldChar w:fldCharType="begin"/>
          </w:r>
          <w:r w:rsidRPr="000D25F2">
            <w:rPr>
              <w:sz w:val="24"/>
              <w:szCs w:val="24"/>
            </w:rPr>
            <w:instrText xml:space="preserve"> CITATION efi19 \l 2057 </w:instrText>
          </w:r>
          <w:r w:rsidRPr="000D25F2">
            <w:rPr>
              <w:sz w:val="24"/>
              <w:szCs w:val="24"/>
            </w:rPr>
            <w:fldChar w:fldCharType="separate"/>
          </w:r>
          <w:r w:rsidR="00C1213C" w:rsidRPr="000D25F2">
            <w:rPr>
              <w:sz w:val="24"/>
              <w:szCs w:val="24"/>
            </w:rPr>
            <w:t>(efinancemanagement, 2019)</w:t>
          </w:r>
          <w:r w:rsidRPr="000D25F2">
            <w:rPr>
              <w:sz w:val="24"/>
              <w:szCs w:val="24"/>
            </w:rPr>
            <w:fldChar w:fldCharType="end"/>
          </w:r>
        </w:sdtContent>
      </w:sdt>
      <w:r w:rsidRPr="000D25F2">
        <w:rPr>
          <w:sz w:val="24"/>
          <w:szCs w:val="24"/>
        </w:rPr>
        <w:t xml:space="preserve">. As it is shown in table 4, the average turnover of Unilever is 4.8 times bigger than the fixed assets for the analysed period. The turn-over value indicates that assets are efficiently used and high sales are created with a limited amount of assets. The company could also have sold its equipment and started to outsource its operations. On the other hand, a low turnover suggests that the organisation does not completely use its money. This may be caused by a number of factors. They could produce products that no one wants to purchase, for example. Unilever does not use an accelerated rate of depreciation </w:t>
      </w:r>
      <w:sdt>
        <w:sdtPr>
          <w:rPr>
            <w:sz w:val="24"/>
            <w:szCs w:val="24"/>
          </w:rPr>
          <w:id w:val="1938554695"/>
          <w:citation/>
        </w:sdtPr>
        <w:sdtEndPr/>
        <w:sdtContent>
          <w:r w:rsidRPr="000D25F2">
            <w:rPr>
              <w:sz w:val="24"/>
              <w:szCs w:val="24"/>
            </w:rPr>
            <w:fldChar w:fldCharType="begin"/>
          </w:r>
          <w:r w:rsidRPr="000D25F2">
            <w:rPr>
              <w:sz w:val="24"/>
              <w:szCs w:val="24"/>
            </w:rPr>
            <w:instrText xml:space="preserve"> CITATION Uni17 \l 2057 </w:instrText>
          </w:r>
          <w:r w:rsidRPr="000D25F2">
            <w:rPr>
              <w:sz w:val="24"/>
              <w:szCs w:val="24"/>
            </w:rPr>
            <w:fldChar w:fldCharType="separate"/>
          </w:r>
          <w:r w:rsidR="00C1213C" w:rsidRPr="000D25F2">
            <w:rPr>
              <w:sz w:val="24"/>
              <w:szCs w:val="24"/>
            </w:rPr>
            <w:t>(Unilever Group, 2017)</w:t>
          </w:r>
          <w:r w:rsidRPr="000D25F2">
            <w:rPr>
              <w:sz w:val="24"/>
              <w:szCs w:val="24"/>
            </w:rPr>
            <w:fldChar w:fldCharType="end"/>
          </w:r>
        </w:sdtContent>
      </w:sdt>
      <w:r w:rsidRPr="000D25F2">
        <w:rPr>
          <w:sz w:val="24"/>
          <w:szCs w:val="24"/>
        </w:rPr>
        <w:t xml:space="preserve">, therefore the value of fixed assets ratio is fairly constant throughout time. Investing only in performant equipment and modern facilities, has led to a number of 36 million purchases at the end of 2018. With a volume of sales that is with more than 20% higher than Unilever’s </w:t>
      </w:r>
      <w:sdt>
        <w:sdtPr>
          <w:rPr>
            <w:sz w:val="24"/>
            <w:szCs w:val="24"/>
          </w:rPr>
          <w:id w:val="-1152827810"/>
          <w:citation/>
        </w:sdtPr>
        <w:sdtEndPr/>
        <w:sdtContent>
          <w:r w:rsidRPr="000D25F2">
            <w:rPr>
              <w:sz w:val="24"/>
              <w:szCs w:val="24"/>
            </w:rPr>
            <w:fldChar w:fldCharType="begin"/>
          </w:r>
          <w:r w:rsidRPr="000D25F2">
            <w:rPr>
              <w:sz w:val="24"/>
              <w:szCs w:val="24"/>
            </w:rPr>
            <w:instrText xml:space="preserve"> CITATION Pro19 \l 2057 </w:instrText>
          </w:r>
          <w:r w:rsidRPr="000D25F2">
            <w:rPr>
              <w:sz w:val="24"/>
              <w:szCs w:val="24"/>
            </w:rPr>
            <w:fldChar w:fldCharType="separate"/>
          </w:r>
          <w:r w:rsidR="00C1213C" w:rsidRPr="000D25F2">
            <w:rPr>
              <w:sz w:val="24"/>
              <w:szCs w:val="24"/>
            </w:rPr>
            <w:t>(Procter &amp; Gamble, 2019)</w:t>
          </w:r>
          <w:r w:rsidRPr="000D25F2">
            <w:rPr>
              <w:sz w:val="24"/>
              <w:szCs w:val="24"/>
            </w:rPr>
            <w:fldChar w:fldCharType="end"/>
          </w:r>
        </w:sdtContent>
      </w:sdt>
      <w:r w:rsidRPr="000D25F2">
        <w:rPr>
          <w:sz w:val="24"/>
          <w:szCs w:val="24"/>
        </w:rPr>
        <w:t>, the Procter &amp; Gamble turnover is more than 3 times bigger than its fixed assets. It also means that the company uses its assets in an efficient way.</w:t>
      </w:r>
    </w:p>
    <w:p w:rsidR="00D21791" w:rsidRPr="00C36247" w:rsidRDefault="00D21791" w:rsidP="00415536">
      <w:pPr>
        <w:pStyle w:val="Heading2"/>
        <w:spacing w:after="100" w:afterAutospacing="1"/>
        <w:rPr>
          <w:caps/>
        </w:rPr>
      </w:pPr>
      <w:bookmarkStart w:id="10" w:name="_Toc30151580"/>
      <w:r w:rsidRPr="00C36247">
        <w:rPr>
          <w:bdr w:val="none" w:sz="0" w:space="0" w:color="auto" w:frame="1"/>
        </w:rPr>
        <w:t>Total asset turnover</w:t>
      </w:r>
      <w:r w:rsidR="005B79FD">
        <w:rPr>
          <w:bdr w:val="none" w:sz="0" w:space="0" w:color="auto" w:frame="1"/>
        </w:rPr>
        <w:t xml:space="preserve"> Ratio</w:t>
      </w:r>
      <w:bookmarkEnd w:id="10"/>
    </w:p>
    <w:p w:rsidR="00E00656" w:rsidRPr="001E187E" w:rsidRDefault="00A344C7" w:rsidP="001E187E">
      <w:pPr>
        <w:spacing w:line="360" w:lineRule="auto"/>
        <w:jc w:val="both"/>
        <w:rPr>
          <w:sz w:val="24"/>
          <w:szCs w:val="24"/>
        </w:rPr>
      </w:pPr>
      <w:r w:rsidRPr="001E187E">
        <w:rPr>
          <w:sz w:val="24"/>
          <w:szCs w:val="24"/>
        </w:rPr>
        <w:t>This ratio calculates overall investment productivity by mixing short-term and long-term assets. The total asset turnover ratio is also influenced by similar factors, like the fixed asset turnover ratio. Everything else is even better because a higher turnover of assets shows how effective a company's entire funds are utilised. This is an integral indicator of the shareholding of a corporation (</w:t>
      </w:r>
      <w:proofErr w:type="spellStart"/>
      <w:r w:rsidRPr="001E187E">
        <w:rPr>
          <w:sz w:val="24"/>
          <w:szCs w:val="24"/>
        </w:rPr>
        <w:t>efinancemanagement</w:t>
      </w:r>
      <w:proofErr w:type="spellEnd"/>
      <w:r w:rsidRPr="001E187E">
        <w:rPr>
          <w:sz w:val="24"/>
          <w:szCs w:val="24"/>
        </w:rPr>
        <w:t>, 2019). The asset turnover ratio reflects an efficiency ratio, calculating a company by comparing net sales with average total assets to generate sales from its inventory. This ratio shows that a company can make effective selling use of its inventory.</w:t>
      </w:r>
      <w:r w:rsidR="001E187E" w:rsidRPr="001E187E">
        <w:rPr>
          <w:sz w:val="24"/>
          <w:szCs w:val="24"/>
        </w:rPr>
        <w:t xml:space="preserve"> </w:t>
      </w:r>
      <w:r w:rsidRPr="001E187E">
        <w:rPr>
          <w:sz w:val="24"/>
          <w:szCs w:val="24"/>
        </w:rPr>
        <w:t>In order to show how many sales are generated by each dollar, the total asset turnover rate measures net sales as the per cent of the assets. As it is highlighted in Table 4, the Unilever’s average value of Asset Turnover Ratio between 2014 and 2018 is 0.94. It means that for every £1 invested in assets, the company generates £0.94 from sales. Also, in Table 4, it is shown that the value of this ratio for Procter &amp; Gamble is 0.56 and, due to the fact this ratio is much lower than Unilever’s ratio for the same year, it means that P&amp;G does not use its equipment in an efficient way. It also means P&amp;G invested in unproductive facilities or produces goods that nobody wants.</w:t>
      </w:r>
    </w:p>
    <w:p w:rsidR="00E00656" w:rsidRDefault="00E00656" w:rsidP="00415536">
      <w:pPr>
        <w:pStyle w:val="Heading1"/>
        <w:spacing w:after="100" w:afterAutospacing="1"/>
        <w:rPr>
          <w:shd w:val="clear" w:color="auto" w:fill="FFFFFF"/>
        </w:rPr>
      </w:pPr>
      <w:bookmarkStart w:id="11" w:name="_Toc30151581"/>
      <w:r w:rsidRPr="00C36247">
        <w:rPr>
          <w:shd w:val="clear" w:color="auto" w:fill="FFFFFF"/>
        </w:rPr>
        <w:lastRenderedPageBreak/>
        <w:t>Liquidity ratios</w:t>
      </w:r>
      <w:bookmarkEnd w:id="11"/>
    </w:p>
    <w:p w:rsidR="00E00656" w:rsidRDefault="00E00656" w:rsidP="00E00656">
      <w:pPr>
        <w:pStyle w:val="NormalWeb"/>
        <w:shd w:val="clear" w:color="auto" w:fill="FFFFFF"/>
        <w:spacing w:before="0" w:beforeAutospacing="0" w:after="120" w:afterAutospacing="0" w:line="360" w:lineRule="auto"/>
        <w:jc w:val="both"/>
        <w:textAlignment w:val="baseline"/>
        <w:rPr>
          <w:rFonts w:asciiTheme="minorHAnsi" w:hAnsiTheme="minorHAnsi" w:cstheme="minorHAnsi"/>
          <w:shd w:val="clear" w:color="auto" w:fill="FFFFFF"/>
        </w:rPr>
      </w:pPr>
      <w:r w:rsidRPr="00E00656">
        <w:rPr>
          <w:rFonts w:asciiTheme="minorHAnsi" w:hAnsiTheme="minorHAnsi" w:cstheme="minorHAnsi"/>
          <w:shd w:val="clear" w:color="auto" w:fill="FFFFFF"/>
        </w:rPr>
        <w:t>Liquidity ratios measure a company's ability to cover its current liabilities and its long-term liabilities at the time. It indicates a company's liquidity flows and the ability to translate other assets into cash in order to pay off loans and other current liabilities</w:t>
      </w:r>
      <w:r w:rsidR="00E672BA">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457801335"/>
          <w:citation/>
        </w:sdtPr>
        <w:sdtEndPr/>
        <w:sdtContent>
          <w:r w:rsidR="00E672BA">
            <w:rPr>
              <w:rFonts w:asciiTheme="minorHAnsi" w:hAnsiTheme="minorHAnsi" w:cstheme="minorHAnsi"/>
              <w:shd w:val="clear" w:color="auto" w:fill="FFFFFF"/>
            </w:rPr>
            <w:fldChar w:fldCharType="begin"/>
          </w:r>
          <w:r w:rsidR="00E672BA">
            <w:rPr>
              <w:rFonts w:asciiTheme="minorHAnsi" w:hAnsiTheme="minorHAnsi" w:cstheme="minorHAnsi"/>
              <w:shd w:val="clear" w:color="auto" w:fill="FFFFFF"/>
            </w:rPr>
            <w:instrText xml:space="preserve"> CITATION Had14 \l 2057 </w:instrText>
          </w:r>
          <w:r w:rsidR="00E672BA">
            <w:rPr>
              <w:rFonts w:asciiTheme="minorHAnsi" w:hAnsiTheme="minorHAnsi" w:cstheme="minorHAnsi"/>
              <w:shd w:val="clear" w:color="auto" w:fill="FFFFFF"/>
            </w:rPr>
            <w:fldChar w:fldCharType="separate"/>
          </w:r>
          <w:r w:rsidR="00C1213C" w:rsidRPr="00C1213C">
            <w:rPr>
              <w:rFonts w:asciiTheme="minorHAnsi" w:hAnsiTheme="minorHAnsi" w:cstheme="minorHAnsi"/>
              <w:noProof/>
              <w:shd w:val="clear" w:color="auto" w:fill="FFFFFF"/>
            </w:rPr>
            <w:t>(Hada &amp; Avram, 2014)</w:t>
          </w:r>
          <w:r w:rsidR="00E672BA">
            <w:rPr>
              <w:rFonts w:asciiTheme="minorHAnsi" w:hAnsiTheme="minorHAnsi" w:cstheme="minorHAnsi"/>
              <w:shd w:val="clear" w:color="auto" w:fill="FFFFFF"/>
            </w:rPr>
            <w:fldChar w:fldCharType="end"/>
          </w:r>
        </w:sdtContent>
      </w:sdt>
      <w:r w:rsidRPr="00E00656">
        <w:rPr>
          <w:rFonts w:asciiTheme="minorHAnsi" w:hAnsiTheme="minorHAnsi" w:cstheme="minorHAnsi"/>
          <w:shd w:val="clear" w:color="auto" w:fill="FFFFFF"/>
        </w:rPr>
        <w:t>.</w:t>
      </w:r>
      <w:r>
        <w:rPr>
          <w:rFonts w:asciiTheme="minorHAnsi" w:hAnsiTheme="minorHAnsi" w:cstheme="minorHAnsi"/>
          <w:shd w:val="clear" w:color="auto" w:fill="FFFFFF"/>
        </w:rPr>
        <w:t xml:space="preserve"> </w:t>
      </w:r>
      <w:r w:rsidRPr="00E00656">
        <w:rPr>
          <w:rFonts w:asciiTheme="minorHAnsi" w:hAnsiTheme="minorHAnsi" w:cstheme="minorHAnsi"/>
          <w:shd w:val="clear" w:color="auto" w:fill="FFFFFF"/>
        </w:rPr>
        <w:t>The amount of cash a company doesn't just calculate liquidity. The degree to which the organisation can collect enough capital or turn assets into cash is also simpler. For many businesses, it is fairly easy to convert assets such as accounts receivable, selling securities and inventory into cash short term. All these assets are therefore included in</w:t>
      </w:r>
      <w:r>
        <w:rPr>
          <w:rFonts w:asciiTheme="minorHAnsi" w:hAnsiTheme="minorHAnsi" w:cstheme="minorHAnsi"/>
          <w:shd w:val="clear" w:color="auto" w:fill="FFFFFF"/>
        </w:rPr>
        <w:t xml:space="preserve"> a company's liquidity estimate </w:t>
      </w:r>
      <w:sdt>
        <w:sdtPr>
          <w:rPr>
            <w:rFonts w:asciiTheme="minorHAnsi" w:hAnsiTheme="minorHAnsi" w:cstheme="minorHAnsi"/>
            <w:shd w:val="clear" w:color="auto" w:fill="FFFFFF"/>
          </w:rPr>
          <w:id w:val="-1223057296"/>
          <w:citation/>
        </w:sdtPr>
        <w:sdtEnd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mya191 \l 2057 </w:instrText>
          </w:r>
          <w:r>
            <w:rPr>
              <w:rFonts w:asciiTheme="minorHAnsi" w:hAnsiTheme="minorHAnsi" w:cstheme="minorHAnsi"/>
              <w:shd w:val="clear" w:color="auto" w:fill="FFFFFF"/>
            </w:rPr>
            <w:fldChar w:fldCharType="separate"/>
          </w:r>
          <w:r w:rsidR="00C1213C" w:rsidRPr="00C1213C">
            <w:rPr>
              <w:rFonts w:asciiTheme="minorHAnsi" w:hAnsiTheme="minorHAnsi" w:cstheme="minorHAnsi"/>
              <w:noProof/>
              <w:shd w:val="clear" w:color="auto" w:fill="FFFFFF"/>
            </w:rPr>
            <w:t>(myaccountingcourse, 2019)</w:t>
          </w:r>
          <w:r>
            <w:rPr>
              <w:rFonts w:asciiTheme="minorHAnsi" w:hAnsiTheme="minorHAnsi" w:cstheme="minorHAnsi"/>
              <w:shd w:val="clear" w:color="auto" w:fill="FFFFFF"/>
            </w:rPr>
            <w:fldChar w:fldCharType="end"/>
          </w:r>
        </w:sdtContent>
      </w:sdt>
      <w:r>
        <w:rPr>
          <w:rFonts w:asciiTheme="minorHAnsi" w:hAnsiTheme="minorHAnsi" w:cstheme="minorHAnsi"/>
          <w:shd w:val="clear" w:color="auto" w:fill="FFFFFF"/>
        </w:rPr>
        <w:t>. In this report we will analyse three liquidity ratios: the current, quick and cash ratios. The equations of these ratios are:</w:t>
      </w:r>
    </w:p>
    <w:p w:rsidR="0062577B" w:rsidRDefault="0062577B" w:rsidP="00E00656">
      <w:pPr>
        <w:pStyle w:val="NormalWeb"/>
        <w:shd w:val="clear" w:color="auto" w:fill="FFFFFF"/>
        <w:spacing w:before="0" w:beforeAutospacing="0" w:after="120" w:afterAutospacing="0" w:line="360" w:lineRule="auto"/>
        <w:jc w:val="both"/>
        <w:textAlignment w:val="baseline"/>
        <w:rPr>
          <w:rFonts w:asciiTheme="minorHAnsi" w:hAnsiTheme="minorHAnsi" w:cstheme="minorHAnsi"/>
          <w:b/>
          <w:shd w:val="clear" w:color="auto" w:fill="FFFFFF"/>
        </w:rPr>
      </w:pPr>
    </w:p>
    <w:p w:rsidR="00E00656" w:rsidRPr="0062577B" w:rsidRDefault="0062577B" w:rsidP="00E00656">
      <w:pPr>
        <w:pStyle w:val="NormalWeb"/>
        <w:shd w:val="clear" w:color="auto" w:fill="FFFFFF"/>
        <w:spacing w:before="0" w:beforeAutospacing="0" w:after="120" w:afterAutospacing="0" w:line="360" w:lineRule="auto"/>
        <w:jc w:val="both"/>
        <w:textAlignment w:val="baseline"/>
        <w:rPr>
          <w:rFonts w:asciiTheme="minorHAnsi" w:hAnsiTheme="minorHAnsi" w:cstheme="minorHAnsi"/>
          <w:b/>
          <w:shd w:val="clear" w:color="auto" w:fill="FFFFFF"/>
        </w:rPr>
      </w:pPr>
      <m:oMathPara>
        <m:oMathParaPr>
          <m:jc m:val="left"/>
        </m:oMathParaPr>
        <m:oMath>
          <m:r>
            <m:rPr>
              <m:sty m:val="b"/>
            </m:rPr>
            <w:rPr>
              <w:rFonts w:ascii="Cambria Math" w:hAnsi="Cambria Math" w:cs="Cambria Math"/>
              <w:shd w:val="clear" w:color="auto" w:fill="FFFFFF"/>
            </w:rPr>
            <m:t>Current Ratio=</m:t>
          </m:r>
          <m:f>
            <m:fPr>
              <m:ctrlPr>
                <w:rPr>
                  <w:rFonts w:ascii="Cambria Math" w:hAnsi="Cambria Math" w:cstheme="minorHAnsi"/>
                  <w:b/>
                  <w:shd w:val="clear" w:color="auto" w:fill="FFFFFF"/>
                </w:rPr>
              </m:ctrlPr>
            </m:fPr>
            <m:num>
              <m:r>
                <m:rPr>
                  <m:sty m:val="b"/>
                </m:rPr>
                <w:rPr>
                  <w:rFonts w:ascii="Cambria Math" w:hAnsi="Cambria Math" w:cstheme="minorHAnsi"/>
                  <w:shd w:val="clear" w:color="auto" w:fill="FFFFFF"/>
                </w:rPr>
                <m:t>Current Assets</m:t>
              </m:r>
            </m:num>
            <m:den>
              <m:r>
                <m:rPr>
                  <m:sty m:val="b"/>
                </m:rPr>
                <w:rPr>
                  <w:rFonts w:ascii="Cambria Math" w:hAnsi="Cambria Math" w:cs="Cambria Math"/>
                  <w:shd w:val="clear" w:color="auto" w:fill="FFFFFF"/>
                </w:rPr>
                <m:t>Current Liabilities</m:t>
              </m:r>
            </m:den>
          </m:f>
        </m:oMath>
      </m:oMathPara>
    </w:p>
    <w:p w:rsidR="0062577B" w:rsidRPr="0062577B" w:rsidRDefault="0062577B" w:rsidP="00E00656">
      <w:pPr>
        <w:pStyle w:val="NormalWeb"/>
        <w:shd w:val="clear" w:color="auto" w:fill="FFFFFF"/>
        <w:spacing w:before="0" w:beforeAutospacing="0" w:after="120" w:afterAutospacing="0" w:line="360" w:lineRule="auto"/>
        <w:jc w:val="both"/>
        <w:textAlignment w:val="baseline"/>
        <w:rPr>
          <w:rFonts w:asciiTheme="minorHAnsi" w:hAnsiTheme="minorHAnsi" w:cstheme="minorHAnsi"/>
          <w:b/>
          <w:shd w:val="clear" w:color="auto" w:fill="FFFFFF"/>
        </w:rPr>
      </w:pPr>
      <m:oMathPara>
        <m:oMathParaPr>
          <m:jc m:val="left"/>
        </m:oMathParaPr>
        <m:oMath>
          <m:r>
            <m:rPr>
              <m:sty m:val="b"/>
            </m:rPr>
            <w:rPr>
              <w:rFonts w:ascii="Cambria Math" w:hAnsi="Cambria Math" w:cs="Cambria Math"/>
              <w:shd w:val="clear" w:color="auto" w:fill="FFFFFF"/>
            </w:rPr>
            <m:t>Quick Ratio=</m:t>
          </m:r>
          <m:f>
            <m:fPr>
              <m:ctrlPr>
                <w:rPr>
                  <w:rFonts w:ascii="Cambria Math" w:hAnsi="Cambria Math" w:cstheme="minorHAnsi"/>
                  <w:b/>
                  <w:shd w:val="clear" w:color="auto" w:fill="FFFFFF"/>
                </w:rPr>
              </m:ctrlPr>
            </m:fPr>
            <m:num>
              <m:r>
                <m:rPr>
                  <m:sty m:val="b"/>
                </m:rPr>
                <w:rPr>
                  <w:rFonts w:ascii="Cambria Math" w:hAnsi="Cambria Math" w:cstheme="minorHAnsi"/>
                  <w:shd w:val="clear" w:color="auto" w:fill="FFFFFF"/>
                </w:rPr>
                <m:t>Current Assets-Inventory</m:t>
              </m:r>
            </m:num>
            <m:den>
              <m:r>
                <m:rPr>
                  <m:sty m:val="b"/>
                </m:rPr>
                <w:rPr>
                  <w:rFonts w:ascii="Cambria Math" w:hAnsi="Cambria Math" w:cs="Cambria Math"/>
                  <w:shd w:val="clear" w:color="auto" w:fill="FFFFFF"/>
                </w:rPr>
                <m:t>Current Liabilities</m:t>
              </m:r>
            </m:den>
          </m:f>
        </m:oMath>
      </m:oMathPara>
    </w:p>
    <w:p w:rsidR="0062577B" w:rsidRPr="002F5925" w:rsidRDefault="0062577B" w:rsidP="002F5925">
      <w:pPr>
        <w:pStyle w:val="NormalWeb"/>
        <w:shd w:val="clear" w:color="auto" w:fill="FFFFFF"/>
        <w:spacing w:before="0" w:beforeAutospacing="0" w:after="120" w:afterAutospacing="0" w:line="360" w:lineRule="auto"/>
        <w:jc w:val="both"/>
        <w:textAlignment w:val="baseline"/>
        <w:rPr>
          <w:rFonts w:cstheme="minorHAnsi"/>
          <w:shd w:val="clear" w:color="auto" w:fill="FFFFFF"/>
        </w:rPr>
      </w:pPr>
      <m:oMathPara>
        <m:oMathParaPr>
          <m:jc m:val="left"/>
        </m:oMathParaPr>
        <m:oMath>
          <m:r>
            <m:rPr>
              <m:sty m:val="b"/>
            </m:rPr>
            <w:rPr>
              <w:rFonts w:ascii="Cambria Math" w:hAnsi="Cambria Math" w:cs="Cambria Math"/>
              <w:shd w:val="clear" w:color="auto" w:fill="FFFFFF"/>
            </w:rPr>
            <m:t>Cash Ratio=</m:t>
          </m:r>
          <m:f>
            <m:fPr>
              <m:ctrlPr>
                <w:rPr>
                  <w:rFonts w:ascii="Cambria Math" w:hAnsi="Cambria Math" w:cstheme="minorHAnsi"/>
                  <w:b/>
                  <w:shd w:val="clear" w:color="auto" w:fill="FFFFFF"/>
                </w:rPr>
              </m:ctrlPr>
            </m:fPr>
            <m:num>
              <m:r>
                <m:rPr>
                  <m:sty m:val="b"/>
                </m:rPr>
                <w:rPr>
                  <w:rFonts w:ascii="Cambria Math" w:hAnsi="Cambria Math" w:cstheme="minorHAnsi"/>
                  <w:shd w:val="clear" w:color="auto" w:fill="FFFFFF"/>
                </w:rPr>
                <m:t>Cash</m:t>
              </m:r>
            </m:num>
            <m:den>
              <m:r>
                <m:rPr>
                  <m:sty m:val="b"/>
                </m:rPr>
                <w:rPr>
                  <w:rFonts w:ascii="Cambria Math" w:hAnsi="Cambria Math" w:cs="Cambria Math"/>
                  <w:shd w:val="clear" w:color="auto" w:fill="FFFFFF"/>
                </w:rPr>
                <m:t>Current Liabilities</m:t>
              </m:r>
            </m:den>
          </m:f>
        </m:oMath>
      </m:oMathPara>
    </w:p>
    <w:p w:rsidR="002F5925" w:rsidRDefault="002F5925" w:rsidP="0062577B">
      <w:pPr>
        <w:spacing w:line="360" w:lineRule="auto"/>
        <w:jc w:val="both"/>
        <w:rPr>
          <w:rFonts w:cstheme="minorHAnsi"/>
          <w:sz w:val="24"/>
          <w:szCs w:val="24"/>
          <w:shd w:val="clear" w:color="auto" w:fill="FFFFFF"/>
        </w:rPr>
      </w:pPr>
    </w:p>
    <w:p w:rsidR="0062577B" w:rsidRDefault="0062577B" w:rsidP="0062577B">
      <w:pPr>
        <w:spacing w:line="360" w:lineRule="auto"/>
        <w:jc w:val="both"/>
        <w:rPr>
          <w:rFonts w:cstheme="minorHAnsi"/>
          <w:sz w:val="24"/>
          <w:szCs w:val="24"/>
          <w:shd w:val="clear" w:color="auto" w:fill="FFFFFF"/>
        </w:rPr>
      </w:pPr>
      <w:r w:rsidRPr="00415536">
        <w:rPr>
          <w:rFonts w:cstheme="minorHAnsi"/>
          <w:b/>
          <w:sz w:val="24"/>
          <w:szCs w:val="24"/>
          <w:shd w:val="clear" w:color="auto" w:fill="FFFFFF"/>
        </w:rPr>
        <w:t>Table 5.</w:t>
      </w:r>
      <w:r>
        <w:rPr>
          <w:rFonts w:cstheme="minorHAnsi"/>
          <w:sz w:val="24"/>
          <w:szCs w:val="24"/>
          <w:shd w:val="clear" w:color="auto" w:fill="FFFFFF"/>
        </w:rPr>
        <w:t xml:space="preserve"> Current Assets, Current Liabilities, Inventory and Cash of Unilever (2014 – 2018) and Procter &amp; Gamble  (2018) </w:t>
      </w:r>
      <w:sdt>
        <w:sdtPr>
          <w:rPr>
            <w:rFonts w:cstheme="minorHAnsi"/>
            <w:sz w:val="24"/>
            <w:szCs w:val="24"/>
            <w:shd w:val="clear" w:color="auto" w:fill="FFFFFF"/>
          </w:rPr>
          <w:id w:val="-1910915771"/>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CITATION Uni15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2015)</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sdt>
        <w:sdtPr>
          <w:rPr>
            <w:rFonts w:cstheme="minorHAnsi"/>
            <w:sz w:val="24"/>
            <w:szCs w:val="24"/>
            <w:shd w:val="clear" w:color="auto" w:fill="FFFFFF"/>
          </w:rPr>
          <w:id w:val="1938402133"/>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Uni17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2017)</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sdt>
        <w:sdtPr>
          <w:rPr>
            <w:rFonts w:cstheme="minorHAnsi"/>
            <w:sz w:val="24"/>
            <w:szCs w:val="24"/>
            <w:shd w:val="clear" w:color="auto" w:fill="FFFFFF"/>
          </w:rPr>
          <w:id w:val="1337038759"/>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Uni191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2019)</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sdt>
        <w:sdtPr>
          <w:rPr>
            <w:rFonts w:cstheme="minorHAnsi"/>
            <w:sz w:val="24"/>
            <w:szCs w:val="24"/>
            <w:shd w:val="clear" w:color="auto" w:fill="FFFFFF"/>
          </w:rPr>
          <w:id w:val="1132980427"/>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Pro19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(Procter &amp; Gamble, 2019)</w:t>
          </w:r>
          <w:r>
            <w:rPr>
              <w:rFonts w:cstheme="minorHAnsi"/>
              <w:sz w:val="24"/>
              <w:szCs w:val="24"/>
              <w:shd w:val="clear" w:color="auto" w:fill="FFFFFF"/>
            </w:rPr>
            <w:fldChar w:fldCharType="end"/>
          </w:r>
        </w:sdtContent>
      </w:sdt>
      <w:r>
        <w:rPr>
          <w:rFonts w:cstheme="minorHAnsi"/>
          <w:sz w:val="24"/>
          <w:szCs w:val="24"/>
          <w:shd w:val="clear" w:color="auto" w:fill="FFFFFF"/>
        </w:rPr>
        <w:t>.</w:t>
      </w:r>
    </w:p>
    <w:tbl>
      <w:tblPr>
        <w:tblStyle w:val="TableGrid"/>
        <w:tblW w:w="10065" w:type="dxa"/>
        <w:tblInd w:w="-289" w:type="dxa"/>
        <w:tblLook w:val="04A0" w:firstRow="1" w:lastRow="0" w:firstColumn="1" w:lastColumn="0" w:noHBand="0" w:noVBand="1"/>
      </w:tblPr>
      <w:tblGrid>
        <w:gridCol w:w="2552"/>
        <w:gridCol w:w="993"/>
        <w:gridCol w:w="992"/>
        <w:gridCol w:w="971"/>
        <w:gridCol w:w="1088"/>
        <w:gridCol w:w="1088"/>
        <w:gridCol w:w="2381"/>
      </w:tblGrid>
      <w:tr w:rsidR="0062577B" w:rsidRPr="004F27BE" w:rsidTr="002F5925">
        <w:trPr>
          <w:trHeight w:val="635"/>
        </w:trPr>
        <w:tc>
          <w:tcPr>
            <w:tcW w:w="2552" w:type="dxa"/>
            <w:vMerge w:val="restart"/>
          </w:tcPr>
          <w:p w:rsidR="0062577B" w:rsidRDefault="0062577B" w:rsidP="00BD6A01">
            <w:pPr>
              <w:spacing w:line="360" w:lineRule="auto"/>
              <w:jc w:val="both"/>
              <w:rPr>
                <w:rFonts w:cstheme="minorHAnsi"/>
                <w:b/>
                <w:sz w:val="24"/>
                <w:szCs w:val="24"/>
                <w:shd w:val="clear" w:color="auto" w:fill="FFFFFF"/>
              </w:rPr>
            </w:pPr>
          </w:p>
          <w:p w:rsidR="0062577B" w:rsidRPr="004F27BE" w:rsidRDefault="0062577B" w:rsidP="00BD6A01">
            <w:pPr>
              <w:spacing w:line="360" w:lineRule="auto"/>
              <w:jc w:val="both"/>
              <w:rPr>
                <w:rFonts w:cstheme="minorHAnsi"/>
                <w:b/>
                <w:sz w:val="24"/>
                <w:szCs w:val="24"/>
                <w:shd w:val="clear" w:color="auto" w:fill="FFFFFF"/>
              </w:rPr>
            </w:pPr>
            <w:r>
              <w:rPr>
                <w:rFonts w:cstheme="minorHAnsi"/>
                <w:b/>
                <w:sz w:val="24"/>
                <w:szCs w:val="24"/>
                <w:shd w:val="clear" w:color="auto" w:fill="FFFFFF"/>
              </w:rPr>
              <w:t>Financial Data</w:t>
            </w:r>
          </w:p>
        </w:tc>
        <w:tc>
          <w:tcPr>
            <w:tcW w:w="5132" w:type="dxa"/>
            <w:gridSpan w:val="5"/>
          </w:tcPr>
          <w:p w:rsidR="0062577B" w:rsidRPr="004F27BE" w:rsidRDefault="0062577B" w:rsidP="00BD6A01">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Unilever</w:t>
            </w:r>
            <w:r>
              <w:rPr>
                <w:rFonts w:cstheme="minorHAnsi"/>
                <w:b/>
                <w:sz w:val="24"/>
                <w:szCs w:val="24"/>
                <w:shd w:val="clear" w:color="auto" w:fill="FFFFFF"/>
              </w:rPr>
              <w:t xml:space="preserve"> Group</w:t>
            </w:r>
          </w:p>
          <w:p w:rsidR="0062577B" w:rsidRPr="004F27BE" w:rsidRDefault="0062577B" w:rsidP="00BD6A01">
            <w:pPr>
              <w:spacing w:line="360" w:lineRule="auto"/>
              <w:jc w:val="both"/>
              <w:rPr>
                <w:rFonts w:cstheme="minorHAnsi"/>
                <w:b/>
                <w:sz w:val="24"/>
                <w:szCs w:val="24"/>
                <w:shd w:val="clear" w:color="auto" w:fill="FFFFFF"/>
              </w:rPr>
            </w:pPr>
          </w:p>
        </w:tc>
        <w:tc>
          <w:tcPr>
            <w:tcW w:w="2381" w:type="dxa"/>
            <w:vMerge w:val="restart"/>
          </w:tcPr>
          <w:p w:rsidR="0062577B" w:rsidRDefault="0062577B" w:rsidP="00BD6A01">
            <w:pPr>
              <w:jc w:val="center"/>
              <w:rPr>
                <w:rFonts w:cstheme="minorHAnsi"/>
                <w:b/>
                <w:sz w:val="24"/>
                <w:szCs w:val="24"/>
                <w:shd w:val="clear" w:color="auto" w:fill="FFFFFF"/>
              </w:rPr>
            </w:pPr>
          </w:p>
          <w:p w:rsidR="0062577B" w:rsidRPr="004F27BE" w:rsidRDefault="0062577B" w:rsidP="00BD6A01">
            <w:pPr>
              <w:jc w:val="center"/>
              <w:rPr>
                <w:rFonts w:cstheme="minorHAnsi"/>
                <w:b/>
                <w:sz w:val="24"/>
                <w:szCs w:val="24"/>
                <w:shd w:val="clear" w:color="auto" w:fill="FFFFFF"/>
              </w:rPr>
            </w:pPr>
            <w:r w:rsidRPr="004F27BE">
              <w:rPr>
                <w:rFonts w:cstheme="minorHAnsi"/>
                <w:b/>
                <w:sz w:val="24"/>
                <w:szCs w:val="24"/>
                <w:shd w:val="clear" w:color="auto" w:fill="FFFFFF"/>
              </w:rPr>
              <w:t>Procter &amp; Gamble</w:t>
            </w:r>
          </w:p>
          <w:p w:rsidR="0062577B" w:rsidRPr="004F27BE" w:rsidRDefault="0062577B" w:rsidP="00BD6A01">
            <w:pPr>
              <w:jc w:val="center"/>
              <w:rPr>
                <w:rFonts w:cstheme="minorHAnsi"/>
                <w:b/>
                <w:sz w:val="24"/>
                <w:szCs w:val="24"/>
                <w:shd w:val="clear" w:color="auto" w:fill="FFFFFF"/>
              </w:rPr>
            </w:pPr>
            <w:r w:rsidRPr="004F27BE">
              <w:rPr>
                <w:rFonts w:cstheme="minorHAnsi"/>
                <w:b/>
                <w:sz w:val="24"/>
                <w:szCs w:val="24"/>
                <w:shd w:val="clear" w:color="auto" w:fill="FFFFFF"/>
              </w:rPr>
              <w:t>2018</w:t>
            </w:r>
          </w:p>
        </w:tc>
      </w:tr>
      <w:tr w:rsidR="00DF15D0" w:rsidRPr="004F27BE" w:rsidTr="002F5925">
        <w:trPr>
          <w:trHeight w:val="567"/>
        </w:trPr>
        <w:tc>
          <w:tcPr>
            <w:tcW w:w="2552" w:type="dxa"/>
            <w:vMerge/>
          </w:tcPr>
          <w:p w:rsidR="0062577B" w:rsidRPr="004F27BE" w:rsidRDefault="0062577B" w:rsidP="00BD6A01">
            <w:pPr>
              <w:spacing w:line="360" w:lineRule="auto"/>
              <w:jc w:val="both"/>
              <w:rPr>
                <w:rFonts w:cstheme="minorHAnsi"/>
                <w:b/>
                <w:sz w:val="24"/>
                <w:szCs w:val="24"/>
                <w:shd w:val="clear" w:color="auto" w:fill="FFFFFF"/>
              </w:rPr>
            </w:pPr>
          </w:p>
        </w:tc>
        <w:tc>
          <w:tcPr>
            <w:tcW w:w="993"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2014</w:t>
            </w:r>
          </w:p>
        </w:tc>
        <w:tc>
          <w:tcPr>
            <w:tcW w:w="992"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2015</w:t>
            </w:r>
          </w:p>
        </w:tc>
        <w:tc>
          <w:tcPr>
            <w:tcW w:w="971"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2016</w:t>
            </w:r>
          </w:p>
        </w:tc>
        <w:tc>
          <w:tcPr>
            <w:tcW w:w="1088"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2017</w:t>
            </w:r>
          </w:p>
        </w:tc>
        <w:tc>
          <w:tcPr>
            <w:tcW w:w="1088"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2018</w:t>
            </w:r>
          </w:p>
        </w:tc>
        <w:tc>
          <w:tcPr>
            <w:tcW w:w="2381" w:type="dxa"/>
            <w:vMerge/>
          </w:tcPr>
          <w:p w:rsidR="0062577B" w:rsidRPr="004F27BE" w:rsidRDefault="0062577B" w:rsidP="00BD6A01">
            <w:pPr>
              <w:spacing w:line="360" w:lineRule="auto"/>
              <w:jc w:val="center"/>
              <w:rPr>
                <w:rFonts w:cstheme="minorHAnsi"/>
                <w:b/>
                <w:sz w:val="24"/>
                <w:szCs w:val="24"/>
                <w:shd w:val="clear" w:color="auto" w:fill="FFFFFF"/>
              </w:rPr>
            </w:pPr>
          </w:p>
        </w:tc>
      </w:tr>
      <w:tr w:rsidR="00DF15D0" w:rsidTr="002F5925">
        <w:tc>
          <w:tcPr>
            <w:tcW w:w="2552" w:type="dxa"/>
          </w:tcPr>
          <w:p w:rsidR="0062577B" w:rsidRDefault="002F5925" w:rsidP="00BD6A01">
            <w:pPr>
              <w:spacing w:line="360" w:lineRule="auto"/>
              <w:jc w:val="both"/>
              <w:rPr>
                <w:rFonts w:cstheme="minorHAnsi"/>
                <w:sz w:val="24"/>
                <w:szCs w:val="24"/>
                <w:shd w:val="clear" w:color="auto" w:fill="FFFFFF"/>
              </w:rPr>
            </w:pPr>
            <w:r>
              <w:rPr>
                <w:rFonts w:cstheme="minorHAnsi"/>
                <w:sz w:val="24"/>
                <w:szCs w:val="24"/>
                <w:shd w:val="clear" w:color="auto" w:fill="FFFFFF"/>
              </w:rPr>
              <w:t>Current Assets €(m)</w:t>
            </w:r>
          </w:p>
        </w:tc>
        <w:tc>
          <w:tcPr>
            <w:tcW w:w="993"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12,347</w:t>
            </w:r>
          </w:p>
        </w:tc>
        <w:tc>
          <w:tcPr>
            <w:tcW w:w="992"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12,686</w:t>
            </w:r>
          </w:p>
        </w:tc>
        <w:tc>
          <w:tcPr>
            <w:tcW w:w="971"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13,884</w:t>
            </w:r>
          </w:p>
        </w:tc>
        <w:tc>
          <w:tcPr>
            <w:tcW w:w="1088"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16,983</w:t>
            </w:r>
          </w:p>
        </w:tc>
        <w:tc>
          <w:tcPr>
            <w:tcW w:w="1088"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15,481</w:t>
            </w:r>
          </w:p>
        </w:tc>
        <w:tc>
          <w:tcPr>
            <w:tcW w:w="2381" w:type="dxa"/>
          </w:tcPr>
          <w:p w:rsidR="0062577B" w:rsidRDefault="00E8100E" w:rsidP="00BD6A01">
            <w:pPr>
              <w:spacing w:line="360" w:lineRule="auto"/>
              <w:jc w:val="both"/>
              <w:rPr>
                <w:rFonts w:cstheme="minorHAnsi"/>
                <w:sz w:val="24"/>
                <w:szCs w:val="24"/>
                <w:shd w:val="clear" w:color="auto" w:fill="FFFFFF"/>
              </w:rPr>
            </w:pPr>
            <w:r>
              <w:rPr>
                <w:rFonts w:cstheme="minorHAnsi"/>
                <w:sz w:val="24"/>
                <w:szCs w:val="24"/>
                <w:shd w:val="clear" w:color="auto" w:fill="FFFFFF"/>
              </w:rPr>
              <w:t>23,320</w:t>
            </w:r>
          </w:p>
        </w:tc>
      </w:tr>
      <w:tr w:rsidR="00DF15D0" w:rsidTr="002F5925">
        <w:tc>
          <w:tcPr>
            <w:tcW w:w="2552" w:type="dxa"/>
          </w:tcPr>
          <w:p w:rsidR="0062577B" w:rsidRDefault="002F5925" w:rsidP="00BD6A01">
            <w:pPr>
              <w:spacing w:line="360" w:lineRule="auto"/>
              <w:jc w:val="both"/>
              <w:rPr>
                <w:rFonts w:cstheme="minorHAnsi"/>
                <w:sz w:val="24"/>
                <w:szCs w:val="24"/>
                <w:shd w:val="clear" w:color="auto" w:fill="FFFFFF"/>
              </w:rPr>
            </w:pPr>
            <w:r>
              <w:rPr>
                <w:rFonts w:cstheme="minorHAnsi"/>
                <w:sz w:val="24"/>
                <w:szCs w:val="24"/>
                <w:shd w:val="clear" w:color="auto" w:fill="FFFFFF"/>
              </w:rPr>
              <w:t>Current Liabilities €(m)</w:t>
            </w:r>
          </w:p>
        </w:tc>
        <w:tc>
          <w:tcPr>
            <w:tcW w:w="993" w:type="dxa"/>
          </w:tcPr>
          <w:p w:rsidR="0062577B" w:rsidRDefault="00DF15D0" w:rsidP="00BD6A01">
            <w:pPr>
              <w:jc w:val="both"/>
              <w:rPr>
                <w:rFonts w:cstheme="minorHAnsi"/>
                <w:sz w:val="24"/>
                <w:szCs w:val="24"/>
                <w:shd w:val="clear" w:color="auto" w:fill="FFFFFF"/>
              </w:rPr>
            </w:pPr>
            <w:r>
              <w:rPr>
                <w:rFonts w:cstheme="minorHAnsi"/>
                <w:sz w:val="24"/>
                <w:szCs w:val="24"/>
                <w:shd w:val="clear" w:color="auto" w:fill="FFFFFF"/>
              </w:rPr>
              <w:t>19,642</w:t>
            </w:r>
          </w:p>
        </w:tc>
        <w:tc>
          <w:tcPr>
            <w:tcW w:w="992" w:type="dxa"/>
          </w:tcPr>
          <w:p w:rsidR="0062577B" w:rsidRDefault="00DF15D0" w:rsidP="00BD6A01">
            <w:r>
              <w:t>20,019</w:t>
            </w:r>
          </w:p>
        </w:tc>
        <w:tc>
          <w:tcPr>
            <w:tcW w:w="971" w:type="dxa"/>
          </w:tcPr>
          <w:p w:rsidR="0062577B" w:rsidRDefault="00DF15D0" w:rsidP="00BD6A01">
            <w:r>
              <w:t>20,556</w:t>
            </w:r>
          </w:p>
        </w:tc>
        <w:tc>
          <w:tcPr>
            <w:tcW w:w="1088" w:type="dxa"/>
          </w:tcPr>
          <w:p w:rsidR="0062577B" w:rsidRDefault="00DF15D0" w:rsidP="00BD6A01">
            <w:r>
              <w:t>23,177</w:t>
            </w:r>
          </w:p>
        </w:tc>
        <w:tc>
          <w:tcPr>
            <w:tcW w:w="1088" w:type="dxa"/>
          </w:tcPr>
          <w:p w:rsidR="0062577B" w:rsidRDefault="00DF15D0" w:rsidP="00BD6A01">
            <w:r>
              <w:t>19,772</w:t>
            </w:r>
          </w:p>
        </w:tc>
        <w:tc>
          <w:tcPr>
            <w:tcW w:w="2381" w:type="dxa"/>
          </w:tcPr>
          <w:p w:rsidR="0062577B" w:rsidRDefault="00E8100E" w:rsidP="00BD6A01">
            <w:pPr>
              <w:spacing w:line="360" w:lineRule="auto"/>
              <w:jc w:val="both"/>
              <w:rPr>
                <w:rFonts w:cstheme="minorHAnsi"/>
                <w:sz w:val="24"/>
                <w:szCs w:val="24"/>
                <w:shd w:val="clear" w:color="auto" w:fill="FFFFFF"/>
              </w:rPr>
            </w:pPr>
            <w:r>
              <w:rPr>
                <w:rFonts w:cstheme="minorHAnsi"/>
                <w:sz w:val="24"/>
                <w:szCs w:val="24"/>
                <w:shd w:val="clear" w:color="auto" w:fill="FFFFFF"/>
              </w:rPr>
              <w:t>28,237</w:t>
            </w:r>
          </w:p>
        </w:tc>
      </w:tr>
      <w:tr w:rsidR="00DF15D0" w:rsidTr="002F5925">
        <w:tc>
          <w:tcPr>
            <w:tcW w:w="2552" w:type="dxa"/>
          </w:tcPr>
          <w:p w:rsidR="0062577B" w:rsidRDefault="002F5925" w:rsidP="00BD6A01">
            <w:pPr>
              <w:spacing w:line="360" w:lineRule="auto"/>
              <w:jc w:val="both"/>
              <w:rPr>
                <w:rFonts w:cstheme="minorHAnsi"/>
                <w:sz w:val="24"/>
                <w:szCs w:val="24"/>
                <w:shd w:val="clear" w:color="auto" w:fill="FFFFFF"/>
              </w:rPr>
            </w:pPr>
            <w:r>
              <w:rPr>
                <w:rFonts w:cstheme="minorHAnsi"/>
                <w:sz w:val="24"/>
                <w:szCs w:val="24"/>
                <w:shd w:val="clear" w:color="auto" w:fill="FFFFFF"/>
              </w:rPr>
              <w:t>Inventory €(m)</w:t>
            </w:r>
          </w:p>
        </w:tc>
        <w:tc>
          <w:tcPr>
            <w:tcW w:w="993"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4,168</w:t>
            </w:r>
          </w:p>
        </w:tc>
        <w:tc>
          <w:tcPr>
            <w:tcW w:w="992"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4,335</w:t>
            </w:r>
          </w:p>
        </w:tc>
        <w:tc>
          <w:tcPr>
            <w:tcW w:w="971"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4,278</w:t>
            </w:r>
          </w:p>
        </w:tc>
        <w:tc>
          <w:tcPr>
            <w:tcW w:w="1088"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3,962</w:t>
            </w:r>
          </w:p>
        </w:tc>
        <w:tc>
          <w:tcPr>
            <w:tcW w:w="1088"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4,301</w:t>
            </w:r>
          </w:p>
        </w:tc>
        <w:tc>
          <w:tcPr>
            <w:tcW w:w="2381" w:type="dxa"/>
          </w:tcPr>
          <w:p w:rsidR="0062577B" w:rsidRDefault="00E8100E" w:rsidP="00BD6A01">
            <w:pPr>
              <w:spacing w:line="360" w:lineRule="auto"/>
              <w:jc w:val="both"/>
              <w:rPr>
                <w:rFonts w:cstheme="minorHAnsi"/>
                <w:sz w:val="24"/>
                <w:szCs w:val="24"/>
                <w:shd w:val="clear" w:color="auto" w:fill="FFFFFF"/>
              </w:rPr>
            </w:pPr>
            <w:r>
              <w:rPr>
                <w:rFonts w:cstheme="minorHAnsi"/>
                <w:sz w:val="24"/>
                <w:szCs w:val="24"/>
                <w:shd w:val="clear" w:color="auto" w:fill="FFFFFF"/>
              </w:rPr>
              <w:t>4,738</w:t>
            </w:r>
          </w:p>
        </w:tc>
      </w:tr>
      <w:tr w:rsidR="00DF15D0" w:rsidTr="002F5925">
        <w:tc>
          <w:tcPr>
            <w:tcW w:w="2552" w:type="dxa"/>
          </w:tcPr>
          <w:p w:rsidR="0062577B" w:rsidRDefault="002F5925" w:rsidP="00BD6A01">
            <w:pPr>
              <w:spacing w:line="360" w:lineRule="auto"/>
              <w:jc w:val="both"/>
              <w:rPr>
                <w:rFonts w:cstheme="minorHAnsi"/>
                <w:sz w:val="24"/>
                <w:szCs w:val="24"/>
                <w:shd w:val="clear" w:color="auto" w:fill="FFFFFF"/>
              </w:rPr>
            </w:pPr>
            <w:r>
              <w:rPr>
                <w:rFonts w:cstheme="minorHAnsi"/>
                <w:sz w:val="24"/>
                <w:szCs w:val="24"/>
                <w:shd w:val="clear" w:color="auto" w:fill="FFFFFF"/>
              </w:rPr>
              <w:t>Cash €(m)</w:t>
            </w:r>
          </w:p>
        </w:tc>
        <w:tc>
          <w:tcPr>
            <w:tcW w:w="993"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2,151</w:t>
            </w:r>
          </w:p>
        </w:tc>
        <w:tc>
          <w:tcPr>
            <w:tcW w:w="992"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2,302</w:t>
            </w:r>
          </w:p>
        </w:tc>
        <w:tc>
          <w:tcPr>
            <w:tcW w:w="971"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3,382</w:t>
            </w:r>
          </w:p>
        </w:tc>
        <w:tc>
          <w:tcPr>
            <w:tcW w:w="1088"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3,317</w:t>
            </w:r>
          </w:p>
        </w:tc>
        <w:tc>
          <w:tcPr>
            <w:tcW w:w="1088" w:type="dxa"/>
          </w:tcPr>
          <w:p w:rsidR="0062577B" w:rsidRDefault="00DF15D0" w:rsidP="00BD6A01">
            <w:pPr>
              <w:spacing w:line="360" w:lineRule="auto"/>
              <w:jc w:val="both"/>
              <w:rPr>
                <w:rFonts w:cstheme="minorHAnsi"/>
                <w:sz w:val="24"/>
                <w:szCs w:val="24"/>
                <w:shd w:val="clear" w:color="auto" w:fill="FFFFFF"/>
              </w:rPr>
            </w:pPr>
            <w:r>
              <w:rPr>
                <w:rFonts w:cstheme="minorHAnsi"/>
                <w:sz w:val="24"/>
                <w:szCs w:val="24"/>
                <w:shd w:val="clear" w:color="auto" w:fill="FFFFFF"/>
              </w:rPr>
              <w:t>3,230</w:t>
            </w:r>
          </w:p>
        </w:tc>
        <w:tc>
          <w:tcPr>
            <w:tcW w:w="2381" w:type="dxa"/>
          </w:tcPr>
          <w:p w:rsidR="0062577B" w:rsidRDefault="00E8100E" w:rsidP="00BD6A01">
            <w:pPr>
              <w:spacing w:line="360" w:lineRule="auto"/>
              <w:jc w:val="both"/>
              <w:rPr>
                <w:rFonts w:cstheme="minorHAnsi"/>
                <w:sz w:val="24"/>
                <w:szCs w:val="24"/>
                <w:shd w:val="clear" w:color="auto" w:fill="FFFFFF"/>
              </w:rPr>
            </w:pPr>
            <w:r>
              <w:rPr>
                <w:rFonts w:cstheme="minorHAnsi"/>
                <w:sz w:val="24"/>
                <w:szCs w:val="24"/>
                <w:shd w:val="clear" w:color="auto" w:fill="FFFFFF"/>
              </w:rPr>
              <w:t>2,569</w:t>
            </w:r>
          </w:p>
        </w:tc>
      </w:tr>
    </w:tbl>
    <w:p w:rsidR="0062577B" w:rsidRDefault="0062577B" w:rsidP="0062577B">
      <w:pPr>
        <w:spacing w:line="360" w:lineRule="auto"/>
        <w:jc w:val="both"/>
        <w:rPr>
          <w:rFonts w:cstheme="minorHAnsi"/>
          <w:sz w:val="24"/>
          <w:szCs w:val="24"/>
          <w:shd w:val="clear" w:color="auto" w:fill="FFFFFF"/>
        </w:rPr>
      </w:pPr>
    </w:p>
    <w:p w:rsidR="0062577B" w:rsidRPr="001459C1" w:rsidRDefault="0062577B" w:rsidP="0062577B">
      <w:pPr>
        <w:spacing w:line="360" w:lineRule="auto"/>
        <w:jc w:val="both"/>
        <w:rPr>
          <w:rFonts w:cstheme="minorHAnsi"/>
          <w:sz w:val="24"/>
          <w:szCs w:val="24"/>
          <w:shd w:val="clear" w:color="auto" w:fill="FFFFFF"/>
        </w:rPr>
      </w:pPr>
      <w:r w:rsidRPr="00415536">
        <w:rPr>
          <w:b/>
          <w:sz w:val="24"/>
          <w:szCs w:val="24"/>
        </w:rPr>
        <w:lastRenderedPageBreak/>
        <w:t>Table</w:t>
      </w:r>
      <w:r w:rsidR="000325B3" w:rsidRPr="00415536">
        <w:rPr>
          <w:b/>
          <w:sz w:val="24"/>
          <w:szCs w:val="24"/>
        </w:rPr>
        <w:t xml:space="preserve"> 6</w:t>
      </w:r>
      <w:r w:rsidR="00415536">
        <w:rPr>
          <w:b/>
          <w:sz w:val="24"/>
          <w:szCs w:val="24"/>
        </w:rPr>
        <w:t>.</w:t>
      </w:r>
      <w:r>
        <w:rPr>
          <w:sz w:val="24"/>
          <w:szCs w:val="24"/>
        </w:rPr>
        <w:t xml:space="preserve"> Liquidity</w:t>
      </w:r>
      <w:r w:rsidRPr="001459C1">
        <w:rPr>
          <w:sz w:val="24"/>
          <w:szCs w:val="24"/>
        </w:rPr>
        <w:t xml:space="preserve"> ratios of</w:t>
      </w:r>
      <w:r>
        <w:rPr>
          <w:sz w:val="24"/>
          <w:szCs w:val="24"/>
        </w:rPr>
        <w:t xml:space="preserve"> </w:t>
      </w:r>
      <w:r w:rsidRPr="001459C1">
        <w:rPr>
          <w:sz w:val="24"/>
          <w:szCs w:val="24"/>
        </w:rPr>
        <w:t>Unilever Group (2014 - 2018) and Procter &amp; Gamble (2018)</w:t>
      </w:r>
    </w:p>
    <w:tbl>
      <w:tblPr>
        <w:tblStyle w:val="TableGrid"/>
        <w:tblW w:w="10065" w:type="dxa"/>
        <w:tblInd w:w="-289" w:type="dxa"/>
        <w:tblLook w:val="04A0" w:firstRow="1" w:lastRow="0" w:firstColumn="1" w:lastColumn="0" w:noHBand="0" w:noVBand="1"/>
      </w:tblPr>
      <w:tblGrid>
        <w:gridCol w:w="2594"/>
        <w:gridCol w:w="925"/>
        <w:gridCol w:w="925"/>
        <w:gridCol w:w="925"/>
        <w:gridCol w:w="925"/>
        <w:gridCol w:w="925"/>
        <w:gridCol w:w="2846"/>
      </w:tblGrid>
      <w:tr w:rsidR="0062577B" w:rsidRPr="004F27BE" w:rsidTr="00BD6A01">
        <w:trPr>
          <w:trHeight w:val="510"/>
        </w:trPr>
        <w:tc>
          <w:tcPr>
            <w:tcW w:w="2594" w:type="dxa"/>
            <w:vMerge w:val="restart"/>
          </w:tcPr>
          <w:p w:rsidR="0062577B" w:rsidRDefault="0062577B" w:rsidP="00BD6A01">
            <w:pPr>
              <w:spacing w:line="360" w:lineRule="auto"/>
              <w:jc w:val="both"/>
              <w:rPr>
                <w:rFonts w:cstheme="minorHAnsi"/>
                <w:b/>
                <w:sz w:val="24"/>
                <w:szCs w:val="24"/>
                <w:shd w:val="clear" w:color="auto" w:fill="FFFFFF"/>
              </w:rPr>
            </w:pPr>
          </w:p>
          <w:p w:rsidR="0062577B" w:rsidRPr="004F27BE" w:rsidRDefault="002F5925" w:rsidP="00BD6A01">
            <w:pPr>
              <w:spacing w:line="360" w:lineRule="auto"/>
              <w:jc w:val="both"/>
              <w:rPr>
                <w:rFonts w:cstheme="minorHAnsi"/>
                <w:b/>
                <w:sz w:val="24"/>
                <w:szCs w:val="24"/>
                <w:shd w:val="clear" w:color="auto" w:fill="FFFFFF"/>
              </w:rPr>
            </w:pPr>
            <w:r>
              <w:rPr>
                <w:rFonts w:cstheme="minorHAnsi"/>
                <w:b/>
                <w:sz w:val="24"/>
                <w:szCs w:val="24"/>
                <w:shd w:val="clear" w:color="auto" w:fill="FFFFFF"/>
              </w:rPr>
              <w:t>Liquidity</w:t>
            </w:r>
            <w:r w:rsidR="0062577B">
              <w:rPr>
                <w:rFonts w:cstheme="minorHAnsi"/>
                <w:b/>
                <w:sz w:val="24"/>
                <w:szCs w:val="24"/>
                <w:shd w:val="clear" w:color="auto" w:fill="FFFFFF"/>
              </w:rPr>
              <w:t xml:space="preserve"> Ratio</w:t>
            </w:r>
            <w:r>
              <w:rPr>
                <w:rFonts w:cstheme="minorHAnsi"/>
                <w:b/>
                <w:sz w:val="24"/>
                <w:szCs w:val="24"/>
                <w:shd w:val="clear" w:color="auto" w:fill="FFFFFF"/>
              </w:rPr>
              <w:t>s</w:t>
            </w:r>
          </w:p>
        </w:tc>
        <w:tc>
          <w:tcPr>
            <w:tcW w:w="4625" w:type="dxa"/>
            <w:gridSpan w:val="5"/>
          </w:tcPr>
          <w:p w:rsidR="0062577B" w:rsidRPr="004F27BE" w:rsidRDefault="0062577B" w:rsidP="00BD6A01">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Unilever</w:t>
            </w:r>
            <w:r>
              <w:rPr>
                <w:rFonts w:cstheme="minorHAnsi"/>
                <w:b/>
                <w:sz w:val="24"/>
                <w:szCs w:val="24"/>
                <w:shd w:val="clear" w:color="auto" w:fill="FFFFFF"/>
              </w:rPr>
              <w:t xml:space="preserve"> Group</w:t>
            </w:r>
          </w:p>
          <w:p w:rsidR="0062577B" w:rsidRPr="004F27BE" w:rsidRDefault="0062577B" w:rsidP="00BD6A01">
            <w:pPr>
              <w:spacing w:line="360" w:lineRule="auto"/>
              <w:jc w:val="both"/>
              <w:rPr>
                <w:rFonts w:cstheme="minorHAnsi"/>
                <w:b/>
                <w:sz w:val="24"/>
                <w:szCs w:val="24"/>
                <w:shd w:val="clear" w:color="auto" w:fill="FFFFFF"/>
              </w:rPr>
            </w:pPr>
          </w:p>
        </w:tc>
        <w:tc>
          <w:tcPr>
            <w:tcW w:w="2846" w:type="dxa"/>
            <w:vMerge w:val="restart"/>
          </w:tcPr>
          <w:p w:rsidR="0062577B" w:rsidRPr="004F27BE" w:rsidRDefault="0062577B" w:rsidP="00BD6A01">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Procter &amp; Gamble</w:t>
            </w:r>
          </w:p>
          <w:p w:rsidR="0062577B" w:rsidRPr="004F27BE" w:rsidRDefault="0062577B" w:rsidP="00BD6A01">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2018</w:t>
            </w:r>
          </w:p>
        </w:tc>
      </w:tr>
      <w:tr w:rsidR="0062577B" w:rsidRPr="004F27BE" w:rsidTr="00BD6A01">
        <w:trPr>
          <w:trHeight w:val="360"/>
        </w:trPr>
        <w:tc>
          <w:tcPr>
            <w:tcW w:w="2594" w:type="dxa"/>
            <w:vMerge/>
          </w:tcPr>
          <w:p w:rsidR="0062577B" w:rsidRPr="004F27BE" w:rsidRDefault="0062577B" w:rsidP="00BD6A01">
            <w:pPr>
              <w:spacing w:line="360" w:lineRule="auto"/>
              <w:jc w:val="both"/>
              <w:rPr>
                <w:rFonts w:cstheme="minorHAnsi"/>
                <w:b/>
                <w:sz w:val="24"/>
                <w:szCs w:val="24"/>
                <w:shd w:val="clear" w:color="auto" w:fill="FFFFFF"/>
              </w:rPr>
            </w:pPr>
          </w:p>
        </w:tc>
        <w:tc>
          <w:tcPr>
            <w:tcW w:w="925"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2014</w:t>
            </w:r>
          </w:p>
        </w:tc>
        <w:tc>
          <w:tcPr>
            <w:tcW w:w="925"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2015</w:t>
            </w:r>
          </w:p>
        </w:tc>
        <w:tc>
          <w:tcPr>
            <w:tcW w:w="925"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2016</w:t>
            </w:r>
          </w:p>
        </w:tc>
        <w:tc>
          <w:tcPr>
            <w:tcW w:w="925"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2017</w:t>
            </w:r>
          </w:p>
        </w:tc>
        <w:tc>
          <w:tcPr>
            <w:tcW w:w="925" w:type="dxa"/>
          </w:tcPr>
          <w:p w:rsidR="0062577B" w:rsidRPr="004F27BE" w:rsidRDefault="0062577B" w:rsidP="00BD6A01">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2018</w:t>
            </w:r>
          </w:p>
        </w:tc>
        <w:tc>
          <w:tcPr>
            <w:tcW w:w="2846" w:type="dxa"/>
            <w:vMerge/>
          </w:tcPr>
          <w:p w:rsidR="0062577B" w:rsidRPr="004F27BE" w:rsidRDefault="0062577B" w:rsidP="00BD6A01">
            <w:pPr>
              <w:spacing w:line="360" w:lineRule="auto"/>
              <w:jc w:val="center"/>
              <w:rPr>
                <w:rFonts w:cstheme="minorHAnsi"/>
                <w:b/>
                <w:sz w:val="24"/>
                <w:szCs w:val="24"/>
                <w:shd w:val="clear" w:color="auto" w:fill="FFFFFF"/>
              </w:rPr>
            </w:pPr>
          </w:p>
        </w:tc>
      </w:tr>
      <w:tr w:rsidR="0062577B" w:rsidTr="00BD6A01">
        <w:tc>
          <w:tcPr>
            <w:tcW w:w="2594" w:type="dxa"/>
          </w:tcPr>
          <w:p w:rsidR="0062577B" w:rsidRDefault="002F5925" w:rsidP="00BD6A01">
            <w:pPr>
              <w:spacing w:line="360" w:lineRule="auto"/>
              <w:jc w:val="both"/>
              <w:rPr>
                <w:rFonts w:cstheme="minorHAnsi"/>
                <w:sz w:val="24"/>
                <w:szCs w:val="24"/>
                <w:shd w:val="clear" w:color="auto" w:fill="FFFFFF"/>
              </w:rPr>
            </w:pPr>
            <w:r>
              <w:rPr>
                <w:rFonts w:cstheme="minorHAnsi"/>
                <w:sz w:val="24"/>
                <w:szCs w:val="24"/>
                <w:shd w:val="clear" w:color="auto" w:fill="FFFFFF"/>
              </w:rPr>
              <w:t>Current Ratio</w:t>
            </w:r>
          </w:p>
        </w:tc>
        <w:tc>
          <w:tcPr>
            <w:tcW w:w="925"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0.63</w:t>
            </w:r>
          </w:p>
        </w:tc>
        <w:tc>
          <w:tcPr>
            <w:tcW w:w="925"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0.63</w:t>
            </w:r>
          </w:p>
        </w:tc>
        <w:tc>
          <w:tcPr>
            <w:tcW w:w="925" w:type="dxa"/>
          </w:tcPr>
          <w:p w:rsidR="0062577B" w:rsidRDefault="00FE12E9" w:rsidP="00FE12E9">
            <w:pPr>
              <w:spacing w:line="360" w:lineRule="auto"/>
              <w:jc w:val="both"/>
              <w:rPr>
                <w:rFonts w:cstheme="minorHAnsi"/>
                <w:sz w:val="24"/>
                <w:szCs w:val="24"/>
                <w:shd w:val="clear" w:color="auto" w:fill="FFFFFF"/>
              </w:rPr>
            </w:pPr>
            <w:r>
              <w:rPr>
                <w:rFonts w:cstheme="minorHAnsi"/>
                <w:sz w:val="24"/>
                <w:szCs w:val="24"/>
                <w:shd w:val="clear" w:color="auto" w:fill="FFFFFF"/>
              </w:rPr>
              <w:t>0.68</w:t>
            </w:r>
          </w:p>
        </w:tc>
        <w:tc>
          <w:tcPr>
            <w:tcW w:w="925"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0.73</w:t>
            </w:r>
          </w:p>
        </w:tc>
        <w:tc>
          <w:tcPr>
            <w:tcW w:w="925"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0.78</w:t>
            </w:r>
          </w:p>
        </w:tc>
        <w:tc>
          <w:tcPr>
            <w:tcW w:w="2846"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0.83</w:t>
            </w:r>
          </w:p>
        </w:tc>
      </w:tr>
      <w:tr w:rsidR="0062577B" w:rsidTr="00BD6A01">
        <w:tc>
          <w:tcPr>
            <w:tcW w:w="2594" w:type="dxa"/>
          </w:tcPr>
          <w:p w:rsidR="0062577B" w:rsidRDefault="002F5925" w:rsidP="00BD6A01">
            <w:pPr>
              <w:spacing w:line="360" w:lineRule="auto"/>
              <w:jc w:val="both"/>
              <w:rPr>
                <w:rFonts w:cstheme="minorHAnsi"/>
                <w:sz w:val="24"/>
                <w:szCs w:val="24"/>
                <w:shd w:val="clear" w:color="auto" w:fill="FFFFFF"/>
              </w:rPr>
            </w:pPr>
            <w:r>
              <w:rPr>
                <w:rFonts w:cstheme="minorHAnsi"/>
                <w:sz w:val="24"/>
                <w:szCs w:val="24"/>
                <w:shd w:val="clear" w:color="auto" w:fill="FFFFFF"/>
              </w:rPr>
              <w:t>Quick Ratio</w:t>
            </w:r>
          </w:p>
        </w:tc>
        <w:tc>
          <w:tcPr>
            <w:tcW w:w="925"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0.42</w:t>
            </w:r>
          </w:p>
        </w:tc>
        <w:tc>
          <w:tcPr>
            <w:tcW w:w="925"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0.42</w:t>
            </w:r>
          </w:p>
        </w:tc>
        <w:tc>
          <w:tcPr>
            <w:tcW w:w="925"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0.47</w:t>
            </w:r>
          </w:p>
        </w:tc>
        <w:tc>
          <w:tcPr>
            <w:tcW w:w="925"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0.56</w:t>
            </w:r>
          </w:p>
        </w:tc>
        <w:tc>
          <w:tcPr>
            <w:tcW w:w="925"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0.57</w:t>
            </w:r>
          </w:p>
        </w:tc>
        <w:tc>
          <w:tcPr>
            <w:tcW w:w="2846" w:type="dxa"/>
          </w:tcPr>
          <w:p w:rsidR="0062577B"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0.66</w:t>
            </w:r>
          </w:p>
        </w:tc>
      </w:tr>
      <w:tr w:rsidR="002F5925" w:rsidTr="00BD6A01">
        <w:tc>
          <w:tcPr>
            <w:tcW w:w="2594" w:type="dxa"/>
          </w:tcPr>
          <w:p w:rsidR="002F5925" w:rsidRDefault="002F5925" w:rsidP="00BD6A01">
            <w:pPr>
              <w:spacing w:line="360" w:lineRule="auto"/>
              <w:jc w:val="both"/>
              <w:rPr>
                <w:rFonts w:cstheme="minorHAnsi"/>
                <w:sz w:val="24"/>
                <w:szCs w:val="24"/>
                <w:shd w:val="clear" w:color="auto" w:fill="FFFFFF"/>
              </w:rPr>
            </w:pPr>
            <w:r>
              <w:rPr>
                <w:rFonts w:cstheme="minorHAnsi"/>
                <w:sz w:val="24"/>
                <w:szCs w:val="24"/>
                <w:shd w:val="clear" w:color="auto" w:fill="FFFFFF"/>
              </w:rPr>
              <w:t>Cash Ratio</w:t>
            </w:r>
          </w:p>
        </w:tc>
        <w:tc>
          <w:tcPr>
            <w:tcW w:w="925" w:type="dxa"/>
          </w:tcPr>
          <w:p w:rsidR="002F5925"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0.11</w:t>
            </w:r>
          </w:p>
        </w:tc>
        <w:tc>
          <w:tcPr>
            <w:tcW w:w="925" w:type="dxa"/>
          </w:tcPr>
          <w:p w:rsidR="002F5925"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0.11</w:t>
            </w:r>
          </w:p>
        </w:tc>
        <w:tc>
          <w:tcPr>
            <w:tcW w:w="925" w:type="dxa"/>
          </w:tcPr>
          <w:p w:rsidR="002F5925"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0.16</w:t>
            </w:r>
          </w:p>
        </w:tc>
        <w:tc>
          <w:tcPr>
            <w:tcW w:w="925" w:type="dxa"/>
          </w:tcPr>
          <w:p w:rsidR="002F5925"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0.14</w:t>
            </w:r>
          </w:p>
        </w:tc>
        <w:tc>
          <w:tcPr>
            <w:tcW w:w="925" w:type="dxa"/>
          </w:tcPr>
          <w:p w:rsidR="002F5925"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0.16</w:t>
            </w:r>
          </w:p>
        </w:tc>
        <w:tc>
          <w:tcPr>
            <w:tcW w:w="2846" w:type="dxa"/>
          </w:tcPr>
          <w:p w:rsidR="002F5925" w:rsidRDefault="00FE12E9" w:rsidP="00BD6A01">
            <w:pPr>
              <w:spacing w:line="360" w:lineRule="auto"/>
              <w:jc w:val="both"/>
              <w:rPr>
                <w:rFonts w:cstheme="minorHAnsi"/>
                <w:sz w:val="24"/>
                <w:szCs w:val="24"/>
                <w:shd w:val="clear" w:color="auto" w:fill="FFFFFF"/>
              </w:rPr>
            </w:pPr>
            <w:r>
              <w:rPr>
                <w:rFonts w:cstheme="minorHAnsi"/>
                <w:sz w:val="24"/>
                <w:szCs w:val="24"/>
                <w:shd w:val="clear" w:color="auto" w:fill="FFFFFF"/>
              </w:rPr>
              <w:t>0.09</w:t>
            </w:r>
          </w:p>
        </w:tc>
      </w:tr>
    </w:tbl>
    <w:p w:rsidR="0062577B" w:rsidRPr="0062577B" w:rsidRDefault="0062577B" w:rsidP="00E00656">
      <w:pPr>
        <w:pStyle w:val="NormalWeb"/>
        <w:shd w:val="clear" w:color="auto" w:fill="FFFFFF"/>
        <w:spacing w:before="0" w:beforeAutospacing="0" w:after="120" w:afterAutospacing="0" w:line="360" w:lineRule="auto"/>
        <w:jc w:val="both"/>
        <w:textAlignment w:val="baseline"/>
        <w:rPr>
          <w:rFonts w:asciiTheme="minorHAnsi" w:hAnsiTheme="minorHAnsi" w:cstheme="minorHAnsi"/>
          <w:shd w:val="clear" w:color="auto" w:fill="FFFFFF"/>
        </w:rPr>
      </w:pPr>
    </w:p>
    <w:p w:rsidR="00D21791" w:rsidRPr="00C36247" w:rsidRDefault="00D21791" w:rsidP="00415536">
      <w:pPr>
        <w:pStyle w:val="Heading2"/>
        <w:spacing w:after="100" w:afterAutospacing="1"/>
        <w:rPr>
          <w:shd w:val="clear" w:color="auto" w:fill="FFFFFF"/>
        </w:rPr>
      </w:pPr>
      <w:bookmarkStart w:id="12" w:name="_Toc30151582"/>
      <w:r w:rsidRPr="00C36247">
        <w:rPr>
          <w:shd w:val="clear" w:color="auto" w:fill="FFFFFF"/>
        </w:rPr>
        <w:t>Current ratio</w:t>
      </w:r>
      <w:bookmarkEnd w:id="12"/>
    </w:p>
    <w:p w:rsidR="00D21791" w:rsidRPr="00C36247" w:rsidRDefault="00D21791" w:rsidP="00C36247">
      <w:pPr>
        <w:pStyle w:val="NormalWeb"/>
        <w:shd w:val="clear" w:color="auto" w:fill="FFFFFF"/>
        <w:spacing w:before="0" w:beforeAutospacing="0" w:after="300" w:afterAutospacing="0" w:line="360" w:lineRule="auto"/>
        <w:jc w:val="both"/>
        <w:textAlignment w:val="baseline"/>
        <w:rPr>
          <w:rFonts w:asciiTheme="minorHAnsi" w:hAnsiTheme="minorHAnsi" w:cstheme="minorHAnsi"/>
          <w:shd w:val="clear" w:color="auto" w:fill="FFFFFF"/>
        </w:rPr>
      </w:pPr>
      <w:r w:rsidRPr="00C36247">
        <w:rPr>
          <w:rFonts w:asciiTheme="minorHAnsi" w:hAnsiTheme="minorHAnsi" w:cstheme="minorHAnsi"/>
          <w:shd w:val="clear" w:color="auto" w:fill="FFFFFF"/>
        </w:rPr>
        <w:t>The current ratio is the result of a company's current liabilities dividing its current assets. It is important because it measures a company's liquidity level. Normally, the higher the ratio the higher the liquidity and the other way around.</w:t>
      </w:r>
      <w:r w:rsidR="003F3A89">
        <w:rPr>
          <w:rFonts w:asciiTheme="minorHAnsi" w:hAnsiTheme="minorHAnsi" w:cstheme="minorHAnsi"/>
          <w:shd w:val="clear" w:color="auto" w:fill="FFFFFF"/>
        </w:rPr>
        <w:t xml:space="preserve"> </w:t>
      </w:r>
      <w:r w:rsidR="003F3A89" w:rsidRPr="003F3A89">
        <w:rPr>
          <w:rFonts w:asciiTheme="minorHAnsi" w:hAnsiTheme="minorHAnsi" w:cstheme="minorHAnsi"/>
          <w:shd w:val="clear" w:color="auto" w:fill="FFFFFF"/>
        </w:rPr>
        <w:t>It measures a company's ability to repay its current assets for its short-term liabilities</w:t>
      </w:r>
      <w:r w:rsidR="009019D0">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558632796"/>
          <w:citation/>
        </w:sdtPr>
        <w:sdtEndPr/>
        <w:sdtContent>
          <w:r w:rsidR="009019D0">
            <w:rPr>
              <w:rFonts w:asciiTheme="minorHAnsi" w:hAnsiTheme="minorHAnsi" w:cstheme="minorHAnsi"/>
              <w:shd w:val="clear" w:color="auto" w:fill="FFFFFF"/>
            </w:rPr>
            <w:fldChar w:fldCharType="begin"/>
          </w:r>
          <w:r w:rsidR="009019D0">
            <w:rPr>
              <w:rFonts w:asciiTheme="minorHAnsi" w:hAnsiTheme="minorHAnsi" w:cstheme="minorHAnsi"/>
              <w:shd w:val="clear" w:color="auto" w:fill="FFFFFF"/>
            </w:rPr>
            <w:instrText xml:space="preserve"> CITATION Had14 \l 2057 </w:instrText>
          </w:r>
          <w:r w:rsidR="009019D0">
            <w:rPr>
              <w:rFonts w:asciiTheme="minorHAnsi" w:hAnsiTheme="minorHAnsi" w:cstheme="minorHAnsi"/>
              <w:shd w:val="clear" w:color="auto" w:fill="FFFFFF"/>
            </w:rPr>
            <w:fldChar w:fldCharType="separate"/>
          </w:r>
          <w:r w:rsidR="00C1213C" w:rsidRPr="00C1213C">
            <w:rPr>
              <w:rFonts w:asciiTheme="minorHAnsi" w:hAnsiTheme="minorHAnsi" w:cstheme="minorHAnsi"/>
              <w:noProof/>
              <w:shd w:val="clear" w:color="auto" w:fill="FFFFFF"/>
            </w:rPr>
            <w:t>(Hada &amp; Avram, 2014)</w:t>
          </w:r>
          <w:r w:rsidR="009019D0">
            <w:rPr>
              <w:rFonts w:asciiTheme="minorHAnsi" w:hAnsiTheme="minorHAnsi" w:cstheme="minorHAnsi"/>
              <w:shd w:val="clear" w:color="auto" w:fill="FFFFFF"/>
            </w:rPr>
            <w:fldChar w:fldCharType="end"/>
          </w:r>
        </w:sdtContent>
      </w:sdt>
      <w:r w:rsidR="003F3A89" w:rsidRPr="003F3A89">
        <w:rPr>
          <w:rFonts w:asciiTheme="minorHAnsi" w:hAnsiTheme="minorHAnsi" w:cstheme="minorHAnsi"/>
          <w:shd w:val="clear" w:color="auto" w:fill="FFFFFF"/>
        </w:rPr>
        <w:t>. The current ratio is a major liquidity measure, because short-term commitments are due in the coming year</w:t>
      </w:r>
      <w:r w:rsidR="00E672BA">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679018705"/>
          <w:citation/>
        </w:sdtPr>
        <w:sdtEndPr/>
        <w:sdtContent>
          <w:r w:rsidR="00E672BA">
            <w:rPr>
              <w:rFonts w:asciiTheme="minorHAnsi" w:hAnsiTheme="minorHAnsi" w:cstheme="minorHAnsi"/>
              <w:shd w:val="clear" w:color="auto" w:fill="FFFFFF"/>
            </w:rPr>
            <w:fldChar w:fldCharType="begin"/>
          </w:r>
          <w:r w:rsidR="00E672BA">
            <w:rPr>
              <w:rFonts w:asciiTheme="minorHAnsi" w:hAnsiTheme="minorHAnsi" w:cstheme="minorHAnsi"/>
              <w:shd w:val="clear" w:color="auto" w:fill="FFFFFF"/>
            </w:rPr>
            <w:instrText xml:space="preserve"> CITATION mya192 \l 2057 </w:instrText>
          </w:r>
          <w:r w:rsidR="00E672BA">
            <w:rPr>
              <w:rFonts w:asciiTheme="minorHAnsi" w:hAnsiTheme="minorHAnsi" w:cstheme="minorHAnsi"/>
              <w:shd w:val="clear" w:color="auto" w:fill="FFFFFF"/>
            </w:rPr>
            <w:fldChar w:fldCharType="separate"/>
          </w:r>
          <w:r w:rsidR="00C1213C" w:rsidRPr="00C1213C">
            <w:rPr>
              <w:rFonts w:asciiTheme="minorHAnsi" w:hAnsiTheme="minorHAnsi" w:cstheme="minorHAnsi"/>
              <w:noProof/>
              <w:shd w:val="clear" w:color="auto" w:fill="FFFFFF"/>
            </w:rPr>
            <w:t>(myaccountingcourse, 2019)</w:t>
          </w:r>
          <w:r w:rsidR="00E672BA">
            <w:rPr>
              <w:rFonts w:asciiTheme="minorHAnsi" w:hAnsiTheme="minorHAnsi" w:cstheme="minorHAnsi"/>
              <w:shd w:val="clear" w:color="auto" w:fill="FFFFFF"/>
            </w:rPr>
            <w:fldChar w:fldCharType="end"/>
          </w:r>
        </w:sdtContent>
      </w:sdt>
      <w:r w:rsidR="003F3A89" w:rsidRPr="003F3A89">
        <w:rPr>
          <w:rFonts w:asciiTheme="minorHAnsi" w:hAnsiTheme="minorHAnsi" w:cstheme="minorHAnsi"/>
          <w:shd w:val="clear" w:color="auto" w:fill="FFFFFF"/>
        </w:rPr>
        <w:t>.</w:t>
      </w:r>
      <w:r w:rsidR="00800C38">
        <w:rPr>
          <w:rFonts w:asciiTheme="minorHAnsi" w:hAnsiTheme="minorHAnsi" w:cstheme="minorHAnsi"/>
          <w:shd w:val="clear" w:color="auto" w:fill="FFFFFF"/>
        </w:rPr>
        <w:t xml:space="preserve"> </w:t>
      </w:r>
      <w:r w:rsidR="00800C38" w:rsidRPr="00800C38">
        <w:rPr>
          <w:rFonts w:asciiTheme="minorHAnsi" w:hAnsiTheme="minorHAnsi" w:cstheme="minorHAnsi"/>
          <w:shd w:val="clear" w:color="auto" w:fill="FFFFFF"/>
        </w:rPr>
        <w:t>A higher current ratio is always better than a lower current ratio because the company can make current debt payments more easily.</w:t>
      </w:r>
      <w:r w:rsidR="003F3A89">
        <w:rPr>
          <w:rFonts w:asciiTheme="minorHAnsi" w:hAnsiTheme="minorHAnsi" w:cstheme="minorHAnsi"/>
          <w:shd w:val="clear" w:color="auto" w:fill="FFFFFF"/>
        </w:rPr>
        <w:t xml:space="preserve"> From Table 6 results that, during the analysed period, Unilever could pay back an average of 69% from its current liabilities. </w:t>
      </w:r>
      <w:r w:rsidR="00F745C8">
        <w:rPr>
          <w:rFonts w:asciiTheme="minorHAnsi" w:hAnsiTheme="minorHAnsi" w:cstheme="minorHAnsi"/>
          <w:shd w:val="clear" w:color="auto" w:fill="FFFFFF"/>
        </w:rPr>
        <w:t>This percentage increased in 2018 at 78% but it is still lower than P&amp;G which is 83%.</w:t>
      </w:r>
      <w:r w:rsidR="002E5671">
        <w:rPr>
          <w:rFonts w:asciiTheme="minorHAnsi" w:hAnsiTheme="minorHAnsi" w:cstheme="minorHAnsi"/>
          <w:shd w:val="clear" w:color="auto" w:fill="FFFFFF"/>
        </w:rPr>
        <w:t xml:space="preserve"> There are a few ways to improve the Current Ratio.</w:t>
      </w:r>
    </w:p>
    <w:p w:rsidR="002E5671" w:rsidRPr="001E187E" w:rsidRDefault="002E5671" w:rsidP="001E187E">
      <w:pPr>
        <w:rPr>
          <w:b/>
          <w:sz w:val="24"/>
          <w:szCs w:val="24"/>
        </w:rPr>
      </w:pPr>
      <w:r w:rsidRPr="001E187E">
        <w:rPr>
          <w:b/>
          <w:sz w:val="24"/>
          <w:szCs w:val="24"/>
        </w:rPr>
        <w:t xml:space="preserve">Faster conversion cycle of debtors </w:t>
      </w:r>
    </w:p>
    <w:p w:rsidR="002E5671" w:rsidRPr="001E187E" w:rsidRDefault="002E5671" w:rsidP="001E187E">
      <w:pPr>
        <w:spacing w:line="360" w:lineRule="auto"/>
        <w:jc w:val="both"/>
        <w:rPr>
          <w:sz w:val="24"/>
          <w:szCs w:val="24"/>
        </w:rPr>
      </w:pPr>
      <w:r w:rsidRPr="001E187E">
        <w:rPr>
          <w:sz w:val="24"/>
          <w:szCs w:val="24"/>
        </w:rPr>
        <w:t>The present ratio would continue to be regulated faster by debtors. The ratio will at least show the right picture when the debtors are liquid. The returns from them can be continually followed up with the debtors. The payment terms should be transparent in the first contract itself and the credit duration should be negotiated as low as possible.</w:t>
      </w:r>
    </w:p>
    <w:p w:rsidR="00B36936" w:rsidRPr="001E187E" w:rsidRDefault="002E5671" w:rsidP="001E187E">
      <w:pPr>
        <w:rPr>
          <w:b/>
          <w:sz w:val="24"/>
          <w:szCs w:val="24"/>
        </w:rPr>
      </w:pPr>
      <w:r w:rsidRPr="001E187E">
        <w:rPr>
          <w:b/>
          <w:sz w:val="24"/>
          <w:szCs w:val="24"/>
        </w:rPr>
        <w:t>Pay off current liabilities</w:t>
      </w:r>
    </w:p>
    <w:p w:rsidR="00B36936" w:rsidRPr="00C36247" w:rsidRDefault="002E5671" w:rsidP="00C36247">
      <w:pPr>
        <w:spacing w:line="360" w:lineRule="auto"/>
        <w:jc w:val="both"/>
        <w:rPr>
          <w:rFonts w:cstheme="minorHAnsi"/>
          <w:sz w:val="24"/>
          <w:szCs w:val="24"/>
        </w:rPr>
      </w:pPr>
      <w:r w:rsidRPr="002E5671">
        <w:rPr>
          <w:rFonts w:cstheme="minorHAnsi"/>
          <w:sz w:val="24"/>
          <w:szCs w:val="24"/>
        </w:rPr>
        <w:t>The current ratio not only depends on current assets, but also on the denominator's current liability. The payment should be made as soon as possible. The new liability standard is reduced and the existing ratio is thus increased. Investor late payments can save money and be granted a direct income discount.</w:t>
      </w:r>
    </w:p>
    <w:p w:rsidR="00D21791" w:rsidRPr="001E187E" w:rsidRDefault="002E5671" w:rsidP="001E187E">
      <w:pPr>
        <w:rPr>
          <w:b/>
          <w:caps/>
          <w:sz w:val="24"/>
          <w:szCs w:val="24"/>
          <w:bdr w:val="none" w:sz="0" w:space="0" w:color="auto" w:frame="1"/>
        </w:rPr>
      </w:pPr>
      <w:r w:rsidRPr="001E187E">
        <w:rPr>
          <w:b/>
          <w:sz w:val="24"/>
          <w:szCs w:val="24"/>
          <w:bdr w:val="none" w:sz="0" w:space="0" w:color="auto" w:frame="1"/>
        </w:rPr>
        <w:t>Sell-off unproductive assets</w:t>
      </w:r>
    </w:p>
    <w:p w:rsidR="00D21791" w:rsidRPr="00C36247" w:rsidRDefault="002E5671" w:rsidP="00C36247">
      <w:pPr>
        <w:pStyle w:val="NormalWeb"/>
        <w:shd w:val="clear" w:color="auto" w:fill="FFFFFF"/>
        <w:spacing w:before="0" w:beforeAutospacing="0" w:after="0" w:afterAutospacing="0" w:line="360" w:lineRule="auto"/>
        <w:jc w:val="both"/>
        <w:textAlignment w:val="baseline"/>
        <w:rPr>
          <w:rFonts w:asciiTheme="minorHAnsi" w:hAnsiTheme="minorHAnsi" w:cstheme="minorHAnsi"/>
          <w:bdr w:val="none" w:sz="0" w:space="0" w:color="auto" w:frame="1"/>
        </w:rPr>
      </w:pPr>
      <w:r w:rsidRPr="002E5671">
        <w:rPr>
          <w:rFonts w:asciiTheme="minorHAnsi" w:hAnsiTheme="minorHAnsi" w:cstheme="minorHAnsi"/>
          <w:bdr w:val="none" w:sz="0" w:space="0" w:color="auto" w:frame="1"/>
        </w:rPr>
        <w:lastRenderedPageBreak/>
        <w:t>Cash levels can be raised by selling unused fixed assets. Money is rather diverted and idle capital disproportionately increases interest costs</w:t>
      </w:r>
      <w:r w:rsidR="00B36936" w:rsidRPr="00C36247">
        <w:rPr>
          <w:rFonts w:asciiTheme="minorHAnsi" w:hAnsiTheme="minorHAnsi" w:cstheme="minorHAnsi"/>
          <w:bdr w:val="none" w:sz="0" w:space="0" w:color="auto" w:frame="1"/>
        </w:rPr>
        <w:t>.</w:t>
      </w:r>
      <w:r w:rsidR="00D21791" w:rsidRPr="00C36247">
        <w:rPr>
          <w:rFonts w:asciiTheme="minorHAnsi" w:hAnsiTheme="minorHAnsi" w:cstheme="minorHAnsi"/>
          <w:bdr w:val="none" w:sz="0" w:space="0" w:color="auto" w:frame="1"/>
        </w:rPr>
        <w:t xml:space="preserve"> </w:t>
      </w:r>
      <w:sdt>
        <w:sdtPr>
          <w:rPr>
            <w:rFonts w:asciiTheme="minorHAnsi" w:hAnsiTheme="minorHAnsi" w:cstheme="minorHAnsi"/>
            <w:bdr w:val="none" w:sz="0" w:space="0" w:color="auto" w:frame="1"/>
          </w:rPr>
          <w:id w:val="549732038"/>
          <w:citation/>
        </w:sdtPr>
        <w:sdtEndPr/>
        <w:sdtContent>
          <w:r w:rsidR="00D21791" w:rsidRPr="00C36247">
            <w:rPr>
              <w:rFonts w:asciiTheme="minorHAnsi" w:hAnsiTheme="minorHAnsi" w:cstheme="minorHAnsi"/>
              <w:bdr w:val="none" w:sz="0" w:space="0" w:color="auto" w:frame="1"/>
            </w:rPr>
            <w:fldChar w:fldCharType="begin"/>
          </w:r>
          <w:r w:rsidR="00D21791" w:rsidRPr="00C36247">
            <w:rPr>
              <w:rFonts w:asciiTheme="minorHAnsi" w:hAnsiTheme="minorHAnsi" w:cstheme="minorHAnsi"/>
              <w:bdr w:val="none" w:sz="0" w:space="0" w:color="auto" w:frame="1"/>
            </w:rPr>
            <w:instrText xml:space="preserve">CITATION efi191 \l 2057 </w:instrText>
          </w:r>
          <w:r w:rsidR="00D21791" w:rsidRPr="00C36247">
            <w:rPr>
              <w:rFonts w:asciiTheme="minorHAnsi" w:hAnsiTheme="minorHAnsi" w:cstheme="minorHAnsi"/>
              <w:bdr w:val="none" w:sz="0" w:space="0" w:color="auto" w:frame="1"/>
            </w:rPr>
            <w:fldChar w:fldCharType="separate"/>
          </w:r>
          <w:r w:rsidR="00C1213C" w:rsidRPr="00C1213C">
            <w:rPr>
              <w:rFonts w:asciiTheme="minorHAnsi" w:hAnsiTheme="minorHAnsi" w:cstheme="minorHAnsi"/>
              <w:noProof/>
              <w:bdr w:val="none" w:sz="0" w:space="0" w:color="auto" w:frame="1"/>
            </w:rPr>
            <w:t>(efinancemanagement, 2019)</w:t>
          </w:r>
          <w:r w:rsidR="00D21791" w:rsidRPr="00C36247">
            <w:rPr>
              <w:rFonts w:asciiTheme="minorHAnsi" w:hAnsiTheme="minorHAnsi" w:cstheme="minorHAnsi"/>
              <w:bdr w:val="none" w:sz="0" w:space="0" w:color="auto" w:frame="1"/>
            </w:rPr>
            <w:fldChar w:fldCharType="end"/>
          </w:r>
        </w:sdtContent>
      </w:sdt>
    </w:p>
    <w:p w:rsidR="00D21791" w:rsidRPr="00C36247" w:rsidRDefault="00D21791" w:rsidP="00C36247">
      <w:pPr>
        <w:pStyle w:val="NormalWeb"/>
        <w:shd w:val="clear" w:color="auto" w:fill="FFFFFF"/>
        <w:spacing w:before="0" w:beforeAutospacing="0" w:after="0" w:afterAutospacing="0" w:line="360" w:lineRule="auto"/>
        <w:jc w:val="both"/>
        <w:textAlignment w:val="baseline"/>
        <w:rPr>
          <w:rFonts w:asciiTheme="minorHAnsi" w:hAnsiTheme="minorHAnsi" w:cstheme="minorHAnsi"/>
          <w:bdr w:val="none" w:sz="0" w:space="0" w:color="auto" w:frame="1"/>
        </w:rPr>
      </w:pPr>
    </w:p>
    <w:p w:rsidR="00D21791" w:rsidRPr="00C36247" w:rsidRDefault="00D21791" w:rsidP="00415536">
      <w:pPr>
        <w:pStyle w:val="Heading2"/>
        <w:spacing w:after="100" w:afterAutospacing="1"/>
        <w:rPr>
          <w:bdr w:val="none" w:sz="0" w:space="0" w:color="auto" w:frame="1"/>
        </w:rPr>
      </w:pPr>
      <w:bookmarkStart w:id="13" w:name="_Toc30151583"/>
      <w:r w:rsidRPr="00C36247">
        <w:rPr>
          <w:bdr w:val="none" w:sz="0" w:space="0" w:color="auto" w:frame="1"/>
        </w:rPr>
        <w:t>Quick Ratio</w:t>
      </w:r>
      <w:bookmarkEnd w:id="13"/>
    </w:p>
    <w:p w:rsidR="00D21791" w:rsidRPr="00C36247" w:rsidRDefault="000B0296" w:rsidP="00C36247">
      <w:pPr>
        <w:pStyle w:val="NormalWeb"/>
        <w:shd w:val="clear" w:color="auto" w:fill="FFFFFF"/>
        <w:spacing w:before="0" w:beforeAutospacing="0" w:after="0" w:afterAutospacing="0" w:line="360" w:lineRule="auto"/>
        <w:jc w:val="both"/>
        <w:textAlignment w:val="baseline"/>
        <w:rPr>
          <w:rFonts w:asciiTheme="minorHAnsi" w:hAnsiTheme="minorHAnsi" w:cstheme="minorHAnsi"/>
          <w:shd w:val="clear" w:color="auto" w:fill="FFFFFF"/>
        </w:rPr>
      </w:pPr>
      <w:r w:rsidRPr="000B0296">
        <w:rPr>
          <w:rFonts w:asciiTheme="minorHAnsi" w:hAnsiTheme="minorHAnsi" w:cstheme="minorHAnsi"/>
          <w:shd w:val="clear" w:color="auto" w:fill="FFFFFF"/>
        </w:rPr>
        <w:t>The quick ratio provides an integrated indicator of the payment capacity of an entity. The quick ratio measures the liquidity of a company, comparing cash plus nearly cash current assets with its overall financial obligations. This helps ensure that the company can cover its current liabilities with the most liquid assets</w:t>
      </w:r>
      <w:r>
        <w:rPr>
          <w:rFonts w:asciiTheme="minorHAnsi" w:hAnsiTheme="minorHAnsi" w:cstheme="minorHAnsi"/>
          <w:shd w:val="clear" w:color="auto" w:fill="FFFFFF"/>
        </w:rPr>
        <w:t xml:space="preserve"> </w:t>
      </w:r>
      <w:sdt>
        <w:sdtPr>
          <w:rPr>
            <w:rFonts w:asciiTheme="minorHAnsi" w:hAnsiTheme="minorHAnsi" w:cstheme="minorHAnsi"/>
            <w:shd w:val="clear" w:color="auto" w:fill="FFFFFF"/>
          </w:rPr>
          <w:id w:val="-1506430764"/>
          <w:citation/>
        </w:sdtPr>
        <w:sdtEndPr/>
        <w:sdtContent>
          <w:r>
            <w:rPr>
              <w:rFonts w:asciiTheme="minorHAnsi" w:hAnsiTheme="minorHAnsi" w:cstheme="minorHAnsi"/>
              <w:shd w:val="clear" w:color="auto" w:fill="FFFFFF"/>
            </w:rPr>
            <w:fldChar w:fldCharType="begin"/>
          </w:r>
          <w:r>
            <w:rPr>
              <w:rFonts w:asciiTheme="minorHAnsi" w:hAnsiTheme="minorHAnsi" w:cstheme="minorHAnsi"/>
              <w:shd w:val="clear" w:color="auto" w:fill="FFFFFF"/>
            </w:rPr>
            <w:instrText xml:space="preserve"> CITATION Had14 \l 2057 </w:instrText>
          </w:r>
          <w:r>
            <w:rPr>
              <w:rFonts w:asciiTheme="minorHAnsi" w:hAnsiTheme="minorHAnsi" w:cstheme="minorHAnsi"/>
              <w:shd w:val="clear" w:color="auto" w:fill="FFFFFF"/>
            </w:rPr>
            <w:fldChar w:fldCharType="separate"/>
          </w:r>
          <w:r w:rsidR="00C1213C" w:rsidRPr="00C1213C">
            <w:rPr>
              <w:rFonts w:asciiTheme="minorHAnsi" w:hAnsiTheme="minorHAnsi" w:cstheme="minorHAnsi"/>
              <w:noProof/>
              <w:shd w:val="clear" w:color="auto" w:fill="FFFFFF"/>
            </w:rPr>
            <w:t>(Hada &amp; Avram, 2014)</w:t>
          </w:r>
          <w:r>
            <w:rPr>
              <w:rFonts w:asciiTheme="minorHAnsi" w:hAnsiTheme="minorHAnsi" w:cstheme="minorHAnsi"/>
              <w:shd w:val="clear" w:color="auto" w:fill="FFFFFF"/>
            </w:rPr>
            <w:fldChar w:fldCharType="end"/>
          </w:r>
        </w:sdtContent>
      </w:sdt>
      <w:r w:rsidR="00B36936" w:rsidRPr="00C36247">
        <w:rPr>
          <w:rFonts w:asciiTheme="minorHAnsi" w:hAnsiTheme="minorHAnsi" w:cstheme="minorHAnsi"/>
          <w:shd w:val="clear" w:color="auto" w:fill="FFFFFF"/>
        </w:rPr>
        <w:t>.</w:t>
      </w:r>
      <w:r>
        <w:rPr>
          <w:rFonts w:asciiTheme="minorHAnsi" w:hAnsiTheme="minorHAnsi" w:cstheme="minorHAnsi"/>
          <w:shd w:val="clear" w:color="auto" w:fill="FFFFFF"/>
        </w:rPr>
        <w:t xml:space="preserve"> As it is seen in Table 6,</w:t>
      </w:r>
      <w:r w:rsidR="007108F9">
        <w:rPr>
          <w:rFonts w:asciiTheme="minorHAnsi" w:hAnsiTheme="minorHAnsi" w:cstheme="minorHAnsi"/>
          <w:shd w:val="clear" w:color="auto" w:fill="FFFFFF"/>
        </w:rPr>
        <w:t xml:space="preserve"> between 2014 and 2018, Unilever was</w:t>
      </w:r>
      <w:r>
        <w:rPr>
          <w:rFonts w:asciiTheme="minorHAnsi" w:hAnsiTheme="minorHAnsi" w:cstheme="minorHAnsi"/>
          <w:shd w:val="clear" w:color="auto" w:fill="FFFFFF"/>
        </w:rPr>
        <w:t xml:space="preserve"> able to pay</w:t>
      </w:r>
      <w:r w:rsidR="007108F9">
        <w:rPr>
          <w:rFonts w:asciiTheme="minorHAnsi" w:hAnsiTheme="minorHAnsi" w:cstheme="minorHAnsi"/>
          <w:shd w:val="clear" w:color="auto" w:fill="FFFFFF"/>
        </w:rPr>
        <w:t xml:space="preserve"> only an average of 50% of </w:t>
      </w:r>
      <w:r>
        <w:rPr>
          <w:rFonts w:asciiTheme="minorHAnsi" w:hAnsiTheme="minorHAnsi" w:cstheme="minorHAnsi"/>
          <w:shd w:val="clear" w:color="auto" w:fill="FFFFFF"/>
        </w:rPr>
        <w:t>its current liabilities using only the current assets</w:t>
      </w:r>
      <w:r w:rsidR="007108F9">
        <w:rPr>
          <w:rFonts w:asciiTheme="minorHAnsi" w:hAnsiTheme="minorHAnsi" w:cstheme="minorHAnsi"/>
          <w:shd w:val="clear" w:color="auto" w:fill="FFFFFF"/>
        </w:rPr>
        <w:t xml:space="preserve">. In 2018 this value increased to 57% but it was still lower than 66% which was the quick ratio of P&amp;G in the same year. </w:t>
      </w:r>
      <w:r w:rsidR="001F59F7">
        <w:rPr>
          <w:rFonts w:asciiTheme="minorHAnsi" w:hAnsiTheme="minorHAnsi" w:cstheme="minorHAnsi"/>
          <w:shd w:val="clear" w:color="auto" w:fill="FFFFFF"/>
        </w:rPr>
        <w:t>However, there are modalities for improving Quick Ratio.</w:t>
      </w:r>
    </w:p>
    <w:p w:rsidR="00D21791" w:rsidRPr="001E187E" w:rsidRDefault="000B0296" w:rsidP="001E187E">
      <w:pPr>
        <w:rPr>
          <w:b/>
          <w:caps/>
          <w:sz w:val="24"/>
          <w:szCs w:val="24"/>
        </w:rPr>
      </w:pPr>
      <w:r w:rsidRPr="001E187E">
        <w:rPr>
          <w:b/>
          <w:sz w:val="24"/>
          <w:szCs w:val="24"/>
        </w:rPr>
        <w:t>Improving</w:t>
      </w:r>
      <w:r w:rsidRPr="001E187E">
        <w:rPr>
          <w:b/>
          <w:sz w:val="24"/>
          <w:szCs w:val="24"/>
          <w:bdr w:val="none" w:sz="0" w:space="0" w:color="auto" w:frame="1"/>
        </w:rPr>
        <w:t xml:space="preserve"> inventory turnover ratio</w:t>
      </w:r>
    </w:p>
    <w:p w:rsidR="001F59F7" w:rsidRDefault="001F59F7" w:rsidP="001F59F7">
      <w:pPr>
        <w:pStyle w:val="NormalWeb"/>
        <w:shd w:val="clear" w:color="auto" w:fill="FFFFFF"/>
        <w:spacing w:before="0" w:beforeAutospacing="0" w:after="300" w:afterAutospacing="0" w:line="360" w:lineRule="auto"/>
        <w:jc w:val="both"/>
        <w:textAlignment w:val="baseline"/>
        <w:rPr>
          <w:rFonts w:asciiTheme="minorHAnsi" w:hAnsiTheme="minorHAnsi" w:cstheme="minorHAnsi"/>
        </w:rPr>
      </w:pPr>
      <w:r w:rsidRPr="001F59F7">
        <w:rPr>
          <w:rFonts w:asciiTheme="minorHAnsi" w:hAnsiTheme="minorHAnsi" w:cstheme="minorHAnsi"/>
        </w:rPr>
        <w:t>Through converting the stock to debtors and cash faster, quick assets will improve the quick ratio.</w:t>
      </w:r>
    </w:p>
    <w:p w:rsidR="00D21791" w:rsidRPr="00C36247" w:rsidRDefault="001F59F7" w:rsidP="001F59F7">
      <w:pPr>
        <w:pStyle w:val="NormalWeb"/>
        <w:shd w:val="clear" w:color="auto" w:fill="FFFFFF"/>
        <w:spacing w:before="0" w:beforeAutospacing="0" w:after="120" w:afterAutospacing="0" w:line="360" w:lineRule="auto"/>
        <w:jc w:val="both"/>
        <w:textAlignment w:val="baseline"/>
        <w:rPr>
          <w:rFonts w:asciiTheme="minorHAnsi" w:hAnsiTheme="minorHAnsi" w:cstheme="minorHAnsi"/>
          <w:caps/>
        </w:rPr>
      </w:pPr>
      <w:r>
        <w:rPr>
          <w:rFonts w:asciiTheme="minorHAnsi" w:hAnsiTheme="minorHAnsi" w:cstheme="minorHAnsi"/>
          <w:b/>
          <w:bCs/>
          <w:bdr w:val="none" w:sz="0" w:space="0" w:color="auto" w:frame="1"/>
        </w:rPr>
        <w:t>Selling</w:t>
      </w:r>
      <w:r w:rsidRPr="00C36247">
        <w:rPr>
          <w:rFonts w:asciiTheme="minorHAnsi" w:hAnsiTheme="minorHAnsi" w:cstheme="minorHAnsi"/>
          <w:b/>
          <w:bCs/>
          <w:bdr w:val="none" w:sz="0" w:space="0" w:color="auto" w:frame="1"/>
        </w:rPr>
        <w:t xml:space="preserve"> unproductive assets</w:t>
      </w:r>
    </w:p>
    <w:p w:rsidR="000D562A" w:rsidRPr="001E187E" w:rsidRDefault="000D562A" w:rsidP="001E187E">
      <w:pPr>
        <w:spacing w:line="360" w:lineRule="auto"/>
        <w:jc w:val="both"/>
        <w:rPr>
          <w:sz w:val="24"/>
          <w:szCs w:val="24"/>
        </w:rPr>
      </w:pPr>
      <w:r w:rsidRPr="001E187E">
        <w:rPr>
          <w:sz w:val="24"/>
          <w:szCs w:val="24"/>
        </w:rPr>
        <w:t>If the business has unproductive properties, it is better to sell them and have better cash. If these assets were that, cash would increase and thus the strong ratio numerator would increase.</w:t>
      </w:r>
    </w:p>
    <w:p w:rsidR="00D21791" w:rsidRPr="001E187E" w:rsidRDefault="000D562A" w:rsidP="001E187E">
      <w:pPr>
        <w:spacing w:line="360" w:lineRule="auto"/>
        <w:jc w:val="both"/>
        <w:rPr>
          <w:b/>
          <w:sz w:val="24"/>
          <w:szCs w:val="24"/>
        </w:rPr>
      </w:pPr>
      <w:r w:rsidRPr="001E187E">
        <w:rPr>
          <w:b/>
          <w:sz w:val="24"/>
          <w:szCs w:val="24"/>
        </w:rPr>
        <w:t>Improving the collection period</w:t>
      </w:r>
    </w:p>
    <w:p w:rsidR="00507D00" w:rsidRPr="001E187E" w:rsidRDefault="00507D00" w:rsidP="001E187E">
      <w:pPr>
        <w:spacing w:line="360" w:lineRule="auto"/>
        <w:jc w:val="both"/>
        <w:rPr>
          <w:sz w:val="24"/>
          <w:szCs w:val="24"/>
        </w:rPr>
      </w:pPr>
      <w:r w:rsidRPr="001E187E">
        <w:rPr>
          <w:sz w:val="24"/>
          <w:szCs w:val="24"/>
        </w:rPr>
        <w:t>The reduction in harvest time will have a direct impact on the rapid ratio. Lower collection time means faster rolling of cash. Improving the collection period can result in improved current assets throughout the year in a variety of debtor cycles. Therefore, the risk of long-term debtors, sticky debtors and bad debts was reduced</w:t>
      </w:r>
      <w:r w:rsidR="00441D71" w:rsidRPr="001E187E">
        <w:rPr>
          <w:sz w:val="24"/>
          <w:szCs w:val="24"/>
        </w:rPr>
        <w:t xml:space="preserve"> </w:t>
      </w:r>
      <w:sdt>
        <w:sdtPr>
          <w:rPr>
            <w:sz w:val="24"/>
            <w:szCs w:val="24"/>
          </w:rPr>
          <w:id w:val="1586262389"/>
          <w:citation/>
        </w:sdtPr>
        <w:sdtEndPr/>
        <w:sdtContent>
          <w:r w:rsidR="00441D71" w:rsidRPr="001E187E">
            <w:rPr>
              <w:sz w:val="24"/>
              <w:szCs w:val="24"/>
            </w:rPr>
            <w:fldChar w:fldCharType="begin"/>
          </w:r>
          <w:r w:rsidR="00441D71" w:rsidRPr="001E187E">
            <w:rPr>
              <w:sz w:val="24"/>
              <w:szCs w:val="24"/>
            </w:rPr>
            <w:instrText xml:space="preserve"> CITATION mya191 \l 2057 </w:instrText>
          </w:r>
          <w:r w:rsidR="00441D71" w:rsidRPr="001E187E">
            <w:rPr>
              <w:sz w:val="24"/>
              <w:szCs w:val="24"/>
            </w:rPr>
            <w:fldChar w:fldCharType="separate"/>
          </w:r>
          <w:r w:rsidR="00C1213C" w:rsidRPr="001E187E">
            <w:rPr>
              <w:sz w:val="24"/>
              <w:szCs w:val="24"/>
            </w:rPr>
            <w:t>(myaccountingcourse, 2019)</w:t>
          </w:r>
          <w:r w:rsidR="00441D71" w:rsidRPr="001E187E">
            <w:rPr>
              <w:sz w:val="24"/>
              <w:szCs w:val="24"/>
            </w:rPr>
            <w:fldChar w:fldCharType="end"/>
          </w:r>
        </w:sdtContent>
      </w:sdt>
      <w:r w:rsidRPr="001E187E">
        <w:rPr>
          <w:sz w:val="24"/>
          <w:szCs w:val="24"/>
        </w:rPr>
        <w:t>.</w:t>
      </w:r>
    </w:p>
    <w:p w:rsidR="00D21791" w:rsidRPr="001E187E" w:rsidRDefault="00507D00" w:rsidP="001E187E">
      <w:pPr>
        <w:rPr>
          <w:b/>
          <w:caps/>
          <w:sz w:val="24"/>
          <w:szCs w:val="24"/>
        </w:rPr>
      </w:pPr>
      <w:r w:rsidRPr="001E187E">
        <w:rPr>
          <w:b/>
          <w:sz w:val="24"/>
          <w:szCs w:val="24"/>
          <w:bdr w:val="none" w:sz="0" w:space="0" w:color="auto" w:frame="1"/>
        </w:rPr>
        <w:t>Paying off current liabilities</w:t>
      </w:r>
    </w:p>
    <w:p w:rsidR="00D21791" w:rsidRPr="00C36247" w:rsidRDefault="00507D00" w:rsidP="00C36247">
      <w:pPr>
        <w:pStyle w:val="NormalWeb"/>
        <w:shd w:val="clear" w:color="auto" w:fill="FFFFFF"/>
        <w:spacing w:before="0" w:beforeAutospacing="0" w:after="300" w:afterAutospacing="0" w:line="360" w:lineRule="auto"/>
        <w:jc w:val="both"/>
        <w:textAlignment w:val="baseline"/>
        <w:rPr>
          <w:rFonts w:asciiTheme="minorHAnsi" w:hAnsiTheme="minorHAnsi" w:cstheme="minorHAnsi"/>
        </w:rPr>
      </w:pPr>
      <w:r w:rsidRPr="00507D00">
        <w:rPr>
          <w:rFonts w:asciiTheme="minorHAnsi" w:hAnsiTheme="minorHAnsi" w:cstheme="minorHAnsi"/>
        </w:rPr>
        <w:t>Current liabilities that form part of the quick ratio denominator must be of in order to achieve a better current ratio. This can be done by paying investors promptly or gradually. The lower the current commitments, the higher the ratio is</w:t>
      </w:r>
      <w:sdt>
        <w:sdtPr>
          <w:rPr>
            <w:rFonts w:asciiTheme="minorHAnsi" w:hAnsiTheme="minorHAnsi" w:cstheme="minorHAnsi"/>
          </w:rPr>
          <w:id w:val="1078489074"/>
          <w:citation/>
        </w:sdtPr>
        <w:sdtEndPr/>
        <w:sdtContent>
          <w:r w:rsidR="00D21791" w:rsidRPr="00C36247">
            <w:rPr>
              <w:rFonts w:asciiTheme="minorHAnsi" w:hAnsiTheme="minorHAnsi" w:cstheme="minorHAnsi"/>
            </w:rPr>
            <w:fldChar w:fldCharType="begin"/>
          </w:r>
          <w:r w:rsidR="00D21791" w:rsidRPr="00C36247">
            <w:rPr>
              <w:rFonts w:asciiTheme="minorHAnsi" w:hAnsiTheme="minorHAnsi" w:cstheme="minorHAnsi"/>
            </w:rPr>
            <w:instrText xml:space="preserve"> CITATION fin19 \l 2057 </w:instrText>
          </w:r>
          <w:r w:rsidR="00D21791" w:rsidRPr="00C36247">
            <w:rPr>
              <w:rFonts w:asciiTheme="minorHAnsi" w:hAnsiTheme="minorHAnsi" w:cstheme="minorHAnsi"/>
            </w:rPr>
            <w:fldChar w:fldCharType="separate"/>
          </w:r>
          <w:r w:rsidR="00C1213C">
            <w:rPr>
              <w:rFonts w:asciiTheme="minorHAnsi" w:hAnsiTheme="minorHAnsi" w:cstheme="minorHAnsi"/>
              <w:noProof/>
            </w:rPr>
            <w:t xml:space="preserve"> </w:t>
          </w:r>
          <w:r w:rsidR="00C1213C" w:rsidRPr="00C1213C">
            <w:rPr>
              <w:rFonts w:asciiTheme="minorHAnsi" w:hAnsiTheme="minorHAnsi" w:cstheme="minorHAnsi"/>
              <w:noProof/>
            </w:rPr>
            <w:t>(financemanagement, 2019)</w:t>
          </w:r>
          <w:r w:rsidR="00D21791" w:rsidRPr="00C36247">
            <w:rPr>
              <w:rFonts w:asciiTheme="minorHAnsi" w:hAnsiTheme="minorHAnsi" w:cstheme="minorHAnsi"/>
            </w:rPr>
            <w:fldChar w:fldCharType="end"/>
          </w:r>
        </w:sdtContent>
      </w:sdt>
      <w:r w:rsidR="00D21791" w:rsidRPr="00C36247">
        <w:rPr>
          <w:rFonts w:asciiTheme="minorHAnsi" w:hAnsiTheme="minorHAnsi" w:cstheme="minorHAnsi"/>
        </w:rPr>
        <w:t>.</w:t>
      </w:r>
    </w:p>
    <w:p w:rsidR="00C36247" w:rsidRPr="00C36247" w:rsidRDefault="00C36247" w:rsidP="00415536">
      <w:pPr>
        <w:pStyle w:val="Heading2"/>
        <w:spacing w:after="100" w:afterAutospacing="1"/>
      </w:pPr>
      <w:bookmarkStart w:id="14" w:name="_Toc30151584"/>
      <w:r w:rsidRPr="00C36247">
        <w:t>Cash Ratio</w:t>
      </w:r>
      <w:bookmarkEnd w:id="14"/>
    </w:p>
    <w:p w:rsidR="00BD6A01" w:rsidRDefault="00BD6A01" w:rsidP="005624F8">
      <w:pPr>
        <w:pStyle w:val="NormalWeb"/>
        <w:shd w:val="clear" w:color="auto" w:fill="FFFFFF"/>
        <w:spacing w:before="0" w:beforeAutospacing="0" w:after="0" w:afterAutospacing="0" w:line="360" w:lineRule="auto"/>
        <w:jc w:val="both"/>
        <w:textAlignment w:val="baseline"/>
        <w:rPr>
          <w:rFonts w:asciiTheme="minorHAnsi" w:hAnsiTheme="minorHAnsi" w:cstheme="minorHAnsi"/>
          <w:shd w:val="clear" w:color="auto" w:fill="FFFFFF"/>
        </w:rPr>
      </w:pPr>
      <w:r w:rsidRPr="00BD6A01">
        <w:rPr>
          <w:rFonts w:asciiTheme="minorHAnsi" w:hAnsiTheme="minorHAnsi" w:cstheme="minorHAnsi"/>
          <w:shd w:val="clear" w:color="auto" w:fill="FFFFFF"/>
        </w:rPr>
        <w:t>The liquidity ratio indicates how well a company can pay off its current liabilities in cash and cash equivalents only. This measure reflects cash and assets as a percentage of current liabilities.</w:t>
      </w:r>
    </w:p>
    <w:p w:rsidR="00D21791" w:rsidRPr="00C36247" w:rsidRDefault="005624F8" w:rsidP="005624F8">
      <w:pPr>
        <w:pStyle w:val="NormalWeb"/>
        <w:shd w:val="clear" w:color="auto" w:fill="FFFFFF"/>
        <w:spacing w:before="0" w:beforeAutospacing="0" w:after="0" w:afterAutospacing="0" w:line="360" w:lineRule="auto"/>
        <w:jc w:val="both"/>
        <w:textAlignment w:val="baseline"/>
        <w:rPr>
          <w:rFonts w:asciiTheme="minorHAnsi" w:hAnsiTheme="minorHAnsi" w:cstheme="minorHAnsi"/>
          <w:caps/>
        </w:rPr>
      </w:pPr>
      <w:r w:rsidRPr="00C36247">
        <w:rPr>
          <w:rFonts w:asciiTheme="minorHAnsi" w:hAnsiTheme="minorHAnsi" w:cstheme="minorHAnsi"/>
          <w:b/>
          <w:bCs/>
          <w:bdr w:val="none" w:sz="0" w:space="0" w:color="auto" w:frame="1"/>
        </w:rPr>
        <w:lastRenderedPageBreak/>
        <w:t>Cash ratio equals to</w:t>
      </w:r>
      <w:r w:rsidR="00D21791" w:rsidRPr="00C36247">
        <w:rPr>
          <w:rFonts w:asciiTheme="minorHAnsi" w:hAnsiTheme="minorHAnsi" w:cstheme="minorHAnsi"/>
          <w:b/>
          <w:bCs/>
          <w:caps/>
          <w:bdr w:val="none" w:sz="0" w:space="0" w:color="auto" w:frame="1"/>
        </w:rPr>
        <w:t xml:space="preserve"> 1</w:t>
      </w:r>
    </w:p>
    <w:p w:rsidR="005624F8" w:rsidRPr="00206EBE" w:rsidRDefault="005624F8" w:rsidP="00206EBE">
      <w:pPr>
        <w:spacing w:line="360" w:lineRule="auto"/>
        <w:jc w:val="both"/>
        <w:rPr>
          <w:sz w:val="24"/>
          <w:szCs w:val="24"/>
          <w:lang w:eastAsia="en-GB"/>
        </w:rPr>
      </w:pPr>
      <w:r w:rsidRPr="00206EBE">
        <w:rPr>
          <w:sz w:val="24"/>
          <w:szCs w:val="24"/>
          <w:lang w:eastAsia="en-GB"/>
        </w:rPr>
        <w:t>This ensures the short-term obligations are equal to the cash and cash equivalents.</w:t>
      </w:r>
    </w:p>
    <w:p w:rsidR="00D21791" w:rsidRPr="001E187E" w:rsidRDefault="005624F8" w:rsidP="001E187E">
      <w:pPr>
        <w:rPr>
          <w:b/>
          <w:caps/>
          <w:sz w:val="24"/>
          <w:szCs w:val="24"/>
        </w:rPr>
      </w:pPr>
      <w:r w:rsidRPr="001E187E">
        <w:rPr>
          <w:b/>
          <w:sz w:val="24"/>
          <w:szCs w:val="24"/>
          <w:bdr w:val="none" w:sz="0" w:space="0" w:color="auto" w:frame="1"/>
        </w:rPr>
        <w:t>Cash ratio greater than 1</w:t>
      </w:r>
    </w:p>
    <w:p w:rsidR="00D21791" w:rsidRPr="00C36247" w:rsidRDefault="005624F8" w:rsidP="005624F8">
      <w:pPr>
        <w:pStyle w:val="NormalWeb"/>
        <w:shd w:val="clear" w:color="auto" w:fill="FFFFFF"/>
        <w:spacing w:before="0" w:beforeAutospacing="0" w:after="120" w:afterAutospacing="0" w:line="360" w:lineRule="auto"/>
        <w:jc w:val="both"/>
        <w:textAlignment w:val="baseline"/>
        <w:rPr>
          <w:rFonts w:asciiTheme="minorHAnsi" w:hAnsiTheme="minorHAnsi" w:cstheme="minorHAnsi"/>
        </w:rPr>
      </w:pPr>
      <w:r w:rsidRPr="005624F8">
        <w:rPr>
          <w:rFonts w:asciiTheme="minorHAnsi" w:hAnsiTheme="minorHAnsi" w:cstheme="minorHAnsi"/>
        </w:rPr>
        <w:t>It is more cash than the amount required to pay short-term liabilities in the system. A creditor of a corporation is as pleased as possible with this ratio since this reduces the chances of payments at a time. Nonetheless, the company wants to keep it small or tailored to its needs as unwanted interest losses are unwanted cash</w:t>
      </w:r>
      <w:r w:rsidR="00D21791" w:rsidRPr="00C36247">
        <w:rPr>
          <w:rFonts w:asciiTheme="minorHAnsi" w:hAnsiTheme="minorHAnsi" w:cstheme="minorHAnsi"/>
        </w:rPr>
        <w:t>.</w:t>
      </w:r>
    </w:p>
    <w:p w:rsidR="00D21791" w:rsidRPr="001E187E" w:rsidRDefault="005624F8" w:rsidP="001E187E">
      <w:pPr>
        <w:rPr>
          <w:b/>
          <w:caps/>
          <w:sz w:val="24"/>
          <w:szCs w:val="24"/>
        </w:rPr>
      </w:pPr>
      <w:r w:rsidRPr="001E187E">
        <w:rPr>
          <w:b/>
          <w:sz w:val="24"/>
          <w:szCs w:val="24"/>
        </w:rPr>
        <w:t>Cash</w:t>
      </w:r>
      <w:r w:rsidRPr="001E187E">
        <w:rPr>
          <w:b/>
          <w:sz w:val="24"/>
          <w:szCs w:val="24"/>
          <w:bdr w:val="none" w:sz="0" w:space="0" w:color="auto" w:frame="1"/>
        </w:rPr>
        <w:t xml:space="preserve"> ratio lower than 1</w:t>
      </w:r>
    </w:p>
    <w:p w:rsidR="00D21791" w:rsidRPr="00C36247" w:rsidRDefault="0038720C" w:rsidP="00C36247">
      <w:pPr>
        <w:spacing w:line="360" w:lineRule="auto"/>
        <w:jc w:val="both"/>
        <w:rPr>
          <w:rFonts w:cstheme="minorHAnsi"/>
          <w:sz w:val="24"/>
          <w:szCs w:val="24"/>
          <w:bdr w:val="none" w:sz="0" w:space="0" w:color="auto" w:frame="1"/>
        </w:rPr>
      </w:pPr>
      <w:r>
        <w:rPr>
          <w:rFonts w:cstheme="minorHAnsi"/>
          <w:sz w:val="24"/>
          <w:szCs w:val="24"/>
          <w:bdr w:val="none" w:sz="0" w:space="0" w:color="auto" w:frame="1"/>
        </w:rPr>
        <w:t xml:space="preserve">As it is shown in Table 6, either Unilever’s and Procter &amp; Gamble are cash ratios are lower than 1. </w:t>
      </w:r>
      <w:r w:rsidR="005624F8" w:rsidRPr="005624F8">
        <w:rPr>
          <w:rFonts w:cstheme="minorHAnsi"/>
          <w:sz w:val="24"/>
          <w:szCs w:val="24"/>
          <w:bdr w:val="none" w:sz="0" w:space="0" w:color="auto" w:frame="1"/>
        </w:rPr>
        <w:t>This means that the money in the system is not adequate for short-term liabilities. The company creditor is under more pressure as the customer extends the loan. They focus on the company's previous history in this situation. Management is pleased with the lowest possible level of cash, without delay in payments by investors in the sector, as savings are shown by idle cash costs and successful cash management.</w:t>
      </w:r>
      <w:r w:rsidR="00D21791" w:rsidRPr="00C36247">
        <w:rPr>
          <w:rFonts w:cstheme="minorHAnsi"/>
          <w:sz w:val="24"/>
          <w:szCs w:val="24"/>
          <w:bdr w:val="none" w:sz="0" w:space="0" w:color="auto" w:frame="1"/>
        </w:rPr>
        <w:t xml:space="preserve"> </w:t>
      </w:r>
      <w:sdt>
        <w:sdtPr>
          <w:rPr>
            <w:rFonts w:cstheme="minorHAnsi"/>
            <w:sz w:val="24"/>
            <w:szCs w:val="24"/>
            <w:bdr w:val="none" w:sz="0" w:space="0" w:color="auto" w:frame="1"/>
          </w:rPr>
          <w:id w:val="-1427188763"/>
          <w:citation/>
        </w:sdtPr>
        <w:sdtEndPr/>
        <w:sdtContent>
          <w:r w:rsidR="00D21791" w:rsidRPr="00C36247">
            <w:rPr>
              <w:rFonts w:cstheme="minorHAnsi"/>
              <w:sz w:val="24"/>
              <w:szCs w:val="24"/>
              <w:bdr w:val="none" w:sz="0" w:space="0" w:color="auto" w:frame="1"/>
            </w:rPr>
            <w:fldChar w:fldCharType="begin"/>
          </w:r>
          <w:r w:rsidR="00D21791" w:rsidRPr="00C36247">
            <w:rPr>
              <w:rFonts w:cstheme="minorHAnsi"/>
              <w:sz w:val="24"/>
              <w:szCs w:val="24"/>
              <w:bdr w:val="none" w:sz="0" w:space="0" w:color="auto" w:frame="1"/>
            </w:rPr>
            <w:instrText xml:space="preserve"> CITATION efi192 \l 2057 </w:instrText>
          </w:r>
          <w:r w:rsidR="00D21791" w:rsidRPr="00C36247">
            <w:rPr>
              <w:rFonts w:cstheme="minorHAnsi"/>
              <w:sz w:val="24"/>
              <w:szCs w:val="24"/>
              <w:bdr w:val="none" w:sz="0" w:space="0" w:color="auto" w:frame="1"/>
            </w:rPr>
            <w:fldChar w:fldCharType="separate"/>
          </w:r>
          <w:r w:rsidR="00C1213C" w:rsidRPr="00C1213C">
            <w:rPr>
              <w:rFonts w:cstheme="minorHAnsi"/>
              <w:noProof/>
              <w:sz w:val="24"/>
              <w:szCs w:val="24"/>
              <w:bdr w:val="none" w:sz="0" w:space="0" w:color="auto" w:frame="1"/>
            </w:rPr>
            <w:t>(efinancemanagement, 2019)</w:t>
          </w:r>
          <w:r w:rsidR="00D21791" w:rsidRPr="00C36247">
            <w:rPr>
              <w:rFonts w:cstheme="minorHAnsi"/>
              <w:sz w:val="24"/>
              <w:szCs w:val="24"/>
              <w:bdr w:val="none" w:sz="0" w:space="0" w:color="auto" w:frame="1"/>
            </w:rPr>
            <w:fldChar w:fldCharType="end"/>
          </w:r>
        </w:sdtContent>
      </w:sdt>
      <w:r w:rsidR="00D21791" w:rsidRPr="00C36247">
        <w:rPr>
          <w:rFonts w:cstheme="minorHAnsi"/>
          <w:sz w:val="24"/>
          <w:szCs w:val="24"/>
          <w:bdr w:val="none" w:sz="0" w:space="0" w:color="auto" w:frame="1"/>
        </w:rPr>
        <w:t>.</w:t>
      </w:r>
    </w:p>
    <w:p w:rsidR="00D21791" w:rsidRPr="00C36247" w:rsidRDefault="00D21791" w:rsidP="00C36247">
      <w:pPr>
        <w:spacing w:line="360" w:lineRule="auto"/>
        <w:jc w:val="both"/>
        <w:rPr>
          <w:rFonts w:cstheme="minorHAnsi"/>
          <w:sz w:val="24"/>
          <w:szCs w:val="24"/>
          <w:bdr w:val="none" w:sz="0" w:space="0" w:color="auto" w:frame="1"/>
        </w:rPr>
      </w:pPr>
    </w:p>
    <w:p w:rsidR="00D21791" w:rsidRPr="00C36247" w:rsidRDefault="00215AAB" w:rsidP="00415536">
      <w:pPr>
        <w:pStyle w:val="Heading1"/>
        <w:spacing w:after="100" w:afterAutospacing="1"/>
        <w:rPr>
          <w:bdr w:val="none" w:sz="0" w:space="0" w:color="auto" w:frame="1"/>
        </w:rPr>
      </w:pPr>
      <w:bookmarkStart w:id="15" w:name="_Toc30151585"/>
      <w:r w:rsidRPr="00C36247">
        <w:rPr>
          <w:bdr w:val="none" w:sz="0" w:space="0" w:color="auto" w:frame="1"/>
        </w:rPr>
        <w:t>Leverage ratio</w:t>
      </w:r>
      <w:r>
        <w:rPr>
          <w:bdr w:val="none" w:sz="0" w:space="0" w:color="auto" w:frame="1"/>
        </w:rPr>
        <w:t>s</w:t>
      </w:r>
      <w:bookmarkEnd w:id="15"/>
    </w:p>
    <w:p w:rsidR="00EE23B5" w:rsidRDefault="00D21791" w:rsidP="00C36247">
      <w:pPr>
        <w:spacing w:line="360" w:lineRule="auto"/>
        <w:jc w:val="both"/>
        <w:rPr>
          <w:rFonts w:cstheme="minorHAnsi"/>
          <w:sz w:val="24"/>
          <w:szCs w:val="24"/>
          <w:shd w:val="clear" w:color="auto" w:fill="FFFFFF"/>
        </w:rPr>
      </w:pPr>
      <w:r w:rsidRPr="00C36247">
        <w:rPr>
          <w:rFonts w:cstheme="minorHAnsi"/>
          <w:sz w:val="24"/>
          <w:szCs w:val="24"/>
          <w:shd w:val="clear" w:color="auto" w:fill="FFFFFF"/>
        </w:rPr>
        <w:t> </w:t>
      </w:r>
      <w:r w:rsidR="00C36247" w:rsidRPr="00C36247">
        <w:rPr>
          <w:rFonts w:cstheme="minorHAnsi"/>
          <w:sz w:val="24"/>
          <w:szCs w:val="24"/>
          <w:shd w:val="clear" w:color="auto" w:fill="FFFFFF"/>
        </w:rPr>
        <w:t>These ratios are important because they offer insight into the financial health of the company, its ability to fulfil its financial obligations. This tests the efficiency and profitability of the business with which it uses debt in order to run the company and gain and grow. The use of leverage ratios can be many, because the company's capital structure can also be understood and is solvent or not.</w:t>
      </w:r>
      <w:r w:rsidR="00BD6A01">
        <w:rPr>
          <w:rFonts w:cstheme="minorHAnsi"/>
          <w:sz w:val="24"/>
          <w:szCs w:val="24"/>
          <w:shd w:val="clear" w:color="auto" w:fill="FFFFFF"/>
        </w:rPr>
        <w:t xml:space="preserve">  In this report we will analyse Debt-to-Capital and Debt-to-Equity ratios of Unilever Group and Procter &amp; Gamble. The equation of this ratios are:</w:t>
      </w:r>
    </w:p>
    <w:p w:rsidR="00BD6A01" w:rsidRPr="00BD6A01" w:rsidRDefault="00BD6A01" w:rsidP="00C36247">
      <w:pPr>
        <w:spacing w:line="360" w:lineRule="auto"/>
        <w:jc w:val="both"/>
        <w:rPr>
          <w:rFonts w:eastAsiaTheme="minorEastAsia" w:cstheme="minorHAnsi"/>
          <w:b/>
          <w:sz w:val="24"/>
          <w:szCs w:val="24"/>
          <w:shd w:val="clear" w:color="auto" w:fill="FFFFFF"/>
        </w:rPr>
      </w:pPr>
      <m:oMathPara>
        <m:oMathParaPr>
          <m:jc m:val="left"/>
        </m:oMathParaPr>
        <m:oMath>
          <m:r>
            <m:rPr>
              <m:sty m:val="b"/>
            </m:rPr>
            <w:rPr>
              <w:rFonts w:ascii="Cambria Math" w:hAnsi="Cambria Math" w:cs="Cambria Math"/>
              <w:sz w:val="24"/>
              <w:szCs w:val="24"/>
              <w:shd w:val="clear" w:color="auto" w:fill="FFFFFF"/>
            </w:rPr>
            <m:t>Debt-to-Capital Ratio=</m:t>
          </m:r>
          <m:f>
            <m:fPr>
              <m:ctrlPr>
                <w:rPr>
                  <w:rFonts w:ascii="Cambria Math" w:hAnsi="Cambria Math" w:cstheme="minorHAnsi"/>
                  <w:b/>
                  <w:sz w:val="24"/>
                  <w:szCs w:val="24"/>
                  <w:shd w:val="clear" w:color="auto" w:fill="FFFFFF"/>
                </w:rPr>
              </m:ctrlPr>
            </m:fPr>
            <m:num>
              <m:r>
                <m:rPr>
                  <m:sty m:val="b"/>
                </m:rPr>
                <w:rPr>
                  <w:rFonts w:ascii="Cambria Math" w:hAnsi="Cambria Math" w:cstheme="minorHAnsi"/>
                  <w:sz w:val="24"/>
                  <w:szCs w:val="24"/>
                  <w:shd w:val="clear" w:color="auto" w:fill="FFFFFF"/>
                </w:rPr>
                <m:t>Total Debt</m:t>
              </m:r>
            </m:num>
            <m:den>
              <m:r>
                <m:rPr>
                  <m:sty m:val="b"/>
                </m:rPr>
                <w:rPr>
                  <w:rFonts w:ascii="Cambria Math" w:hAnsi="Cambria Math" w:cs="Cambria Math"/>
                  <w:sz w:val="24"/>
                  <w:szCs w:val="24"/>
                  <w:shd w:val="clear" w:color="auto" w:fill="FFFFFF"/>
                </w:rPr>
                <m:t>Total Equity+Total Debt</m:t>
              </m:r>
            </m:den>
          </m:f>
        </m:oMath>
      </m:oMathPara>
    </w:p>
    <w:p w:rsidR="00BD6A01" w:rsidRPr="00BD6A01" w:rsidRDefault="00BD6A01" w:rsidP="00BD6A01">
      <w:pPr>
        <w:spacing w:line="360" w:lineRule="auto"/>
        <w:jc w:val="both"/>
        <w:rPr>
          <w:rFonts w:eastAsiaTheme="minorEastAsia" w:cstheme="minorHAnsi"/>
          <w:b/>
          <w:sz w:val="24"/>
          <w:szCs w:val="24"/>
          <w:shd w:val="clear" w:color="auto" w:fill="FFFFFF"/>
        </w:rPr>
      </w:pPr>
      <m:oMathPara>
        <m:oMathParaPr>
          <m:jc m:val="left"/>
        </m:oMathParaPr>
        <m:oMath>
          <m:r>
            <m:rPr>
              <m:sty m:val="b"/>
            </m:rPr>
            <w:rPr>
              <w:rFonts w:ascii="Cambria Math" w:hAnsi="Cambria Math" w:cs="Cambria Math"/>
              <w:sz w:val="24"/>
              <w:szCs w:val="24"/>
              <w:shd w:val="clear" w:color="auto" w:fill="FFFFFF"/>
            </w:rPr>
            <m:t>Debt-to-Equity Ratio=</m:t>
          </m:r>
          <m:f>
            <m:fPr>
              <m:ctrlPr>
                <w:rPr>
                  <w:rFonts w:ascii="Cambria Math" w:hAnsi="Cambria Math" w:cstheme="minorHAnsi"/>
                  <w:b/>
                  <w:sz w:val="24"/>
                  <w:szCs w:val="24"/>
                  <w:shd w:val="clear" w:color="auto" w:fill="FFFFFF"/>
                </w:rPr>
              </m:ctrlPr>
            </m:fPr>
            <m:num>
              <m:r>
                <m:rPr>
                  <m:sty m:val="b"/>
                </m:rPr>
                <w:rPr>
                  <w:rFonts w:ascii="Cambria Math" w:hAnsi="Cambria Math" w:cstheme="minorHAnsi"/>
                  <w:sz w:val="24"/>
                  <w:szCs w:val="24"/>
                  <w:shd w:val="clear" w:color="auto" w:fill="FFFFFF"/>
                </w:rPr>
                <m:t>Total Debt</m:t>
              </m:r>
            </m:num>
            <m:den>
              <m:r>
                <m:rPr>
                  <m:sty m:val="b"/>
                </m:rPr>
                <w:rPr>
                  <w:rFonts w:ascii="Cambria Math" w:hAnsi="Cambria Math" w:cs="Cambria Math"/>
                  <w:sz w:val="24"/>
                  <w:szCs w:val="24"/>
                  <w:shd w:val="clear" w:color="auto" w:fill="FFFFFF"/>
                </w:rPr>
                <m:t>Total Equity</m:t>
              </m:r>
            </m:den>
          </m:f>
        </m:oMath>
      </m:oMathPara>
    </w:p>
    <w:p w:rsidR="00EE23B5" w:rsidRDefault="00BD6A01" w:rsidP="00BD6A01">
      <w:pPr>
        <w:spacing w:line="360" w:lineRule="auto"/>
        <w:jc w:val="both"/>
        <w:rPr>
          <w:rFonts w:eastAsiaTheme="minorEastAsia" w:cstheme="minorHAnsi"/>
          <w:b/>
          <w:sz w:val="24"/>
          <w:szCs w:val="24"/>
          <w:shd w:val="clear" w:color="auto" w:fill="FFFFFF"/>
        </w:rPr>
      </w:pPr>
      <w:r>
        <w:rPr>
          <w:rFonts w:eastAsiaTheme="minorEastAsia" w:cstheme="minorHAnsi"/>
          <w:sz w:val="24"/>
          <w:szCs w:val="24"/>
          <w:shd w:val="clear" w:color="auto" w:fill="FFFFFF"/>
        </w:rPr>
        <w:t>w</w:t>
      </w:r>
      <w:r w:rsidRPr="00BD6A01">
        <w:rPr>
          <w:rFonts w:eastAsiaTheme="minorEastAsia" w:cstheme="minorHAnsi"/>
          <w:sz w:val="24"/>
          <w:szCs w:val="24"/>
          <w:shd w:val="clear" w:color="auto" w:fill="FFFFFF"/>
        </w:rPr>
        <w:t xml:space="preserve">here </w:t>
      </w:r>
      <w:r w:rsidRPr="00BD6A01">
        <w:rPr>
          <w:rFonts w:eastAsiaTheme="minorEastAsia" w:cstheme="minorHAnsi"/>
          <w:b/>
          <w:sz w:val="24"/>
          <w:szCs w:val="24"/>
          <w:shd w:val="clear" w:color="auto" w:fill="FFFFFF"/>
        </w:rPr>
        <w:t>Total Debt = Current Borrowings + Long Term Borrowings</w:t>
      </w:r>
    </w:p>
    <w:p w:rsidR="00C162DB" w:rsidRDefault="00C162DB" w:rsidP="00C162DB">
      <w:pPr>
        <w:spacing w:line="360" w:lineRule="auto"/>
        <w:jc w:val="both"/>
        <w:rPr>
          <w:rFonts w:cstheme="minorHAnsi"/>
          <w:sz w:val="24"/>
          <w:szCs w:val="24"/>
          <w:shd w:val="clear" w:color="auto" w:fill="FFFFFF"/>
        </w:rPr>
      </w:pPr>
      <w:r w:rsidRPr="00415536">
        <w:rPr>
          <w:rFonts w:cstheme="minorHAnsi"/>
          <w:b/>
          <w:sz w:val="24"/>
          <w:szCs w:val="24"/>
          <w:shd w:val="clear" w:color="auto" w:fill="FFFFFF"/>
        </w:rPr>
        <w:lastRenderedPageBreak/>
        <w:t>Table 7.</w:t>
      </w:r>
      <w:r>
        <w:rPr>
          <w:rFonts w:cstheme="minorHAnsi"/>
          <w:sz w:val="24"/>
          <w:szCs w:val="24"/>
          <w:shd w:val="clear" w:color="auto" w:fill="FFFFFF"/>
        </w:rPr>
        <w:t xml:space="preserve"> </w:t>
      </w:r>
      <w:r w:rsidR="00770685">
        <w:rPr>
          <w:rFonts w:cstheme="minorHAnsi"/>
          <w:sz w:val="24"/>
          <w:szCs w:val="24"/>
          <w:shd w:val="clear" w:color="auto" w:fill="FFFFFF"/>
        </w:rPr>
        <w:t>Total Equity and Total Debt</w:t>
      </w:r>
      <w:r>
        <w:rPr>
          <w:rFonts w:cstheme="minorHAnsi"/>
          <w:sz w:val="24"/>
          <w:szCs w:val="24"/>
          <w:shd w:val="clear" w:color="auto" w:fill="FFFFFF"/>
        </w:rPr>
        <w:t xml:space="preserve"> of Unilever (2014 – 2018) and Procter &amp; Gamble  (2018) </w:t>
      </w:r>
      <w:sdt>
        <w:sdtPr>
          <w:rPr>
            <w:rFonts w:cstheme="minorHAnsi"/>
            <w:sz w:val="24"/>
            <w:szCs w:val="24"/>
            <w:shd w:val="clear" w:color="auto" w:fill="FFFFFF"/>
          </w:rPr>
          <w:id w:val="2112778126"/>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CITATION Uni15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2015)</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sdt>
        <w:sdtPr>
          <w:rPr>
            <w:rFonts w:cstheme="minorHAnsi"/>
            <w:sz w:val="24"/>
            <w:szCs w:val="24"/>
            <w:shd w:val="clear" w:color="auto" w:fill="FFFFFF"/>
          </w:rPr>
          <w:id w:val="-162703431"/>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Uni17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2017)</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sdt>
        <w:sdtPr>
          <w:rPr>
            <w:rFonts w:cstheme="minorHAnsi"/>
            <w:sz w:val="24"/>
            <w:szCs w:val="24"/>
            <w:shd w:val="clear" w:color="auto" w:fill="FFFFFF"/>
          </w:rPr>
          <w:id w:val="-1155220563"/>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Uni191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(Unilever Group, 2019)</w:t>
          </w:r>
          <w:r>
            <w:rPr>
              <w:rFonts w:cstheme="minorHAnsi"/>
              <w:sz w:val="24"/>
              <w:szCs w:val="24"/>
              <w:shd w:val="clear" w:color="auto" w:fill="FFFFFF"/>
            </w:rPr>
            <w:fldChar w:fldCharType="end"/>
          </w:r>
        </w:sdtContent>
      </w:sdt>
      <w:r>
        <w:rPr>
          <w:rFonts w:cstheme="minorHAnsi"/>
          <w:sz w:val="24"/>
          <w:szCs w:val="24"/>
          <w:shd w:val="clear" w:color="auto" w:fill="FFFFFF"/>
        </w:rPr>
        <w:t xml:space="preserve">, </w:t>
      </w:r>
      <w:sdt>
        <w:sdtPr>
          <w:rPr>
            <w:rFonts w:cstheme="minorHAnsi"/>
            <w:sz w:val="24"/>
            <w:szCs w:val="24"/>
            <w:shd w:val="clear" w:color="auto" w:fill="FFFFFF"/>
          </w:rPr>
          <w:id w:val="836193442"/>
          <w:citation/>
        </w:sdtPr>
        <w:sdtEndPr/>
        <w:sdtContent>
          <w:r>
            <w:rPr>
              <w:rFonts w:cstheme="minorHAnsi"/>
              <w:sz w:val="24"/>
              <w:szCs w:val="24"/>
              <w:shd w:val="clear" w:color="auto" w:fill="FFFFFF"/>
            </w:rPr>
            <w:fldChar w:fldCharType="begin"/>
          </w:r>
          <w:r>
            <w:rPr>
              <w:rFonts w:cstheme="minorHAnsi"/>
              <w:sz w:val="24"/>
              <w:szCs w:val="24"/>
              <w:shd w:val="clear" w:color="auto" w:fill="FFFFFF"/>
            </w:rPr>
            <w:instrText xml:space="preserve"> CITATION Pro19 \l 2057 </w:instrText>
          </w:r>
          <w:r>
            <w:rPr>
              <w:rFonts w:cstheme="minorHAnsi"/>
              <w:sz w:val="24"/>
              <w:szCs w:val="24"/>
              <w:shd w:val="clear" w:color="auto" w:fill="FFFFFF"/>
            </w:rPr>
            <w:fldChar w:fldCharType="separate"/>
          </w:r>
          <w:r w:rsidR="00C1213C" w:rsidRPr="00C1213C">
            <w:rPr>
              <w:rFonts w:cstheme="minorHAnsi"/>
              <w:noProof/>
              <w:sz w:val="24"/>
              <w:szCs w:val="24"/>
              <w:shd w:val="clear" w:color="auto" w:fill="FFFFFF"/>
            </w:rPr>
            <w:t>(Procter &amp; Gamble, 2019)</w:t>
          </w:r>
          <w:r>
            <w:rPr>
              <w:rFonts w:cstheme="minorHAnsi"/>
              <w:sz w:val="24"/>
              <w:szCs w:val="24"/>
              <w:shd w:val="clear" w:color="auto" w:fill="FFFFFF"/>
            </w:rPr>
            <w:fldChar w:fldCharType="end"/>
          </w:r>
        </w:sdtContent>
      </w:sdt>
      <w:r>
        <w:rPr>
          <w:rFonts w:cstheme="minorHAnsi"/>
          <w:sz w:val="24"/>
          <w:szCs w:val="24"/>
          <w:shd w:val="clear" w:color="auto" w:fill="FFFFFF"/>
        </w:rPr>
        <w:t>.</w:t>
      </w:r>
    </w:p>
    <w:tbl>
      <w:tblPr>
        <w:tblStyle w:val="TableGrid"/>
        <w:tblW w:w="10065" w:type="dxa"/>
        <w:tblInd w:w="-289" w:type="dxa"/>
        <w:tblLook w:val="04A0" w:firstRow="1" w:lastRow="0" w:firstColumn="1" w:lastColumn="0" w:noHBand="0" w:noVBand="1"/>
      </w:tblPr>
      <w:tblGrid>
        <w:gridCol w:w="2552"/>
        <w:gridCol w:w="993"/>
        <w:gridCol w:w="992"/>
        <w:gridCol w:w="971"/>
        <w:gridCol w:w="1088"/>
        <w:gridCol w:w="1088"/>
        <w:gridCol w:w="2381"/>
      </w:tblGrid>
      <w:tr w:rsidR="00C162DB" w:rsidRPr="004F27BE" w:rsidTr="008B080C">
        <w:trPr>
          <w:trHeight w:val="635"/>
        </w:trPr>
        <w:tc>
          <w:tcPr>
            <w:tcW w:w="2552" w:type="dxa"/>
            <w:vMerge w:val="restart"/>
          </w:tcPr>
          <w:p w:rsidR="00C162DB" w:rsidRDefault="00C162DB" w:rsidP="008B080C">
            <w:pPr>
              <w:spacing w:line="360" w:lineRule="auto"/>
              <w:jc w:val="both"/>
              <w:rPr>
                <w:rFonts w:cstheme="minorHAnsi"/>
                <w:b/>
                <w:sz w:val="24"/>
                <w:szCs w:val="24"/>
                <w:shd w:val="clear" w:color="auto" w:fill="FFFFFF"/>
              </w:rPr>
            </w:pPr>
          </w:p>
          <w:p w:rsidR="00C162DB" w:rsidRPr="004F27BE" w:rsidRDefault="00C162DB" w:rsidP="008B080C">
            <w:pPr>
              <w:spacing w:line="360" w:lineRule="auto"/>
              <w:jc w:val="both"/>
              <w:rPr>
                <w:rFonts w:cstheme="minorHAnsi"/>
                <w:b/>
                <w:sz w:val="24"/>
                <w:szCs w:val="24"/>
                <w:shd w:val="clear" w:color="auto" w:fill="FFFFFF"/>
              </w:rPr>
            </w:pPr>
            <w:r>
              <w:rPr>
                <w:rFonts w:cstheme="minorHAnsi"/>
                <w:b/>
                <w:sz w:val="24"/>
                <w:szCs w:val="24"/>
                <w:shd w:val="clear" w:color="auto" w:fill="FFFFFF"/>
              </w:rPr>
              <w:t>Financial Data</w:t>
            </w:r>
          </w:p>
        </w:tc>
        <w:tc>
          <w:tcPr>
            <w:tcW w:w="5132" w:type="dxa"/>
            <w:gridSpan w:val="5"/>
          </w:tcPr>
          <w:p w:rsidR="00C162DB" w:rsidRPr="004F27BE" w:rsidRDefault="00C162DB" w:rsidP="008B080C">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Unilever</w:t>
            </w:r>
            <w:r>
              <w:rPr>
                <w:rFonts w:cstheme="minorHAnsi"/>
                <w:b/>
                <w:sz w:val="24"/>
                <w:szCs w:val="24"/>
                <w:shd w:val="clear" w:color="auto" w:fill="FFFFFF"/>
              </w:rPr>
              <w:t xml:space="preserve"> Group</w:t>
            </w:r>
          </w:p>
          <w:p w:rsidR="00C162DB" w:rsidRPr="004F27BE" w:rsidRDefault="00C162DB" w:rsidP="008B080C">
            <w:pPr>
              <w:spacing w:line="360" w:lineRule="auto"/>
              <w:jc w:val="both"/>
              <w:rPr>
                <w:rFonts w:cstheme="minorHAnsi"/>
                <w:b/>
                <w:sz w:val="24"/>
                <w:szCs w:val="24"/>
                <w:shd w:val="clear" w:color="auto" w:fill="FFFFFF"/>
              </w:rPr>
            </w:pPr>
          </w:p>
        </w:tc>
        <w:tc>
          <w:tcPr>
            <w:tcW w:w="2381" w:type="dxa"/>
            <w:vMerge w:val="restart"/>
          </w:tcPr>
          <w:p w:rsidR="00C162DB" w:rsidRDefault="00C162DB" w:rsidP="008B080C">
            <w:pPr>
              <w:jc w:val="center"/>
              <w:rPr>
                <w:rFonts w:cstheme="minorHAnsi"/>
                <w:b/>
                <w:sz w:val="24"/>
                <w:szCs w:val="24"/>
                <w:shd w:val="clear" w:color="auto" w:fill="FFFFFF"/>
              </w:rPr>
            </w:pPr>
          </w:p>
          <w:p w:rsidR="00C162DB" w:rsidRPr="004F27BE" w:rsidRDefault="00C162DB" w:rsidP="008B080C">
            <w:pPr>
              <w:jc w:val="center"/>
              <w:rPr>
                <w:rFonts w:cstheme="minorHAnsi"/>
                <w:b/>
                <w:sz w:val="24"/>
                <w:szCs w:val="24"/>
                <w:shd w:val="clear" w:color="auto" w:fill="FFFFFF"/>
              </w:rPr>
            </w:pPr>
            <w:r w:rsidRPr="004F27BE">
              <w:rPr>
                <w:rFonts w:cstheme="minorHAnsi"/>
                <w:b/>
                <w:sz w:val="24"/>
                <w:szCs w:val="24"/>
                <w:shd w:val="clear" w:color="auto" w:fill="FFFFFF"/>
              </w:rPr>
              <w:t>Procter &amp; Gamble</w:t>
            </w:r>
          </w:p>
          <w:p w:rsidR="00C162DB" w:rsidRPr="004F27BE" w:rsidRDefault="00C162DB" w:rsidP="008B080C">
            <w:pPr>
              <w:jc w:val="center"/>
              <w:rPr>
                <w:rFonts w:cstheme="minorHAnsi"/>
                <w:b/>
                <w:sz w:val="24"/>
                <w:szCs w:val="24"/>
                <w:shd w:val="clear" w:color="auto" w:fill="FFFFFF"/>
              </w:rPr>
            </w:pPr>
            <w:r w:rsidRPr="004F27BE">
              <w:rPr>
                <w:rFonts w:cstheme="minorHAnsi"/>
                <w:b/>
                <w:sz w:val="24"/>
                <w:szCs w:val="24"/>
                <w:shd w:val="clear" w:color="auto" w:fill="FFFFFF"/>
              </w:rPr>
              <w:t>2018</w:t>
            </w:r>
          </w:p>
        </w:tc>
      </w:tr>
      <w:tr w:rsidR="00C162DB" w:rsidRPr="004F27BE" w:rsidTr="008B080C">
        <w:trPr>
          <w:trHeight w:val="567"/>
        </w:trPr>
        <w:tc>
          <w:tcPr>
            <w:tcW w:w="2552" w:type="dxa"/>
            <w:vMerge/>
          </w:tcPr>
          <w:p w:rsidR="00C162DB" w:rsidRPr="004F27BE" w:rsidRDefault="00C162DB" w:rsidP="008B080C">
            <w:pPr>
              <w:spacing w:line="360" w:lineRule="auto"/>
              <w:jc w:val="both"/>
              <w:rPr>
                <w:rFonts w:cstheme="minorHAnsi"/>
                <w:b/>
                <w:sz w:val="24"/>
                <w:szCs w:val="24"/>
                <w:shd w:val="clear" w:color="auto" w:fill="FFFFFF"/>
              </w:rPr>
            </w:pPr>
          </w:p>
        </w:tc>
        <w:tc>
          <w:tcPr>
            <w:tcW w:w="993"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2014</w:t>
            </w:r>
          </w:p>
        </w:tc>
        <w:tc>
          <w:tcPr>
            <w:tcW w:w="992"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2015</w:t>
            </w:r>
          </w:p>
        </w:tc>
        <w:tc>
          <w:tcPr>
            <w:tcW w:w="971"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2016</w:t>
            </w:r>
          </w:p>
        </w:tc>
        <w:tc>
          <w:tcPr>
            <w:tcW w:w="1088"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2017</w:t>
            </w:r>
          </w:p>
        </w:tc>
        <w:tc>
          <w:tcPr>
            <w:tcW w:w="1088"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2018</w:t>
            </w:r>
          </w:p>
        </w:tc>
        <w:tc>
          <w:tcPr>
            <w:tcW w:w="2381" w:type="dxa"/>
            <w:vMerge/>
          </w:tcPr>
          <w:p w:rsidR="00C162DB" w:rsidRPr="004F27BE" w:rsidRDefault="00C162DB" w:rsidP="008B080C">
            <w:pPr>
              <w:spacing w:line="360" w:lineRule="auto"/>
              <w:jc w:val="center"/>
              <w:rPr>
                <w:rFonts w:cstheme="minorHAnsi"/>
                <w:b/>
                <w:sz w:val="24"/>
                <w:szCs w:val="24"/>
                <w:shd w:val="clear" w:color="auto" w:fill="FFFFFF"/>
              </w:rPr>
            </w:pPr>
          </w:p>
        </w:tc>
      </w:tr>
      <w:tr w:rsidR="00C162DB" w:rsidTr="008B080C">
        <w:tc>
          <w:tcPr>
            <w:tcW w:w="2552" w:type="dxa"/>
          </w:tcPr>
          <w:p w:rsidR="00C162DB" w:rsidRDefault="00C162DB" w:rsidP="008B080C">
            <w:pPr>
              <w:spacing w:line="360" w:lineRule="auto"/>
              <w:jc w:val="both"/>
              <w:rPr>
                <w:rFonts w:cstheme="minorHAnsi"/>
                <w:sz w:val="24"/>
                <w:szCs w:val="24"/>
                <w:shd w:val="clear" w:color="auto" w:fill="FFFFFF"/>
              </w:rPr>
            </w:pPr>
            <w:r>
              <w:rPr>
                <w:rFonts w:cstheme="minorHAnsi"/>
                <w:sz w:val="24"/>
                <w:szCs w:val="24"/>
                <w:shd w:val="clear" w:color="auto" w:fill="FFFFFF"/>
              </w:rPr>
              <w:t>Total Equity €(m)</w:t>
            </w:r>
          </w:p>
        </w:tc>
        <w:tc>
          <w:tcPr>
            <w:tcW w:w="993"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14,263</w:t>
            </w:r>
          </w:p>
        </w:tc>
        <w:tc>
          <w:tcPr>
            <w:tcW w:w="992"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16,082</w:t>
            </w:r>
          </w:p>
        </w:tc>
        <w:tc>
          <w:tcPr>
            <w:tcW w:w="971"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16,980</w:t>
            </w:r>
          </w:p>
        </w:tc>
        <w:tc>
          <w:tcPr>
            <w:tcW w:w="1088"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14,387</w:t>
            </w:r>
          </w:p>
        </w:tc>
        <w:tc>
          <w:tcPr>
            <w:tcW w:w="1088"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12,292</w:t>
            </w:r>
          </w:p>
        </w:tc>
        <w:tc>
          <w:tcPr>
            <w:tcW w:w="2381"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52,883</w:t>
            </w:r>
          </w:p>
        </w:tc>
      </w:tr>
      <w:tr w:rsidR="00C162DB" w:rsidTr="008B080C">
        <w:tc>
          <w:tcPr>
            <w:tcW w:w="2552" w:type="dxa"/>
          </w:tcPr>
          <w:p w:rsidR="00C162DB" w:rsidRDefault="00C162DB" w:rsidP="008B080C">
            <w:pPr>
              <w:spacing w:line="360" w:lineRule="auto"/>
              <w:jc w:val="both"/>
              <w:rPr>
                <w:rFonts w:cstheme="minorHAnsi"/>
                <w:sz w:val="24"/>
                <w:szCs w:val="24"/>
                <w:shd w:val="clear" w:color="auto" w:fill="FFFFFF"/>
              </w:rPr>
            </w:pPr>
            <w:r>
              <w:rPr>
                <w:rFonts w:cstheme="minorHAnsi"/>
                <w:sz w:val="24"/>
                <w:szCs w:val="24"/>
                <w:shd w:val="clear" w:color="auto" w:fill="FFFFFF"/>
              </w:rPr>
              <w:t>Total Debt €(m)</w:t>
            </w:r>
          </w:p>
        </w:tc>
        <w:tc>
          <w:tcPr>
            <w:tcW w:w="993"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12,722</w:t>
            </w:r>
          </w:p>
        </w:tc>
        <w:tc>
          <w:tcPr>
            <w:tcW w:w="992"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14,643</w:t>
            </w:r>
          </w:p>
        </w:tc>
        <w:tc>
          <w:tcPr>
            <w:tcW w:w="971"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16,595</w:t>
            </w:r>
          </w:p>
        </w:tc>
        <w:tc>
          <w:tcPr>
            <w:tcW w:w="1088"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24,410</w:t>
            </w:r>
          </w:p>
        </w:tc>
        <w:tc>
          <w:tcPr>
            <w:tcW w:w="1088"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24,885</w:t>
            </w:r>
          </w:p>
        </w:tc>
        <w:tc>
          <w:tcPr>
            <w:tcW w:w="2381" w:type="dxa"/>
          </w:tcPr>
          <w:p w:rsidR="00C162DB" w:rsidRDefault="00741999" w:rsidP="008B080C">
            <w:pPr>
              <w:spacing w:line="360" w:lineRule="auto"/>
              <w:jc w:val="both"/>
              <w:rPr>
                <w:rFonts w:cstheme="minorHAnsi"/>
                <w:sz w:val="24"/>
                <w:szCs w:val="24"/>
                <w:shd w:val="clear" w:color="auto" w:fill="FFFFFF"/>
              </w:rPr>
            </w:pPr>
            <w:r>
              <w:rPr>
                <w:rFonts w:cstheme="minorHAnsi"/>
                <w:sz w:val="24"/>
                <w:szCs w:val="24"/>
                <w:shd w:val="clear" w:color="auto" w:fill="FFFFFF"/>
              </w:rPr>
              <w:t>31,286</w:t>
            </w:r>
          </w:p>
        </w:tc>
      </w:tr>
      <w:tr w:rsidR="00EE23B5" w:rsidTr="008B080C">
        <w:tc>
          <w:tcPr>
            <w:tcW w:w="2552" w:type="dxa"/>
          </w:tcPr>
          <w:p w:rsidR="00EE23B5"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Total €(m)</w:t>
            </w:r>
          </w:p>
        </w:tc>
        <w:tc>
          <w:tcPr>
            <w:tcW w:w="993" w:type="dxa"/>
          </w:tcPr>
          <w:p w:rsidR="00EE23B5"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26,985</w:t>
            </w:r>
          </w:p>
        </w:tc>
        <w:tc>
          <w:tcPr>
            <w:tcW w:w="992" w:type="dxa"/>
          </w:tcPr>
          <w:p w:rsidR="00EE23B5"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30,725</w:t>
            </w:r>
          </w:p>
        </w:tc>
        <w:tc>
          <w:tcPr>
            <w:tcW w:w="971" w:type="dxa"/>
          </w:tcPr>
          <w:p w:rsidR="00EE23B5"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33,575</w:t>
            </w:r>
          </w:p>
        </w:tc>
        <w:tc>
          <w:tcPr>
            <w:tcW w:w="1088" w:type="dxa"/>
          </w:tcPr>
          <w:p w:rsidR="00EE23B5"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38,797</w:t>
            </w:r>
          </w:p>
        </w:tc>
        <w:tc>
          <w:tcPr>
            <w:tcW w:w="1088" w:type="dxa"/>
          </w:tcPr>
          <w:p w:rsidR="00EE23B5"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37,177</w:t>
            </w:r>
          </w:p>
        </w:tc>
        <w:tc>
          <w:tcPr>
            <w:tcW w:w="2381" w:type="dxa"/>
          </w:tcPr>
          <w:p w:rsidR="00EE23B5"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84,169</w:t>
            </w:r>
          </w:p>
        </w:tc>
      </w:tr>
    </w:tbl>
    <w:p w:rsidR="00C162DB" w:rsidRDefault="00C162DB" w:rsidP="00C162DB">
      <w:pPr>
        <w:spacing w:line="360" w:lineRule="auto"/>
        <w:jc w:val="both"/>
        <w:rPr>
          <w:rFonts w:cstheme="minorHAnsi"/>
          <w:sz w:val="24"/>
          <w:szCs w:val="24"/>
          <w:shd w:val="clear" w:color="auto" w:fill="FFFFFF"/>
        </w:rPr>
      </w:pPr>
    </w:p>
    <w:p w:rsidR="00C162DB" w:rsidRPr="001459C1" w:rsidRDefault="00C162DB" w:rsidP="00C162DB">
      <w:pPr>
        <w:spacing w:line="360" w:lineRule="auto"/>
        <w:jc w:val="both"/>
        <w:rPr>
          <w:rFonts w:cstheme="minorHAnsi"/>
          <w:sz w:val="24"/>
          <w:szCs w:val="24"/>
          <w:shd w:val="clear" w:color="auto" w:fill="FFFFFF"/>
        </w:rPr>
      </w:pPr>
      <w:r w:rsidRPr="00415536">
        <w:rPr>
          <w:b/>
          <w:sz w:val="24"/>
          <w:szCs w:val="24"/>
        </w:rPr>
        <w:t>Tab</w:t>
      </w:r>
      <w:r w:rsidR="00415536">
        <w:rPr>
          <w:b/>
          <w:sz w:val="24"/>
          <w:szCs w:val="24"/>
        </w:rPr>
        <w:t>le</w:t>
      </w:r>
      <w:r w:rsidRPr="00415536">
        <w:rPr>
          <w:b/>
          <w:sz w:val="24"/>
          <w:szCs w:val="24"/>
        </w:rPr>
        <w:t xml:space="preserve"> 8</w:t>
      </w:r>
      <w:r w:rsidR="00415536">
        <w:rPr>
          <w:b/>
          <w:sz w:val="24"/>
          <w:szCs w:val="24"/>
        </w:rPr>
        <w:t>.</w:t>
      </w:r>
      <w:r>
        <w:rPr>
          <w:sz w:val="24"/>
          <w:szCs w:val="24"/>
        </w:rPr>
        <w:t xml:space="preserve"> </w:t>
      </w:r>
      <w:r w:rsidR="00770685">
        <w:rPr>
          <w:sz w:val="24"/>
          <w:szCs w:val="24"/>
        </w:rPr>
        <w:t>Leverage</w:t>
      </w:r>
      <w:r w:rsidRPr="001459C1">
        <w:rPr>
          <w:sz w:val="24"/>
          <w:szCs w:val="24"/>
        </w:rPr>
        <w:t xml:space="preserve"> ratios of</w:t>
      </w:r>
      <w:r>
        <w:rPr>
          <w:sz w:val="24"/>
          <w:szCs w:val="24"/>
        </w:rPr>
        <w:t xml:space="preserve"> </w:t>
      </w:r>
      <w:r w:rsidRPr="001459C1">
        <w:rPr>
          <w:sz w:val="24"/>
          <w:szCs w:val="24"/>
        </w:rPr>
        <w:t>Unilever Group (2014 - 2018) and Procter &amp; Gamble (2018)</w:t>
      </w:r>
    </w:p>
    <w:tbl>
      <w:tblPr>
        <w:tblStyle w:val="TableGrid"/>
        <w:tblW w:w="10065" w:type="dxa"/>
        <w:tblInd w:w="-289" w:type="dxa"/>
        <w:tblLook w:val="04A0" w:firstRow="1" w:lastRow="0" w:firstColumn="1" w:lastColumn="0" w:noHBand="0" w:noVBand="1"/>
      </w:tblPr>
      <w:tblGrid>
        <w:gridCol w:w="2594"/>
        <w:gridCol w:w="925"/>
        <w:gridCol w:w="925"/>
        <w:gridCol w:w="925"/>
        <w:gridCol w:w="1152"/>
        <w:gridCol w:w="1134"/>
        <w:gridCol w:w="2410"/>
      </w:tblGrid>
      <w:tr w:rsidR="00C162DB" w:rsidRPr="004F27BE" w:rsidTr="00271011">
        <w:trPr>
          <w:trHeight w:val="510"/>
        </w:trPr>
        <w:tc>
          <w:tcPr>
            <w:tcW w:w="2594" w:type="dxa"/>
            <w:vMerge w:val="restart"/>
          </w:tcPr>
          <w:p w:rsidR="00C162DB" w:rsidRDefault="00C162DB" w:rsidP="008B080C">
            <w:pPr>
              <w:spacing w:line="360" w:lineRule="auto"/>
              <w:jc w:val="both"/>
              <w:rPr>
                <w:rFonts w:cstheme="minorHAnsi"/>
                <w:b/>
                <w:sz w:val="24"/>
                <w:szCs w:val="24"/>
                <w:shd w:val="clear" w:color="auto" w:fill="FFFFFF"/>
              </w:rPr>
            </w:pPr>
          </w:p>
          <w:p w:rsidR="00C162DB" w:rsidRPr="004F27BE" w:rsidRDefault="00770685" w:rsidP="008B080C">
            <w:pPr>
              <w:spacing w:line="360" w:lineRule="auto"/>
              <w:jc w:val="both"/>
              <w:rPr>
                <w:rFonts w:cstheme="minorHAnsi"/>
                <w:b/>
                <w:sz w:val="24"/>
                <w:szCs w:val="24"/>
                <w:shd w:val="clear" w:color="auto" w:fill="FFFFFF"/>
              </w:rPr>
            </w:pPr>
            <w:r>
              <w:rPr>
                <w:rFonts w:cstheme="minorHAnsi"/>
                <w:b/>
                <w:sz w:val="24"/>
                <w:szCs w:val="24"/>
                <w:shd w:val="clear" w:color="auto" w:fill="FFFFFF"/>
              </w:rPr>
              <w:t>Leverage</w:t>
            </w:r>
            <w:r w:rsidR="00C162DB">
              <w:rPr>
                <w:rFonts w:cstheme="minorHAnsi"/>
                <w:b/>
                <w:sz w:val="24"/>
                <w:szCs w:val="24"/>
                <w:shd w:val="clear" w:color="auto" w:fill="FFFFFF"/>
              </w:rPr>
              <w:t xml:space="preserve"> Ratios</w:t>
            </w:r>
          </w:p>
        </w:tc>
        <w:tc>
          <w:tcPr>
            <w:tcW w:w="5061" w:type="dxa"/>
            <w:gridSpan w:val="5"/>
          </w:tcPr>
          <w:p w:rsidR="00C162DB" w:rsidRPr="004F27BE" w:rsidRDefault="00C162DB" w:rsidP="008B080C">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Unilever</w:t>
            </w:r>
            <w:r>
              <w:rPr>
                <w:rFonts w:cstheme="minorHAnsi"/>
                <w:b/>
                <w:sz w:val="24"/>
                <w:szCs w:val="24"/>
                <w:shd w:val="clear" w:color="auto" w:fill="FFFFFF"/>
              </w:rPr>
              <w:t xml:space="preserve"> Group</w:t>
            </w:r>
          </w:p>
          <w:p w:rsidR="00C162DB" w:rsidRPr="004F27BE" w:rsidRDefault="00C162DB" w:rsidP="008B080C">
            <w:pPr>
              <w:spacing w:line="360" w:lineRule="auto"/>
              <w:jc w:val="both"/>
              <w:rPr>
                <w:rFonts w:cstheme="minorHAnsi"/>
                <w:b/>
                <w:sz w:val="24"/>
                <w:szCs w:val="24"/>
                <w:shd w:val="clear" w:color="auto" w:fill="FFFFFF"/>
              </w:rPr>
            </w:pPr>
          </w:p>
        </w:tc>
        <w:tc>
          <w:tcPr>
            <w:tcW w:w="2410" w:type="dxa"/>
            <w:vMerge w:val="restart"/>
          </w:tcPr>
          <w:p w:rsidR="00C162DB" w:rsidRPr="004F27BE" w:rsidRDefault="00C162DB" w:rsidP="008B080C">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Procter &amp; Gamble</w:t>
            </w:r>
          </w:p>
          <w:p w:rsidR="00C162DB" w:rsidRPr="004F27BE" w:rsidRDefault="00C162DB" w:rsidP="008B080C">
            <w:pPr>
              <w:spacing w:line="360" w:lineRule="auto"/>
              <w:jc w:val="center"/>
              <w:rPr>
                <w:rFonts w:cstheme="minorHAnsi"/>
                <w:b/>
                <w:sz w:val="24"/>
                <w:szCs w:val="24"/>
                <w:shd w:val="clear" w:color="auto" w:fill="FFFFFF"/>
              </w:rPr>
            </w:pPr>
            <w:r w:rsidRPr="004F27BE">
              <w:rPr>
                <w:rFonts w:cstheme="minorHAnsi"/>
                <w:b/>
                <w:sz w:val="24"/>
                <w:szCs w:val="24"/>
                <w:shd w:val="clear" w:color="auto" w:fill="FFFFFF"/>
              </w:rPr>
              <w:t>2018</w:t>
            </w:r>
          </w:p>
        </w:tc>
      </w:tr>
      <w:tr w:rsidR="00C162DB" w:rsidRPr="004F27BE" w:rsidTr="00271011">
        <w:trPr>
          <w:trHeight w:val="360"/>
        </w:trPr>
        <w:tc>
          <w:tcPr>
            <w:tcW w:w="2594" w:type="dxa"/>
            <w:vMerge/>
          </w:tcPr>
          <w:p w:rsidR="00C162DB" w:rsidRPr="004F27BE" w:rsidRDefault="00C162DB" w:rsidP="008B080C">
            <w:pPr>
              <w:spacing w:line="360" w:lineRule="auto"/>
              <w:jc w:val="both"/>
              <w:rPr>
                <w:rFonts w:cstheme="minorHAnsi"/>
                <w:b/>
                <w:sz w:val="24"/>
                <w:szCs w:val="24"/>
                <w:shd w:val="clear" w:color="auto" w:fill="FFFFFF"/>
              </w:rPr>
            </w:pPr>
          </w:p>
        </w:tc>
        <w:tc>
          <w:tcPr>
            <w:tcW w:w="925"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2014</w:t>
            </w:r>
          </w:p>
        </w:tc>
        <w:tc>
          <w:tcPr>
            <w:tcW w:w="925"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2015</w:t>
            </w:r>
          </w:p>
        </w:tc>
        <w:tc>
          <w:tcPr>
            <w:tcW w:w="925"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2016</w:t>
            </w:r>
          </w:p>
        </w:tc>
        <w:tc>
          <w:tcPr>
            <w:tcW w:w="1152"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2017</w:t>
            </w:r>
          </w:p>
        </w:tc>
        <w:tc>
          <w:tcPr>
            <w:tcW w:w="1134" w:type="dxa"/>
          </w:tcPr>
          <w:p w:rsidR="00C162DB" w:rsidRPr="004F27BE" w:rsidRDefault="00C162DB" w:rsidP="008B080C">
            <w:pPr>
              <w:spacing w:line="360" w:lineRule="auto"/>
              <w:jc w:val="both"/>
              <w:rPr>
                <w:rFonts w:cstheme="minorHAnsi"/>
                <w:b/>
                <w:sz w:val="24"/>
                <w:szCs w:val="24"/>
                <w:shd w:val="clear" w:color="auto" w:fill="FFFFFF"/>
              </w:rPr>
            </w:pPr>
            <w:r w:rsidRPr="004F27BE">
              <w:rPr>
                <w:rFonts w:cstheme="minorHAnsi"/>
                <w:b/>
                <w:sz w:val="24"/>
                <w:szCs w:val="24"/>
                <w:shd w:val="clear" w:color="auto" w:fill="FFFFFF"/>
              </w:rPr>
              <w:t>2018</w:t>
            </w:r>
          </w:p>
        </w:tc>
        <w:tc>
          <w:tcPr>
            <w:tcW w:w="2410" w:type="dxa"/>
            <w:vMerge/>
          </w:tcPr>
          <w:p w:rsidR="00C162DB" w:rsidRPr="004F27BE" w:rsidRDefault="00C162DB" w:rsidP="008B080C">
            <w:pPr>
              <w:spacing w:line="360" w:lineRule="auto"/>
              <w:jc w:val="center"/>
              <w:rPr>
                <w:rFonts w:cstheme="minorHAnsi"/>
                <w:b/>
                <w:sz w:val="24"/>
                <w:szCs w:val="24"/>
                <w:shd w:val="clear" w:color="auto" w:fill="FFFFFF"/>
              </w:rPr>
            </w:pPr>
          </w:p>
        </w:tc>
      </w:tr>
      <w:tr w:rsidR="00C162DB" w:rsidTr="00271011">
        <w:tc>
          <w:tcPr>
            <w:tcW w:w="2594" w:type="dxa"/>
          </w:tcPr>
          <w:p w:rsidR="00C162DB" w:rsidRDefault="00C162DB" w:rsidP="00C162DB">
            <w:pPr>
              <w:spacing w:line="360" w:lineRule="auto"/>
              <w:jc w:val="both"/>
              <w:rPr>
                <w:rFonts w:cstheme="minorHAnsi"/>
                <w:sz w:val="24"/>
                <w:szCs w:val="24"/>
                <w:shd w:val="clear" w:color="auto" w:fill="FFFFFF"/>
              </w:rPr>
            </w:pPr>
            <w:r>
              <w:rPr>
                <w:rFonts w:cstheme="minorHAnsi"/>
                <w:sz w:val="24"/>
                <w:szCs w:val="24"/>
                <w:shd w:val="clear" w:color="auto" w:fill="FFFFFF"/>
              </w:rPr>
              <w:t>Debt-to-Capital</w:t>
            </w:r>
          </w:p>
        </w:tc>
        <w:tc>
          <w:tcPr>
            <w:tcW w:w="925" w:type="dxa"/>
          </w:tcPr>
          <w:p w:rsidR="00C162DB"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0.47</w:t>
            </w:r>
          </w:p>
        </w:tc>
        <w:tc>
          <w:tcPr>
            <w:tcW w:w="925" w:type="dxa"/>
          </w:tcPr>
          <w:p w:rsidR="00C162DB"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0.48</w:t>
            </w:r>
          </w:p>
        </w:tc>
        <w:tc>
          <w:tcPr>
            <w:tcW w:w="925" w:type="dxa"/>
          </w:tcPr>
          <w:p w:rsidR="00C162DB"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0.49</w:t>
            </w:r>
          </w:p>
        </w:tc>
        <w:tc>
          <w:tcPr>
            <w:tcW w:w="1152" w:type="dxa"/>
          </w:tcPr>
          <w:p w:rsidR="00C162DB"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0.63</w:t>
            </w:r>
          </w:p>
        </w:tc>
        <w:tc>
          <w:tcPr>
            <w:tcW w:w="1134" w:type="dxa"/>
          </w:tcPr>
          <w:p w:rsidR="00C162DB" w:rsidRDefault="00EE23B5" w:rsidP="00EE23B5">
            <w:pPr>
              <w:spacing w:line="360" w:lineRule="auto"/>
              <w:jc w:val="both"/>
              <w:rPr>
                <w:rFonts w:cstheme="minorHAnsi"/>
                <w:sz w:val="24"/>
                <w:szCs w:val="24"/>
                <w:shd w:val="clear" w:color="auto" w:fill="FFFFFF"/>
              </w:rPr>
            </w:pPr>
            <w:r>
              <w:rPr>
                <w:rFonts w:cstheme="minorHAnsi"/>
                <w:sz w:val="24"/>
                <w:szCs w:val="24"/>
                <w:shd w:val="clear" w:color="auto" w:fill="FFFFFF"/>
              </w:rPr>
              <w:t>0.67</w:t>
            </w:r>
          </w:p>
        </w:tc>
        <w:tc>
          <w:tcPr>
            <w:tcW w:w="2410" w:type="dxa"/>
          </w:tcPr>
          <w:p w:rsidR="00C162DB" w:rsidRDefault="00EE23B5" w:rsidP="008B080C">
            <w:pPr>
              <w:spacing w:line="360" w:lineRule="auto"/>
              <w:jc w:val="both"/>
              <w:rPr>
                <w:rFonts w:cstheme="minorHAnsi"/>
                <w:sz w:val="24"/>
                <w:szCs w:val="24"/>
                <w:shd w:val="clear" w:color="auto" w:fill="FFFFFF"/>
              </w:rPr>
            </w:pPr>
            <w:r>
              <w:rPr>
                <w:rFonts w:cstheme="minorHAnsi"/>
                <w:sz w:val="24"/>
                <w:szCs w:val="24"/>
                <w:shd w:val="clear" w:color="auto" w:fill="FFFFFF"/>
              </w:rPr>
              <w:t>0.37</w:t>
            </w:r>
          </w:p>
        </w:tc>
      </w:tr>
      <w:tr w:rsidR="00C162DB" w:rsidTr="00271011">
        <w:tc>
          <w:tcPr>
            <w:tcW w:w="2594" w:type="dxa"/>
          </w:tcPr>
          <w:p w:rsidR="00C162DB" w:rsidRDefault="00C162DB" w:rsidP="008B080C">
            <w:pPr>
              <w:spacing w:line="360" w:lineRule="auto"/>
              <w:jc w:val="both"/>
              <w:rPr>
                <w:rFonts w:cstheme="minorHAnsi"/>
                <w:sz w:val="24"/>
                <w:szCs w:val="24"/>
                <w:shd w:val="clear" w:color="auto" w:fill="FFFFFF"/>
              </w:rPr>
            </w:pPr>
            <w:r>
              <w:rPr>
                <w:rFonts w:cstheme="minorHAnsi"/>
                <w:sz w:val="24"/>
                <w:szCs w:val="24"/>
                <w:shd w:val="clear" w:color="auto" w:fill="FFFFFF"/>
              </w:rPr>
              <w:t>Debt-to-Equity</w:t>
            </w:r>
          </w:p>
        </w:tc>
        <w:tc>
          <w:tcPr>
            <w:tcW w:w="925" w:type="dxa"/>
          </w:tcPr>
          <w:p w:rsidR="00C162DB" w:rsidRDefault="001E24E9" w:rsidP="008B080C">
            <w:pPr>
              <w:spacing w:line="360" w:lineRule="auto"/>
              <w:jc w:val="both"/>
              <w:rPr>
                <w:rFonts w:cstheme="minorHAnsi"/>
                <w:sz w:val="24"/>
                <w:szCs w:val="24"/>
                <w:shd w:val="clear" w:color="auto" w:fill="FFFFFF"/>
              </w:rPr>
            </w:pPr>
            <w:r>
              <w:rPr>
                <w:rFonts w:cstheme="minorHAnsi"/>
                <w:sz w:val="24"/>
                <w:szCs w:val="24"/>
                <w:shd w:val="clear" w:color="auto" w:fill="FFFFFF"/>
              </w:rPr>
              <w:t>0.89</w:t>
            </w:r>
          </w:p>
        </w:tc>
        <w:tc>
          <w:tcPr>
            <w:tcW w:w="925" w:type="dxa"/>
          </w:tcPr>
          <w:p w:rsidR="00C162DB" w:rsidRDefault="001E24E9" w:rsidP="008B080C">
            <w:pPr>
              <w:spacing w:line="360" w:lineRule="auto"/>
              <w:jc w:val="both"/>
              <w:rPr>
                <w:rFonts w:cstheme="minorHAnsi"/>
                <w:sz w:val="24"/>
                <w:szCs w:val="24"/>
                <w:shd w:val="clear" w:color="auto" w:fill="FFFFFF"/>
              </w:rPr>
            </w:pPr>
            <w:r>
              <w:rPr>
                <w:rFonts w:cstheme="minorHAnsi"/>
                <w:sz w:val="24"/>
                <w:szCs w:val="24"/>
                <w:shd w:val="clear" w:color="auto" w:fill="FFFFFF"/>
              </w:rPr>
              <w:t>0.91</w:t>
            </w:r>
          </w:p>
        </w:tc>
        <w:tc>
          <w:tcPr>
            <w:tcW w:w="925" w:type="dxa"/>
          </w:tcPr>
          <w:p w:rsidR="00C162DB" w:rsidRDefault="001E24E9" w:rsidP="008B080C">
            <w:pPr>
              <w:spacing w:line="360" w:lineRule="auto"/>
              <w:jc w:val="both"/>
              <w:rPr>
                <w:rFonts w:cstheme="minorHAnsi"/>
                <w:sz w:val="24"/>
                <w:szCs w:val="24"/>
                <w:shd w:val="clear" w:color="auto" w:fill="FFFFFF"/>
              </w:rPr>
            </w:pPr>
            <w:r>
              <w:rPr>
                <w:rFonts w:cstheme="minorHAnsi"/>
                <w:sz w:val="24"/>
                <w:szCs w:val="24"/>
                <w:shd w:val="clear" w:color="auto" w:fill="FFFFFF"/>
              </w:rPr>
              <w:t>0.98</w:t>
            </w:r>
          </w:p>
        </w:tc>
        <w:tc>
          <w:tcPr>
            <w:tcW w:w="1152" w:type="dxa"/>
          </w:tcPr>
          <w:p w:rsidR="00C162DB" w:rsidRDefault="001E24E9" w:rsidP="008B080C">
            <w:pPr>
              <w:spacing w:line="360" w:lineRule="auto"/>
              <w:jc w:val="both"/>
              <w:rPr>
                <w:rFonts w:cstheme="minorHAnsi"/>
                <w:sz w:val="24"/>
                <w:szCs w:val="24"/>
                <w:shd w:val="clear" w:color="auto" w:fill="FFFFFF"/>
              </w:rPr>
            </w:pPr>
            <w:r>
              <w:rPr>
                <w:rFonts w:cstheme="minorHAnsi"/>
                <w:sz w:val="24"/>
                <w:szCs w:val="24"/>
                <w:shd w:val="clear" w:color="auto" w:fill="FFFFFF"/>
              </w:rPr>
              <w:t>1.67</w:t>
            </w:r>
          </w:p>
        </w:tc>
        <w:tc>
          <w:tcPr>
            <w:tcW w:w="1134" w:type="dxa"/>
          </w:tcPr>
          <w:p w:rsidR="00C162DB" w:rsidRDefault="001E24E9" w:rsidP="008B080C">
            <w:pPr>
              <w:spacing w:line="360" w:lineRule="auto"/>
              <w:jc w:val="both"/>
              <w:rPr>
                <w:rFonts w:cstheme="minorHAnsi"/>
                <w:sz w:val="24"/>
                <w:szCs w:val="24"/>
                <w:shd w:val="clear" w:color="auto" w:fill="FFFFFF"/>
              </w:rPr>
            </w:pPr>
            <w:r>
              <w:rPr>
                <w:rFonts w:cstheme="minorHAnsi"/>
                <w:sz w:val="24"/>
                <w:szCs w:val="24"/>
                <w:shd w:val="clear" w:color="auto" w:fill="FFFFFF"/>
              </w:rPr>
              <w:t>2.02</w:t>
            </w:r>
          </w:p>
        </w:tc>
        <w:tc>
          <w:tcPr>
            <w:tcW w:w="2410" w:type="dxa"/>
          </w:tcPr>
          <w:p w:rsidR="00C162DB" w:rsidRDefault="001E24E9" w:rsidP="008B080C">
            <w:pPr>
              <w:spacing w:line="360" w:lineRule="auto"/>
              <w:jc w:val="both"/>
              <w:rPr>
                <w:rFonts w:cstheme="minorHAnsi"/>
                <w:sz w:val="24"/>
                <w:szCs w:val="24"/>
                <w:shd w:val="clear" w:color="auto" w:fill="FFFFFF"/>
              </w:rPr>
            </w:pPr>
            <w:r>
              <w:rPr>
                <w:rFonts w:cstheme="minorHAnsi"/>
                <w:sz w:val="24"/>
                <w:szCs w:val="24"/>
                <w:shd w:val="clear" w:color="auto" w:fill="FFFFFF"/>
              </w:rPr>
              <w:t>0.59</w:t>
            </w:r>
          </w:p>
        </w:tc>
      </w:tr>
    </w:tbl>
    <w:p w:rsidR="004F61D6" w:rsidRDefault="004F61D6" w:rsidP="00C36247">
      <w:pPr>
        <w:spacing w:line="360" w:lineRule="auto"/>
        <w:jc w:val="both"/>
        <w:rPr>
          <w:rFonts w:cstheme="minorHAnsi"/>
          <w:b/>
          <w:bCs/>
          <w:caps/>
          <w:sz w:val="24"/>
          <w:szCs w:val="24"/>
          <w:bdr w:val="none" w:sz="0" w:space="0" w:color="auto" w:frame="1"/>
        </w:rPr>
      </w:pPr>
    </w:p>
    <w:p w:rsidR="00D21791" w:rsidRPr="00C36247" w:rsidRDefault="00020195" w:rsidP="00415536">
      <w:pPr>
        <w:pStyle w:val="Heading2"/>
        <w:spacing w:after="100" w:afterAutospacing="1"/>
        <w:rPr>
          <w:caps/>
        </w:rPr>
      </w:pPr>
      <w:bookmarkStart w:id="16" w:name="_Toc30151586"/>
      <w:r w:rsidRPr="00C36247">
        <w:rPr>
          <w:bdr w:val="none" w:sz="0" w:space="0" w:color="auto" w:frame="1"/>
        </w:rPr>
        <w:t>Debt-to-capital</w:t>
      </w:r>
      <w:bookmarkEnd w:id="16"/>
    </w:p>
    <w:p w:rsidR="00792C2E" w:rsidRPr="001E187E" w:rsidRDefault="00020195" w:rsidP="001E187E">
      <w:pPr>
        <w:spacing w:line="360" w:lineRule="auto"/>
        <w:jc w:val="both"/>
        <w:rPr>
          <w:sz w:val="24"/>
          <w:szCs w:val="24"/>
        </w:rPr>
      </w:pPr>
      <w:r w:rsidRPr="001E187E">
        <w:rPr>
          <w:sz w:val="24"/>
          <w:szCs w:val="24"/>
        </w:rPr>
        <w:t>A debt-to-capital ratio measures the use of financial leverage of a company by contrasting its maximum debt with total capital, i.e. the amount of debt that a company uses for funding its operations in contrast to its capital. Debt to capital is a significant metric for assessing how debt-dependent a corporation is, in order to finance its day-to-day activities and to determine its shareholders ' risk levels. It also tests an enterprise's creditworthiness in terms of interest and other fees in order to meet its obligations.</w:t>
      </w:r>
    </w:p>
    <w:p w:rsidR="00792C2E" w:rsidRPr="00792C2E" w:rsidRDefault="00792C2E" w:rsidP="001E187E">
      <w:pPr>
        <w:spacing w:line="360" w:lineRule="auto"/>
        <w:jc w:val="both"/>
        <w:rPr>
          <w:lang w:eastAsia="en-GB"/>
        </w:rPr>
      </w:pPr>
      <w:r w:rsidRPr="001E187E">
        <w:rPr>
          <w:sz w:val="24"/>
          <w:szCs w:val="24"/>
        </w:rPr>
        <w:t xml:space="preserve">The organisation has more debt than capital when the debt to capital ratio is greater than 1. This is a highly risky business. If further liabilities are accumulated without a benefit improvement, the company will bankrupt. As it is shown in Table 8, during 2014 and 2018, the Unilever’s debt-to-capital ratio is lower than 1. It means that the level of debt is manageable and the business is considered less risky to invest or to take into account other factors </w:t>
      </w:r>
      <w:sdt>
        <w:sdtPr>
          <w:rPr>
            <w:sz w:val="24"/>
            <w:szCs w:val="24"/>
          </w:rPr>
          <w:id w:val="-349023509"/>
          <w:citation/>
        </w:sdtPr>
        <w:sdtEndPr/>
        <w:sdtContent>
          <w:r w:rsidRPr="001E187E">
            <w:rPr>
              <w:sz w:val="24"/>
              <w:szCs w:val="24"/>
            </w:rPr>
            <w:fldChar w:fldCharType="begin"/>
          </w:r>
          <w:r w:rsidRPr="001E187E">
            <w:rPr>
              <w:sz w:val="24"/>
              <w:szCs w:val="24"/>
            </w:rPr>
            <w:instrText xml:space="preserve"> CITATION Oxf10 \l 2057 </w:instrText>
          </w:r>
          <w:r w:rsidRPr="001E187E">
            <w:rPr>
              <w:sz w:val="24"/>
              <w:szCs w:val="24"/>
            </w:rPr>
            <w:fldChar w:fldCharType="separate"/>
          </w:r>
          <w:r w:rsidR="00C1213C" w:rsidRPr="001E187E">
            <w:rPr>
              <w:sz w:val="24"/>
              <w:szCs w:val="24"/>
            </w:rPr>
            <w:t>(Oxford University, 2010)</w:t>
          </w:r>
          <w:r w:rsidRPr="001E187E">
            <w:rPr>
              <w:sz w:val="24"/>
              <w:szCs w:val="24"/>
            </w:rPr>
            <w:fldChar w:fldCharType="end"/>
          </w:r>
        </w:sdtContent>
      </w:sdt>
      <w:r w:rsidRPr="001E187E">
        <w:rPr>
          <w:sz w:val="24"/>
          <w:szCs w:val="24"/>
        </w:rPr>
        <w:t>.</w:t>
      </w:r>
      <w:r w:rsidR="00771D66" w:rsidRPr="001E187E">
        <w:rPr>
          <w:sz w:val="24"/>
          <w:szCs w:val="24"/>
        </w:rPr>
        <w:t xml:space="preserve"> In 2018, the value </w:t>
      </w:r>
      <w:r w:rsidR="00771D66" w:rsidRPr="001E187E">
        <w:rPr>
          <w:sz w:val="24"/>
          <w:szCs w:val="24"/>
        </w:rPr>
        <w:lastRenderedPageBreak/>
        <w:t>of this ratio was 0.37 for Procter &amp; Gamble, near a half of Unilever’s and this makes Procter &amp; Gamble to be less risky to the investors.</w:t>
      </w:r>
    </w:p>
    <w:p w:rsidR="00D21791" w:rsidRPr="00C36247" w:rsidRDefault="0060764E" w:rsidP="00415536">
      <w:pPr>
        <w:pStyle w:val="Heading2"/>
        <w:spacing w:after="100" w:afterAutospacing="1"/>
        <w:rPr>
          <w:caps/>
        </w:rPr>
      </w:pPr>
      <w:bookmarkStart w:id="17" w:name="_Toc30151587"/>
      <w:r w:rsidRPr="00C36247">
        <w:rPr>
          <w:bdr w:val="none" w:sz="0" w:space="0" w:color="auto" w:frame="1"/>
        </w:rPr>
        <w:t>Debt-to-equity</w:t>
      </w:r>
      <w:bookmarkEnd w:id="17"/>
    </w:p>
    <w:p w:rsidR="00D21791" w:rsidRDefault="00F26231" w:rsidP="00C36247">
      <w:pPr>
        <w:spacing w:line="360" w:lineRule="auto"/>
        <w:jc w:val="both"/>
        <w:rPr>
          <w:rFonts w:cstheme="minorHAnsi"/>
          <w:sz w:val="24"/>
          <w:szCs w:val="24"/>
        </w:rPr>
      </w:pPr>
      <w:r w:rsidRPr="00F26231">
        <w:rPr>
          <w:rFonts w:cstheme="minorHAnsi"/>
          <w:sz w:val="24"/>
          <w:szCs w:val="24"/>
        </w:rPr>
        <w:t>The debt to equity is a ratio of total debt to full equity of a corporation. The debt-to-equity ratio indicates the section from creditors and investors in enterprise finance. A higher shareholder debt ratio indicates that more financing is used by creditors (bank loans) than finan</w:t>
      </w:r>
      <w:r>
        <w:rPr>
          <w:rFonts w:cstheme="minorHAnsi"/>
          <w:sz w:val="24"/>
          <w:szCs w:val="24"/>
        </w:rPr>
        <w:t xml:space="preserve">ce by the owners (shareholders) </w:t>
      </w:r>
      <w:sdt>
        <w:sdtPr>
          <w:rPr>
            <w:rFonts w:cstheme="minorHAnsi"/>
            <w:sz w:val="24"/>
            <w:szCs w:val="24"/>
          </w:rPr>
          <w:id w:val="451668033"/>
          <w:citation/>
        </w:sdtPr>
        <w:sdtEndPr/>
        <w:sdtContent>
          <w:r>
            <w:rPr>
              <w:rFonts w:cstheme="minorHAnsi"/>
              <w:sz w:val="24"/>
              <w:szCs w:val="24"/>
            </w:rPr>
            <w:fldChar w:fldCharType="begin"/>
          </w:r>
          <w:r>
            <w:rPr>
              <w:rFonts w:cstheme="minorHAnsi"/>
              <w:sz w:val="24"/>
              <w:szCs w:val="24"/>
            </w:rPr>
            <w:instrText xml:space="preserve"> CITATION Oxf10 \l 2057 </w:instrText>
          </w:r>
          <w:r>
            <w:rPr>
              <w:rFonts w:cstheme="minorHAnsi"/>
              <w:sz w:val="24"/>
              <w:szCs w:val="24"/>
            </w:rPr>
            <w:fldChar w:fldCharType="separate"/>
          </w:r>
          <w:r w:rsidR="00C1213C" w:rsidRPr="00C1213C">
            <w:rPr>
              <w:rFonts w:cstheme="minorHAnsi"/>
              <w:noProof/>
              <w:sz w:val="24"/>
              <w:szCs w:val="24"/>
            </w:rPr>
            <w:t>(Oxford University, 2010)</w:t>
          </w:r>
          <w:r>
            <w:rPr>
              <w:rFonts w:cstheme="minorHAnsi"/>
              <w:sz w:val="24"/>
              <w:szCs w:val="24"/>
            </w:rPr>
            <w:fldChar w:fldCharType="end"/>
          </w:r>
        </w:sdtContent>
      </w:sdt>
      <w:r>
        <w:rPr>
          <w:rFonts w:cstheme="minorHAnsi"/>
          <w:sz w:val="24"/>
          <w:szCs w:val="24"/>
        </w:rPr>
        <w:t>.</w:t>
      </w:r>
    </w:p>
    <w:p w:rsidR="00030C14" w:rsidRDefault="00CC6668" w:rsidP="00C36247">
      <w:pPr>
        <w:spacing w:line="360" w:lineRule="auto"/>
        <w:jc w:val="both"/>
        <w:rPr>
          <w:rFonts w:cstheme="minorHAnsi"/>
          <w:sz w:val="24"/>
          <w:szCs w:val="24"/>
        </w:rPr>
      </w:pPr>
      <w:r>
        <w:rPr>
          <w:rFonts w:cstheme="minorHAnsi"/>
          <w:sz w:val="24"/>
          <w:szCs w:val="24"/>
        </w:rPr>
        <w:t>As it shown in Appendix 2, Unilever made many acquisitions during 2015 and 2018. If in 2014 the long term debts were 7,186 million Euros, in 2018 these debts reached an outstanding 21,650 million Euros.</w:t>
      </w:r>
      <w:r w:rsidR="00A8382C">
        <w:rPr>
          <w:rFonts w:cstheme="minorHAnsi"/>
          <w:sz w:val="24"/>
          <w:szCs w:val="24"/>
        </w:rPr>
        <w:t xml:space="preserve"> The value of debt-to-Equity ratio constantly increased from 0.89 in 2014 to its peak value of 2.02 in 2018. </w:t>
      </w:r>
      <w:r w:rsidR="00820AFE">
        <w:rPr>
          <w:rFonts w:cstheme="minorHAnsi"/>
          <w:sz w:val="24"/>
          <w:szCs w:val="24"/>
        </w:rPr>
        <w:t>A possible cause might be that Unilever funded their operations through long term loans than using the investors’ money.</w:t>
      </w:r>
      <w:r w:rsidR="003A632A">
        <w:rPr>
          <w:rFonts w:cstheme="minorHAnsi"/>
          <w:sz w:val="24"/>
          <w:szCs w:val="24"/>
        </w:rPr>
        <w:t xml:space="preserve"> On the other hand, the decreasing of shareholders’ equity from 2016 to 2018 (Table. 7), </w:t>
      </w:r>
      <w:r w:rsidR="00084DCD">
        <w:rPr>
          <w:rFonts w:cstheme="minorHAnsi"/>
          <w:sz w:val="24"/>
          <w:szCs w:val="24"/>
        </w:rPr>
        <w:t>could signify that Unilever is not as trustworthy for the investors as before. For Procter &amp; Gamble, in 2018 the value this ratio was 0.59 (Table.8). With a total equity more than 3 times bigger than Unilever, the company covers almost a half of its total debts using investors’ money.</w:t>
      </w:r>
    </w:p>
    <w:p w:rsidR="00242164" w:rsidRDefault="00CF307D" w:rsidP="00415536">
      <w:pPr>
        <w:pStyle w:val="Heading1"/>
        <w:spacing w:after="100" w:afterAutospacing="1"/>
      </w:pPr>
      <w:bookmarkStart w:id="18" w:name="_Toc30151588"/>
      <w:r>
        <w:t xml:space="preserve">Part </w:t>
      </w:r>
      <w:r w:rsidR="007D191B">
        <w:t>B</w:t>
      </w:r>
      <w:r>
        <w:t xml:space="preserve">: </w:t>
      </w:r>
      <w:r w:rsidR="00242164">
        <w:t>Conclusion</w:t>
      </w:r>
      <w:bookmarkEnd w:id="18"/>
    </w:p>
    <w:p w:rsidR="0094101D" w:rsidRPr="0094101D" w:rsidRDefault="00CF307D" w:rsidP="00E4088D">
      <w:pPr>
        <w:spacing w:line="360" w:lineRule="auto"/>
        <w:jc w:val="both"/>
        <w:rPr>
          <w:sz w:val="24"/>
          <w:szCs w:val="24"/>
        </w:rPr>
      </w:pPr>
      <w:r w:rsidRPr="00CF307D">
        <w:rPr>
          <w:sz w:val="24"/>
          <w:szCs w:val="24"/>
        </w:rPr>
        <w:t>Widespread economic and geopolitical instability culminated in a demanding global business climate in 2018</w:t>
      </w:r>
      <w:r>
        <w:rPr>
          <w:sz w:val="24"/>
          <w:szCs w:val="24"/>
        </w:rPr>
        <w:t xml:space="preserve"> </w:t>
      </w:r>
      <w:sdt>
        <w:sdtPr>
          <w:rPr>
            <w:sz w:val="24"/>
            <w:szCs w:val="24"/>
          </w:rPr>
          <w:id w:val="421543842"/>
          <w:citation/>
        </w:sdtPr>
        <w:sdtEndPr/>
        <w:sdtContent>
          <w:r>
            <w:rPr>
              <w:sz w:val="24"/>
              <w:szCs w:val="24"/>
            </w:rPr>
            <w:fldChar w:fldCharType="begin"/>
          </w:r>
          <w:r>
            <w:rPr>
              <w:sz w:val="24"/>
              <w:szCs w:val="24"/>
            </w:rPr>
            <w:instrText xml:space="preserve"> CITATION Mor17 \l 2057 </w:instrText>
          </w:r>
          <w:r>
            <w:rPr>
              <w:sz w:val="24"/>
              <w:szCs w:val="24"/>
            </w:rPr>
            <w:fldChar w:fldCharType="separate"/>
          </w:r>
          <w:r w:rsidRPr="00CF307D">
            <w:rPr>
              <w:noProof/>
              <w:sz w:val="24"/>
              <w:szCs w:val="24"/>
            </w:rPr>
            <w:t>(Morrell, 2017)</w:t>
          </w:r>
          <w:r>
            <w:rPr>
              <w:sz w:val="24"/>
              <w:szCs w:val="24"/>
            </w:rPr>
            <w:fldChar w:fldCharType="end"/>
          </w:r>
        </w:sdtContent>
      </w:sdt>
      <w:r w:rsidRPr="00CF307D">
        <w:rPr>
          <w:sz w:val="24"/>
          <w:szCs w:val="24"/>
        </w:rPr>
        <w:t>. Depreciation of currency in a number of key markets fuelled inflationary pressures and dampened consumer demand, while input costs gradually increased on the back of rising commodity prices.</w:t>
      </w:r>
      <w:sdt>
        <w:sdtPr>
          <w:rPr>
            <w:sz w:val="24"/>
            <w:szCs w:val="24"/>
          </w:rPr>
          <w:id w:val="79338101"/>
          <w:citation/>
        </w:sdtPr>
        <w:sdtEndPr/>
        <w:sdtContent>
          <w:r>
            <w:rPr>
              <w:sz w:val="24"/>
              <w:szCs w:val="24"/>
            </w:rPr>
            <w:fldChar w:fldCharType="begin"/>
          </w:r>
          <w:r>
            <w:rPr>
              <w:sz w:val="24"/>
              <w:szCs w:val="24"/>
            </w:rPr>
            <w:instrText xml:space="preserve"> CITATION Gle13 \l 2057 </w:instrText>
          </w:r>
          <w:r>
            <w:rPr>
              <w:sz w:val="24"/>
              <w:szCs w:val="24"/>
            </w:rPr>
            <w:fldChar w:fldCharType="separate"/>
          </w:r>
          <w:r>
            <w:rPr>
              <w:noProof/>
              <w:sz w:val="24"/>
              <w:szCs w:val="24"/>
            </w:rPr>
            <w:t xml:space="preserve"> </w:t>
          </w:r>
          <w:r w:rsidRPr="00CF307D">
            <w:rPr>
              <w:noProof/>
              <w:sz w:val="24"/>
              <w:szCs w:val="24"/>
            </w:rPr>
            <w:t>(Glen, 2013)</w:t>
          </w:r>
          <w:r>
            <w:rPr>
              <w:sz w:val="24"/>
              <w:szCs w:val="24"/>
            </w:rPr>
            <w:fldChar w:fldCharType="end"/>
          </w:r>
        </w:sdtContent>
      </w:sdt>
      <w:r>
        <w:rPr>
          <w:sz w:val="24"/>
          <w:szCs w:val="24"/>
        </w:rPr>
        <w:t>.</w:t>
      </w:r>
      <w:r w:rsidR="00E4088D">
        <w:rPr>
          <w:sz w:val="24"/>
          <w:szCs w:val="24"/>
        </w:rPr>
        <w:t xml:space="preserve"> </w:t>
      </w:r>
      <w:r w:rsidR="00E4088D" w:rsidRPr="00E4088D">
        <w:rPr>
          <w:sz w:val="24"/>
          <w:szCs w:val="24"/>
        </w:rPr>
        <w:t>In 2018, revenue decreased to € 51.0 billion, including an adverse currency effect due primarily to currency weakness in main emerging markets such as Brazil, Argent</w:t>
      </w:r>
      <w:r w:rsidR="00E4088D">
        <w:rPr>
          <w:sz w:val="24"/>
          <w:szCs w:val="24"/>
        </w:rPr>
        <w:t>ina and India. The</w:t>
      </w:r>
      <w:r w:rsidR="00E4088D" w:rsidRPr="00E4088D">
        <w:rPr>
          <w:sz w:val="24"/>
          <w:szCs w:val="24"/>
        </w:rPr>
        <w:t xml:space="preserve"> acquisitions and disposals </w:t>
      </w:r>
      <w:r w:rsidR="00E4088D">
        <w:rPr>
          <w:sz w:val="24"/>
          <w:szCs w:val="24"/>
        </w:rPr>
        <w:t>had their impact on overall turnover.</w:t>
      </w:r>
      <w:r w:rsidR="00E4088D" w:rsidRPr="00E4088D">
        <w:rPr>
          <w:sz w:val="24"/>
          <w:szCs w:val="24"/>
        </w:rPr>
        <w:t xml:space="preserve"> Emerging markets accounted for 58% of overall sales</w:t>
      </w:r>
      <w:r w:rsidR="00E4088D">
        <w:rPr>
          <w:sz w:val="24"/>
          <w:szCs w:val="24"/>
        </w:rPr>
        <w:t xml:space="preserve"> </w:t>
      </w:r>
      <w:sdt>
        <w:sdtPr>
          <w:rPr>
            <w:sz w:val="24"/>
            <w:szCs w:val="24"/>
          </w:rPr>
          <w:id w:val="980039815"/>
          <w:citation/>
        </w:sdtPr>
        <w:sdtEndPr/>
        <w:sdtContent>
          <w:r w:rsidR="00E4088D">
            <w:rPr>
              <w:sz w:val="24"/>
              <w:szCs w:val="24"/>
            </w:rPr>
            <w:fldChar w:fldCharType="begin"/>
          </w:r>
          <w:r w:rsidR="00E4088D">
            <w:rPr>
              <w:sz w:val="24"/>
              <w:szCs w:val="24"/>
            </w:rPr>
            <w:instrText xml:space="preserve"> CITATION Uni191 \l 2057 </w:instrText>
          </w:r>
          <w:r w:rsidR="00E4088D">
            <w:rPr>
              <w:sz w:val="24"/>
              <w:szCs w:val="24"/>
            </w:rPr>
            <w:fldChar w:fldCharType="separate"/>
          </w:r>
          <w:r w:rsidR="00E4088D" w:rsidRPr="00E4088D">
            <w:rPr>
              <w:noProof/>
              <w:sz w:val="24"/>
              <w:szCs w:val="24"/>
            </w:rPr>
            <w:t>(Unilever Group, 2019)</w:t>
          </w:r>
          <w:r w:rsidR="00E4088D">
            <w:rPr>
              <w:sz w:val="24"/>
              <w:szCs w:val="24"/>
            </w:rPr>
            <w:fldChar w:fldCharType="end"/>
          </w:r>
        </w:sdtContent>
      </w:sdt>
      <w:r w:rsidR="00E4088D" w:rsidRPr="00E4088D">
        <w:rPr>
          <w:sz w:val="24"/>
          <w:szCs w:val="24"/>
        </w:rPr>
        <w:t xml:space="preserve">. </w:t>
      </w:r>
      <w:r w:rsidR="00E4088D">
        <w:rPr>
          <w:sz w:val="24"/>
          <w:szCs w:val="24"/>
        </w:rPr>
        <w:t xml:space="preserve">As a recommendation, </w:t>
      </w:r>
      <w:r w:rsidR="00BF4DC8">
        <w:rPr>
          <w:sz w:val="24"/>
          <w:szCs w:val="24"/>
        </w:rPr>
        <w:t>Unilever can operate disposals of unprofitable brands or plants from unstable emerging markets and continue to develop their operations on traditional markets. The result might be increasing the operating profit by</w:t>
      </w:r>
      <w:r w:rsidR="00B137DA">
        <w:rPr>
          <w:sz w:val="24"/>
          <w:szCs w:val="24"/>
        </w:rPr>
        <w:t xml:space="preserve"> using internal sources and reducing external funding. Moreover, constantly increasing the operating margin will provide more stability in the future.</w:t>
      </w:r>
    </w:p>
    <w:p w:rsidR="00B1056B" w:rsidRDefault="00B1056B" w:rsidP="00415536">
      <w:pPr>
        <w:pStyle w:val="Heading1"/>
        <w:spacing w:after="100" w:afterAutospacing="1"/>
      </w:pPr>
      <w:bookmarkStart w:id="19" w:name="_Toc30151589"/>
      <w:r>
        <w:lastRenderedPageBreak/>
        <w:t>Part C: Investment Appraisal</w:t>
      </w:r>
      <w:bookmarkEnd w:id="19"/>
    </w:p>
    <w:p w:rsidR="00B1056B" w:rsidRDefault="00B1056B" w:rsidP="00C36247">
      <w:pPr>
        <w:spacing w:line="360" w:lineRule="auto"/>
        <w:jc w:val="both"/>
        <w:rPr>
          <w:rFonts w:cstheme="minorHAnsi"/>
          <w:sz w:val="24"/>
          <w:szCs w:val="24"/>
        </w:rPr>
      </w:pPr>
      <w:r>
        <w:rPr>
          <w:rFonts w:cstheme="minorHAnsi"/>
          <w:sz w:val="24"/>
          <w:szCs w:val="24"/>
        </w:rPr>
        <w:t>Unilever has decided to invest in an important project and, using different investment appraisal techniques, it must analyse and evaluate the following two projects and to decide which of them is the most promising.</w:t>
      </w:r>
      <w:r w:rsidR="00E4088D">
        <w:rPr>
          <w:rFonts w:cstheme="minorHAnsi"/>
          <w:sz w:val="24"/>
          <w:szCs w:val="24"/>
        </w:rPr>
        <w:t xml:space="preserve"> </w:t>
      </w:r>
    </w:p>
    <w:p w:rsidR="00DB406F" w:rsidRDefault="00DB406F" w:rsidP="00C36247">
      <w:pPr>
        <w:spacing w:line="360" w:lineRule="auto"/>
        <w:jc w:val="both"/>
        <w:rPr>
          <w:rFonts w:cstheme="minorHAnsi"/>
          <w:sz w:val="24"/>
          <w:szCs w:val="24"/>
        </w:rPr>
      </w:pPr>
      <w:r w:rsidRPr="00300A03">
        <w:rPr>
          <w:rFonts w:cstheme="minorHAnsi"/>
          <w:b/>
          <w:sz w:val="24"/>
          <w:szCs w:val="24"/>
        </w:rPr>
        <w:t>Table 1.</w:t>
      </w:r>
      <w:r>
        <w:rPr>
          <w:rFonts w:cstheme="minorHAnsi"/>
          <w:sz w:val="24"/>
          <w:szCs w:val="24"/>
        </w:rPr>
        <w:t xml:space="preserve"> Estimated cash flows for projects A and B</w:t>
      </w:r>
    </w:p>
    <w:tbl>
      <w:tblPr>
        <w:tblStyle w:val="TableGrid"/>
        <w:tblW w:w="0" w:type="auto"/>
        <w:tblLook w:val="04A0" w:firstRow="1" w:lastRow="0" w:firstColumn="1" w:lastColumn="0" w:noHBand="0" w:noVBand="1"/>
      </w:tblPr>
      <w:tblGrid>
        <w:gridCol w:w="1413"/>
        <w:gridCol w:w="2693"/>
        <w:gridCol w:w="2610"/>
      </w:tblGrid>
      <w:tr w:rsidR="00933C98" w:rsidTr="00933C98">
        <w:tc>
          <w:tcPr>
            <w:tcW w:w="1413" w:type="dxa"/>
          </w:tcPr>
          <w:p w:rsidR="00933C98" w:rsidRPr="00933C98" w:rsidRDefault="00933C98" w:rsidP="00933C98">
            <w:pPr>
              <w:spacing w:line="360" w:lineRule="auto"/>
              <w:jc w:val="both"/>
              <w:rPr>
                <w:rFonts w:cstheme="minorHAnsi"/>
                <w:b/>
                <w:sz w:val="24"/>
                <w:szCs w:val="24"/>
              </w:rPr>
            </w:pPr>
            <w:r w:rsidRPr="00933C98">
              <w:rPr>
                <w:rFonts w:cstheme="minorHAnsi"/>
                <w:b/>
                <w:sz w:val="24"/>
                <w:szCs w:val="24"/>
              </w:rPr>
              <w:t>Year</w:t>
            </w:r>
          </w:p>
        </w:tc>
        <w:tc>
          <w:tcPr>
            <w:tcW w:w="2693" w:type="dxa"/>
          </w:tcPr>
          <w:p w:rsidR="00933C98" w:rsidRPr="00933C98" w:rsidRDefault="00933C98" w:rsidP="00933C98">
            <w:pPr>
              <w:jc w:val="center"/>
              <w:rPr>
                <w:rFonts w:cstheme="minorHAnsi"/>
                <w:b/>
                <w:sz w:val="24"/>
                <w:szCs w:val="24"/>
              </w:rPr>
            </w:pPr>
            <w:r w:rsidRPr="00933C98">
              <w:rPr>
                <w:rFonts w:cstheme="minorHAnsi"/>
                <w:b/>
                <w:sz w:val="24"/>
                <w:szCs w:val="24"/>
              </w:rPr>
              <w:t>Estimated Cash flow</w:t>
            </w:r>
          </w:p>
          <w:p w:rsidR="00933C98" w:rsidRPr="00933C98" w:rsidRDefault="00933C98" w:rsidP="00933C98">
            <w:pPr>
              <w:jc w:val="center"/>
              <w:rPr>
                <w:rFonts w:cstheme="minorHAnsi"/>
                <w:b/>
                <w:sz w:val="24"/>
                <w:szCs w:val="24"/>
              </w:rPr>
            </w:pPr>
            <w:r w:rsidRPr="00933C98">
              <w:rPr>
                <w:rFonts w:cstheme="minorHAnsi"/>
                <w:b/>
                <w:sz w:val="24"/>
                <w:szCs w:val="24"/>
              </w:rPr>
              <w:t>Project A (£m)</w:t>
            </w:r>
          </w:p>
        </w:tc>
        <w:tc>
          <w:tcPr>
            <w:tcW w:w="2610" w:type="dxa"/>
          </w:tcPr>
          <w:p w:rsidR="00933C98" w:rsidRPr="00933C98" w:rsidRDefault="00933C98" w:rsidP="00933C98">
            <w:pPr>
              <w:jc w:val="center"/>
              <w:rPr>
                <w:rFonts w:cstheme="minorHAnsi"/>
                <w:b/>
                <w:sz w:val="24"/>
                <w:szCs w:val="24"/>
              </w:rPr>
            </w:pPr>
            <w:r w:rsidRPr="00933C98">
              <w:rPr>
                <w:rFonts w:cstheme="minorHAnsi"/>
                <w:b/>
                <w:sz w:val="24"/>
                <w:szCs w:val="24"/>
              </w:rPr>
              <w:t>Estimated Cash flow</w:t>
            </w:r>
          </w:p>
          <w:p w:rsidR="00933C98" w:rsidRPr="00933C98" w:rsidRDefault="00933C98" w:rsidP="00933C98">
            <w:pPr>
              <w:jc w:val="center"/>
              <w:rPr>
                <w:rFonts w:cstheme="minorHAnsi"/>
                <w:b/>
                <w:sz w:val="24"/>
                <w:szCs w:val="24"/>
              </w:rPr>
            </w:pPr>
            <w:r w:rsidRPr="00933C98">
              <w:rPr>
                <w:rFonts w:cstheme="minorHAnsi"/>
                <w:b/>
                <w:sz w:val="24"/>
                <w:szCs w:val="24"/>
              </w:rPr>
              <w:t>Project B (£m)</w:t>
            </w:r>
          </w:p>
        </w:tc>
      </w:tr>
      <w:tr w:rsidR="00933C98" w:rsidTr="00933C98">
        <w:tc>
          <w:tcPr>
            <w:tcW w:w="1413" w:type="dxa"/>
          </w:tcPr>
          <w:p w:rsidR="00933C98" w:rsidRDefault="00933C98" w:rsidP="00933C98">
            <w:pPr>
              <w:spacing w:line="360" w:lineRule="auto"/>
              <w:jc w:val="both"/>
              <w:rPr>
                <w:rFonts w:cstheme="minorHAnsi"/>
                <w:sz w:val="24"/>
                <w:szCs w:val="24"/>
              </w:rPr>
            </w:pPr>
            <w:r>
              <w:rPr>
                <w:rFonts w:cstheme="minorHAnsi"/>
                <w:sz w:val="24"/>
                <w:szCs w:val="24"/>
              </w:rPr>
              <w:t>0</w:t>
            </w:r>
          </w:p>
        </w:tc>
        <w:tc>
          <w:tcPr>
            <w:tcW w:w="2693" w:type="dxa"/>
          </w:tcPr>
          <w:p w:rsidR="00933C98" w:rsidRDefault="00933C98" w:rsidP="00933C98">
            <w:pPr>
              <w:spacing w:line="360" w:lineRule="auto"/>
              <w:jc w:val="both"/>
              <w:rPr>
                <w:rFonts w:cstheme="minorHAnsi"/>
                <w:sz w:val="24"/>
                <w:szCs w:val="24"/>
              </w:rPr>
            </w:pPr>
            <w:r>
              <w:rPr>
                <w:rFonts w:cstheme="minorHAnsi"/>
                <w:sz w:val="24"/>
                <w:szCs w:val="24"/>
              </w:rPr>
              <w:t>-103</w:t>
            </w:r>
          </w:p>
        </w:tc>
        <w:tc>
          <w:tcPr>
            <w:tcW w:w="2610" w:type="dxa"/>
          </w:tcPr>
          <w:p w:rsidR="00933C98" w:rsidRDefault="00933C98" w:rsidP="00933C98">
            <w:pPr>
              <w:spacing w:line="360" w:lineRule="auto"/>
              <w:jc w:val="both"/>
              <w:rPr>
                <w:rFonts w:cstheme="minorHAnsi"/>
                <w:sz w:val="24"/>
                <w:szCs w:val="24"/>
              </w:rPr>
            </w:pPr>
            <w:r>
              <w:rPr>
                <w:rFonts w:cstheme="minorHAnsi"/>
                <w:sz w:val="24"/>
                <w:szCs w:val="24"/>
              </w:rPr>
              <w:t>-115</w:t>
            </w:r>
          </w:p>
        </w:tc>
      </w:tr>
      <w:tr w:rsidR="00933C98" w:rsidTr="00933C98">
        <w:tc>
          <w:tcPr>
            <w:tcW w:w="1413" w:type="dxa"/>
          </w:tcPr>
          <w:p w:rsidR="00933C98" w:rsidRDefault="00933C98" w:rsidP="00933C98">
            <w:pPr>
              <w:spacing w:line="360" w:lineRule="auto"/>
              <w:jc w:val="both"/>
              <w:rPr>
                <w:rFonts w:cstheme="minorHAnsi"/>
                <w:sz w:val="24"/>
                <w:szCs w:val="24"/>
              </w:rPr>
            </w:pPr>
            <w:r>
              <w:rPr>
                <w:rFonts w:cstheme="minorHAnsi"/>
                <w:sz w:val="24"/>
                <w:szCs w:val="24"/>
              </w:rPr>
              <w:t>1</w:t>
            </w:r>
          </w:p>
        </w:tc>
        <w:tc>
          <w:tcPr>
            <w:tcW w:w="2693" w:type="dxa"/>
          </w:tcPr>
          <w:p w:rsidR="00933C98" w:rsidRDefault="00933C98" w:rsidP="00933C98">
            <w:pPr>
              <w:spacing w:line="360" w:lineRule="auto"/>
              <w:jc w:val="both"/>
              <w:rPr>
                <w:rFonts w:cstheme="minorHAnsi"/>
                <w:sz w:val="24"/>
                <w:szCs w:val="24"/>
              </w:rPr>
            </w:pPr>
            <w:r>
              <w:rPr>
                <w:rFonts w:cstheme="minorHAnsi"/>
                <w:sz w:val="24"/>
                <w:szCs w:val="24"/>
              </w:rPr>
              <w:t>10</w:t>
            </w:r>
          </w:p>
        </w:tc>
        <w:tc>
          <w:tcPr>
            <w:tcW w:w="2610" w:type="dxa"/>
          </w:tcPr>
          <w:p w:rsidR="00933C98" w:rsidRDefault="00933C98" w:rsidP="00933C98">
            <w:pPr>
              <w:spacing w:line="360" w:lineRule="auto"/>
              <w:jc w:val="both"/>
              <w:rPr>
                <w:rFonts w:cstheme="minorHAnsi"/>
                <w:sz w:val="24"/>
                <w:szCs w:val="24"/>
              </w:rPr>
            </w:pPr>
            <w:r>
              <w:rPr>
                <w:rFonts w:cstheme="minorHAnsi"/>
                <w:sz w:val="24"/>
                <w:szCs w:val="24"/>
              </w:rPr>
              <w:t>60</w:t>
            </w:r>
          </w:p>
        </w:tc>
      </w:tr>
      <w:tr w:rsidR="00933C98" w:rsidTr="00933C98">
        <w:tc>
          <w:tcPr>
            <w:tcW w:w="1413" w:type="dxa"/>
          </w:tcPr>
          <w:p w:rsidR="00933C98" w:rsidRDefault="00933C98" w:rsidP="00933C98">
            <w:pPr>
              <w:spacing w:line="360" w:lineRule="auto"/>
              <w:jc w:val="both"/>
              <w:rPr>
                <w:rFonts w:cstheme="minorHAnsi"/>
                <w:sz w:val="24"/>
                <w:szCs w:val="24"/>
              </w:rPr>
            </w:pPr>
            <w:r>
              <w:rPr>
                <w:rFonts w:cstheme="minorHAnsi"/>
                <w:sz w:val="24"/>
                <w:szCs w:val="24"/>
              </w:rPr>
              <w:t>2</w:t>
            </w:r>
          </w:p>
        </w:tc>
        <w:tc>
          <w:tcPr>
            <w:tcW w:w="2693" w:type="dxa"/>
          </w:tcPr>
          <w:p w:rsidR="00933C98" w:rsidRDefault="00933C98" w:rsidP="00933C98">
            <w:pPr>
              <w:spacing w:line="360" w:lineRule="auto"/>
              <w:jc w:val="both"/>
              <w:rPr>
                <w:rFonts w:cstheme="minorHAnsi"/>
                <w:sz w:val="24"/>
                <w:szCs w:val="24"/>
              </w:rPr>
            </w:pPr>
            <w:r>
              <w:rPr>
                <w:rFonts w:cstheme="minorHAnsi"/>
                <w:sz w:val="24"/>
                <w:szCs w:val="24"/>
              </w:rPr>
              <w:t>30</w:t>
            </w:r>
          </w:p>
        </w:tc>
        <w:tc>
          <w:tcPr>
            <w:tcW w:w="2610" w:type="dxa"/>
          </w:tcPr>
          <w:p w:rsidR="00933C98" w:rsidRDefault="00933C98" w:rsidP="00933C98">
            <w:pPr>
              <w:spacing w:line="360" w:lineRule="auto"/>
              <w:jc w:val="both"/>
              <w:rPr>
                <w:rFonts w:cstheme="minorHAnsi"/>
                <w:sz w:val="24"/>
                <w:szCs w:val="24"/>
              </w:rPr>
            </w:pPr>
            <w:r>
              <w:rPr>
                <w:rFonts w:cstheme="minorHAnsi"/>
                <w:sz w:val="24"/>
                <w:szCs w:val="24"/>
              </w:rPr>
              <w:t>40</w:t>
            </w:r>
          </w:p>
        </w:tc>
      </w:tr>
      <w:tr w:rsidR="00933C98" w:rsidTr="00933C98">
        <w:tc>
          <w:tcPr>
            <w:tcW w:w="1413" w:type="dxa"/>
          </w:tcPr>
          <w:p w:rsidR="00933C98" w:rsidRDefault="00933C98" w:rsidP="00933C98">
            <w:pPr>
              <w:spacing w:line="360" w:lineRule="auto"/>
              <w:jc w:val="both"/>
              <w:rPr>
                <w:rFonts w:cstheme="minorHAnsi"/>
                <w:sz w:val="24"/>
                <w:szCs w:val="24"/>
              </w:rPr>
            </w:pPr>
            <w:r>
              <w:rPr>
                <w:rFonts w:cstheme="minorHAnsi"/>
                <w:sz w:val="24"/>
                <w:szCs w:val="24"/>
              </w:rPr>
              <w:t>3</w:t>
            </w:r>
          </w:p>
        </w:tc>
        <w:tc>
          <w:tcPr>
            <w:tcW w:w="2693" w:type="dxa"/>
          </w:tcPr>
          <w:p w:rsidR="00933C98" w:rsidRDefault="00933C98" w:rsidP="00933C98">
            <w:pPr>
              <w:spacing w:line="360" w:lineRule="auto"/>
              <w:jc w:val="both"/>
              <w:rPr>
                <w:rFonts w:cstheme="minorHAnsi"/>
                <w:sz w:val="24"/>
                <w:szCs w:val="24"/>
              </w:rPr>
            </w:pPr>
            <w:r>
              <w:rPr>
                <w:rFonts w:cstheme="minorHAnsi"/>
                <w:sz w:val="24"/>
                <w:szCs w:val="24"/>
              </w:rPr>
              <w:t>50</w:t>
            </w:r>
          </w:p>
        </w:tc>
        <w:tc>
          <w:tcPr>
            <w:tcW w:w="2610" w:type="dxa"/>
          </w:tcPr>
          <w:p w:rsidR="00933C98" w:rsidRDefault="00933C98" w:rsidP="00933C98">
            <w:pPr>
              <w:spacing w:line="360" w:lineRule="auto"/>
              <w:jc w:val="both"/>
              <w:rPr>
                <w:rFonts w:cstheme="minorHAnsi"/>
                <w:sz w:val="24"/>
                <w:szCs w:val="24"/>
              </w:rPr>
            </w:pPr>
            <w:r>
              <w:rPr>
                <w:rFonts w:cstheme="minorHAnsi"/>
                <w:sz w:val="24"/>
                <w:szCs w:val="24"/>
              </w:rPr>
              <w:t>60</w:t>
            </w:r>
          </w:p>
        </w:tc>
      </w:tr>
      <w:tr w:rsidR="00933C98" w:rsidTr="00933C98">
        <w:tc>
          <w:tcPr>
            <w:tcW w:w="1413" w:type="dxa"/>
          </w:tcPr>
          <w:p w:rsidR="00933C98" w:rsidRDefault="00933C98" w:rsidP="00933C98">
            <w:pPr>
              <w:spacing w:line="360" w:lineRule="auto"/>
              <w:jc w:val="both"/>
              <w:rPr>
                <w:rFonts w:cstheme="minorHAnsi"/>
                <w:sz w:val="24"/>
                <w:szCs w:val="24"/>
              </w:rPr>
            </w:pPr>
            <w:r>
              <w:rPr>
                <w:rFonts w:cstheme="minorHAnsi"/>
                <w:sz w:val="24"/>
                <w:szCs w:val="24"/>
              </w:rPr>
              <w:t>4</w:t>
            </w:r>
          </w:p>
        </w:tc>
        <w:tc>
          <w:tcPr>
            <w:tcW w:w="2693" w:type="dxa"/>
          </w:tcPr>
          <w:p w:rsidR="00933C98" w:rsidRDefault="00933C98" w:rsidP="00933C98">
            <w:pPr>
              <w:spacing w:line="360" w:lineRule="auto"/>
              <w:jc w:val="both"/>
              <w:rPr>
                <w:rFonts w:cstheme="minorHAnsi"/>
                <w:sz w:val="24"/>
                <w:szCs w:val="24"/>
              </w:rPr>
            </w:pPr>
            <w:r>
              <w:rPr>
                <w:rFonts w:cstheme="minorHAnsi"/>
                <w:sz w:val="24"/>
                <w:szCs w:val="24"/>
              </w:rPr>
              <w:t>65</w:t>
            </w:r>
          </w:p>
        </w:tc>
        <w:tc>
          <w:tcPr>
            <w:tcW w:w="2610" w:type="dxa"/>
          </w:tcPr>
          <w:p w:rsidR="00933C98" w:rsidRDefault="00933C98" w:rsidP="00933C98">
            <w:pPr>
              <w:spacing w:line="360" w:lineRule="auto"/>
              <w:jc w:val="both"/>
              <w:rPr>
                <w:rFonts w:cstheme="minorHAnsi"/>
                <w:sz w:val="24"/>
                <w:szCs w:val="24"/>
              </w:rPr>
            </w:pPr>
            <w:r>
              <w:rPr>
                <w:rFonts w:cstheme="minorHAnsi"/>
                <w:sz w:val="24"/>
                <w:szCs w:val="24"/>
              </w:rPr>
              <w:t>5</w:t>
            </w:r>
          </w:p>
        </w:tc>
      </w:tr>
      <w:tr w:rsidR="00933C98" w:rsidTr="00933C98">
        <w:tc>
          <w:tcPr>
            <w:tcW w:w="1413" w:type="dxa"/>
          </w:tcPr>
          <w:p w:rsidR="00933C98" w:rsidRPr="00351D96" w:rsidRDefault="00933C98" w:rsidP="00933C98">
            <w:pPr>
              <w:spacing w:line="360" w:lineRule="auto"/>
              <w:jc w:val="both"/>
              <w:rPr>
                <w:rFonts w:cstheme="minorHAnsi"/>
                <w:b/>
                <w:sz w:val="24"/>
                <w:szCs w:val="24"/>
              </w:rPr>
            </w:pPr>
            <w:r w:rsidRPr="00351D96">
              <w:rPr>
                <w:rFonts w:cstheme="minorHAnsi"/>
                <w:b/>
                <w:sz w:val="24"/>
                <w:szCs w:val="24"/>
              </w:rPr>
              <w:t>Total</w:t>
            </w:r>
          </w:p>
        </w:tc>
        <w:tc>
          <w:tcPr>
            <w:tcW w:w="2693" w:type="dxa"/>
          </w:tcPr>
          <w:p w:rsidR="00933C98" w:rsidRPr="00351D96" w:rsidRDefault="00C26DF1" w:rsidP="00933C98">
            <w:pPr>
              <w:spacing w:line="360" w:lineRule="auto"/>
              <w:jc w:val="both"/>
              <w:rPr>
                <w:rFonts w:cstheme="minorHAnsi"/>
                <w:b/>
                <w:sz w:val="24"/>
                <w:szCs w:val="24"/>
              </w:rPr>
            </w:pPr>
            <w:r w:rsidRPr="00351D96">
              <w:rPr>
                <w:rFonts w:cstheme="minorHAnsi"/>
                <w:b/>
                <w:sz w:val="24"/>
                <w:szCs w:val="24"/>
              </w:rPr>
              <w:t>155</w:t>
            </w:r>
          </w:p>
        </w:tc>
        <w:tc>
          <w:tcPr>
            <w:tcW w:w="2610" w:type="dxa"/>
          </w:tcPr>
          <w:p w:rsidR="00933C98" w:rsidRPr="00351D96" w:rsidRDefault="00C26DF1" w:rsidP="00933C98">
            <w:pPr>
              <w:spacing w:line="360" w:lineRule="auto"/>
              <w:jc w:val="both"/>
              <w:rPr>
                <w:rFonts w:cstheme="minorHAnsi"/>
                <w:b/>
                <w:sz w:val="24"/>
                <w:szCs w:val="24"/>
              </w:rPr>
            </w:pPr>
            <w:r w:rsidRPr="00351D96">
              <w:rPr>
                <w:rFonts w:cstheme="minorHAnsi"/>
                <w:b/>
                <w:sz w:val="24"/>
                <w:szCs w:val="24"/>
              </w:rPr>
              <w:t>165</w:t>
            </w:r>
          </w:p>
        </w:tc>
      </w:tr>
    </w:tbl>
    <w:p w:rsidR="00351D96" w:rsidRDefault="00351D96" w:rsidP="00C36247">
      <w:pPr>
        <w:spacing w:line="360" w:lineRule="auto"/>
        <w:jc w:val="both"/>
        <w:rPr>
          <w:rFonts w:cstheme="minorHAnsi"/>
          <w:sz w:val="24"/>
          <w:szCs w:val="24"/>
        </w:rPr>
      </w:pPr>
      <w:r>
        <w:rPr>
          <w:rFonts w:cstheme="minorHAnsi"/>
          <w:sz w:val="24"/>
          <w:szCs w:val="24"/>
        </w:rPr>
        <w:t>We consider that Unilever’s cost of capital is 8.73%</w:t>
      </w:r>
    </w:p>
    <w:p w:rsidR="00351D96" w:rsidRDefault="00351D96" w:rsidP="00C36247">
      <w:pPr>
        <w:spacing w:line="360" w:lineRule="auto"/>
        <w:jc w:val="both"/>
        <w:rPr>
          <w:rFonts w:cstheme="minorHAnsi"/>
          <w:sz w:val="24"/>
          <w:szCs w:val="24"/>
        </w:rPr>
      </w:pPr>
      <w:r>
        <w:rPr>
          <w:rFonts w:cstheme="minorHAnsi"/>
          <w:sz w:val="24"/>
          <w:szCs w:val="24"/>
        </w:rPr>
        <w:t>To analyse and evaluate these projects, we will calculate the Payback Period (PBP), Accounting Rate of Return (ARR), Net Present Value (NPV) and Internal Rate of Return</w:t>
      </w:r>
      <w:r w:rsidR="003B3475">
        <w:rPr>
          <w:rFonts w:cstheme="minorHAnsi"/>
          <w:sz w:val="24"/>
          <w:szCs w:val="24"/>
        </w:rPr>
        <w:t xml:space="preserve"> (IRR</w:t>
      </w:r>
      <w:r>
        <w:rPr>
          <w:rFonts w:cstheme="minorHAnsi"/>
          <w:sz w:val="24"/>
          <w:szCs w:val="24"/>
        </w:rPr>
        <w:t>).</w:t>
      </w:r>
    </w:p>
    <w:p w:rsidR="00351D96" w:rsidRPr="00351D96" w:rsidRDefault="00351D96" w:rsidP="00300A03">
      <w:pPr>
        <w:pStyle w:val="Heading1"/>
        <w:spacing w:after="100" w:afterAutospacing="1"/>
      </w:pPr>
      <w:bookmarkStart w:id="20" w:name="_Toc30151590"/>
      <w:r w:rsidRPr="00351D96">
        <w:t>Payback Period (PBP)</w:t>
      </w:r>
      <w:bookmarkEnd w:id="20"/>
    </w:p>
    <w:p w:rsidR="00351D96" w:rsidRPr="00C36247" w:rsidRDefault="00351D96" w:rsidP="00C36247">
      <w:pPr>
        <w:spacing w:line="360" w:lineRule="auto"/>
        <w:jc w:val="both"/>
        <w:rPr>
          <w:rFonts w:cstheme="minorHAnsi"/>
          <w:sz w:val="24"/>
          <w:szCs w:val="24"/>
        </w:rPr>
      </w:pPr>
      <w:r w:rsidRPr="00351D96">
        <w:rPr>
          <w:rFonts w:cstheme="minorHAnsi"/>
          <w:sz w:val="24"/>
          <w:szCs w:val="24"/>
        </w:rPr>
        <w:t>The payback period is a financial or capital budgeting strategy that specifies how many days the investment takes to generate cash flows equal to the initial cost of the investment</w:t>
      </w:r>
      <w:r w:rsidR="00CB7FC0">
        <w:rPr>
          <w:rFonts w:cstheme="minorHAnsi"/>
          <w:sz w:val="24"/>
          <w:szCs w:val="24"/>
        </w:rPr>
        <w:t xml:space="preserve"> or to reach the break-even point</w:t>
      </w:r>
      <w:r w:rsidR="00DE6A44">
        <w:rPr>
          <w:rFonts w:cstheme="minorHAnsi"/>
          <w:sz w:val="24"/>
          <w:szCs w:val="24"/>
        </w:rPr>
        <w:t xml:space="preserve"> </w:t>
      </w:r>
      <w:sdt>
        <w:sdtPr>
          <w:rPr>
            <w:rFonts w:cstheme="minorHAnsi"/>
            <w:sz w:val="24"/>
            <w:szCs w:val="24"/>
          </w:rPr>
          <w:id w:val="-133792811"/>
          <w:citation/>
        </w:sdtPr>
        <w:sdtEndPr/>
        <w:sdtContent>
          <w:r w:rsidR="00DE6A44">
            <w:rPr>
              <w:rFonts w:cstheme="minorHAnsi"/>
              <w:sz w:val="24"/>
              <w:szCs w:val="24"/>
            </w:rPr>
            <w:fldChar w:fldCharType="begin"/>
          </w:r>
          <w:r w:rsidR="00DE6A44">
            <w:rPr>
              <w:rFonts w:cstheme="minorHAnsi"/>
              <w:sz w:val="24"/>
              <w:szCs w:val="24"/>
            </w:rPr>
            <w:instrText xml:space="preserve"> CITATION Far10 \l 2057 </w:instrText>
          </w:r>
          <w:r w:rsidR="00DE6A44">
            <w:rPr>
              <w:rFonts w:cstheme="minorHAnsi"/>
              <w:sz w:val="24"/>
              <w:szCs w:val="24"/>
            </w:rPr>
            <w:fldChar w:fldCharType="separate"/>
          </w:r>
          <w:r w:rsidR="00C1213C" w:rsidRPr="00C1213C">
            <w:rPr>
              <w:rFonts w:cstheme="minorHAnsi"/>
              <w:noProof/>
              <w:sz w:val="24"/>
              <w:szCs w:val="24"/>
            </w:rPr>
            <w:t>(Farris, et al., 2010)</w:t>
          </w:r>
          <w:r w:rsidR="00DE6A44">
            <w:rPr>
              <w:rFonts w:cstheme="minorHAnsi"/>
              <w:sz w:val="24"/>
              <w:szCs w:val="24"/>
            </w:rPr>
            <w:fldChar w:fldCharType="end"/>
          </w:r>
        </w:sdtContent>
      </w:sdt>
      <w:r w:rsidRPr="00351D96">
        <w:rPr>
          <w:rFonts w:cstheme="minorHAnsi"/>
          <w:sz w:val="24"/>
          <w:szCs w:val="24"/>
        </w:rPr>
        <w:t xml:space="preserve">. </w:t>
      </w:r>
    </w:p>
    <w:p w:rsidR="00AF4E96" w:rsidRDefault="00CB7FC0" w:rsidP="0073699A">
      <w:pPr>
        <w:jc w:val="both"/>
        <w:rPr>
          <w:sz w:val="24"/>
          <w:szCs w:val="24"/>
        </w:rPr>
      </w:pPr>
      <w:r w:rsidRPr="00300A03">
        <w:rPr>
          <w:b/>
          <w:sz w:val="24"/>
          <w:szCs w:val="24"/>
        </w:rPr>
        <w:t>Table</w:t>
      </w:r>
      <w:r w:rsidR="00BD1B1D" w:rsidRPr="00300A03">
        <w:rPr>
          <w:b/>
          <w:sz w:val="24"/>
          <w:szCs w:val="24"/>
        </w:rPr>
        <w:t xml:space="preserve"> 2.</w:t>
      </w:r>
      <w:r w:rsidR="00BD1B1D">
        <w:rPr>
          <w:sz w:val="24"/>
          <w:szCs w:val="24"/>
        </w:rPr>
        <w:t xml:space="preserve"> C</w:t>
      </w:r>
      <w:r>
        <w:rPr>
          <w:sz w:val="24"/>
          <w:szCs w:val="24"/>
        </w:rPr>
        <w:t xml:space="preserve">umulative cash flows </w:t>
      </w:r>
      <w:r w:rsidR="00BD1B1D">
        <w:rPr>
          <w:sz w:val="24"/>
          <w:szCs w:val="24"/>
        </w:rPr>
        <w:t>for projects A and B</w:t>
      </w:r>
    </w:p>
    <w:tbl>
      <w:tblPr>
        <w:tblW w:w="7780" w:type="dxa"/>
        <w:tblInd w:w="-10" w:type="dxa"/>
        <w:tblLook w:val="04A0" w:firstRow="1" w:lastRow="0" w:firstColumn="1" w:lastColumn="0" w:noHBand="0" w:noVBand="1"/>
      </w:tblPr>
      <w:tblGrid>
        <w:gridCol w:w="960"/>
        <w:gridCol w:w="1720"/>
        <w:gridCol w:w="1720"/>
        <w:gridCol w:w="1660"/>
        <w:gridCol w:w="1720"/>
      </w:tblGrid>
      <w:tr w:rsidR="00F65968" w:rsidRPr="00F65968" w:rsidTr="00F65968">
        <w:trPr>
          <w:trHeight w:val="945"/>
        </w:trPr>
        <w:tc>
          <w:tcPr>
            <w:tcW w:w="960" w:type="dxa"/>
            <w:vMerge w:val="restart"/>
            <w:tcBorders>
              <w:top w:val="single" w:sz="8" w:space="0" w:color="auto"/>
              <w:left w:val="single" w:sz="8" w:space="0" w:color="auto"/>
              <w:bottom w:val="single" w:sz="8" w:space="0" w:color="000000"/>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b/>
                <w:bCs/>
                <w:color w:val="000000"/>
                <w:sz w:val="24"/>
                <w:szCs w:val="24"/>
                <w:lang w:eastAsia="en-GB"/>
              </w:rPr>
            </w:pPr>
            <w:r w:rsidRPr="00F65968">
              <w:rPr>
                <w:rFonts w:ascii="Calibri" w:eastAsia="Times New Roman" w:hAnsi="Calibri" w:cstheme="minorHAnsi"/>
                <w:b/>
                <w:bCs/>
                <w:color w:val="000000"/>
                <w:sz w:val="24"/>
                <w:szCs w:val="24"/>
                <w:lang w:eastAsia="en-GB"/>
              </w:rPr>
              <w:t>Year</w:t>
            </w:r>
          </w:p>
        </w:tc>
        <w:tc>
          <w:tcPr>
            <w:tcW w:w="1720" w:type="dxa"/>
            <w:tcBorders>
              <w:top w:val="single" w:sz="8" w:space="0" w:color="auto"/>
              <w:left w:val="nil"/>
              <w:bottom w:val="nil"/>
              <w:right w:val="single" w:sz="8" w:space="0" w:color="auto"/>
            </w:tcBorders>
            <w:shd w:val="clear" w:color="auto" w:fill="auto"/>
            <w:vAlign w:val="center"/>
            <w:hideMark/>
          </w:tcPr>
          <w:p w:rsidR="00F65968" w:rsidRPr="00F65968" w:rsidRDefault="00F65968" w:rsidP="00F65968">
            <w:pPr>
              <w:spacing w:after="0" w:line="240" w:lineRule="auto"/>
              <w:jc w:val="center"/>
              <w:rPr>
                <w:rFonts w:ascii="Calibri" w:eastAsia="Times New Roman" w:hAnsi="Calibri" w:cs="Calibri"/>
                <w:b/>
                <w:bCs/>
                <w:color w:val="000000"/>
                <w:sz w:val="24"/>
                <w:szCs w:val="24"/>
                <w:lang w:eastAsia="en-GB"/>
              </w:rPr>
            </w:pPr>
            <w:r w:rsidRPr="00F65968">
              <w:rPr>
                <w:rFonts w:ascii="Calibri" w:eastAsia="Times New Roman" w:hAnsi="Calibri" w:cstheme="minorHAnsi"/>
                <w:b/>
                <w:bCs/>
                <w:color w:val="000000"/>
                <w:sz w:val="24"/>
                <w:szCs w:val="24"/>
                <w:lang w:eastAsia="en-GB"/>
              </w:rPr>
              <w:t>Estimated Cash flow</w:t>
            </w:r>
          </w:p>
        </w:tc>
        <w:tc>
          <w:tcPr>
            <w:tcW w:w="1720" w:type="dxa"/>
            <w:tcBorders>
              <w:top w:val="single" w:sz="8" w:space="0" w:color="auto"/>
              <w:left w:val="nil"/>
              <w:bottom w:val="nil"/>
              <w:right w:val="single" w:sz="8" w:space="0" w:color="auto"/>
            </w:tcBorders>
            <w:shd w:val="clear" w:color="auto" w:fill="auto"/>
            <w:vAlign w:val="center"/>
            <w:hideMark/>
          </w:tcPr>
          <w:p w:rsidR="00F65968" w:rsidRPr="00F65968" w:rsidRDefault="00F65968" w:rsidP="00F65968">
            <w:pPr>
              <w:spacing w:after="0" w:line="240" w:lineRule="auto"/>
              <w:jc w:val="center"/>
              <w:rPr>
                <w:rFonts w:ascii="Calibri" w:eastAsia="Times New Roman" w:hAnsi="Calibri" w:cs="Calibri"/>
                <w:b/>
                <w:bCs/>
                <w:color w:val="000000"/>
                <w:sz w:val="24"/>
                <w:szCs w:val="24"/>
                <w:lang w:eastAsia="en-GB"/>
              </w:rPr>
            </w:pPr>
            <w:r w:rsidRPr="00F65968">
              <w:rPr>
                <w:rFonts w:ascii="Calibri" w:eastAsia="Times New Roman" w:hAnsi="Calibri" w:cstheme="minorHAnsi"/>
                <w:b/>
                <w:bCs/>
                <w:color w:val="000000"/>
                <w:sz w:val="24"/>
                <w:szCs w:val="24"/>
                <w:lang w:eastAsia="en-GB"/>
              </w:rPr>
              <w:t>Cumulative Cash flow</w:t>
            </w:r>
          </w:p>
        </w:tc>
        <w:tc>
          <w:tcPr>
            <w:tcW w:w="1660" w:type="dxa"/>
            <w:tcBorders>
              <w:top w:val="single" w:sz="8" w:space="0" w:color="auto"/>
              <w:left w:val="nil"/>
              <w:bottom w:val="nil"/>
              <w:right w:val="single" w:sz="8" w:space="0" w:color="auto"/>
            </w:tcBorders>
            <w:shd w:val="clear" w:color="auto" w:fill="auto"/>
            <w:vAlign w:val="center"/>
            <w:hideMark/>
          </w:tcPr>
          <w:p w:rsidR="00F65968" w:rsidRPr="00F65968" w:rsidRDefault="00F65968" w:rsidP="00F65968">
            <w:pPr>
              <w:spacing w:after="0" w:line="240" w:lineRule="auto"/>
              <w:jc w:val="center"/>
              <w:rPr>
                <w:rFonts w:ascii="Calibri" w:eastAsia="Times New Roman" w:hAnsi="Calibri" w:cs="Calibri"/>
                <w:b/>
                <w:bCs/>
                <w:color w:val="000000"/>
                <w:sz w:val="24"/>
                <w:szCs w:val="24"/>
                <w:lang w:eastAsia="en-GB"/>
              </w:rPr>
            </w:pPr>
            <w:r w:rsidRPr="00F65968">
              <w:rPr>
                <w:rFonts w:ascii="Calibri" w:eastAsia="Times New Roman" w:hAnsi="Calibri" w:cstheme="minorHAnsi"/>
                <w:b/>
                <w:bCs/>
                <w:color w:val="000000"/>
                <w:sz w:val="24"/>
                <w:szCs w:val="24"/>
                <w:lang w:eastAsia="en-GB"/>
              </w:rPr>
              <w:t>Estimated Cash flow</w:t>
            </w:r>
          </w:p>
        </w:tc>
        <w:tc>
          <w:tcPr>
            <w:tcW w:w="1720" w:type="dxa"/>
            <w:tcBorders>
              <w:top w:val="single" w:sz="8" w:space="0" w:color="auto"/>
              <w:left w:val="nil"/>
              <w:bottom w:val="nil"/>
              <w:right w:val="single" w:sz="8" w:space="0" w:color="auto"/>
            </w:tcBorders>
            <w:shd w:val="clear" w:color="auto" w:fill="auto"/>
            <w:vAlign w:val="center"/>
            <w:hideMark/>
          </w:tcPr>
          <w:p w:rsidR="00F65968" w:rsidRPr="00F65968" w:rsidRDefault="00F65968" w:rsidP="00F65968">
            <w:pPr>
              <w:spacing w:after="0" w:line="240" w:lineRule="auto"/>
              <w:jc w:val="center"/>
              <w:rPr>
                <w:rFonts w:ascii="Calibri" w:eastAsia="Times New Roman" w:hAnsi="Calibri" w:cs="Calibri"/>
                <w:b/>
                <w:bCs/>
                <w:color w:val="000000"/>
                <w:sz w:val="24"/>
                <w:szCs w:val="24"/>
                <w:lang w:eastAsia="en-GB"/>
              </w:rPr>
            </w:pPr>
            <w:r w:rsidRPr="00F65968">
              <w:rPr>
                <w:rFonts w:ascii="Calibri" w:eastAsia="Times New Roman" w:hAnsi="Calibri" w:cstheme="minorHAnsi"/>
                <w:b/>
                <w:bCs/>
                <w:color w:val="000000"/>
                <w:sz w:val="24"/>
                <w:szCs w:val="24"/>
                <w:lang w:eastAsia="en-GB"/>
              </w:rPr>
              <w:t>Cumulative Cash flow</w:t>
            </w:r>
          </w:p>
        </w:tc>
      </w:tr>
      <w:tr w:rsidR="00F65968" w:rsidRPr="00F65968" w:rsidTr="00F65968">
        <w:trPr>
          <w:trHeight w:val="645"/>
        </w:trPr>
        <w:tc>
          <w:tcPr>
            <w:tcW w:w="960" w:type="dxa"/>
            <w:vMerge/>
            <w:tcBorders>
              <w:top w:val="single" w:sz="8" w:space="0" w:color="auto"/>
              <w:left w:val="single" w:sz="8" w:space="0" w:color="auto"/>
              <w:bottom w:val="single" w:sz="8" w:space="0" w:color="000000"/>
              <w:right w:val="single" w:sz="8" w:space="0" w:color="auto"/>
            </w:tcBorders>
            <w:vAlign w:val="center"/>
            <w:hideMark/>
          </w:tcPr>
          <w:p w:rsidR="00F65968" w:rsidRPr="00F65968" w:rsidRDefault="00F65968" w:rsidP="00F65968">
            <w:pPr>
              <w:spacing w:after="0" w:line="240" w:lineRule="auto"/>
              <w:rPr>
                <w:rFonts w:ascii="Calibri" w:eastAsia="Times New Roman" w:hAnsi="Calibri" w:cs="Calibri"/>
                <w:b/>
                <w:bCs/>
                <w:color w:val="000000"/>
                <w:sz w:val="24"/>
                <w:szCs w:val="24"/>
                <w:lang w:eastAsia="en-GB"/>
              </w:rPr>
            </w:pP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center"/>
              <w:rPr>
                <w:rFonts w:ascii="Calibri" w:eastAsia="Times New Roman" w:hAnsi="Calibri" w:cs="Calibri"/>
                <w:b/>
                <w:bCs/>
                <w:color w:val="000000"/>
                <w:sz w:val="24"/>
                <w:szCs w:val="24"/>
                <w:lang w:eastAsia="en-GB"/>
              </w:rPr>
            </w:pPr>
            <w:r w:rsidRPr="00F65968">
              <w:rPr>
                <w:rFonts w:ascii="Calibri" w:eastAsia="Times New Roman" w:hAnsi="Calibri" w:cstheme="minorHAnsi"/>
                <w:b/>
                <w:bCs/>
                <w:color w:val="000000"/>
                <w:sz w:val="24"/>
                <w:szCs w:val="24"/>
                <w:lang w:eastAsia="en-GB"/>
              </w:rPr>
              <w:t>Project A (£m)</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center"/>
              <w:rPr>
                <w:rFonts w:ascii="Calibri" w:eastAsia="Times New Roman" w:hAnsi="Calibri" w:cs="Calibri"/>
                <w:b/>
                <w:bCs/>
                <w:color w:val="000000"/>
                <w:sz w:val="24"/>
                <w:szCs w:val="24"/>
                <w:lang w:eastAsia="en-GB"/>
              </w:rPr>
            </w:pPr>
            <w:r w:rsidRPr="00F65968">
              <w:rPr>
                <w:rFonts w:ascii="Calibri" w:eastAsia="Times New Roman" w:hAnsi="Calibri" w:cstheme="minorHAnsi"/>
                <w:b/>
                <w:bCs/>
                <w:color w:val="000000"/>
                <w:sz w:val="24"/>
                <w:szCs w:val="24"/>
                <w:lang w:eastAsia="en-GB"/>
              </w:rPr>
              <w:t>Project A (£m)</w:t>
            </w:r>
          </w:p>
        </w:tc>
        <w:tc>
          <w:tcPr>
            <w:tcW w:w="166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center"/>
              <w:rPr>
                <w:rFonts w:ascii="Calibri" w:eastAsia="Times New Roman" w:hAnsi="Calibri" w:cs="Calibri"/>
                <w:b/>
                <w:bCs/>
                <w:color w:val="000000"/>
                <w:sz w:val="24"/>
                <w:szCs w:val="24"/>
                <w:lang w:eastAsia="en-GB"/>
              </w:rPr>
            </w:pPr>
            <w:r w:rsidRPr="00F65968">
              <w:rPr>
                <w:rFonts w:ascii="Calibri" w:eastAsia="Times New Roman" w:hAnsi="Calibri" w:cstheme="minorHAnsi"/>
                <w:b/>
                <w:bCs/>
                <w:color w:val="000000"/>
                <w:sz w:val="24"/>
                <w:szCs w:val="24"/>
                <w:lang w:eastAsia="en-GB"/>
              </w:rPr>
              <w:t>Project B (£m)</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center"/>
              <w:rPr>
                <w:rFonts w:ascii="Calibri" w:eastAsia="Times New Roman" w:hAnsi="Calibri" w:cs="Calibri"/>
                <w:b/>
                <w:bCs/>
                <w:color w:val="000000"/>
                <w:sz w:val="24"/>
                <w:szCs w:val="24"/>
                <w:lang w:eastAsia="en-GB"/>
              </w:rPr>
            </w:pPr>
            <w:r w:rsidRPr="00F65968">
              <w:rPr>
                <w:rFonts w:ascii="Calibri" w:eastAsia="Times New Roman" w:hAnsi="Calibri" w:cstheme="minorHAnsi"/>
                <w:b/>
                <w:bCs/>
                <w:color w:val="000000"/>
                <w:sz w:val="24"/>
                <w:szCs w:val="24"/>
                <w:lang w:eastAsia="en-GB"/>
              </w:rPr>
              <w:t>Project B (£m)</w:t>
            </w:r>
          </w:p>
        </w:tc>
      </w:tr>
      <w:tr w:rsidR="00F65968" w:rsidRPr="00F65968" w:rsidTr="00F65968">
        <w:trPr>
          <w:trHeight w:val="330"/>
        </w:trPr>
        <w:tc>
          <w:tcPr>
            <w:tcW w:w="960" w:type="dxa"/>
            <w:tcBorders>
              <w:top w:val="nil"/>
              <w:left w:val="single" w:sz="8" w:space="0" w:color="auto"/>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0</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-103</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-103</w:t>
            </w:r>
          </w:p>
        </w:tc>
        <w:tc>
          <w:tcPr>
            <w:tcW w:w="166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-115</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-115</w:t>
            </w:r>
          </w:p>
        </w:tc>
      </w:tr>
      <w:tr w:rsidR="00F65968" w:rsidRPr="00F65968" w:rsidTr="00F65968">
        <w:trPr>
          <w:trHeight w:val="330"/>
        </w:trPr>
        <w:tc>
          <w:tcPr>
            <w:tcW w:w="960" w:type="dxa"/>
            <w:tcBorders>
              <w:top w:val="nil"/>
              <w:left w:val="single" w:sz="8" w:space="0" w:color="auto"/>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1</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10</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-93</w:t>
            </w:r>
          </w:p>
        </w:tc>
        <w:tc>
          <w:tcPr>
            <w:tcW w:w="166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60</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-55</w:t>
            </w:r>
          </w:p>
        </w:tc>
      </w:tr>
      <w:tr w:rsidR="00F65968" w:rsidRPr="00F65968" w:rsidTr="00F65968">
        <w:trPr>
          <w:trHeight w:val="330"/>
        </w:trPr>
        <w:tc>
          <w:tcPr>
            <w:tcW w:w="960" w:type="dxa"/>
            <w:tcBorders>
              <w:top w:val="nil"/>
              <w:left w:val="single" w:sz="8" w:space="0" w:color="auto"/>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2</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30</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-63</w:t>
            </w:r>
          </w:p>
        </w:tc>
        <w:tc>
          <w:tcPr>
            <w:tcW w:w="166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40</w:t>
            </w:r>
          </w:p>
        </w:tc>
        <w:tc>
          <w:tcPr>
            <w:tcW w:w="1720" w:type="dxa"/>
            <w:tcBorders>
              <w:top w:val="nil"/>
              <w:left w:val="nil"/>
              <w:bottom w:val="single" w:sz="8" w:space="0" w:color="auto"/>
              <w:right w:val="single" w:sz="8" w:space="0" w:color="auto"/>
            </w:tcBorders>
            <w:shd w:val="clear" w:color="auto" w:fill="FFFF00"/>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-15</w:t>
            </w:r>
          </w:p>
        </w:tc>
      </w:tr>
      <w:tr w:rsidR="00F65968" w:rsidRPr="00F65968" w:rsidTr="00F65968">
        <w:trPr>
          <w:trHeight w:val="330"/>
        </w:trPr>
        <w:tc>
          <w:tcPr>
            <w:tcW w:w="960" w:type="dxa"/>
            <w:tcBorders>
              <w:top w:val="nil"/>
              <w:left w:val="single" w:sz="8" w:space="0" w:color="auto"/>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3</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50</w:t>
            </w:r>
          </w:p>
        </w:tc>
        <w:tc>
          <w:tcPr>
            <w:tcW w:w="1720" w:type="dxa"/>
            <w:tcBorders>
              <w:top w:val="nil"/>
              <w:left w:val="nil"/>
              <w:bottom w:val="single" w:sz="8" w:space="0" w:color="auto"/>
              <w:right w:val="single" w:sz="8" w:space="0" w:color="auto"/>
            </w:tcBorders>
            <w:shd w:val="clear" w:color="auto" w:fill="FFFF00"/>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-13</w:t>
            </w:r>
          </w:p>
        </w:tc>
        <w:tc>
          <w:tcPr>
            <w:tcW w:w="166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60</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45</w:t>
            </w:r>
          </w:p>
        </w:tc>
      </w:tr>
      <w:tr w:rsidR="00F65968" w:rsidRPr="00F65968" w:rsidTr="00F9075D">
        <w:trPr>
          <w:trHeight w:val="330"/>
        </w:trPr>
        <w:tc>
          <w:tcPr>
            <w:tcW w:w="960" w:type="dxa"/>
            <w:tcBorders>
              <w:top w:val="nil"/>
              <w:left w:val="single" w:sz="8" w:space="0" w:color="auto"/>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4</w:t>
            </w:r>
          </w:p>
        </w:tc>
        <w:tc>
          <w:tcPr>
            <w:tcW w:w="172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65</w:t>
            </w:r>
          </w:p>
        </w:tc>
        <w:tc>
          <w:tcPr>
            <w:tcW w:w="1720" w:type="dxa"/>
            <w:tcBorders>
              <w:top w:val="nil"/>
              <w:left w:val="nil"/>
              <w:bottom w:val="single" w:sz="8" w:space="0" w:color="auto"/>
              <w:right w:val="single" w:sz="8" w:space="0" w:color="auto"/>
            </w:tcBorders>
            <w:shd w:val="clear" w:color="auto" w:fill="FFFFFF" w:themeFill="background1"/>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52</w:t>
            </w:r>
          </w:p>
        </w:tc>
        <w:tc>
          <w:tcPr>
            <w:tcW w:w="1660" w:type="dxa"/>
            <w:tcBorders>
              <w:top w:val="nil"/>
              <w:left w:val="nil"/>
              <w:bottom w:val="single" w:sz="8" w:space="0" w:color="auto"/>
              <w:right w:val="single" w:sz="8" w:space="0" w:color="auto"/>
            </w:tcBorders>
            <w:shd w:val="clear" w:color="auto" w:fill="auto"/>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theme="minorHAnsi"/>
                <w:color w:val="000000"/>
                <w:sz w:val="24"/>
                <w:szCs w:val="24"/>
                <w:lang w:eastAsia="en-GB"/>
              </w:rPr>
              <w:t>5</w:t>
            </w:r>
          </w:p>
        </w:tc>
        <w:tc>
          <w:tcPr>
            <w:tcW w:w="1720" w:type="dxa"/>
            <w:tcBorders>
              <w:top w:val="nil"/>
              <w:left w:val="nil"/>
              <w:bottom w:val="single" w:sz="8" w:space="0" w:color="auto"/>
              <w:right w:val="single" w:sz="8" w:space="0" w:color="auto"/>
            </w:tcBorders>
            <w:shd w:val="clear" w:color="auto" w:fill="FFFFFF" w:themeFill="background1"/>
            <w:vAlign w:val="center"/>
            <w:hideMark/>
          </w:tcPr>
          <w:p w:rsidR="00F65968" w:rsidRPr="00F65968" w:rsidRDefault="00F65968" w:rsidP="00F65968">
            <w:pPr>
              <w:spacing w:after="0" w:line="240" w:lineRule="auto"/>
              <w:jc w:val="both"/>
              <w:rPr>
                <w:rFonts w:ascii="Calibri" w:eastAsia="Times New Roman" w:hAnsi="Calibri" w:cs="Calibri"/>
                <w:color w:val="000000"/>
                <w:sz w:val="24"/>
                <w:szCs w:val="24"/>
                <w:lang w:eastAsia="en-GB"/>
              </w:rPr>
            </w:pPr>
            <w:r w:rsidRPr="00F65968">
              <w:rPr>
                <w:rFonts w:ascii="Calibri" w:eastAsia="Times New Roman" w:hAnsi="Calibri" w:cs="Calibri"/>
                <w:color w:val="000000"/>
                <w:sz w:val="24"/>
                <w:szCs w:val="24"/>
                <w:lang w:eastAsia="en-GB"/>
              </w:rPr>
              <w:t>50</w:t>
            </w:r>
          </w:p>
        </w:tc>
      </w:tr>
    </w:tbl>
    <w:p w:rsidR="00CB7FC0" w:rsidRDefault="00CB7FC0" w:rsidP="0073699A">
      <w:pPr>
        <w:jc w:val="both"/>
        <w:rPr>
          <w:sz w:val="24"/>
          <w:szCs w:val="24"/>
        </w:rPr>
      </w:pPr>
    </w:p>
    <w:p w:rsidR="00BD1B1D" w:rsidRDefault="00BD1B1D" w:rsidP="0073699A">
      <w:pPr>
        <w:jc w:val="both"/>
        <w:rPr>
          <w:sz w:val="24"/>
          <w:szCs w:val="24"/>
        </w:rPr>
      </w:pPr>
      <w:r>
        <w:rPr>
          <w:sz w:val="24"/>
          <w:szCs w:val="24"/>
        </w:rPr>
        <w:t>For project A, at the end of year 3 there are still necessary 13 £m to reach the break-even point. Therefore, that point will occur during year 4. To calculate the exact period of time we use this formula:</w:t>
      </w:r>
    </w:p>
    <w:p w:rsidR="00BD1B1D" w:rsidRPr="00064706" w:rsidRDefault="00BD1B1D" w:rsidP="0073699A">
      <w:pPr>
        <w:jc w:val="both"/>
        <w:rPr>
          <w:b/>
          <w:sz w:val="24"/>
          <w:szCs w:val="24"/>
        </w:rPr>
      </w:pPr>
      <w:r w:rsidRPr="00064706">
        <w:rPr>
          <w:b/>
          <w:sz w:val="24"/>
          <w:szCs w:val="24"/>
        </w:rPr>
        <w:t>PBP</w:t>
      </w:r>
      <w:r w:rsidR="00064706" w:rsidRPr="00064706">
        <w:rPr>
          <w:b/>
          <w:sz w:val="24"/>
          <w:szCs w:val="24"/>
          <w:vertAlign w:val="subscript"/>
        </w:rPr>
        <w:t>A</w:t>
      </w:r>
      <w:r w:rsidRPr="00064706">
        <w:rPr>
          <w:b/>
          <w:sz w:val="24"/>
          <w:szCs w:val="24"/>
        </w:rPr>
        <w:t xml:space="preserve">= 3years + </w:t>
      </w:r>
      <m:oMath>
        <m:f>
          <m:fPr>
            <m:ctrlPr>
              <w:rPr>
                <w:rFonts w:ascii="Cambria Math" w:hAnsi="Cambria Math" w:cstheme="minorHAnsi"/>
                <w:b/>
                <w:i/>
                <w:sz w:val="24"/>
                <w:szCs w:val="24"/>
              </w:rPr>
            </m:ctrlPr>
          </m:fPr>
          <m:num>
            <m:r>
              <m:rPr>
                <m:sty m:val="bi"/>
              </m:rPr>
              <w:rPr>
                <w:rFonts w:ascii="Cambria Math" w:hAnsi="Cambria Math" w:cstheme="minorHAnsi"/>
                <w:sz w:val="24"/>
                <w:szCs w:val="24"/>
              </w:rPr>
              <m:t>13</m:t>
            </m:r>
          </m:num>
          <m:den>
            <m:r>
              <m:rPr>
                <m:sty m:val="bi"/>
              </m:rPr>
              <w:rPr>
                <w:rFonts w:ascii="Cambria Math" w:hAnsi="Cambria Math" w:cstheme="minorHAnsi"/>
                <w:sz w:val="24"/>
                <w:szCs w:val="24"/>
              </w:rPr>
              <m:t>65</m:t>
            </m:r>
          </m:den>
        </m:f>
        <m:r>
          <m:rPr>
            <m:sty m:val="b"/>
          </m:rPr>
          <w:rPr>
            <w:rFonts w:ascii="Cambria Math" w:hAnsi="Cambria Math" w:cstheme="minorHAnsi"/>
            <w:sz w:val="24"/>
            <w:szCs w:val="24"/>
          </w:rPr>
          <m:t>years</m:t>
        </m:r>
      </m:oMath>
      <w:r w:rsidRPr="00064706">
        <w:rPr>
          <w:b/>
          <w:sz w:val="24"/>
          <w:szCs w:val="24"/>
        </w:rPr>
        <w:t xml:space="preserve"> </w:t>
      </w:r>
      <w:r w:rsidR="00064706" w:rsidRPr="00064706">
        <w:rPr>
          <w:b/>
          <w:sz w:val="24"/>
          <w:szCs w:val="24"/>
        </w:rPr>
        <w:t>= 3 + 0.2 = 3.2 years</w:t>
      </w:r>
    </w:p>
    <w:p w:rsidR="00CB7FC0" w:rsidRDefault="00064706" w:rsidP="0073699A">
      <w:pPr>
        <w:jc w:val="both"/>
        <w:rPr>
          <w:sz w:val="24"/>
          <w:szCs w:val="24"/>
        </w:rPr>
      </w:pPr>
      <w:r>
        <w:rPr>
          <w:sz w:val="24"/>
          <w:szCs w:val="24"/>
        </w:rPr>
        <w:t>Where 65 is the total cash inflow at the end of year 4.</w:t>
      </w:r>
    </w:p>
    <w:p w:rsidR="00064706" w:rsidRDefault="00064706" w:rsidP="00064706">
      <w:pPr>
        <w:jc w:val="both"/>
        <w:rPr>
          <w:sz w:val="24"/>
          <w:szCs w:val="24"/>
        </w:rPr>
      </w:pPr>
      <w:r>
        <w:rPr>
          <w:sz w:val="24"/>
          <w:szCs w:val="24"/>
        </w:rPr>
        <w:t>For project B, at the end of year 2 there are still necessary 15 £m to reach the break-even point. Therefore, that point will occur during year 3. To calculate the exact period of time we use this formula:</w:t>
      </w:r>
    </w:p>
    <w:p w:rsidR="00064706" w:rsidRPr="00064706" w:rsidRDefault="00064706" w:rsidP="00064706">
      <w:pPr>
        <w:jc w:val="both"/>
        <w:rPr>
          <w:b/>
          <w:sz w:val="24"/>
          <w:szCs w:val="24"/>
        </w:rPr>
      </w:pPr>
      <w:r w:rsidRPr="00064706">
        <w:rPr>
          <w:b/>
          <w:sz w:val="24"/>
          <w:szCs w:val="24"/>
        </w:rPr>
        <w:t>PBP</w:t>
      </w:r>
      <w:r w:rsidRPr="00064706">
        <w:rPr>
          <w:b/>
          <w:sz w:val="24"/>
          <w:szCs w:val="24"/>
          <w:vertAlign w:val="subscript"/>
        </w:rPr>
        <w:t>B</w:t>
      </w:r>
      <w:r w:rsidRPr="00064706">
        <w:rPr>
          <w:b/>
          <w:sz w:val="24"/>
          <w:szCs w:val="24"/>
        </w:rPr>
        <w:t xml:space="preserve">= 2years + </w:t>
      </w:r>
      <m:oMath>
        <m:f>
          <m:fPr>
            <m:ctrlPr>
              <w:rPr>
                <w:rFonts w:ascii="Cambria Math" w:hAnsi="Cambria Math" w:cstheme="minorHAnsi"/>
                <w:b/>
                <w:i/>
                <w:sz w:val="24"/>
                <w:szCs w:val="24"/>
              </w:rPr>
            </m:ctrlPr>
          </m:fPr>
          <m:num>
            <m:r>
              <m:rPr>
                <m:sty m:val="bi"/>
              </m:rPr>
              <w:rPr>
                <w:rFonts w:ascii="Cambria Math" w:hAnsi="Cambria Math" w:cstheme="minorHAnsi"/>
                <w:sz w:val="24"/>
                <w:szCs w:val="24"/>
              </w:rPr>
              <m:t>15</m:t>
            </m:r>
          </m:num>
          <m:den>
            <m:r>
              <m:rPr>
                <m:sty m:val="bi"/>
              </m:rPr>
              <w:rPr>
                <w:rFonts w:ascii="Cambria Math" w:hAnsi="Cambria Math" w:cstheme="minorHAnsi"/>
                <w:sz w:val="24"/>
                <w:szCs w:val="24"/>
              </w:rPr>
              <m:t>60</m:t>
            </m:r>
          </m:den>
        </m:f>
        <m:r>
          <m:rPr>
            <m:sty m:val="b"/>
          </m:rPr>
          <w:rPr>
            <w:rFonts w:ascii="Cambria Math" w:hAnsi="Cambria Math" w:cstheme="minorHAnsi"/>
            <w:sz w:val="24"/>
            <w:szCs w:val="24"/>
          </w:rPr>
          <m:t>years</m:t>
        </m:r>
      </m:oMath>
      <w:r w:rsidRPr="00064706">
        <w:rPr>
          <w:b/>
          <w:sz w:val="24"/>
          <w:szCs w:val="24"/>
        </w:rPr>
        <w:t xml:space="preserve"> = 2 + 0.25 = 2.25 years</w:t>
      </w:r>
    </w:p>
    <w:p w:rsidR="00064706" w:rsidRDefault="00064706" w:rsidP="00064706">
      <w:pPr>
        <w:jc w:val="both"/>
        <w:rPr>
          <w:sz w:val="24"/>
          <w:szCs w:val="24"/>
        </w:rPr>
      </w:pPr>
      <w:r>
        <w:rPr>
          <w:sz w:val="24"/>
          <w:szCs w:val="24"/>
        </w:rPr>
        <w:t xml:space="preserve">Where 60 is the total cash inflow at the end of year </w:t>
      </w:r>
      <w:r w:rsidR="00DB406F">
        <w:rPr>
          <w:sz w:val="24"/>
          <w:szCs w:val="24"/>
        </w:rPr>
        <w:t>3</w:t>
      </w:r>
      <w:r>
        <w:rPr>
          <w:sz w:val="24"/>
          <w:szCs w:val="24"/>
        </w:rPr>
        <w:t>.</w:t>
      </w:r>
    </w:p>
    <w:p w:rsidR="00DB406F" w:rsidRDefault="00DB406F" w:rsidP="0073699A">
      <w:pPr>
        <w:jc w:val="both"/>
        <w:rPr>
          <w:sz w:val="24"/>
          <w:szCs w:val="24"/>
        </w:rPr>
      </w:pPr>
      <w:r w:rsidRPr="00DB406F">
        <w:rPr>
          <w:sz w:val="24"/>
          <w:szCs w:val="24"/>
        </w:rPr>
        <w:t>A shorter period means that companies earn their money back faster and spend it in something else. Maximize the amount of investments with the same amount of cash</w:t>
      </w:r>
      <w:r>
        <w:rPr>
          <w:sz w:val="24"/>
          <w:szCs w:val="24"/>
        </w:rPr>
        <w:t>. From this point of view, the Project B is better.</w:t>
      </w:r>
    </w:p>
    <w:p w:rsidR="00DB406F" w:rsidRPr="00DB406F" w:rsidRDefault="00DB406F" w:rsidP="00300A03">
      <w:pPr>
        <w:pStyle w:val="Heading1"/>
        <w:spacing w:after="100" w:afterAutospacing="1"/>
      </w:pPr>
      <w:bookmarkStart w:id="21" w:name="_Toc30151591"/>
      <w:r w:rsidRPr="00DB406F">
        <w:t>Accounting Rate of return (ARR)</w:t>
      </w:r>
      <w:bookmarkEnd w:id="21"/>
    </w:p>
    <w:p w:rsidR="00DB406F" w:rsidRDefault="009E293C" w:rsidP="0073699A">
      <w:pPr>
        <w:jc w:val="both"/>
        <w:rPr>
          <w:sz w:val="24"/>
          <w:szCs w:val="24"/>
        </w:rPr>
      </w:pPr>
      <w:r w:rsidRPr="009E293C">
        <w:rPr>
          <w:sz w:val="24"/>
          <w:szCs w:val="24"/>
        </w:rPr>
        <w:t>The accounting rate of return (ARR) is an investment formulation used to measure the annual earnings or profit that an in</w:t>
      </w:r>
      <w:r>
        <w:rPr>
          <w:sz w:val="24"/>
          <w:szCs w:val="24"/>
        </w:rPr>
        <w:t xml:space="preserve">vestment is anticipated to make </w:t>
      </w:r>
      <w:sdt>
        <w:sdtPr>
          <w:rPr>
            <w:sz w:val="24"/>
            <w:szCs w:val="24"/>
          </w:rPr>
          <w:id w:val="-1367594380"/>
          <w:citation/>
        </w:sdtPr>
        <w:sdtEndPr/>
        <w:sdtContent>
          <w:r>
            <w:rPr>
              <w:sz w:val="24"/>
              <w:szCs w:val="24"/>
            </w:rPr>
            <w:fldChar w:fldCharType="begin"/>
          </w:r>
          <w:r>
            <w:rPr>
              <w:sz w:val="24"/>
              <w:szCs w:val="24"/>
            </w:rPr>
            <w:instrText xml:space="preserve"> CITATION Far10 \l 2057 </w:instrText>
          </w:r>
          <w:r>
            <w:rPr>
              <w:sz w:val="24"/>
              <w:szCs w:val="24"/>
            </w:rPr>
            <w:fldChar w:fldCharType="separate"/>
          </w:r>
          <w:r w:rsidR="00C1213C" w:rsidRPr="00C1213C">
            <w:rPr>
              <w:noProof/>
              <w:sz w:val="24"/>
              <w:szCs w:val="24"/>
            </w:rPr>
            <w:t>(Farris, et al., 2010)</w:t>
          </w:r>
          <w:r>
            <w:rPr>
              <w:sz w:val="24"/>
              <w:szCs w:val="24"/>
            </w:rPr>
            <w:fldChar w:fldCharType="end"/>
          </w:r>
        </w:sdtContent>
      </w:sdt>
      <w:r>
        <w:rPr>
          <w:sz w:val="24"/>
          <w:szCs w:val="24"/>
        </w:rPr>
        <w:t>.</w:t>
      </w:r>
      <w:r w:rsidR="00F61868" w:rsidRPr="00F61868">
        <w:t xml:space="preserve"> </w:t>
      </w:r>
      <w:r w:rsidR="00F61868" w:rsidRPr="00F61868">
        <w:rPr>
          <w:sz w:val="24"/>
          <w:szCs w:val="24"/>
        </w:rPr>
        <w:t>The higher the ARR, the more appealing the investment when comparing investments. More than half of large firms measure ARR when evaluating projects</w:t>
      </w:r>
      <w:r w:rsidR="00F61868">
        <w:rPr>
          <w:sz w:val="24"/>
          <w:szCs w:val="24"/>
        </w:rPr>
        <w:t xml:space="preserve"> </w:t>
      </w:r>
      <w:sdt>
        <w:sdtPr>
          <w:rPr>
            <w:sz w:val="24"/>
            <w:szCs w:val="24"/>
          </w:rPr>
          <w:id w:val="-881630512"/>
          <w:citation/>
        </w:sdtPr>
        <w:sdtEndPr/>
        <w:sdtContent>
          <w:r w:rsidR="00F61868">
            <w:rPr>
              <w:sz w:val="24"/>
              <w:szCs w:val="24"/>
            </w:rPr>
            <w:fldChar w:fldCharType="begin"/>
          </w:r>
          <w:r w:rsidR="00F61868">
            <w:rPr>
              <w:sz w:val="24"/>
              <w:szCs w:val="24"/>
            </w:rPr>
            <w:instrText xml:space="preserve"> CITATION Gle13 \l 2057 </w:instrText>
          </w:r>
          <w:r w:rsidR="00F61868">
            <w:rPr>
              <w:sz w:val="24"/>
              <w:szCs w:val="24"/>
            </w:rPr>
            <w:fldChar w:fldCharType="separate"/>
          </w:r>
          <w:r w:rsidR="00C1213C" w:rsidRPr="00C1213C">
            <w:rPr>
              <w:noProof/>
              <w:sz w:val="24"/>
              <w:szCs w:val="24"/>
            </w:rPr>
            <w:t>(Glen, 2013)</w:t>
          </w:r>
          <w:r w:rsidR="00F61868">
            <w:rPr>
              <w:sz w:val="24"/>
              <w:szCs w:val="24"/>
            </w:rPr>
            <w:fldChar w:fldCharType="end"/>
          </w:r>
        </w:sdtContent>
      </w:sdt>
      <w:r w:rsidR="00F61868">
        <w:rPr>
          <w:sz w:val="24"/>
          <w:szCs w:val="24"/>
        </w:rPr>
        <w:t>.</w:t>
      </w:r>
      <w:r w:rsidR="008E7998">
        <w:rPr>
          <w:sz w:val="24"/>
          <w:szCs w:val="24"/>
        </w:rPr>
        <w:t xml:space="preserve"> To calculate ARR we use the following formula:</w:t>
      </w:r>
    </w:p>
    <w:p w:rsidR="008E7998" w:rsidRDefault="008E7998" w:rsidP="00E77508">
      <w:pPr>
        <w:spacing w:line="240" w:lineRule="auto"/>
        <w:jc w:val="both"/>
        <w:rPr>
          <w:rFonts w:eastAsiaTheme="minorEastAsia"/>
          <w:b/>
          <w:sz w:val="24"/>
          <w:szCs w:val="24"/>
        </w:rPr>
      </w:pPr>
      <m:oMath>
        <m:r>
          <m:rPr>
            <m:sty m:val="b"/>
          </m:rPr>
          <w:rPr>
            <w:rFonts w:ascii="Cambria Math" w:hAnsi="Cambria Math"/>
            <w:sz w:val="24"/>
            <w:szCs w:val="24"/>
          </w:rPr>
          <m:t>ARR=</m:t>
        </m:r>
        <m:f>
          <m:fPr>
            <m:ctrlPr>
              <w:rPr>
                <w:rFonts w:ascii="Cambria Math" w:hAnsi="Cambria Math"/>
                <w:b/>
                <w:sz w:val="24"/>
                <w:szCs w:val="24"/>
              </w:rPr>
            </m:ctrlPr>
          </m:fPr>
          <m:num>
            <m:f>
              <m:fPr>
                <m:ctrlPr>
                  <w:rPr>
                    <w:rFonts w:ascii="Cambria Math" w:hAnsi="Cambria Math"/>
                    <w:b/>
                    <w:sz w:val="24"/>
                    <w:szCs w:val="24"/>
                  </w:rPr>
                </m:ctrlPr>
              </m:fPr>
              <m:num>
                <m:r>
                  <m:rPr>
                    <m:sty m:val="b"/>
                  </m:rPr>
                  <w:rPr>
                    <w:rFonts w:ascii="Cambria Math" w:hAnsi="Cambria Math"/>
                    <w:sz w:val="24"/>
                    <w:szCs w:val="24"/>
                  </w:rPr>
                  <m:t>y1+y2+….+yn</m:t>
                </m:r>
              </m:num>
              <m:den>
                <m:r>
                  <m:rPr>
                    <m:sty m:val="b"/>
                  </m:rPr>
                  <w:rPr>
                    <w:rFonts w:ascii="Cambria Math" w:hAnsi="Cambria Math"/>
                    <w:sz w:val="24"/>
                    <w:szCs w:val="24"/>
                  </w:rPr>
                  <m:t>i</m:t>
                </m:r>
              </m:den>
            </m:f>
          </m:num>
          <m:den>
            <m:r>
              <m:rPr>
                <m:sty m:val="b"/>
              </m:rPr>
              <w:rPr>
                <w:rFonts w:ascii="Cambria Math" w:hAnsi="Cambria Math"/>
                <w:sz w:val="24"/>
                <w:szCs w:val="24"/>
              </w:rPr>
              <m:t>Io</m:t>
            </m:r>
          </m:den>
        </m:f>
        <m:r>
          <m:rPr>
            <m:sty m:val="b"/>
          </m:rPr>
          <w:rPr>
            <w:rFonts w:ascii="Cambria Math" w:hAnsi="Cambria Math"/>
            <w:sz w:val="24"/>
            <w:szCs w:val="24"/>
          </w:rPr>
          <m:t>x</m:t>
        </m:r>
        <m:r>
          <m:rPr>
            <m:sty m:val="bi"/>
          </m:rPr>
          <w:rPr>
            <w:rFonts w:ascii="Cambria Math" w:hAnsi="Cambria Math"/>
            <w:sz w:val="24"/>
            <w:szCs w:val="24"/>
          </w:rPr>
          <m:t xml:space="preserve">100 </m:t>
        </m:r>
      </m:oMath>
      <w:r>
        <w:rPr>
          <w:rFonts w:eastAsiaTheme="minorEastAsia"/>
          <w:b/>
          <w:sz w:val="24"/>
          <w:szCs w:val="24"/>
        </w:rPr>
        <w:tab/>
      </w:r>
      <w:r>
        <w:rPr>
          <w:rFonts w:eastAsiaTheme="minorEastAsia"/>
          <w:b/>
          <w:sz w:val="24"/>
          <w:szCs w:val="24"/>
        </w:rPr>
        <w:tab/>
        <w:t>where y = annual cash flow</w:t>
      </w:r>
    </w:p>
    <w:p w:rsidR="008E7998" w:rsidRDefault="008E7998" w:rsidP="00E77508">
      <w:pPr>
        <w:spacing w:line="240" w:lineRule="auto"/>
        <w:jc w:val="both"/>
        <w:rPr>
          <w:rFonts w:eastAsiaTheme="minorEastAsia"/>
          <w:b/>
          <w:sz w:val="24"/>
          <w:szCs w:val="24"/>
        </w:rPr>
      </w:pPr>
      <w:r>
        <w:rPr>
          <w:rFonts w:eastAsiaTheme="minorEastAsia"/>
          <w:b/>
          <w:sz w:val="24"/>
          <w:szCs w:val="24"/>
        </w:rPr>
        <w:tab/>
      </w:r>
      <w:r>
        <w:rPr>
          <w:rFonts w:eastAsiaTheme="minorEastAsia"/>
          <w:b/>
          <w:sz w:val="24"/>
          <w:szCs w:val="24"/>
        </w:rPr>
        <w:tab/>
      </w:r>
      <w:r>
        <w:rPr>
          <w:rFonts w:eastAsiaTheme="minorEastAsia"/>
          <w:b/>
          <w:sz w:val="24"/>
          <w:szCs w:val="24"/>
        </w:rPr>
        <w:tab/>
      </w:r>
      <w:r>
        <w:rPr>
          <w:rFonts w:eastAsiaTheme="minorEastAsia"/>
          <w:b/>
          <w:sz w:val="24"/>
          <w:szCs w:val="24"/>
        </w:rPr>
        <w:tab/>
        <w:t xml:space="preserve">     </w:t>
      </w:r>
      <w:r>
        <w:rPr>
          <w:rFonts w:eastAsiaTheme="minorEastAsia"/>
          <w:b/>
          <w:sz w:val="24"/>
          <w:szCs w:val="24"/>
        </w:rPr>
        <w:tab/>
      </w:r>
      <w:r>
        <w:rPr>
          <w:rFonts w:eastAsiaTheme="minorEastAsia"/>
          <w:b/>
          <w:sz w:val="24"/>
          <w:szCs w:val="24"/>
        </w:rPr>
        <w:tab/>
      </w:r>
      <w:proofErr w:type="spellStart"/>
      <w:r w:rsidR="00E77508">
        <w:rPr>
          <w:rFonts w:eastAsiaTheme="minorEastAsia"/>
          <w:b/>
          <w:sz w:val="24"/>
          <w:szCs w:val="24"/>
        </w:rPr>
        <w:t>i</w:t>
      </w:r>
      <w:proofErr w:type="spellEnd"/>
      <w:r w:rsidR="00E77508">
        <w:rPr>
          <w:rFonts w:eastAsiaTheme="minorEastAsia"/>
          <w:b/>
          <w:sz w:val="24"/>
          <w:szCs w:val="24"/>
        </w:rPr>
        <w:t xml:space="preserve"> = number of years</w:t>
      </w:r>
    </w:p>
    <w:p w:rsidR="00E77508" w:rsidRPr="008E7998" w:rsidRDefault="00E77508" w:rsidP="00E77508">
      <w:pPr>
        <w:spacing w:line="240" w:lineRule="auto"/>
        <w:jc w:val="both"/>
        <w:rPr>
          <w:b/>
          <w:sz w:val="24"/>
          <w:szCs w:val="24"/>
        </w:rPr>
      </w:pPr>
      <w:r>
        <w:rPr>
          <w:rFonts w:eastAsiaTheme="minorEastAsia"/>
          <w:b/>
          <w:sz w:val="24"/>
          <w:szCs w:val="24"/>
        </w:rPr>
        <w:tab/>
      </w:r>
      <w:r>
        <w:rPr>
          <w:rFonts w:eastAsiaTheme="minorEastAsia"/>
          <w:b/>
          <w:sz w:val="24"/>
          <w:szCs w:val="24"/>
        </w:rPr>
        <w:tab/>
      </w:r>
      <w:r>
        <w:rPr>
          <w:rFonts w:eastAsiaTheme="minorEastAsia"/>
          <w:b/>
          <w:sz w:val="24"/>
          <w:szCs w:val="24"/>
        </w:rPr>
        <w:tab/>
      </w:r>
      <w:r>
        <w:rPr>
          <w:rFonts w:eastAsiaTheme="minorEastAsia"/>
          <w:b/>
          <w:sz w:val="24"/>
          <w:szCs w:val="24"/>
        </w:rPr>
        <w:tab/>
      </w:r>
      <w:r>
        <w:rPr>
          <w:rFonts w:eastAsiaTheme="minorEastAsia"/>
          <w:b/>
          <w:sz w:val="24"/>
          <w:szCs w:val="24"/>
        </w:rPr>
        <w:tab/>
      </w:r>
      <w:r>
        <w:rPr>
          <w:rFonts w:eastAsiaTheme="minorEastAsia"/>
          <w:b/>
          <w:sz w:val="24"/>
          <w:szCs w:val="24"/>
        </w:rPr>
        <w:tab/>
        <w:t>Io = initial investment</w:t>
      </w:r>
    </w:p>
    <w:p w:rsidR="008E7998" w:rsidRDefault="00E77508" w:rsidP="0073699A">
      <w:pPr>
        <w:jc w:val="both"/>
        <w:rPr>
          <w:sz w:val="24"/>
          <w:szCs w:val="24"/>
        </w:rPr>
      </w:pPr>
      <w:r>
        <w:rPr>
          <w:sz w:val="24"/>
          <w:szCs w:val="24"/>
        </w:rPr>
        <w:t>For Project A, ARR is:</w:t>
      </w:r>
    </w:p>
    <w:p w:rsidR="00E77508" w:rsidRDefault="00E77508" w:rsidP="00E77508">
      <w:pPr>
        <w:jc w:val="both"/>
        <w:rPr>
          <w:rFonts w:eastAsiaTheme="minorEastAsia"/>
          <w:b/>
          <w:sz w:val="24"/>
          <w:szCs w:val="24"/>
        </w:rPr>
      </w:pPr>
      <w:r>
        <w:rPr>
          <w:rFonts w:eastAsiaTheme="minorEastAsia"/>
          <w:b/>
          <w:sz w:val="24"/>
          <w:szCs w:val="24"/>
        </w:rPr>
        <w:t>ARR</w:t>
      </w:r>
      <w:r w:rsidRPr="00E77508">
        <w:rPr>
          <w:rFonts w:eastAsiaTheme="minorEastAsia"/>
          <w:b/>
          <w:sz w:val="24"/>
          <w:szCs w:val="24"/>
          <w:vertAlign w:val="subscript"/>
        </w:rPr>
        <w:t>A</w:t>
      </w:r>
      <m:oMath>
        <m:r>
          <m:rPr>
            <m:sty m:val="b"/>
          </m:rPr>
          <w:rPr>
            <w:rFonts w:ascii="Cambria Math" w:hAnsi="Cambria Math"/>
            <w:sz w:val="24"/>
            <w:szCs w:val="24"/>
          </w:rPr>
          <m:t>=</m:t>
        </m:r>
        <m:f>
          <m:fPr>
            <m:ctrlPr>
              <w:rPr>
                <w:rFonts w:ascii="Cambria Math" w:hAnsi="Cambria Math"/>
                <w:b/>
                <w:sz w:val="24"/>
                <w:szCs w:val="24"/>
              </w:rPr>
            </m:ctrlPr>
          </m:fPr>
          <m:num>
            <m:f>
              <m:fPr>
                <m:ctrlPr>
                  <w:rPr>
                    <w:rFonts w:ascii="Cambria Math" w:hAnsi="Cambria Math"/>
                    <w:b/>
                    <w:sz w:val="24"/>
                    <w:szCs w:val="24"/>
                  </w:rPr>
                </m:ctrlPr>
              </m:fPr>
              <m:num>
                <m:r>
                  <m:rPr>
                    <m:sty m:val="b"/>
                  </m:rPr>
                  <w:rPr>
                    <w:rFonts w:ascii="Cambria Math" w:hAnsi="Cambria Math"/>
                    <w:sz w:val="24"/>
                    <w:szCs w:val="24"/>
                  </w:rPr>
                  <m:t>10+30+50+65</m:t>
                </m:r>
              </m:num>
              <m:den>
                <m:r>
                  <m:rPr>
                    <m:sty m:val="b"/>
                  </m:rPr>
                  <w:rPr>
                    <w:rFonts w:ascii="Cambria Math" w:hAnsi="Cambria Math"/>
                    <w:sz w:val="24"/>
                    <w:szCs w:val="24"/>
                  </w:rPr>
                  <m:t>4</m:t>
                </m:r>
              </m:den>
            </m:f>
          </m:num>
          <m:den>
            <m:r>
              <m:rPr>
                <m:sty m:val="b"/>
              </m:rPr>
              <w:rPr>
                <w:rFonts w:ascii="Cambria Math" w:hAnsi="Cambria Math"/>
                <w:sz w:val="24"/>
                <w:szCs w:val="24"/>
              </w:rPr>
              <m:t>103</m:t>
            </m:r>
          </m:den>
        </m:f>
        <m:r>
          <m:rPr>
            <m:sty m:val="b"/>
          </m:rPr>
          <w:rPr>
            <w:rFonts w:ascii="Cambria Math" w:hAnsi="Cambria Math"/>
            <w:sz w:val="24"/>
            <w:szCs w:val="24"/>
          </w:rPr>
          <m:t>x</m:t>
        </m:r>
        <m:r>
          <m:rPr>
            <m:sty m:val="bi"/>
          </m:rPr>
          <w:rPr>
            <w:rFonts w:ascii="Cambria Math" w:hAnsi="Cambria Math"/>
            <w:sz w:val="24"/>
            <w:szCs w:val="24"/>
          </w:rPr>
          <m:t>100</m:t>
        </m:r>
      </m:oMath>
      <w:r>
        <w:rPr>
          <w:rFonts w:eastAsiaTheme="minorEastAsia"/>
          <w:b/>
          <w:sz w:val="24"/>
          <w:szCs w:val="24"/>
        </w:rPr>
        <w:t xml:space="preserve"> = 37.62%</w:t>
      </w:r>
    </w:p>
    <w:p w:rsidR="00E77508" w:rsidRDefault="00E77508" w:rsidP="00E77508">
      <w:pPr>
        <w:jc w:val="both"/>
        <w:rPr>
          <w:rFonts w:eastAsiaTheme="minorEastAsia"/>
          <w:sz w:val="24"/>
          <w:szCs w:val="24"/>
        </w:rPr>
      </w:pPr>
      <w:r>
        <w:rPr>
          <w:rFonts w:eastAsiaTheme="minorEastAsia"/>
          <w:sz w:val="24"/>
          <w:szCs w:val="24"/>
        </w:rPr>
        <w:t>For project B, ARR is:</w:t>
      </w:r>
    </w:p>
    <w:p w:rsidR="00E77508" w:rsidRDefault="00E77508" w:rsidP="00E77508">
      <w:pPr>
        <w:jc w:val="both"/>
        <w:rPr>
          <w:rFonts w:eastAsiaTheme="minorEastAsia"/>
          <w:b/>
          <w:sz w:val="24"/>
          <w:szCs w:val="24"/>
        </w:rPr>
      </w:pPr>
      <w:r>
        <w:rPr>
          <w:rFonts w:eastAsiaTheme="minorEastAsia"/>
          <w:b/>
          <w:sz w:val="24"/>
          <w:szCs w:val="24"/>
        </w:rPr>
        <w:t>ARR</w:t>
      </w:r>
      <w:r w:rsidRPr="00E77508">
        <w:rPr>
          <w:rFonts w:eastAsiaTheme="minorEastAsia"/>
          <w:b/>
          <w:sz w:val="24"/>
          <w:szCs w:val="24"/>
          <w:vertAlign w:val="subscript"/>
        </w:rPr>
        <w:t>B</w:t>
      </w:r>
      <m:oMath>
        <m:r>
          <m:rPr>
            <m:sty m:val="b"/>
          </m:rPr>
          <w:rPr>
            <w:rFonts w:ascii="Cambria Math" w:hAnsi="Cambria Math"/>
            <w:sz w:val="24"/>
            <w:szCs w:val="24"/>
          </w:rPr>
          <m:t>=</m:t>
        </m:r>
        <m:f>
          <m:fPr>
            <m:ctrlPr>
              <w:rPr>
                <w:rFonts w:ascii="Cambria Math" w:hAnsi="Cambria Math"/>
                <w:b/>
                <w:sz w:val="24"/>
                <w:szCs w:val="24"/>
              </w:rPr>
            </m:ctrlPr>
          </m:fPr>
          <m:num>
            <m:f>
              <m:fPr>
                <m:ctrlPr>
                  <w:rPr>
                    <w:rFonts w:ascii="Cambria Math" w:hAnsi="Cambria Math"/>
                    <w:b/>
                    <w:sz w:val="24"/>
                    <w:szCs w:val="24"/>
                  </w:rPr>
                </m:ctrlPr>
              </m:fPr>
              <m:num>
                <m:r>
                  <m:rPr>
                    <m:sty m:val="b"/>
                  </m:rPr>
                  <w:rPr>
                    <w:rFonts w:ascii="Cambria Math" w:hAnsi="Cambria Math"/>
                    <w:sz w:val="24"/>
                    <w:szCs w:val="24"/>
                  </w:rPr>
                  <m:t>60+40+60+5</m:t>
                </m:r>
              </m:num>
              <m:den>
                <m:r>
                  <m:rPr>
                    <m:sty m:val="b"/>
                  </m:rPr>
                  <w:rPr>
                    <w:rFonts w:ascii="Cambria Math" w:hAnsi="Cambria Math"/>
                    <w:sz w:val="24"/>
                    <w:szCs w:val="24"/>
                  </w:rPr>
                  <m:t>4</m:t>
                </m:r>
              </m:den>
            </m:f>
          </m:num>
          <m:den>
            <m:r>
              <m:rPr>
                <m:sty m:val="b"/>
              </m:rPr>
              <w:rPr>
                <w:rFonts w:ascii="Cambria Math" w:hAnsi="Cambria Math"/>
                <w:sz w:val="24"/>
                <w:szCs w:val="24"/>
              </w:rPr>
              <m:t>115</m:t>
            </m:r>
          </m:den>
        </m:f>
        <m:r>
          <m:rPr>
            <m:sty m:val="b"/>
          </m:rPr>
          <w:rPr>
            <w:rFonts w:ascii="Cambria Math" w:hAnsi="Cambria Math"/>
            <w:sz w:val="24"/>
            <w:szCs w:val="24"/>
          </w:rPr>
          <m:t>x</m:t>
        </m:r>
        <m:r>
          <m:rPr>
            <m:sty m:val="bi"/>
          </m:rPr>
          <w:rPr>
            <w:rFonts w:ascii="Cambria Math" w:hAnsi="Cambria Math"/>
            <w:sz w:val="24"/>
            <w:szCs w:val="24"/>
          </w:rPr>
          <m:t>100</m:t>
        </m:r>
      </m:oMath>
      <w:r>
        <w:rPr>
          <w:rFonts w:eastAsiaTheme="minorEastAsia"/>
          <w:b/>
          <w:sz w:val="24"/>
          <w:szCs w:val="24"/>
        </w:rPr>
        <w:t xml:space="preserve"> = 35.87%</w:t>
      </w:r>
    </w:p>
    <w:p w:rsidR="000F6FA8" w:rsidRDefault="00FD5077" w:rsidP="00E77508">
      <w:pPr>
        <w:jc w:val="both"/>
        <w:rPr>
          <w:rFonts w:eastAsiaTheme="minorEastAsia"/>
          <w:sz w:val="24"/>
          <w:szCs w:val="24"/>
        </w:rPr>
      </w:pPr>
      <w:r>
        <w:rPr>
          <w:rFonts w:eastAsiaTheme="minorEastAsia"/>
          <w:sz w:val="24"/>
          <w:szCs w:val="24"/>
        </w:rPr>
        <w:t>The ARR value is higher for project A, and this is an advantage that will be take into consideration at final evaluation.</w:t>
      </w:r>
    </w:p>
    <w:p w:rsidR="00FD5077" w:rsidRDefault="00FD5077" w:rsidP="00300A03">
      <w:pPr>
        <w:pStyle w:val="Heading1"/>
        <w:spacing w:after="100" w:afterAutospacing="1"/>
        <w:rPr>
          <w:rFonts w:eastAsiaTheme="minorEastAsia"/>
        </w:rPr>
      </w:pPr>
      <w:bookmarkStart w:id="22" w:name="_Toc30151592"/>
      <w:r>
        <w:rPr>
          <w:rFonts w:eastAsiaTheme="minorEastAsia"/>
        </w:rPr>
        <w:lastRenderedPageBreak/>
        <w:t>Net Present Value</w:t>
      </w:r>
      <w:r w:rsidR="00541B56">
        <w:rPr>
          <w:rFonts w:eastAsiaTheme="minorEastAsia"/>
        </w:rPr>
        <w:t xml:space="preserve"> (NPV)</w:t>
      </w:r>
      <w:bookmarkEnd w:id="22"/>
    </w:p>
    <w:p w:rsidR="00FD5077" w:rsidRDefault="00FD5077" w:rsidP="00E77508">
      <w:pPr>
        <w:jc w:val="both"/>
        <w:rPr>
          <w:sz w:val="24"/>
          <w:szCs w:val="24"/>
        </w:rPr>
      </w:pPr>
      <w:r w:rsidRPr="00FD5077">
        <w:rPr>
          <w:sz w:val="24"/>
          <w:szCs w:val="24"/>
        </w:rPr>
        <w:t>Net present value, NPV, is a method for capital budgeting that measures the difference between the present value of a project's cash inflows and outflows or future expenditure. In other terms, it is used to calculate the amount of money an investment can produce relative to the calcul</w:t>
      </w:r>
      <w:r w:rsidR="00433978">
        <w:rPr>
          <w:sz w:val="24"/>
          <w:szCs w:val="24"/>
        </w:rPr>
        <w:t xml:space="preserve">ated cost of money's time value </w:t>
      </w:r>
      <w:sdt>
        <w:sdtPr>
          <w:rPr>
            <w:sz w:val="24"/>
            <w:szCs w:val="24"/>
          </w:rPr>
          <w:id w:val="-331691437"/>
          <w:citation/>
        </w:sdtPr>
        <w:sdtEndPr/>
        <w:sdtContent>
          <w:r w:rsidR="00433978">
            <w:rPr>
              <w:sz w:val="24"/>
              <w:szCs w:val="24"/>
            </w:rPr>
            <w:fldChar w:fldCharType="begin"/>
          </w:r>
          <w:r w:rsidR="00433978">
            <w:rPr>
              <w:sz w:val="24"/>
              <w:szCs w:val="24"/>
            </w:rPr>
            <w:instrText xml:space="preserve"> CITATION Far10 \l 2057 </w:instrText>
          </w:r>
          <w:r w:rsidR="00433978">
            <w:rPr>
              <w:sz w:val="24"/>
              <w:szCs w:val="24"/>
            </w:rPr>
            <w:fldChar w:fldCharType="separate"/>
          </w:r>
          <w:r w:rsidR="00C1213C" w:rsidRPr="00C1213C">
            <w:rPr>
              <w:noProof/>
              <w:sz w:val="24"/>
              <w:szCs w:val="24"/>
            </w:rPr>
            <w:t>(Farris, et al., 2010)</w:t>
          </w:r>
          <w:r w:rsidR="00433978">
            <w:rPr>
              <w:sz w:val="24"/>
              <w:szCs w:val="24"/>
            </w:rPr>
            <w:fldChar w:fldCharType="end"/>
          </w:r>
        </w:sdtContent>
      </w:sdt>
      <w:r w:rsidR="00433978">
        <w:rPr>
          <w:sz w:val="24"/>
          <w:szCs w:val="24"/>
        </w:rPr>
        <w:t>.</w:t>
      </w:r>
      <w:r w:rsidR="0004238E">
        <w:rPr>
          <w:sz w:val="24"/>
          <w:szCs w:val="24"/>
        </w:rPr>
        <w:t xml:space="preserve"> Formula for NPV is:</w:t>
      </w:r>
    </w:p>
    <w:p w:rsidR="0004238E" w:rsidRPr="00FD5077" w:rsidRDefault="00541B56" w:rsidP="00E77508">
      <w:pPr>
        <w:jc w:val="both"/>
        <w:rPr>
          <w:sz w:val="24"/>
          <w:szCs w:val="24"/>
        </w:rPr>
      </w:pPr>
      <w:r>
        <w:rPr>
          <w:rFonts w:eastAsiaTheme="minorEastAsia"/>
          <w:b/>
          <w:sz w:val="24"/>
          <w:szCs w:val="24"/>
        </w:rPr>
        <w:t>NPV</w:t>
      </w:r>
      <m:oMath>
        <m:r>
          <m:rPr>
            <m:sty m:val="bi"/>
          </m:rPr>
          <w:rPr>
            <w:rFonts w:ascii="Cambria Math" w:hAnsi="Cambria Math"/>
            <w:sz w:val="24"/>
            <w:szCs w:val="24"/>
          </w:rPr>
          <m:t>=</m:t>
        </m:r>
        <m:nary>
          <m:naryPr>
            <m:chr m:val="∑"/>
            <m:limLoc m:val="undOvr"/>
            <m:ctrlPr>
              <w:rPr>
                <w:rFonts w:ascii="Cambria Math" w:hAnsi="Cambria Math"/>
                <w:b/>
                <w:i/>
                <w:sz w:val="24"/>
                <w:szCs w:val="24"/>
              </w:rPr>
            </m:ctrlPr>
          </m:naryPr>
          <m:sub>
            <m:r>
              <m:rPr>
                <m:sty m:val="bi"/>
              </m:rPr>
              <w:rPr>
                <w:rFonts w:ascii="Cambria Math" w:hAnsi="Cambria Math"/>
                <w:sz w:val="24"/>
                <w:szCs w:val="24"/>
              </w:rPr>
              <m:t>t-1</m:t>
            </m:r>
          </m:sub>
          <m:sup>
            <m:r>
              <m:rPr>
                <m:sty m:val="bi"/>
              </m:rPr>
              <w:rPr>
                <w:rFonts w:ascii="Cambria Math" w:hAnsi="Cambria Math"/>
                <w:sz w:val="24"/>
                <w:szCs w:val="24"/>
              </w:rPr>
              <m:t>T</m:t>
            </m:r>
          </m:sup>
          <m:e>
            <m:f>
              <m:fPr>
                <m:ctrlPr>
                  <w:rPr>
                    <w:rFonts w:ascii="Cambria Math" w:hAnsi="Cambria Math"/>
                    <w:b/>
                    <w:i/>
                    <w:sz w:val="24"/>
                    <w:szCs w:val="24"/>
                  </w:rPr>
                </m:ctrlPr>
              </m:fPr>
              <m:num>
                <m:sSub>
                  <m:sSubPr>
                    <m:ctrlPr>
                      <w:rPr>
                        <w:rFonts w:ascii="Cambria Math" w:hAnsi="Cambria Math"/>
                        <w:b/>
                        <w:i/>
                        <w:sz w:val="24"/>
                        <w:szCs w:val="24"/>
                      </w:rPr>
                    </m:ctrlPr>
                  </m:sSubPr>
                  <m:e>
                    <m:r>
                      <m:rPr>
                        <m:sty m:val="bi"/>
                      </m:rPr>
                      <w:rPr>
                        <w:rFonts w:ascii="Cambria Math" w:hAnsi="Cambria Math"/>
                        <w:sz w:val="24"/>
                        <w:szCs w:val="24"/>
                      </w:rPr>
                      <m:t>C</m:t>
                    </m:r>
                  </m:e>
                  <m:sub>
                    <m:r>
                      <m:rPr>
                        <m:sty m:val="bi"/>
                      </m:rPr>
                      <w:rPr>
                        <w:rFonts w:ascii="Cambria Math" w:hAnsi="Cambria Math"/>
                        <w:sz w:val="24"/>
                        <w:szCs w:val="24"/>
                      </w:rPr>
                      <m:t>t</m:t>
                    </m:r>
                  </m:sub>
                </m:sSub>
              </m:num>
              <m:den>
                <m:sSup>
                  <m:sSupPr>
                    <m:ctrlPr>
                      <w:rPr>
                        <w:rFonts w:ascii="Cambria Math" w:hAnsi="Cambria Math"/>
                        <w:b/>
                        <w:i/>
                        <w:sz w:val="24"/>
                        <w:szCs w:val="24"/>
                      </w:rPr>
                    </m:ctrlPr>
                  </m:sSupPr>
                  <m:e>
                    <m:r>
                      <m:rPr>
                        <m:sty m:val="bi"/>
                      </m:rPr>
                      <w:rPr>
                        <w:rFonts w:ascii="Cambria Math" w:hAnsi="Cambria Math"/>
                        <w:sz w:val="24"/>
                        <w:szCs w:val="24"/>
                      </w:rPr>
                      <m:t>(1+r)</m:t>
                    </m:r>
                  </m:e>
                  <m:sup>
                    <m:r>
                      <m:rPr>
                        <m:sty m:val="bi"/>
                      </m:rPr>
                      <w:rPr>
                        <w:rFonts w:ascii="Cambria Math" w:hAnsi="Cambria Math"/>
                        <w:sz w:val="24"/>
                        <w:szCs w:val="24"/>
                      </w:rPr>
                      <m:t>t</m:t>
                    </m:r>
                  </m:sup>
                </m:sSup>
              </m:den>
            </m:f>
            <m:r>
              <m:rPr>
                <m:sty m:val="bi"/>
              </m:rPr>
              <w:rPr>
                <w:rFonts w:ascii="Cambria Math" w:hAnsi="Cambria Math"/>
                <w:sz w:val="24"/>
                <w:szCs w:val="24"/>
              </w:rPr>
              <m:t>-</m:t>
            </m:r>
            <m:sSub>
              <m:sSubPr>
                <m:ctrlPr>
                  <w:rPr>
                    <w:rFonts w:ascii="Cambria Math" w:hAnsi="Cambria Math"/>
                    <w:b/>
                    <w:i/>
                    <w:sz w:val="24"/>
                    <w:szCs w:val="24"/>
                  </w:rPr>
                </m:ctrlPr>
              </m:sSubPr>
              <m:e>
                <m:r>
                  <m:rPr>
                    <m:sty m:val="bi"/>
                  </m:rPr>
                  <w:rPr>
                    <w:rFonts w:ascii="Cambria Math" w:hAnsi="Cambria Math"/>
                    <w:sz w:val="24"/>
                    <w:szCs w:val="24"/>
                  </w:rPr>
                  <m:t>C</m:t>
                </m:r>
              </m:e>
              <m:sub>
                <m:r>
                  <m:rPr>
                    <m:sty m:val="bi"/>
                  </m:rPr>
                  <w:rPr>
                    <w:rFonts w:ascii="Cambria Math" w:hAnsi="Cambria Math"/>
                    <w:sz w:val="24"/>
                    <w:szCs w:val="24"/>
                  </w:rPr>
                  <m:t>0</m:t>
                </m:r>
              </m:sub>
            </m:sSub>
          </m:e>
        </m:nary>
      </m:oMath>
      <w:r w:rsidR="0004238E">
        <w:rPr>
          <w:rFonts w:eastAsiaTheme="minorEastAsia"/>
          <w:sz w:val="24"/>
          <w:szCs w:val="24"/>
        </w:rPr>
        <w:tab/>
        <w:t xml:space="preserve">where </w:t>
      </w:r>
      <w:r w:rsidR="0004238E">
        <w:rPr>
          <w:rFonts w:eastAsiaTheme="minorEastAsia"/>
          <w:sz w:val="24"/>
          <w:szCs w:val="24"/>
        </w:rPr>
        <w:tab/>
      </w:r>
      <w:r w:rsidR="0004238E">
        <w:rPr>
          <w:rFonts w:eastAsiaTheme="minorEastAsia"/>
          <w:sz w:val="24"/>
          <w:szCs w:val="24"/>
        </w:rPr>
        <w:tab/>
        <w:t>C</w:t>
      </w:r>
      <w:r w:rsidR="0004238E">
        <w:rPr>
          <w:rFonts w:eastAsiaTheme="minorEastAsia"/>
          <w:sz w:val="24"/>
          <w:szCs w:val="24"/>
          <w:vertAlign w:val="subscript"/>
        </w:rPr>
        <w:t xml:space="preserve">t </w:t>
      </w:r>
      <w:r w:rsidR="0004238E">
        <w:rPr>
          <w:sz w:val="24"/>
          <w:szCs w:val="24"/>
        </w:rPr>
        <w:t>= net cash flow for the period</w:t>
      </w:r>
    </w:p>
    <w:p w:rsidR="008E7998" w:rsidRDefault="0004238E" w:rsidP="0073699A">
      <w:pPr>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C</w:t>
      </w:r>
      <w:r>
        <w:rPr>
          <w:sz w:val="24"/>
          <w:szCs w:val="24"/>
          <w:vertAlign w:val="subscript"/>
        </w:rPr>
        <w:t>0</w:t>
      </w:r>
      <w:r>
        <w:rPr>
          <w:sz w:val="24"/>
          <w:szCs w:val="24"/>
        </w:rPr>
        <w:t xml:space="preserve"> = initial investment</w:t>
      </w:r>
    </w:p>
    <w:p w:rsidR="0004238E" w:rsidRDefault="0004238E" w:rsidP="0073699A">
      <w:pPr>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r = rate of discount</w:t>
      </w:r>
    </w:p>
    <w:p w:rsidR="0004238E" w:rsidRDefault="0004238E" w:rsidP="0073699A">
      <w:pPr>
        <w:jc w:val="both"/>
        <w:rPr>
          <w:sz w:val="24"/>
          <w:szCs w:val="24"/>
        </w:rPr>
      </w:pPr>
      <w:r>
        <w:rPr>
          <w:sz w:val="24"/>
          <w:szCs w:val="24"/>
        </w:rPr>
        <w:tab/>
      </w:r>
      <w:r>
        <w:rPr>
          <w:sz w:val="24"/>
          <w:szCs w:val="24"/>
        </w:rPr>
        <w:tab/>
      </w:r>
      <w:r>
        <w:rPr>
          <w:sz w:val="24"/>
          <w:szCs w:val="24"/>
        </w:rPr>
        <w:tab/>
      </w:r>
      <w:r>
        <w:rPr>
          <w:sz w:val="24"/>
          <w:szCs w:val="24"/>
        </w:rPr>
        <w:tab/>
      </w:r>
      <w:r>
        <w:rPr>
          <w:sz w:val="24"/>
          <w:szCs w:val="24"/>
        </w:rPr>
        <w:tab/>
      </w:r>
      <w:r>
        <w:rPr>
          <w:sz w:val="24"/>
          <w:szCs w:val="24"/>
        </w:rPr>
        <w:tab/>
        <w:t>t = number of periods</w:t>
      </w:r>
    </w:p>
    <w:p w:rsidR="00A11CB8" w:rsidRDefault="00A11CB8" w:rsidP="0073699A">
      <w:pPr>
        <w:jc w:val="both"/>
        <w:rPr>
          <w:sz w:val="24"/>
          <w:szCs w:val="24"/>
        </w:rPr>
      </w:pPr>
      <w:r>
        <w:rPr>
          <w:sz w:val="24"/>
          <w:szCs w:val="24"/>
        </w:rPr>
        <w:t>For project A, NPV is:</w:t>
      </w:r>
    </w:p>
    <w:p w:rsidR="00A11CB8" w:rsidRPr="00A11CB8" w:rsidRDefault="00541B56" w:rsidP="008D0B39">
      <w:pPr>
        <w:jc w:val="both"/>
        <w:rPr>
          <w:rFonts w:eastAsiaTheme="minorEastAsia"/>
          <w:b/>
          <w:sz w:val="24"/>
          <w:szCs w:val="24"/>
        </w:rPr>
      </w:pPr>
      <w:r>
        <w:rPr>
          <w:b/>
          <w:sz w:val="24"/>
          <w:szCs w:val="24"/>
        </w:rPr>
        <w:t>NPV</w:t>
      </w:r>
      <w:r w:rsidR="00A11CB8" w:rsidRPr="00A11CB8">
        <w:rPr>
          <w:b/>
          <w:sz w:val="24"/>
          <w:szCs w:val="24"/>
          <w:vertAlign w:val="subscript"/>
        </w:rPr>
        <w:t>A</w:t>
      </w:r>
      <w:r w:rsidR="00A11CB8" w:rsidRPr="00A11CB8">
        <w:rPr>
          <w:b/>
          <w:sz w:val="24"/>
          <w:szCs w:val="24"/>
        </w:rPr>
        <w:t>=</w:t>
      </w:r>
      <m:oMath>
        <m:r>
          <m:rPr>
            <m:sty m:val="bi"/>
          </m:rPr>
          <w:rPr>
            <w:rFonts w:ascii="Cambria Math" w:hAnsi="Cambria Math"/>
            <w:sz w:val="24"/>
            <w:szCs w:val="24"/>
          </w:rPr>
          <m:t xml:space="preserve"> </m:t>
        </m:r>
        <m:nary>
          <m:naryPr>
            <m:chr m:val="∑"/>
            <m:limLoc m:val="undOvr"/>
            <m:ctrlPr>
              <w:rPr>
                <w:rFonts w:ascii="Cambria Math" w:hAnsi="Cambria Math"/>
                <w:b/>
                <w:i/>
                <w:sz w:val="24"/>
                <w:szCs w:val="24"/>
              </w:rPr>
            </m:ctrlPr>
          </m:naryPr>
          <m:sub>
            <m:r>
              <m:rPr>
                <m:sty m:val="bi"/>
              </m:rPr>
              <w:rPr>
                <w:rFonts w:ascii="Cambria Math" w:hAnsi="Cambria Math"/>
                <w:sz w:val="24"/>
                <w:szCs w:val="24"/>
              </w:rPr>
              <m:t>1</m:t>
            </m:r>
          </m:sub>
          <m:sup>
            <m:r>
              <m:rPr>
                <m:sty m:val="bi"/>
              </m:rPr>
              <w:rPr>
                <w:rFonts w:ascii="Cambria Math" w:hAnsi="Cambria Math"/>
                <w:sz w:val="24"/>
                <w:szCs w:val="24"/>
              </w:rPr>
              <m:t>4</m:t>
            </m:r>
          </m:sup>
          <m:e>
            <m:f>
              <m:fPr>
                <m:ctrlPr>
                  <w:rPr>
                    <w:rFonts w:ascii="Cambria Math" w:hAnsi="Cambria Math"/>
                    <w:b/>
                    <w:i/>
                    <w:sz w:val="24"/>
                    <w:szCs w:val="24"/>
                  </w:rPr>
                </m:ctrlPr>
              </m:fPr>
              <m:num>
                <m:sSub>
                  <m:sSubPr>
                    <m:ctrlPr>
                      <w:rPr>
                        <w:rFonts w:ascii="Cambria Math" w:hAnsi="Cambria Math"/>
                        <w:b/>
                        <w:i/>
                        <w:sz w:val="24"/>
                        <w:szCs w:val="24"/>
                      </w:rPr>
                    </m:ctrlPr>
                  </m:sSubPr>
                  <m:e>
                    <m:r>
                      <m:rPr>
                        <m:sty m:val="bi"/>
                      </m:rPr>
                      <w:rPr>
                        <w:rFonts w:ascii="Cambria Math" w:hAnsi="Cambria Math"/>
                        <w:sz w:val="24"/>
                        <w:szCs w:val="24"/>
                      </w:rPr>
                      <m:t>C</m:t>
                    </m:r>
                  </m:e>
                  <m:sub>
                    <m:r>
                      <m:rPr>
                        <m:sty m:val="bi"/>
                      </m:rPr>
                      <w:rPr>
                        <w:rFonts w:ascii="Cambria Math" w:hAnsi="Cambria Math"/>
                        <w:sz w:val="24"/>
                        <w:szCs w:val="24"/>
                      </w:rPr>
                      <m:t>t</m:t>
                    </m:r>
                  </m:sub>
                </m:sSub>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t</m:t>
                    </m:r>
                  </m:sup>
                </m:sSup>
              </m:den>
            </m:f>
            <m:r>
              <m:rPr>
                <m:sty m:val="bi"/>
              </m:rPr>
              <w:rPr>
                <w:rFonts w:ascii="Cambria Math" w:hAnsi="Cambria Math"/>
                <w:sz w:val="24"/>
                <w:szCs w:val="24"/>
              </w:rPr>
              <m:t xml:space="preserve">-103 </m:t>
            </m:r>
          </m:e>
        </m:nary>
      </m:oMath>
      <w:r w:rsidR="00891EA4">
        <w:rPr>
          <w:rFonts w:eastAsiaTheme="minorEastAsia"/>
          <w:b/>
          <w:sz w:val="24"/>
          <w:szCs w:val="24"/>
        </w:rPr>
        <w:t>=</w:t>
      </w:r>
      <m:oMath>
        <m:r>
          <m:rPr>
            <m:sty m:val="bi"/>
          </m:rPr>
          <w:rPr>
            <w:rFonts w:ascii="Cambria Math" w:eastAsiaTheme="minorEastAsia" w:hAnsi="Cambria Math"/>
            <w:sz w:val="24"/>
            <w:szCs w:val="24"/>
          </w:rPr>
          <m:t xml:space="preserve">  </m:t>
        </m:r>
        <m:f>
          <m:fPr>
            <m:ctrlPr>
              <w:rPr>
                <w:rFonts w:ascii="Cambria Math" w:hAnsi="Cambria Math"/>
                <w:b/>
                <w:i/>
                <w:sz w:val="24"/>
                <w:szCs w:val="24"/>
              </w:rPr>
            </m:ctrlPr>
          </m:fPr>
          <m:num>
            <m:r>
              <m:rPr>
                <m:sty m:val="bi"/>
              </m:rPr>
              <w:rPr>
                <w:rFonts w:ascii="Cambria Math" w:hAnsi="Cambria Math"/>
                <w:sz w:val="24"/>
                <w:szCs w:val="24"/>
              </w:rPr>
              <m:t>10</m:t>
            </m:r>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1</m:t>
                </m:r>
              </m:sup>
            </m:sSup>
          </m:den>
        </m:f>
        <m:r>
          <m:rPr>
            <m:sty m:val="bi"/>
          </m:rPr>
          <w:rPr>
            <w:rFonts w:ascii="Cambria Math" w:hAnsi="Cambria Math"/>
            <w:sz w:val="24"/>
            <w:szCs w:val="24"/>
          </w:rPr>
          <m:t>+</m:t>
        </m:r>
        <m:f>
          <m:fPr>
            <m:ctrlPr>
              <w:rPr>
                <w:rFonts w:ascii="Cambria Math" w:hAnsi="Cambria Math"/>
                <w:b/>
                <w:i/>
                <w:sz w:val="24"/>
                <w:szCs w:val="24"/>
              </w:rPr>
            </m:ctrlPr>
          </m:fPr>
          <m:num>
            <m:r>
              <m:rPr>
                <m:sty m:val="bi"/>
              </m:rPr>
              <w:rPr>
                <w:rFonts w:ascii="Cambria Math" w:hAnsi="Cambria Math"/>
                <w:sz w:val="24"/>
                <w:szCs w:val="24"/>
              </w:rPr>
              <m:t>30</m:t>
            </m:r>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2</m:t>
                </m:r>
              </m:sup>
            </m:sSup>
          </m:den>
        </m:f>
        <m:r>
          <m:rPr>
            <m:sty m:val="bi"/>
          </m:rPr>
          <w:rPr>
            <w:rFonts w:ascii="Cambria Math" w:hAnsi="Cambria Math"/>
            <w:sz w:val="24"/>
            <w:szCs w:val="24"/>
          </w:rPr>
          <m:t>+</m:t>
        </m:r>
        <m:f>
          <m:fPr>
            <m:ctrlPr>
              <w:rPr>
                <w:rFonts w:ascii="Cambria Math" w:hAnsi="Cambria Math"/>
                <w:b/>
                <w:i/>
                <w:sz w:val="24"/>
                <w:szCs w:val="24"/>
              </w:rPr>
            </m:ctrlPr>
          </m:fPr>
          <m:num>
            <m:r>
              <m:rPr>
                <m:sty m:val="bi"/>
              </m:rPr>
              <w:rPr>
                <w:rFonts w:ascii="Cambria Math" w:hAnsi="Cambria Math"/>
                <w:sz w:val="24"/>
                <w:szCs w:val="24"/>
              </w:rPr>
              <m:t>50</m:t>
            </m:r>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3</m:t>
                </m:r>
              </m:sup>
            </m:sSup>
          </m:den>
        </m:f>
        <m:r>
          <m:rPr>
            <m:sty m:val="bi"/>
          </m:rPr>
          <w:rPr>
            <w:rFonts w:ascii="Cambria Math" w:hAnsi="Cambria Math"/>
            <w:sz w:val="24"/>
            <w:szCs w:val="24"/>
          </w:rPr>
          <m:t>+</m:t>
        </m:r>
        <m:f>
          <m:fPr>
            <m:ctrlPr>
              <w:rPr>
                <w:rFonts w:ascii="Cambria Math" w:hAnsi="Cambria Math"/>
                <w:b/>
                <w:i/>
                <w:sz w:val="24"/>
                <w:szCs w:val="24"/>
              </w:rPr>
            </m:ctrlPr>
          </m:fPr>
          <m:num>
            <m:r>
              <m:rPr>
                <m:sty m:val="bi"/>
              </m:rPr>
              <w:rPr>
                <w:rFonts w:ascii="Cambria Math" w:hAnsi="Cambria Math"/>
                <w:sz w:val="24"/>
                <w:szCs w:val="24"/>
              </w:rPr>
              <m:t>65</m:t>
            </m:r>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4</m:t>
                </m:r>
              </m:sup>
            </m:sSup>
          </m:den>
        </m:f>
        <m:r>
          <m:rPr>
            <m:sty m:val="bi"/>
          </m:rPr>
          <w:rPr>
            <w:rFonts w:ascii="Cambria Math" w:hAnsi="Cambria Math"/>
            <w:sz w:val="24"/>
            <w:szCs w:val="24"/>
          </w:rPr>
          <m:t>-103</m:t>
        </m:r>
      </m:oMath>
      <w:r w:rsidR="008D0B39">
        <w:rPr>
          <w:rFonts w:eastAsiaTheme="minorEastAsia"/>
          <w:b/>
          <w:sz w:val="24"/>
          <w:szCs w:val="24"/>
        </w:rPr>
        <w:t xml:space="preserve"> </w:t>
      </w:r>
      <w:r w:rsidR="00A11CB8">
        <w:rPr>
          <w:rFonts w:eastAsiaTheme="minorEastAsia"/>
          <w:b/>
          <w:sz w:val="24"/>
          <w:szCs w:val="24"/>
        </w:rPr>
        <w:t xml:space="preserve"> </w:t>
      </w:r>
      <w:r w:rsidR="008D0B39">
        <w:rPr>
          <w:rFonts w:eastAsiaTheme="minorEastAsia"/>
          <w:b/>
          <w:sz w:val="24"/>
          <w:szCs w:val="24"/>
        </w:rPr>
        <w:t>NPV</w:t>
      </w:r>
      <w:r w:rsidR="008D0B39" w:rsidRPr="008D0B39">
        <w:rPr>
          <w:rFonts w:eastAsiaTheme="minorEastAsia"/>
          <w:b/>
          <w:sz w:val="24"/>
          <w:szCs w:val="24"/>
          <w:vertAlign w:val="subscript"/>
        </w:rPr>
        <w:t>A</w:t>
      </w:r>
      <w:r w:rsidR="008D0B39">
        <w:rPr>
          <w:rFonts w:eastAsiaTheme="minorEastAsia"/>
          <w:b/>
          <w:sz w:val="24"/>
          <w:szCs w:val="24"/>
        </w:rPr>
        <w:t xml:space="preserve"> = </w:t>
      </w:r>
      <w:r w:rsidR="0052474E">
        <w:rPr>
          <w:rFonts w:eastAsiaTheme="minorEastAsia"/>
          <w:b/>
          <w:sz w:val="24"/>
          <w:szCs w:val="24"/>
        </w:rPr>
        <w:t>£(m)</w:t>
      </w:r>
      <w:r w:rsidR="00A11CB8">
        <w:rPr>
          <w:rFonts w:eastAsiaTheme="minorEastAsia"/>
          <w:b/>
          <w:sz w:val="24"/>
          <w:szCs w:val="24"/>
        </w:rPr>
        <w:t>16.98</w:t>
      </w:r>
      <w:r w:rsidR="0052474E">
        <w:rPr>
          <w:rFonts w:eastAsiaTheme="minorEastAsia"/>
          <w:b/>
          <w:sz w:val="24"/>
          <w:szCs w:val="24"/>
        </w:rPr>
        <w:t xml:space="preserve"> </w:t>
      </w:r>
    </w:p>
    <w:p w:rsidR="003E031A" w:rsidRDefault="003E031A" w:rsidP="003E031A">
      <w:pPr>
        <w:jc w:val="both"/>
        <w:rPr>
          <w:sz w:val="24"/>
          <w:szCs w:val="24"/>
        </w:rPr>
      </w:pPr>
      <w:r>
        <w:rPr>
          <w:sz w:val="24"/>
          <w:szCs w:val="24"/>
        </w:rPr>
        <w:t>For project B, NPV is:</w:t>
      </w:r>
    </w:p>
    <w:p w:rsidR="003E031A" w:rsidRPr="00A11CB8" w:rsidRDefault="00541B56" w:rsidP="003E031A">
      <w:pPr>
        <w:jc w:val="both"/>
        <w:rPr>
          <w:rFonts w:eastAsiaTheme="minorEastAsia"/>
          <w:b/>
          <w:sz w:val="24"/>
          <w:szCs w:val="24"/>
        </w:rPr>
      </w:pPr>
      <w:r>
        <w:rPr>
          <w:b/>
          <w:sz w:val="24"/>
          <w:szCs w:val="24"/>
        </w:rPr>
        <w:t>NPV</w:t>
      </w:r>
      <w:r w:rsidR="003E031A" w:rsidRPr="003E031A">
        <w:rPr>
          <w:b/>
          <w:sz w:val="24"/>
          <w:szCs w:val="24"/>
          <w:vertAlign w:val="subscript"/>
        </w:rPr>
        <w:t>B</w:t>
      </w:r>
      <w:r w:rsidR="003E031A" w:rsidRPr="00A11CB8">
        <w:rPr>
          <w:b/>
          <w:sz w:val="24"/>
          <w:szCs w:val="24"/>
        </w:rPr>
        <w:t>=</w:t>
      </w:r>
      <m:oMath>
        <m:nary>
          <m:naryPr>
            <m:chr m:val="∑"/>
            <m:limLoc m:val="undOvr"/>
            <m:ctrlPr>
              <w:rPr>
                <w:rFonts w:ascii="Cambria Math" w:hAnsi="Cambria Math"/>
                <w:b/>
                <w:i/>
                <w:sz w:val="24"/>
                <w:szCs w:val="24"/>
              </w:rPr>
            </m:ctrlPr>
          </m:naryPr>
          <m:sub>
            <m:r>
              <m:rPr>
                <m:sty m:val="bi"/>
              </m:rPr>
              <w:rPr>
                <w:rFonts w:ascii="Cambria Math" w:hAnsi="Cambria Math"/>
                <w:sz w:val="24"/>
                <w:szCs w:val="24"/>
              </w:rPr>
              <m:t>1</m:t>
            </m:r>
          </m:sub>
          <m:sup>
            <m:r>
              <m:rPr>
                <m:sty m:val="bi"/>
              </m:rPr>
              <w:rPr>
                <w:rFonts w:ascii="Cambria Math" w:hAnsi="Cambria Math"/>
                <w:sz w:val="24"/>
                <w:szCs w:val="24"/>
              </w:rPr>
              <m:t>4</m:t>
            </m:r>
          </m:sup>
          <m:e>
            <m:f>
              <m:fPr>
                <m:ctrlPr>
                  <w:rPr>
                    <w:rFonts w:ascii="Cambria Math" w:hAnsi="Cambria Math"/>
                    <w:b/>
                    <w:i/>
                    <w:sz w:val="24"/>
                    <w:szCs w:val="24"/>
                  </w:rPr>
                </m:ctrlPr>
              </m:fPr>
              <m:num>
                <m:sSub>
                  <m:sSubPr>
                    <m:ctrlPr>
                      <w:rPr>
                        <w:rFonts w:ascii="Cambria Math" w:hAnsi="Cambria Math"/>
                        <w:b/>
                        <w:i/>
                        <w:sz w:val="24"/>
                        <w:szCs w:val="24"/>
                      </w:rPr>
                    </m:ctrlPr>
                  </m:sSubPr>
                  <m:e>
                    <m:r>
                      <m:rPr>
                        <m:sty m:val="bi"/>
                      </m:rPr>
                      <w:rPr>
                        <w:rFonts w:ascii="Cambria Math" w:hAnsi="Cambria Math"/>
                        <w:sz w:val="24"/>
                        <w:szCs w:val="24"/>
                      </w:rPr>
                      <m:t>C</m:t>
                    </m:r>
                  </m:e>
                  <m:sub>
                    <m:r>
                      <m:rPr>
                        <m:sty m:val="bi"/>
                      </m:rPr>
                      <w:rPr>
                        <w:rFonts w:ascii="Cambria Math" w:hAnsi="Cambria Math"/>
                        <w:sz w:val="24"/>
                        <w:szCs w:val="24"/>
                      </w:rPr>
                      <m:t>t</m:t>
                    </m:r>
                  </m:sub>
                </m:sSub>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t</m:t>
                    </m:r>
                  </m:sup>
                </m:sSup>
              </m:den>
            </m:f>
            <m:r>
              <m:rPr>
                <m:sty m:val="bi"/>
              </m:rPr>
              <w:rPr>
                <w:rFonts w:ascii="Cambria Math" w:hAnsi="Cambria Math"/>
                <w:sz w:val="24"/>
                <w:szCs w:val="24"/>
              </w:rPr>
              <m:t>-115=</m:t>
            </m:r>
          </m:e>
        </m:nary>
        <m:r>
          <m:rPr>
            <m:sty m:val="bi"/>
          </m:rPr>
          <w:rPr>
            <w:rFonts w:ascii="Cambria Math" w:hAnsi="Cambria Math"/>
            <w:sz w:val="24"/>
            <w:szCs w:val="24"/>
          </w:rPr>
          <m:t xml:space="preserve">  </m:t>
        </m:r>
        <m:f>
          <m:fPr>
            <m:ctrlPr>
              <w:rPr>
                <w:rFonts w:ascii="Cambria Math" w:hAnsi="Cambria Math"/>
                <w:b/>
                <w:i/>
                <w:sz w:val="24"/>
                <w:szCs w:val="24"/>
              </w:rPr>
            </m:ctrlPr>
          </m:fPr>
          <m:num>
            <m:r>
              <m:rPr>
                <m:sty m:val="bi"/>
              </m:rPr>
              <w:rPr>
                <w:rFonts w:ascii="Cambria Math" w:hAnsi="Cambria Math"/>
                <w:sz w:val="24"/>
                <w:szCs w:val="24"/>
              </w:rPr>
              <m:t>60</m:t>
            </m:r>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1</m:t>
                </m:r>
              </m:sup>
            </m:sSup>
          </m:den>
        </m:f>
        <m:r>
          <m:rPr>
            <m:sty m:val="bi"/>
          </m:rPr>
          <w:rPr>
            <w:rFonts w:ascii="Cambria Math" w:hAnsi="Cambria Math"/>
            <w:sz w:val="24"/>
            <w:szCs w:val="24"/>
          </w:rPr>
          <m:t>+</m:t>
        </m:r>
        <m:f>
          <m:fPr>
            <m:ctrlPr>
              <w:rPr>
                <w:rFonts w:ascii="Cambria Math" w:hAnsi="Cambria Math"/>
                <w:b/>
                <w:i/>
                <w:sz w:val="24"/>
                <w:szCs w:val="24"/>
              </w:rPr>
            </m:ctrlPr>
          </m:fPr>
          <m:num>
            <m:r>
              <m:rPr>
                <m:sty m:val="bi"/>
              </m:rPr>
              <w:rPr>
                <w:rFonts w:ascii="Cambria Math" w:hAnsi="Cambria Math"/>
                <w:sz w:val="24"/>
                <w:szCs w:val="24"/>
              </w:rPr>
              <m:t>40</m:t>
            </m:r>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2</m:t>
                </m:r>
              </m:sup>
            </m:sSup>
          </m:den>
        </m:f>
        <m:r>
          <m:rPr>
            <m:sty m:val="bi"/>
          </m:rPr>
          <w:rPr>
            <w:rFonts w:ascii="Cambria Math" w:hAnsi="Cambria Math"/>
            <w:sz w:val="24"/>
            <w:szCs w:val="24"/>
          </w:rPr>
          <m:t>+</m:t>
        </m:r>
        <m:f>
          <m:fPr>
            <m:ctrlPr>
              <w:rPr>
                <w:rFonts w:ascii="Cambria Math" w:hAnsi="Cambria Math"/>
                <w:b/>
                <w:i/>
                <w:sz w:val="24"/>
                <w:szCs w:val="24"/>
              </w:rPr>
            </m:ctrlPr>
          </m:fPr>
          <m:num>
            <m:r>
              <m:rPr>
                <m:sty m:val="bi"/>
              </m:rPr>
              <w:rPr>
                <w:rFonts w:ascii="Cambria Math" w:hAnsi="Cambria Math"/>
                <w:sz w:val="24"/>
                <w:szCs w:val="24"/>
              </w:rPr>
              <m:t>60</m:t>
            </m:r>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3</m:t>
                </m:r>
              </m:sup>
            </m:sSup>
          </m:den>
        </m:f>
        <m:r>
          <m:rPr>
            <m:sty m:val="bi"/>
          </m:rPr>
          <w:rPr>
            <w:rFonts w:ascii="Cambria Math" w:hAnsi="Cambria Math"/>
            <w:sz w:val="24"/>
            <w:szCs w:val="24"/>
          </w:rPr>
          <m:t>+</m:t>
        </m:r>
        <m:f>
          <m:fPr>
            <m:ctrlPr>
              <w:rPr>
                <w:rFonts w:ascii="Cambria Math" w:hAnsi="Cambria Math"/>
                <w:b/>
                <w:i/>
                <w:sz w:val="24"/>
                <w:szCs w:val="24"/>
              </w:rPr>
            </m:ctrlPr>
          </m:fPr>
          <m:num>
            <m:r>
              <m:rPr>
                <m:sty m:val="bi"/>
              </m:rPr>
              <w:rPr>
                <w:rFonts w:ascii="Cambria Math" w:hAnsi="Cambria Math"/>
                <w:sz w:val="24"/>
                <w:szCs w:val="24"/>
              </w:rPr>
              <m:t>5</m:t>
            </m:r>
          </m:num>
          <m:den>
            <m:sSup>
              <m:sSupPr>
                <m:ctrlPr>
                  <w:rPr>
                    <w:rFonts w:ascii="Cambria Math" w:hAnsi="Cambria Math"/>
                    <w:b/>
                    <w:i/>
                    <w:sz w:val="24"/>
                    <w:szCs w:val="24"/>
                  </w:rPr>
                </m:ctrlPr>
              </m:sSupPr>
              <m:e>
                <m:r>
                  <m:rPr>
                    <m:sty m:val="bi"/>
                  </m:rPr>
                  <w:rPr>
                    <w:rFonts w:ascii="Cambria Math" w:hAnsi="Cambria Math"/>
                    <w:sz w:val="24"/>
                    <w:szCs w:val="24"/>
                  </w:rPr>
                  <m:t>(1+0.0873)</m:t>
                </m:r>
              </m:e>
              <m:sup>
                <m:r>
                  <m:rPr>
                    <m:sty m:val="bi"/>
                  </m:rPr>
                  <w:rPr>
                    <w:rFonts w:ascii="Cambria Math" w:hAnsi="Cambria Math"/>
                    <w:sz w:val="24"/>
                    <w:szCs w:val="24"/>
                  </w:rPr>
                  <m:t>4</m:t>
                </m:r>
              </m:sup>
            </m:sSup>
          </m:den>
        </m:f>
        <m:r>
          <m:rPr>
            <m:sty m:val="bi"/>
          </m:rPr>
          <w:rPr>
            <w:rFonts w:ascii="Cambria Math" w:hAnsi="Cambria Math"/>
            <w:sz w:val="24"/>
            <w:szCs w:val="24"/>
          </w:rPr>
          <m:t>-115</m:t>
        </m:r>
      </m:oMath>
      <w:r w:rsidR="008D0B39">
        <w:rPr>
          <w:rFonts w:eastAsiaTheme="minorEastAsia"/>
          <w:b/>
          <w:sz w:val="24"/>
          <w:szCs w:val="24"/>
        </w:rPr>
        <w:t xml:space="preserve"> </w:t>
      </w:r>
      <w:r w:rsidR="003E031A">
        <w:rPr>
          <w:rFonts w:eastAsiaTheme="minorEastAsia"/>
          <w:b/>
          <w:sz w:val="24"/>
          <w:szCs w:val="24"/>
        </w:rPr>
        <w:t xml:space="preserve"> </w:t>
      </w:r>
      <w:r w:rsidR="008D0B39">
        <w:rPr>
          <w:rFonts w:eastAsiaTheme="minorEastAsia"/>
          <w:b/>
          <w:sz w:val="24"/>
          <w:szCs w:val="24"/>
        </w:rPr>
        <w:t>NPV</w:t>
      </w:r>
      <w:r w:rsidR="008D0B39" w:rsidRPr="008D0B39">
        <w:rPr>
          <w:rFonts w:eastAsiaTheme="minorEastAsia"/>
          <w:b/>
          <w:sz w:val="24"/>
          <w:szCs w:val="24"/>
          <w:vertAlign w:val="subscript"/>
        </w:rPr>
        <w:t>B</w:t>
      </w:r>
      <w:r w:rsidR="008D0B39">
        <w:rPr>
          <w:rFonts w:eastAsiaTheme="minorEastAsia"/>
          <w:b/>
          <w:sz w:val="24"/>
          <w:szCs w:val="24"/>
        </w:rPr>
        <w:t xml:space="preserve"> = </w:t>
      </w:r>
      <w:r w:rsidR="0052474E">
        <w:rPr>
          <w:rFonts w:eastAsiaTheme="minorEastAsia"/>
          <w:b/>
          <w:sz w:val="24"/>
          <w:szCs w:val="24"/>
        </w:rPr>
        <w:t>£(m)</w:t>
      </w:r>
      <w:r w:rsidR="003E031A">
        <w:rPr>
          <w:rFonts w:eastAsiaTheme="minorEastAsia"/>
          <w:b/>
          <w:sz w:val="24"/>
          <w:szCs w:val="24"/>
        </w:rPr>
        <w:t>24.27</w:t>
      </w:r>
      <w:r w:rsidR="0052474E">
        <w:rPr>
          <w:rFonts w:eastAsiaTheme="minorEastAsia"/>
          <w:b/>
          <w:sz w:val="24"/>
          <w:szCs w:val="24"/>
        </w:rPr>
        <w:t xml:space="preserve"> </w:t>
      </w:r>
    </w:p>
    <w:p w:rsidR="00A11CB8" w:rsidRPr="00273DF9" w:rsidRDefault="00273DF9" w:rsidP="00F13C14">
      <w:pPr>
        <w:spacing w:line="360" w:lineRule="auto"/>
        <w:jc w:val="both"/>
        <w:rPr>
          <w:rFonts w:eastAsiaTheme="minorEastAsia"/>
          <w:sz w:val="24"/>
          <w:szCs w:val="24"/>
        </w:rPr>
      </w:pPr>
      <w:r w:rsidRPr="00273DF9">
        <w:rPr>
          <w:rFonts w:eastAsiaTheme="minorEastAsia"/>
          <w:sz w:val="24"/>
          <w:szCs w:val="24"/>
        </w:rPr>
        <w:t>Clearly the higher the positive figure, the more the company will expect returns. So it is not only possible to use a net present value calculator to determine a good investment from a bad one, it can also be used to compare two good investments to see which one is better. All the rest equal, the highest-value equipment or project is the best investment.</w:t>
      </w:r>
      <w:r w:rsidR="00891EA4">
        <w:rPr>
          <w:rFonts w:eastAsiaTheme="minorEastAsia"/>
          <w:sz w:val="24"/>
          <w:szCs w:val="24"/>
        </w:rPr>
        <w:t xml:space="preserve"> </w:t>
      </w:r>
      <w:r w:rsidR="00891EA4" w:rsidRPr="00891EA4">
        <w:rPr>
          <w:rFonts w:eastAsiaTheme="minorEastAsia"/>
          <w:sz w:val="24"/>
          <w:szCs w:val="24"/>
        </w:rPr>
        <w:t>While this is a useful tool for making investment decisions, it isn't always reliable. Because the equation depends on so many calculations and assumptions, it is hard to be absolutely accurate</w:t>
      </w:r>
      <w:r w:rsidR="00891EA4">
        <w:rPr>
          <w:rFonts w:eastAsiaTheme="minorEastAsia"/>
          <w:sz w:val="24"/>
          <w:szCs w:val="24"/>
        </w:rPr>
        <w:t xml:space="preserve"> </w:t>
      </w:r>
      <w:sdt>
        <w:sdtPr>
          <w:rPr>
            <w:rFonts w:eastAsiaTheme="minorEastAsia"/>
            <w:sz w:val="24"/>
            <w:szCs w:val="24"/>
          </w:rPr>
          <w:id w:val="1776291082"/>
          <w:citation/>
        </w:sdtPr>
        <w:sdtEndPr/>
        <w:sdtContent>
          <w:r w:rsidR="00891EA4">
            <w:rPr>
              <w:rFonts w:eastAsiaTheme="minorEastAsia"/>
              <w:sz w:val="24"/>
              <w:szCs w:val="24"/>
            </w:rPr>
            <w:fldChar w:fldCharType="begin"/>
          </w:r>
          <w:r w:rsidR="00891EA4">
            <w:rPr>
              <w:rFonts w:eastAsiaTheme="minorEastAsia"/>
              <w:sz w:val="24"/>
              <w:szCs w:val="24"/>
            </w:rPr>
            <w:instrText xml:space="preserve"> CITATION Gle13 \l 2057 </w:instrText>
          </w:r>
          <w:r w:rsidR="00891EA4">
            <w:rPr>
              <w:rFonts w:eastAsiaTheme="minorEastAsia"/>
              <w:sz w:val="24"/>
              <w:szCs w:val="24"/>
            </w:rPr>
            <w:fldChar w:fldCharType="separate"/>
          </w:r>
          <w:r w:rsidR="00C1213C" w:rsidRPr="00C1213C">
            <w:rPr>
              <w:rFonts w:eastAsiaTheme="minorEastAsia"/>
              <w:noProof/>
              <w:sz w:val="24"/>
              <w:szCs w:val="24"/>
            </w:rPr>
            <w:t>(Glen, 2013)</w:t>
          </w:r>
          <w:r w:rsidR="00891EA4">
            <w:rPr>
              <w:rFonts w:eastAsiaTheme="minorEastAsia"/>
              <w:sz w:val="24"/>
              <w:szCs w:val="24"/>
            </w:rPr>
            <w:fldChar w:fldCharType="end"/>
          </w:r>
        </w:sdtContent>
      </w:sdt>
      <w:r w:rsidR="00891EA4">
        <w:rPr>
          <w:rFonts w:eastAsiaTheme="minorEastAsia"/>
          <w:sz w:val="24"/>
          <w:szCs w:val="24"/>
        </w:rPr>
        <w:t>.</w:t>
      </w:r>
      <w:r w:rsidR="008D0B39">
        <w:rPr>
          <w:rFonts w:eastAsiaTheme="minorEastAsia"/>
          <w:sz w:val="24"/>
          <w:szCs w:val="24"/>
        </w:rPr>
        <w:t xml:space="preserve"> NPV has limitations because it is hard to estimate if the company’s cost of capital will remain the same after four years.</w:t>
      </w:r>
      <w:r w:rsidR="00C1213C">
        <w:rPr>
          <w:rFonts w:eastAsiaTheme="minorEastAsia"/>
          <w:sz w:val="24"/>
          <w:szCs w:val="24"/>
        </w:rPr>
        <w:t xml:space="preserve"> To correctly estimate the cost of capital, it is necessary to calculate the Internal Rate of return.</w:t>
      </w:r>
    </w:p>
    <w:p w:rsidR="00A11CB8" w:rsidRDefault="003963B1" w:rsidP="00300A03">
      <w:pPr>
        <w:pStyle w:val="Heading1"/>
        <w:spacing w:after="100" w:afterAutospacing="1"/>
      </w:pPr>
      <w:bookmarkStart w:id="23" w:name="_Toc30151593"/>
      <w:r>
        <w:t>Internal Rate of Return (IRR)</w:t>
      </w:r>
      <w:bookmarkEnd w:id="23"/>
    </w:p>
    <w:p w:rsidR="003963B1" w:rsidRDefault="003963B1" w:rsidP="00C1213C">
      <w:pPr>
        <w:spacing w:line="360" w:lineRule="auto"/>
        <w:jc w:val="both"/>
        <w:rPr>
          <w:sz w:val="24"/>
          <w:szCs w:val="24"/>
        </w:rPr>
      </w:pPr>
      <w:r w:rsidRPr="003963B1">
        <w:rPr>
          <w:sz w:val="24"/>
          <w:szCs w:val="24"/>
        </w:rPr>
        <w:t>Internal Return Rate (IRR) is the minimum rate of discount used by management to assess what capital inve</w:t>
      </w:r>
      <w:bookmarkStart w:id="24" w:name="_GoBack"/>
      <w:bookmarkEnd w:id="24"/>
      <w:r w:rsidRPr="003963B1">
        <w:rPr>
          <w:sz w:val="24"/>
          <w:szCs w:val="24"/>
        </w:rPr>
        <w:t xml:space="preserve">stments or future projects would yield an appropriate return and be worth pursuing. The IRR for a particular project is the amount equating the net present value of future cash flows from the project to zero. In other words, if we used the internal rate as the discount rate to measure the </w:t>
      </w:r>
      <w:r w:rsidRPr="003963B1">
        <w:rPr>
          <w:sz w:val="24"/>
          <w:szCs w:val="24"/>
        </w:rPr>
        <w:lastRenderedPageBreak/>
        <w:t>present value of future cash flows from a potential project and subtracted the original investment, our net present val</w:t>
      </w:r>
      <w:r w:rsidR="00C1213C">
        <w:rPr>
          <w:sz w:val="24"/>
          <w:szCs w:val="24"/>
        </w:rPr>
        <w:t xml:space="preserve">ue of the project would be zero </w:t>
      </w:r>
      <w:sdt>
        <w:sdtPr>
          <w:rPr>
            <w:sz w:val="24"/>
            <w:szCs w:val="24"/>
          </w:rPr>
          <w:id w:val="-1684272720"/>
          <w:citation/>
        </w:sdtPr>
        <w:sdtEndPr/>
        <w:sdtContent>
          <w:r w:rsidR="00C1213C">
            <w:rPr>
              <w:sz w:val="24"/>
              <w:szCs w:val="24"/>
            </w:rPr>
            <w:fldChar w:fldCharType="begin"/>
          </w:r>
          <w:r w:rsidR="00C1213C">
            <w:rPr>
              <w:sz w:val="24"/>
              <w:szCs w:val="24"/>
            </w:rPr>
            <w:instrText xml:space="preserve"> CITATION Pog04 \l 2057 </w:instrText>
          </w:r>
          <w:r w:rsidR="00C1213C">
            <w:rPr>
              <w:sz w:val="24"/>
              <w:szCs w:val="24"/>
            </w:rPr>
            <w:fldChar w:fldCharType="separate"/>
          </w:r>
          <w:r w:rsidR="00C1213C" w:rsidRPr="00C1213C">
            <w:rPr>
              <w:noProof/>
              <w:sz w:val="24"/>
              <w:szCs w:val="24"/>
            </w:rPr>
            <w:t>(Pogue, 2004)</w:t>
          </w:r>
          <w:r w:rsidR="00C1213C">
            <w:rPr>
              <w:sz w:val="24"/>
              <w:szCs w:val="24"/>
            </w:rPr>
            <w:fldChar w:fldCharType="end"/>
          </w:r>
        </w:sdtContent>
      </w:sdt>
      <w:r w:rsidR="00C1213C">
        <w:rPr>
          <w:sz w:val="24"/>
          <w:szCs w:val="24"/>
        </w:rPr>
        <w:t>.</w:t>
      </w:r>
      <w:r w:rsidR="00E24764">
        <w:rPr>
          <w:sz w:val="24"/>
          <w:szCs w:val="24"/>
        </w:rPr>
        <w:t xml:space="preserve">  </w:t>
      </w:r>
      <w:r w:rsidR="003E31B7">
        <w:rPr>
          <w:sz w:val="24"/>
          <w:szCs w:val="24"/>
        </w:rPr>
        <w:t>Formula for IRR is:</w:t>
      </w:r>
    </w:p>
    <w:p w:rsidR="003E31B7" w:rsidRPr="003E31B7" w:rsidRDefault="003E31B7" w:rsidP="00C1213C">
      <w:pPr>
        <w:spacing w:line="360" w:lineRule="auto"/>
        <w:jc w:val="both"/>
        <w:rPr>
          <w:rFonts w:cstheme="minorHAnsi"/>
          <w:b/>
          <w:sz w:val="24"/>
          <w:szCs w:val="24"/>
        </w:rPr>
      </w:pPr>
      <w:r w:rsidRPr="003E31B7">
        <w:rPr>
          <w:rFonts w:cstheme="minorHAnsi"/>
          <w:b/>
          <w:sz w:val="24"/>
          <w:szCs w:val="24"/>
        </w:rPr>
        <w:t xml:space="preserve">IRR = </w:t>
      </w:r>
      <m:oMath>
        <m:sSub>
          <m:sSubPr>
            <m:ctrlPr>
              <w:rPr>
                <w:rFonts w:ascii="Cambria Math" w:hAnsi="Cambria Math" w:cstheme="minorHAnsi"/>
                <w:b/>
                <w:sz w:val="24"/>
                <w:szCs w:val="24"/>
              </w:rPr>
            </m:ctrlPr>
          </m:sSubPr>
          <m:e>
            <m:r>
              <m:rPr>
                <m:sty m:val="b"/>
              </m:rPr>
              <w:rPr>
                <w:rFonts w:ascii="Cambria Math" w:hAnsi="Cambria Math" w:cstheme="minorHAnsi"/>
                <w:sz w:val="24"/>
                <w:szCs w:val="24"/>
              </w:rPr>
              <m:t>r</m:t>
            </m:r>
          </m:e>
          <m:sub>
            <m:r>
              <m:rPr>
                <m:sty m:val="b"/>
              </m:rPr>
              <w:rPr>
                <w:rFonts w:ascii="Cambria Math" w:hAnsi="Cambria Math" w:cstheme="minorHAnsi"/>
                <w:sz w:val="24"/>
                <w:szCs w:val="24"/>
              </w:rPr>
              <m:t xml:space="preserve">n-1 </m:t>
            </m:r>
          </m:sub>
        </m:sSub>
        <m:r>
          <m:rPr>
            <m:sty m:val="b"/>
          </m:rPr>
          <w:rPr>
            <w:rFonts w:ascii="Cambria Math" w:hAnsi="Cambria Math" w:cstheme="minorHAnsi"/>
            <w:sz w:val="24"/>
            <w:szCs w:val="24"/>
          </w:rPr>
          <m:t xml:space="preserve">+ </m:t>
        </m:r>
        <m:f>
          <m:fPr>
            <m:ctrlPr>
              <w:rPr>
                <w:rFonts w:ascii="Cambria Math" w:hAnsi="Cambria Math" w:cstheme="minorHAnsi"/>
                <w:b/>
                <w:sz w:val="24"/>
                <w:szCs w:val="24"/>
              </w:rPr>
            </m:ctrlPr>
          </m:fPr>
          <m:num>
            <m:sSub>
              <m:sSubPr>
                <m:ctrlPr>
                  <w:rPr>
                    <w:rFonts w:ascii="Cambria Math" w:hAnsi="Cambria Math" w:cstheme="minorHAnsi"/>
                    <w:b/>
                    <w:sz w:val="24"/>
                    <w:szCs w:val="24"/>
                  </w:rPr>
                </m:ctrlPr>
              </m:sSubPr>
              <m:e>
                <m:r>
                  <m:rPr>
                    <m:sty m:val="b"/>
                  </m:rPr>
                  <w:rPr>
                    <w:rFonts w:ascii="Cambria Math" w:hAnsi="Cambria Math" w:cstheme="minorHAnsi"/>
                    <w:sz w:val="24"/>
                    <w:szCs w:val="24"/>
                  </w:rPr>
                  <m:t>NPV</m:t>
                </m:r>
              </m:e>
              <m:sub>
                <m:r>
                  <m:rPr>
                    <m:sty m:val="b"/>
                  </m:rPr>
                  <w:rPr>
                    <w:rFonts w:ascii="Cambria Math" w:hAnsi="Cambria Math" w:cstheme="minorHAnsi"/>
                    <w:sz w:val="24"/>
                    <w:szCs w:val="24"/>
                  </w:rPr>
                  <m:t>n-1</m:t>
                </m:r>
              </m:sub>
            </m:sSub>
          </m:num>
          <m:den>
            <m:sSub>
              <m:sSubPr>
                <m:ctrlPr>
                  <w:rPr>
                    <w:rFonts w:ascii="Cambria Math" w:hAnsi="Cambria Math" w:cstheme="minorHAnsi"/>
                    <w:b/>
                    <w:sz w:val="24"/>
                    <w:szCs w:val="24"/>
                  </w:rPr>
                </m:ctrlPr>
              </m:sSubPr>
              <m:e>
                <m:r>
                  <m:rPr>
                    <m:sty m:val="b"/>
                  </m:rPr>
                  <w:rPr>
                    <w:rFonts w:ascii="Cambria Math" w:hAnsi="Cambria Math" w:cstheme="minorHAnsi"/>
                    <w:sz w:val="24"/>
                    <w:szCs w:val="24"/>
                  </w:rPr>
                  <m:t>NPV</m:t>
                </m:r>
              </m:e>
              <m:sub>
                <m:r>
                  <m:rPr>
                    <m:sty m:val="b"/>
                  </m:rPr>
                  <w:rPr>
                    <w:rFonts w:ascii="Cambria Math" w:hAnsi="Cambria Math" w:cstheme="minorHAnsi"/>
                    <w:sz w:val="24"/>
                    <w:szCs w:val="24"/>
                  </w:rPr>
                  <m:t xml:space="preserve">n-1 </m:t>
                </m:r>
              </m:sub>
            </m:sSub>
            <m:r>
              <m:rPr>
                <m:sty m:val="b"/>
              </m:rPr>
              <w:rPr>
                <w:rFonts w:ascii="Cambria Math" w:hAnsi="Cambria Math" w:cstheme="minorHAnsi"/>
                <w:sz w:val="24"/>
                <w:szCs w:val="24"/>
              </w:rPr>
              <m:t xml:space="preserve">- </m:t>
            </m:r>
            <m:sSub>
              <m:sSubPr>
                <m:ctrlPr>
                  <w:rPr>
                    <w:rFonts w:ascii="Cambria Math" w:hAnsi="Cambria Math" w:cstheme="minorHAnsi"/>
                    <w:b/>
                    <w:sz w:val="24"/>
                    <w:szCs w:val="24"/>
                  </w:rPr>
                </m:ctrlPr>
              </m:sSubPr>
              <m:e>
                <m:r>
                  <m:rPr>
                    <m:sty m:val="b"/>
                  </m:rPr>
                  <w:rPr>
                    <w:rFonts w:ascii="Cambria Math" w:hAnsi="Cambria Math" w:cstheme="minorHAnsi"/>
                    <w:sz w:val="24"/>
                    <w:szCs w:val="24"/>
                  </w:rPr>
                  <m:t>NPV</m:t>
                </m:r>
              </m:e>
              <m:sub>
                <m:r>
                  <m:rPr>
                    <m:sty m:val="b"/>
                  </m:rPr>
                  <w:rPr>
                    <w:rFonts w:ascii="Cambria Math" w:hAnsi="Cambria Math" w:cstheme="minorHAnsi"/>
                    <w:sz w:val="24"/>
                    <w:szCs w:val="24"/>
                  </w:rPr>
                  <m:t>n</m:t>
                </m:r>
              </m:sub>
            </m:sSub>
          </m:den>
        </m:f>
        <m:r>
          <m:rPr>
            <m:sty m:val="b"/>
          </m:rPr>
          <w:rPr>
            <w:rFonts w:ascii="Cambria Math" w:hAnsi="Cambria Math" w:cstheme="minorHAnsi"/>
            <w:sz w:val="24"/>
            <w:szCs w:val="24"/>
          </w:rPr>
          <m:t>x(</m:t>
        </m:r>
        <m:sSub>
          <m:sSubPr>
            <m:ctrlPr>
              <w:rPr>
                <w:rFonts w:ascii="Cambria Math" w:hAnsi="Cambria Math" w:cstheme="minorHAnsi"/>
                <w:b/>
                <w:sz w:val="24"/>
                <w:szCs w:val="24"/>
              </w:rPr>
            </m:ctrlPr>
          </m:sSubPr>
          <m:e>
            <m:r>
              <m:rPr>
                <m:sty m:val="b"/>
              </m:rPr>
              <w:rPr>
                <w:rFonts w:ascii="Cambria Math" w:hAnsi="Cambria Math" w:cstheme="minorHAnsi"/>
                <w:sz w:val="24"/>
                <w:szCs w:val="24"/>
              </w:rPr>
              <m:t>r</m:t>
            </m:r>
          </m:e>
          <m:sub>
            <m:r>
              <m:rPr>
                <m:sty m:val="b"/>
              </m:rPr>
              <w:rPr>
                <w:rFonts w:ascii="Cambria Math" w:hAnsi="Cambria Math" w:cstheme="minorHAnsi"/>
                <w:sz w:val="24"/>
                <w:szCs w:val="24"/>
              </w:rPr>
              <m:t>n</m:t>
            </m:r>
          </m:sub>
        </m:sSub>
        <m:r>
          <m:rPr>
            <m:sty m:val="b"/>
          </m:rPr>
          <w:rPr>
            <w:rFonts w:ascii="Cambria Math" w:hAnsi="Cambria Math" w:cstheme="minorHAnsi"/>
            <w:sz w:val="24"/>
            <w:szCs w:val="24"/>
          </w:rPr>
          <m:t>-</m:t>
        </m:r>
        <m:sSub>
          <m:sSubPr>
            <m:ctrlPr>
              <w:rPr>
                <w:rFonts w:ascii="Cambria Math" w:hAnsi="Cambria Math" w:cstheme="minorHAnsi"/>
                <w:b/>
                <w:sz w:val="24"/>
                <w:szCs w:val="24"/>
              </w:rPr>
            </m:ctrlPr>
          </m:sSubPr>
          <m:e>
            <m:r>
              <m:rPr>
                <m:sty m:val="b"/>
              </m:rPr>
              <w:rPr>
                <w:rFonts w:ascii="Cambria Math" w:hAnsi="Cambria Math" w:cstheme="minorHAnsi"/>
                <w:sz w:val="24"/>
                <w:szCs w:val="24"/>
              </w:rPr>
              <m:t>r</m:t>
            </m:r>
          </m:e>
          <m:sub>
            <m:r>
              <m:rPr>
                <m:sty m:val="b"/>
              </m:rPr>
              <w:rPr>
                <w:rFonts w:ascii="Cambria Math" w:hAnsi="Cambria Math" w:cstheme="minorHAnsi"/>
                <w:sz w:val="24"/>
                <w:szCs w:val="24"/>
              </w:rPr>
              <m:t>n-1</m:t>
            </m:r>
          </m:sub>
        </m:sSub>
        <m:r>
          <m:rPr>
            <m:sty m:val="b"/>
          </m:rPr>
          <w:rPr>
            <w:rFonts w:ascii="Cambria Math" w:hAnsi="Cambria Math" w:cstheme="minorHAnsi"/>
            <w:sz w:val="24"/>
            <w:szCs w:val="24"/>
          </w:rPr>
          <m:t>)</m:t>
        </m:r>
      </m:oMath>
    </w:p>
    <w:p w:rsidR="008B080C" w:rsidRDefault="008B080C" w:rsidP="0073699A">
      <w:pPr>
        <w:jc w:val="both"/>
        <w:rPr>
          <w:sz w:val="24"/>
          <w:szCs w:val="24"/>
        </w:rPr>
      </w:pPr>
    </w:p>
    <w:p w:rsidR="00F9075D" w:rsidRDefault="008B080C" w:rsidP="0073699A">
      <w:pPr>
        <w:jc w:val="both"/>
        <w:rPr>
          <w:sz w:val="24"/>
          <w:szCs w:val="24"/>
        </w:rPr>
      </w:pPr>
      <w:r>
        <w:rPr>
          <w:sz w:val="24"/>
          <w:szCs w:val="24"/>
        </w:rPr>
        <w:t>To calculate the IRR, we need to determine the cost of capital value when NPV is equal to zero. It is a very laborious method and it is called “Try &amp;Error”.  Therefore, we will use the tools provided by Excel</w:t>
      </w:r>
      <w:r w:rsidR="008B2F4E">
        <w:rPr>
          <w:sz w:val="24"/>
          <w:szCs w:val="24"/>
        </w:rPr>
        <w:t xml:space="preserve"> from MS Office</w:t>
      </w:r>
      <w:r>
        <w:rPr>
          <w:sz w:val="24"/>
          <w:szCs w:val="24"/>
        </w:rPr>
        <w:t xml:space="preserve"> that in</w:t>
      </w:r>
      <w:r w:rsidR="00F9075D">
        <w:rPr>
          <w:sz w:val="24"/>
          <w:szCs w:val="24"/>
        </w:rPr>
        <w:t>cludes formulas for NPV and IRR</w:t>
      </w:r>
      <w:r w:rsidR="008B2F4E">
        <w:rPr>
          <w:sz w:val="24"/>
          <w:szCs w:val="24"/>
        </w:rPr>
        <w:t>.</w:t>
      </w:r>
    </w:p>
    <w:p w:rsidR="00F9075D" w:rsidRDefault="00F9075D" w:rsidP="0073699A">
      <w:pPr>
        <w:jc w:val="both"/>
        <w:rPr>
          <w:sz w:val="24"/>
          <w:szCs w:val="24"/>
        </w:rPr>
      </w:pPr>
      <w:r w:rsidRPr="00300A03">
        <w:rPr>
          <w:b/>
          <w:sz w:val="24"/>
          <w:szCs w:val="24"/>
        </w:rPr>
        <w:t>Table 3.</w:t>
      </w:r>
      <w:r>
        <w:rPr>
          <w:sz w:val="24"/>
          <w:szCs w:val="24"/>
        </w:rPr>
        <w:t xml:space="preserve"> </w:t>
      </w:r>
      <w:r w:rsidR="005D18AA">
        <w:rPr>
          <w:sz w:val="24"/>
          <w:szCs w:val="24"/>
        </w:rPr>
        <w:t>Project A and B cash flows with NPV and IRR calculated using Excel</w:t>
      </w:r>
    </w:p>
    <w:tbl>
      <w:tblPr>
        <w:tblW w:w="4260" w:type="dxa"/>
        <w:tblInd w:w="-5" w:type="dxa"/>
        <w:tblLook w:val="04A0" w:firstRow="1" w:lastRow="0" w:firstColumn="1" w:lastColumn="0" w:noHBand="0" w:noVBand="1"/>
      </w:tblPr>
      <w:tblGrid>
        <w:gridCol w:w="1640"/>
        <w:gridCol w:w="1280"/>
        <w:gridCol w:w="1340"/>
      </w:tblGrid>
      <w:tr w:rsidR="008B080C" w:rsidRPr="008B080C" w:rsidTr="008B080C">
        <w:trPr>
          <w:trHeight w:val="315"/>
        </w:trPr>
        <w:tc>
          <w:tcPr>
            <w:tcW w:w="1640" w:type="dxa"/>
            <w:tcBorders>
              <w:top w:val="single" w:sz="4" w:space="0" w:color="auto"/>
              <w:left w:val="single" w:sz="4" w:space="0" w:color="auto"/>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Year</w:t>
            </w:r>
          </w:p>
        </w:tc>
        <w:tc>
          <w:tcPr>
            <w:tcW w:w="1280" w:type="dxa"/>
            <w:tcBorders>
              <w:top w:val="single" w:sz="4" w:space="0" w:color="auto"/>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Project A</w:t>
            </w:r>
          </w:p>
        </w:tc>
        <w:tc>
          <w:tcPr>
            <w:tcW w:w="1340" w:type="dxa"/>
            <w:tcBorders>
              <w:top w:val="single" w:sz="4" w:space="0" w:color="auto"/>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Project B</w:t>
            </w:r>
          </w:p>
        </w:tc>
      </w:tr>
      <w:tr w:rsidR="008B080C" w:rsidRPr="008B080C" w:rsidTr="008B080C">
        <w:trPr>
          <w:trHeight w:val="315"/>
        </w:trPr>
        <w:tc>
          <w:tcPr>
            <w:tcW w:w="1640" w:type="dxa"/>
            <w:tcBorders>
              <w:top w:val="nil"/>
              <w:left w:val="single" w:sz="4" w:space="0" w:color="auto"/>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0</w:t>
            </w:r>
          </w:p>
        </w:tc>
        <w:tc>
          <w:tcPr>
            <w:tcW w:w="128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-103</w:t>
            </w:r>
          </w:p>
        </w:tc>
        <w:tc>
          <w:tcPr>
            <w:tcW w:w="134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-115</w:t>
            </w:r>
          </w:p>
        </w:tc>
      </w:tr>
      <w:tr w:rsidR="008B080C" w:rsidRPr="008B080C" w:rsidTr="008B080C">
        <w:trPr>
          <w:trHeight w:val="315"/>
        </w:trPr>
        <w:tc>
          <w:tcPr>
            <w:tcW w:w="1640" w:type="dxa"/>
            <w:tcBorders>
              <w:top w:val="nil"/>
              <w:left w:val="single" w:sz="4" w:space="0" w:color="auto"/>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1</w:t>
            </w:r>
          </w:p>
        </w:tc>
        <w:tc>
          <w:tcPr>
            <w:tcW w:w="128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10</w:t>
            </w:r>
          </w:p>
        </w:tc>
        <w:tc>
          <w:tcPr>
            <w:tcW w:w="134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60</w:t>
            </w:r>
          </w:p>
        </w:tc>
      </w:tr>
      <w:tr w:rsidR="008B080C" w:rsidRPr="008B080C" w:rsidTr="008B080C">
        <w:trPr>
          <w:trHeight w:val="315"/>
        </w:trPr>
        <w:tc>
          <w:tcPr>
            <w:tcW w:w="1640" w:type="dxa"/>
            <w:tcBorders>
              <w:top w:val="nil"/>
              <w:left w:val="single" w:sz="4" w:space="0" w:color="auto"/>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2</w:t>
            </w:r>
          </w:p>
        </w:tc>
        <w:tc>
          <w:tcPr>
            <w:tcW w:w="128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30</w:t>
            </w:r>
          </w:p>
        </w:tc>
        <w:tc>
          <w:tcPr>
            <w:tcW w:w="134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40</w:t>
            </w:r>
          </w:p>
        </w:tc>
      </w:tr>
      <w:tr w:rsidR="008B080C" w:rsidRPr="008B080C" w:rsidTr="008B080C">
        <w:trPr>
          <w:trHeight w:val="315"/>
        </w:trPr>
        <w:tc>
          <w:tcPr>
            <w:tcW w:w="1640" w:type="dxa"/>
            <w:tcBorders>
              <w:top w:val="nil"/>
              <w:left w:val="single" w:sz="4" w:space="0" w:color="auto"/>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3</w:t>
            </w:r>
          </w:p>
        </w:tc>
        <w:tc>
          <w:tcPr>
            <w:tcW w:w="128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50</w:t>
            </w:r>
          </w:p>
        </w:tc>
        <w:tc>
          <w:tcPr>
            <w:tcW w:w="134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60</w:t>
            </w:r>
          </w:p>
        </w:tc>
      </w:tr>
      <w:tr w:rsidR="008B080C" w:rsidRPr="008B080C" w:rsidTr="008B080C">
        <w:trPr>
          <w:trHeight w:val="315"/>
        </w:trPr>
        <w:tc>
          <w:tcPr>
            <w:tcW w:w="1640" w:type="dxa"/>
            <w:tcBorders>
              <w:top w:val="nil"/>
              <w:left w:val="single" w:sz="4" w:space="0" w:color="auto"/>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4</w:t>
            </w:r>
          </w:p>
        </w:tc>
        <w:tc>
          <w:tcPr>
            <w:tcW w:w="128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65</w:t>
            </w:r>
          </w:p>
        </w:tc>
        <w:tc>
          <w:tcPr>
            <w:tcW w:w="134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5</w:t>
            </w:r>
          </w:p>
        </w:tc>
      </w:tr>
      <w:tr w:rsidR="008B080C" w:rsidRPr="008B080C" w:rsidTr="008B080C">
        <w:trPr>
          <w:trHeight w:val="315"/>
        </w:trPr>
        <w:tc>
          <w:tcPr>
            <w:tcW w:w="1640" w:type="dxa"/>
            <w:tcBorders>
              <w:top w:val="nil"/>
              <w:left w:val="single" w:sz="4" w:space="0" w:color="auto"/>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 </w:t>
            </w:r>
          </w:p>
        </w:tc>
        <w:tc>
          <w:tcPr>
            <w:tcW w:w="1280" w:type="dxa"/>
            <w:tcBorders>
              <w:top w:val="nil"/>
              <w:left w:val="nil"/>
              <w:bottom w:val="single" w:sz="4" w:space="0" w:color="auto"/>
              <w:right w:val="single" w:sz="4" w:space="0" w:color="auto"/>
            </w:tcBorders>
            <w:shd w:val="clear" w:color="auto" w:fill="auto"/>
            <w:noWrap/>
            <w:vAlign w:val="bottom"/>
            <w:hideMark/>
          </w:tcPr>
          <w:p w:rsidR="008B080C" w:rsidRPr="008B080C" w:rsidRDefault="008B080C" w:rsidP="008B080C">
            <w:pPr>
              <w:spacing w:after="0" w:line="240" w:lineRule="auto"/>
              <w:rPr>
                <w:rFonts w:ascii="Calibri" w:eastAsia="Times New Roman" w:hAnsi="Calibri" w:cs="Calibri"/>
                <w:color w:val="000000"/>
                <w:sz w:val="24"/>
                <w:szCs w:val="24"/>
                <w:lang w:eastAsia="en-GB"/>
              </w:rPr>
            </w:pPr>
            <w:r w:rsidRPr="008B080C">
              <w:rPr>
                <w:rFonts w:ascii="Calibri" w:eastAsia="Times New Roman" w:hAnsi="Calibri" w:cs="Calibri"/>
                <w:color w:val="000000"/>
                <w:sz w:val="24"/>
                <w:szCs w:val="24"/>
                <w:lang w:eastAsia="en-GB"/>
              </w:rPr>
              <w:t> </w:t>
            </w:r>
          </w:p>
        </w:tc>
        <w:tc>
          <w:tcPr>
            <w:tcW w:w="1340" w:type="dxa"/>
            <w:tcBorders>
              <w:top w:val="nil"/>
              <w:left w:val="nil"/>
              <w:bottom w:val="single" w:sz="4" w:space="0" w:color="auto"/>
              <w:right w:val="single" w:sz="4" w:space="0" w:color="auto"/>
            </w:tcBorders>
            <w:shd w:val="clear" w:color="auto" w:fill="auto"/>
            <w:noWrap/>
            <w:vAlign w:val="center"/>
            <w:hideMark/>
          </w:tcPr>
          <w:p w:rsidR="008B080C" w:rsidRPr="008B080C" w:rsidRDefault="008B080C" w:rsidP="008B080C">
            <w:pPr>
              <w:spacing w:after="0" w:line="240" w:lineRule="auto"/>
              <w:rPr>
                <w:rFonts w:ascii="Calibri" w:eastAsia="Times New Roman" w:hAnsi="Calibri" w:cs="Calibri"/>
                <w:color w:val="000000"/>
                <w:sz w:val="24"/>
                <w:szCs w:val="24"/>
                <w:lang w:eastAsia="en-GB"/>
              </w:rPr>
            </w:pPr>
            <w:r w:rsidRPr="008B080C">
              <w:rPr>
                <w:rFonts w:ascii="Calibri" w:eastAsia="Times New Roman" w:hAnsi="Calibri" w:cs="Calibri"/>
                <w:color w:val="000000"/>
                <w:sz w:val="24"/>
                <w:szCs w:val="24"/>
                <w:lang w:eastAsia="en-GB"/>
              </w:rPr>
              <w:t> </w:t>
            </w:r>
          </w:p>
        </w:tc>
      </w:tr>
      <w:tr w:rsidR="008B080C" w:rsidRPr="008B080C" w:rsidTr="008B080C">
        <w:trPr>
          <w:trHeight w:val="315"/>
        </w:trPr>
        <w:tc>
          <w:tcPr>
            <w:tcW w:w="1640" w:type="dxa"/>
            <w:tcBorders>
              <w:top w:val="nil"/>
              <w:left w:val="nil"/>
              <w:bottom w:val="nil"/>
              <w:right w:val="nil"/>
            </w:tcBorders>
            <w:shd w:val="clear" w:color="auto" w:fill="auto"/>
            <w:noWrap/>
            <w:vAlign w:val="bottom"/>
            <w:hideMark/>
          </w:tcPr>
          <w:p w:rsidR="008B080C" w:rsidRPr="008B080C" w:rsidRDefault="008B080C" w:rsidP="008B080C">
            <w:pPr>
              <w:spacing w:after="0" w:line="240" w:lineRule="auto"/>
              <w:rPr>
                <w:rFonts w:ascii="Calibri" w:eastAsia="Times New Roman" w:hAnsi="Calibri" w:cs="Calibri"/>
                <w:color w:val="000000"/>
                <w:sz w:val="24"/>
                <w:szCs w:val="24"/>
                <w:lang w:eastAsia="en-GB"/>
              </w:rPr>
            </w:pPr>
            <w:r w:rsidRPr="008B080C">
              <w:rPr>
                <w:rFonts w:ascii="Calibri" w:eastAsia="Times New Roman" w:hAnsi="Calibri" w:cs="Calibri"/>
                <w:color w:val="000000"/>
                <w:sz w:val="24"/>
                <w:szCs w:val="24"/>
                <w:lang w:eastAsia="en-GB"/>
              </w:rPr>
              <w:t>Cost of capital</w:t>
            </w:r>
          </w:p>
        </w:tc>
        <w:tc>
          <w:tcPr>
            <w:tcW w:w="1280" w:type="dxa"/>
            <w:tcBorders>
              <w:top w:val="nil"/>
              <w:left w:val="nil"/>
              <w:bottom w:val="nil"/>
              <w:right w:val="nil"/>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0.0873</w:t>
            </w:r>
          </w:p>
        </w:tc>
        <w:tc>
          <w:tcPr>
            <w:tcW w:w="1340" w:type="dxa"/>
            <w:tcBorders>
              <w:top w:val="nil"/>
              <w:left w:val="nil"/>
              <w:bottom w:val="nil"/>
              <w:right w:val="nil"/>
            </w:tcBorders>
            <w:shd w:val="clear" w:color="auto" w:fill="auto"/>
            <w:noWrap/>
            <w:vAlign w:val="center"/>
            <w:hideMark/>
          </w:tcPr>
          <w:p w:rsidR="008B080C" w:rsidRPr="008B080C" w:rsidRDefault="008B080C" w:rsidP="008B080C">
            <w:pPr>
              <w:spacing w:after="0" w:line="240" w:lineRule="auto"/>
              <w:jc w:val="right"/>
              <w:rPr>
                <w:rFonts w:ascii="Times New Roman" w:eastAsia="Times New Roman" w:hAnsi="Times New Roman" w:cs="Times New Roman"/>
                <w:color w:val="000000"/>
                <w:sz w:val="24"/>
                <w:szCs w:val="24"/>
                <w:lang w:eastAsia="en-GB"/>
              </w:rPr>
            </w:pPr>
            <w:r w:rsidRPr="008B080C">
              <w:rPr>
                <w:rFonts w:ascii="Times New Roman" w:eastAsia="Times New Roman" w:hAnsi="Times New Roman" w:cs="Times New Roman"/>
                <w:color w:val="000000"/>
                <w:sz w:val="24"/>
                <w:szCs w:val="24"/>
                <w:lang w:eastAsia="en-GB"/>
              </w:rPr>
              <w:t>0.0873</w:t>
            </w:r>
          </w:p>
        </w:tc>
      </w:tr>
      <w:tr w:rsidR="008B080C" w:rsidRPr="008B080C" w:rsidTr="008B080C">
        <w:trPr>
          <w:trHeight w:val="300"/>
        </w:trPr>
        <w:tc>
          <w:tcPr>
            <w:tcW w:w="1640" w:type="dxa"/>
            <w:tcBorders>
              <w:top w:val="nil"/>
              <w:left w:val="nil"/>
              <w:bottom w:val="nil"/>
              <w:right w:val="nil"/>
            </w:tcBorders>
            <w:shd w:val="clear" w:color="auto" w:fill="auto"/>
            <w:noWrap/>
            <w:vAlign w:val="center"/>
            <w:hideMark/>
          </w:tcPr>
          <w:p w:rsidR="008B080C" w:rsidRPr="00F9075D" w:rsidRDefault="008B080C" w:rsidP="008B080C">
            <w:pPr>
              <w:spacing w:after="0" w:line="240" w:lineRule="auto"/>
              <w:rPr>
                <w:rFonts w:ascii="Calibri" w:eastAsia="Times New Roman" w:hAnsi="Calibri" w:cs="Calibri"/>
                <w:b/>
                <w:color w:val="000000"/>
                <w:lang w:eastAsia="en-GB"/>
              </w:rPr>
            </w:pPr>
            <w:r w:rsidRPr="00F9075D">
              <w:rPr>
                <w:rFonts w:ascii="Calibri" w:eastAsia="Times New Roman" w:hAnsi="Calibri" w:cs="Calibri"/>
                <w:b/>
                <w:color w:val="000000"/>
                <w:lang w:eastAsia="en-GB"/>
              </w:rPr>
              <w:t>NPV</w:t>
            </w:r>
          </w:p>
        </w:tc>
        <w:tc>
          <w:tcPr>
            <w:tcW w:w="1280" w:type="dxa"/>
            <w:tcBorders>
              <w:top w:val="nil"/>
              <w:left w:val="nil"/>
              <w:bottom w:val="nil"/>
              <w:right w:val="nil"/>
            </w:tcBorders>
            <w:shd w:val="clear" w:color="auto" w:fill="auto"/>
            <w:noWrap/>
            <w:vAlign w:val="center"/>
            <w:hideMark/>
          </w:tcPr>
          <w:p w:rsidR="008B080C" w:rsidRPr="00F9075D" w:rsidRDefault="008B080C" w:rsidP="008B080C">
            <w:pPr>
              <w:spacing w:after="0" w:line="240" w:lineRule="auto"/>
              <w:jc w:val="right"/>
              <w:rPr>
                <w:rFonts w:ascii="Calibri" w:eastAsia="Times New Roman" w:hAnsi="Calibri" w:cs="Calibri"/>
                <w:b/>
                <w:color w:val="000000"/>
                <w:lang w:eastAsia="en-GB"/>
              </w:rPr>
            </w:pPr>
            <w:r w:rsidRPr="00F9075D">
              <w:rPr>
                <w:rFonts w:ascii="Calibri" w:eastAsia="Times New Roman" w:hAnsi="Calibri" w:cs="Calibri"/>
                <w:b/>
                <w:color w:val="000000"/>
                <w:lang w:eastAsia="en-GB"/>
              </w:rPr>
              <w:t>£16.98</w:t>
            </w:r>
          </w:p>
        </w:tc>
        <w:tc>
          <w:tcPr>
            <w:tcW w:w="1340" w:type="dxa"/>
            <w:tcBorders>
              <w:top w:val="nil"/>
              <w:left w:val="nil"/>
              <w:bottom w:val="nil"/>
              <w:right w:val="nil"/>
            </w:tcBorders>
            <w:shd w:val="clear" w:color="auto" w:fill="auto"/>
            <w:noWrap/>
            <w:vAlign w:val="center"/>
            <w:hideMark/>
          </w:tcPr>
          <w:p w:rsidR="008B080C" w:rsidRPr="00F9075D" w:rsidRDefault="008B080C" w:rsidP="008B080C">
            <w:pPr>
              <w:spacing w:after="0" w:line="240" w:lineRule="auto"/>
              <w:jc w:val="right"/>
              <w:rPr>
                <w:rFonts w:ascii="Calibri" w:eastAsia="Times New Roman" w:hAnsi="Calibri" w:cs="Calibri"/>
                <w:b/>
                <w:color w:val="000000"/>
                <w:lang w:eastAsia="en-GB"/>
              </w:rPr>
            </w:pPr>
            <w:r w:rsidRPr="00F9075D">
              <w:rPr>
                <w:rFonts w:ascii="Calibri" w:eastAsia="Times New Roman" w:hAnsi="Calibri" w:cs="Calibri"/>
                <w:b/>
                <w:color w:val="000000"/>
                <w:lang w:eastAsia="en-GB"/>
              </w:rPr>
              <w:t>£24.27</w:t>
            </w:r>
          </w:p>
        </w:tc>
      </w:tr>
      <w:tr w:rsidR="008B080C" w:rsidRPr="008B080C" w:rsidTr="008B080C">
        <w:trPr>
          <w:trHeight w:val="300"/>
        </w:trPr>
        <w:tc>
          <w:tcPr>
            <w:tcW w:w="1640" w:type="dxa"/>
            <w:tcBorders>
              <w:top w:val="nil"/>
              <w:left w:val="nil"/>
              <w:bottom w:val="nil"/>
              <w:right w:val="nil"/>
            </w:tcBorders>
            <w:shd w:val="clear" w:color="auto" w:fill="auto"/>
            <w:noWrap/>
            <w:vAlign w:val="center"/>
            <w:hideMark/>
          </w:tcPr>
          <w:p w:rsidR="008B080C" w:rsidRPr="00F9075D" w:rsidRDefault="008B080C" w:rsidP="008B080C">
            <w:pPr>
              <w:spacing w:after="0" w:line="240" w:lineRule="auto"/>
              <w:rPr>
                <w:rFonts w:ascii="Calibri" w:eastAsia="Times New Roman" w:hAnsi="Calibri" w:cs="Calibri"/>
                <w:b/>
                <w:color w:val="000000"/>
                <w:lang w:eastAsia="en-GB"/>
              </w:rPr>
            </w:pPr>
            <w:r w:rsidRPr="00F9075D">
              <w:rPr>
                <w:rFonts w:ascii="Calibri" w:eastAsia="Times New Roman" w:hAnsi="Calibri" w:cs="Calibri"/>
                <w:b/>
                <w:color w:val="000000"/>
                <w:lang w:eastAsia="en-GB"/>
              </w:rPr>
              <w:t>IRR</w:t>
            </w:r>
          </w:p>
        </w:tc>
        <w:tc>
          <w:tcPr>
            <w:tcW w:w="1280" w:type="dxa"/>
            <w:tcBorders>
              <w:top w:val="nil"/>
              <w:left w:val="nil"/>
              <w:bottom w:val="nil"/>
              <w:right w:val="nil"/>
            </w:tcBorders>
            <w:shd w:val="clear" w:color="auto" w:fill="auto"/>
            <w:noWrap/>
            <w:vAlign w:val="center"/>
            <w:hideMark/>
          </w:tcPr>
          <w:p w:rsidR="008B080C" w:rsidRPr="00F9075D" w:rsidRDefault="008B080C" w:rsidP="008B080C">
            <w:pPr>
              <w:spacing w:after="0" w:line="240" w:lineRule="auto"/>
              <w:jc w:val="right"/>
              <w:rPr>
                <w:rFonts w:ascii="Calibri" w:eastAsia="Times New Roman" w:hAnsi="Calibri" w:cs="Calibri"/>
                <w:b/>
                <w:color w:val="000000"/>
                <w:lang w:eastAsia="en-GB"/>
              </w:rPr>
            </w:pPr>
            <w:r w:rsidRPr="00F9075D">
              <w:rPr>
                <w:rFonts w:ascii="Calibri" w:eastAsia="Times New Roman" w:hAnsi="Calibri" w:cs="Calibri"/>
                <w:b/>
                <w:color w:val="000000"/>
                <w:lang w:eastAsia="en-GB"/>
              </w:rPr>
              <w:t>14.40%</w:t>
            </w:r>
          </w:p>
        </w:tc>
        <w:tc>
          <w:tcPr>
            <w:tcW w:w="1340" w:type="dxa"/>
            <w:tcBorders>
              <w:top w:val="nil"/>
              <w:left w:val="nil"/>
              <w:bottom w:val="nil"/>
              <w:right w:val="nil"/>
            </w:tcBorders>
            <w:shd w:val="clear" w:color="auto" w:fill="auto"/>
            <w:noWrap/>
            <w:vAlign w:val="center"/>
            <w:hideMark/>
          </w:tcPr>
          <w:p w:rsidR="008B080C" w:rsidRPr="00F9075D" w:rsidRDefault="008B080C" w:rsidP="008B080C">
            <w:pPr>
              <w:spacing w:after="0" w:line="240" w:lineRule="auto"/>
              <w:jc w:val="right"/>
              <w:rPr>
                <w:rFonts w:ascii="Calibri" w:eastAsia="Times New Roman" w:hAnsi="Calibri" w:cs="Calibri"/>
                <w:b/>
                <w:color w:val="000000"/>
                <w:lang w:eastAsia="en-GB"/>
              </w:rPr>
            </w:pPr>
            <w:r w:rsidRPr="00F9075D">
              <w:rPr>
                <w:rFonts w:ascii="Calibri" w:eastAsia="Times New Roman" w:hAnsi="Calibri" w:cs="Calibri"/>
                <w:b/>
                <w:color w:val="000000"/>
                <w:lang w:eastAsia="en-GB"/>
              </w:rPr>
              <w:t>19.95%</w:t>
            </w:r>
          </w:p>
        </w:tc>
      </w:tr>
    </w:tbl>
    <w:p w:rsidR="008B080C" w:rsidRDefault="00F9075D" w:rsidP="0073699A">
      <w:pPr>
        <w:jc w:val="both"/>
        <w:rPr>
          <w:sz w:val="24"/>
          <w:szCs w:val="24"/>
        </w:rPr>
      </w:pPr>
      <w:r w:rsidRPr="00F9075D">
        <w:rPr>
          <w:sz w:val="24"/>
          <w:szCs w:val="24"/>
        </w:rPr>
        <w:t>For capital budgeting, companies use IRR to compare the feasibility of capital projects with respect to the rate of return. A company, for example, will measure an investment in a new plant to an expansion of an existing plant based on each project's IRR. The higher the IRR for a project, the more desirable it is to undertake the project, to maximise returns. The project with the highest IRR would be considered the best, and initially</w:t>
      </w:r>
      <w:r w:rsidR="005D18AA">
        <w:rPr>
          <w:sz w:val="24"/>
          <w:szCs w:val="24"/>
        </w:rPr>
        <w:t xml:space="preserve"> undertaken to maximise returns. In our case, project B has the highest Internal Rate of Return.</w:t>
      </w:r>
    </w:p>
    <w:p w:rsidR="005D18AA" w:rsidRDefault="007D191B" w:rsidP="00300A03">
      <w:pPr>
        <w:pStyle w:val="Heading1"/>
        <w:spacing w:after="100" w:afterAutospacing="1"/>
      </w:pPr>
      <w:bookmarkStart w:id="25" w:name="_Toc30151594"/>
      <w:r>
        <w:t xml:space="preserve">Part C: </w:t>
      </w:r>
      <w:r w:rsidR="005D18AA">
        <w:t>Conclusion</w:t>
      </w:r>
      <w:bookmarkEnd w:id="25"/>
    </w:p>
    <w:p w:rsidR="005D18AA" w:rsidRDefault="005D18AA" w:rsidP="0073699A">
      <w:pPr>
        <w:jc w:val="both"/>
        <w:rPr>
          <w:sz w:val="24"/>
          <w:szCs w:val="24"/>
        </w:rPr>
      </w:pPr>
      <w:r>
        <w:rPr>
          <w:sz w:val="24"/>
          <w:szCs w:val="24"/>
        </w:rPr>
        <w:t xml:space="preserve">To clearly understand and evaluate the values of Payback Period, Accounting Rate of Return, Net Present Value and Internal Rate of return, they are represented in the following table. </w:t>
      </w:r>
    </w:p>
    <w:p w:rsidR="005D18AA" w:rsidRDefault="005D18AA" w:rsidP="0073699A">
      <w:pPr>
        <w:jc w:val="both"/>
        <w:rPr>
          <w:sz w:val="24"/>
          <w:szCs w:val="24"/>
        </w:rPr>
      </w:pPr>
      <w:r w:rsidRPr="000B36DE">
        <w:rPr>
          <w:b/>
          <w:sz w:val="24"/>
          <w:szCs w:val="24"/>
        </w:rPr>
        <w:t>Table 4.</w:t>
      </w:r>
      <w:r>
        <w:rPr>
          <w:sz w:val="24"/>
          <w:szCs w:val="24"/>
        </w:rPr>
        <w:t xml:space="preserve"> PBP, ARR, NPV and IRR </w:t>
      </w:r>
    </w:p>
    <w:tbl>
      <w:tblPr>
        <w:tblStyle w:val="TableGrid"/>
        <w:tblW w:w="0" w:type="auto"/>
        <w:tblLook w:val="04A0" w:firstRow="1" w:lastRow="0" w:firstColumn="1" w:lastColumn="0" w:noHBand="0" w:noVBand="1"/>
      </w:tblPr>
      <w:tblGrid>
        <w:gridCol w:w="2254"/>
        <w:gridCol w:w="2254"/>
        <w:gridCol w:w="2254"/>
        <w:gridCol w:w="2254"/>
      </w:tblGrid>
      <w:tr w:rsidR="005D18AA" w:rsidTr="005D18AA">
        <w:tc>
          <w:tcPr>
            <w:tcW w:w="2254" w:type="dxa"/>
          </w:tcPr>
          <w:p w:rsidR="005D18AA" w:rsidRPr="004957BA" w:rsidRDefault="005D18AA" w:rsidP="0073699A">
            <w:pPr>
              <w:jc w:val="both"/>
              <w:rPr>
                <w:b/>
                <w:sz w:val="24"/>
                <w:szCs w:val="24"/>
              </w:rPr>
            </w:pPr>
            <w:r w:rsidRPr="004957BA">
              <w:rPr>
                <w:b/>
                <w:sz w:val="24"/>
                <w:szCs w:val="24"/>
              </w:rPr>
              <w:t>Ratio</w:t>
            </w:r>
          </w:p>
        </w:tc>
        <w:tc>
          <w:tcPr>
            <w:tcW w:w="2254" w:type="dxa"/>
          </w:tcPr>
          <w:p w:rsidR="005D18AA" w:rsidRPr="004957BA" w:rsidRDefault="005D18AA" w:rsidP="0073699A">
            <w:pPr>
              <w:jc w:val="both"/>
              <w:rPr>
                <w:b/>
                <w:sz w:val="24"/>
                <w:szCs w:val="24"/>
              </w:rPr>
            </w:pPr>
            <w:r w:rsidRPr="004957BA">
              <w:rPr>
                <w:b/>
                <w:sz w:val="24"/>
                <w:szCs w:val="24"/>
              </w:rPr>
              <w:t>Project A</w:t>
            </w:r>
          </w:p>
        </w:tc>
        <w:tc>
          <w:tcPr>
            <w:tcW w:w="2254" w:type="dxa"/>
          </w:tcPr>
          <w:p w:rsidR="005D18AA" w:rsidRPr="004957BA" w:rsidRDefault="005D18AA" w:rsidP="0073699A">
            <w:pPr>
              <w:jc w:val="both"/>
              <w:rPr>
                <w:b/>
                <w:sz w:val="24"/>
                <w:szCs w:val="24"/>
              </w:rPr>
            </w:pPr>
            <w:r w:rsidRPr="004957BA">
              <w:rPr>
                <w:b/>
                <w:sz w:val="24"/>
                <w:szCs w:val="24"/>
              </w:rPr>
              <w:t>Project B</w:t>
            </w:r>
          </w:p>
        </w:tc>
        <w:tc>
          <w:tcPr>
            <w:tcW w:w="2254" w:type="dxa"/>
          </w:tcPr>
          <w:p w:rsidR="005D18AA" w:rsidRPr="004957BA" w:rsidRDefault="005D18AA" w:rsidP="0073699A">
            <w:pPr>
              <w:jc w:val="both"/>
              <w:rPr>
                <w:b/>
                <w:sz w:val="24"/>
                <w:szCs w:val="24"/>
              </w:rPr>
            </w:pPr>
            <w:r w:rsidRPr="004957BA">
              <w:rPr>
                <w:b/>
                <w:sz w:val="24"/>
                <w:szCs w:val="24"/>
              </w:rPr>
              <w:t>Evaluation</w:t>
            </w:r>
          </w:p>
        </w:tc>
      </w:tr>
      <w:tr w:rsidR="005D18AA" w:rsidTr="005D18AA">
        <w:tc>
          <w:tcPr>
            <w:tcW w:w="2254" w:type="dxa"/>
          </w:tcPr>
          <w:p w:rsidR="005D18AA" w:rsidRDefault="005D18AA" w:rsidP="0073699A">
            <w:pPr>
              <w:jc w:val="both"/>
              <w:rPr>
                <w:sz w:val="24"/>
                <w:szCs w:val="24"/>
              </w:rPr>
            </w:pPr>
            <w:r>
              <w:rPr>
                <w:sz w:val="24"/>
                <w:szCs w:val="24"/>
              </w:rPr>
              <w:t>PBP</w:t>
            </w:r>
          </w:p>
        </w:tc>
        <w:tc>
          <w:tcPr>
            <w:tcW w:w="2254" w:type="dxa"/>
          </w:tcPr>
          <w:p w:rsidR="005D18AA" w:rsidRDefault="005D18AA" w:rsidP="0073699A">
            <w:pPr>
              <w:jc w:val="both"/>
              <w:rPr>
                <w:sz w:val="24"/>
                <w:szCs w:val="24"/>
              </w:rPr>
            </w:pPr>
            <w:r>
              <w:rPr>
                <w:sz w:val="24"/>
                <w:szCs w:val="24"/>
              </w:rPr>
              <w:t>3.2 years</w:t>
            </w:r>
          </w:p>
        </w:tc>
        <w:tc>
          <w:tcPr>
            <w:tcW w:w="2254" w:type="dxa"/>
          </w:tcPr>
          <w:p w:rsidR="005D18AA" w:rsidRDefault="005D18AA" w:rsidP="0073699A">
            <w:pPr>
              <w:jc w:val="both"/>
              <w:rPr>
                <w:sz w:val="24"/>
                <w:szCs w:val="24"/>
              </w:rPr>
            </w:pPr>
            <w:r>
              <w:rPr>
                <w:sz w:val="24"/>
                <w:szCs w:val="24"/>
              </w:rPr>
              <w:t>2.25 years</w:t>
            </w:r>
          </w:p>
        </w:tc>
        <w:tc>
          <w:tcPr>
            <w:tcW w:w="2254" w:type="dxa"/>
          </w:tcPr>
          <w:p w:rsidR="005D18AA" w:rsidRDefault="004957BA" w:rsidP="004957BA">
            <w:pPr>
              <w:jc w:val="center"/>
              <w:rPr>
                <w:sz w:val="24"/>
                <w:szCs w:val="24"/>
              </w:rPr>
            </w:pPr>
            <w:r>
              <w:rPr>
                <w:sz w:val="24"/>
                <w:szCs w:val="24"/>
              </w:rPr>
              <w:t>B</w:t>
            </w:r>
          </w:p>
        </w:tc>
      </w:tr>
      <w:tr w:rsidR="005D18AA" w:rsidTr="005D18AA">
        <w:tc>
          <w:tcPr>
            <w:tcW w:w="2254" w:type="dxa"/>
          </w:tcPr>
          <w:p w:rsidR="005D18AA" w:rsidRDefault="005D18AA" w:rsidP="0073699A">
            <w:pPr>
              <w:jc w:val="both"/>
              <w:rPr>
                <w:sz w:val="24"/>
                <w:szCs w:val="24"/>
              </w:rPr>
            </w:pPr>
            <w:r>
              <w:rPr>
                <w:sz w:val="24"/>
                <w:szCs w:val="24"/>
              </w:rPr>
              <w:t>ARR</w:t>
            </w:r>
          </w:p>
        </w:tc>
        <w:tc>
          <w:tcPr>
            <w:tcW w:w="2254" w:type="dxa"/>
          </w:tcPr>
          <w:p w:rsidR="005D18AA" w:rsidRDefault="004957BA" w:rsidP="0073699A">
            <w:pPr>
              <w:jc w:val="both"/>
              <w:rPr>
                <w:sz w:val="24"/>
                <w:szCs w:val="24"/>
              </w:rPr>
            </w:pPr>
            <w:r>
              <w:rPr>
                <w:sz w:val="24"/>
                <w:szCs w:val="24"/>
              </w:rPr>
              <w:t>37.62%</w:t>
            </w:r>
          </w:p>
        </w:tc>
        <w:tc>
          <w:tcPr>
            <w:tcW w:w="2254" w:type="dxa"/>
          </w:tcPr>
          <w:p w:rsidR="005D18AA" w:rsidRDefault="004957BA" w:rsidP="0073699A">
            <w:pPr>
              <w:jc w:val="both"/>
              <w:rPr>
                <w:sz w:val="24"/>
                <w:szCs w:val="24"/>
              </w:rPr>
            </w:pPr>
            <w:r>
              <w:rPr>
                <w:sz w:val="24"/>
                <w:szCs w:val="24"/>
              </w:rPr>
              <w:t>35.87%</w:t>
            </w:r>
          </w:p>
        </w:tc>
        <w:tc>
          <w:tcPr>
            <w:tcW w:w="2254" w:type="dxa"/>
          </w:tcPr>
          <w:p w:rsidR="005D18AA" w:rsidRDefault="004957BA" w:rsidP="004957BA">
            <w:pPr>
              <w:jc w:val="center"/>
              <w:rPr>
                <w:sz w:val="24"/>
                <w:szCs w:val="24"/>
              </w:rPr>
            </w:pPr>
            <w:r>
              <w:rPr>
                <w:sz w:val="24"/>
                <w:szCs w:val="24"/>
              </w:rPr>
              <w:t>A</w:t>
            </w:r>
          </w:p>
        </w:tc>
      </w:tr>
      <w:tr w:rsidR="005D18AA" w:rsidTr="005D18AA">
        <w:tc>
          <w:tcPr>
            <w:tcW w:w="2254" w:type="dxa"/>
          </w:tcPr>
          <w:p w:rsidR="005D18AA" w:rsidRDefault="005D18AA" w:rsidP="0073699A">
            <w:pPr>
              <w:jc w:val="both"/>
              <w:rPr>
                <w:sz w:val="24"/>
                <w:szCs w:val="24"/>
              </w:rPr>
            </w:pPr>
            <w:r>
              <w:rPr>
                <w:sz w:val="24"/>
                <w:szCs w:val="24"/>
              </w:rPr>
              <w:t>NPV</w:t>
            </w:r>
          </w:p>
        </w:tc>
        <w:tc>
          <w:tcPr>
            <w:tcW w:w="2254" w:type="dxa"/>
          </w:tcPr>
          <w:p w:rsidR="005D18AA" w:rsidRDefault="004957BA" w:rsidP="0073699A">
            <w:pPr>
              <w:jc w:val="both"/>
              <w:rPr>
                <w:sz w:val="24"/>
                <w:szCs w:val="24"/>
              </w:rPr>
            </w:pPr>
            <w:r>
              <w:rPr>
                <w:sz w:val="24"/>
                <w:szCs w:val="24"/>
              </w:rPr>
              <w:t>£16.98</w:t>
            </w:r>
          </w:p>
        </w:tc>
        <w:tc>
          <w:tcPr>
            <w:tcW w:w="2254" w:type="dxa"/>
          </w:tcPr>
          <w:p w:rsidR="005D18AA" w:rsidRDefault="004957BA" w:rsidP="0073699A">
            <w:pPr>
              <w:jc w:val="both"/>
              <w:rPr>
                <w:sz w:val="24"/>
                <w:szCs w:val="24"/>
              </w:rPr>
            </w:pPr>
            <w:r>
              <w:rPr>
                <w:sz w:val="24"/>
                <w:szCs w:val="24"/>
              </w:rPr>
              <w:t>£24.27</w:t>
            </w:r>
          </w:p>
        </w:tc>
        <w:tc>
          <w:tcPr>
            <w:tcW w:w="2254" w:type="dxa"/>
          </w:tcPr>
          <w:p w:rsidR="005D18AA" w:rsidRDefault="004957BA" w:rsidP="004957BA">
            <w:pPr>
              <w:jc w:val="center"/>
              <w:rPr>
                <w:sz w:val="24"/>
                <w:szCs w:val="24"/>
              </w:rPr>
            </w:pPr>
            <w:r>
              <w:rPr>
                <w:sz w:val="24"/>
                <w:szCs w:val="24"/>
              </w:rPr>
              <w:t>B</w:t>
            </w:r>
          </w:p>
        </w:tc>
      </w:tr>
      <w:tr w:rsidR="005D18AA" w:rsidTr="005D18AA">
        <w:tc>
          <w:tcPr>
            <w:tcW w:w="2254" w:type="dxa"/>
          </w:tcPr>
          <w:p w:rsidR="005D18AA" w:rsidRDefault="005D18AA" w:rsidP="0073699A">
            <w:pPr>
              <w:jc w:val="both"/>
              <w:rPr>
                <w:sz w:val="24"/>
                <w:szCs w:val="24"/>
              </w:rPr>
            </w:pPr>
            <w:r>
              <w:rPr>
                <w:sz w:val="24"/>
                <w:szCs w:val="24"/>
              </w:rPr>
              <w:t>IRR</w:t>
            </w:r>
          </w:p>
        </w:tc>
        <w:tc>
          <w:tcPr>
            <w:tcW w:w="2254" w:type="dxa"/>
          </w:tcPr>
          <w:p w:rsidR="005D18AA" w:rsidRDefault="004957BA" w:rsidP="0073699A">
            <w:pPr>
              <w:jc w:val="both"/>
              <w:rPr>
                <w:sz w:val="24"/>
                <w:szCs w:val="24"/>
              </w:rPr>
            </w:pPr>
            <w:r>
              <w:rPr>
                <w:sz w:val="24"/>
                <w:szCs w:val="24"/>
              </w:rPr>
              <w:t>14.40%</w:t>
            </w:r>
          </w:p>
        </w:tc>
        <w:tc>
          <w:tcPr>
            <w:tcW w:w="2254" w:type="dxa"/>
          </w:tcPr>
          <w:p w:rsidR="005D18AA" w:rsidRDefault="004957BA" w:rsidP="0073699A">
            <w:pPr>
              <w:jc w:val="both"/>
              <w:rPr>
                <w:sz w:val="24"/>
                <w:szCs w:val="24"/>
              </w:rPr>
            </w:pPr>
            <w:r>
              <w:rPr>
                <w:sz w:val="24"/>
                <w:szCs w:val="24"/>
              </w:rPr>
              <w:t>19.95%</w:t>
            </w:r>
          </w:p>
        </w:tc>
        <w:tc>
          <w:tcPr>
            <w:tcW w:w="2254" w:type="dxa"/>
          </w:tcPr>
          <w:p w:rsidR="005D18AA" w:rsidRDefault="004957BA" w:rsidP="004957BA">
            <w:pPr>
              <w:jc w:val="center"/>
              <w:rPr>
                <w:sz w:val="24"/>
                <w:szCs w:val="24"/>
              </w:rPr>
            </w:pPr>
            <w:r>
              <w:rPr>
                <w:sz w:val="24"/>
                <w:szCs w:val="24"/>
              </w:rPr>
              <w:t>B</w:t>
            </w:r>
          </w:p>
        </w:tc>
      </w:tr>
    </w:tbl>
    <w:p w:rsidR="005D18AA" w:rsidRDefault="005D18AA" w:rsidP="0073699A">
      <w:pPr>
        <w:jc w:val="both"/>
        <w:rPr>
          <w:sz w:val="24"/>
          <w:szCs w:val="24"/>
        </w:rPr>
      </w:pPr>
    </w:p>
    <w:p w:rsidR="004957BA" w:rsidRDefault="004957BA" w:rsidP="00331D36">
      <w:pPr>
        <w:spacing w:line="360" w:lineRule="auto"/>
        <w:jc w:val="both"/>
        <w:rPr>
          <w:sz w:val="24"/>
          <w:szCs w:val="24"/>
        </w:rPr>
      </w:pPr>
      <w:r>
        <w:rPr>
          <w:sz w:val="24"/>
          <w:szCs w:val="24"/>
        </w:rPr>
        <w:t xml:space="preserve">As it is seen in Table 4, PBP for project B is with almost one year shorter. That means </w:t>
      </w:r>
      <w:r w:rsidR="00245A3F">
        <w:rPr>
          <w:sz w:val="24"/>
          <w:szCs w:val="24"/>
        </w:rPr>
        <w:t xml:space="preserve">the company can maximise its profits by engaging in other investments before project A reach the break-even </w:t>
      </w:r>
      <w:r w:rsidR="00245A3F">
        <w:rPr>
          <w:sz w:val="24"/>
          <w:szCs w:val="24"/>
        </w:rPr>
        <w:lastRenderedPageBreak/>
        <w:t xml:space="preserve">point </w:t>
      </w:r>
      <w:sdt>
        <w:sdtPr>
          <w:rPr>
            <w:sz w:val="24"/>
            <w:szCs w:val="24"/>
          </w:rPr>
          <w:id w:val="-582530075"/>
          <w:citation/>
        </w:sdtPr>
        <w:sdtEndPr/>
        <w:sdtContent>
          <w:r w:rsidR="00245A3F">
            <w:rPr>
              <w:sz w:val="24"/>
              <w:szCs w:val="24"/>
            </w:rPr>
            <w:fldChar w:fldCharType="begin"/>
          </w:r>
          <w:r w:rsidR="00245A3F">
            <w:rPr>
              <w:sz w:val="24"/>
              <w:szCs w:val="24"/>
            </w:rPr>
            <w:instrText xml:space="preserve"> CITATION Far10 \l 2057 </w:instrText>
          </w:r>
          <w:r w:rsidR="00245A3F">
            <w:rPr>
              <w:sz w:val="24"/>
              <w:szCs w:val="24"/>
            </w:rPr>
            <w:fldChar w:fldCharType="separate"/>
          </w:r>
          <w:r w:rsidR="00245A3F" w:rsidRPr="00245A3F">
            <w:rPr>
              <w:noProof/>
              <w:sz w:val="24"/>
              <w:szCs w:val="24"/>
            </w:rPr>
            <w:t>(Farris, et al., 2010)</w:t>
          </w:r>
          <w:r w:rsidR="00245A3F">
            <w:rPr>
              <w:sz w:val="24"/>
              <w:szCs w:val="24"/>
            </w:rPr>
            <w:fldChar w:fldCharType="end"/>
          </w:r>
        </w:sdtContent>
      </w:sdt>
      <w:r w:rsidR="00245A3F">
        <w:rPr>
          <w:sz w:val="24"/>
          <w:szCs w:val="24"/>
        </w:rPr>
        <w:t xml:space="preserve">. Moreover, the higher the ARR, the better. There are many companies who evaluate projects using this method </w:t>
      </w:r>
      <w:sdt>
        <w:sdtPr>
          <w:rPr>
            <w:sz w:val="24"/>
            <w:szCs w:val="24"/>
          </w:rPr>
          <w:id w:val="465636918"/>
          <w:citation/>
        </w:sdtPr>
        <w:sdtEndPr/>
        <w:sdtContent>
          <w:r w:rsidR="00245A3F">
            <w:rPr>
              <w:sz w:val="24"/>
              <w:szCs w:val="24"/>
            </w:rPr>
            <w:fldChar w:fldCharType="begin"/>
          </w:r>
          <w:r w:rsidR="00245A3F">
            <w:rPr>
              <w:sz w:val="24"/>
              <w:szCs w:val="24"/>
            </w:rPr>
            <w:instrText xml:space="preserve"> CITATION Gle13 \l 2057 </w:instrText>
          </w:r>
          <w:r w:rsidR="00245A3F">
            <w:rPr>
              <w:sz w:val="24"/>
              <w:szCs w:val="24"/>
            </w:rPr>
            <w:fldChar w:fldCharType="separate"/>
          </w:r>
          <w:r w:rsidR="00245A3F" w:rsidRPr="00245A3F">
            <w:rPr>
              <w:noProof/>
              <w:sz w:val="24"/>
              <w:szCs w:val="24"/>
            </w:rPr>
            <w:t>(Glen, 2013)</w:t>
          </w:r>
          <w:r w:rsidR="00245A3F">
            <w:rPr>
              <w:sz w:val="24"/>
              <w:szCs w:val="24"/>
            </w:rPr>
            <w:fldChar w:fldCharType="end"/>
          </w:r>
        </w:sdtContent>
      </w:sdt>
      <w:r w:rsidR="00245A3F">
        <w:rPr>
          <w:sz w:val="24"/>
          <w:szCs w:val="24"/>
        </w:rPr>
        <w:t xml:space="preserve">. Even the ARR value for project A is higher than the value of project B, the difference is less than 3%. For NPV it is a broad acceptance in the business environment that </w:t>
      </w:r>
      <w:r w:rsidR="00974D6F">
        <w:rPr>
          <w:sz w:val="24"/>
          <w:szCs w:val="24"/>
        </w:rPr>
        <w:t xml:space="preserve">a higher value will bring more money back to the company </w:t>
      </w:r>
      <w:sdt>
        <w:sdtPr>
          <w:rPr>
            <w:sz w:val="24"/>
            <w:szCs w:val="24"/>
          </w:rPr>
          <w:id w:val="-1155684121"/>
          <w:citation/>
        </w:sdtPr>
        <w:sdtEndPr/>
        <w:sdtContent>
          <w:r w:rsidR="00974D6F">
            <w:rPr>
              <w:sz w:val="24"/>
              <w:szCs w:val="24"/>
            </w:rPr>
            <w:fldChar w:fldCharType="begin"/>
          </w:r>
          <w:r w:rsidR="00974D6F">
            <w:rPr>
              <w:sz w:val="24"/>
              <w:szCs w:val="24"/>
            </w:rPr>
            <w:instrText xml:space="preserve"> CITATION Gle13 \l 2057 </w:instrText>
          </w:r>
          <w:r w:rsidR="00974D6F">
            <w:rPr>
              <w:sz w:val="24"/>
              <w:szCs w:val="24"/>
            </w:rPr>
            <w:fldChar w:fldCharType="separate"/>
          </w:r>
          <w:r w:rsidR="00974D6F" w:rsidRPr="00974D6F">
            <w:rPr>
              <w:noProof/>
              <w:sz w:val="24"/>
              <w:szCs w:val="24"/>
            </w:rPr>
            <w:t>(Glen, 2013)</w:t>
          </w:r>
          <w:r w:rsidR="00974D6F">
            <w:rPr>
              <w:sz w:val="24"/>
              <w:szCs w:val="24"/>
            </w:rPr>
            <w:fldChar w:fldCharType="end"/>
          </w:r>
        </w:sdtContent>
      </w:sdt>
      <w:r w:rsidR="00974D6F">
        <w:rPr>
          <w:sz w:val="24"/>
          <w:szCs w:val="24"/>
        </w:rPr>
        <w:t>. Again, the value of NPV for project B is with almost £(m)8 bigger than project A NPV value. Finally, comparing two projects from the perspective of IRR value, it is recommended to choose the pro</w:t>
      </w:r>
      <w:r w:rsidR="00856FEC">
        <w:rPr>
          <w:sz w:val="24"/>
          <w:szCs w:val="24"/>
        </w:rPr>
        <w:t>ject which has the highest IRR</w:t>
      </w:r>
      <w:r w:rsidR="00381DFD">
        <w:rPr>
          <w:sz w:val="24"/>
          <w:szCs w:val="24"/>
        </w:rPr>
        <w:t xml:space="preserve"> for maximising the profits</w:t>
      </w:r>
      <w:r w:rsidR="00856FEC">
        <w:rPr>
          <w:sz w:val="24"/>
          <w:szCs w:val="24"/>
        </w:rPr>
        <w:t xml:space="preserve"> </w:t>
      </w:r>
      <w:sdt>
        <w:sdtPr>
          <w:rPr>
            <w:sz w:val="24"/>
            <w:szCs w:val="24"/>
          </w:rPr>
          <w:id w:val="-326744534"/>
          <w:citation/>
        </w:sdtPr>
        <w:sdtEndPr/>
        <w:sdtContent>
          <w:r w:rsidR="00856FEC">
            <w:rPr>
              <w:sz w:val="24"/>
              <w:szCs w:val="24"/>
            </w:rPr>
            <w:fldChar w:fldCharType="begin"/>
          </w:r>
          <w:r w:rsidR="00856FEC">
            <w:rPr>
              <w:sz w:val="24"/>
              <w:szCs w:val="24"/>
            </w:rPr>
            <w:instrText xml:space="preserve"> CITATION Pog04 \l 2057 </w:instrText>
          </w:r>
          <w:r w:rsidR="00856FEC">
            <w:rPr>
              <w:sz w:val="24"/>
              <w:szCs w:val="24"/>
            </w:rPr>
            <w:fldChar w:fldCharType="separate"/>
          </w:r>
          <w:r w:rsidR="00856FEC" w:rsidRPr="00856FEC">
            <w:rPr>
              <w:noProof/>
              <w:sz w:val="24"/>
              <w:szCs w:val="24"/>
            </w:rPr>
            <w:t>(Pogue, 2004)</w:t>
          </w:r>
          <w:r w:rsidR="00856FEC">
            <w:rPr>
              <w:sz w:val="24"/>
              <w:szCs w:val="24"/>
            </w:rPr>
            <w:fldChar w:fldCharType="end"/>
          </w:r>
        </w:sdtContent>
      </w:sdt>
      <w:r w:rsidR="00856FEC">
        <w:rPr>
          <w:sz w:val="24"/>
          <w:szCs w:val="24"/>
        </w:rPr>
        <w:t xml:space="preserve">. </w:t>
      </w:r>
      <w:r w:rsidR="002E5842">
        <w:rPr>
          <w:sz w:val="24"/>
          <w:szCs w:val="24"/>
        </w:rPr>
        <w:t>In conclusion, project B is the best choice</w:t>
      </w:r>
      <w:r w:rsidR="00331D36">
        <w:rPr>
          <w:sz w:val="24"/>
          <w:szCs w:val="24"/>
        </w:rPr>
        <w:t xml:space="preserve"> for</w:t>
      </w:r>
      <w:r w:rsidR="002E5842">
        <w:rPr>
          <w:sz w:val="24"/>
          <w:szCs w:val="24"/>
        </w:rPr>
        <w:t xml:space="preserve"> having better results at three from four financial ratios (Table 4).</w:t>
      </w:r>
    </w:p>
    <w:p w:rsidR="00797343" w:rsidRDefault="00797343" w:rsidP="0073699A">
      <w:pPr>
        <w:jc w:val="both"/>
        <w:rPr>
          <w:sz w:val="24"/>
          <w:szCs w:val="24"/>
        </w:rPr>
      </w:pPr>
    </w:p>
    <w:p w:rsidR="00797343" w:rsidRDefault="00797343" w:rsidP="0073699A">
      <w:pPr>
        <w:jc w:val="both"/>
        <w:rPr>
          <w:sz w:val="24"/>
          <w:szCs w:val="24"/>
        </w:rPr>
      </w:pPr>
    </w:p>
    <w:p w:rsidR="00797343" w:rsidRDefault="00797343" w:rsidP="0073699A">
      <w:pPr>
        <w:jc w:val="both"/>
        <w:rPr>
          <w:sz w:val="24"/>
          <w:szCs w:val="24"/>
        </w:rPr>
      </w:pPr>
    </w:p>
    <w:p w:rsidR="00797343" w:rsidRDefault="00797343" w:rsidP="0073699A">
      <w:pPr>
        <w:jc w:val="both"/>
        <w:rPr>
          <w:sz w:val="24"/>
          <w:szCs w:val="24"/>
        </w:rPr>
      </w:pPr>
    </w:p>
    <w:p w:rsidR="00797343" w:rsidRDefault="00797343" w:rsidP="0073699A">
      <w:pPr>
        <w:jc w:val="both"/>
        <w:rPr>
          <w:sz w:val="24"/>
          <w:szCs w:val="24"/>
        </w:rPr>
      </w:pPr>
    </w:p>
    <w:p w:rsidR="00797343" w:rsidRDefault="00797343" w:rsidP="0073699A">
      <w:pPr>
        <w:jc w:val="both"/>
        <w:rPr>
          <w:sz w:val="24"/>
          <w:szCs w:val="24"/>
        </w:rPr>
      </w:pPr>
    </w:p>
    <w:p w:rsidR="00AF4E96" w:rsidRDefault="00AF4E96" w:rsidP="0073699A">
      <w:pPr>
        <w:jc w:val="both"/>
        <w:rPr>
          <w:sz w:val="24"/>
          <w:szCs w:val="24"/>
        </w:rPr>
      </w:pPr>
    </w:p>
    <w:p w:rsidR="00AF4E96" w:rsidRDefault="00AF4E96" w:rsidP="0073699A">
      <w:pPr>
        <w:jc w:val="both"/>
        <w:rPr>
          <w:sz w:val="24"/>
          <w:szCs w:val="24"/>
        </w:rPr>
      </w:pPr>
    </w:p>
    <w:p w:rsidR="00AF4E96" w:rsidRDefault="00AF4E96" w:rsidP="0073699A">
      <w:pPr>
        <w:jc w:val="both"/>
        <w:rPr>
          <w:sz w:val="24"/>
          <w:szCs w:val="24"/>
        </w:rPr>
      </w:pPr>
    </w:p>
    <w:p w:rsidR="00AF4E96" w:rsidRDefault="00AF4E96" w:rsidP="0073699A">
      <w:pPr>
        <w:jc w:val="both"/>
        <w:rPr>
          <w:sz w:val="24"/>
          <w:szCs w:val="24"/>
        </w:rPr>
      </w:pPr>
    </w:p>
    <w:p w:rsidR="00AF4E96" w:rsidRDefault="00AF4E96" w:rsidP="0073699A">
      <w:pPr>
        <w:jc w:val="both"/>
        <w:rPr>
          <w:sz w:val="24"/>
          <w:szCs w:val="24"/>
        </w:rPr>
      </w:pPr>
    </w:p>
    <w:p w:rsidR="00AF4E96" w:rsidRDefault="00AF4E96" w:rsidP="0073699A">
      <w:pPr>
        <w:jc w:val="both"/>
        <w:rPr>
          <w:sz w:val="24"/>
          <w:szCs w:val="24"/>
        </w:rPr>
      </w:pPr>
    </w:p>
    <w:p w:rsidR="00AF4E96" w:rsidRDefault="00AF4E96" w:rsidP="0073699A">
      <w:pPr>
        <w:jc w:val="both"/>
        <w:rPr>
          <w:sz w:val="24"/>
          <w:szCs w:val="24"/>
        </w:rPr>
      </w:pPr>
    </w:p>
    <w:p w:rsidR="00AF4E96" w:rsidRDefault="00AF4E96" w:rsidP="0073699A">
      <w:pPr>
        <w:jc w:val="both"/>
        <w:rPr>
          <w:sz w:val="24"/>
          <w:szCs w:val="24"/>
        </w:rPr>
      </w:pPr>
    </w:p>
    <w:p w:rsidR="005C208C" w:rsidRDefault="005C208C" w:rsidP="0073699A">
      <w:pPr>
        <w:jc w:val="both"/>
        <w:rPr>
          <w:sz w:val="24"/>
          <w:szCs w:val="24"/>
        </w:rPr>
      </w:pPr>
    </w:p>
    <w:p w:rsidR="00AF4E96" w:rsidRDefault="00AF4E96"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bookmarkStart w:id="26" w:name="_Toc30151595" w:displacedByCustomXml="next"/>
    <w:sdt>
      <w:sdtPr>
        <w:rPr>
          <w:rFonts w:eastAsiaTheme="minorHAnsi" w:cstheme="minorBidi"/>
          <w:b w:val="0"/>
          <w:sz w:val="22"/>
          <w:szCs w:val="22"/>
          <w:lang w:val="en-GB"/>
        </w:rPr>
        <w:id w:val="404876110"/>
        <w:docPartObj>
          <w:docPartGallery w:val="Bibliographies"/>
          <w:docPartUnique/>
        </w:docPartObj>
      </w:sdtPr>
      <w:sdtEndPr/>
      <w:sdtContent>
        <w:p w:rsidR="002F41AA" w:rsidRDefault="002F41AA">
          <w:pPr>
            <w:pStyle w:val="Heading1"/>
          </w:pPr>
          <w:r>
            <w:t>Bibliography</w:t>
          </w:r>
          <w:bookmarkEnd w:id="26"/>
        </w:p>
        <w:sdt>
          <w:sdtPr>
            <w:id w:val="111145805"/>
            <w:bibliography/>
          </w:sdtPr>
          <w:sdtEndPr/>
          <w:sdtContent>
            <w:p w:rsidR="00C1213C" w:rsidRDefault="002F41AA" w:rsidP="00C1213C">
              <w:pPr>
                <w:pStyle w:val="Bibliography"/>
                <w:rPr>
                  <w:noProof/>
                  <w:sz w:val="24"/>
                  <w:szCs w:val="24"/>
                  <w:lang w:val="en-US"/>
                </w:rPr>
              </w:pPr>
              <w:r>
                <w:fldChar w:fldCharType="begin"/>
              </w:r>
              <w:r>
                <w:instrText xml:space="preserve"> BIBLIOGRAPHY </w:instrText>
              </w:r>
              <w:r>
                <w:fldChar w:fldCharType="separate"/>
              </w:r>
              <w:r w:rsidR="00C1213C">
                <w:rPr>
                  <w:noProof/>
                  <w:lang w:val="en-US"/>
                </w:rPr>
                <w:t xml:space="preserve">Craft, 2019. </w:t>
              </w:r>
              <w:r w:rsidR="00C1213C">
                <w:rPr>
                  <w:i/>
                  <w:iCs/>
                  <w:noProof/>
                  <w:lang w:val="en-US"/>
                </w:rPr>
                <w:t xml:space="preserve">Unilever competitors. </w:t>
              </w:r>
              <w:r w:rsidR="00C1213C">
                <w:rPr>
                  <w:noProof/>
                  <w:lang w:val="en-US"/>
                </w:rPr>
                <w:t xml:space="preserve">[Online] </w:t>
              </w:r>
              <w:r w:rsidR="00C1213C">
                <w:rPr>
                  <w:noProof/>
                  <w:lang w:val="en-US"/>
                </w:rPr>
                <w:br/>
                <w:t xml:space="preserve">Available at: </w:t>
              </w:r>
              <w:r w:rsidR="00C1213C">
                <w:rPr>
                  <w:noProof/>
                  <w:u w:val="single"/>
                  <w:lang w:val="en-US"/>
                </w:rPr>
                <w:t>https://craft.co/unilever/competitors</w:t>
              </w:r>
              <w:r w:rsidR="00C1213C">
                <w:rPr>
                  <w:noProof/>
                  <w:lang w:val="en-US"/>
                </w:rPr>
                <w:br/>
                <w:t>[Accessed 11 January 2020].</w:t>
              </w:r>
            </w:p>
            <w:p w:rsidR="00C1213C" w:rsidRDefault="00C1213C" w:rsidP="00C1213C">
              <w:pPr>
                <w:pStyle w:val="Bibliography"/>
                <w:rPr>
                  <w:noProof/>
                  <w:lang w:val="en-US"/>
                </w:rPr>
              </w:pPr>
              <w:r>
                <w:rPr>
                  <w:noProof/>
                  <w:lang w:val="en-US"/>
                </w:rPr>
                <w:t xml:space="preserve">Digiday, 2019. </w:t>
              </w:r>
              <w:r>
                <w:rPr>
                  <w:i/>
                  <w:iCs/>
                  <w:noProof/>
                  <w:lang w:val="en-US"/>
                </w:rPr>
                <w:t xml:space="preserve">P&amp;G is looking to add more DTC brands to its roster. </w:t>
              </w:r>
              <w:r>
                <w:rPr>
                  <w:noProof/>
                  <w:lang w:val="en-US"/>
                </w:rPr>
                <w:t xml:space="preserve">[Online] </w:t>
              </w:r>
              <w:r>
                <w:rPr>
                  <w:noProof/>
                  <w:lang w:val="en-US"/>
                </w:rPr>
                <w:br/>
                <w:t xml:space="preserve">Available at: </w:t>
              </w:r>
              <w:r>
                <w:rPr>
                  <w:noProof/>
                  <w:u w:val="single"/>
                  <w:lang w:val="en-US"/>
                </w:rPr>
                <w:t>https://digiday.com/marketing/procter-gamble-looking-add-direct-consumer-brands-roster/</w:t>
              </w:r>
              <w:r>
                <w:rPr>
                  <w:noProof/>
                  <w:lang w:val="en-US"/>
                </w:rPr>
                <w:br/>
                <w:t>[Accessed 14 January 2020].</w:t>
              </w:r>
            </w:p>
            <w:p w:rsidR="00C1213C" w:rsidRDefault="00C1213C" w:rsidP="00C1213C">
              <w:pPr>
                <w:pStyle w:val="Bibliography"/>
                <w:rPr>
                  <w:noProof/>
                  <w:lang w:val="en-US"/>
                </w:rPr>
              </w:pPr>
              <w:r>
                <w:rPr>
                  <w:noProof/>
                  <w:lang w:val="en-US"/>
                </w:rPr>
                <w:t xml:space="preserve">efinancemanagement, 2019. </w:t>
              </w:r>
              <w:r>
                <w:rPr>
                  <w:i/>
                  <w:iCs/>
                  <w:noProof/>
                  <w:lang w:val="en-US"/>
                </w:rPr>
                <w:t xml:space="preserve">Cash Ratio. </w:t>
              </w:r>
              <w:r>
                <w:rPr>
                  <w:noProof/>
                  <w:lang w:val="en-US"/>
                </w:rPr>
                <w:t xml:space="preserve">[Online] </w:t>
              </w:r>
              <w:r>
                <w:rPr>
                  <w:noProof/>
                  <w:lang w:val="en-US"/>
                </w:rPr>
                <w:br/>
                <w:t xml:space="preserve">Available at: </w:t>
              </w:r>
              <w:r>
                <w:rPr>
                  <w:noProof/>
                  <w:u w:val="single"/>
                  <w:lang w:val="en-US"/>
                </w:rPr>
                <w:t>https://efinancemanagement.com/financial-analysis/cash-ratio</w:t>
              </w:r>
              <w:r>
                <w:rPr>
                  <w:noProof/>
                  <w:lang w:val="en-US"/>
                </w:rPr>
                <w:br/>
                <w:t>[Accessed 12 January 2020].</w:t>
              </w:r>
            </w:p>
            <w:p w:rsidR="00C1213C" w:rsidRDefault="00C1213C" w:rsidP="00C1213C">
              <w:pPr>
                <w:pStyle w:val="Bibliography"/>
                <w:rPr>
                  <w:noProof/>
                  <w:lang w:val="en-US"/>
                </w:rPr>
              </w:pPr>
              <w:r>
                <w:rPr>
                  <w:noProof/>
                  <w:lang w:val="en-US"/>
                </w:rPr>
                <w:t xml:space="preserve">efinancemanagement, 2019. </w:t>
              </w:r>
              <w:r>
                <w:rPr>
                  <w:i/>
                  <w:iCs/>
                  <w:noProof/>
                  <w:lang w:val="en-US"/>
                </w:rPr>
                <w:t xml:space="preserve">Efficiency Ratios. </w:t>
              </w:r>
              <w:r>
                <w:rPr>
                  <w:noProof/>
                  <w:lang w:val="en-US"/>
                </w:rPr>
                <w:t xml:space="preserve">[Online] </w:t>
              </w:r>
              <w:r>
                <w:rPr>
                  <w:noProof/>
                  <w:lang w:val="en-US"/>
                </w:rPr>
                <w:br/>
                <w:t xml:space="preserve">Available at: </w:t>
              </w:r>
              <w:r>
                <w:rPr>
                  <w:noProof/>
                  <w:u w:val="single"/>
                  <w:lang w:val="en-US"/>
                </w:rPr>
                <w:t>https://efinancemanagement.com/financial-analysis/efficiency-ratios#Fixed_Assets_Turnover</w:t>
              </w:r>
              <w:r>
                <w:rPr>
                  <w:noProof/>
                  <w:lang w:val="en-US"/>
                </w:rPr>
                <w:br/>
                <w:t>[Accessed 12 January 2020].</w:t>
              </w:r>
            </w:p>
            <w:p w:rsidR="00C1213C" w:rsidRDefault="00C1213C" w:rsidP="00C1213C">
              <w:pPr>
                <w:pStyle w:val="Bibliography"/>
                <w:rPr>
                  <w:noProof/>
                  <w:lang w:val="en-US"/>
                </w:rPr>
              </w:pPr>
              <w:r>
                <w:rPr>
                  <w:noProof/>
                  <w:lang w:val="en-US"/>
                </w:rPr>
                <w:t xml:space="preserve">efinancemanagement, 2019. </w:t>
              </w:r>
              <w:r>
                <w:rPr>
                  <w:i/>
                  <w:iCs/>
                  <w:noProof/>
                  <w:lang w:val="en-US"/>
                </w:rPr>
                <w:t xml:space="preserve">How to Analyze and Improve Current Ratio?. </w:t>
              </w:r>
              <w:r>
                <w:rPr>
                  <w:noProof/>
                  <w:lang w:val="en-US"/>
                </w:rPr>
                <w:t xml:space="preserve">[Online] </w:t>
              </w:r>
              <w:r>
                <w:rPr>
                  <w:noProof/>
                  <w:lang w:val="en-US"/>
                </w:rPr>
                <w:br/>
                <w:t xml:space="preserve">Available at: </w:t>
              </w:r>
              <w:r>
                <w:rPr>
                  <w:noProof/>
                  <w:u w:val="single"/>
                  <w:lang w:val="en-US"/>
                </w:rPr>
                <w:t>https://efinancemanagement.com/financial-analysis/how-to-analyze-and-improve-current-ratio</w:t>
              </w:r>
              <w:r>
                <w:rPr>
                  <w:noProof/>
                  <w:lang w:val="en-US"/>
                </w:rPr>
                <w:br/>
                <w:t>[Accessed 12 January 2020].</w:t>
              </w:r>
            </w:p>
            <w:p w:rsidR="00C1213C" w:rsidRDefault="00C1213C" w:rsidP="00C1213C">
              <w:pPr>
                <w:pStyle w:val="Bibliography"/>
                <w:rPr>
                  <w:noProof/>
                  <w:lang w:val="en-US"/>
                </w:rPr>
              </w:pPr>
              <w:r>
                <w:rPr>
                  <w:noProof/>
                  <w:lang w:val="en-US"/>
                </w:rPr>
                <w:t xml:space="preserve">efinancemanagement, 2019. </w:t>
              </w:r>
              <w:r>
                <w:rPr>
                  <w:i/>
                  <w:iCs/>
                  <w:noProof/>
                  <w:lang w:val="en-US"/>
                </w:rPr>
                <w:t xml:space="preserve">Leverage Ratios. </w:t>
              </w:r>
              <w:r>
                <w:rPr>
                  <w:noProof/>
                  <w:lang w:val="en-US"/>
                </w:rPr>
                <w:t xml:space="preserve">[Online] </w:t>
              </w:r>
              <w:r>
                <w:rPr>
                  <w:noProof/>
                  <w:lang w:val="en-US"/>
                </w:rPr>
                <w:br/>
                <w:t xml:space="preserve">Available at: </w:t>
              </w:r>
              <w:r>
                <w:rPr>
                  <w:noProof/>
                  <w:u w:val="single"/>
                  <w:lang w:val="en-US"/>
                </w:rPr>
                <w:t>https://efinancemanagement.com/investment-decisions/leverage-ratios#Debt-to-Capital</w:t>
              </w:r>
              <w:r>
                <w:rPr>
                  <w:noProof/>
                  <w:lang w:val="en-US"/>
                </w:rPr>
                <w:br/>
                <w:t>[Accessed 12 January 2020].</w:t>
              </w:r>
            </w:p>
            <w:p w:rsidR="00C1213C" w:rsidRDefault="00C1213C" w:rsidP="00C1213C">
              <w:pPr>
                <w:pStyle w:val="Bibliography"/>
                <w:rPr>
                  <w:noProof/>
                  <w:lang w:val="en-US"/>
                </w:rPr>
              </w:pPr>
              <w:r>
                <w:rPr>
                  <w:noProof/>
                  <w:lang w:val="en-US"/>
                </w:rPr>
                <w:t xml:space="preserve">Farris, P. W., Bendle, N. T., Pfeifer, P. E. &amp; Reibstein, D. J., 2010. </w:t>
              </w:r>
              <w:r>
                <w:rPr>
                  <w:i/>
                  <w:iCs/>
                  <w:noProof/>
                  <w:lang w:val="en-US"/>
                </w:rPr>
                <w:t xml:space="preserve">Marketing Metrics: The Definitive Guide to Measuring Marketing Performance. </w:t>
              </w:r>
              <w:r>
                <w:rPr>
                  <w:noProof/>
                  <w:lang w:val="en-US"/>
                </w:rPr>
                <w:t>2nd ed. New Jersey: Pearson Education.</w:t>
              </w:r>
            </w:p>
            <w:p w:rsidR="00C1213C" w:rsidRDefault="00C1213C" w:rsidP="00C1213C">
              <w:pPr>
                <w:pStyle w:val="Bibliography"/>
                <w:rPr>
                  <w:noProof/>
                  <w:lang w:val="en-US"/>
                </w:rPr>
              </w:pPr>
              <w:r>
                <w:rPr>
                  <w:noProof/>
                  <w:lang w:val="en-US"/>
                </w:rPr>
                <w:t xml:space="preserve">financemanagement, 2019. </w:t>
              </w:r>
              <w:r>
                <w:rPr>
                  <w:i/>
                  <w:iCs/>
                  <w:noProof/>
                  <w:lang w:val="en-US"/>
                </w:rPr>
                <w:t xml:space="preserve">How to Analyze (Interpret) and Improve Quick Ratio?. </w:t>
              </w:r>
              <w:r>
                <w:rPr>
                  <w:noProof/>
                  <w:lang w:val="en-US"/>
                </w:rPr>
                <w:t xml:space="preserve">[Online] </w:t>
              </w:r>
              <w:r>
                <w:rPr>
                  <w:noProof/>
                  <w:lang w:val="en-US"/>
                </w:rPr>
                <w:br/>
                <w:t xml:space="preserve">Available at: </w:t>
              </w:r>
              <w:r>
                <w:rPr>
                  <w:noProof/>
                  <w:u w:val="single"/>
                  <w:lang w:val="en-US"/>
                </w:rPr>
                <w:t>https://efinancemanagement.com/financial-analysis/how-to-analyze-interpret-and-improve-quick-ratio</w:t>
              </w:r>
              <w:r>
                <w:rPr>
                  <w:noProof/>
                  <w:lang w:val="en-US"/>
                </w:rPr>
                <w:br/>
                <w:t>[Accessed 12 January 2020].</w:t>
              </w:r>
            </w:p>
            <w:p w:rsidR="00C1213C" w:rsidRDefault="00C1213C" w:rsidP="00C1213C">
              <w:pPr>
                <w:pStyle w:val="Bibliography"/>
                <w:rPr>
                  <w:noProof/>
                  <w:lang w:val="en-US"/>
                </w:rPr>
              </w:pPr>
              <w:r>
                <w:rPr>
                  <w:noProof/>
                  <w:lang w:val="en-US"/>
                </w:rPr>
                <w:t xml:space="preserve">Forbes, 2019. </w:t>
              </w:r>
              <w:r>
                <w:rPr>
                  <w:i/>
                  <w:iCs/>
                  <w:noProof/>
                  <w:lang w:val="en-US"/>
                </w:rPr>
                <w:t xml:space="preserve">Unilever continues expansion. </w:t>
              </w:r>
              <w:r>
                <w:rPr>
                  <w:noProof/>
                  <w:lang w:val="en-US"/>
                </w:rPr>
                <w:t xml:space="preserve">[Online] </w:t>
              </w:r>
              <w:r>
                <w:rPr>
                  <w:noProof/>
                  <w:lang w:val="en-US"/>
                </w:rPr>
                <w:br/>
                <w:t xml:space="preserve">Available at: </w:t>
              </w:r>
              <w:r>
                <w:rPr>
                  <w:noProof/>
                  <w:u w:val="single"/>
                  <w:lang w:val="en-US"/>
                </w:rPr>
                <w:t>https://www.forbes.com/sites/greatspeculations/2015/03/04/unilever-continues-expansion</w:t>
              </w:r>
              <w:r>
                <w:rPr>
                  <w:noProof/>
                  <w:lang w:val="en-US"/>
                </w:rPr>
                <w:br/>
                <w:t>[Accessed 14 January 2020].</w:t>
              </w:r>
            </w:p>
            <w:p w:rsidR="00C1213C" w:rsidRDefault="00C1213C" w:rsidP="00C1213C">
              <w:pPr>
                <w:pStyle w:val="Bibliography"/>
                <w:rPr>
                  <w:noProof/>
                  <w:lang w:val="en-US"/>
                </w:rPr>
              </w:pPr>
              <w:r>
                <w:rPr>
                  <w:noProof/>
                  <w:lang w:val="en-US"/>
                </w:rPr>
                <w:t xml:space="preserve">Glen, A., 2013. </w:t>
              </w:r>
              <w:r>
                <w:rPr>
                  <w:i/>
                  <w:iCs/>
                  <w:noProof/>
                  <w:lang w:val="en-US"/>
                </w:rPr>
                <w:t xml:space="preserve">Corporate Financial Management. </w:t>
              </w:r>
              <w:r>
                <w:rPr>
                  <w:noProof/>
                  <w:lang w:val="en-US"/>
                </w:rPr>
                <w:t>5th ed. London: Pearson.</w:t>
              </w:r>
            </w:p>
            <w:p w:rsidR="00C1213C" w:rsidRDefault="00C1213C" w:rsidP="00C1213C">
              <w:pPr>
                <w:pStyle w:val="Bibliography"/>
                <w:rPr>
                  <w:noProof/>
                  <w:lang w:val="en-US"/>
                </w:rPr>
              </w:pPr>
              <w:r>
                <w:rPr>
                  <w:noProof/>
                  <w:lang w:val="en-US"/>
                </w:rPr>
                <w:t xml:space="preserve">Hada, T. &amp; Avram, T. M., 2014. ASPECTS CONCERNING THE DETERMINATION OF BANKRUPTCY RISK BY SOLVENCY AND LIQUIDITY RATIOS IN THE COMPANIES LISTED ON THE BUCHAREST STOCK EXCHANGE. </w:t>
              </w:r>
              <w:r>
                <w:rPr>
                  <w:i/>
                  <w:iCs/>
                  <w:noProof/>
                  <w:lang w:val="en-US"/>
                </w:rPr>
                <w:t xml:space="preserve">Annals of the University of Oradea: Economic Science, </w:t>
              </w:r>
              <w:r>
                <w:rPr>
                  <w:noProof/>
                  <w:lang w:val="en-US"/>
                </w:rPr>
                <w:t>23(1), pp. 634-635.</w:t>
              </w:r>
            </w:p>
            <w:p w:rsidR="00C1213C" w:rsidRDefault="00C1213C" w:rsidP="00C1213C">
              <w:pPr>
                <w:pStyle w:val="Bibliography"/>
                <w:rPr>
                  <w:noProof/>
                  <w:lang w:val="en-US"/>
                </w:rPr>
              </w:pPr>
              <w:r>
                <w:rPr>
                  <w:noProof/>
                  <w:lang w:val="en-US"/>
                </w:rPr>
                <w:t xml:space="preserve">Kenton, W., 2019.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https://www.investopedia.com/terms/h/humanresources.asp</w:t>
              </w:r>
              <w:r>
                <w:rPr>
                  <w:noProof/>
                  <w:lang w:val="en-US"/>
                </w:rPr>
                <w:br/>
                <w:t>[Accessed 20 November 2019].</w:t>
              </w:r>
            </w:p>
            <w:p w:rsidR="00C1213C" w:rsidRDefault="00C1213C" w:rsidP="00C1213C">
              <w:pPr>
                <w:pStyle w:val="Bibliography"/>
                <w:rPr>
                  <w:noProof/>
                  <w:lang w:val="en-US"/>
                </w:rPr>
              </w:pPr>
              <w:r>
                <w:rPr>
                  <w:noProof/>
                  <w:lang w:val="en-US"/>
                </w:rPr>
                <w:t xml:space="preserve">Kenton, W., 2019.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https://www.investopedia.com/terms/p/profitabilityratios.asp</w:t>
              </w:r>
              <w:r>
                <w:rPr>
                  <w:noProof/>
                  <w:lang w:val="en-US"/>
                </w:rPr>
                <w:br/>
                <w:t>[Accessed 12 January 2020].</w:t>
              </w:r>
            </w:p>
            <w:p w:rsidR="00C1213C" w:rsidRDefault="00C1213C" w:rsidP="00C1213C">
              <w:pPr>
                <w:pStyle w:val="Bibliography"/>
                <w:rPr>
                  <w:noProof/>
                  <w:lang w:val="en-US"/>
                </w:rPr>
              </w:pPr>
              <w:r>
                <w:rPr>
                  <w:noProof/>
                  <w:lang w:val="en-US"/>
                </w:rPr>
                <w:lastRenderedPageBreak/>
                <w:t xml:space="preserve">Kenton, W., 2019. </w:t>
              </w:r>
              <w:r>
                <w:rPr>
                  <w:i/>
                  <w:iCs/>
                  <w:noProof/>
                  <w:lang w:val="en-US"/>
                </w:rPr>
                <w:t xml:space="preserve">Investopedia. </w:t>
              </w:r>
              <w:r>
                <w:rPr>
                  <w:noProof/>
                  <w:lang w:val="en-US"/>
                </w:rPr>
                <w:t xml:space="preserve">[Online] </w:t>
              </w:r>
              <w:r>
                <w:rPr>
                  <w:noProof/>
                  <w:lang w:val="en-US"/>
                </w:rPr>
                <w:br/>
                <w:t xml:space="preserve">Available at: </w:t>
              </w:r>
              <w:r>
                <w:rPr>
                  <w:noProof/>
                  <w:u w:val="single"/>
                  <w:lang w:val="en-US"/>
                </w:rPr>
                <w:t>https://www.investopedia.com/terms/e/efficiencyratio.asp</w:t>
              </w:r>
              <w:r>
                <w:rPr>
                  <w:noProof/>
                  <w:lang w:val="en-US"/>
                </w:rPr>
                <w:br/>
                <w:t>[Accessed 12 January 2020].</w:t>
              </w:r>
            </w:p>
            <w:p w:rsidR="00C1213C" w:rsidRDefault="00C1213C" w:rsidP="00C1213C">
              <w:pPr>
                <w:pStyle w:val="Bibliography"/>
                <w:rPr>
                  <w:noProof/>
                  <w:lang w:val="en-US"/>
                </w:rPr>
              </w:pPr>
              <w:r>
                <w:rPr>
                  <w:noProof/>
                  <w:lang w:val="en-US"/>
                </w:rPr>
                <w:t xml:space="preserve">myaccountingcourse, 2019. </w:t>
              </w:r>
              <w:r>
                <w:rPr>
                  <w:i/>
                  <w:iCs/>
                  <w:noProof/>
                  <w:lang w:val="en-US"/>
                </w:rPr>
                <w:t xml:space="preserve">Current Ratio. </w:t>
              </w:r>
              <w:r>
                <w:rPr>
                  <w:noProof/>
                  <w:lang w:val="en-US"/>
                </w:rPr>
                <w:t xml:space="preserve">[Online] </w:t>
              </w:r>
              <w:r>
                <w:rPr>
                  <w:noProof/>
                  <w:lang w:val="en-US"/>
                </w:rPr>
                <w:br/>
                <w:t xml:space="preserve">Available at: </w:t>
              </w:r>
              <w:r>
                <w:rPr>
                  <w:noProof/>
                  <w:u w:val="single"/>
                  <w:lang w:val="en-US"/>
                </w:rPr>
                <w:t>https://www.myaccountingcourse.com/financial-ratios/current-ratio</w:t>
              </w:r>
              <w:r>
                <w:rPr>
                  <w:noProof/>
                  <w:lang w:val="en-US"/>
                </w:rPr>
                <w:br/>
                <w:t>[Accessed 15 January 2020].</w:t>
              </w:r>
            </w:p>
            <w:p w:rsidR="00C1213C" w:rsidRDefault="00C1213C" w:rsidP="00C1213C">
              <w:pPr>
                <w:pStyle w:val="Bibliography"/>
                <w:rPr>
                  <w:noProof/>
                  <w:lang w:val="en-US"/>
                </w:rPr>
              </w:pPr>
              <w:r>
                <w:rPr>
                  <w:noProof/>
                  <w:lang w:val="en-US"/>
                </w:rPr>
                <w:t xml:space="preserve">myaccountingcourse, 2019. </w:t>
              </w:r>
              <w:r>
                <w:rPr>
                  <w:i/>
                  <w:iCs/>
                  <w:noProof/>
                  <w:lang w:val="en-US"/>
                </w:rPr>
                <w:t xml:space="preserve">Fixed Asset Turnover Ratio. </w:t>
              </w:r>
              <w:r>
                <w:rPr>
                  <w:noProof/>
                  <w:lang w:val="en-US"/>
                </w:rPr>
                <w:t xml:space="preserve">[Online] </w:t>
              </w:r>
              <w:r>
                <w:rPr>
                  <w:noProof/>
                  <w:lang w:val="en-US"/>
                </w:rPr>
                <w:br/>
                <w:t xml:space="preserve">Available at: </w:t>
              </w:r>
              <w:r>
                <w:rPr>
                  <w:noProof/>
                  <w:u w:val="single"/>
                  <w:lang w:val="en-US"/>
                </w:rPr>
                <w:t>https://www.myaccountingcourse.com/financial-ratios/fixed-asset-turnover</w:t>
              </w:r>
              <w:r>
                <w:rPr>
                  <w:noProof/>
                  <w:lang w:val="en-US"/>
                </w:rPr>
                <w:br/>
                <w:t>[Accessed 14 January 2020].</w:t>
              </w:r>
            </w:p>
            <w:p w:rsidR="00C1213C" w:rsidRDefault="00C1213C" w:rsidP="00C1213C">
              <w:pPr>
                <w:pStyle w:val="Bibliography"/>
                <w:rPr>
                  <w:noProof/>
                  <w:lang w:val="en-US"/>
                </w:rPr>
              </w:pPr>
              <w:r>
                <w:rPr>
                  <w:noProof/>
                  <w:lang w:val="en-US"/>
                </w:rPr>
                <w:t xml:space="preserve">myaccountingcourse, 2019. </w:t>
              </w:r>
              <w:r>
                <w:rPr>
                  <w:i/>
                  <w:iCs/>
                  <w:noProof/>
                  <w:lang w:val="en-US"/>
                </w:rPr>
                <w:t xml:space="preserve">Liquidity Ratios. </w:t>
              </w:r>
              <w:r>
                <w:rPr>
                  <w:noProof/>
                  <w:lang w:val="en-US"/>
                </w:rPr>
                <w:t xml:space="preserve">[Online] </w:t>
              </w:r>
              <w:r>
                <w:rPr>
                  <w:noProof/>
                  <w:lang w:val="en-US"/>
                </w:rPr>
                <w:br/>
                <w:t xml:space="preserve">Available at: </w:t>
              </w:r>
              <w:r>
                <w:rPr>
                  <w:noProof/>
                  <w:u w:val="single"/>
                  <w:lang w:val="en-US"/>
                </w:rPr>
                <w:t>https://www.myaccountingcourse.com/financial-ratios/liquidity-ratios</w:t>
              </w:r>
              <w:r>
                <w:rPr>
                  <w:noProof/>
                  <w:lang w:val="en-US"/>
                </w:rPr>
                <w:br/>
                <w:t>[Accessed 15 January 2020].</w:t>
              </w:r>
            </w:p>
            <w:p w:rsidR="00C1213C" w:rsidRDefault="00C1213C" w:rsidP="00C1213C">
              <w:pPr>
                <w:pStyle w:val="Bibliography"/>
                <w:rPr>
                  <w:noProof/>
                  <w:lang w:val="en-US"/>
                </w:rPr>
              </w:pPr>
              <w:r>
                <w:rPr>
                  <w:noProof/>
                  <w:lang w:val="en-US"/>
                </w:rPr>
                <w:t xml:space="preserve">Oxford University, 2010. </w:t>
              </w:r>
              <w:r>
                <w:rPr>
                  <w:i/>
                  <w:iCs/>
                  <w:noProof/>
                  <w:lang w:val="en-US"/>
                </w:rPr>
                <w:t xml:space="preserve">A Dictionary of Accounting. </w:t>
              </w:r>
              <w:r>
                <w:rPr>
                  <w:noProof/>
                  <w:lang w:val="en-US"/>
                </w:rPr>
                <w:t>4th ed. Oxford: Oxford University Press.</w:t>
              </w:r>
            </w:p>
            <w:p w:rsidR="00C1213C" w:rsidRDefault="00C1213C" w:rsidP="00C1213C">
              <w:pPr>
                <w:pStyle w:val="Bibliography"/>
                <w:rPr>
                  <w:noProof/>
                  <w:lang w:val="en-US"/>
                </w:rPr>
              </w:pPr>
              <w:r>
                <w:rPr>
                  <w:noProof/>
                  <w:lang w:val="en-US"/>
                </w:rPr>
                <w:t xml:space="preserve">Pogue, M., 2004. Investment appraisal: A new approach. </w:t>
              </w:r>
              <w:r>
                <w:rPr>
                  <w:i/>
                  <w:iCs/>
                  <w:noProof/>
                  <w:lang w:val="en-US"/>
                </w:rPr>
                <w:t xml:space="preserve">Managerial Auditing Journal, </w:t>
              </w:r>
              <w:r>
                <w:rPr>
                  <w:noProof/>
                  <w:lang w:val="en-US"/>
                </w:rPr>
                <w:t>19(4), pp. 565-569.</w:t>
              </w:r>
            </w:p>
            <w:p w:rsidR="00C1213C" w:rsidRDefault="00C1213C" w:rsidP="00C1213C">
              <w:pPr>
                <w:pStyle w:val="Bibliography"/>
                <w:rPr>
                  <w:noProof/>
                  <w:lang w:val="en-US"/>
                </w:rPr>
              </w:pPr>
              <w:r>
                <w:rPr>
                  <w:noProof/>
                  <w:lang w:val="en-US"/>
                </w:rPr>
                <w:t xml:space="preserve">Porter, M. E., 2008. </w:t>
              </w:r>
              <w:r>
                <w:rPr>
                  <w:i/>
                  <w:iCs/>
                  <w:noProof/>
                  <w:lang w:val="en-US"/>
                </w:rPr>
                <w:t xml:space="preserve">The Five Competitive Forces that Shape Strategy, </w:t>
              </w:r>
              <w:r>
                <w:rPr>
                  <w:noProof/>
                  <w:lang w:val="en-US"/>
                </w:rPr>
                <w:t>Harvard: Harvard Business School Publishing Corporation.</w:t>
              </w:r>
            </w:p>
            <w:p w:rsidR="00C1213C" w:rsidRDefault="00C1213C" w:rsidP="00C1213C">
              <w:pPr>
                <w:pStyle w:val="Bibliography"/>
                <w:rPr>
                  <w:noProof/>
                  <w:lang w:val="en-US"/>
                </w:rPr>
              </w:pPr>
              <w:r>
                <w:rPr>
                  <w:noProof/>
                  <w:lang w:val="en-US"/>
                </w:rPr>
                <w:t xml:space="preserve">Procter &amp; Gamble, 2019. </w:t>
              </w:r>
              <w:r>
                <w:rPr>
                  <w:i/>
                  <w:iCs/>
                  <w:noProof/>
                  <w:lang w:val="en-US"/>
                </w:rPr>
                <w:t xml:space="preserve">P&amp;G Annual Report 2018, </w:t>
              </w:r>
              <w:r>
                <w:rPr>
                  <w:noProof/>
                  <w:lang w:val="en-US"/>
                </w:rPr>
                <w:t>Cincinnati: Procter &amp; Gamble.</w:t>
              </w:r>
            </w:p>
            <w:p w:rsidR="00C1213C" w:rsidRDefault="00C1213C" w:rsidP="00C1213C">
              <w:pPr>
                <w:pStyle w:val="Bibliography"/>
                <w:rPr>
                  <w:noProof/>
                  <w:lang w:val="en-US"/>
                </w:rPr>
              </w:pPr>
              <w:r>
                <w:rPr>
                  <w:noProof/>
                  <w:lang w:val="en-US"/>
                </w:rPr>
                <w:t xml:space="preserve">Statista, 2019. </w:t>
              </w:r>
              <w:r>
                <w:rPr>
                  <w:i/>
                  <w:iCs/>
                  <w:noProof/>
                  <w:lang w:val="en-US"/>
                </w:rPr>
                <w:t xml:space="preserve">Top FMCG companies worldwide 2018, by net sales. </w:t>
              </w:r>
              <w:r>
                <w:rPr>
                  <w:noProof/>
                  <w:lang w:val="en-US"/>
                </w:rPr>
                <w:t xml:space="preserve">[Online] </w:t>
              </w:r>
              <w:r>
                <w:rPr>
                  <w:noProof/>
                  <w:lang w:val="en-US"/>
                </w:rPr>
                <w:br/>
                <w:t xml:space="preserve">Available at: </w:t>
              </w:r>
              <w:r>
                <w:rPr>
                  <w:noProof/>
                  <w:u w:val="single"/>
                  <w:lang w:val="en-US"/>
                </w:rPr>
                <w:t>https://www.statista.com/statistics/260963/leading-fmcg-companies-worldwide-based-on-sales/</w:t>
              </w:r>
              <w:r>
                <w:rPr>
                  <w:noProof/>
                  <w:lang w:val="en-US"/>
                </w:rPr>
                <w:br/>
                <w:t>[Accessed 11 January 2020].</w:t>
              </w:r>
            </w:p>
            <w:p w:rsidR="00C1213C" w:rsidRDefault="00C1213C" w:rsidP="00C1213C">
              <w:pPr>
                <w:pStyle w:val="Bibliography"/>
                <w:rPr>
                  <w:noProof/>
                  <w:lang w:val="en-US"/>
                </w:rPr>
              </w:pPr>
              <w:r>
                <w:rPr>
                  <w:noProof/>
                  <w:lang w:val="en-US"/>
                </w:rPr>
                <w:t xml:space="preserve">Statista, 2019. </w:t>
              </w:r>
              <w:r>
                <w:rPr>
                  <w:i/>
                  <w:iCs/>
                  <w:noProof/>
                  <w:lang w:val="en-US"/>
                </w:rPr>
                <w:t xml:space="preserve">Unilever's brand value worldwide from 2012 to 2019. </w:t>
              </w:r>
              <w:r>
                <w:rPr>
                  <w:noProof/>
                  <w:lang w:val="en-US"/>
                </w:rPr>
                <w:t xml:space="preserve">[Online] </w:t>
              </w:r>
              <w:r>
                <w:rPr>
                  <w:noProof/>
                  <w:lang w:val="en-US"/>
                </w:rPr>
                <w:br/>
                <w:t xml:space="preserve">Available at: </w:t>
              </w:r>
              <w:r>
                <w:rPr>
                  <w:noProof/>
                  <w:u w:val="single"/>
                  <w:lang w:val="en-US"/>
                </w:rPr>
                <w:t>https://www.statista.com/statistics/984317/brand-value-of-unilever-worldwide/</w:t>
              </w:r>
              <w:r>
                <w:rPr>
                  <w:noProof/>
                  <w:lang w:val="en-US"/>
                </w:rPr>
                <w:br/>
                <w:t>[Accessed 11 January 2020].</w:t>
              </w:r>
            </w:p>
            <w:p w:rsidR="00C1213C" w:rsidRDefault="00C1213C" w:rsidP="00C1213C">
              <w:pPr>
                <w:pStyle w:val="Bibliography"/>
                <w:rPr>
                  <w:noProof/>
                  <w:lang w:val="en-US"/>
                </w:rPr>
              </w:pPr>
              <w:r>
                <w:rPr>
                  <w:noProof/>
                  <w:lang w:val="en-US"/>
                </w:rPr>
                <w:t xml:space="preserve">Unilever Group, 2015. </w:t>
              </w:r>
              <w:r>
                <w:rPr>
                  <w:i/>
                  <w:iCs/>
                  <w:noProof/>
                  <w:lang w:val="en-US"/>
                </w:rPr>
                <w:t xml:space="preserve">Unilever Annual Report and Accounts 2014, </w:t>
              </w:r>
              <w:r>
                <w:rPr>
                  <w:noProof/>
                  <w:lang w:val="en-US"/>
                </w:rPr>
                <w:t>London: Unilever Group.</w:t>
              </w:r>
            </w:p>
            <w:p w:rsidR="00C1213C" w:rsidRDefault="00C1213C" w:rsidP="00C1213C">
              <w:pPr>
                <w:pStyle w:val="Bibliography"/>
                <w:rPr>
                  <w:noProof/>
                  <w:lang w:val="en-US"/>
                </w:rPr>
              </w:pPr>
              <w:r>
                <w:rPr>
                  <w:noProof/>
                  <w:lang w:val="en-US"/>
                </w:rPr>
                <w:t xml:space="preserve">Unilever Group, 2017. </w:t>
              </w:r>
              <w:r>
                <w:rPr>
                  <w:i/>
                  <w:iCs/>
                  <w:noProof/>
                  <w:lang w:val="en-US"/>
                </w:rPr>
                <w:t xml:space="preserve">Unilever Annual Report and Accounts 2016, </w:t>
              </w:r>
              <w:r>
                <w:rPr>
                  <w:noProof/>
                  <w:lang w:val="en-US"/>
                </w:rPr>
                <w:t>London: Unilever Group.</w:t>
              </w:r>
            </w:p>
            <w:p w:rsidR="00C1213C" w:rsidRDefault="00C1213C" w:rsidP="00C1213C">
              <w:pPr>
                <w:pStyle w:val="Bibliography"/>
                <w:rPr>
                  <w:noProof/>
                  <w:lang w:val="en-US"/>
                </w:rPr>
              </w:pPr>
              <w:r>
                <w:rPr>
                  <w:noProof/>
                  <w:lang w:val="en-US"/>
                </w:rPr>
                <w:t xml:space="preserve">Unilever Group, 2019. </w:t>
              </w:r>
              <w:r>
                <w:rPr>
                  <w:i/>
                  <w:iCs/>
                  <w:noProof/>
                  <w:lang w:val="en-US"/>
                </w:rPr>
                <w:t xml:space="preserve">Unilever Annual Report and Accounts 2018, </w:t>
              </w:r>
              <w:r>
                <w:rPr>
                  <w:noProof/>
                  <w:lang w:val="en-US"/>
                </w:rPr>
                <w:t>London: Unilever Group.</w:t>
              </w:r>
            </w:p>
            <w:p w:rsidR="00C1213C" w:rsidRDefault="00C1213C" w:rsidP="00C1213C">
              <w:pPr>
                <w:pStyle w:val="Bibliography"/>
                <w:rPr>
                  <w:noProof/>
                  <w:lang w:val="en-US"/>
                </w:rPr>
              </w:pPr>
              <w:r>
                <w:rPr>
                  <w:noProof/>
                  <w:lang w:val="en-US"/>
                </w:rPr>
                <w:t xml:space="preserve">Unilever, 2019. </w:t>
              </w:r>
              <w:r>
                <w:rPr>
                  <w:i/>
                  <w:iCs/>
                  <w:noProof/>
                  <w:lang w:val="en-US"/>
                </w:rPr>
                <w:t xml:space="preserve">Who we are. </w:t>
              </w:r>
              <w:r>
                <w:rPr>
                  <w:noProof/>
                  <w:lang w:val="en-US"/>
                </w:rPr>
                <w:t xml:space="preserve">[Online] </w:t>
              </w:r>
              <w:r>
                <w:rPr>
                  <w:noProof/>
                  <w:lang w:val="en-US"/>
                </w:rPr>
                <w:br/>
                <w:t xml:space="preserve">Available at: </w:t>
              </w:r>
              <w:r>
                <w:rPr>
                  <w:noProof/>
                  <w:u w:val="single"/>
                  <w:lang w:val="en-US"/>
                </w:rPr>
                <w:t>https://www.unilever.com/about/who-we-are/our-history/1920-1929.html</w:t>
              </w:r>
              <w:r>
                <w:rPr>
                  <w:noProof/>
                  <w:lang w:val="en-US"/>
                </w:rPr>
                <w:br/>
                <w:t>[Accessed 11 January 2020].</w:t>
              </w:r>
            </w:p>
            <w:p w:rsidR="00C1213C" w:rsidRDefault="00C1213C" w:rsidP="00C1213C">
              <w:pPr>
                <w:pStyle w:val="Bibliography"/>
                <w:rPr>
                  <w:noProof/>
                  <w:lang w:val="en-US"/>
                </w:rPr>
              </w:pPr>
              <w:r>
                <w:rPr>
                  <w:noProof/>
                  <w:lang w:val="en-US"/>
                </w:rPr>
                <w:t xml:space="preserve">Ycharts, 2019. </w:t>
              </w:r>
              <w:r>
                <w:rPr>
                  <w:i/>
                  <w:iCs/>
                  <w:noProof/>
                  <w:lang w:val="en-US"/>
                </w:rPr>
                <w:t xml:space="preserve">Nationwide Corporate Finance. </w:t>
              </w:r>
              <w:r>
                <w:rPr>
                  <w:noProof/>
                  <w:lang w:val="en-US"/>
                </w:rPr>
                <w:t xml:space="preserve">[Online] </w:t>
              </w:r>
              <w:r>
                <w:rPr>
                  <w:noProof/>
                  <w:lang w:val="en-US"/>
                </w:rPr>
                <w:br/>
                <w:t xml:space="preserve">Available at: </w:t>
              </w:r>
              <w:r>
                <w:rPr>
                  <w:noProof/>
                  <w:u w:val="single"/>
                  <w:lang w:val="en-US"/>
                </w:rPr>
                <w:t>https://ycharts.com/companies/UL/profit_margin</w:t>
              </w:r>
              <w:r>
                <w:rPr>
                  <w:noProof/>
                  <w:lang w:val="en-US"/>
                </w:rPr>
                <w:br/>
                <w:t>[Accessed 14 January 2020].</w:t>
              </w:r>
            </w:p>
            <w:p w:rsidR="00C1213C" w:rsidRDefault="00C1213C" w:rsidP="00C1213C">
              <w:pPr>
                <w:pStyle w:val="Bibliography"/>
                <w:rPr>
                  <w:noProof/>
                  <w:lang w:val="en-US"/>
                </w:rPr>
              </w:pPr>
              <w:r>
                <w:rPr>
                  <w:noProof/>
                  <w:lang w:val="en-US"/>
                </w:rPr>
                <w:t xml:space="preserve">Young, J., 2017. </w:t>
              </w:r>
              <w:r>
                <w:rPr>
                  <w:i/>
                  <w:iCs/>
                  <w:noProof/>
                  <w:lang w:val="en-US"/>
                </w:rPr>
                <w:t xml:space="preserve">Unilever’s Generic Strategy &amp; Intensive Growth Strategies. </w:t>
              </w:r>
              <w:r>
                <w:rPr>
                  <w:noProof/>
                  <w:lang w:val="en-US"/>
                </w:rPr>
                <w:t xml:space="preserve">[Online] </w:t>
              </w:r>
              <w:r>
                <w:rPr>
                  <w:noProof/>
                  <w:lang w:val="en-US"/>
                </w:rPr>
                <w:br/>
                <w:t xml:space="preserve">Available at: </w:t>
              </w:r>
              <w:r>
                <w:rPr>
                  <w:noProof/>
                  <w:u w:val="single"/>
                  <w:lang w:val="en-US"/>
                </w:rPr>
                <w:t>http://panmore.com/unilever-generic-strategy-intensive-growth-strategies</w:t>
              </w:r>
              <w:r>
                <w:rPr>
                  <w:noProof/>
                  <w:lang w:val="en-US"/>
                </w:rPr>
                <w:br/>
                <w:t>[Accessed 11 January 2020].</w:t>
              </w:r>
            </w:p>
            <w:p w:rsidR="002F41AA" w:rsidRDefault="002F41AA" w:rsidP="00C1213C">
              <w:r>
                <w:rPr>
                  <w:b/>
                  <w:bCs/>
                  <w:noProof/>
                </w:rPr>
                <w:fldChar w:fldCharType="end"/>
              </w:r>
            </w:p>
          </w:sdtContent>
        </w:sdt>
      </w:sdtContent>
    </w:sdt>
    <w:p w:rsidR="00086615" w:rsidRPr="00086615" w:rsidRDefault="00086615" w:rsidP="00086615">
      <w:pPr>
        <w:rPr>
          <w:rFonts w:cstheme="minorHAnsi"/>
          <w:sz w:val="24"/>
          <w:szCs w:val="24"/>
        </w:rPr>
      </w:pPr>
    </w:p>
    <w:p w:rsidR="000B36DE" w:rsidRDefault="000B36DE" w:rsidP="000B36DE">
      <w:pPr>
        <w:pStyle w:val="Heading1"/>
        <w:spacing w:after="100" w:afterAutospacing="1"/>
      </w:pPr>
      <w:bookmarkStart w:id="27" w:name="_Toc30151596"/>
      <w:r>
        <w:lastRenderedPageBreak/>
        <w:t>Appendix 1</w:t>
      </w:r>
      <w:bookmarkEnd w:id="27"/>
    </w:p>
    <w:p w:rsidR="000B36DE" w:rsidRDefault="000B36DE" w:rsidP="000B36DE">
      <w:pPr>
        <w:jc w:val="both"/>
        <w:rPr>
          <w:sz w:val="24"/>
          <w:szCs w:val="24"/>
        </w:rPr>
      </w:pPr>
      <w:r>
        <w:rPr>
          <w:sz w:val="24"/>
          <w:szCs w:val="24"/>
        </w:rPr>
        <w:t>Unilever Group Income Statements 2014 – 2018</w:t>
      </w:r>
    </w:p>
    <w:p w:rsidR="000B36DE" w:rsidRDefault="000B36DE" w:rsidP="000B36DE">
      <w:pPr>
        <w:tabs>
          <w:tab w:val="center" w:pos="5102"/>
          <w:tab w:val="center" w:pos="5976"/>
          <w:tab w:val="center" w:pos="6854"/>
          <w:tab w:val="center" w:pos="7733"/>
          <w:tab w:val="center" w:pos="8623"/>
          <w:tab w:val="center" w:pos="9491"/>
        </w:tabs>
        <w:spacing w:after="5" w:line="261" w:lineRule="auto"/>
      </w:pPr>
      <w:r>
        <w:tab/>
      </w:r>
      <w:r>
        <w:rPr>
          <w:b/>
          <w:sz w:val="14"/>
        </w:rPr>
        <w:t>€ million</w:t>
      </w:r>
      <w:r>
        <w:rPr>
          <w:b/>
          <w:sz w:val="14"/>
        </w:rPr>
        <w:tab/>
        <w:t>€ million</w:t>
      </w:r>
      <w:r>
        <w:rPr>
          <w:b/>
          <w:sz w:val="14"/>
        </w:rPr>
        <w:tab/>
        <w:t>€ million</w:t>
      </w:r>
      <w:r>
        <w:rPr>
          <w:b/>
          <w:sz w:val="14"/>
        </w:rPr>
        <w:tab/>
        <w:t>€ million</w:t>
      </w:r>
      <w:r>
        <w:rPr>
          <w:b/>
          <w:sz w:val="14"/>
        </w:rPr>
        <w:tab/>
        <w:t>€ million€ million</w:t>
      </w:r>
    </w:p>
    <w:p w:rsidR="000B36DE" w:rsidRDefault="000B36DE" w:rsidP="000B36DE">
      <w:pPr>
        <w:tabs>
          <w:tab w:val="center" w:pos="5109"/>
          <w:tab w:val="center" w:pos="6862"/>
        </w:tabs>
        <w:spacing w:after="2"/>
      </w:pPr>
      <w:r>
        <w:tab/>
      </w:r>
      <w:r>
        <w:rPr>
          <w:b/>
          <w:sz w:val="14"/>
        </w:rPr>
        <w:t xml:space="preserve">Unilever </w:t>
      </w:r>
      <w:r>
        <w:rPr>
          <w:b/>
          <w:sz w:val="14"/>
        </w:rPr>
        <w:tab/>
      </w:r>
      <w:proofErr w:type="spellStart"/>
      <w:r>
        <w:rPr>
          <w:b/>
          <w:sz w:val="14"/>
        </w:rPr>
        <w:t>Unilever</w:t>
      </w:r>
      <w:proofErr w:type="spellEnd"/>
      <w:r>
        <w:rPr>
          <w:b/>
          <w:sz w:val="14"/>
        </w:rPr>
        <w:t xml:space="preserve"> </w:t>
      </w:r>
    </w:p>
    <w:p w:rsidR="000B36DE" w:rsidRDefault="000B36DE" w:rsidP="000B36DE">
      <w:pPr>
        <w:tabs>
          <w:tab w:val="center" w:pos="5156"/>
          <w:tab w:val="center" w:pos="6922"/>
        </w:tabs>
        <w:spacing w:after="2"/>
      </w:pPr>
      <w:r>
        <w:tab/>
      </w:r>
      <w:r>
        <w:rPr>
          <w:b/>
          <w:sz w:val="14"/>
        </w:rPr>
        <w:t>Capital</w:t>
      </w:r>
      <w:r>
        <w:rPr>
          <w:b/>
          <w:sz w:val="14"/>
        </w:rPr>
        <w:tab/>
        <w:t>United</w:t>
      </w:r>
    </w:p>
    <w:p w:rsidR="000B36DE" w:rsidRDefault="000B36DE" w:rsidP="000B36DE">
      <w:pPr>
        <w:tabs>
          <w:tab w:val="center" w:pos="5008"/>
          <w:tab w:val="center" w:pos="6037"/>
          <w:tab w:val="center" w:pos="6806"/>
          <w:tab w:val="center" w:pos="7850"/>
        </w:tabs>
        <w:spacing w:after="43" w:line="262" w:lineRule="auto"/>
      </w:pPr>
      <w:r>
        <w:tab/>
      </w:r>
      <w:r>
        <w:rPr>
          <w:b/>
          <w:sz w:val="14"/>
        </w:rPr>
        <w:t>Corporation</w:t>
      </w:r>
      <w:r>
        <w:rPr>
          <w:b/>
          <w:sz w:val="14"/>
        </w:rPr>
        <w:tab/>
        <w:t>Unilever</w:t>
      </w:r>
      <w:r>
        <w:rPr>
          <w:b/>
          <w:sz w:val="12"/>
          <w:vertAlign w:val="superscript"/>
        </w:rPr>
        <w:t>(a)</w:t>
      </w:r>
      <w:r>
        <w:rPr>
          <w:b/>
          <w:sz w:val="12"/>
          <w:vertAlign w:val="superscript"/>
        </w:rPr>
        <w:tab/>
      </w:r>
      <w:r>
        <w:rPr>
          <w:b/>
          <w:sz w:val="14"/>
        </w:rPr>
        <w:t>States Inc.</w:t>
      </w:r>
      <w:r>
        <w:rPr>
          <w:b/>
          <w:sz w:val="14"/>
        </w:rPr>
        <w:tab/>
        <w:t>Non-</w:t>
      </w:r>
    </w:p>
    <w:p w:rsidR="000B36DE" w:rsidRDefault="000B36DE" w:rsidP="000B36DE">
      <w:pPr>
        <w:spacing w:after="3" w:line="262" w:lineRule="auto"/>
        <w:ind w:left="15"/>
      </w:pPr>
      <w:r>
        <w:rPr>
          <w:b/>
          <w:sz w:val="16"/>
        </w:rPr>
        <w:t xml:space="preserve">Income statement </w:t>
      </w:r>
      <w:r>
        <w:rPr>
          <w:b/>
          <w:sz w:val="14"/>
        </w:rPr>
        <w:t xml:space="preserve">subsidiary parent subsidiary guarantor Unilever </w:t>
      </w:r>
      <w:r>
        <w:rPr>
          <w:sz w:val="16"/>
        </w:rPr>
        <w:t xml:space="preserve">for the year ended 31 December 2014 </w:t>
      </w:r>
      <w:r>
        <w:rPr>
          <w:b/>
          <w:sz w:val="14"/>
        </w:rPr>
        <w:t>issuer entities guarantor subsidiaries Eliminations Group</w:t>
      </w:r>
    </w:p>
    <w:tbl>
      <w:tblPr>
        <w:tblStyle w:val="TableGrid0"/>
        <w:tblW w:w="9921" w:type="dxa"/>
        <w:tblInd w:w="0" w:type="dxa"/>
        <w:tblCellMar>
          <w:right w:w="119" w:type="dxa"/>
        </w:tblCellMar>
        <w:tblLook w:val="04A0" w:firstRow="1" w:lastRow="0" w:firstColumn="1" w:lastColumn="0" w:noHBand="0" w:noVBand="1"/>
      </w:tblPr>
      <w:tblGrid>
        <w:gridCol w:w="4646"/>
        <w:gridCol w:w="1059"/>
        <w:gridCol w:w="774"/>
        <w:gridCol w:w="815"/>
        <w:gridCol w:w="877"/>
        <w:gridCol w:w="1049"/>
        <w:gridCol w:w="701"/>
      </w:tblGrid>
      <w:tr w:rsidR="000B36DE" w:rsidTr="00C06930">
        <w:trPr>
          <w:trHeight w:val="298"/>
        </w:trPr>
        <w:tc>
          <w:tcPr>
            <w:tcW w:w="4649" w:type="dxa"/>
            <w:vMerge w:val="restart"/>
            <w:tcBorders>
              <w:top w:val="single" w:sz="6" w:space="0" w:color="000000"/>
              <w:left w:val="nil"/>
              <w:bottom w:val="nil"/>
              <w:right w:val="nil"/>
            </w:tcBorders>
          </w:tcPr>
          <w:p w:rsidR="000B36DE" w:rsidRDefault="000B36DE" w:rsidP="00C06930">
            <w:pPr>
              <w:spacing w:after="179" w:line="259" w:lineRule="auto"/>
            </w:pPr>
            <w:r>
              <w:rPr>
                <w:b/>
                <w:sz w:val="16"/>
              </w:rPr>
              <w:t>Turnover</w:t>
            </w:r>
          </w:p>
          <w:p w:rsidR="000B36DE" w:rsidRDefault="000B36DE" w:rsidP="00C06930">
            <w:pPr>
              <w:spacing w:line="259" w:lineRule="auto"/>
            </w:pPr>
            <w:r>
              <w:rPr>
                <w:b/>
                <w:sz w:val="16"/>
              </w:rPr>
              <w:t>Operating profit</w:t>
            </w:r>
          </w:p>
        </w:tc>
        <w:tc>
          <w:tcPr>
            <w:tcW w:w="1060" w:type="dxa"/>
            <w:tcBorders>
              <w:top w:val="single" w:sz="6" w:space="0" w:color="000000"/>
              <w:left w:val="nil"/>
              <w:bottom w:val="single" w:sz="2" w:space="0" w:color="000000"/>
              <w:right w:val="nil"/>
            </w:tcBorders>
            <w:shd w:val="clear" w:color="auto" w:fill="F0F0F0"/>
          </w:tcPr>
          <w:p w:rsidR="000B36DE" w:rsidRDefault="000B36DE" w:rsidP="00C06930">
            <w:pPr>
              <w:spacing w:line="259" w:lineRule="auto"/>
              <w:ind w:left="400"/>
              <w:jc w:val="center"/>
            </w:pPr>
            <w:r>
              <w:rPr>
                <w:b/>
                <w:sz w:val="16"/>
              </w:rPr>
              <w:t>–</w:t>
            </w:r>
          </w:p>
        </w:tc>
        <w:tc>
          <w:tcPr>
            <w:tcW w:w="774" w:type="dxa"/>
            <w:tcBorders>
              <w:top w:val="single" w:sz="6" w:space="0" w:color="000000"/>
              <w:left w:val="nil"/>
              <w:bottom w:val="single" w:sz="2" w:space="0" w:color="000000"/>
              <w:right w:val="nil"/>
            </w:tcBorders>
            <w:shd w:val="clear" w:color="auto" w:fill="F0F0F0"/>
          </w:tcPr>
          <w:p w:rsidR="000B36DE" w:rsidRDefault="000B36DE" w:rsidP="00C06930">
            <w:pPr>
              <w:spacing w:line="259" w:lineRule="auto"/>
              <w:ind w:left="324"/>
              <w:jc w:val="center"/>
            </w:pPr>
            <w:r>
              <w:rPr>
                <w:b/>
                <w:sz w:val="16"/>
              </w:rPr>
              <w:t>–</w:t>
            </w:r>
          </w:p>
        </w:tc>
        <w:tc>
          <w:tcPr>
            <w:tcW w:w="815" w:type="dxa"/>
            <w:tcBorders>
              <w:top w:val="single" w:sz="6" w:space="0" w:color="000000"/>
              <w:left w:val="nil"/>
              <w:bottom w:val="single" w:sz="2" w:space="0" w:color="000000"/>
              <w:right w:val="nil"/>
            </w:tcBorders>
            <w:shd w:val="clear" w:color="auto" w:fill="F0F0F0"/>
          </w:tcPr>
          <w:p w:rsidR="000B36DE" w:rsidRDefault="000B36DE" w:rsidP="00C06930">
            <w:pPr>
              <w:spacing w:line="259" w:lineRule="auto"/>
              <w:ind w:left="492"/>
              <w:jc w:val="center"/>
            </w:pPr>
            <w:r>
              <w:rPr>
                <w:b/>
                <w:sz w:val="16"/>
              </w:rPr>
              <w:t>–</w:t>
            </w:r>
          </w:p>
        </w:tc>
        <w:tc>
          <w:tcPr>
            <w:tcW w:w="877" w:type="dxa"/>
            <w:tcBorders>
              <w:top w:val="single" w:sz="6" w:space="0" w:color="000000"/>
              <w:left w:val="nil"/>
              <w:bottom w:val="single" w:sz="2" w:space="0" w:color="000000"/>
              <w:right w:val="nil"/>
            </w:tcBorders>
            <w:shd w:val="clear" w:color="auto" w:fill="F0F0F0"/>
          </w:tcPr>
          <w:p w:rsidR="000B36DE" w:rsidRDefault="000B36DE" w:rsidP="00C06930">
            <w:pPr>
              <w:spacing w:line="259" w:lineRule="auto"/>
              <w:ind w:left="164"/>
              <w:jc w:val="center"/>
            </w:pPr>
            <w:r>
              <w:rPr>
                <w:b/>
                <w:sz w:val="16"/>
              </w:rPr>
              <w:t>48,436</w:t>
            </w:r>
          </w:p>
        </w:tc>
        <w:tc>
          <w:tcPr>
            <w:tcW w:w="1050" w:type="dxa"/>
            <w:tcBorders>
              <w:top w:val="single" w:sz="6" w:space="0" w:color="000000"/>
              <w:left w:val="nil"/>
              <w:bottom w:val="single" w:sz="2" w:space="0" w:color="000000"/>
              <w:right w:val="nil"/>
            </w:tcBorders>
            <w:shd w:val="clear" w:color="auto" w:fill="F0F0F0"/>
          </w:tcPr>
          <w:p w:rsidR="000B36DE" w:rsidRDefault="000B36DE" w:rsidP="00C06930">
            <w:pPr>
              <w:spacing w:line="259" w:lineRule="auto"/>
              <w:ind w:left="390"/>
              <w:jc w:val="center"/>
            </w:pPr>
            <w:r>
              <w:rPr>
                <w:b/>
                <w:sz w:val="16"/>
              </w:rPr>
              <w:t>–</w:t>
            </w:r>
          </w:p>
        </w:tc>
        <w:tc>
          <w:tcPr>
            <w:tcW w:w="697" w:type="dxa"/>
            <w:tcBorders>
              <w:top w:val="single" w:sz="6" w:space="0" w:color="000000"/>
              <w:left w:val="nil"/>
              <w:bottom w:val="single" w:sz="2" w:space="0" w:color="000000"/>
              <w:right w:val="nil"/>
            </w:tcBorders>
            <w:shd w:val="clear" w:color="auto" w:fill="F0F0F0"/>
          </w:tcPr>
          <w:p w:rsidR="000B36DE" w:rsidRDefault="000B36DE" w:rsidP="00C06930">
            <w:pPr>
              <w:spacing w:line="259" w:lineRule="auto"/>
              <w:ind w:left="51"/>
            </w:pPr>
            <w:r>
              <w:rPr>
                <w:b/>
                <w:sz w:val="16"/>
              </w:rPr>
              <w:t>48,436</w:t>
            </w:r>
          </w:p>
        </w:tc>
      </w:tr>
      <w:tr w:rsidR="000B36DE" w:rsidTr="00C06930">
        <w:trPr>
          <w:trHeight w:val="323"/>
        </w:trPr>
        <w:tc>
          <w:tcPr>
            <w:tcW w:w="0" w:type="auto"/>
            <w:vMerge/>
            <w:tcBorders>
              <w:top w:val="nil"/>
              <w:left w:val="nil"/>
              <w:bottom w:val="nil"/>
              <w:right w:val="nil"/>
            </w:tcBorders>
          </w:tcPr>
          <w:p w:rsidR="000B36DE" w:rsidRDefault="000B36DE" w:rsidP="00C06930">
            <w:pPr>
              <w:spacing w:after="160" w:line="259" w:lineRule="auto"/>
            </w:pPr>
          </w:p>
        </w:tc>
        <w:tc>
          <w:tcPr>
            <w:tcW w:w="1060"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400"/>
              <w:jc w:val="center"/>
            </w:pPr>
            <w:r>
              <w:rPr>
                <w:b/>
                <w:sz w:val="16"/>
              </w:rPr>
              <w:t>–</w:t>
            </w:r>
          </w:p>
        </w:tc>
        <w:tc>
          <w:tcPr>
            <w:tcW w:w="774"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150"/>
              <w:jc w:val="center"/>
            </w:pPr>
            <w:r>
              <w:rPr>
                <w:b/>
                <w:sz w:val="16"/>
              </w:rPr>
              <w:t>363</w:t>
            </w:r>
          </w:p>
        </w:tc>
        <w:tc>
          <w:tcPr>
            <w:tcW w:w="815"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501"/>
            </w:pPr>
            <w:r>
              <w:rPr>
                <w:b/>
                <w:sz w:val="16"/>
              </w:rPr>
              <w:t>(6)</w:t>
            </w:r>
          </w:p>
        </w:tc>
        <w:tc>
          <w:tcPr>
            <w:tcW w:w="877"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270"/>
              <w:jc w:val="center"/>
            </w:pPr>
            <w:r>
              <w:rPr>
                <w:b/>
                <w:sz w:val="16"/>
              </w:rPr>
              <w:t>7,623</w:t>
            </w:r>
          </w:p>
        </w:tc>
        <w:tc>
          <w:tcPr>
            <w:tcW w:w="1050"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390"/>
              <w:jc w:val="center"/>
            </w:pPr>
            <w:r>
              <w:rPr>
                <w:b/>
                <w:sz w:val="16"/>
              </w:rPr>
              <w:t>–</w:t>
            </w:r>
          </w:p>
        </w:tc>
        <w:tc>
          <w:tcPr>
            <w:tcW w:w="697"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118"/>
              <w:jc w:val="center"/>
            </w:pPr>
            <w:r>
              <w:rPr>
                <w:b/>
                <w:sz w:val="16"/>
              </w:rPr>
              <w:t>7,980</w:t>
            </w:r>
          </w:p>
        </w:tc>
      </w:tr>
      <w:tr w:rsidR="000B36DE" w:rsidTr="00C06930">
        <w:trPr>
          <w:trHeight w:val="355"/>
        </w:trPr>
        <w:tc>
          <w:tcPr>
            <w:tcW w:w="4649" w:type="dxa"/>
            <w:tcBorders>
              <w:top w:val="nil"/>
              <w:left w:val="nil"/>
              <w:bottom w:val="nil"/>
              <w:right w:val="nil"/>
            </w:tcBorders>
          </w:tcPr>
          <w:p w:rsidR="000B36DE" w:rsidRDefault="000B36DE" w:rsidP="00C06930">
            <w:pPr>
              <w:spacing w:line="259" w:lineRule="auto"/>
            </w:pPr>
            <w:r>
              <w:rPr>
                <w:sz w:val="16"/>
              </w:rPr>
              <w:t>Net finance costs</w:t>
            </w:r>
          </w:p>
          <w:p w:rsidR="000B36DE" w:rsidRDefault="000B36DE" w:rsidP="00C06930">
            <w:pPr>
              <w:spacing w:line="259" w:lineRule="auto"/>
            </w:pPr>
            <w:r>
              <w:rPr>
                <w:sz w:val="16"/>
              </w:rPr>
              <w:t>Pensions and similar obligations</w:t>
            </w:r>
          </w:p>
        </w:tc>
        <w:tc>
          <w:tcPr>
            <w:tcW w:w="1060" w:type="dxa"/>
            <w:tcBorders>
              <w:top w:val="nil"/>
              <w:left w:val="nil"/>
              <w:bottom w:val="nil"/>
              <w:right w:val="nil"/>
            </w:tcBorders>
            <w:shd w:val="clear" w:color="auto" w:fill="F0F0F0"/>
          </w:tcPr>
          <w:p w:rsidR="000B36DE" w:rsidRDefault="000B36DE" w:rsidP="00C06930">
            <w:pPr>
              <w:spacing w:line="259" w:lineRule="auto"/>
              <w:ind w:left="400"/>
              <w:jc w:val="center"/>
            </w:pPr>
            <w:r>
              <w:rPr>
                <w:b/>
                <w:sz w:val="16"/>
              </w:rPr>
              <w:t>–</w:t>
            </w:r>
          </w:p>
          <w:p w:rsidR="000B36DE" w:rsidRDefault="000B36DE" w:rsidP="00C06930">
            <w:pPr>
              <w:spacing w:line="259" w:lineRule="auto"/>
              <w:ind w:left="400"/>
              <w:jc w:val="center"/>
            </w:pPr>
            <w:r>
              <w:rPr>
                <w:b/>
                <w:sz w:val="16"/>
              </w:rPr>
              <w:t>–</w:t>
            </w:r>
          </w:p>
        </w:tc>
        <w:tc>
          <w:tcPr>
            <w:tcW w:w="774" w:type="dxa"/>
            <w:tcBorders>
              <w:top w:val="nil"/>
              <w:left w:val="nil"/>
              <w:bottom w:val="nil"/>
              <w:right w:val="nil"/>
            </w:tcBorders>
            <w:shd w:val="clear" w:color="auto" w:fill="F0F0F0"/>
          </w:tcPr>
          <w:p w:rsidR="000B36DE" w:rsidRDefault="000B36DE" w:rsidP="00C06930">
            <w:pPr>
              <w:spacing w:line="259" w:lineRule="auto"/>
              <w:ind w:left="118" w:right="77"/>
              <w:jc w:val="right"/>
            </w:pPr>
            <w:r>
              <w:rPr>
                <w:b/>
                <w:sz w:val="16"/>
              </w:rPr>
              <w:t>(97) (4)</w:t>
            </w:r>
          </w:p>
        </w:tc>
        <w:tc>
          <w:tcPr>
            <w:tcW w:w="815" w:type="dxa"/>
            <w:tcBorders>
              <w:top w:val="nil"/>
              <w:left w:val="nil"/>
              <w:bottom w:val="nil"/>
              <w:right w:val="nil"/>
            </w:tcBorders>
            <w:shd w:val="clear" w:color="auto" w:fill="F0F0F0"/>
          </w:tcPr>
          <w:p w:rsidR="000B36DE" w:rsidRDefault="000B36DE" w:rsidP="00C06930">
            <w:pPr>
              <w:spacing w:line="259" w:lineRule="auto"/>
              <w:ind w:left="50" w:right="13"/>
              <w:jc w:val="right"/>
            </w:pPr>
            <w:r>
              <w:rPr>
                <w:b/>
                <w:sz w:val="16"/>
              </w:rPr>
              <w:t>(258) (26)</w:t>
            </w:r>
          </w:p>
        </w:tc>
        <w:tc>
          <w:tcPr>
            <w:tcW w:w="877" w:type="dxa"/>
            <w:tcBorders>
              <w:top w:val="nil"/>
              <w:left w:val="nil"/>
              <w:bottom w:val="nil"/>
              <w:right w:val="nil"/>
            </w:tcBorders>
            <w:shd w:val="clear" w:color="auto" w:fill="F0F0F0"/>
          </w:tcPr>
          <w:p w:rsidR="000B36DE" w:rsidRDefault="000B36DE" w:rsidP="00C06930">
            <w:pPr>
              <w:spacing w:line="259" w:lineRule="auto"/>
              <w:ind w:left="336"/>
              <w:jc w:val="center"/>
            </w:pPr>
            <w:r>
              <w:rPr>
                <w:b/>
                <w:sz w:val="16"/>
              </w:rPr>
              <w:t>(28) (64)</w:t>
            </w:r>
          </w:p>
        </w:tc>
        <w:tc>
          <w:tcPr>
            <w:tcW w:w="1050" w:type="dxa"/>
            <w:tcBorders>
              <w:top w:val="nil"/>
              <w:left w:val="nil"/>
              <w:bottom w:val="nil"/>
              <w:right w:val="nil"/>
            </w:tcBorders>
            <w:shd w:val="clear" w:color="auto" w:fill="F0F0F0"/>
          </w:tcPr>
          <w:p w:rsidR="000B36DE" w:rsidRDefault="000B36DE" w:rsidP="00C06930">
            <w:pPr>
              <w:spacing w:line="259" w:lineRule="auto"/>
              <w:ind w:left="390"/>
              <w:jc w:val="center"/>
            </w:pPr>
            <w:r>
              <w:rPr>
                <w:b/>
                <w:sz w:val="16"/>
              </w:rPr>
              <w:t>–</w:t>
            </w:r>
          </w:p>
          <w:p w:rsidR="000B36DE" w:rsidRDefault="000B36DE" w:rsidP="00C06930">
            <w:pPr>
              <w:spacing w:line="259" w:lineRule="auto"/>
              <w:ind w:left="390"/>
              <w:jc w:val="center"/>
            </w:pPr>
            <w:r>
              <w:rPr>
                <w:b/>
                <w:sz w:val="16"/>
              </w:rPr>
              <w:t>–</w:t>
            </w:r>
          </w:p>
        </w:tc>
        <w:tc>
          <w:tcPr>
            <w:tcW w:w="697" w:type="dxa"/>
            <w:tcBorders>
              <w:top w:val="nil"/>
              <w:left w:val="nil"/>
              <w:bottom w:val="nil"/>
              <w:right w:val="nil"/>
            </w:tcBorders>
            <w:shd w:val="clear" w:color="auto" w:fill="F0F0F0"/>
          </w:tcPr>
          <w:p w:rsidR="000B36DE" w:rsidRDefault="000B36DE" w:rsidP="00C06930">
            <w:pPr>
              <w:spacing w:line="259" w:lineRule="auto"/>
              <w:jc w:val="right"/>
            </w:pPr>
            <w:r>
              <w:rPr>
                <w:b/>
                <w:sz w:val="16"/>
              </w:rPr>
              <w:t>(383) (94)</w:t>
            </w:r>
          </w:p>
        </w:tc>
      </w:tr>
      <w:tr w:rsidR="000B36DE" w:rsidTr="00C06930">
        <w:trPr>
          <w:trHeight w:val="252"/>
        </w:trPr>
        <w:tc>
          <w:tcPr>
            <w:tcW w:w="4649" w:type="dxa"/>
            <w:vMerge w:val="restart"/>
            <w:tcBorders>
              <w:top w:val="nil"/>
              <w:left w:val="nil"/>
              <w:bottom w:val="nil"/>
              <w:right w:val="nil"/>
            </w:tcBorders>
          </w:tcPr>
          <w:p w:rsidR="000B36DE" w:rsidRDefault="000B36DE" w:rsidP="00C06930">
            <w:pPr>
              <w:spacing w:after="179" w:line="259" w:lineRule="auto"/>
            </w:pPr>
            <w:r>
              <w:rPr>
                <w:sz w:val="16"/>
              </w:rPr>
              <w:t>Other income</w:t>
            </w:r>
          </w:p>
          <w:p w:rsidR="000B36DE" w:rsidRDefault="000B36DE" w:rsidP="00C06930">
            <w:pPr>
              <w:spacing w:line="259" w:lineRule="auto"/>
            </w:pPr>
            <w:r>
              <w:rPr>
                <w:b/>
                <w:sz w:val="16"/>
              </w:rPr>
              <w:t>Profit before taxation</w:t>
            </w:r>
          </w:p>
        </w:tc>
        <w:tc>
          <w:tcPr>
            <w:tcW w:w="1060" w:type="dxa"/>
            <w:tcBorders>
              <w:top w:val="nil"/>
              <w:left w:val="nil"/>
              <w:bottom w:val="single" w:sz="2" w:space="0" w:color="000000"/>
              <w:right w:val="nil"/>
            </w:tcBorders>
            <w:shd w:val="clear" w:color="auto" w:fill="F0F0F0"/>
          </w:tcPr>
          <w:p w:rsidR="000B36DE" w:rsidRDefault="000B36DE" w:rsidP="00C06930">
            <w:pPr>
              <w:spacing w:line="259" w:lineRule="auto"/>
              <w:ind w:left="400"/>
              <w:jc w:val="center"/>
            </w:pPr>
            <w:r>
              <w:rPr>
                <w:b/>
                <w:sz w:val="16"/>
              </w:rPr>
              <w:t>–</w:t>
            </w:r>
          </w:p>
        </w:tc>
        <w:tc>
          <w:tcPr>
            <w:tcW w:w="774" w:type="dxa"/>
            <w:tcBorders>
              <w:top w:val="nil"/>
              <w:left w:val="nil"/>
              <w:bottom w:val="single" w:sz="2" w:space="0" w:color="000000"/>
              <w:right w:val="nil"/>
            </w:tcBorders>
            <w:shd w:val="clear" w:color="auto" w:fill="F0F0F0"/>
          </w:tcPr>
          <w:p w:rsidR="000B36DE" w:rsidRDefault="000B36DE" w:rsidP="00C06930">
            <w:pPr>
              <w:spacing w:line="259" w:lineRule="auto"/>
              <w:ind w:left="324"/>
              <w:jc w:val="center"/>
            </w:pPr>
            <w:r>
              <w:rPr>
                <w:b/>
                <w:sz w:val="16"/>
              </w:rPr>
              <w:t>–</w:t>
            </w:r>
          </w:p>
        </w:tc>
        <w:tc>
          <w:tcPr>
            <w:tcW w:w="815" w:type="dxa"/>
            <w:tcBorders>
              <w:top w:val="nil"/>
              <w:left w:val="nil"/>
              <w:bottom w:val="single" w:sz="2" w:space="0" w:color="000000"/>
              <w:right w:val="nil"/>
            </w:tcBorders>
            <w:shd w:val="clear" w:color="auto" w:fill="F0F0F0"/>
          </w:tcPr>
          <w:p w:rsidR="000B36DE" w:rsidRDefault="000B36DE" w:rsidP="00C06930">
            <w:pPr>
              <w:spacing w:line="259" w:lineRule="auto"/>
              <w:ind w:left="492"/>
              <w:jc w:val="center"/>
            </w:pPr>
            <w:r>
              <w:rPr>
                <w:b/>
                <w:sz w:val="16"/>
              </w:rPr>
              <w:t>–</w:t>
            </w:r>
          </w:p>
        </w:tc>
        <w:tc>
          <w:tcPr>
            <w:tcW w:w="877" w:type="dxa"/>
            <w:tcBorders>
              <w:top w:val="nil"/>
              <w:left w:val="nil"/>
              <w:bottom w:val="single" w:sz="2" w:space="0" w:color="000000"/>
              <w:right w:val="nil"/>
            </w:tcBorders>
            <w:shd w:val="clear" w:color="auto" w:fill="F0F0F0"/>
          </w:tcPr>
          <w:p w:rsidR="000B36DE" w:rsidRDefault="000B36DE" w:rsidP="00C06930">
            <w:pPr>
              <w:spacing w:line="259" w:lineRule="auto"/>
              <w:ind w:left="447"/>
            </w:pPr>
            <w:r>
              <w:rPr>
                <w:b/>
                <w:sz w:val="16"/>
              </w:rPr>
              <w:t>143</w:t>
            </w:r>
          </w:p>
        </w:tc>
        <w:tc>
          <w:tcPr>
            <w:tcW w:w="1050" w:type="dxa"/>
            <w:tcBorders>
              <w:top w:val="nil"/>
              <w:left w:val="nil"/>
              <w:bottom w:val="single" w:sz="2" w:space="0" w:color="000000"/>
              <w:right w:val="nil"/>
            </w:tcBorders>
            <w:shd w:val="clear" w:color="auto" w:fill="F0F0F0"/>
          </w:tcPr>
          <w:p w:rsidR="000B36DE" w:rsidRDefault="000B36DE" w:rsidP="00C06930">
            <w:pPr>
              <w:spacing w:line="259" w:lineRule="auto"/>
              <w:ind w:left="390"/>
              <w:jc w:val="center"/>
            </w:pPr>
            <w:r>
              <w:rPr>
                <w:b/>
                <w:sz w:val="16"/>
              </w:rPr>
              <w:t>–</w:t>
            </w:r>
          </w:p>
        </w:tc>
        <w:tc>
          <w:tcPr>
            <w:tcW w:w="697" w:type="dxa"/>
            <w:tcBorders>
              <w:top w:val="nil"/>
              <w:left w:val="nil"/>
              <w:bottom w:val="single" w:sz="2" w:space="0" w:color="000000"/>
              <w:right w:val="nil"/>
            </w:tcBorders>
            <w:shd w:val="clear" w:color="auto" w:fill="F0F0F0"/>
          </w:tcPr>
          <w:p w:rsidR="000B36DE" w:rsidRDefault="000B36DE" w:rsidP="00C06930">
            <w:pPr>
              <w:spacing w:line="259" w:lineRule="auto"/>
              <w:ind w:left="233"/>
              <w:jc w:val="center"/>
            </w:pPr>
            <w:r>
              <w:rPr>
                <w:b/>
                <w:sz w:val="16"/>
              </w:rPr>
              <w:t>143</w:t>
            </w:r>
          </w:p>
        </w:tc>
      </w:tr>
      <w:tr w:rsidR="000B36DE" w:rsidTr="00C06930">
        <w:trPr>
          <w:trHeight w:val="328"/>
        </w:trPr>
        <w:tc>
          <w:tcPr>
            <w:tcW w:w="0" w:type="auto"/>
            <w:vMerge/>
            <w:tcBorders>
              <w:top w:val="nil"/>
              <w:left w:val="nil"/>
              <w:bottom w:val="nil"/>
              <w:right w:val="nil"/>
            </w:tcBorders>
          </w:tcPr>
          <w:p w:rsidR="000B36DE" w:rsidRDefault="000B36DE" w:rsidP="00C06930">
            <w:pPr>
              <w:spacing w:after="160" w:line="259" w:lineRule="auto"/>
            </w:pPr>
          </w:p>
        </w:tc>
        <w:tc>
          <w:tcPr>
            <w:tcW w:w="1060"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400"/>
              <w:jc w:val="center"/>
            </w:pPr>
            <w:r>
              <w:rPr>
                <w:b/>
                <w:sz w:val="16"/>
              </w:rPr>
              <w:t>–</w:t>
            </w:r>
          </w:p>
        </w:tc>
        <w:tc>
          <w:tcPr>
            <w:tcW w:w="774"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153"/>
              <w:jc w:val="center"/>
            </w:pPr>
            <w:r>
              <w:rPr>
                <w:b/>
                <w:sz w:val="16"/>
              </w:rPr>
              <w:t>262</w:t>
            </w:r>
          </w:p>
        </w:tc>
        <w:tc>
          <w:tcPr>
            <w:tcW w:w="815"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322"/>
            </w:pPr>
            <w:r>
              <w:rPr>
                <w:b/>
                <w:sz w:val="16"/>
              </w:rPr>
              <w:t>(290)</w:t>
            </w:r>
          </w:p>
        </w:tc>
        <w:tc>
          <w:tcPr>
            <w:tcW w:w="877"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340"/>
            </w:pPr>
            <w:r>
              <w:rPr>
                <w:b/>
                <w:sz w:val="16"/>
              </w:rPr>
              <w:t>7,674</w:t>
            </w:r>
          </w:p>
        </w:tc>
        <w:tc>
          <w:tcPr>
            <w:tcW w:w="1050"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390"/>
              <w:jc w:val="center"/>
            </w:pPr>
            <w:r>
              <w:rPr>
                <w:b/>
                <w:sz w:val="16"/>
              </w:rPr>
              <w:t>–</w:t>
            </w:r>
          </w:p>
        </w:tc>
        <w:tc>
          <w:tcPr>
            <w:tcW w:w="697"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153"/>
            </w:pPr>
            <w:r>
              <w:rPr>
                <w:b/>
                <w:sz w:val="16"/>
              </w:rPr>
              <w:t>7,646</w:t>
            </w:r>
          </w:p>
        </w:tc>
      </w:tr>
      <w:tr w:rsidR="000B36DE" w:rsidTr="00C06930">
        <w:trPr>
          <w:trHeight w:val="252"/>
        </w:trPr>
        <w:tc>
          <w:tcPr>
            <w:tcW w:w="4649" w:type="dxa"/>
            <w:vMerge w:val="restart"/>
            <w:tcBorders>
              <w:top w:val="nil"/>
              <w:left w:val="nil"/>
              <w:bottom w:val="nil"/>
              <w:right w:val="nil"/>
            </w:tcBorders>
          </w:tcPr>
          <w:p w:rsidR="000B36DE" w:rsidRDefault="000B36DE" w:rsidP="00C06930">
            <w:pPr>
              <w:spacing w:after="179" w:line="259" w:lineRule="auto"/>
            </w:pPr>
            <w:r>
              <w:rPr>
                <w:sz w:val="16"/>
              </w:rPr>
              <w:t>Taxation</w:t>
            </w:r>
          </w:p>
          <w:p w:rsidR="000B36DE" w:rsidRDefault="000B36DE" w:rsidP="00C06930">
            <w:pPr>
              <w:spacing w:line="259" w:lineRule="auto"/>
            </w:pPr>
            <w:r>
              <w:rPr>
                <w:b/>
                <w:sz w:val="16"/>
              </w:rPr>
              <w:t>Net profit before subsidiaries</w:t>
            </w:r>
          </w:p>
        </w:tc>
        <w:tc>
          <w:tcPr>
            <w:tcW w:w="1060" w:type="dxa"/>
            <w:tcBorders>
              <w:top w:val="nil"/>
              <w:left w:val="nil"/>
              <w:bottom w:val="single" w:sz="2" w:space="0" w:color="000000"/>
              <w:right w:val="nil"/>
            </w:tcBorders>
            <w:shd w:val="clear" w:color="auto" w:fill="F0F0F0"/>
          </w:tcPr>
          <w:p w:rsidR="000B36DE" w:rsidRDefault="000B36DE" w:rsidP="00C06930">
            <w:pPr>
              <w:spacing w:line="259" w:lineRule="auto"/>
              <w:ind w:left="400"/>
              <w:jc w:val="center"/>
            </w:pPr>
            <w:r>
              <w:rPr>
                <w:b/>
                <w:sz w:val="16"/>
              </w:rPr>
              <w:t>–</w:t>
            </w:r>
          </w:p>
        </w:tc>
        <w:tc>
          <w:tcPr>
            <w:tcW w:w="774" w:type="dxa"/>
            <w:tcBorders>
              <w:top w:val="nil"/>
              <w:left w:val="nil"/>
              <w:bottom w:val="single" w:sz="2" w:space="0" w:color="000000"/>
              <w:right w:val="nil"/>
            </w:tcBorders>
            <w:shd w:val="clear" w:color="auto" w:fill="F0F0F0"/>
          </w:tcPr>
          <w:p w:rsidR="000B36DE" w:rsidRDefault="000B36DE" w:rsidP="00C06930">
            <w:pPr>
              <w:spacing w:line="259" w:lineRule="auto"/>
              <w:ind w:left="231"/>
              <w:jc w:val="center"/>
            </w:pPr>
            <w:r>
              <w:rPr>
                <w:b/>
                <w:sz w:val="16"/>
              </w:rPr>
              <w:t>(93)</w:t>
            </w:r>
          </w:p>
        </w:tc>
        <w:tc>
          <w:tcPr>
            <w:tcW w:w="815" w:type="dxa"/>
            <w:tcBorders>
              <w:top w:val="nil"/>
              <w:left w:val="nil"/>
              <w:bottom w:val="single" w:sz="2" w:space="0" w:color="000000"/>
              <w:right w:val="nil"/>
            </w:tcBorders>
            <w:shd w:val="clear" w:color="auto" w:fill="F0F0F0"/>
          </w:tcPr>
          <w:p w:rsidR="000B36DE" w:rsidRDefault="000B36DE" w:rsidP="00C06930">
            <w:pPr>
              <w:spacing w:line="259" w:lineRule="auto"/>
              <w:ind w:left="321"/>
            </w:pPr>
            <w:r>
              <w:rPr>
                <w:b/>
                <w:sz w:val="16"/>
              </w:rPr>
              <w:t>(562)</w:t>
            </w:r>
          </w:p>
        </w:tc>
        <w:tc>
          <w:tcPr>
            <w:tcW w:w="877" w:type="dxa"/>
            <w:tcBorders>
              <w:top w:val="nil"/>
              <w:left w:val="nil"/>
              <w:bottom w:val="single" w:sz="2" w:space="0" w:color="000000"/>
              <w:right w:val="nil"/>
            </w:tcBorders>
            <w:shd w:val="clear" w:color="auto" w:fill="F0F0F0"/>
          </w:tcPr>
          <w:p w:rsidR="000B36DE" w:rsidRDefault="000B36DE" w:rsidP="00C06930">
            <w:pPr>
              <w:spacing w:line="259" w:lineRule="auto"/>
              <w:ind w:left="285"/>
            </w:pPr>
            <w:r>
              <w:rPr>
                <w:b/>
                <w:sz w:val="16"/>
              </w:rPr>
              <w:t>(1,476)</w:t>
            </w:r>
          </w:p>
        </w:tc>
        <w:tc>
          <w:tcPr>
            <w:tcW w:w="1050" w:type="dxa"/>
            <w:tcBorders>
              <w:top w:val="nil"/>
              <w:left w:val="nil"/>
              <w:bottom w:val="single" w:sz="2" w:space="0" w:color="000000"/>
              <w:right w:val="nil"/>
            </w:tcBorders>
            <w:shd w:val="clear" w:color="auto" w:fill="F0F0F0"/>
          </w:tcPr>
          <w:p w:rsidR="000B36DE" w:rsidRDefault="000B36DE" w:rsidP="00C06930">
            <w:pPr>
              <w:spacing w:line="259" w:lineRule="auto"/>
              <w:ind w:left="390"/>
              <w:jc w:val="center"/>
            </w:pPr>
            <w:r>
              <w:rPr>
                <w:b/>
                <w:sz w:val="16"/>
              </w:rPr>
              <w:t>–</w:t>
            </w:r>
          </w:p>
        </w:tc>
        <w:tc>
          <w:tcPr>
            <w:tcW w:w="697" w:type="dxa"/>
            <w:tcBorders>
              <w:top w:val="nil"/>
              <w:left w:val="nil"/>
              <w:bottom w:val="single" w:sz="2" w:space="0" w:color="000000"/>
              <w:right w:val="nil"/>
            </w:tcBorders>
            <w:shd w:val="clear" w:color="auto" w:fill="F0F0F0"/>
          </w:tcPr>
          <w:p w:rsidR="000B36DE" w:rsidRDefault="000B36DE" w:rsidP="00C06930">
            <w:pPr>
              <w:spacing w:line="259" w:lineRule="auto"/>
              <w:ind w:left="116"/>
            </w:pPr>
            <w:r>
              <w:rPr>
                <w:b/>
                <w:sz w:val="16"/>
              </w:rPr>
              <w:t>(2,131)</w:t>
            </w:r>
          </w:p>
        </w:tc>
      </w:tr>
      <w:tr w:rsidR="000B36DE" w:rsidTr="00C06930">
        <w:trPr>
          <w:trHeight w:val="328"/>
        </w:trPr>
        <w:tc>
          <w:tcPr>
            <w:tcW w:w="0" w:type="auto"/>
            <w:vMerge/>
            <w:tcBorders>
              <w:top w:val="nil"/>
              <w:left w:val="nil"/>
              <w:bottom w:val="nil"/>
              <w:right w:val="nil"/>
            </w:tcBorders>
          </w:tcPr>
          <w:p w:rsidR="000B36DE" w:rsidRDefault="000B36DE" w:rsidP="00C06930">
            <w:pPr>
              <w:spacing w:after="160" w:line="259" w:lineRule="auto"/>
            </w:pPr>
          </w:p>
        </w:tc>
        <w:tc>
          <w:tcPr>
            <w:tcW w:w="1060"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400"/>
              <w:jc w:val="center"/>
            </w:pPr>
            <w:r>
              <w:rPr>
                <w:b/>
                <w:sz w:val="16"/>
              </w:rPr>
              <w:t>–</w:t>
            </w:r>
          </w:p>
        </w:tc>
        <w:tc>
          <w:tcPr>
            <w:tcW w:w="774"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165"/>
              <w:jc w:val="center"/>
            </w:pPr>
            <w:r>
              <w:rPr>
                <w:b/>
                <w:sz w:val="16"/>
              </w:rPr>
              <w:t>169</w:t>
            </w:r>
          </w:p>
        </w:tc>
        <w:tc>
          <w:tcPr>
            <w:tcW w:w="815"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323"/>
            </w:pPr>
            <w:r>
              <w:rPr>
                <w:b/>
                <w:sz w:val="16"/>
              </w:rPr>
              <w:t>(852)</w:t>
            </w:r>
          </w:p>
        </w:tc>
        <w:tc>
          <w:tcPr>
            <w:tcW w:w="877"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335"/>
            </w:pPr>
            <w:r>
              <w:rPr>
                <w:b/>
                <w:sz w:val="16"/>
              </w:rPr>
              <w:t>6,198</w:t>
            </w:r>
          </w:p>
        </w:tc>
        <w:tc>
          <w:tcPr>
            <w:tcW w:w="1050"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390"/>
              <w:jc w:val="center"/>
            </w:pPr>
            <w:r>
              <w:rPr>
                <w:b/>
                <w:sz w:val="16"/>
              </w:rPr>
              <w:t>–</w:t>
            </w:r>
          </w:p>
        </w:tc>
        <w:tc>
          <w:tcPr>
            <w:tcW w:w="697"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113"/>
              <w:jc w:val="center"/>
            </w:pPr>
            <w:r>
              <w:rPr>
                <w:b/>
                <w:sz w:val="16"/>
              </w:rPr>
              <w:t>5,515</w:t>
            </w:r>
          </w:p>
        </w:tc>
      </w:tr>
      <w:tr w:rsidR="000B36DE" w:rsidTr="00C06930">
        <w:trPr>
          <w:trHeight w:val="252"/>
        </w:trPr>
        <w:tc>
          <w:tcPr>
            <w:tcW w:w="4649" w:type="dxa"/>
            <w:vMerge w:val="restart"/>
            <w:tcBorders>
              <w:top w:val="nil"/>
              <w:left w:val="nil"/>
              <w:bottom w:val="nil"/>
              <w:right w:val="nil"/>
            </w:tcBorders>
          </w:tcPr>
          <w:p w:rsidR="000B36DE" w:rsidRDefault="000B36DE" w:rsidP="00C06930">
            <w:pPr>
              <w:spacing w:after="90" w:line="356" w:lineRule="auto"/>
              <w:ind w:right="2186"/>
              <w:jc w:val="both"/>
              <w:rPr>
                <w:sz w:val="16"/>
              </w:rPr>
            </w:pPr>
            <w:r>
              <w:rPr>
                <w:sz w:val="16"/>
              </w:rPr>
              <w:t xml:space="preserve">Equity earnings of subsidiaries </w:t>
            </w:r>
          </w:p>
          <w:p w:rsidR="000B36DE" w:rsidRDefault="000B36DE" w:rsidP="00C06930">
            <w:pPr>
              <w:spacing w:after="90" w:line="356" w:lineRule="auto"/>
              <w:ind w:right="2186"/>
              <w:jc w:val="both"/>
            </w:pPr>
            <w:r>
              <w:rPr>
                <w:b/>
                <w:sz w:val="16"/>
              </w:rPr>
              <w:t>Net profit</w:t>
            </w:r>
          </w:p>
          <w:p w:rsidR="000B36DE" w:rsidRDefault="000B36DE" w:rsidP="00C06930">
            <w:pPr>
              <w:spacing w:line="259" w:lineRule="auto"/>
            </w:pPr>
            <w:r>
              <w:rPr>
                <w:sz w:val="16"/>
              </w:rPr>
              <w:t>Attributable to:</w:t>
            </w:r>
          </w:p>
          <w:p w:rsidR="000B36DE" w:rsidRDefault="000B36DE" w:rsidP="00C06930">
            <w:pPr>
              <w:spacing w:line="259" w:lineRule="auto"/>
            </w:pPr>
            <w:r>
              <w:rPr>
                <w:sz w:val="16"/>
              </w:rPr>
              <w:t>Non-controlling interests</w:t>
            </w:r>
          </w:p>
        </w:tc>
        <w:tc>
          <w:tcPr>
            <w:tcW w:w="1060" w:type="dxa"/>
            <w:tcBorders>
              <w:top w:val="nil"/>
              <w:left w:val="nil"/>
              <w:bottom w:val="single" w:sz="2" w:space="0" w:color="000000"/>
              <w:right w:val="nil"/>
            </w:tcBorders>
            <w:shd w:val="clear" w:color="auto" w:fill="F0F0F0"/>
          </w:tcPr>
          <w:p w:rsidR="000B36DE" w:rsidRDefault="000B36DE" w:rsidP="00C06930">
            <w:pPr>
              <w:spacing w:line="259" w:lineRule="auto"/>
              <w:ind w:left="400"/>
              <w:jc w:val="center"/>
            </w:pPr>
            <w:r>
              <w:rPr>
                <w:b/>
                <w:sz w:val="16"/>
              </w:rPr>
              <w:t>–</w:t>
            </w:r>
          </w:p>
        </w:tc>
        <w:tc>
          <w:tcPr>
            <w:tcW w:w="774" w:type="dxa"/>
            <w:tcBorders>
              <w:top w:val="nil"/>
              <w:left w:val="nil"/>
              <w:bottom w:val="single" w:sz="2" w:space="0" w:color="000000"/>
              <w:right w:val="nil"/>
            </w:tcBorders>
            <w:shd w:val="clear" w:color="auto" w:fill="F0F0F0"/>
          </w:tcPr>
          <w:p w:rsidR="000B36DE" w:rsidRDefault="000B36DE" w:rsidP="00C06930">
            <w:pPr>
              <w:spacing w:line="259" w:lineRule="auto"/>
              <w:ind w:left="146"/>
            </w:pPr>
            <w:r>
              <w:rPr>
                <w:b/>
                <w:sz w:val="16"/>
              </w:rPr>
              <w:t>5,002</w:t>
            </w:r>
          </w:p>
        </w:tc>
        <w:tc>
          <w:tcPr>
            <w:tcW w:w="815" w:type="dxa"/>
            <w:tcBorders>
              <w:top w:val="nil"/>
              <w:left w:val="nil"/>
              <w:bottom w:val="single" w:sz="2" w:space="0" w:color="000000"/>
              <w:right w:val="nil"/>
            </w:tcBorders>
            <w:shd w:val="clear" w:color="auto" w:fill="F0F0F0"/>
          </w:tcPr>
          <w:p w:rsidR="000B36DE" w:rsidRDefault="000B36DE" w:rsidP="00C06930">
            <w:pPr>
              <w:spacing w:line="259" w:lineRule="auto"/>
              <w:ind w:left="214"/>
              <w:jc w:val="center"/>
            </w:pPr>
            <w:r>
              <w:rPr>
                <w:b/>
                <w:sz w:val="16"/>
              </w:rPr>
              <w:t>1,713</w:t>
            </w:r>
          </w:p>
        </w:tc>
        <w:tc>
          <w:tcPr>
            <w:tcW w:w="877" w:type="dxa"/>
            <w:tcBorders>
              <w:top w:val="nil"/>
              <w:left w:val="nil"/>
              <w:bottom w:val="single" w:sz="2" w:space="0" w:color="000000"/>
              <w:right w:val="nil"/>
            </w:tcBorders>
            <w:shd w:val="clear" w:color="auto" w:fill="F0F0F0"/>
          </w:tcPr>
          <w:p w:rsidR="000B36DE" w:rsidRDefault="000B36DE" w:rsidP="00C06930">
            <w:pPr>
              <w:spacing w:line="259" w:lineRule="auto"/>
              <w:ind w:left="254"/>
              <w:jc w:val="center"/>
            </w:pPr>
            <w:r>
              <w:rPr>
                <w:b/>
                <w:sz w:val="16"/>
              </w:rPr>
              <w:t>(5,269)</w:t>
            </w:r>
          </w:p>
        </w:tc>
        <w:tc>
          <w:tcPr>
            <w:tcW w:w="1050" w:type="dxa"/>
            <w:tcBorders>
              <w:top w:val="nil"/>
              <w:left w:val="nil"/>
              <w:bottom w:val="single" w:sz="2" w:space="0" w:color="000000"/>
              <w:right w:val="nil"/>
            </w:tcBorders>
            <w:shd w:val="clear" w:color="auto" w:fill="F0F0F0"/>
          </w:tcPr>
          <w:p w:rsidR="000B36DE" w:rsidRDefault="000B36DE" w:rsidP="00C06930">
            <w:pPr>
              <w:spacing w:line="259" w:lineRule="auto"/>
              <w:ind w:left="87"/>
              <w:jc w:val="center"/>
            </w:pPr>
            <w:r>
              <w:rPr>
                <w:b/>
                <w:sz w:val="16"/>
              </w:rPr>
              <w:t>(1,446)</w:t>
            </w:r>
          </w:p>
        </w:tc>
        <w:tc>
          <w:tcPr>
            <w:tcW w:w="697" w:type="dxa"/>
            <w:tcBorders>
              <w:top w:val="nil"/>
              <w:left w:val="nil"/>
              <w:bottom w:val="single" w:sz="2" w:space="0" w:color="000000"/>
              <w:right w:val="nil"/>
            </w:tcBorders>
            <w:shd w:val="clear" w:color="auto" w:fill="F0F0F0"/>
          </w:tcPr>
          <w:p w:rsidR="000B36DE" w:rsidRDefault="000B36DE" w:rsidP="00C06930">
            <w:pPr>
              <w:spacing w:line="259" w:lineRule="auto"/>
              <w:ind w:left="400"/>
              <w:jc w:val="center"/>
            </w:pPr>
            <w:r>
              <w:rPr>
                <w:b/>
                <w:sz w:val="16"/>
              </w:rPr>
              <w:t>–</w:t>
            </w:r>
          </w:p>
        </w:tc>
      </w:tr>
      <w:tr w:rsidR="000B36DE" w:rsidTr="00C06930">
        <w:trPr>
          <w:trHeight w:val="290"/>
        </w:trPr>
        <w:tc>
          <w:tcPr>
            <w:tcW w:w="0" w:type="auto"/>
            <w:vMerge/>
            <w:tcBorders>
              <w:top w:val="nil"/>
              <w:left w:val="nil"/>
              <w:bottom w:val="nil"/>
              <w:right w:val="nil"/>
            </w:tcBorders>
          </w:tcPr>
          <w:p w:rsidR="000B36DE" w:rsidRDefault="000B36DE" w:rsidP="00C06930">
            <w:pPr>
              <w:spacing w:after="160" w:line="259" w:lineRule="auto"/>
            </w:pPr>
          </w:p>
        </w:tc>
        <w:tc>
          <w:tcPr>
            <w:tcW w:w="1060" w:type="dxa"/>
            <w:tcBorders>
              <w:top w:val="single" w:sz="2" w:space="0" w:color="000000"/>
              <w:left w:val="nil"/>
              <w:bottom w:val="single" w:sz="2" w:space="0" w:color="000000"/>
              <w:right w:val="nil"/>
            </w:tcBorders>
            <w:shd w:val="clear" w:color="auto" w:fill="F0F0F0"/>
          </w:tcPr>
          <w:p w:rsidR="000B36DE" w:rsidRDefault="000B36DE" w:rsidP="00C06930">
            <w:pPr>
              <w:spacing w:line="259" w:lineRule="auto"/>
              <w:ind w:left="400"/>
              <w:jc w:val="center"/>
            </w:pPr>
            <w:r>
              <w:rPr>
                <w:b/>
                <w:sz w:val="16"/>
              </w:rPr>
              <w:t>–</w:t>
            </w:r>
          </w:p>
        </w:tc>
        <w:tc>
          <w:tcPr>
            <w:tcW w:w="774" w:type="dxa"/>
            <w:tcBorders>
              <w:top w:val="single" w:sz="2" w:space="0" w:color="000000"/>
              <w:left w:val="nil"/>
              <w:bottom w:val="single" w:sz="2" w:space="0" w:color="000000"/>
              <w:right w:val="nil"/>
            </w:tcBorders>
            <w:shd w:val="clear" w:color="auto" w:fill="F0F0F0"/>
          </w:tcPr>
          <w:p w:rsidR="000B36DE" w:rsidRDefault="000B36DE" w:rsidP="00C06930">
            <w:pPr>
              <w:spacing w:line="259" w:lineRule="auto"/>
              <w:ind w:left="169"/>
            </w:pPr>
            <w:r>
              <w:rPr>
                <w:b/>
                <w:sz w:val="16"/>
              </w:rPr>
              <w:t>5,171</w:t>
            </w:r>
          </w:p>
        </w:tc>
        <w:tc>
          <w:tcPr>
            <w:tcW w:w="815" w:type="dxa"/>
            <w:tcBorders>
              <w:top w:val="single" w:sz="2" w:space="0" w:color="000000"/>
              <w:left w:val="nil"/>
              <w:bottom w:val="single" w:sz="2" w:space="0" w:color="000000"/>
              <w:right w:val="nil"/>
            </w:tcBorders>
            <w:shd w:val="clear" w:color="auto" w:fill="F0F0F0"/>
          </w:tcPr>
          <w:p w:rsidR="000B36DE" w:rsidRDefault="000B36DE" w:rsidP="00C06930">
            <w:pPr>
              <w:spacing w:line="259" w:lineRule="auto"/>
              <w:ind w:left="331"/>
              <w:jc w:val="center"/>
            </w:pPr>
            <w:r>
              <w:rPr>
                <w:b/>
                <w:sz w:val="16"/>
              </w:rPr>
              <w:t>861</w:t>
            </w:r>
          </w:p>
        </w:tc>
        <w:tc>
          <w:tcPr>
            <w:tcW w:w="877" w:type="dxa"/>
            <w:tcBorders>
              <w:top w:val="single" w:sz="2" w:space="0" w:color="000000"/>
              <w:left w:val="nil"/>
              <w:bottom w:val="single" w:sz="2" w:space="0" w:color="000000"/>
              <w:right w:val="nil"/>
            </w:tcBorders>
            <w:shd w:val="clear" w:color="auto" w:fill="F0F0F0"/>
          </w:tcPr>
          <w:p w:rsidR="000B36DE" w:rsidRDefault="000B36DE" w:rsidP="00C06930">
            <w:pPr>
              <w:spacing w:line="259" w:lineRule="auto"/>
              <w:ind w:left="442"/>
            </w:pPr>
            <w:r>
              <w:rPr>
                <w:b/>
                <w:sz w:val="16"/>
              </w:rPr>
              <w:t>929</w:t>
            </w:r>
          </w:p>
        </w:tc>
        <w:tc>
          <w:tcPr>
            <w:tcW w:w="1050" w:type="dxa"/>
            <w:tcBorders>
              <w:top w:val="single" w:sz="2" w:space="0" w:color="000000"/>
              <w:left w:val="nil"/>
              <w:bottom w:val="single" w:sz="2" w:space="0" w:color="000000"/>
              <w:right w:val="nil"/>
            </w:tcBorders>
            <w:shd w:val="clear" w:color="auto" w:fill="F0F0F0"/>
          </w:tcPr>
          <w:p w:rsidR="000B36DE" w:rsidRDefault="000B36DE" w:rsidP="00C06930">
            <w:pPr>
              <w:spacing w:line="259" w:lineRule="auto"/>
              <w:ind w:left="87"/>
              <w:jc w:val="center"/>
            </w:pPr>
            <w:r>
              <w:rPr>
                <w:b/>
                <w:sz w:val="16"/>
              </w:rPr>
              <w:t>(1,446)</w:t>
            </w:r>
          </w:p>
        </w:tc>
        <w:tc>
          <w:tcPr>
            <w:tcW w:w="697" w:type="dxa"/>
            <w:tcBorders>
              <w:top w:val="single" w:sz="2" w:space="0" w:color="000000"/>
              <w:left w:val="nil"/>
              <w:bottom w:val="single" w:sz="2" w:space="0" w:color="000000"/>
              <w:right w:val="nil"/>
            </w:tcBorders>
            <w:shd w:val="clear" w:color="auto" w:fill="F0F0F0"/>
          </w:tcPr>
          <w:p w:rsidR="000B36DE" w:rsidRDefault="000B36DE" w:rsidP="00C06930">
            <w:pPr>
              <w:spacing w:line="259" w:lineRule="auto"/>
              <w:ind w:left="113"/>
              <w:jc w:val="center"/>
            </w:pPr>
            <w:r>
              <w:rPr>
                <w:b/>
                <w:sz w:val="16"/>
              </w:rPr>
              <w:t>5,515</w:t>
            </w:r>
          </w:p>
        </w:tc>
      </w:tr>
      <w:tr w:rsidR="000B36DE" w:rsidTr="00C06930">
        <w:trPr>
          <w:trHeight w:val="498"/>
        </w:trPr>
        <w:tc>
          <w:tcPr>
            <w:tcW w:w="0" w:type="auto"/>
            <w:vMerge/>
            <w:tcBorders>
              <w:top w:val="nil"/>
              <w:left w:val="nil"/>
              <w:bottom w:val="nil"/>
              <w:right w:val="nil"/>
            </w:tcBorders>
          </w:tcPr>
          <w:p w:rsidR="000B36DE" w:rsidRDefault="000B36DE" w:rsidP="00C06930">
            <w:pPr>
              <w:spacing w:after="160" w:line="259" w:lineRule="auto"/>
            </w:pPr>
          </w:p>
        </w:tc>
        <w:tc>
          <w:tcPr>
            <w:tcW w:w="1060"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400"/>
              <w:jc w:val="center"/>
            </w:pPr>
            <w:r>
              <w:rPr>
                <w:b/>
                <w:sz w:val="16"/>
              </w:rPr>
              <w:t>–</w:t>
            </w:r>
          </w:p>
        </w:tc>
        <w:tc>
          <w:tcPr>
            <w:tcW w:w="774"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324"/>
              <w:jc w:val="center"/>
            </w:pPr>
            <w:r>
              <w:rPr>
                <w:b/>
                <w:sz w:val="16"/>
              </w:rPr>
              <w:t>–</w:t>
            </w:r>
          </w:p>
        </w:tc>
        <w:tc>
          <w:tcPr>
            <w:tcW w:w="815"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492"/>
              <w:jc w:val="center"/>
            </w:pPr>
            <w:r>
              <w:rPr>
                <w:b/>
                <w:sz w:val="16"/>
              </w:rPr>
              <w:t>–</w:t>
            </w:r>
          </w:p>
        </w:tc>
        <w:tc>
          <w:tcPr>
            <w:tcW w:w="877"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437"/>
            </w:pPr>
            <w:r>
              <w:rPr>
                <w:b/>
                <w:sz w:val="16"/>
              </w:rPr>
              <w:t>344</w:t>
            </w:r>
          </w:p>
        </w:tc>
        <w:tc>
          <w:tcPr>
            <w:tcW w:w="1050"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390"/>
              <w:jc w:val="center"/>
            </w:pPr>
            <w:r>
              <w:rPr>
                <w:b/>
                <w:sz w:val="16"/>
              </w:rPr>
              <w:t>–</w:t>
            </w:r>
          </w:p>
        </w:tc>
        <w:tc>
          <w:tcPr>
            <w:tcW w:w="697" w:type="dxa"/>
            <w:tcBorders>
              <w:top w:val="single" w:sz="2" w:space="0" w:color="000000"/>
              <w:left w:val="nil"/>
              <w:bottom w:val="nil"/>
              <w:right w:val="nil"/>
            </w:tcBorders>
            <w:shd w:val="clear" w:color="auto" w:fill="F0F0F0"/>
            <w:vAlign w:val="bottom"/>
          </w:tcPr>
          <w:p w:rsidR="000B36DE" w:rsidRDefault="000B36DE" w:rsidP="00C06930">
            <w:pPr>
              <w:spacing w:line="259" w:lineRule="auto"/>
              <w:ind w:left="223"/>
              <w:jc w:val="center"/>
            </w:pPr>
            <w:r>
              <w:rPr>
                <w:b/>
                <w:sz w:val="16"/>
              </w:rPr>
              <w:t>344</w:t>
            </w:r>
          </w:p>
        </w:tc>
      </w:tr>
      <w:tr w:rsidR="000B36DE" w:rsidTr="00C06930">
        <w:trPr>
          <w:trHeight w:val="252"/>
        </w:trPr>
        <w:tc>
          <w:tcPr>
            <w:tcW w:w="4649" w:type="dxa"/>
            <w:vMerge w:val="restart"/>
            <w:tcBorders>
              <w:top w:val="nil"/>
              <w:left w:val="nil"/>
              <w:bottom w:val="single" w:sz="6" w:space="0" w:color="000000"/>
              <w:right w:val="nil"/>
            </w:tcBorders>
          </w:tcPr>
          <w:p w:rsidR="000B36DE" w:rsidRDefault="000B36DE" w:rsidP="00C06930">
            <w:pPr>
              <w:spacing w:after="189" w:line="259" w:lineRule="auto"/>
            </w:pPr>
            <w:r>
              <w:rPr>
                <w:sz w:val="16"/>
              </w:rPr>
              <w:t>Shareholders’ equity</w:t>
            </w:r>
          </w:p>
          <w:p w:rsidR="000B36DE" w:rsidRDefault="000B36DE" w:rsidP="00C06930">
            <w:pPr>
              <w:spacing w:line="259" w:lineRule="auto"/>
            </w:pPr>
            <w:r>
              <w:rPr>
                <w:b/>
                <w:sz w:val="16"/>
              </w:rPr>
              <w:t>Total comprehensive income</w:t>
            </w:r>
          </w:p>
        </w:tc>
        <w:tc>
          <w:tcPr>
            <w:tcW w:w="1060" w:type="dxa"/>
            <w:tcBorders>
              <w:top w:val="nil"/>
              <w:left w:val="nil"/>
              <w:bottom w:val="single" w:sz="2" w:space="0" w:color="000000"/>
              <w:right w:val="nil"/>
            </w:tcBorders>
            <w:shd w:val="clear" w:color="auto" w:fill="F0F0F0"/>
          </w:tcPr>
          <w:p w:rsidR="000B36DE" w:rsidRDefault="000B36DE" w:rsidP="00C06930">
            <w:pPr>
              <w:spacing w:line="259" w:lineRule="auto"/>
              <w:ind w:left="400"/>
              <w:jc w:val="center"/>
            </w:pPr>
            <w:r>
              <w:rPr>
                <w:b/>
                <w:sz w:val="16"/>
              </w:rPr>
              <w:t>–</w:t>
            </w:r>
          </w:p>
        </w:tc>
        <w:tc>
          <w:tcPr>
            <w:tcW w:w="774" w:type="dxa"/>
            <w:tcBorders>
              <w:top w:val="nil"/>
              <w:left w:val="nil"/>
              <w:bottom w:val="single" w:sz="2" w:space="0" w:color="000000"/>
              <w:right w:val="nil"/>
            </w:tcBorders>
            <w:shd w:val="clear" w:color="auto" w:fill="F0F0F0"/>
          </w:tcPr>
          <w:p w:rsidR="000B36DE" w:rsidRDefault="000B36DE" w:rsidP="00C06930">
            <w:pPr>
              <w:spacing w:line="259" w:lineRule="auto"/>
              <w:ind w:left="169"/>
            </w:pPr>
            <w:r>
              <w:rPr>
                <w:b/>
                <w:sz w:val="16"/>
              </w:rPr>
              <w:t>5,171</w:t>
            </w:r>
          </w:p>
        </w:tc>
        <w:tc>
          <w:tcPr>
            <w:tcW w:w="815" w:type="dxa"/>
            <w:tcBorders>
              <w:top w:val="nil"/>
              <w:left w:val="nil"/>
              <w:bottom w:val="single" w:sz="2" w:space="0" w:color="000000"/>
              <w:right w:val="nil"/>
            </w:tcBorders>
            <w:shd w:val="clear" w:color="auto" w:fill="F0F0F0"/>
          </w:tcPr>
          <w:p w:rsidR="000B36DE" w:rsidRDefault="000B36DE" w:rsidP="00C06930">
            <w:pPr>
              <w:spacing w:line="259" w:lineRule="auto"/>
              <w:ind w:left="331"/>
              <w:jc w:val="center"/>
            </w:pPr>
            <w:r>
              <w:rPr>
                <w:b/>
                <w:sz w:val="16"/>
              </w:rPr>
              <w:t>861</w:t>
            </w:r>
          </w:p>
        </w:tc>
        <w:tc>
          <w:tcPr>
            <w:tcW w:w="877" w:type="dxa"/>
            <w:tcBorders>
              <w:top w:val="nil"/>
              <w:left w:val="nil"/>
              <w:bottom w:val="single" w:sz="2" w:space="0" w:color="000000"/>
              <w:right w:val="nil"/>
            </w:tcBorders>
            <w:shd w:val="clear" w:color="auto" w:fill="F0F0F0"/>
          </w:tcPr>
          <w:p w:rsidR="000B36DE" w:rsidRDefault="000B36DE" w:rsidP="00C06930">
            <w:pPr>
              <w:spacing w:line="259" w:lineRule="auto"/>
              <w:ind w:left="441"/>
            </w:pPr>
            <w:r>
              <w:rPr>
                <w:b/>
                <w:sz w:val="16"/>
              </w:rPr>
              <w:t>585</w:t>
            </w:r>
          </w:p>
        </w:tc>
        <w:tc>
          <w:tcPr>
            <w:tcW w:w="1050" w:type="dxa"/>
            <w:tcBorders>
              <w:top w:val="nil"/>
              <w:left w:val="nil"/>
              <w:bottom w:val="single" w:sz="2" w:space="0" w:color="000000"/>
              <w:right w:val="nil"/>
            </w:tcBorders>
            <w:shd w:val="clear" w:color="auto" w:fill="F0F0F0"/>
          </w:tcPr>
          <w:p w:rsidR="000B36DE" w:rsidRDefault="000B36DE" w:rsidP="00C06930">
            <w:pPr>
              <w:spacing w:line="259" w:lineRule="auto"/>
              <w:ind w:left="87"/>
              <w:jc w:val="center"/>
            </w:pPr>
            <w:r>
              <w:rPr>
                <w:b/>
                <w:sz w:val="16"/>
              </w:rPr>
              <w:t>(1,446)</w:t>
            </w:r>
          </w:p>
        </w:tc>
        <w:tc>
          <w:tcPr>
            <w:tcW w:w="697" w:type="dxa"/>
            <w:tcBorders>
              <w:top w:val="nil"/>
              <w:left w:val="nil"/>
              <w:bottom w:val="single" w:sz="2" w:space="0" w:color="000000"/>
              <w:right w:val="nil"/>
            </w:tcBorders>
            <w:shd w:val="clear" w:color="auto" w:fill="F0F0F0"/>
          </w:tcPr>
          <w:p w:rsidR="000B36DE" w:rsidRDefault="000B36DE" w:rsidP="00C06930">
            <w:pPr>
              <w:spacing w:line="259" w:lineRule="auto"/>
              <w:ind w:left="124"/>
              <w:jc w:val="center"/>
            </w:pPr>
            <w:r>
              <w:rPr>
                <w:b/>
                <w:sz w:val="16"/>
              </w:rPr>
              <w:t>5,171</w:t>
            </w:r>
          </w:p>
        </w:tc>
      </w:tr>
      <w:tr w:rsidR="000B36DE" w:rsidTr="00C06930">
        <w:trPr>
          <w:trHeight w:val="400"/>
        </w:trPr>
        <w:tc>
          <w:tcPr>
            <w:tcW w:w="0" w:type="auto"/>
            <w:vMerge/>
            <w:tcBorders>
              <w:top w:val="nil"/>
              <w:left w:val="nil"/>
              <w:bottom w:val="single" w:sz="6" w:space="0" w:color="000000"/>
              <w:right w:val="nil"/>
            </w:tcBorders>
          </w:tcPr>
          <w:p w:rsidR="000B36DE" w:rsidRDefault="000B36DE" w:rsidP="00C06930">
            <w:pPr>
              <w:spacing w:after="160" w:line="259" w:lineRule="auto"/>
            </w:pPr>
          </w:p>
        </w:tc>
        <w:tc>
          <w:tcPr>
            <w:tcW w:w="1060" w:type="dxa"/>
            <w:tcBorders>
              <w:top w:val="single" w:sz="2" w:space="0" w:color="000000"/>
              <w:left w:val="nil"/>
              <w:bottom w:val="single" w:sz="6" w:space="0" w:color="000000"/>
              <w:right w:val="nil"/>
            </w:tcBorders>
            <w:shd w:val="clear" w:color="auto" w:fill="F0F0F0"/>
          </w:tcPr>
          <w:p w:rsidR="000B36DE" w:rsidRDefault="000B36DE" w:rsidP="00C06930">
            <w:pPr>
              <w:spacing w:line="259" w:lineRule="auto"/>
              <w:ind w:left="403"/>
              <w:jc w:val="center"/>
            </w:pPr>
            <w:r>
              <w:rPr>
                <w:b/>
                <w:sz w:val="16"/>
              </w:rPr>
              <w:t>(1)</w:t>
            </w:r>
          </w:p>
        </w:tc>
        <w:tc>
          <w:tcPr>
            <w:tcW w:w="774" w:type="dxa"/>
            <w:tcBorders>
              <w:top w:val="single" w:sz="2" w:space="0" w:color="000000"/>
              <w:left w:val="nil"/>
              <w:bottom w:val="single" w:sz="6" w:space="0" w:color="000000"/>
              <w:right w:val="nil"/>
            </w:tcBorders>
            <w:shd w:val="clear" w:color="auto" w:fill="F0F0F0"/>
          </w:tcPr>
          <w:p w:rsidR="000B36DE" w:rsidRDefault="000B36DE" w:rsidP="00C06930">
            <w:pPr>
              <w:spacing w:line="259" w:lineRule="auto"/>
              <w:ind w:left="166"/>
            </w:pPr>
            <w:r>
              <w:rPr>
                <w:b/>
                <w:sz w:val="16"/>
              </w:rPr>
              <w:t>5,165</w:t>
            </w:r>
          </w:p>
        </w:tc>
        <w:tc>
          <w:tcPr>
            <w:tcW w:w="815" w:type="dxa"/>
            <w:tcBorders>
              <w:top w:val="single" w:sz="2" w:space="0" w:color="000000"/>
              <w:left w:val="nil"/>
              <w:bottom w:val="single" w:sz="6" w:space="0" w:color="000000"/>
              <w:right w:val="nil"/>
            </w:tcBorders>
            <w:shd w:val="clear" w:color="auto" w:fill="F0F0F0"/>
          </w:tcPr>
          <w:p w:rsidR="000B36DE" w:rsidRDefault="000B36DE" w:rsidP="00C06930">
            <w:pPr>
              <w:spacing w:line="259" w:lineRule="auto"/>
              <w:ind w:left="319"/>
              <w:jc w:val="center"/>
            </w:pPr>
            <w:r>
              <w:rPr>
                <w:b/>
                <w:sz w:val="16"/>
              </w:rPr>
              <w:t>754</w:t>
            </w:r>
          </w:p>
        </w:tc>
        <w:tc>
          <w:tcPr>
            <w:tcW w:w="877" w:type="dxa"/>
            <w:tcBorders>
              <w:top w:val="single" w:sz="2" w:space="0" w:color="000000"/>
              <w:left w:val="nil"/>
              <w:bottom w:val="single" w:sz="6" w:space="0" w:color="000000"/>
              <w:right w:val="nil"/>
            </w:tcBorders>
            <w:shd w:val="clear" w:color="auto" w:fill="F0F0F0"/>
          </w:tcPr>
          <w:p w:rsidR="000B36DE" w:rsidRDefault="000B36DE" w:rsidP="00C06930">
            <w:pPr>
              <w:spacing w:line="259" w:lineRule="auto"/>
              <w:ind w:left="398"/>
            </w:pPr>
            <w:r>
              <w:rPr>
                <w:b/>
                <w:sz w:val="16"/>
              </w:rPr>
              <w:t>(317)</w:t>
            </w:r>
          </w:p>
        </w:tc>
        <w:tc>
          <w:tcPr>
            <w:tcW w:w="1050" w:type="dxa"/>
            <w:tcBorders>
              <w:top w:val="single" w:sz="2" w:space="0" w:color="000000"/>
              <w:left w:val="nil"/>
              <w:bottom w:val="single" w:sz="6" w:space="0" w:color="000000"/>
              <w:right w:val="nil"/>
            </w:tcBorders>
            <w:shd w:val="clear" w:color="auto" w:fill="F0F0F0"/>
          </w:tcPr>
          <w:p w:rsidR="000B36DE" w:rsidRDefault="000B36DE" w:rsidP="00C06930">
            <w:pPr>
              <w:spacing w:line="259" w:lineRule="auto"/>
              <w:ind w:left="87"/>
              <w:jc w:val="center"/>
            </w:pPr>
            <w:r>
              <w:rPr>
                <w:b/>
                <w:sz w:val="16"/>
              </w:rPr>
              <w:t>(1,446)</w:t>
            </w:r>
          </w:p>
        </w:tc>
        <w:tc>
          <w:tcPr>
            <w:tcW w:w="697" w:type="dxa"/>
            <w:tcBorders>
              <w:top w:val="single" w:sz="2" w:space="0" w:color="000000"/>
              <w:left w:val="nil"/>
              <w:bottom w:val="single" w:sz="6" w:space="0" w:color="000000"/>
              <w:right w:val="nil"/>
            </w:tcBorders>
            <w:shd w:val="clear" w:color="auto" w:fill="F0F0F0"/>
          </w:tcPr>
          <w:p w:rsidR="000B36DE" w:rsidRDefault="000B36DE" w:rsidP="00C06930">
            <w:pPr>
              <w:spacing w:line="259" w:lineRule="auto"/>
              <w:ind w:left="117"/>
              <w:jc w:val="center"/>
            </w:pPr>
            <w:r>
              <w:rPr>
                <w:b/>
                <w:sz w:val="16"/>
              </w:rPr>
              <w:t>4,155</w:t>
            </w:r>
          </w:p>
        </w:tc>
      </w:tr>
    </w:tbl>
    <w:p w:rsidR="00AF4E96" w:rsidRDefault="00AF4E96" w:rsidP="0073699A">
      <w:pPr>
        <w:jc w:val="both"/>
        <w:rPr>
          <w:sz w:val="24"/>
          <w:szCs w:val="24"/>
        </w:rPr>
      </w:pPr>
    </w:p>
    <w:p w:rsidR="00C06930" w:rsidRPr="00941306" w:rsidRDefault="00C06930" w:rsidP="00C06930">
      <w:pPr>
        <w:rPr>
          <w:b/>
          <w:sz w:val="24"/>
          <w:szCs w:val="24"/>
        </w:rPr>
      </w:pPr>
      <w:r w:rsidRPr="00941306">
        <w:rPr>
          <w:b/>
          <w:sz w:val="24"/>
          <w:szCs w:val="24"/>
        </w:rPr>
        <w:t xml:space="preserve">CONSOLIDATED INCOME STATEMENT </w:t>
      </w:r>
    </w:p>
    <w:p w:rsidR="00C06930" w:rsidRDefault="00C06930" w:rsidP="00C06930">
      <w:pPr>
        <w:jc w:val="both"/>
        <w:rPr>
          <w:sz w:val="24"/>
          <w:szCs w:val="24"/>
        </w:rPr>
      </w:pPr>
      <w:r>
        <w:t>for the year ended 31 December</w:t>
      </w:r>
    </w:p>
    <w:p w:rsidR="00C06930" w:rsidRDefault="00C06930" w:rsidP="00C06930">
      <w:pPr>
        <w:tabs>
          <w:tab w:val="center" w:pos="6087"/>
          <w:tab w:val="center" w:pos="7610"/>
          <w:tab w:val="center" w:pos="8686"/>
          <w:tab w:val="center" w:pos="9751"/>
        </w:tabs>
        <w:spacing w:line="267" w:lineRule="auto"/>
      </w:pPr>
      <w:r>
        <w:tab/>
      </w:r>
      <w:r>
        <w:rPr>
          <w:sz w:val="14"/>
        </w:rPr>
        <w:t>Notes</w:t>
      </w:r>
      <w:r>
        <w:rPr>
          <w:sz w:val="14"/>
        </w:rPr>
        <w:tab/>
      </w:r>
      <w:r>
        <w:rPr>
          <w:b/>
          <w:sz w:val="14"/>
        </w:rPr>
        <w:t>2016</w:t>
      </w:r>
      <w:r>
        <w:rPr>
          <w:b/>
          <w:sz w:val="14"/>
        </w:rPr>
        <w:tab/>
      </w:r>
      <w:r>
        <w:rPr>
          <w:sz w:val="14"/>
        </w:rPr>
        <w:t>2015</w:t>
      </w:r>
      <w:r>
        <w:rPr>
          <w:sz w:val="14"/>
        </w:rPr>
        <w:tab/>
        <w:t>2014</w:t>
      </w:r>
    </w:p>
    <w:tbl>
      <w:tblPr>
        <w:tblStyle w:val="TableGrid0"/>
        <w:tblW w:w="9975" w:type="dxa"/>
        <w:tblInd w:w="-40" w:type="dxa"/>
        <w:tblCellMar>
          <w:left w:w="40" w:type="dxa"/>
          <w:right w:w="38" w:type="dxa"/>
        </w:tblCellMar>
        <w:tblLook w:val="04A0" w:firstRow="1" w:lastRow="0" w:firstColumn="1" w:lastColumn="0" w:noHBand="0" w:noVBand="1"/>
      </w:tblPr>
      <w:tblGrid>
        <w:gridCol w:w="5764"/>
        <w:gridCol w:w="804"/>
        <w:gridCol w:w="1138"/>
        <w:gridCol w:w="1473"/>
        <w:gridCol w:w="796"/>
      </w:tblGrid>
      <w:tr w:rsidR="00C06930" w:rsidTr="00C06930">
        <w:trPr>
          <w:trHeight w:val="343"/>
        </w:trPr>
        <w:tc>
          <w:tcPr>
            <w:tcW w:w="5953" w:type="dxa"/>
            <w:tcBorders>
              <w:top w:val="single" w:sz="8" w:space="0" w:color="000000"/>
              <w:left w:val="nil"/>
              <w:bottom w:val="nil"/>
              <w:right w:val="nil"/>
            </w:tcBorders>
          </w:tcPr>
          <w:p w:rsidR="00C06930" w:rsidRDefault="00C06930" w:rsidP="00C06930">
            <w:pPr>
              <w:spacing w:line="259" w:lineRule="auto"/>
            </w:pPr>
            <w:r>
              <w:rPr>
                <w:b/>
              </w:rPr>
              <w:t xml:space="preserve">Turnover  </w:t>
            </w:r>
          </w:p>
        </w:tc>
        <w:tc>
          <w:tcPr>
            <w:tcW w:w="829" w:type="dxa"/>
            <w:tcBorders>
              <w:top w:val="single" w:sz="8" w:space="0" w:color="000000"/>
              <w:left w:val="nil"/>
              <w:bottom w:val="nil"/>
              <w:right w:val="nil"/>
            </w:tcBorders>
          </w:tcPr>
          <w:p w:rsidR="00C06930" w:rsidRDefault="00C06930" w:rsidP="00C06930">
            <w:pPr>
              <w:spacing w:line="259" w:lineRule="auto"/>
              <w:ind w:left="107"/>
            </w:pPr>
            <w:r>
              <w:rPr>
                <w:sz w:val="14"/>
              </w:rPr>
              <w:t>2</w:t>
            </w:r>
          </w:p>
        </w:tc>
        <w:tc>
          <w:tcPr>
            <w:tcW w:w="1064" w:type="dxa"/>
            <w:tcBorders>
              <w:top w:val="single" w:sz="8" w:space="0" w:color="000000"/>
              <w:left w:val="nil"/>
              <w:bottom w:val="nil"/>
              <w:right w:val="nil"/>
            </w:tcBorders>
            <w:shd w:val="clear" w:color="auto" w:fill="F4F4F4"/>
          </w:tcPr>
          <w:p w:rsidR="00C06930" w:rsidRDefault="00C06930" w:rsidP="00C06930">
            <w:pPr>
              <w:spacing w:line="259" w:lineRule="auto"/>
              <w:ind w:left="445"/>
            </w:pPr>
            <w:r>
              <w:rPr>
                <w:b/>
              </w:rPr>
              <w:t>52,713</w:t>
            </w:r>
          </w:p>
        </w:tc>
        <w:tc>
          <w:tcPr>
            <w:tcW w:w="1506" w:type="dxa"/>
            <w:tcBorders>
              <w:top w:val="single" w:sz="8" w:space="0" w:color="000000"/>
              <w:left w:val="nil"/>
              <w:bottom w:val="nil"/>
              <w:right w:val="nil"/>
            </w:tcBorders>
          </w:tcPr>
          <w:p w:rsidR="00C06930" w:rsidRDefault="00C06930" w:rsidP="00C06930">
            <w:pPr>
              <w:spacing w:line="259" w:lineRule="auto"/>
              <w:ind w:right="2"/>
              <w:jc w:val="center"/>
            </w:pPr>
            <w:r>
              <w:t>53,272</w:t>
            </w:r>
          </w:p>
        </w:tc>
        <w:tc>
          <w:tcPr>
            <w:tcW w:w="624" w:type="dxa"/>
            <w:tcBorders>
              <w:top w:val="single" w:sz="8" w:space="0" w:color="000000"/>
              <w:left w:val="nil"/>
              <w:bottom w:val="nil"/>
              <w:right w:val="nil"/>
            </w:tcBorders>
          </w:tcPr>
          <w:p w:rsidR="00C06930" w:rsidRDefault="00C06930" w:rsidP="00C06930">
            <w:pPr>
              <w:spacing w:line="259" w:lineRule="auto"/>
              <w:ind w:left="47"/>
            </w:pPr>
            <w:r>
              <w:t>48,436</w:t>
            </w:r>
          </w:p>
        </w:tc>
      </w:tr>
      <w:tr w:rsidR="00C06930" w:rsidTr="00C06930">
        <w:trPr>
          <w:trHeight w:val="330"/>
        </w:trPr>
        <w:tc>
          <w:tcPr>
            <w:tcW w:w="5953" w:type="dxa"/>
            <w:tcBorders>
              <w:top w:val="nil"/>
              <w:left w:val="nil"/>
              <w:bottom w:val="nil"/>
              <w:right w:val="nil"/>
            </w:tcBorders>
          </w:tcPr>
          <w:p w:rsidR="00C06930" w:rsidRDefault="00C06930" w:rsidP="00C06930">
            <w:pPr>
              <w:spacing w:line="259" w:lineRule="auto"/>
            </w:pPr>
            <w:r>
              <w:rPr>
                <w:b/>
              </w:rPr>
              <w:t xml:space="preserve">Operating profit  </w:t>
            </w:r>
          </w:p>
        </w:tc>
        <w:tc>
          <w:tcPr>
            <w:tcW w:w="829" w:type="dxa"/>
            <w:tcBorders>
              <w:top w:val="nil"/>
              <w:left w:val="nil"/>
              <w:bottom w:val="nil"/>
              <w:right w:val="nil"/>
            </w:tcBorders>
          </w:tcPr>
          <w:p w:rsidR="00C06930" w:rsidRDefault="00C06930" w:rsidP="00C06930">
            <w:pPr>
              <w:spacing w:line="259" w:lineRule="auto"/>
              <w:ind w:left="107"/>
            </w:pPr>
            <w:r>
              <w:rPr>
                <w:sz w:val="14"/>
              </w:rPr>
              <w:t>2</w:t>
            </w:r>
          </w:p>
        </w:tc>
        <w:tc>
          <w:tcPr>
            <w:tcW w:w="1064" w:type="dxa"/>
            <w:tcBorders>
              <w:top w:val="nil"/>
              <w:left w:val="nil"/>
              <w:bottom w:val="nil"/>
              <w:right w:val="nil"/>
            </w:tcBorders>
            <w:shd w:val="clear" w:color="auto" w:fill="F4F4F4"/>
          </w:tcPr>
          <w:p w:rsidR="00C06930" w:rsidRDefault="00C06930" w:rsidP="00C06930">
            <w:pPr>
              <w:spacing w:line="259" w:lineRule="auto"/>
              <w:ind w:right="68"/>
              <w:jc w:val="right"/>
            </w:pPr>
            <w:r>
              <w:rPr>
                <w:b/>
              </w:rPr>
              <w:t>7,801</w:t>
            </w:r>
          </w:p>
        </w:tc>
        <w:tc>
          <w:tcPr>
            <w:tcW w:w="1506" w:type="dxa"/>
            <w:tcBorders>
              <w:top w:val="nil"/>
              <w:left w:val="nil"/>
              <w:bottom w:val="nil"/>
              <w:right w:val="nil"/>
            </w:tcBorders>
          </w:tcPr>
          <w:p w:rsidR="00C06930" w:rsidRDefault="00C06930" w:rsidP="00C06930">
            <w:pPr>
              <w:spacing w:line="259" w:lineRule="auto"/>
              <w:ind w:left="80"/>
              <w:jc w:val="center"/>
            </w:pPr>
            <w:r>
              <w:t>7,515</w:t>
            </w:r>
          </w:p>
        </w:tc>
        <w:tc>
          <w:tcPr>
            <w:tcW w:w="624" w:type="dxa"/>
            <w:tcBorders>
              <w:top w:val="nil"/>
              <w:left w:val="nil"/>
              <w:bottom w:val="nil"/>
              <w:right w:val="nil"/>
            </w:tcBorders>
          </w:tcPr>
          <w:p w:rsidR="00C06930" w:rsidRDefault="00C06930" w:rsidP="00C06930">
            <w:pPr>
              <w:spacing w:line="259" w:lineRule="auto"/>
              <w:ind w:left="80"/>
              <w:jc w:val="center"/>
            </w:pPr>
            <w:r>
              <w:t>7,980</w:t>
            </w:r>
          </w:p>
        </w:tc>
      </w:tr>
      <w:tr w:rsidR="00C06930" w:rsidTr="00C06930">
        <w:trPr>
          <w:trHeight w:val="330"/>
        </w:trPr>
        <w:tc>
          <w:tcPr>
            <w:tcW w:w="5953" w:type="dxa"/>
            <w:tcBorders>
              <w:top w:val="nil"/>
              <w:left w:val="nil"/>
              <w:bottom w:val="nil"/>
              <w:right w:val="nil"/>
            </w:tcBorders>
          </w:tcPr>
          <w:p w:rsidR="00C06930" w:rsidRDefault="00C06930" w:rsidP="00C06930">
            <w:pPr>
              <w:spacing w:line="259" w:lineRule="auto"/>
            </w:pPr>
            <w:r>
              <w:t>After (charging)/crediting non-core items</w:t>
            </w:r>
          </w:p>
        </w:tc>
        <w:tc>
          <w:tcPr>
            <w:tcW w:w="829" w:type="dxa"/>
            <w:tcBorders>
              <w:top w:val="nil"/>
              <w:left w:val="nil"/>
              <w:bottom w:val="nil"/>
              <w:right w:val="nil"/>
            </w:tcBorders>
          </w:tcPr>
          <w:p w:rsidR="00C06930" w:rsidRDefault="00C06930" w:rsidP="00C06930">
            <w:pPr>
              <w:spacing w:line="259" w:lineRule="auto"/>
              <w:ind w:left="107"/>
            </w:pPr>
            <w:r>
              <w:rPr>
                <w:sz w:val="14"/>
              </w:rPr>
              <w:t>3</w:t>
            </w:r>
          </w:p>
        </w:tc>
        <w:tc>
          <w:tcPr>
            <w:tcW w:w="1064" w:type="dxa"/>
            <w:tcBorders>
              <w:top w:val="nil"/>
              <w:left w:val="nil"/>
              <w:bottom w:val="nil"/>
              <w:right w:val="nil"/>
            </w:tcBorders>
            <w:shd w:val="clear" w:color="auto" w:fill="F4F4F4"/>
          </w:tcPr>
          <w:p w:rsidR="00C06930" w:rsidRDefault="00C06930" w:rsidP="00C06930">
            <w:pPr>
              <w:spacing w:line="259" w:lineRule="auto"/>
              <w:ind w:right="6"/>
              <w:jc w:val="right"/>
            </w:pPr>
            <w:r>
              <w:rPr>
                <w:b/>
              </w:rPr>
              <w:t>(245)</w:t>
            </w:r>
          </w:p>
        </w:tc>
        <w:tc>
          <w:tcPr>
            <w:tcW w:w="1506" w:type="dxa"/>
            <w:tcBorders>
              <w:top w:val="nil"/>
              <w:left w:val="nil"/>
              <w:bottom w:val="nil"/>
              <w:right w:val="nil"/>
            </w:tcBorders>
          </w:tcPr>
          <w:p w:rsidR="00C06930" w:rsidRDefault="00C06930" w:rsidP="00C06930">
            <w:pPr>
              <w:spacing w:line="259" w:lineRule="auto"/>
              <w:ind w:left="207"/>
              <w:jc w:val="center"/>
            </w:pPr>
            <w:r>
              <w:t>(350)</w:t>
            </w:r>
          </w:p>
        </w:tc>
        <w:tc>
          <w:tcPr>
            <w:tcW w:w="624" w:type="dxa"/>
            <w:tcBorders>
              <w:top w:val="nil"/>
              <w:left w:val="nil"/>
              <w:bottom w:val="nil"/>
              <w:right w:val="nil"/>
            </w:tcBorders>
          </w:tcPr>
          <w:p w:rsidR="00C06930" w:rsidRDefault="00C06930" w:rsidP="00C06930">
            <w:pPr>
              <w:spacing w:line="259" w:lineRule="auto"/>
              <w:ind w:left="252"/>
            </w:pPr>
            <w:r>
              <w:t>960</w:t>
            </w:r>
          </w:p>
        </w:tc>
      </w:tr>
      <w:tr w:rsidR="00C06930" w:rsidTr="00C06930">
        <w:trPr>
          <w:trHeight w:val="310"/>
        </w:trPr>
        <w:tc>
          <w:tcPr>
            <w:tcW w:w="5953" w:type="dxa"/>
            <w:vMerge w:val="restart"/>
            <w:tcBorders>
              <w:top w:val="nil"/>
              <w:left w:val="nil"/>
              <w:bottom w:val="nil"/>
              <w:right w:val="nil"/>
            </w:tcBorders>
          </w:tcPr>
          <w:p w:rsidR="00C06930" w:rsidRDefault="00C06930" w:rsidP="00C06930">
            <w:pPr>
              <w:spacing w:after="49" w:line="259" w:lineRule="auto"/>
            </w:pPr>
            <w:r>
              <w:t xml:space="preserve">Net finance costs  </w:t>
            </w:r>
          </w:p>
          <w:p w:rsidR="00C06930" w:rsidRDefault="00C06930" w:rsidP="00C06930">
            <w:pPr>
              <w:spacing w:line="259" w:lineRule="auto"/>
            </w:pPr>
            <w:r>
              <w:t>Finance income</w:t>
            </w:r>
          </w:p>
        </w:tc>
        <w:tc>
          <w:tcPr>
            <w:tcW w:w="829" w:type="dxa"/>
            <w:vMerge w:val="restart"/>
            <w:tcBorders>
              <w:top w:val="nil"/>
              <w:left w:val="nil"/>
              <w:bottom w:val="nil"/>
              <w:right w:val="nil"/>
            </w:tcBorders>
          </w:tcPr>
          <w:p w:rsidR="00C06930" w:rsidRDefault="00C06930" w:rsidP="00C06930">
            <w:pPr>
              <w:spacing w:line="259" w:lineRule="auto"/>
              <w:ind w:left="107"/>
            </w:pPr>
            <w:r>
              <w:rPr>
                <w:sz w:val="14"/>
              </w:rPr>
              <w:t>5</w:t>
            </w:r>
          </w:p>
        </w:tc>
        <w:tc>
          <w:tcPr>
            <w:tcW w:w="1064" w:type="dxa"/>
            <w:tcBorders>
              <w:top w:val="nil"/>
              <w:left w:val="nil"/>
              <w:bottom w:val="single" w:sz="4" w:space="0" w:color="000000"/>
              <w:right w:val="nil"/>
            </w:tcBorders>
            <w:shd w:val="clear" w:color="auto" w:fill="F4F4F4"/>
          </w:tcPr>
          <w:p w:rsidR="00C06930" w:rsidRDefault="00C06930" w:rsidP="00C06930">
            <w:pPr>
              <w:spacing w:line="259" w:lineRule="auto"/>
              <w:ind w:right="6"/>
              <w:jc w:val="right"/>
            </w:pPr>
            <w:r>
              <w:rPr>
                <w:b/>
              </w:rPr>
              <w:t>(563)</w:t>
            </w:r>
          </w:p>
        </w:tc>
        <w:tc>
          <w:tcPr>
            <w:tcW w:w="1506" w:type="dxa"/>
            <w:tcBorders>
              <w:top w:val="nil"/>
              <w:left w:val="nil"/>
              <w:bottom w:val="single" w:sz="4" w:space="0" w:color="000000"/>
              <w:right w:val="nil"/>
            </w:tcBorders>
          </w:tcPr>
          <w:p w:rsidR="00C06930" w:rsidRDefault="00C06930" w:rsidP="00C06930">
            <w:pPr>
              <w:spacing w:line="259" w:lineRule="auto"/>
              <w:ind w:left="207"/>
              <w:jc w:val="center"/>
            </w:pPr>
            <w:r>
              <w:t>(493)</w:t>
            </w:r>
          </w:p>
        </w:tc>
        <w:tc>
          <w:tcPr>
            <w:tcW w:w="624" w:type="dxa"/>
            <w:tcBorders>
              <w:top w:val="nil"/>
              <w:left w:val="nil"/>
              <w:bottom w:val="single" w:sz="4" w:space="0" w:color="000000"/>
              <w:right w:val="nil"/>
            </w:tcBorders>
          </w:tcPr>
          <w:p w:rsidR="00C06930" w:rsidRDefault="00C06930" w:rsidP="00C06930">
            <w:pPr>
              <w:spacing w:line="259" w:lineRule="auto"/>
              <w:jc w:val="right"/>
            </w:pPr>
            <w:r>
              <w:t>(477)</w:t>
            </w:r>
          </w:p>
        </w:tc>
      </w:tr>
      <w:tr w:rsidR="00C06930" w:rsidTr="00C06930">
        <w:trPr>
          <w:trHeight w:val="209"/>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1064" w:type="dxa"/>
            <w:tcBorders>
              <w:top w:val="single" w:sz="4" w:space="0" w:color="000000"/>
              <w:left w:val="single" w:sz="4" w:space="0" w:color="000000"/>
              <w:bottom w:val="nil"/>
              <w:right w:val="nil"/>
            </w:tcBorders>
            <w:shd w:val="clear" w:color="auto" w:fill="F4F4F4"/>
          </w:tcPr>
          <w:p w:rsidR="00C06930" w:rsidRDefault="00C06930" w:rsidP="00C06930">
            <w:pPr>
              <w:spacing w:line="259" w:lineRule="auto"/>
              <w:ind w:right="68"/>
              <w:jc w:val="right"/>
            </w:pPr>
            <w:r>
              <w:rPr>
                <w:b/>
              </w:rPr>
              <w:t>115</w:t>
            </w:r>
          </w:p>
        </w:tc>
        <w:tc>
          <w:tcPr>
            <w:tcW w:w="1506" w:type="dxa"/>
            <w:tcBorders>
              <w:top w:val="single" w:sz="4" w:space="0" w:color="000000"/>
              <w:left w:val="nil"/>
              <w:bottom w:val="nil"/>
              <w:right w:val="nil"/>
            </w:tcBorders>
          </w:tcPr>
          <w:p w:rsidR="00C06930" w:rsidRDefault="00C06930" w:rsidP="00C06930">
            <w:pPr>
              <w:spacing w:line="259" w:lineRule="auto"/>
              <w:ind w:left="204"/>
              <w:jc w:val="center"/>
            </w:pPr>
            <w:r>
              <w:t>144</w:t>
            </w:r>
          </w:p>
        </w:tc>
        <w:tc>
          <w:tcPr>
            <w:tcW w:w="624" w:type="dxa"/>
            <w:tcBorders>
              <w:top w:val="single" w:sz="4" w:space="0" w:color="000000"/>
              <w:left w:val="nil"/>
              <w:bottom w:val="nil"/>
              <w:right w:val="single" w:sz="4" w:space="0" w:color="000000"/>
            </w:tcBorders>
          </w:tcPr>
          <w:p w:rsidR="00C06930" w:rsidRDefault="00C06930" w:rsidP="00C06930">
            <w:pPr>
              <w:spacing w:line="259" w:lineRule="auto"/>
              <w:ind w:left="252"/>
            </w:pPr>
            <w:r>
              <w:t>117</w:t>
            </w:r>
          </w:p>
        </w:tc>
      </w:tr>
      <w:tr w:rsidR="00C06930" w:rsidTr="00C06930">
        <w:trPr>
          <w:trHeight w:val="208"/>
        </w:trPr>
        <w:tc>
          <w:tcPr>
            <w:tcW w:w="5953" w:type="dxa"/>
            <w:tcBorders>
              <w:top w:val="nil"/>
              <w:left w:val="nil"/>
              <w:bottom w:val="nil"/>
              <w:right w:val="nil"/>
            </w:tcBorders>
          </w:tcPr>
          <w:p w:rsidR="00C06930" w:rsidRDefault="00C06930" w:rsidP="00C06930">
            <w:pPr>
              <w:spacing w:line="259" w:lineRule="auto"/>
            </w:pPr>
            <w:r>
              <w:t>Finance costs</w:t>
            </w:r>
          </w:p>
        </w:tc>
        <w:tc>
          <w:tcPr>
            <w:tcW w:w="829" w:type="dxa"/>
            <w:tcBorders>
              <w:top w:val="nil"/>
              <w:left w:val="nil"/>
              <w:bottom w:val="nil"/>
              <w:right w:val="single" w:sz="4" w:space="0" w:color="000000"/>
            </w:tcBorders>
          </w:tcPr>
          <w:p w:rsidR="00C06930" w:rsidRDefault="00C06930" w:rsidP="00C06930">
            <w:pPr>
              <w:spacing w:after="160" w:line="259" w:lineRule="auto"/>
            </w:pPr>
          </w:p>
        </w:tc>
        <w:tc>
          <w:tcPr>
            <w:tcW w:w="1064" w:type="dxa"/>
            <w:tcBorders>
              <w:top w:val="nil"/>
              <w:left w:val="single" w:sz="4" w:space="0" w:color="000000"/>
              <w:bottom w:val="nil"/>
              <w:right w:val="nil"/>
            </w:tcBorders>
            <w:shd w:val="clear" w:color="auto" w:fill="F4F4F4"/>
          </w:tcPr>
          <w:p w:rsidR="00C06930" w:rsidRDefault="00C06930" w:rsidP="00C06930">
            <w:pPr>
              <w:spacing w:line="259" w:lineRule="auto"/>
              <w:ind w:right="6"/>
              <w:jc w:val="right"/>
            </w:pPr>
            <w:r>
              <w:rPr>
                <w:b/>
              </w:rPr>
              <w:t>(584)</w:t>
            </w:r>
          </w:p>
        </w:tc>
        <w:tc>
          <w:tcPr>
            <w:tcW w:w="1506" w:type="dxa"/>
            <w:tcBorders>
              <w:top w:val="nil"/>
              <w:left w:val="nil"/>
              <w:bottom w:val="nil"/>
              <w:right w:val="nil"/>
            </w:tcBorders>
          </w:tcPr>
          <w:p w:rsidR="00C06930" w:rsidRDefault="00C06930" w:rsidP="00C06930">
            <w:pPr>
              <w:spacing w:line="259" w:lineRule="auto"/>
              <w:ind w:left="207"/>
              <w:jc w:val="center"/>
            </w:pPr>
            <w:r>
              <w:t>(516)</w:t>
            </w:r>
          </w:p>
        </w:tc>
        <w:tc>
          <w:tcPr>
            <w:tcW w:w="624" w:type="dxa"/>
            <w:tcBorders>
              <w:top w:val="nil"/>
              <w:left w:val="nil"/>
              <w:bottom w:val="nil"/>
              <w:right w:val="single" w:sz="4" w:space="0" w:color="000000"/>
            </w:tcBorders>
          </w:tcPr>
          <w:p w:rsidR="00C06930" w:rsidRDefault="00C06930" w:rsidP="00C06930">
            <w:pPr>
              <w:spacing w:line="259" w:lineRule="auto"/>
              <w:jc w:val="right"/>
            </w:pPr>
            <w:r>
              <w:t>(500)</w:t>
            </w:r>
          </w:p>
        </w:tc>
      </w:tr>
      <w:tr w:rsidR="00C06930" w:rsidTr="00C06930">
        <w:trPr>
          <w:trHeight w:val="214"/>
        </w:trPr>
        <w:tc>
          <w:tcPr>
            <w:tcW w:w="5953" w:type="dxa"/>
            <w:vMerge w:val="restart"/>
            <w:tcBorders>
              <w:top w:val="nil"/>
              <w:left w:val="nil"/>
              <w:bottom w:val="nil"/>
              <w:right w:val="nil"/>
            </w:tcBorders>
          </w:tcPr>
          <w:p w:rsidR="00C06930" w:rsidRDefault="00C06930" w:rsidP="00C06930">
            <w:pPr>
              <w:spacing w:after="104" w:line="259" w:lineRule="auto"/>
            </w:pPr>
            <w:r>
              <w:t>Pensions and similar obligations</w:t>
            </w:r>
          </w:p>
          <w:p w:rsidR="00C06930" w:rsidRDefault="00C06930" w:rsidP="00C06930">
            <w:pPr>
              <w:spacing w:line="259" w:lineRule="auto"/>
            </w:pPr>
            <w:r>
              <w:t xml:space="preserve">Share of net profit/(loss) of joint ventures and associates  </w:t>
            </w:r>
          </w:p>
        </w:tc>
        <w:tc>
          <w:tcPr>
            <w:tcW w:w="829" w:type="dxa"/>
            <w:vMerge w:val="restart"/>
            <w:tcBorders>
              <w:top w:val="nil"/>
              <w:left w:val="nil"/>
              <w:bottom w:val="nil"/>
              <w:right w:val="nil"/>
            </w:tcBorders>
            <w:vAlign w:val="bottom"/>
          </w:tcPr>
          <w:p w:rsidR="00C06930" w:rsidRDefault="00C06930" w:rsidP="00C06930">
            <w:pPr>
              <w:spacing w:line="259" w:lineRule="auto"/>
              <w:ind w:left="71"/>
            </w:pPr>
            <w:r>
              <w:rPr>
                <w:sz w:val="14"/>
              </w:rPr>
              <w:t>11</w:t>
            </w:r>
          </w:p>
        </w:tc>
        <w:tc>
          <w:tcPr>
            <w:tcW w:w="1064" w:type="dxa"/>
            <w:tcBorders>
              <w:top w:val="nil"/>
              <w:left w:val="single" w:sz="4" w:space="0" w:color="000000"/>
              <w:bottom w:val="single" w:sz="4" w:space="0" w:color="000000"/>
              <w:right w:val="nil"/>
            </w:tcBorders>
            <w:shd w:val="clear" w:color="auto" w:fill="F4F4F4"/>
          </w:tcPr>
          <w:p w:rsidR="00C06930" w:rsidRDefault="00C06930" w:rsidP="00C06930">
            <w:pPr>
              <w:spacing w:line="259" w:lineRule="auto"/>
              <w:ind w:right="6"/>
              <w:jc w:val="right"/>
            </w:pPr>
            <w:r>
              <w:rPr>
                <w:b/>
              </w:rPr>
              <w:t>(94)</w:t>
            </w:r>
          </w:p>
        </w:tc>
        <w:tc>
          <w:tcPr>
            <w:tcW w:w="1506" w:type="dxa"/>
            <w:tcBorders>
              <w:top w:val="nil"/>
              <w:left w:val="nil"/>
              <w:bottom w:val="single" w:sz="4" w:space="0" w:color="000000"/>
              <w:right w:val="nil"/>
            </w:tcBorders>
          </w:tcPr>
          <w:p w:rsidR="00C06930" w:rsidRDefault="00C06930" w:rsidP="00C06930">
            <w:pPr>
              <w:spacing w:line="259" w:lineRule="auto"/>
              <w:ind w:left="207"/>
              <w:jc w:val="center"/>
            </w:pPr>
            <w:r>
              <w:t>(121)</w:t>
            </w:r>
          </w:p>
        </w:tc>
        <w:tc>
          <w:tcPr>
            <w:tcW w:w="624" w:type="dxa"/>
            <w:tcBorders>
              <w:top w:val="nil"/>
              <w:left w:val="nil"/>
              <w:bottom w:val="single" w:sz="4" w:space="0" w:color="000000"/>
              <w:right w:val="single" w:sz="4" w:space="0" w:color="000000"/>
            </w:tcBorders>
          </w:tcPr>
          <w:p w:rsidR="00C06930" w:rsidRDefault="00C06930" w:rsidP="00C06930">
            <w:pPr>
              <w:spacing w:line="259" w:lineRule="auto"/>
              <w:jc w:val="right"/>
            </w:pPr>
            <w:r>
              <w:t>(94)</w:t>
            </w:r>
          </w:p>
        </w:tc>
      </w:tr>
      <w:tr w:rsidR="00C06930" w:rsidTr="00C06930">
        <w:trPr>
          <w:trHeight w:val="310"/>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1064" w:type="dxa"/>
            <w:tcBorders>
              <w:top w:val="single" w:sz="4" w:space="0" w:color="000000"/>
              <w:left w:val="nil"/>
              <w:bottom w:val="nil"/>
              <w:right w:val="nil"/>
            </w:tcBorders>
            <w:shd w:val="clear" w:color="auto" w:fill="F4F4F4"/>
            <w:vAlign w:val="bottom"/>
          </w:tcPr>
          <w:p w:rsidR="00C06930" w:rsidRDefault="00C06930" w:rsidP="00C06930">
            <w:pPr>
              <w:spacing w:line="259" w:lineRule="auto"/>
              <w:ind w:right="68"/>
              <w:jc w:val="right"/>
            </w:pPr>
            <w:r>
              <w:rPr>
                <w:b/>
              </w:rPr>
              <w:t>127</w:t>
            </w:r>
          </w:p>
        </w:tc>
        <w:tc>
          <w:tcPr>
            <w:tcW w:w="1506" w:type="dxa"/>
            <w:tcBorders>
              <w:top w:val="single" w:sz="4" w:space="0" w:color="000000"/>
              <w:left w:val="nil"/>
              <w:bottom w:val="nil"/>
              <w:right w:val="nil"/>
            </w:tcBorders>
            <w:vAlign w:val="bottom"/>
          </w:tcPr>
          <w:p w:rsidR="00C06930" w:rsidRDefault="00C06930" w:rsidP="00C06930">
            <w:pPr>
              <w:spacing w:line="259" w:lineRule="auto"/>
              <w:ind w:left="204"/>
              <w:jc w:val="center"/>
            </w:pPr>
            <w:r>
              <w:t>107</w:t>
            </w:r>
          </w:p>
        </w:tc>
        <w:tc>
          <w:tcPr>
            <w:tcW w:w="624" w:type="dxa"/>
            <w:tcBorders>
              <w:top w:val="single" w:sz="4" w:space="0" w:color="000000"/>
              <w:left w:val="nil"/>
              <w:bottom w:val="nil"/>
              <w:right w:val="nil"/>
            </w:tcBorders>
            <w:vAlign w:val="bottom"/>
          </w:tcPr>
          <w:p w:rsidR="00C06930" w:rsidRDefault="00C06930" w:rsidP="00C06930">
            <w:pPr>
              <w:spacing w:line="259" w:lineRule="auto"/>
              <w:ind w:left="335"/>
            </w:pPr>
            <w:r>
              <w:t>98</w:t>
            </w:r>
          </w:p>
        </w:tc>
      </w:tr>
      <w:tr w:rsidR="00C06930" w:rsidTr="00C06930">
        <w:trPr>
          <w:trHeight w:val="200"/>
        </w:trPr>
        <w:tc>
          <w:tcPr>
            <w:tcW w:w="5953" w:type="dxa"/>
            <w:vMerge w:val="restart"/>
            <w:tcBorders>
              <w:top w:val="nil"/>
              <w:left w:val="nil"/>
              <w:bottom w:val="nil"/>
              <w:right w:val="nil"/>
            </w:tcBorders>
          </w:tcPr>
          <w:p w:rsidR="00C06930" w:rsidRDefault="00C06930" w:rsidP="00C06930">
            <w:pPr>
              <w:spacing w:after="65" w:line="259" w:lineRule="auto"/>
            </w:pPr>
            <w:r>
              <w:t xml:space="preserve">Other income/(loss) from non-current investments and associates  </w:t>
            </w:r>
          </w:p>
          <w:p w:rsidR="00C06930" w:rsidRDefault="00C06930" w:rsidP="00C06930">
            <w:pPr>
              <w:spacing w:line="259" w:lineRule="auto"/>
            </w:pPr>
            <w:r>
              <w:rPr>
                <w:b/>
              </w:rPr>
              <w:t>Profit before taxation</w:t>
            </w:r>
          </w:p>
        </w:tc>
        <w:tc>
          <w:tcPr>
            <w:tcW w:w="829" w:type="dxa"/>
            <w:vMerge w:val="restart"/>
            <w:tcBorders>
              <w:top w:val="nil"/>
              <w:left w:val="nil"/>
              <w:bottom w:val="nil"/>
              <w:right w:val="nil"/>
            </w:tcBorders>
          </w:tcPr>
          <w:p w:rsidR="00C06930" w:rsidRDefault="00C06930" w:rsidP="00C06930">
            <w:pPr>
              <w:spacing w:after="160" w:line="259" w:lineRule="auto"/>
            </w:pPr>
          </w:p>
        </w:tc>
        <w:tc>
          <w:tcPr>
            <w:tcW w:w="1064" w:type="dxa"/>
            <w:tcBorders>
              <w:top w:val="nil"/>
              <w:left w:val="nil"/>
              <w:bottom w:val="single" w:sz="4" w:space="0" w:color="000000"/>
              <w:right w:val="nil"/>
            </w:tcBorders>
            <w:shd w:val="clear" w:color="auto" w:fill="F4F4F4"/>
          </w:tcPr>
          <w:p w:rsidR="00C06930" w:rsidRDefault="00C06930" w:rsidP="00C06930">
            <w:pPr>
              <w:spacing w:line="259" w:lineRule="auto"/>
              <w:ind w:right="68"/>
              <w:jc w:val="right"/>
            </w:pPr>
            <w:r>
              <w:rPr>
                <w:b/>
              </w:rPr>
              <w:t>104</w:t>
            </w:r>
          </w:p>
        </w:tc>
        <w:tc>
          <w:tcPr>
            <w:tcW w:w="1506" w:type="dxa"/>
            <w:tcBorders>
              <w:top w:val="nil"/>
              <w:left w:val="nil"/>
              <w:bottom w:val="single" w:sz="4" w:space="0" w:color="000000"/>
              <w:right w:val="nil"/>
            </w:tcBorders>
          </w:tcPr>
          <w:p w:rsidR="00C06930" w:rsidRDefault="00C06930" w:rsidP="00C06930">
            <w:pPr>
              <w:spacing w:line="259" w:lineRule="auto"/>
              <w:ind w:left="286"/>
              <w:jc w:val="center"/>
            </w:pPr>
            <w:r>
              <w:t>91</w:t>
            </w:r>
          </w:p>
        </w:tc>
        <w:tc>
          <w:tcPr>
            <w:tcW w:w="624" w:type="dxa"/>
            <w:tcBorders>
              <w:top w:val="nil"/>
              <w:left w:val="nil"/>
              <w:bottom w:val="single" w:sz="4" w:space="0" w:color="000000"/>
              <w:right w:val="nil"/>
            </w:tcBorders>
          </w:tcPr>
          <w:p w:rsidR="00C06930" w:rsidRDefault="00C06930" w:rsidP="00C06930">
            <w:pPr>
              <w:spacing w:line="259" w:lineRule="auto"/>
              <w:ind w:left="335"/>
            </w:pPr>
            <w:r>
              <w:t>45</w:t>
            </w:r>
          </w:p>
        </w:tc>
      </w:tr>
      <w:tr w:rsidR="00C06930" w:rsidTr="00C06930">
        <w:trPr>
          <w:trHeight w:val="280"/>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1064" w:type="dxa"/>
            <w:tcBorders>
              <w:top w:val="single" w:sz="4" w:space="0" w:color="000000"/>
              <w:left w:val="nil"/>
              <w:bottom w:val="nil"/>
              <w:right w:val="nil"/>
            </w:tcBorders>
            <w:shd w:val="clear" w:color="auto" w:fill="F4F4F4"/>
          </w:tcPr>
          <w:p w:rsidR="00C06930" w:rsidRDefault="00C06930" w:rsidP="00C06930">
            <w:pPr>
              <w:spacing w:line="259" w:lineRule="auto"/>
              <w:ind w:right="68"/>
              <w:jc w:val="right"/>
            </w:pPr>
            <w:r>
              <w:rPr>
                <w:b/>
              </w:rPr>
              <w:t>7,469</w:t>
            </w:r>
          </w:p>
        </w:tc>
        <w:tc>
          <w:tcPr>
            <w:tcW w:w="1506" w:type="dxa"/>
            <w:tcBorders>
              <w:top w:val="single" w:sz="4" w:space="0" w:color="000000"/>
              <w:left w:val="nil"/>
              <w:bottom w:val="nil"/>
              <w:right w:val="nil"/>
            </w:tcBorders>
          </w:tcPr>
          <w:p w:rsidR="00C06930" w:rsidRDefault="00C06930" w:rsidP="00C06930">
            <w:pPr>
              <w:spacing w:line="259" w:lineRule="auto"/>
              <w:ind w:left="80"/>
              <w:jc w:val="center"/>
            </w:pPr>
            <w:r>
              <w:t>7,220</w:t>
            </w:r>
          </w:p>
        </w:tc>
        <w:tc>
          <w:tcPr>
            <w:tcW w:w="624" w:type="dxa"/>
            <w:tcBorders>
              <w:top w:val="single" w:sz="4" w:space="0" w:color="000000"/>
              <w:left w:val="nil"/>
              <w:bottom w:val="nil"/>
              <w:right w:val="nil"/>
            </w:tcBorders>
          </w:tcPr>
          <w:p w:rsidR="00C06930" w:rsidRDefault="00C06930" w:rsidP="00C06930">
            <w:pPr>
              <w:spacing w:line="259" w:lineRule="auto"/>
              <w:ind w:left="80"/>
              <w:jc w:val="center"/>
            </w:pPr>
            <w:r>
              <w:t>7,646</w:t>
            </w:r>
          </w:p>
        </w:tc>
      </w:tr>
      <w:tr w:rsidR="00C06930" w:rsidTr="00C06930">
        <w:trPr>
          <w:trHeight w:val="200"/>
        </w:trPr>
        <w:tc>
          <w:tcPr>
            <w:tcW w:w="5953" w:type="dxa"/>
            <w:vMerge w:val="restart"/>
            <w:tcBorders>
              <w:top w:val="nil"/>
              <w:left w:val="nil"/>
              <w:bottom w:val="nil"/>
              <w:right w:val="nil"/>
            </w:tcBorders>
          </w:tcPr>
          <w:p w:rsidR="00C06930" w:rsidRDefault="00C06930" w:rsidP="00C06930">
            <w:pPr>
              <w:spacing w:after="65" w:line="259" w:lineRule="auto"/>
            </w:pPr>
            <w:r>
              <w:t xml:space="preserve">Taxation  </w:t>
            </w:r>
          </w:p>
          <w:p w:rsidR="00C06930" w:rsidRDefault="00C06930" w:rsidP="00C06930">
            <w:pPr>
              <w:spacing w:after="104" w:line="259" w:lineRule="auto"/>
            </w:pPr>
            <w:r>
              <w:rPr>
                <w:b/>
              </w:rPr>
              <w:t>Net profit</w:t>
            </w:r>
          </w:p>
          <w:p w:rsidR="00C06930" w:rsidRDefault="00C06930" w:rsidP="00C06930">
            <w:pPr>
              <w:spacing w:after="14" w:line="259" w:lineRule="auto"/>
            </w:pPr>
            <w:r>
              <w:t>Attributable to:</w:t>
            </w:r>
          </w:p>
          <w:p w:rsidR="00C06930" w:rsidRDefault="00C06930" w:rsidP="00C06930">
            <w:pPr>
              <w:spacing w:line="259" w:lineRule="auto"/>
            </w:pPr>
            <w:r>
              <w:t>Non-controlling interests</w:t>
            </w:r>
          </w:p>
        </w:tc>
        <w:tc>
          <w:tcPr>
            <w:tcW w:w="829" w:type="dxa"/>
            <w:vMerge w:val="restart"/>
            <w:tcBorders>
              <w:top w:val="nil"/>
              <w:left w:val="nil"/>
              <w:bottom w:val="nil"/>
              <w:right w:val="nil"/>
            </w:tcBorders>
          </w:tcPr>
          <w:p w:rsidR="00C06930" w:rsidRDefault="00C06930" w:rsidP="00C06930">
            <w:pPr>
              <w:spacing w:line="259" w:lineRule="auto"/>
              <w:ind w:left="64"/>
            </w:pPr>
            <w:r>
              <w:rPr>
                <w:sz w:val="14"/>
              </w:rPr>
              <w:t>6A</w:t>
            </w:r>
          </w:p>
        </w:tc>
        <w:tc>
          <w:tcPr>
            <w:tcW w:w="1064" w:type="dxa"/>
            <w:tcBorders>
              <w:top w:val="nil"/>
              <w:left w:val="nil"/>
              <w:bottom w:val="single" w:sz="4" w:space="0" w:color="000000"/>
              <w:right w:val="nil"/>
            </w:tcBorders>
            <w:shd w:val="clear" w:color="auto" w:fill="F4F4F4"/>
          </w:tcPr>
          <w:p w:rsidR="00C06930" w:rsidRDefault="00C06930" w:rsidP="00C06930">
            <w:pPr>
              <w:spacing w:line="259" w:lineRule="auto"/>
              <w:ind w:right="6"/>
              <w:jc w:val="right"/>
            </w:pPr>
            <w:r>
              <w:rPr>
                <w:b/>
              </w:rPr>
              <w:t>(1,922)</w:t>
            </w:r>
          </w:p>
        </w:tc>
        <w:tc>
          <w:tcPr>
            <w:tcW w:w="1506" w:type="dxa"/>
            <w:tcBorders>
              <w:top w:val="nil"/>
              <w:left w:val="nil"/>
              <w:bottom w:val="single" w:sz="4" w:space="0" w:color="000000"/>
              <w:right w:val="nil"/>
            </w:tcBorders>
          </w:tcPr>
          <w:p w:rsidR="00C06930" w:rsidRDefault="00C06930" w:rsidP="00C06930">
            <w:pPr>
              <w:spacing w:line="259" w:lineRule="auto"/>
              <w:ind w:left="83"/>
              <w:jc w:val="center"/>
            </w:pPr>
            <w:r>
              <w:t>(1,961)</w:t>
            </w:r>
          </w:p>
        </w:tc>
        <w:tc>
          <w:tcPr>
            <w:tcW w:w="624" w:type="dxa"/>
            <w:tcBorders>
              <w:top w:val="nil"/>
              <w:left w:val="nil"/>
              <w:bottom w:val="single" w:sz="4" w:space="0" w:color="000000"/>
              <w:right w:val="nil"/>
            </w:tcBorders>
          </w:tcPr>
          <w:p w:rsidR="00C06930" w:rsidRDefault="00C06930" w:rsidP="00C06930">
            <w:pPr>
              <w:spacing w:line="259" w:lineRule="auto"/>
              <w:ind w:left="83"/>
            </w:pPr>
            <w:r>
              <w:t>(2,131)</w:t>
            </w:r>
          </w:p>
        </w:tc>
      </w:tr>
      <w:tr w:rsidR="00C06930" w:rsidTr="00C06930">
        <w:trPr>
          <w:trHeight w:val="285"/>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1064" w:type="dxa"/>
            <w:tcBorders>
              <w:top w:val="single" w:sz="4" w:space="0" w:color="000000"/>
              <w:left w:val="nil"/>
              <w:bottom w:val="single" w:sz="4" w:space="0" w:color="000000"/>
              <w:right w:val="nil"/>
            </w:tcBorders>
            <w:shd w:val="clear" w:color="auto" w:fill="F4F4F4"/>
          </w:tcPr>
          <w:p w:rsidR="00C06930" w:rsidRDefault="00C06930" w:rsidP="00C06930">
            <w:pPr>
              <w:spacing w:line="259" w:lineRule="auto"/>
              <w:ind w:right="68"/>
              <w:jc w:val="right"/>
            </w:pPr>
            <w:r>
              <w:rPr>
                <w:b/>
              </w:rPr>
              <w:t>5,547</w:t>
            </w:r>
          </w:p>
        </w:tc>
        <w:tc>
          <w:tcPr>
            <w:tcW w:w="1506" w:type="dxa"/>
            <w:tcBorders>
              <w:top w:val="single" w:sz="4" w:space="0" w:color="000000"/>
              <w:left w:val="nil"/>
              <w:bottom w:val="single" w:sz="4" w:space="0" w:color="000000"/>
              <w:right w:val="nil"/>
            </w:tcBorders>
          </w:tcPr>
          <w:p w:rsidR="00C06930" w:rsidRDefault="00C06930" w:rsidP="00C06930">
            <w:pPr>
              <w:spacing w:line="259" w:lineRule="auto"/>
              <w:ind w:left="80"/>
              <w:jc w:val="center"/>
            </w:pPr>
            <w:r>
              <w:t>5,259</w:t>
            </w:r>
          </w:p>
        </w:tc>
        <w:tc>
          <w:tcPr>
            <w:tcW w:w="624" w:type="dxa"/>
            <w:tcBorders>
              <w:top w:val="single" w:sz="4" w:space="0" w:color="000000"/>
              <w:left w:val="nil"/>
              <w:bottom w:val="single" w:sz="4" w:space="0" w:color="000000"/>
              <w:right w:val="nil"/>
            </w:tcBorders>
          </w:tcPr>
          <w:p w:rsidR="00C06930" w:rsidRDefault="00C06930" w:rsidP="00C06930">
            <w:pPr>
              <w:spacing w:line="259" w:lineRule="auto"/>
              <w:ind w:left="80"/>
              <w:jc w:val="center"/>
            </w:pPr>
            <w:r>
              <w:t>5,515</w:t>
            </w:r>
          </w:p>
        </w:tc>
      </w:tr>
      <w:tr w:rsidR="00C06930" w:rsidTr="00C06930">
        <w:trPr>
          <w:trHeight w:val="553"/>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1064" w:type="dxa"/>
            <w:tcBorders>
              <w:top w:val="single" w:sz="4" w:space="0" w:color="000000"/>
              <w:left w:val="nil"/>
              <w:bottom w:val="nil"/>
              <w:right w:val="nil"/>
            </w:tcBorders>
            <w:shd w:val="clear" w:color="auto" w:fill="F4F4F4"/>
            <w:vAlign w:val="bottom"/>
          </w:tcPr>
          <w:p w:rsidR="00C06930" w:rsidRDefault="00C06930" w:rsidP="00C06930">
            <w:pPr>
              <w:spacing w:line="259" w:lineRule="auto"/>
              <w:ind w:right="68"/>
              <w:jc w:val="right"/>
            </w:pPr>
            <w:r>
              <w:rPr>
                <w:b/>
              </w:rPr>
              <w:t>363</w:t>
            </w:r>
          </w:p>
        </w:tc>
        <w:tc>
          <w:tcPr>
            <w:tcW w:w="1506" w:type="dxa"/>
            <w:tcBorders>
              <w:top w:val="single" w:sz="4" w:space="0" w:color="000000"/>
              <w:left w:val="nil"/>
              <w:bottom w:val="nil"/>
              <w:right w:val="nil"/>
            </w:tcBorders>
            <w:vAlign w:val="bottom"/>
          </w:tcPr>
          <w:p w:rsidR="00C06930" w:rsidRDefault="00C06930" w:rsidP="00C06930">
            <w:pPr>
              <w:spacing w:line="259" w:lineRule="auto"/>
              <w:ind w:left="204"/>
              <w:jc w:val="center"/>
            </w:pPr>
            <w:r>
              <w:t>350</w:t>
            </w:r>
          </w:p>
        </w:tc>
        <w:tc>
          <w:tcPr>
            <w:tcW w:w="624" w:type="dxa"/>
            <w:tcBorders>
              <w:top w:val="single" w:sz="4" w:space="0" w:color="000000"/>
              <w:left w:val="nil"/>
              <w:bottom w:val="nil"/>
              <w:right w:val="nil"/>
            </w:tcBorders>
            <w:vAlign w:val="bottom"/>
          </w:tcPr>
          <w:p w:rsidR="00C06930" w:rsidRDefault="00C06930" w:rsidP="00C06930">
            <w:pPr>
              <w:spacing w:line="259" w:lineRule="auto"/>
              <w:ind w:left="252"/>
            </w:pPr>
            <w:r>
              <w:t>344</w:t>
            </w:r>
          </w:p>
        </w:tc>
      </w:tr>
      <w:tr w:rsidR="00C06930" w:rsidTr="00C06930">
        <w:trPr>
          <w:trHeight w:val="232"/>
        </w:trPr>
        <w:tc>
          <w:tcPr>
            <w:tcW w:w="5953" w:type="dxa"/>
            <w:vMerge w:val="restart"/>
            <w:tcBorders>
              <w:top w:val="nil"/>
              <w:left w:val="nil"/>
              <w:bottom w:val="nil"/>
              <w:right w:val="nil"/>
            </w:tcBorders>
          </w:tcPr>
          <w:p w:rsidR="00C06930" w:rsidRDefault="00C06930" w:rsidP="00C06930">
            <w:pPr>
              <w:spacing w:after="119" w:line="259" w:lineRule="auto"/>
            </w:pPr>
            <w:r>
              <w:rPr>
                <w:u w:val="single" w:color="000000"/>
              </w:rPr>
              <w:t>Shareholders’ equity</w:t>
            </w:r>
          </w:p>
          <w:p w:rsidR="00C06930" w:rsidRDefault="00C06930" w:rsidP="00C06930">
            <w:pPr>
              <w:spacing w:line="259" w:lineRule="auto"/>
            </w:pPr>
            <w:r>
              <w:rPr>
                <w:b/>
              </w:rPr>
              <w:t xml:space="preserve">Combined earnings per share  </w:t>
            </w:r>
          </w:p>
        </w:tc>
        <w:tc>
          <w:tcPr>
            <w:tcW w:w="829" w:type="dxa"/>
            <w:vMerge w:val="restart"/>
            <w:tcBorders>
              <w:top w:val="nil"/>
              <w:left w:val="nil"/>
              <w:bottom w:val="nil"/>
              <w:right w:val="nil"/>
            </w:tcBorders>
            <w:vAlign w:val="bottom"/>
          </w:tcPr>
          <w:p w:rsidR="00C06930" w:rsidRDefault="00C06930" w:rsidP="00C06930">
            <w:pPr>
              <w:spacing w:line="259" w:lineRule="auto"/>
              <w:ind w:left="107"/>
            </w:pPr>
            <w:r>
              <w:rPr>
                <w:sz w:val="14"/>
              </w:rPr>
              <w:t>7</w:t>
            </w:r>
          </w:p>
        </w:tc>
        <w:tc>
          <w:tcPr>
            <w:tcW w:w="1064" w:type="dxa"/>
            <w:tcBorders>
              <w:top w:val="nil"/>
              <w:left w:val="nil"/>
              <w:bottom w:val="nil"/>
              <w:right w:val="nil"/>
            </w:tcBorders>
            <w:shd w:val="clear" w:color="auto" w:fill="F4F4F4"/>
          </w:tcPr>
          <w:p w:rsidR="00C06930" w:rsidRDefault="00C06930" w:rsidP="00C06930">
            <w:pPr>
              <w:spacing w:line="259" w:lineRule="auto"/>
              <w:ind w:right="68"/>
              <w:jc w:val="right"/>
            </w:pPr>
            <w:r>
              <w:rPr>
                <w:b/>
                <w:u w:val="single" w:color="000000"/>
              </w:rPr>
              <w:t>5,184</w:t>
            </w:r>
          </w:p>
        </w:tc>
        <w:tc>
          <w:tcPr>
            <w:tcW w:w="1506" w:type="dxa"/>
            <w:vMerge w:val="restart"/>
            <w:tcBorders>
              <w:top w:val="nil"/>
              <w:left w:val="nil"/>
              <w:bottom w:val="nil"/>
              <w:right w:val="nil"/>
            </w:tcBorders>
          </w:tcPr>
          <w:p w:rsidR="00C06930" w:rsidRDefault="00C06930" w:rsidP="00C06930">
            <w:pPr>
              <w:spacing w:line="259" w:lineRule="auto"/>
              <w:ind w:left="80"/>
              <w:jc w:val="center"/>
            </w:pPr>
            <w:r>
              <w:rPr>
                <w:u w:val="single" w:color="000000"/>
              </w:rPr>
              <w:t>4,909</w:t>
            </w:r>
          </w:p>
        </w:tc>
        <w:tc>
          <w:tcPr>
            <w:tcW w:w="624" w:type="dxa"/>
            <w:vMerge w:val="restart"/>
            <w:tcBorders>
              <w:top w:val="nil"/>
              <w:left w:val="nil"/>
              <w:bottom w:val="nil"/>
              <w:right w:val="nil"/>
            </w:tcBorders>
          </w:tcPr>
          <w:p w:rsidR="00C06930" w:rsidRDefault="00C06930" w:rsidP="00C06930">
            <w:pPr>
              <w:spacing w:line="259" w:lineRule="auto"/>
              <w:ind w:left="80"/>
              <w:jc w:val="center"/>
            </w:pPr>
            <w:r>
              <w:rPr>
                <w:u w:val="single" w:color="000000"/>
              </w:rPr>
              <w:t>5,171</w:t>
            </w:r>
          </w:p>
        </w:tc>
      </w:tr>
      <w:tr w:rsidR="00C06930" w:rsidTr="00C06930">
        <w:trPr>
          <w:trHeight w:val="330"/>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1064" w:type="dxa"/>
            <w:tcBorders>
              <w:top w:val="nil"/>
              <w:left w:val="nil"/>
              <w:bottom w:val="nil"/>
              <w:right w:val="nil"/>
            </w:tcBorders>
            <w:shd w:val="clear" w:color="auto" w:fill="F4F4F4"/>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r>
      <w:tr w:rsidR="00C06930" w:rsidTr="00C06930">
        <w:trPr>
          <w:trHeight w:val="233"/>
        </w:trPr>
        <w:tc>
          <w:tcPr>
            <w:tcW w:w="5953" w:type="dxa"/>
            <w:tcBorders>
              <w:top w:val="nil"/>
              <w:left w:val="nil"/>
              <w:bottom w:val="nil"/>
              <w:right w:val="nil"/>
            </w:tcBorders>
          </w:tcPr>
          <w:p w:rsidR="00C06930" w:rsidRDefault="00C06930" w:rsidP="00C06930">
            <w:pPr>
              <w:spacing w:line="259" w:lineRule="auto"/>
            </w:pPr>
            <w:r>
              <w:t>Basic earnings per share (€ )</w:t>
            </w:r>
          </w:p>
        </w:tc>
        <w:tc>
          <w:tcPr>
            <w:tcW w:w="829" w:type="dxa"/>
            <w:tcBorders>
              <w:top w:val="nil"/>
              <w:left w:val="nil"/>
              <w:bottom w:val="nil"/>
              <w:right w:val="nil"/>
            </w:tcBorders>
          </w:tcPr>
          <w:p w:rsidR="00C06930" w:rsidRDefault="00C06930" w:rsidP="00C06930">
            <w:pPr>
              <w:spacing w:after="160" w:line="259" w:lineRule="auto"/>
            </w:pPr>
          </w:p>
        </w:tc>
        <w:tc>
          <w:tcPr>
            <w:tcW w:w="1064" w:type="dxa"/>
            <w:tcBorders>
              <w:top w:val="nil"/>
              <w:left w:val="nil"/>
              <w:bottom w:val="nil"/>
              <w:right w:val="nil"/>
            </w:tcBorders>
            <w:shd w:val="clear" w:color="auto" w:fill="F4F4F4"/>
          </w:tcPr>
          <w:p w:rsidR="00C06930" w:rsidRDefault="00C06930" w:rsidP="00C06930">
            <w:pPr>
              <w:spacing w:line="259" w:lineRule="auto"/>
              <w:ind w:right="68"/>
              <w:jc w:val="right"/>
            </w:pPr>
            <w:r>
              <w:rPr>
                <w:b/>
              </w:rPr>
              <w:t>1.83</w:t>
            </w:r>
          </w:p>
        </w:tc>
        <w:tc>
          <w:tcPr>
            <w:tcW w:w="1506" w:type="dxa"/>
            <w:tcBorders>
              <w:top w:val="nil"/>
              <w:left w:val="nil"/>
              <w:bottom w:val="nil"/>
              <w:right w:val="nil"/>
            </w:tcBorders>
          </w:tcPr>
          <w:p w:rsidR="00C06930" w:rsidRDefault="00C06930" w:rsidP="00C06930">
            <w:pPr>
              <w:spacing w:line="259" w:lineRule="auto"/>
              <w:ind w:left="162"/>
              <w:jc w:val="center"/>
            </w:pPr>
            <w:r>
              <w:t>1.73</w:t>
            </w:r>
          </w:p>
        </w:tc>
        <w:tc>
          <w:tcPr>
            <w:tcW w:w="624" w:type="dxa"/>
            <w:tcBorders>
              <w:top w:val="nil"/>
              <w:left w:val="nil"/>
              <w:bottom w:val="nil"/>
              <w:right w:val="nil"/>
            </w:tcBorders>
          </w:tcPr>
          <w:p w:rsidR="00C06930" w:rsidRDefault="00C06930" w:rsidP="00C06930">
            <w:pPr>
              <w:spacing w:line="259" w:lineRule="auto"/>
              <w:ind w:left="210"/>
            </w:pPr>
            <w:r>
              <w:t>1.82</w:t>
            </w:r>
          </w:p>
        </w:tc>
      </w:tr>
      <w:tr w:rsidR="00C06930" w:rsidTr="00C06930">
        <w:trPr>
          <w:trHeight w:val="222"/>
        </w:trPr>
        <w:tc>
          <w:tcPr>
            <w:tcW w:w="5953" w:type="dxa"/>
            <w:tcBorders>
              <w:top w:val="nil"/>
              <w:left w:val="nil"/>
              <w:bottom w:val="nil"/>
              <w:right w:val="nil"/>
            </w:tcBorders>
          </w:tcPr>
          <w:p w:rsidR="00C06930" w:rsidRDefault="00C06930" w:rsidP="00C06930">
            <w:pPr>
              <w:spacing w:line="259" w:lineRule="auto"/>
            </w:pPr>
            <w:r>
              <w:rPr>
                <w:u w:val="single" w:color="000000"/>
              </w:rPr>
              <w:t>Diluted earnings per share (€ )</w:t>
            </w:r>
          </w:p>
        </w:tc>
        <w:tc>
          <w:tcPr>
            <w:tcW w:w="829" w:type="dxa"/>
            <w:tcBorders>
              <w:top w:val="nil"/>
              <w:left w:val="nil"/>
              <w:bottom w:val="nil"/>
              <w:right w:val="nil"/>
            </w:tcBorders>
          </w:tcPr>
          <w:p w:rsidR="00C06930" w:rsidRDefault="00C06930" w:rsidP="00C06930">
            <w:pPr>
              <w:spacing w:after="160" w:line="259" w:lineRule="auto"/>
            </w:pPr>
          </w:p>
        </w:tc>
        <w:tc>
          <w:tcPr>
            <w:tcW w:w="1064" w:type="dxa"/>
            <w:tcBorders>
              <w:top w:val="nil"/>
              <w:left w:val="nil"/>
              <w:bottom w:val="nil"/>
              <w:right w:val="nil"/>
            </w:tcBorders>
            <w:shd w:val="clear" w:color="auto" w:fill="F4F4F4"/>
          </w:tcPr>
          <w:p w:rsidR="00C06930" w:rsidRDefault="00C06930" w:rsidP="00C06930">
            <w:pPr>
              <w:spacing w:line="259" w:lineRule="auto"/>
              <w:ind w:right="68"/>
              <w:jc w:val="right"/>
            </w:pPr>
            <w:r>
              <w:rPr>
                <w:b/>
                <w:u w:val="single" w:color="000000"/>
              </w:rPr>
              <w:t>1.82</w:t>
            </w:r>
          </w:p>
        </w:tc>
        <w:tc>
          <w:tcPr>
            <w:tcW w:w="1506" w:type="dxa"/>
            <w:tcBorders>
              <w:top w:val="nil"/>
              <w:left w:val="nil"/>
              <w:bottom w:val="nil"/>
              <w:right w:val="nil"/>
            </w:tcBorders>
          </w:tcPr>
          <w:p w:rsidR="00C06930" w:rsidRDefault="00C06930" w:rsidP="00C06930">
            <w:pPr>
              <w:spacing w:line="259" w:lineRule="auto"/>
              <w:ind w:left="162"/>
              <w:jc w:val="center"/>
            </w:pPr>
            <w:r>
              <w:rPr>
                <w:u w:val="single" w:color="000000"/>
              </w:rPr>
              <w:t>1.72</w:t>
            </w:r>
          </w:p>
        </w:tc>
        <w:tc>
          <w:tcPr>
            <w:tcW w:w="624" w:type="dxa"/>
            <w:tcBorders>
              <w:top w:val="nil"/>
              <w:left w:val="nil"/>
              <w:bottom w:val="nil"/>
              <w:right w:val="nil"/>
            </w:tcBorders>
          </w:tcPr>
          <w:p w:rsidR="00C06930" w:rsidRDefault="00C06930" w:rsidP="00C06930">
            <w:pPr>
              <w:spacing w:line="259" w:lineRule="auto"/>
              <w:ind w:left="210"/>
            </w:pPr>
            <w:r>
              <w:rPr>
                <w:u w:val="single" w:color="000000"/>
              </w:rPr>
              <w:t>1.79</w:t>
            </w:r>
          </w:p>
        </w:tc>
      </w:tr>
    </w:tbl>
    <w:p w:rsidR="00AF4E96" w:rsidRDefault="00AF4E96" w:rsidP="0073699A">
      <w:pPr>
        <w:jc w:val="both"/>
        <w:rPr>
          <w:sz w:val="24"/>
          <w:szCs w:val="24"/>
        </w:rPr>
      </w:pPr>
    </w:p>
    <w:p w:rsidR="00C06930" w:rsidRDefault="00C06930" w:rsidP="0073699A">
      <w:pPr>
        <w:jc w:val="both"/>
        <w:rPr>
          <w:sz w:val="24"/>
          <w:szCs w:val="24"/>
        </w:rPr>
      </w:pPr>
    </w:p>
    <w:p w:rsidR="00C06930" w:rsidRPr="00941306" w:rsidRDefault="00C06930" w:rsidP="00C06930">
      <w:pPr>
        <w:rPr>
          <w:b/>
          <w:sz w:val="24"/>
          <w:szCs w:val="24"/>
        </w:rPr>
      </w:pPr>
      <w:r w:rsidRPr="00941306">
        <w:rPr>
          <w:b/>
          <w:sz w:val="24"/>
          <w:szCs w:val="24"/>
        </w:rPr>
        <w:t xml:space="preserve">CONSOLIDATED INCOME STATEMENT </w:t>
      </w:r>
    </w:p>
    <w:p w:rsidR="00C06930" w:rsidRDefault="00C06930" w:rsidP="00C06930">
      <w:pPr>
        <w:spacing w:after="17"/>
        <w:ind w:left="-2" w:right="15"/>
      </w:pPr>
      <w:r>
        <w:t xml:space="preserve">for the year ended 31 December </w:t>
      </w:r>
    </w:p>
    <w:p w:rsidR="00C06930" w:rsidRDefault="00C06930" w:rsidP="00C06930">
      <w:pPr>
        <w:tabs>
          <w:tab w:val="center" w:pos="8233"/>
          <w:tab w:val="center" w:pos="9038"/>
          <w:tab w:val="right" w:pos="10108"/>
        </w:tabs>
        <w:spacing w:after="10"/>
      </w:pPr>
      <w:r>
        <w:tab/>
      </w:r>
      <w:r>
        <w:rPr>
          <w:b/>
          <w:sz w:val="14"/>
        </w:rPr>
        <w:t xml:space="preserve">€ million </w:t>
      </w:r>
      <w:r>
        <w:rPr>
          <w:b/>
          <w:sz w:val="14"/>
        </w:rPr>
        <w:tab/>
      </w:r>
      <w:r>
        <w:rPr>
          <w:sz w:val="14"/>
        </w:rPr>
        <w:t xml:space="preserve">€ million </w:t>
      </w:r>
      <w:r>
        <w:rPr>
          <w:sz w:val="14"/>
        </w:rPr>
        <w:tab/>
        <w:t xml:space="preserve">€ million </w:t>
      </w:r>
    </w:p>
    <w:p w:rsidR="00C06930" w:rsidRDefault="00C06930" w:rsidP="00C06930">
      <w:pPr>
        <w:tabs>
          <w:tab w:val="center" w:pos="7545"/>
          <w:tab w:val="center" w:pos="8369"/>
          <w:tab w:val="center" w:pos="9171"/>
          <w:tab w:val="right" w:pos="10108"/>
        </w:tabs>
        <w:spacing w:after="10"/>
      </w:pPr>
      <w:r>
        <w:tab/>
      </w:r>
      <w:r>
        <w:rPr>
          <w:sz w:val="14"/>
        </w:rPr>
        <w:t xml:space="preserve">Notes </w:t>
      </w:r>
      <w:r>
        <w:rPr>
          <w:sz w:val="14"/>
        </w:rPr>
        <w:tab/>
      </w:r>
      <w:r>
        <w:rPr>
          <w:b/>
          <w:sz w:val="14"/>
        </w:rPr>
        <w:t xml:space="preserve">2018 </w:t>
      </w:r>
      <w:r>
        <w:rPr>
          <w:b/>
          <w:sz w:val="14"/>
        </w:rPr>
        <w:tab/>
      </w:r>
      <w:r>
        <w:rPr>
          <w:sz w:val="14"/>
        </w:rPr>
        <w:t xml:space="preserve">2017 </w:t>
      </w:r>
      <w:r>
        <w:rPr>
          <w:sz w:val="14"/>
        </w:rPr>
        <w:tab/>
        <w:t xml:space="preserve">2016 </w:t>
      </w:r>
    </w:p>
    <w:tbl>
      <w:tblPr>
        <w:tblStyle w:val="TableGrid0"/>
        <w:tblW w:w="10205" w:type="dxa"/>
        <w:tblInd w:w="0" w:type="dxa"/>
        <w:tblCellMar>
          <w:top w:w="8" w:type="dxa"/>
          <w:bottom w:w="8" w:type="dxa"/>
          <w:right w:w="10" w:type="dxa"/>
        </w:tblCellMar>
        <w:tblLook w:val="04A0" w:firstRow="1" w:lastRow="0" w:firstColumn="1" w:lastColumn="0" w:noHBand="0" w:noVBand="1"/>
      </w:tblPr>
      <w:tblGrid>
        <w:gridCol w:w="7272"/>
        <w:gridCol w:w="474"/>
        <w:gridCol w:w="793"/>
        <w:gridCol w:w="927"/>
        <w:gridCol w:w="739"/>
      </w:tblGrid>
      <w:tr w:rsidR="00C06930" w:rsidTr="00C06930">
        <w:trPr>
          <w:trHeight w:val="314"/>
        </w:trPr>
        <w:tc>
          <w:tcPr>
            <w:tcW w:w="7349" w:type="dxa"/>
            <w:tcBorders>
              <w:top w:val="single" w:sz="4" w:space="0" w:color="000000"/>
              <w:left w:val="nil"/>
              <w:bottom w:val="nil"/>
              <w:right w:val="nil"/>
            </w:tcBorders>
          </w:tcPr>
          <w:p w:rsidR="00C06930" w:rsidRDefault="00C06930" w:rsidP="00C06930">
            <w:pPr>
              <w:spacing w:line="259" w:lineRule="auto"/>
            </w:pPr>
            <w:r>
              <w:rPr>
                <w:b/>
              </w:rPr>
              <w:t xml:space="preserve">Turnover </w:t>
            </w:r>
          </w:p>
        </w:tc>
        <w:tc>
          <w:tcPr>
            <w:tcW w:w="475" w:type="dxa"/>
            <w:tcBorders>
              <w:top w:val="single" w:sz="4" w:space="0" w:color="000000"/>
              <w:left w:val="nil"/>
              <w:bottom w:val="nil"/>
              <w:right w:val="nil"/>
            </w:tcBorders>
          </w:tcPr>
          <w:p w:rsidR="00C06930" w:rsidRDefault="00C06930" w:rsidP="00C06930">
            <w:pPr>
              <w:spacing w:line="259" w:lineRule="auto"/>
              <w:ind w:right="86"/>
              <w:jc w:val="right"/>
            </w:pPr>
            <w:r>
              <w:rPr>
                <w:sz w:val="14"/>
              </w:rPr>
              <w:t xml:space="preserve">2 </w:t>
            </w:r>
          </w:p>
        </w:tc>
        <w:tc>
          <w:tcPr>
            <w:tcW w:w="794" w:type="dxa"/>
            <w:tcBorders>
              <w:top w:val="single" w:sz="4" w:space="0" w:color="000000"/>
              <w:left w:val="nil"/>
              <w:bottom w:val="nil"/>
              <w:right w:val="nil"/>
            </w:tcBorders>
            <w:shd w:val="clear" w:color="auto" w:fill="F2F2F2"/>
          </w:tcPr>
          <w:p w:rsidR="00C06930" w:rsidRDefault="00C06930" w:rsidP="00C06930">
            <w:pPr>
              <w:spacing w:line="259" w:lineRule="auto"/>
              <w:ind w:right="86"/>
              <w:jc w:val="right"/>
            </w:pPr>
            <w:r>
              <w:rPr>
                <w:b/>
              </w:rPr>
              <w:t xml:space="preserve">50,982 </w:t>
            </w:r>
          </w:p>
        </w:tc>
        <w:tc>
          <w:tcPr>
            <w:tcW w:w="923" w:type="dxa"/>
            <w:tcBorders>
              <w:top w:val="single" w:sz="4" w:space="0" w:color="000000"/>
              <w:left w:val="nil"/>
              <w:bottom w:val="nil"/>
              <w:right w:val="nil"/>
            </w:tcBorders>
          </w:tcPr>
          <w:p w:rsidR="00C06930" w:rsidRDefault="00C06930" w:rsidP="00C06930">
            <w:pPr>
              <w:spacing w:line="259" w:lineRule="auto"/>
              <w:ind w:left="30"/>
              <w:jc w:val="center"/>
            </w:pPr>
            <w:r>
              <w:t xml:space="preserve">53,715 </w:t>
            </w:r>
          </w:p>
        </w:tc>
        <w:tc>
          <w:tcPr>
            <w:tcW w:w="665" w:type="dxa"/>
            <w:tcBorders>
              <w:top w:val="single" w:sz="4" w:space="0" w:color="000000"/>
              <w:left w:val="nil"/>
              <w:bottom w:val="nil"/>
              <w:right w:val="nil"/>
            </w:tcBorders>
          </w:tcPr>
          <w:p w:rsidR="00C06930" w:rsidRDefault="00C06930" w:rsidP="00C06930">
            <w:pPr>
              <w:spacing w:line="259" w:lineRule="auto"/>
              <w:ind w:left="116"/>
            </w:pPr>
            <w:r>
              <w:t xml:space="preserve">52,713 </w:t>
            </w:r>
          </w:p>
        </w:tc>
      </w:tr>
      <w:tr w:rsidR="00C06930" w:rsidTr="00C06930">
        <w:trPr>
          <w:trHeight w:val="305"/>
        </w:trPr>
        <w:tc>
          <w:tcPr>
            <w:tcW w:w="7349" w:type="dxa"/>
            <w:tcBorders>
              <w:top w:val="nil"/>
              <w:left w:val="nil"/>
              <w:bottom w:val="nil"/>
              <w:right w:val="nil"/>
            </w:tcBorders>
          </w:tcPr>
          <w:p w:rsidR="00C06930" w:rsidRDefault="00C06930" w:rsidP="00C06930">
            <w:pPr>
              <w:spacing w:line="259" w:lineRule="auto"/>
            </w:pPr>
            <w:r>
              <w:rPr>
                <w:b/>
              </w:rPr>
              <w:t xml:space="preserve">Operating profit </w:t>
            </w:r>
          </w:p>
        </w:tc>
        <w:tc>
          <w:tcPr>
            <w:tcW w:w="475" w:type="dxa"/>
            <w:tcBorders>
              <w:top w:val="nil"/>
              <w:left w:val="nil"/>
              <w:bottom w:val="nil"/>
              <w:right w:val="nil"/>
            </w:tcBorders>
          </w:tcPr>
          <w:p w:rsidR="00C06930" w:rsidRDefault="00C06930" w:rsidP="00C06930">
            <w:pPr>
              <w:spacing w:line="259" w:lineRule="auto"/>
              <w:ind w:right="86"/>
              <w:jc w:val="right"/>
            </w:pPr>
            <w:r>
              <w:rPr>
                <w:sz w:val="14"/>
              </w:rPr>
              <w:t xml:space="preserve">2 </w:t>
            </w:r>
          </w:p>
        </w:tc>
        <w:tc>
          <w:tcPr>
            <w:tcW w:w="794" w:type="dxa"/>
            <w:tcBorders>
              <w:top w:val="nil"/>
              <w:left w:val="nil"/>
              <w:bottom w:val="nil"/>
              <w:right w:val="nil"/>
            </w:tcBorders>
            <w:shd w:val="clear" w:color="auto" w:fill="F2F2F2"/>
          </w:tcPr>
          <w:p w:rsidR="00C06930" w:rsidRDefault="00C06930" w:rsidP="00C06930">
            <w:pPr>
              <w:spacing w:line="259" w:lineRule="auto"/>
              <w:ind w:right="86"/>
              <w:jc w:val="right"/>
            </w:pPr>
            <w:r>
              <w:rPr>
                <w:b/>
              </w:rPr>
              <w:t xml:space="preserve">12,535 </w:t>
            </w:r>
          </w:p>
        </w:tc>
        <w:tc>
          <w:tcPr>
            <w:tcW w:w="923" w:type="dxa"/>
            <w:tcBorders>
              <w:top w:val="nil"/>
              <w:left w:val="nil"/>
              <w:bottom w:val="nil"/>
              <w:right w:val="nil"/>
            </w:tcBorders>
          </w:tcPr>
          <w:p w:rsidR="00C06930" w:rsidRDefault="00C06930" w:rsidP="00C06930">
            <w:pPr>
              <w:spacing w:line="259" w:lineRule="auto"/>
              <w:ind w:left="327"/>
            </w:pPr>
            <w:r>
              <w:t xml:space="preserve">8,857 </w:t>
            </w:r>
          </w:p>
        </w:tc>
        <w:tc>
          <w:tcPr>
            <w:tcW w:w="665" w:type="dxa"/>
            <w:tcBorders>
              <w:top w:val="nil"/>
              <w:left w:val="nil"/>
              <w:bottom w:val="nil"/>
              <w:right w:val="nil"/>
            </w:tcBorders>
          </w:tcPr>
          <w:p w:rsidR="00C06930" w:rsidRDefault="00C06930" w:rsidP="00C06930">
            <w:pPr>
              <w:spacing w:line="259" w:lineRule="auto"/>
              <w:ind w:right="86"/>
              <w:jc w:val="right"/>
            </w:pPr>
            <w:r>
              <w:t xml:space="preserve">7,801 </w:t>
            </w:r>
          </w:p>
        </w:tc>
      </w:tr>
      <w:tr w:rsidR="00C06930" w:rsidTr="00C06930">
        <w:trPr>
          <w:trHeight w:val="305"/>
        </w:trPr>
        <w:tc>
          <w:tcPr>
            <w:tcW w:w="7349" w:type="dxa"/>
            <w:tcBorders>
              <w:top w:val="nil"/>
              <w:left w:val="nil"/>
              <w:bottom w:val="nil"/>
              <w:right w:val="nil"/>
            </w:tcBorders>
          </w:tcPr>
          <w:p w:rsidR="00C06930" w:rsidRDefault="00C06930" w:rsidP="00C06930">
            <w:pPr>
              <w:spacing w:line="259" w:lineRule="auto"/>
            </w:pPr>
            <w:r>
              <w:t xml:space="preserve">After (charging)/crediting non-underlying items </w:t>
            </w:r>
          </w:p>
        </w:tc>
        <w:tc>
          <w:tcPr>
            <w:tcW w:w="475" w:type="dxa"/>
            <w:tcBorders>
              <w:top w:val="nil"/>
              <w:left w:val="nil"/>
              <w:bottom w:val="nil"/>
              <w:right w:val="nil"/>
            </w:tcBorders>
          </w:tcPr>
          <w:p w:rsidR="00C06930" w:rsidRDefault="00C06930" w:rsidP="00C06930">
            <w:pPr>
              <w:spacing w:line="259" w:lineRule="auto"/>
              <w:ind w:right="86"/>
              <w:jc w:val="right"/>
            </w:pPr>
            <w:r>
              <w:rPr>
                <w:sz w:val="14"/>
              </w:rPr>
              <w:t xml:space="preserve">3 </w:t>
            </w:r>
          </w:p>
        </w:tc>
        <w:tc>
          <w:tcPr>
            <w:tcW w:w="794" w:type="dxa"/>
            <w:tcBorders>
              <w:top w:val="nil"/>
              <w:left w:val="nil"/>
              <w:bottom w:val="nil"/>
              <w:right w:val="nil"/>
            </w:tcBorders>
            <w:shd w:val="clear" w:color="auto" w:fill="F2F2F2"/>
          </w:tcPr>
          <w:p w:rsidR="00C06930" w:rsidRDefault="00C06930" w:rsidP="00C06930">
            <w:pPr>
              <w:spacing w:line="259" w:lineRule="auto"/>
              <w:ind w:right="86"/>
              <w:jc w:val="right"/>
            </w:pPr>
            <w:r>
              <w:rPr>
                <w:b/>
              </w:rPr>
              <w:t xml:space="preserve">3,176 </w:t>
            </w:r>
          </w:p>
        </w:tc>
        <w:tc>
          <w:tcPr>
            <w:tcW w:w="923" w:type="dxa"/>
            <w:tcBorders>
              <w:top w:val="nil"/>
              <w:left w:val="nil"/>
              <w:bottom w:val="nil"/>
              <w:right w:val="nil"/>
            </w:tcBorders>
          </w:tcPr>
          <w:p w:rsidR="00C06930" w:rsidRDefault="00C06930" w:rsidP="00C06930">
            <w:pPr>
              <w:spacing w:line="259" w:lineRule="auto"/>
              <w:ind w:left="405"/>
            </w:pPr>
            <w:r>
              <w:t xml:space="preserve">(543) </w:t>
            </w:r>
          </w:p>
        </w:tc>
        <w:tc>
          <w:tcPr>
            <w:tcW w:w="665" w:type="dxa"/>
            <w:tcBorders>
              <w:top w:val="nil"/>
              <w:left w:val="nil"/>
              <w:bottom w:val="nil"/>
              <w:right w:val="nil"/>
            </w:tcBorders>
          </w:tcPr>
          <w:p w:rsidR="00C06930" w:rsidRDefault="00C06930" w:rsidP="00C06930">
            <w:pPr>
              <w:spacing w:line="259" w:lineRule="auto"/>
              <w:ind w:right="41"/>
              <w:jc w:val="right"/>
            </w:pPr>
            <w:r>
              <w:t xml:space="preserve">(823) </w:t>
            </w:r>
          </w:p>
        </w:tc>
      </w:tr>
      <w:tr w:rsidR="00C06930" w:rsidTr="00C06930">
        <w:trPr>
          <w:trHeight w:val="267"/>
        </w:trPr>
        <w:tc>
          <w:tcPr>
            <w:tcW w:w="7349" w:type="dxa"/>
            <w:vMerge w:val="restart"/>
            <w:tcBorders>
              <w:top w:val="nil"/>
              <w:left w:val="nil"/>
              <w:bottom w:val="nil"/>
              <w:right w:val="nil"/>
            </w:tcBorders>
          </w:tcPr>
          <w:p w:rsidR="00C06930" w:rsidRDefault="00C06930" w:rsidP="00C06930">
            <w:pPr>
              <w:spacing w:after="33" w:line="259" w:lineRule="auto"/>
            </w:pPr>
            <w:r>
              <w:t xml:space="preserve">Net finance costs </w:t>
            </w:r>
          </w:p>
          <w:p w:rsidR="00C06930" w:rsidRDefault="00C06930" w:rsidP="00C06930">
            <w:pPr>
              <w:spacing w:line="259" w:lineRule="auto"/>
            </w:pPr>
            <w:r>
              <w:t xml:space="preserve">   Finance income </w:t>
            </w:r>
          </w:p>
        </w:tc>
        <w:tc>
          <w:tcPr>
            <w:tcW w:w="475" w:type="dxa"/>
            <w:vMerge w:val="restart"/>
            <w:tcBorders>
              <w:top w:val="nil"/>
              <w:left w:val="nil"/>
              <w:bottom w:val="nil"/>
              <w:right w:val="nil"/>
            </w:tcBorders>
          </w:tcPr>
          <w:p w:rsidR="00C06930" w:rsidRDefault="00C06930" w:rsidP="00C06930">
            <w:pPr>
              <w:spacing w:line="259" w:lineRule="auto"/>
              <w:ind w:right="86"/>
              <w:jc w:val="right"/>
            </w:pPr>
            <w:r>
              <w:rPr>
                <w:sz w:val="14"/>
              </w:rPr>
              <w:t xml:space="preserve">5 </w:t>
            </w:r>
          </w:p>
        </w:tc>
        <w:tc>
          <w:tcPr>
            <w:tcW w:w="794" w:type="dxa"/>
            <w:tcBorders>
              <w:top w:val="nil"/>
              <w:left w:val="nil"/>
              <w:bottom w:val="single" w:sz="2" w:space="0" w:color="000000"/>
              <w:right w:val="nil"/>
            </w:tcBorders>
            <w:shd w:val="clear" w:color="auto" w:fill="F2F2F2"/>
          </w:tcPr>
          <w:p w:rsidR="00C06930" w:rsidRDefault="00C06930" w:rsidP="00C06930">
            <w:pPr>
              <w:spacing w:line="259" w:lineRule="auto"/>
              <w:ind w:right="41"/>
              <w:jc w:val="right"/>
            </w:pPr>
            <w:r>
              <w:rPr>
                <w:b/>
              </w:rPr>
              <w:t xml:space="preserve">(481) </w:t>
            </w:r>
          </w:p>
        </w:tc>
        <w:tc>
          <w:tcPr>
            <w:tcW w:w="923" w:type="dxa"/>
            <w:tcBorders>
              <w:top w:val="nil"/>
              <w:left w:val="nil"/>
              <w:bottom w:val="single" w:sz="2" w:space="0" w:color="000000"/>
              <w:right w:val="nil"/>
            </w:tcBorders>
          </w:tcPr>
          <w:p w:rsidR="00C06930" w:rsidRDefault="00C06930" w:rsidP="00C06930">
            <w:pPr>
              <w:spacing w:line="259" w:lineRule="auto"/>
              <w:ind w:left="405"/>
            </w:pPr>
            <w:r>
              <w:t xml:space="preserve">(877) </w:t>
            </w:r>
          </w:p>
        </w:tc>
        <w:tc>
          <w:tcPr>
            <w:tcW w:w="665" w:type="dxa"/>
            <w:tcBorders>
              <w:top w:val="nil"/>
              <w:left w:val="nil"/>
              <w:bottom w:val="single" w:sz="2" w:space="0" w:color="000000"/>
              <w:right w:val="nil"/>
            </w:tcBorders>
          </w:tcPr>
          <w:p w:rsidR="00C06930" w:rsidRDefault="00C06930" w:rsidP="00C06930">
            <w:pPr>
              <w:spacing w:line="259" w:lineRule="auto"/>
              <w:ind w:right="41"/>
              <w:jc w:val="right"/>
            </w:pPr>
            <w:r>
              <w:t>(563)</w:t>
            </w:r>
          </w:p>
        </w:tc>
      </w:tr>
      <w:tr w:rsidR="00C06930" w:rsidTr="00C06930">
        <w:trPr>
          <w:trHeight w:val="240"/>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794" w:type="dxa"/>
            <w:tcBorders>
              <w:top w:val="single" w:sz="2" w:space="0" w:color="000000"/>
              <w:left w:val="single" w:sz="2" w:space="0" w:color="000000"/>
              <w:bottom w:val="nil"/>
              <w:right w:val="nil"/>
            </w:tcBorders>
            <w:shd w:val="clear" w:color="auto" w:fill="F2F2F2"/>
          </w:tcPr>
          <w:p w:rsidR="00C06930" w:rsidRDefault="00C06930" w:rsidP="00C06930">
            <w:pPr>
              <w:spacing w:line="259" w:lineRule="auto"/>
              <w:ind w:right="86"/>
              <w:jc w:val="right"/>
            </w:pPr>
            <w:r>
              <w:rPr>
                <w:b/>
              </w:rPr>
              <w:t xml:space="preserve">135 </w:t>
            </w:r>
          </w:p>
        </w:tc>
        <w:tc>
          <w:tcPr>
            <w:tcW w:w="923" w:type="dxa"/>
            <w:tcBorders>
              <w:top w:val="single" w:sz="2" w:space="0" w:color="000000"/>
              <w:left w:val="nil"/>
              <w:bottom w:val="nil"/>
              <w:right w:val="nil"/>
            </w:tcBorders>
          </w:tcPr>
          <w:p w:rsidR="00C06930" w:rsidRDefault="00C06930" w:rsidP="00C06930">
            <w:pPr>
              <w:spacing w:line="259" w:lineRule="auto"/>
              <w:ind w:left="451"/>
            </w:pPr>
            <w:r>
              <w:t xml:space="preserve">157 </w:t>
            </w:r>
          </w:p>
        </w:tc>
        <w:tc>
          <w:tcPr>
            <w:tcW w:w="665" w:type="dxa"/>
            <w:tcBorders>
              <w:top w:val="single" w:sz="2" w:space="0" w:color="000000"/>
              <w:left w:val="nil"/>
              <w:bottom w:val="nil"/>
              <w:right w:val="single" w:sz="2" w:space="0" w:color="000000"/>
            </w:tcBorders>
          </w:tcPr>
          <w:p w:rsidR="00C06930" w:rsidRDefault="00C06930" w:rsidP="00C06930">
            <w:pPr>
              <w:spacing w:line="259" w:lineRule="auto"/>
              <w:ind w:left="319"/>
            </w:pPr>
            <w:r>
              <w:t>115</w:t>
            </w:r>
          </w:p>
        </w:tc>
      </w:tr>
      <w:tr w:rsidR="00C06930" w:rsidTr="00C06930">
        <w:trPr>
          <w:trHeight w:val="220"/>
        </w:trPr>
        <w:tc>
          <w:tcPr>
            <w:tcW w:w="7349" w:type="dxa"/>
            <w:tcBorders>
              <w:top w:val="nil"/>
              <w:left w:val="nil"/>
              <w:bottom w:val="nil"/>
              <w:right w:val="nil"/>
            </w:tcBorders>
          </w:tcPr>
          <w:p w:rsidR="00C06930" w:rsidRDefault="00C06930" w:rsidP="00C06930">
            <w:pPr>
              <w:spacing w:line="259" w:lineRule="auto"/>
            </w:pPr>
            <w:r>
              <w:t xml:space="preserve">   Finance costs </w:t>
            </w:r>
          </w:p>
        </w:tc>
        <w:tc>
          <w:tcPr>
            <w:tcW w:w="475" w:type="dxa"/>
            <w:tcBorders>
              <w:top w:val="nil"/>
              <w:left w:val="nil"/>
              <w:bottom w:val="nil"/>
              <w:right w:val="single" w:sz="2" w:space="0" w:color="000000"/>
            </w:tcBorders>
          </w:tcPr>
          <w:p w:rsidR="00C06930" w:rsidRDefault="00C06930" w:rsidP="00C06930">
            <w:pPr>
              <w:spacing w:after="160" w:line="259" w:lineRule="auto"/>
            </w:pPr>
          </w:p>
        </w:tc>
        <w:tc>
          <w:tcPr>
            <w:tcW w:w="794" w:type="dxa"/>
            <w:tcBorders>
              <w:top w:val="nil"/>
              <w:left w:val="single" w:sz="2" w:space="0" w:color="000000"/>
              <w:bottom w:val="nil"/>
              <w:right w:val="nil"/>
            </w:tcBorders>
            <w:shd w:val="clear" w:color="auto" w:fill="F2F2F2"/>
          </w:tcPr>
          <w:p w:rsidR="00C06930" w:rsidRDefault="00C06930" w:rsidP="00C06930">
            <w:pPr>
              <w:spacing w:line="259" w:lineRule="auto"/>
              <w:ind w:right="41"/>
              <w:jc w:val="right"/>
            </w:pPr>
            <w:r>
              <w:rPr>
                <w:b/>
              </w:rPr>
              <w:t xml:space="preserve">(591) </w:t>
            </w:r>
          </w:p>
        </w:tc>
        <w:tc>
          <w:tcPr>
            <w:tcW w:w="923" w:type="dxa"/>
            <w:tcBorders>
              <w:top w:val="nil"/>
              <w:left w:val="nil"/>
              <w:bottom w:val="nil"/>
              <w:right w:val="nil"/>
            </w:tcBorders>
          </w:tcPr>
          <w:p w:rsidR="00C06930" w:rsidRDefault="00C06930" w:rsidP="00C06930">
            <w:pPr>
              <w:spacing w:line="259" w:lineRule="auto"/>
              <w:ind w:left="405"/>
            </w:pPr>
            <w:r>
              <w:t xml:space="preserve">(556) </w:t>
            </w:r>
          </w:p>
        </w:tc>
        <w:tc>
          <w:tcPr>
            <w:tcW w:w="665" w:type="dxa"/>
            <w:tcBorders>
              <w:top w:val="nil"/>
              <w:left w:val="nil"/>
              <w:bottom w:val="nil"/>
              <w:right w:val="single" w:sz="2" w:space="0" w:color="000000"/>
            </w:tcBorders>
          </w:tcPr>
          <w:p w:rsidR="00C06930" w:rsidRDefault="00C06930" w:rsidP="00C06930">
            <w:pPr>
              <w:spacing w:line="259" w:lineRule="auto"/>
              <w:ind w:right="43"/>
              <w:jc w:val="right"/>
            </w:pPr>
            <w:r>
              <w:t>(584)</w:t>
            </w:r>
          </w:p>
        </w:tc>
      </w:tr>
      <w:tr w:rsidR="00C06930" w:rsidTr="00C06930">
        <w:trPr>
          <w:trHeight w:val="220"/>
        </w:trPr>
        <w:tc>
          <w:tcPr>
            <w:tcW w:w="7349" w:type="dxa"/>
            <w:tcBorders>
              <w:top w:val="nil"/>
              <w:left w:val="nil"/>
              <w:bottom w:val="nil"/>
              <w:right w:val="nil"/>
            </w:tcBorders>
          </w:tcPr>
          <w:p w:rsidR="00C06930" w:rsidRDefault="00C06930" w:rsidP="00C06930">
            <w:pPr>
              <w:spacing w:line="259" w:lineRule="auto"/>
            </w:pPr>
            <w:r>
              <w:t xml:space="preserve">   Pensions and similar obligations </w:t>
            </w:r>
          </w:p>
        </w:tc>
        <w:tc>
          <w:tcPr>
            <w:tcW w:w="475" w:type="dxa"/>
            <w:tcBorders>
              <w:top w:val="nil"/>
              <w:left w:val="nil"/>
              <w:bottom w:val="nil"/>
              <w:right w:val="single" w:sz="2" w:space="0" w:color="000000"/>
            </w:tcBorders>
          </w:tcPr>
          <w:p w:rsidR="00C06930" w:rsidRDefault="00C06930" w:rsidP="00C06930">
            <w:pPr>
              <w:spacing w:after="160" w:line="259" w:lineRule="auto"/>
            </w:pPr>
          </w:p>
        </w:tc>
        <w:tc>
          <w:tcPr>
            <w:tcW w:w="794" w:type="dxa"/>
            <w:tcBorders>
              <w:top w:val="nil"/>
              <w:left w:val="single" w:sz="2" w:space="0" w:color="000000"/>
              <w:bottom w:val="nil"/>
              <w:right w:val="nil"/>
            </w:tcBorders>
            <w:shd w:val="clear" w:color="auto" w:fill="F2F2F2"/>
          </w:tcPr>
          <w:p w:rsidR="00C06930" w:rsidRDefault="00C06930" w:rsidP="00C06930">
            <w:pPr>
              <w:spacing w:line="259" w:lineRule="auto"/>
              <w:ind w:right="41"/>
              <w:jc w:val="right"/>
            </w:pPr>
            <w:r>
              <w:rPr>
                <w:b/>
              </w:rPr>
              <w:t xml:space="preserve">(25) </w:t>
            </w:r>
          </w:p>
        </w:tc>
        <w:tc>
          <w:tcPr>
            <w:tcW w:w="923" w:type="dxa"/>
            <w:tcBorders>
              <w:top w:val="nil"/>
              <w:left w:val="nil"/>
              <w:bottom w:val="nil"/>
              <w:right w:val="nil"/>
            </w:tcBorders>
          </w:tcPr>
          <w:p w:rsidR="00C06930" w:rsidRDefault="00C06930" w:rsidP="00C06930">
            <w:pPr>
              <w:spacing w:line="259" w:lineRule="auto"/>
              <w:ind w:left="487"/>
            </w:pPr>
            <w:r>
              <w:t xml:space="preserve">(96) </w:t>
            </w:r>
          </w:p>
        </w:tc>
        <w:tc>
          <w:tcPr>
            <w:tcW w:w="665" w:type="dxa"/>
            <w:tcBorders>
              <w:top w:val="nil"/>
              <w:left w:val="nil"/>
              <w:bottom w:val="nil"/>
              <w:right w:val="single" w:sz="2" w:space="0" w:color="000000"/>
            </w:tcBorders>
          </w:tcPr>
          <w:p w:rsidR="00C06930" w:rsidRDefault="00C06930" w:rsidP="00C06930">
            <w:pPr>
              <w:spacing w:line="259" w:lineRule="auto"/>
              <w:ind w:right="43"/>
              <w:jc w:val="right"/>
            </w:pPr>
            <w:r>
              <w:t>(94)</w:t>
            </w:r>
          </w:p>
        </w:tc>
      </w:tr>
      <w:tr w:rsidR="00C06930" w:rsidTr="00C06930">
        <w:trPr>
          <w:trHeight w:val="288"/>
        </w:trPr>
        <w:tc>
          <w:tcPr>
            <w:tcW w:w="7349" w:type="dxa"/>
            <w:vMerge w:val="restart"/>
            <w:tcBorders>
              <w:top w:val="nil"/>
              <w:left w:val="nil"/>
              <w:bottom w:val="nil"/>
              <w:right w:val="nil"/>
            </w:tcBorders>
          </w:tcPr>
          <w:p w:rsidR="00C06930" w:rsidRDefault="00C06930" w:rsidP="00C06930">
            <w:pPr>
              <w:spacing w:after="97" w:line="259" w:lineRule="auto"/>
            </w:pPr>
            <w:r>
              <w:t xml:space="preserve">   Net finance cost non-underlying items </w:t>
            </w:r>
          </w:p>
          <w:p w:rsidR="00C06930" w:rsidRDefault="00C06930" w:rsidP="00C06930">
            <w:pPr>
              <w:spacing w:line="259" w:lineRule="auto"/>
            </w:pPr>
            <w:r>
              <w:t xml:space="preserve">Net monetary gain/(loss) arising from hyperinflationary economies </w:t>
            </w:r>
          </w:p>
        </w:tc>
        <w:tc>
          <w:tcPr>
            <w:tcW w:w="475" w:type="dxa"/>
            <w:vMerge w:val="restart"/>
            <w:tcBorders>
              <w:top w:val="nil"/>
              <w:left w:val="nil"/>
              <w:bottom w:val="nil"/>
              <w:right w:val="nil"/>
            </w:tcBorders>
          </w:tcPr>
          <w:p w:rsidR="00C06930" w:rsidRDefault="00C06930" w:rsidP="00C06930">
            <w:pPr>
              <w:spacing w:after="123" w:line="259" w:lineRule="auto"/>
              <w:ind w:left="304"/>
            </w:pPr>
            <w:r>
              <w:rPr>
                <w:sz w:val="14"/>
              </w:rPr>
              <w:t xml:space="preserve">3 </w:t>
            </w:r>
          </w:p>
          <w:p w:rsidR="00C06930" w:rsidRDefault="00C06930" w:rsidP="00C06930">
            <w:pPr>
              <w:spacing w:line="259" w:lineRule="auto"/>
              <w:ind w:right="86"/>
              <w:jc w:val="right"/>
            </w:pPr>
            <w:r>
              <w:rPr>
                <w:sz w:val="14"/>
              </w:rPr>
              <w:t xml:space="preserve">1 </w:t>
            </w:r>
          </w:p>
        </w:tc>
        <w:tc>
          <w:tcPr>
            <w:tcW w:w="794" w:type="dxa"/>
            <w:tcBorders>
              <w:top w:val="nil"/>
              <w:left w:val="single" w:sz="2" w:space="0" w:color="000000"/>
              <w:bottom w:val="single" w:sz="2" w:space="0" w:color="000000"/>
              <w:right w:val="nil"/>
            </w:tcBorders>
            <w:shd w:val="clear" w:color="auto" w:fill="F2F2F2"/>
          </w:tcPr>
          <w:p w:rsidR="00C06930" w:rsidRDefault="00C06930" w:rsidP="00C06930">
            <w:pPr>
              <w:spacing w:line="259" w:lineRule="auto"/>
              <w:ind w:right="86"/>
              <w:jc w:val="right"/>
            </w:pPr>
            <w:r>
              <w:rPr>
                <w:b/>
              </w:rPr>
              <w:t xml:space="preserve">– </w:t>
            </w:r>
          </w:p>
        </w:tc>
        <w:tc>
          <w:tcPr>
            <w:tcW w:w="923" w:type="dxa"/>
            <w:tcBorders>
              <w:top w:val="nil"/>
              <w:left w:val="nil"/>
              <w:bottom w:val="single" w:sz="2" w:space="0" w:color="000000"/>
              <w:right w:val="nil"/>
            </w:tcBorders>
          </w:tcPr>
          <w:p w:rsidR="00C06930" w:rsidRDefault="00C06930" w:rsidP="00C06930">
            <w:pPr>
              <w:spacing w:line="259" w:lineRule="auto"/>
              <w:ind w:left="405"/>
            </w:pPr>
            <w:r>
              <w:t xml:space="preserve">(382) </w:t>
            </w:r>
          </w:p>
        </w:tc>
        <w:tc>
          <w:tcPr>
            <w:tcW w:w="665" w:type="dxa"/>
            <w:tcBorders>
              <w:top w:val="nil"/>
              <w:left w:val="nil"/>
              <w:bottom w:val="single" w:sz="2" w:space="0" w:color="000000"/>
              <w:right w:val="single" w:sz="2" w:space="0" w:color="000000"/>
            </w:tcBorders>
          </w:tcPr>
          <w:p w:rsidR="00C06930" w:rsidRDefault="00C06930" w:rsidP="00C06930">
            <w:pPr>
              <w:spacing w:line="259" w:lineRule="auto"/>
              <w:ind w:right="89"/>
              <w:jc w:val="right"/>
            </w:pPr>
            <w:r>
              <w:t xml:space="preserve">– </w:t>
            </w:r>
          </w:p>
        </w:tc>
      </w:tr>
      <w:tr w:rsidR="00C06930" w:rsidTr="00C06930">
        <w:trPr>
          <w:trHeight w:val="283"/>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794" w:type="dxa"/>
            <w:tcBorders>
              <w:top w:val="single" w:sz="2" w:space="0" w:color="000000"/>
              <w:left w:val="nil"/>
              <w:bottom w:val="nil"/>
              <w:right w:val="nil"/>
            </w:tcBorders>
            <w:shd w:val="clear" w:color="auto" w:fill="F2F2F2"/>
          </w:tcPr>
          <w:p w:rsidR="00C06930" w:rsidRDefault="00C06930" w:rsidP="00C06930">
            <w:pPr>
              <w:spacing w:line="259" w:lineRule="auto"/>
              <w:ind w:right="86"/>
              <w:jc w:val="right"/>
            </w:pPr>
            <w:r>
              <w:rPr>
                <w:b/>
              </w:rPr>
              <w:t xml:space="preserve">122 </w:t>
            </w:r>
          </w:p>
        </w:tc>
        <w:tc>
          <w:tcPr>
            <w:tcW w:w="923" w:type="dxa"/>
            <w:tcBorders>
              <w:top w:val="single" w:sz="2" w:space="0" w:color="000000"/>
              <w:left w:val="nil"/>
              <w:bottom w:val="nil"/>
              <w:right w:val="nil"/>
            </w:tcBorders>
          </w:tcPr>
          <w:p w:rsidR="00C06930" w:rsidRDefault="00C06930" w:rsidP="00C06930">
            <w:pPr>
              <w:spacing w:line="259" w:lineRule="auto"/>
              <w:ind w:left="615"/>
            </w:pPr>
            <w:r>
              <w:t xml:space="preserve">– </w:t>
            </w:r>
          </w:p>
        </w:tc>
        <w:tc>
          <w:tcPr>
            <w:tcW w:w="665" w:type="dxa"/>
            <w:tcBorders>
              <w:top w:val="single" w:sz="2" w:space="0" w:color="000000"/>
              <w:left w:val="nil"/>
              <w:bottom w:val="nil"/>
              <w:right w:val="nil"/>
            </w:tcBorders>
          </w:tcPr>
          <w:p w:rsidR="00C06930" w:rsidRDefault="00C06930" w:rsidP="00C06930">
            <w:pPr>
              <w:spacing w:line="259" w:lineRule="auto"/>
              <w:ind w:right="86"/>
              <w:jc w:val="right"/>
            </w:pPr>
            <w:r>
              <w:t xml:space="preserve">– </w:t>
            </w:r>
          </w:p>
        </w:tc>
      </w:tr>
      <w:tr w:rsidR="00C06930" w:rsidTr="00C06930">
        <w:trPr>
          <w:trHeight w:val="263"/>
        </w:trPr>
        <w:tc>
          <w:tcPr>
            <w:tcW w:w="7349" w:type="dxa"/>
            <w:tcBorders>
              <w:top w:val="nil"/>
              <w:left w:val="nil"/>
              <w:bottom w:val="nil"/>
              <w:right w:val="nil"/>
            </w:tcBorders>
          </w:tcPr>
          <w:p w:rsidR="00C06930" w:rsidRDefault="00C06930" w:rsidP="00C06930">
            <w:pPr>
              <w:spacing w:line="259" w:lineRule="auto"/>
            </w:pPr>
            <w:r>
              <w:t xml:space="preserve">Share of net profit/(loss) of joint ventures and associates </w:t>
            </w:r>
          </w:p>
        </w:tc>
        <w:tc>
          <w:tcPr>
            <w:tcW w:w="475" w:type="dxa"/>
            <w:tcBorders>
              <w:top w:val="nil"/>
              <w:left w:val="nil"/>
              <w:bottom w:val="nil"/>
              <w:right w:val="nil"/>
            </w:tcBorders>
          </w:tcPr>
          <w:p w:rsidR="00C06930" w:rsidRDefault="00C06930" w:rsidP="00C06930">
            <w:pPr>
              <w:spacing w:line="259" w:lineRule="auto"/>
              <w:ind w:left="235"/>
            </w:pPr>
            <w:r>
              <w:rPr>
                <w:sz w:val="14"/>
              </w:rPr>
              <w:t xml:space="preserve">11 </w:t>
            </w:r>
          </w:p>
        </w:tc>
        <w:tc>
          <w:tcPr>
            <w:tcW w:w="794" w:type="dxa"/>
            <w:tcBorders>
              <w:top w:val="nil"/>
              <w:left w:val="nil"/>
              <w:bottom w:val="nil"/>
              <w:right w:val="nil"/>
            </w:tcBorders>
            <w:shd w:val="clear" w:color="auto" w:fill="F2F2F2"/>
          </w:tcPr>
          <w:p w:rsidR="00C06930" w:rsidRDefault="00C06930" w:rsidP="00C06930">
            <w:pPr>
              <w:spacing w:line="259" w:lineRule="auto"/>
              <w:ind w:right="86"/>
              <w:jc w:val="right"/>
            </w:pPr>
            <w:r>
              <w:rPr>
                <w:b/>
              </w:rPr>
              <w:t xml:space="preserve">185 </w:t>
            </w:r>
          </w:p>
        </w:tc>
        <w:tc>
          <w:tcPr>
            <w:tcW w:w="923" w:type="dxa"/>
            <w:tcBorders>
              <w:top w:val="nil"/>
              <w:left w:val="nil"/>
              <w:bottom w:val="nil"/>
              <w:right w:val="nil"/>
            </w:tcBorders>
          </w:tcPr>
          <w:p w:rsidR="00C06930" w:rsidRDefault="00C06930" w:rsidP="00C06930">
            <w:pPr>
              <w:spacing w:line="259" w:lineRule="auto"/>
              <w:ind w:left="451"/>
            </w:pPr>
            <w:r>
              <w:t xml:space="preserve">155 </w:t>
            </w:r>
          </w:p>
        </w:tc>
        <w:tc>
          <w:tcPr>
            <w:tcW w:w="665" w:type="dxa"/>
            <w:tcBorders>
              <w:top w:val="nil"/>
              <w:left w:val="nil"/>
              <w:bottom w:val="nil"/>
              <w:right w:val="nil"/>
            </w:tcBorders>
          </w:tcPr>
          <w:p w:rsidR="00C06930" w:rsidRDefault="00C06930" w:rsidP="00C06930">
            <w:pPr>
              <w:spacing w:line="259" w:lineRule="auto"/>
              <w:ind w:right="86"/>
              <w:jc w:val="right"/>
            </w:pPr>
            <w:r>
              <w:t xml:space="preserve">127 </w:t>
            </w:r>
          </w:p>
        </w:tc>
      </w:tr>
      <w:tr w:rsidR="00C06930" w:rsidTr="00C06930">
        <w:trPr>
          <w:trHeight w:val="263"/>
        </w:trPr>
        <w:tc>
          <w:tcPr>
            <w:tcW w:w="7349" w:type="dxa"/>
            <w:tcBorders>
              <w:top w:val="nil"/>
              <w:left w:val="nil"/>
              <w:bottom w:val="nil"/>
              <w:right w:val="nil"/>
            </w:tcBorders>
          </w:tcPr>
          <w:p w:rsidR="00C06930" w:rsidRDefault="00C06930" w:rsidP="00C06930">
            <w:pPr>
              <w:spacing w:line="259" w:lineRule="auto"/>
            </w:pPr>
            <w:r>
              <w:t xml:space="preserve">After crediting non-underlying items </w:t>
            </w:r>
          </w:p>
        </w:tc>
        <w:tc>
          <w:tcPr>
            <w:tcW w:w="475" w:type="dxa"/>
            <w:tcBorders>
              <w:top w:val="nil"/>
              <w:left w:val="nil"/>
              <w:bottom w:val="nil"/>
              <w:right w:val="nil"/>
            </w:tcBorders>
          </w:tcPr>
          <w:p w:rsidR="00C06930" w:rsidRDefault="00C06930" w:rsidP="00C06930">
            <w:pPr>
              <w:spacing w:line="259" w:lineRule="auto"/>
              <w:ind w:right="86"/>
              <w:jc w:val="right"/>
            </w:pPr>
            <w:r>
              <w:rPr>
                <w:sz w:val="14"/>
              </w:rPr>
              <w:t xml:space="preserve">3 </w:t>
            </w:r>
          </w:p>
        </w:tc>
        <w:tc>
          <w:tcPr>
            <w:tcW w:w="794" w:type="dxa"/>
            <w:tcBorders>
              <w:top w:val="nil"/>
              <w:left w:val="nil"/>
              <w:bottom w:val="nil"/>
              <w:right w:val="nil"/>
            </w:tcBorders>
            <w:shd w:val="clear" w:color="auto" w:fill="F2F2F2"/>
          </w:tcPr>
          <w:p w:rsidR="00C06930" w:rsidRDefault="00C06930" w:rsidP="00C06930">
            <w:pPr>
              <w:spacing w:line="259" w:lineRule="auto"/>
              <w:ind w:right="86"/>
              <w:jc w:val="right"/>
            </w:pPr>
            <w:r>
              <w:rPr>
                <w:b/>
              </w:rPr>
              <w:t xml:space="preserve">32 </w:t>
            </w:r>
          </w:p>
        </w:tc>
        <w:tc>
          <w:tcPr>
            <w:tcW w:w="923" w:type="dxa"/>
            <w:tcBorders>
              <w:top w:val="nil"/>
              <w:left w:val="nil"/>
              <w:bottom w:val="nil"/>
              <w:right w:val="nil"/>
            </w:tcBorders>
          </w:tcPr>
          <w:p w:rsidR="00C06930" w:rsidRDefault="00C06930" w:rsidP="00C06930">
            <w:pPr>
              <w:spacing w:line="259" w:lineRule="auto"/>
              <w:ind w:left="615"/>
            </w:pPr>
            <w:r>
              <w:t xml:space="preserve">– </w:t>
            </w:r>
          </w:p>
        </w:tc>
        <w:tc>
          <w:tcPr>
            <w:tcW w:w="665" w:type="dxa"/>
            <w:tcBorders>
              <w:top w:val="nil"/>
              <w:left w:val="nil"/>
              <w:bottom w:val="nil"/>
              <w:right w:val="nil"/>
            </w:tcBorders>
          </w:tcPr>
          <w:p w:rsidR="00C06930" w:rsidRDefault="00C06930" w:rsidP="00C06930">
            <w:pPr>
              <w:spacing w:line="259" w:lineRule="auto"/>
              <w:ind w:right="86"/>
              <w:jc w:val="right"/>
            </w:pPr>
            <w:r>
              <w:t xml:space="preserve">– </w:t>
            </w:r>
          </w:p>
        </w:tc>
      </w:tr>
      <w:tr w:rsidR="00C06930" w:rsidTr="00C06930">
        <w:trPr>
          <w:trHeight w:val="267"/>
        </w:trPr>
        <w:tc>
          <w:tcPr>
            <w:tcW w:w="7349" w:type="dxa"/>
            <w:vMerge w:val="restart"/>
            <w:tcBorders>
              <w:top w:val="nil"/>
              <w:left w:val="nil"/>
              <w:bottom w:val="nil"/>
              <w:right w:val="nil"/>
            </w:tcBorders>
          </w:tcPr>
          <w:p w:rsidR="00C06930" w:rsidRDefault="00C06930" w:rsidP="00C06930">
            <w:pPr>
              <w:spacing w:after="59" w:line="259" w:lineRule="auto"/>
            </w:pPr>
            <w:r>
              <w:t xml:space="preserve">Other income/(loss) from non-current investments and associates </w:t>
            </w:r>
          </w:p>
          <w:p w:rsidR="00C06930" w:rsidRDefault="00C06930" w:rsidP="00C06930">
            <w:pPr>
              <w:spacing w:line="259" w:lineRule="auto"/>
            </w:pPr>
            <w:r>
              <w:rPr>
                <w:b/>
              </w:rPr>
              <w:t xml:space="preserve">Profit before taxation </w:t>
            </w:r>
          </w:p>
        </w:tc>
        <w:tc>
          <w:tcPr>
            <w:tcW w:w="475" w:type="dxa"/>
            <w:vMerge w:val="restart"/>
            <w:tcBorders>
              <w:top w:val="nil"/>
              <w:left w:val="nil"/>
              <w:bottom w:val="nil"/>
              <w:right w:val="nil"/>
            </w:tcBorders>
          </w:tcPr>
          <w:p w:rsidR="00C06930" w:rsidRDefault="00C06930" w:rsidP="00C06930">
            <w:pPr>
              <w:spacing w:after="160" w:line="259" w:lineRule="auto"/>
            </w:pPr>
          </w:p>
        </w:tc>
        <w:tc>
          <w:tcPr>
            <w:tcW w:w="794" w:type="dxa"/>
            <w:tcBorders>
              <w:top w:val="nil"/>
              <w:left w:val="nil"/>
              <w:bottom w:val="single" w:sz="2" w:space="0" w:color="000000"/>
              <w:right w:val="nil"/>
            </w:tcBorders>
            <w:shd w:val="clear" w:color="auto" w:fill="F2F2F2"/>
          </w:tcPr>
          <w:p w:rsidR="00C06930" w:rsidRDefault="00C06930" w:rsidP="00C06930">
            <w:pPr>
              <w:spacing w:line="259" w:lineRule="auto"/>
              <w:ind w:right="86"/>
              <w:jc w:val="right"/>
            </w:pPr>
            <w:r>
              <w:rPr>
                <w:b/>
              </w:rPr>
              <w:t xml:space="preserve">22 </w:t>
            </w:r>
          </w:p>
        </w:tc>
        <w:tc>
          <w:tcPr>
            <w:tcW w:w="923" w:type="dxa"/>
            <w:tcBorders>
              <w:top w:val="nil"/>
              <w:left w:val="nil"/>
              <w:bottom w:val="single" w:sz="2" w:space="0" w:color="000000"/>
              <w:right w:val="nil"/>
            </w:tcBorders>
          </w:tcPr>
          <w:p w:rsidR="00C06930" w:rsidRDefault="00C06930" w:rsidP="00C06930">
            <w:pPr>
              <w:spacing w:line="259" w:lineRule="auto"/>
              <w:ind w:left="533"/>
            </w:pPr>
            <w:r>
              <w:t xml:space="preserve">18 </w:t>
            </w:r>
          </w:p>
        </w:tc>
        <w:tc>
          <w:tcPr>
            <w:tcW w:w="665" w:type="dxa"/>
            <w:tcBorders>
              <w:top w:val="nil"/>
              <w:left w:val="nil"/>
              <w:bottom w:val="single" w:sz="2" w:space="0" w:color="000000"/>
              <w:right w:val="nil"/>
            </w:tcBorders>
          </w:tcPr>
          <w:p w:rsidR="00C06930" w:rsidRDefault="00C06930" w:rsidP="00C06930">
            <w:pPr>
              <w:spacing w:line="259" w:lineRule="auto"/>
              <w:ind w:right="86"/>
              <w:jc w:val="right"/>
            </w:pPr>
            <w:r>
              <w:t xml:space="preserve">104 </w:t>
            </w:r>
          </w:p>
        </w:tc>
      </w:tr>
      <w:tr w:rsidR="00C06930" w:rsidTr="00C06930">
        <w:trPr>
          <w:trHeight w:val="309"/>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794" w:type="dxa"/>
            <w:tcBorders>
              <w:top w:val="single" w:sz="2" w:space="0" w:color="000000"/>
              <w:left w:val="nil"/>
              <w:bottom w:val="nil"/>
              <w:right w:val="nil"/>
            </w:tcBorders>
            <w:shd w:val="clear" w:color="auto" w:fill="F2F2F2"/>
          </w:tcPr>
          <w:p w:rsidR="00C06930" w:rsidRDefault="00C06930" w:rsidP="00C06930">
            <w:pPr>
              <w:spacing w:line="259" w:lineRule="auto"/>
              <w:ind w:right="86"/>
              <w:jc w:val="right"/>
            </w:pPr>
            <w:r>
              <w:rPr>
                <w:b/>
              </w:rPr>
              <w:t xml:space="preserve">12,383 </w:t>
            </w:r>
          </w:p>
        </w:tc>
        <w:tc>
          <w:tcPr>
            <w:tcW w:w="923" w:type="dxa"/>
            <w:tcBorders>
              <w:top w:val="single" w:sz="2" w:space="0" w:color="000000"/>
              <w:left w:val="nil"/>
              <w:bottom w:val="nil"/>
              <w:right w:val="nil"/>
            </w:tcBorders>
          </w:tcPr>
          <w:p w:rsidR="00C06930" w:rsidRDefault="00C06930" w:rsidP="00C06930">
            <w:pPr>
              <w:spacing w:line="259" w:lineRule="auto"/>
              <w:ind w:left="327"/>
            </w:pPr>
            <w:r>
              <w:t xml:space="preserve">8,153 </w:t>
            </w:r>
          </w:p>
        </w:tc>
        <w:tc>
          <w:tcPr>
            <w:tcW w:w="665" w:type="dxa"/>
            <w:tcBorders>
              <w:top w:val="single" w:sz="2" w:space="0" w:color="000000"/>
              <w:left w:val="nil"/>
              <w:bottom w:val="nil"/>
              <w:right w:val="nil"/>
            </w:tcBorders>
          </w:tcPr>
          <w:p w:rsidR="00C06930" w:rsidRDefault="00C06930" w:rsidP="00C06930">
            <w:pPr>
              <w:spacing w:line="259" w:lineRule="auto"/>
              <w:ind w:right="86"/>
              <w:jc w:val="right"/>
            </w:pPr>
            <w:r>
              <w:t xml:space="preserve">7,469 </w:t>
            </w:r>
          </w:p>
        </w:tc>
      </w:tr>
      <w:tr w:rsidR="00C06930" w:rsidTr="00C06930">
        <w:trPr>
          <w:trHeight w:val="263"/>
        </w:trPr>
        <w:tc>
          <w:tcPr>
            <w:tcW w:w="7349" w:type="dxa"/>
            <w:tcBorders>
              <w:top w:val="nil"/>
              <w:left w:val="nil"/>
              <w:bottom w:val="nil"/>
              <w:right w:val="nil"/>
            </w:tcBorders>
          </w:tcPr>
          <w:p w:rsidR="00C06930" w:rsidRDefault="00C06930" w:rsidP="00C06930">
            <w:pPr>
              <w:spacing w:line="259" w:lineRule="auto"/>
            </w:pPr>
            <w:r>
              <w:rPr>
                <w:b/>
              </w:rPr>
              <w:t xml:space="preserve">Taxation </w:t>
            </w:r>
          </w:p>
        </w:tc>
        <w:tc>
          <w:tcPr>
            <w:tcW w:w="475" w:type="dxa"/>
            <w:tcBorders>
              <w:top w:val="nil"/>
              <w:left w:val="nil"/>
              <w:bottom w:val="nil"/>
              <w:right w:val="nil"/>
            </w:tcBorders>
          </w:tcPr>
          <w:p w:rsidR="00C06930" w:rsidRDefault="00C06930" w:rsidP="00C06930">
            <w:pPr>
              <w:spacing w:line="259" w:lineRule="auto"/>
              <w:ind w:right="86"/>
              <w:jc w:val="right"/>
            </w:pPr>
            <w:r>
              <w:rPr>
                <w:sz w:val="14"/>
              </w:rPr>
              <w:t xml:space="preserve">6A </w:t>
            </w:r>
          </w:p>
        </w:tc>
        <w:tc>
          <w:tcPr>
            <w:tcW w:w="794" w:type="dxa"/>
            <w:tcBorders>
              <w:top w:val="nil"/>
              <w:left w:val="nil"/>
              <w:bottom w:val="nil"/>
              <w:right w:val="nil"/>
            </w:tcBorders>
            <w:shd w:val="clear" w:color="auto" w:fill="F2F2F2"/>
          </w:tcPr>
          <w:p w:rsidR="00C06930" w:rsidRDefault="00C06930" w:rsidP="00C06930">
            <w:pPr>
              <w:spacing w:line="259" w:lineRule="auto"/>
              <w:ind w:right="41"/>
              <w:jc w:val="right"/>
            </w:pPr>
            <w:r>
              <w:rPr>
                <w:b/>
              </w:rPr>
              <w:t xml:space="preserve">(2,575) </w:t>
            </w:r>
          </w:p>
        </w:tc>
        <w:tc>
          <w:tcPr>
            <w:tcW w:w="923" w:type="dxa"/>
            <w:tcBorders>
              <w:top w:val="nil"/>
              <w:left w:val="nil"/>
              <w:bottom w:val="nil"/>
              <w:right w:val="nil"/>
            </w:tcBorders>
          </w:tcPr>
          <w:p w:rsidR="00C06930" w:rsidRDefault="00C06930" w:rsidP="00C06930">
            <w:pPr>
              <w:spacing w:line="259" w:lineRule="auto"/>
              <w:ind w:left="282"/>
            </w:pPr>
            <w:r>
              <w:t xml:space="preserve">(1,667) </w:t>
            </w:r>
          </w:p>
        </w:tc>
        <w:tc>
          <w:tcPr>
            <w:tcW w:w="665" w:type="dxa"/>
            <w:tcBorders>
              <w:top w:val="nil"/>
              <w:left w:val="nil"/>
              <w:bottom w:val="nil"/>
              <w:right w:val="nil"/>
            </w:tcBorders>
          </w:tcPr>
          <w:p w:rsidR="00C06930" w:rsidRDefault="00C06930" w:rsidP="00C06930">
            <w:pPr>
              <w:spacing w:line="259" w:lineRule="auto"/>
              <w:ind w:right="41"/>
              <w:jc w:val="right"/>
            </w:pPr>
            <w:r>
              <w:t xml:space="preserve">(1,922) </w:t>
            </w:r>
          </w:p>
        </w:tc>
      </w:tr>
      <w:tr w:rsidR="00C06930" w:rsidTr="00C06930">
        <w:trPr>
          <w:trHeight w:val="263"/>
        </w:trPr>
        <w:tc>
          <w:tcPr>
            <w:tcW w:w="7349" w:type="dxa"/>
            <w:tcBorders>
              <w:top w:val="nil"/>
              <w:left w:val="nil"/>
              <w:bottom w:val="nil"/>
              <w:right w:val="nil"/>
            </w:tcBorders>
          </w:tcPr>
          <w:p w:rsidR="00C06930" w:rsidRDefault="00C06930" w:rsidP="00C06930">
            <w:pPr>
              <w:spacing w:line="259" w:lineRule="auto"/>
            </w:pPr>
            <w:r>
              <w:t xml:space="preserve">After (charging)/crediting tax impact of non-underlying items </w:t>
            </w:r>
          </w:p>
        </w:tc>
        <w:tc>
          <w:tcPr>
            <w:tcW w:w="475" w:type="dxa"/>
            <w:tcBorders>
              <w:top w:val="nil"/>
              <w:left w:val="nil"/>
              <w:bottom w:val="nil"/>
              <w:right w:val="nil"/>
            </w:tcBorders>
          </w:tcPr>
          <w:p w:rsidR="00C06930" w:rsidRDefault="00C06930" w:rsidP="00C06930">
            <w:pPr>
              <w:spacing w:line="259" w:lineRule="auto"/>
              <w:ind w:right="86"/>
              <w:jc w:val="right"/>
            </w:pPr>
            <w:r>
              <w:rPr>
                <w:sz w:val="14"/>
              </w:rPr>
              <w:t xml:space="preserve">3 </w:t>
            </w:r>
          </w:p>
        </w:tc>
        <w:tc>
          <w:tcPr>
            <w:tcW w:w="794" w:type="dxa"/>
            <w:tcBorders>
              <w:top w:val="nil"/>
              <w:left w:val="nil"/>
              <w:bottom w:val="nil"/>
              <w:right w:val="nil"/>
            </w:tcBorders>
            <w:shd w:val="clear" w:color="auto" w:fill="F2F2F2"/>
          </w:tcPr>
          <w:p w:rsidR="00C06930" w:rsidRDefault="00C06930" w:rsidP="00C06930">
            <w:pPr>
              <w:spacing w:line="259" w:lineRule="auto"/>
              <w:ind w:right="47"/>
              <w:jc w:val="right"/>
            </w:pPr>
            <w:r>
              <w:rPr>
                <w:b/>
              </w:rPr>
              <w:t xml:space="preserve">(288) </w:t>
            </w:r>
          </w:p>
        </w:tc>
        <w:tc>
          <w:tcPr>
            <w:tcW w:w="923" w:type="dxa"/>
            <w:tcBorders>
              <w:top w:val="nil"/>
              <w:left w:val="nil"/>
              <w:bottom w:val="nil"/>
              <w:right w:val="nil"/>
            </w:tcBorders>
          </w:tcPr>
          <w:p w:rsidR="00C06930" w:rsidRDefault="00C06930" w:rsidP="00C06930">
            <w:pPr>
              <w:spacing w:line="259" w:lineRule="auto"/>
              <w:ind w:left="451"/>
            </w:pPr>
            <w:r>
              <w:t xml:space="preserve">655 </w:t>
            </w:r>
          </w:p>
        </w:tc>
        <w:tc>
          <w:tcPr>
            <w:tcW w:w="665" w:type="dxa"/>
            <w:tcBorders>
              <w:top w:val="nil"/>
              <w:left w:val="nil"/>
              <w:bottom w:val="nil"/>
              <w:right w:val="nil"/>
            </w:tcBorders>
          </w:tcPr>
          <w:p w:rsidR="00C06930" w:rsidRDefault="00C06930" w:rsidP="00C06930">
            <w:pPr>
              <w:spacing w:line="259" w:lineRule="auto"/>
              <w:ind w:right="86"/>
              <w:jc w:val="right"/>
            </w:pPr>
            <w:r>
              <w:t xml:space="preserve">213 </w:t>
            </w:r>
          </w:p>
        </w:tc>
      </w:tr>
      <w:tr w:rsidR="00C06930" w:rsidTr="00C06930">
        <w:trPr>
          <w:trHeight w:val="330"/>
        </w:trPr>
        <w:tc>
          <w:tcPr>
            <w:tcW w:w="7349" w:type="dxa"/>
            <w:vMerge w:val="restart"/>
            <w:tcBorders>
              <w:top w:val="nil"/>
              <w:left w:val="nil"/>
              <w:bottom w:val="nil"/>
              <w:right w:val="nil"/>
            </w:tcBorders>
          </w:tcPr>
          <w:p w:rsidR="00C06930" w:rsidRDefault="00C06930" w:rsidP="00C06930">
            <w:pPr>
              <w:spacing w:after="97" w:line="259" w:lineRule="auto"/>
            </w:pPr>
            <w:r>
              <w:rPr>
                <w:b/>
              </w:rPr>
              <w:t xml:space="preserve">Net profit </w:t>
            </w:r>
          </w:p>
          <w:p w:rsidR="00C06930" w:rsidRDefault="00C06930" w:rsidP="00C06930">
            <w:pPr>
              <w:spacing w:after="9" w:line="259" w:lineRule="auto"/>
            </w:pPr>
            <w:r>
              <w:t xml:space="preserve">Attributable to: </w:t>
            </w:r>
          </w:p>
          <w:p w:rsidR="00C06930" w:rsidRDefault="00C06930" w:rsidP="00C06930">
            <w:pPr>
              <w:spacing w:line="259" w:lineRule="auto"/>
            </w:pPr>
            <w:r>
              <w:t xml:space="preserve">Non-controlling interests </w:t>
            </w:r>
          </w:p>
        </w:tc>
        <w:tc>
          <w:tcPr>
            <w:tcW w:w="475" w:type="dxa"/>
            <w:vMerge w:val="restart"/>
            <w:tcBorders>
              <w:top w:val="nil"/>
              <w:left w:val="nil"/>
              <w:bottom w:val="nil"/>
              <w:right w:val="nil"/>
            </w:tcBorders>
          </w:tcPr>
          <w:p w:rsidR="00C06930" w:rsidRDefault="00C06930" w:rsidP="00C06930">
            <w:pPr>
              <w:spacing w:after="160" w:line="259" w:lineRule="auto"/>
            </w:pPr>
          </w:p>
        </w:tc>
        <w:tc>
          <w:tcPr>
            <w:tcW w:w="794" w:type="dxa"/>
            <w:tcBorders>
              <w:top w:val="nil"/>
              <w:left w:val="nil"/>
              <w:bottom w:val="single" w:sz="2" w:space="0" w:color="000000"/>
              <w:right w:val="nil"/>
            </w:tcBorders>
            <w:shd w:val="clear" w:color="auto" w:fill="F2F2F2"/>
          </w:tcPr>
          <w:p w:rsidR="00C06930" w:rsidRDefault="00C06930" w:rsidP="00C06930">
            <w:pPr>
              <w:spacing w:line="259" w:lineRule="auto"/>
              <w:ind w:right="86"/>
              <w:jc w:val="right"/>
            </w:pPr>
            <w:r>
              <w:rPr>
                <w:b/>
              </w:rPr>
              <w:t xml:space="preserve">9,808 </w:t>
            </w:r>
          </w:p>
        </w:tc>
        <w:tc>
          <w:tcPr>
            <w:tcW w:w="923" w:type="dxa"/>
            <w:tcBorders>
              <w:top w:val="nil"/>
              <w:left w:val="nil"/>
              <w:bottom w:val="single" w:sz="2" w:space="0" w:color="000000"/>
              <w:right w:val="nil"/>
            </w:tcBorders>
          </w:tcPr>
          <w:p w:rsidR="00C06930" w:rsidRDefault="00C06930" w:rsidP="00C06930">
            <w:pPr>
              <w:spacing w:line="259" w:lineRule="auto"/>
              <w:ind w:left="327"/>
            </w:pPr>
            <w:r>
              <w:t xml:space="preserve">6,486 </w:t>
            </w:r>
          </w:p>
        </w:tc>
        <w:tc>
          <w:tcPr>
            <w:tcW w:w="665" w:type="dxa"/>
            <w:tcBorders>
              <w:top w:val="nil"/>
              <w:left w:val="nil"/>
              <w:bottom w:val="single" w:sz="2" w:space="0" w:color="000000"/>
              <w:right w:val="nil"/>
            </w:tcBorders>
          </w:tcPr>
          <w:p w:rsidR="00C06930" w:rsidRDefault="00C06930" w:rsidP="00C06930">
            <w:pPr>
              <w:spacing w:line="259" w:lineRule="auto"/>
              <w:ind w:right="86"/>
              <w:jc w:val="right"/>
            </w:pPr>
            <w:r>
              <w:t xml:space="preserve">5,547 </w:t>
            </w:r>
          </w:p>
        </w:tc>
      </w:tr>
      <w:tr w:rsidR="00C06930" w:rsidTr="00C06930">
        <w:trPr>
          <w:trHeight w:val="461"/>
        </w:trPr>
        <w:tc>
          <w:tcPr>
            <w:tcW w:w="0" w:type="auto"/>
            <w:vMerge/>
            <w:tcBorders>
              <w:top w:val="nil"/>
              <w:left w:val="nil"/>
              <w:bottom w:val="nil"/>
              <w:right w:val="nil"/>
            </w:tcBorders>
          </w:tcPr>
          <w:p w:rsidR="00C06930" w:rsidRDefault="00C06930" w:rsidP="00C06930">
            <w:pPr>
              <w:spacing w:after="160" w:line="259" w:lineRule="auto"/>
            </w:pPr>
          </w:p>
        </w:tc>
        <w:tc>
          <w:tcPr>
            <w:tcW w:w="0" w:type="auto"/>
            <w:vMerge/>
            <w:tcBorders>
              <w:top w:val="nil"/>
              <w:left w:val="nil"/>
              <w:bottom w:val="nil"/>
              <w:right w:val="nil"/>
            </w:tcBorders>
          </w:tcPr>
          <w:p w:rsidR="00C06930" w:rsidRDefault="00C06930" w:rsidP="00C06930">
            <w:pPr>
              <w:spacing w:after="160" w:line="259" w:lineRule="auto"/>
            </w:pPr>
          </w:p>
        </w:tc>
        <w:tc>
          <w:tcPr>
            <w:tcW w:w="794" w:type="dxa"/>
            <w:tcBorders>
              <w:top w:val="single" w:sz="2" w:space="0" w:color="000000"/>
              <w:left w:val="nil"/>
              <w:bottom w:val="nil"/>
              <w:right w:val="nil"/>
            </w:tcBorders>
            <w:shd w:val="clear" w:color="auto" w:fill="F2F2F2"/>
            <w:vAlign w:val="bottom"/>
          </w:tcPr>
          <w:p w:rsidR="00C06930" w:rsidRDefault="00C06930" w:rsidP="00C06930">
            <w:pPr>
              <w:spacing w:line="259" w:lineRule="auto"/>
              <w:ind w:right="86"/>
              <w:jc w:val="right"/>
            </w:pPr>
            <w:r>
              <w:rPr>
                <w:b/>
              </w:rPr>
              <w:t xml:space="preserve">419 </w:t>
            </w:r>
          </w:p>
        </w:tc>
        <w:tc>
          <w:tcPr>
            <w:tcW w:w="923" w:type="dxa"/>
            <w:tcBorders>
              <w:top w:val="single" w:sz="2" w:space="0" w:color="000000"/>
              <w:left w:val="nil"/>
              <w:bottom w:val="nil"/>
              <w:right w:val="nil"/>
            </w:tcBorders>
            <w:vAlign w:val="bottom"/>
          </w:tcPr>
          <w:p w:rsidR="00C06930" w:rsidRDefault="00C06930" w:rsidP="00C06930">
            <w:pPr>
              <w:spacing w:line="259" w:lineRule="auto"/>
              <w:ind w:left="451"/>
            </w:pPr>
            <w:r>
              <w:t xml:space="preserve">433 </w:t>
            </w:r>
          </w:p>
        </w:tc>
        <w:tc>
          <w:tcPr>
            <w:tcW w:w="665" w:type="dxa"/>
            <w:tcBorders>
              <w:top w:val="single" w:sz="2" w:space="0" w:color="000000"/>
              <w:left w:val="nil"/>
              <w:bottom w:val="nil"/>
              <w:right w:val="nil"/>
            </w:tcBorders>
            <w:vAlign w:val="bottom"/>
          </w:tcPr>
          <w:p w:rsidR="00C06930" w:rsidRDefault="00C06930" w:rsidP="00C06930">
            <w:pPr>
              <w:spacing w:line="259" w:lineRule="auto"/>
              <w:ind w:right="86"/>
              <w:jc w:val="right"/>
            </w:pPr>
            <w:r>
              <w:t xml:space="preserve">363 </w:t>
            </w:r>
          </w:p>
        </w:tc>
      </w:tr>
      <w:tr w:rsidR="00C06930" w:rsidTr="00C06930">
        <w:trPr>
          <w:trHeight w:val="225"/>
        </w:trPr>
        <w:tc>
          <w:tcPr>
            <w:tcW w:w="7349" w:type="dxa"/>
            <w:tcBorders>
              <w:top w:val="nil"/>
              <w:left w:val="nil"/>
              <w:bottom w:val="single" w:sz="4" w:space="0" w:color="000000"/>
              <w:right w:val="nil"/>
            </w:tcBorders>
          </w:tcPr>
          <w:p w:rsidR="00C06930" w:rsidRDefault="00C06930" w:rsidP="00C06930">
            <w:pPr>
              <w:spacing w:line="259" w:lineRule="auto"/>
            </w:pPr>
            <w:r>
              <w:t xml:space="preserve">Shareholders’ equity </w:t>
            </w:r>
          </w:p>
        </w:tc>
        <w:tc>
          <w:tcPr>
            <w:tcW w:w="475" w:type="dxa"/>
            <w:tcBorders>
              <w:top w:val="nil"/>
              <w:left w:val="nil"/>
              <w:bottom w:val="single" w:sz="4" w:space="0" w:color="000000"/>
              <w:right w:val="nil"/>
            </w:tcBorders>
          </w:tcPr>
          <w:p w:rsidR="00C06930" w:rsidRDefault="00C06930" w:rsidP="00C06930">
            <w:pPr>
              <w:spacing w:after="160" w:line="259" w:lineRule="auto"/>
            </w:pPr>
          </w:p>
        </w:tc>
        <w:tc>
          <w:tcPr>
            <w:tcW w:w="794" w:type="dxa"/>
            <w:tcBorders>
              <w:top w:val="nil"/>
              <w:left w:val="nil"/>
              <w:bottom w:val="single" w:sz="4" w:space="0" w:color="000000"/>
              <w:right w:val="nil"/>
            </w:tcBorders>
            <w:shd w:val="clear" w:color="auto" w:fill="F2F2F2"/>
          </w:tcPr>
          <w:p w:rsidR="00C06930" w:rsidRDefault="00C06930" w:rsidP="00C06930">
            <w:pPr>
              <w:spacing w:line="259" w:lineRule="auto"/>
              <w:ind w:right="86"/>
              <w:jc w:val="right"/>
            </w:pPr>
            <w:r>
              <w:rPr>
                <w:b/>
              </w:rPr>
              <w:t xml:space="preserve">9,389 </w:t>
            </w:r>
          </w:p>
        </w:tc>
        <w:tc>
          <w:tcPr>
            <w:tcW w:w="923" w:type="dxa"/>
            <w:tcBorders>
              <w:top w:val="nil"/>
              <w:left w:val="nil"/>
              <w:bottom w:val="single" w:sz="4" w:space="0" w:color="000000"/>
              <w:right w:val="nil"/>
            </w:tcBorders>
          </w:tcPr>
          <w:p w:rsidR="00C06930" w:rsidRDefault="00C06930" w:rsidP="00C06930">
            <w:pPr>
              <w:spacing w:line="259" w:lineRule="auto"/>
              <w:ind w:left="327"/>
            </w:pPr>
            <w:r>
              <w:t xml:space="preserve">6,053 </w:t>
            </w:r>
          </w:p>
        </w:tc>
        <w:tc>
          <w:tcPr>
            <w:tcW w:w="665" w:type="dxa"/>
            <w:tcBorders>
              <w:top w:val="nil"/>
              <w:left w:val="nil"/>
              <w:bottom w:val="single" w:sz="4" w:space="0" w:color="000000"/>
              <w:right w:val="nil"/>
            </w:tcBorders>
          </w:tcPr>
          <w:p w:rsidR="00C06930" w:rsidRDefault="00C06930" w:rsidP="00C06930">
            <w:pPr>
              <w:spacing w:line="259" w:lineRule="auto"/>
              <w:ind w:right="86"/>
              <w:jc w:val="right"/>
            </w:pPr>
            <w:r>
              <w:t xml:space="preserve">5,184 </w:t>
            </w:r>
          </w:p>
        </w:tc>
      </w:tr>
      <w:tr w:rsidR="00C06930" w:rsidTr="00C06930">
        <w:trPr>
          <w:trHeight w:val="243"/>
        </w:trPr>
        <w:tc>
          <w:tcPr>
            <w:tcW w:w="7349" w:type="dxa"/>
            <w:tcBorders>
              <w:top w:val="single" w:sz="4" w:space="0" w:color="000000"/>
              <w:left w:val="nil"/>
              <w:bottom w:val="nil"/>
              <w:right w:val="nil"/>
            </w:tcBorders>
          </w:tcPr>
          <w:p w:rsidR="00C06930" w:rsidRDefault="00C06930" w:rsidP="00C06930">
            <w:pPr>
              <w:spacing w:line="259" w:lineRule="auto"/>
            </w:pPr>
            <w:r>
              <w:rPr>
                <w:b/>
              </w:rPr>
              <w:t xml:space="preserve">Combined earnings per share </w:t>
            </w:r>
          </w:p>
        </w:tc>
        <w:tc>
          <w:tcPr>
            <w:tcW w:w="475" w:type="dxa"/>
            <w:tcBorders>
              <w:top w:val="single" w:sz="4" w:space="0" w:color="000000"/>
              <w:left w:val="nil"/>
              <w:bottom w:val="nil"/>
              <w:right w:val="nil"/>
            </w:tcBorders>
          </w:tcPr>
          <w:p w:rsidR="00C06930" w:rsidRDefault="00C06930" w:rsidP="00C06930">
            <w:pPr>
              <w:spacing w:line="259" w:lineRule="auto"/>
              <w:ind w:right="86"/>
              <w:jc w:val="right"/>
            </w:pPr>
            <w:r>
              <w:rPr>
                <w:sz w:val="14"/>
              </w:rPr>
              <w:t xml:space="preserve">7 </w:t>
            </w:r>
          </w:p>
        </w:tc>
        <w:tc>
          <w:tcPr>
            <w:tcW w:w="794" w:type="dxa"/>
            <w:tcBorders>
              <w:top w:val="single" w:sz="4" w:space="0" w:color="000000"/>
              <w:left w:val="nil"/>
              <w:bottom w:val="nil"/>
              <w:right w:val="nil"/>
            </w:tcBorders>
            <w:shd w:val="clear" w:color="auto" w:fill="F2F2F2"/>
          </w:tcPr>
          <w:p w:rsidR="00C06930" w:rsidRDefault="00C06930" w:rsidP="00C06930">
            <w:pPr>
              <w:spacing w:after="160" w:line="259" w:lineRule="auto"/>
            </w:pPr>
          </w:p>
        </w:tc>
        <w:tc>
          <w:tcPr>
            <w:tcW w:w="923" w:type="dxa"/>
            <w:tcBorders>
              <w:top w:val="single" w:sz="4" w:space="0" w:color="000000"/>
              <w:left w:val="nil"/>
              <w:bottom w:val="nil"/>
              <w:right w:val="nil"/>
            </w:tcBorders>
          </w:tcPr>
          <w:p w:rsidR="00C06930" w:rsidRDefault="00C06930" w:rsidP="00C06930">
            <w:pPr>
              <w:spacing w:after="160" w:line="259" w:lineRule="auto"/>
            </w:pPr>
          </w:p>
        </w:tc>
        <w:tc>
          <w:tcPr>
            <w:tcW w:w="665" w:type="dxa"/>
            <w:tcBorders>
              <w:top w:val="single" w:sz="4" w:space="0" w:color="000000"/>
              <w:left w:val="nil"/>
              <w:bottom w:val="nil"/>
              <w:right w:val="nil"/>
            </w:tcBorders>
          </w:tcPr>
          <w:p w:rsidR="00C06930" w:rsidRDefault="00C06930" w:rsidP="00C06930">
            <w:pPr>
              <w:spacing w:after="160" w:line="259" w:lineRule="auto"/>
            </w:pPr>
          </w:p>
        </w:tc>
      </w:tr>
      <w:tr w:rsidR="00C06930" w:rsidTr="00C06930">
        <w:trPr>
          <w:trHeight w:val="220"/>
        </w:trPr>
        <w:tc>
          <w:tcPr>
            <w:tcW w:w="7349" w:type="dxa"/>
            <w:tcBorders>
              <w:top w:val="nil"/>
              <w:left w:val="nil"/>
              <w:bottom w:val="nil"/>
              <w:right w:val="nil"/>
            </w:tcBorders>
          </w:tcPr>
          <w:p w:rsidR="00C06930" w:rsidRDefault="00C06930" w:rsidP="00C06930">
            <w:pPr>
              <w:spacing w:line="259" w:lineRule="auto"/>
            </w:pPr>
            <w:r>
              <w:t xml:space="preserve">Basic earnings per share (€) </w:t>
            </w:r>
          </w:p>
        </w:tc>
        <w:tc>
          <w:tcPr>
            <w:tcW w:w="475" w:type="dxa"/>
            <w:tcBorders>
              <w:top w:val="nil"/>
              <w:left w:val="nil"/>
              <w:bottom w:val="nil"/>
              <w:right w:val="nil"/>
            </w:tcBorders>
          </w:tcPr>
          <w:p w:rsidR="00C06930" w:rsidRDefault="00C06930" w:rsidP="00C06930">
            <w:pPr>
              <w:spacing w:after="160" w:line="259" w:lineRule="auto"/>
            </w:pPr>
          </w:p>
        </w:tc>
        <w:tc>
          <w:tcPr>
            <w:tcW w:w="794" w:type="dxa"/>
            <w:tcBorders>
              <w:top w:val="nil"/>
              <w:left w:val="nil"/>
              <w:bottom w:val="nil"/>
              <w:right w:val="nil"/>
            </w:tcBorders>
            <w:shd w:val="clear" w:color="auto" w:fill="F2F2F2"/>
          </w:tcPr>
          <w:p w:rsidR="00C06930" w:rsidRDefault="00C06930" w:rsidP="00C06930">
            <w:pPr>
              <w:spacing w:line="259" w:lineRule="auto"/>
              <w:ind w:right="86"/>
              <w:jc w:val="right"/>
            </w:pPr>
            <w:r>
              <w:rPr>
                <w:b/>
              </w:rPr>
              <w:t xml:space="preserve">3.50 </w:t>
            </w:r>
          </w:p>
        </w:tc>
        <w:tc>
          <w:tcPr>
            <w:tcW w:w="923" w:type="dxa"/>
            <w:tcBorders>
              <w:top w:val="nil"/>
              <w:left w:val="nil"/>
              <w:bottom w:val="nil"/>
              <w:right w:val="nil"/>
            </w:tcBorders>
          </w:tcPr>
          <w:p w:rsidR="00C06930" w:rsidRDefault="00C06930" w:rsidP="00C06930">
            <w:pPr>
              <w:spacing w:line="259" w:lineRule="auto"/>
              <w:ind w:left="408"/>
            </w:pPr>
            <w:r>
              <w:t xml:space="preserve">2.16 </w:t>
            </w:r>
          </w:p>
        </w:tc>
        <w:tc>
          <w:tcPr>
            <w:tcW w:w="665" w:type="dxa"/>
            <w:tcBorders>
              <w:top w:val="nil"/>
              <w:left w:val="nil"/>
              <w:bottom w:val="nil"/>
              <w:right w:val="nil"/>
            </w:tcBorders>
          </w:tcPr>
          <w:p w:rsidR="00C06930" w:rsidRDefault="00C06930" w:rsidP="00C06930">
            <w:pPr>
              <w:spacing w:line="259" w:lineRule="auto"/>
              <w:ind w:right="86"/>
              <w:jc w:val="right"/>
            </w:pPr>
            <w:r>
              <w:t xml:space="preserve">1.83 </w:t>
            </w:r>
          </w:p>
        </w:tc>
      </w:tr>
      <w:tr w:rsidR="00C06930" w:rsidTr="00C06930">
        <w:trPr>
          <w:trHeight w:val="225"/>
        </w:trPr>
        <w:tc>
          <w:tcPr>
            <w:tcW w:w="7349" w:type="dxa"/>
            <w:tcBorders>
              <w:top w:val="nil"/>
              <w:left w:val="nil"/>
              <w:bottom w:val="single" w:sz="4" w:space="0" w:color="000000"/>
              <w:right w:val="nil"/>
            </w:tcBorders>
          </w:tcPr>
          <w:p w:rsidR="00C06930" w:rsidRDefault="00C06930" w:rsidP="00C06930">
            <w:pPr>
              <w:spacing w:line="259" w:lineRule="auto"/>
            </w:pPr>
            <w:r>
              <w:t xml:space="preserve">Diluted earnings per share (€) </w:t>
            </w:r>
          </w:p>
        </w:tc>
        <w:tc>
          <w:tcPr>
            <w:tcW w:w="475" w:type="dxa"/>
            <w:tcBorders>
              <w:top w:val="nil"/>
              <w:left w:val="nil"/>
              <w:bottom w:val="single" w:sz="4" w:space="0" w:color="000000"/>
              <w:right w:val="nil"/>
            </w:tcBorders>
          </w:tcPr>
          <w:p w:rsidR="00C06930" w:rsidRDefault="00C06930" w:rsidP="00C06930">
            <w:pPr>
              <w:spacing w:after="160" w:line="259" w:lineRule="auto"/>
            </w:pPr>
          </w:p>
        </w:tc>
        <w:tc>
          <w:tcPr>
            <w:tcW w:w="794" w:type="dxa"/>
            <w:tcBorders>
              <w:top w:val="nil"/>
              <w:left w:val="nil"/>
              <w:bottom w:val="single" w:sz="4" w:space="0" w:color="000000"/>
              <w:right w:val="nil"/>
            </w:tcBorders>
            <w:shd w:val="clear" w:color="auto" w:fill="F2F2F2"/>
          </w:tcPr>
          <w:p w:rsidR="00C06930" w:rsidRDefault="00C06930" w:rsidP="00C06930">
            <w:pPr>
              <w:spacing w:line="259" w:lineRule="auto"/>
              <w:ind w:right="86"/>
              <w:jc w:val="right"/>
            </w:pPr>
            <w:r>
              <w:rPr>
                <w:b/>
              </w:rPr>
              <w:t xml:space="preserve">3.48 </w:t>
            </w:r>
          </w:p>
        </w:tc>
        <w:tc>
          <w:tcPr>
            <w:tcW w:w="923" w:type="dxa"/>
            <w:tcBorders>
              <w:top w:val="nil"/>
              <w:left w:val="nil"/>
              <w:bottom w:val="single" w:sz="4" w:space="0" w:color="000000"/>
              <w:right w:val="nil"/>
            </w:tcBorders>
          </w:tcPr>
          <w:p w:rsidR="00C06930" w:rsidRDefault="00C06930" w:rsidP="00C06930">
            <w:pPr>
              <w:spacing w:line="259" w:lineRule="auto"/>
              <w:ind w:left="408"/>
            </w:pPr>
            <w:r>
              <w:t xml:space="preserve">2.15 </w:t>
            </w:r>
          </w:p>
        </w:tc>
        <w:tc>
          <w:tcPr>
            <w:tcW w:w="665" w:type="dxa"/>
            <w:tcBorders>
              <w:top w:val="nil"/>
              <w:left w:val="nil"/>
              <w:bottom w:val="single" w:sz="4" w:space="0" w:color="000000"/>
              <w:right w:val="nil"/>
            </w:tcBorders>
          </w:tcPr>
          <w:p w:rsidR="00C06930" w:rsidRDefault="00C06930" w:rsidP="00C06930">
            <w:pPr>
              <w:spacing w:line="259" w:lineRule="auto"/>
              <w:ind w:right="86"/>
              <w:jc w:val="right"/>
            </w:pPr>
            <w:r>
              <w:t xml:space="preserve">1.82 </w:t>
            </w:r>
          </w:p>
        </w:tc>
      </w:tr>
    </w:tbl>
    <w:p w:rsidR="00C06930" w:rsidRDefault="00C06930" w:rsidP="0073699A">
      <w:pPr>
        <w:jc w:val="both"/>
        <w:rPr>
          <w:sz w:val="24"/>
          <w:szCs w:val="24"/>
        </w:rPr>
      </w:pPr>
    </w:p>
    <w:p w:rsidR="00941306" w:rsidRDefault="00941306" w:rsidP="0073699A">
      <w:pPr>
        <w:jc w:val="both"/>
        <w:rPr>
          <w:sz w:val="24"/>
          <w:szCs w:val="24"/>
        </w:rPr>
      </w:pPr>
    </w:p>
    <w:p w:rsidR="00C06930" w:rsidRDefault="00C06930" w:rsidP="00C06930">
      <w:pPr>
        <w:jc w:val="both"/>
        <w:rPr>
          <w:sz w:val="24"/>
          <w:szCs w:val="24"/>
        </w:rPr>
      </w:pPr>
      <w:r>
        <w:rPr>
          <w:sz w:val="24"/>
          <w:szCs w:val="24"/>
        </w:rPr>
        <w:t>Unilever Group Balance Sheets 2014 – 2018</w:t>
      </w:r>
    </w:p>
    <w:p w:rsidR="00941306" w:rsidRPr="00941306" w:rsidRDefault="00941306" w:rsidP="00941306">
      <w:pPr>
        <w:rPr>
          <w:b/>
          <w:sz w:val="24"/>
          <w:szCs w:val="24"/>
        </w:rPr>
      </w:pPr>
      <w:r w:rsidRPr="00941306">
        <w:rPr>
          <w:b/>
          <w:sz w:val="24"/>
          <w:szCs w:val="24"/>
        </w:rPr>
        <w:t>CONSOLIDATED BALANCE SHEET</w:t>
      </w:r>
    </w:p>
    <w:p w:rsidR="00941306" w:rsidRDefault="00941306" w:rsidP="00941306">
      <w:pPr>
        <w:spacing w:after="152"/>
        <w:ind w:left="-5" w:right="42"/>
      </w:pPr>
      <w:r>
        <w:lastRenderedPageBreak/>
        <w:t>as at 31 December</w:t>
      </w:r>
    </w:p>
    <w:p w:rsidR="00941306" w:rsidRDefault="00941306" w:rsidP="00941306">
      <w:pPr>
        <w:tabs>
          <w:tab w:val="center" w:pos="8328"/>
          <w:tab w:val="center" w:pos="9214"/>
        </w:tabs>
        <w:spacing w:after="3" w:line="265" w:lineRule="auto"/>
        <w:ind w:right="-1"/>
      </w:pPr>
      <w:r>
        <w:tab/>
      </w:r>
      <w:r>
        <w:rPr>
          <w:b/>
          <w:sz w:val="14"/>
        </w:rPr>
        <w:t>€ million</w:t>
      </w:r>
      <w:r>
        <w:rPr>
          <w:b/>
          <w:sz w:val="14"/>
        </w:rPr>
        <w:tab/>
      </w:r>
      <w:r>
        <w:rPr>
          <w:sz w:val="14"/>
        </w:rPr>
        <w:t>€ million</w:t>
      </w:r>
    </w:p>
    <w:p w:rsidR="00941306" w:rsidRDefault="00941306" w:rsidP="00941306">
      <w:pPr>
        <w:tabs>
          <w:tab w:val="center" w:pos="7441"/>
          <w:tab w:val="center" w:pos="8453"/>
          <w:tab w:val="center" w:pos="9338"/>
        </w:tabs>
        <w:spacing w:after="4" w:line="267" w:lineRule="auto"/>
      </w:pPr>
      <w:r>
        <w:tab/>
      </w:r>
      <w:r>
        <w:rPr>
          <w:sz w:val="14"/>
        </w:rPr>
        <w:t>Notes</w:t>
      </w:r>
      <w:r>
        <w:rPr>
          <w:sz w:val="14"/>
        </w:rPr>
        <w:tab/>
      </w:r>
      <w:r>
        <w:rPr>
          <w:b/>
          <w:sz w:val="14"/>
        </w:rPr>
        <w:t>2015</w:t>
      </w:r>
      <w:r>
        <w:rPr>
          <w:b/>
          <w:sz w:val="14"/>
        </w:rPr>
        <w:tab/>
      </w:r>
      <w:r>
        <w:rPr>
          <w:sz w:val="14"/>
        </w:rPr>
        <w:t>2014</w:t>
      </w:r>
    </w:p>
    <w:tbl>
      <w:tblPr>
        <w:tblStyle w:val="TableGrid0"/>
        <w:tblW w:w="9921" w:type="dxa"/>
        <w:tblInd w:w="0" w:type="dxa"/>
        <w:tblCellMar>
          <w:right w:w="119" w:type="dxa"/>
        </w:tblCellMar>
        <w:tblLook w:val="04A0" w:firstRow="1" w:lastRow="0" w:firstColumn="1" w:lastColumn="0" w:noHBand="0" w:noVBand="1"/>
      </w:tblPr>
      <w:tblGrid>
        <w:gridCol w:w="7549"/>
        <w:gridCol w:w="613"/>
        <w:gridCol w:w="880"/>
        <w:gridCol w:w="879"/>
      </w:tblGrid>
      <w:tr w:rsidR="00941306" w:rsidTr="00CC480D">
        <w:trPr>
          <w:trHeight w:val="591"/>
        </w:trPr>
        <w:tc>
          <w:tcPr>
            <w:tcW w:w="7551" w:type="dxa"/>
            <w:tcBorders>
              <w:top w:val="single" w:sz="6" w:space="0" w:color="000000"/>
              <w:left w:val="nil"/>
              <w:bottom w:val="nil"/>
              <w:right w:val="nil"/>
            </w:tcBorders>
          </w:tcPr>
          <w:p w:rsidR="00941306" w:rsidRDefault="00941306" w:rsidP="00CC480D">
            <w:pPr>
              <w:spacing w:line="259" w:lineRule="auto"/>
            </w:pPr>
            <w:r>
              <w:rPr>
                <w:b/>
                <w:sz w:val="16"/>
              </w:rPr>
              <w:t>Assets</w:t>
            </w:r>
          </w:p>
          <w:p w:rsidR="00941306" w:rsidRDefault="00941306" w:rsidP="00CC480D">
            <w:pPr>
              <w:spacing w:line="259" w:lineRule="auto"/>
            </w:pPr>
            <w:r>
              <w:rPr>
                <w:b/>
                <w:color w:val="636362"/>
                <w:sz w:val="16"/>
              </w:rPr>
              <w:t>Non-current assets</w:t>
            </w:r>
          </w:p>
          <w:p w:rsidR="00941306" w:rsidRDefault="00941306" w:rsidP="00CC480D">
            <w:pPr>
              <w:spacing w:line="259" w:lineRule="auto"/>
            </w:pPr>
            <w:r>
              <w:rPr>
                <w:sz w:val="16"/>
              </w:rPr>
              <w:t>Goodwill</w:t>
            </w:r>
          </w:p>
        </w:tc>
        <w:tc>
          <w:tcPr>
            <w:tcW w:w="613" w:type="dxa"/>
            <w:tcBorders>
              <w:top w:val="single" w:sz="6" w:space="0" w:color="000000"/>
              <w:left w:val="nil"/>
              <w:bottom w:val="nil"/>
              <w:right w:val="nil"/>
            </w:tcBorders>
            <w:vAlign w:val="bottom"/>
          </w:tcPr>
          <w:p w:rsidR="00941306" w:rsidRDefault="00941306" w:rsidP="00CC480D">
            <w:pPr>
              <w:spacing w:line="259" w:lineRule="auto"/>
              <w:ind w:left="139"/>
            </w:pPr>
            <w:r>
              <w:rPr>
                <w:sz w:val="14"/>
              </w:rPr>
              <w:t>9</w:t>
            </w:r>
          </w:p>
        </w:tc>
        <w:tc>
          <w:tcPr>
            <w:tcW w:w="879" w:type="dxa"/>
            <w:tcBorders>
              <w:top w:val="single" w:sz="6" w:space="0" w:color="000000"/>
              <w:left w:val="nil"/>
              <w:bottom w:val="nil"/>
              <w:right w:val="nil"/>
            </w:tcBorders>
            <w:shd w:val="clear" w:color="auto" w:fill="F0F0F0"/>
            <w:vAlign w:val="bottom"/>
          </w:tcPr>
          <w:p w:rsidR="00941306" w:rsidRDefault="00941306" w:rsidP="00CC480D">
            <w:pPr>
              <w:spacing w:line="259" w:lineRule="auto"/>
              <w:ind w:left="214"/>
              <w:jc w:val="center"/>
            </w:pPr>
            <w:r>
              <w:rPr>
                <w:b/>
                <w:sz w:val="16"/>
              </w:rPr>
              <w:t>16,213</w:t>
            </w:r>
          </w:p>
        </w:tc>
        <w:tc>
          <w:tcPr>
            <w:tcW w:w="879" w:type="dxa"/>
            <w:tcBorders>
              <w:top w:val="single" w:sz="6" w:space="0" w:color="000000"/>
              <w:left w:val="nil"/>
              <w:bottom w:val="nil"/>
              <w:right w:val="nil"/>
            </w:tcBorders>
            <w:vAlign w:val="bottom"/>
          </w:tcPr>
          <w:p w:rsidR="00941306" w:rsidRDefault="00941306" w:rsidP="00CC480D">
            <w:pPr>
              <w:spacing w:line="259" w:lineRule="auto"/>
              <w:ind w:left="187"/>
              <w:jc w:val="center"/>
            </w:pPr>
            <w:r>
              <w:rPr>
                <w:sz w:val="16"/>
              </w:rPr>
              <w:t xml:space="preserve"> 14,642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Intangible assets</w:t>
            </w:r>
          </w:p>
        </w:tc>
        <w:tc>
          <w:tcPr>
            <w:tcW w:w="613" w:type="dxa"/>
            <w:tcBorders>
              <w:top w:val="nil"/>
              <w:left w:val="nil"/>
              <w:bottom w:val="nil"/>
              <w:right w:val="nil"/>
            </w:tcBorders>
          </w:tcPr>
          <w:p w:rsidR="00941306" w:rsidRDefault="00941306" w:rsidP="00CC480D">
            <w:pPr>
              <w:spacing w:line="259" w:lineRule="auto"/>
              <w:ind w:left="139"/>
            </w:pPr>
            <w:r>
              <w:rPr>
                <w:sz w:val="14"/>
              </w:rPr>
              <w:t>9</w:t>
            </w:r>
          </w:p>
        </w:tc>
        <w:tc>
          <w:tcPr>
            <w:tcW w:w="879" w:type="dxa"/>
            <w:tcBorders>
              <w:top w:val="nil"/>
              <w:left w:val="nil"/>
              <w:bottom w:val="nil"/>
              <w:right w:val="nil"/>
            </w:tcBorders>
            <w:shd w:val="clear" w:color="auto" w:fill="F0F0F0"/>
          </w:tcPr>
          <w:p w:rsidR="00941306" w:rsidRDefault="00941306" w:rsidP="00CC480D">
            <w:pPr>
              <w:spacing w:line="259" w:lineRule="auto"/>
              <w:ind w:left="322"/>
            </w:pPr>
            <w:r>
              <w:rPr>
                <w:b/>
                <w:sz w:val="16"/>
              </w:rPr>
              <w:t>8,846</w:t>
            </w:r>
          </w:p>
        </w:tc>
        <w:tc>
          <w:tcPr>
            <w:tcW w:w="879" w:type="dxa"/>
            <w:tcBorders>
              <w:top w:val="nil"/>
              <w:left w:val="nil"/>
              <w:bottom w:val="nil"/>
              <w:right w:val="nil"/>
            </w:tcBorders>
          </w:tcPr>
          <w:p w:rsidR="00941306" w:rsidRDefault="00941306" w:rsidP="00CC480D">
            <w:pPr>
              <w:spacing w:line="259" w:lineRule="auto"/>
              <w:ind w:left="321"/>
            </w:pPr>
            <w:r>
              <w:rPr>
                <w:sz w:val="16"/>
              </w:rPr>
              <w:t xml:space="preserve"> 7,532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Property, plant and equipment</w:t>
            </w:r>
          </w:p>
        </w:tc>
        <w:tc>
          <w:tcPr>
            <w:tcW w:w="613" w:type="dxa"/>
            <w:tcBorders>
              <w:top w:val="nil"/>
              <w:left w:val="nil"/>
              <w:bottom w:val="nil"/>
              <w:right w:val="nil"/>
            </w:tcBorders>
          </w:tcPr>
          <w:p w:rsidR="00941306" w:rsidRDefault="00941306" w:rsidP="00CC480D">
            <w:pPr>
              <w:spacing w:line="259" w:lineRule="auto"/>
              <w:ind w:left="107"/>
            </w:pPr>
            <w:r>
              <w:rPr>
                <w:sz w:val="14"/>
              </w:rPr>
              <w:t>10</w:t>
            </w:r>
          </w:p>
        </w:tc>
        <w:tc>
          <w:tcPr>
            <w:tcW w:w="879" w:type="dxa"/>
            <w:tcBorders>
              <w:top w:val="nil"/>
              <w:left w:val="nil"/>
              <w:bottom w:val="nil"/>
              <w:right w:val="nil"/>
            </w:tcBorders>
            <w:shd w:val="clear" w:color="auto" w:fill="F0F0F0"/>
          </w:tcPr>
          <w:p w:rsidR="00941306" w:rsidRDefault="00941306" w:rsidP="00CC480D">
            <w:pPr>
              <w:spacing w:line="259" w:lineRule="auto"/>
              <w:ind w:left="214"/>
              <w:jc w:val="center"/>
            </w:pPr>
            <w:r>
              <w:rPr>
                <w:b/>
                <w:sz w:val="16"/>
              </w:rPr>
              <w:t>11,058</w:t>
            </w:r>
          </w:p>
        </w:tc>
        <w:tc>
          <w:tcPr>
            <w:tcW w:w="879" w:type="dxa"/>
            <w:tcBorders>
              <w:top w:val="nil"/>
              <w:left w:val="nil"/>
              <w:bottom w:val="nil"/>
              <w:right w:val="nil"/>
            </w:tcBorders>
          </w:tcPr>
          <w:p w:rsidR="00941306" w:rsidRDefault="00941306" w:rsidP="00CC480D">
            <w:pPr>
              <w:spacing w:line="259" w:lineRule="auto"/>
              <w:ind w:left="196"/>
              <w:jc w:val="center"/>
            </w:pPr>
            <w:r>
              <w:rPr>
                <w:sz w:val="16"/>
              </w:rPr>
              <w:t xml:space="preserve"> 10,472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Pension asset for funded schemes in surplus</w:t>
            </w:r>
          </w:p>
        </w:tc>
        <w:tc>
          <w:tcPr>
            <w:tcW w:w="613" w:type="dxa"/>
            <w:tcBorders>
              <w:top w:val="nil"/>
              <w:left w:val="nil"/>
              <w:bottom w:val="nil"/>
              <w:right w:val="nil"/>
            </w:tcBorders>
          </w:tcPr>
          <w:p w:rsidR="00941306" w:rsidRDefault="00941306" w:rsidP="00CC480D">
            <w:pPr>
              <w:spacing w:line="259" w:lineRule="auto"/>
              <w:ind w:left="93"/>
            </w:pPr>
            <w:r>
              <w:rPr>
                <w:sz w:val="14"/>
              </w:rPr>
              <w:t>4B</w:t>
            </w:r>
          </w:p>
        </w:tc>
        <w:tc>
          <w:tcPr>
            <w:tcW w:w="879" w:type="dxa"/>
            <w:tcBorders>
              <w:top w:val="nil"/>
              <w:left w:val="nil"/>
              <w:bottom w:val="nil"/>
              <w:right w:val="nil"/>
            </w:tcBorders>
            <w:shd w:val="clear" w:color="auto" w:fill="F0F0F0"/>
          </w:tcPr>
          <w:p w:rsidR="00941306" w:rsidRDefault="00941306" w:rsidP="00CC480D">
            <w:pPr>
              <w:spacing w:line="259" w:lineRule="auto"/>
              <w:ind w:left="453"/>
            </w:pPr>
            <w:r>
              <w:rPr>
                <w:b/>
                <w:sz w:val="16"/>
              </w:rPr>
              <w:t>934</w:t>
            </w:r>
          </w:p>
        </w:tc>
        <w:tc>
          <w:tcPr>
            <w:tcW w:w="879" w:type="dxa"/>
            <w:tcBorders>
              <w:top w:val="nil"/>
              <w:left w:val="nil"/>
              <w:bottom w:val="nil"/>
              <w:right w:val="nil"/>
            </w:tcBorders>
          </w:tcPr>
          <w:p w:rsidR="00941306" w:rsidRDefault="00941306" w:rsidP="00CC480D">
            <w:pPr>
              <w:spacing w:line="259" w:lineRule="auto"/>
              <w:ind w:left="443"/>
            </w:pPr>
            <w:r>
              <w:rPr>
                <w:sz w:val="16"/>
              </w:rPr>
              <w:t xml:space="preserve"> 376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Deferred tax assets</w:t>
            </w:r>
          </w:p>
        </w:tc>
        <w:tc>
          <w:tcPr>
            <w:tcW w:w="613" w:type="dxa"/>
            <w:tcBorders>
              <w:top w:val="nil"/>
              <w:left w:val="nil"/>
              <w:bottom w:val="nil"/>
              <w:right w:val="nil"/>
            </w:tcBorders>
          </w:tcPr>
          <w:p w:rsidR="00941306" w:rsidRDefault="00941306" w:rsidP="00CC480D">
            <w:pPr>
              <w:spacing w:line="259" w:lineRule="auto"/>
              <w:ind w:left="94"/>
            </w:pPr>
            <w:r>
              <w:rPr>
                <w:sz w:val="14"/>
              </w:rPr>
              <w:t>6B</w:t>
            </w:r>
          </w:p>
        </w:tc>
        <w:tc>
          <w:tcPr>
            <w:tcW w:w="879" w:type="dxa"/>
            <w:tcBorders>
              <w:top w:val="nil"/>
              <w:left w:val="nil"/>
              <w:bottom w:val="nil"/>
              <w:right w:val="nil"/>
            </w:tcBorders>
            <w:shd w:val="clear" w:color="auto" w:fill="F0F0F0"/>
          </w:tcPr>
          <w:p w:rsidR="00941306" w:rsidRDefault="00941306" w:rsidP="00CC480D">
            <w:pPr>
              <w:spacing w:line="259" w:lineRule="auto"/>
              <w:ind w:left="352"/>
            </w:pPr>
            <w:r>
              <w:rPr>
                <w:b/>
                <w:sz w:val="16"/>
              </w:rPr>
              <w:t>1,185</w:t>
            </w:r>
          </w:p>
        </w:tc>
        <w:tc>
          <w:tcPr>
            <w:tcW w:w="879" w:type="dxa"/>
            <w:tcBorders>
              <w:top w:val="nil"/>
              <w:left w:val="nil"/>
              <w:bottom w:val="nil"/>
              <w:right w:val="nil"/>
            </w:tcBorders>
          </w:tcPr>
          <w:p w:rsidR="00941306" w:rsidRDefault="00941306" w:rsidP="00CC480D">
            <w:pPr>
              <w:spacing w:line="259" w:lineRule="auto"/>
              <w:ind w:left="315"/>
            </w:pPr>
            <w:r>
              <w:rPr>
                <w:sz w:val="16"/>
              </w:rPr>
              <w:t xml:space="preserve"> 1,286 </w:t>
            </w:r>
          </w:p>
        </w:tc>
      </w:tr>
      <w:tr w:rsidR="00941306" w:rsidTr="00CC480D">
        <w:trPr>
          <w:trHeight w:val="185"/>
        </w:trPr>
        <w:tc>
          <w:tcPr>
            <w:tcW w:w="7551" w:type="dxa"/>
            <w:tcBorders>
              <w:top w:val="nil"/>
              <w:left w:val="nil"/>
              <w:bottom w:val="nil"/>
              <w:right w:val="nil"/>
            </w:tcBorders>
          </w:tcPr>
          <w:p w:rsidR="00941306" w:rsidRDefault="00941306" w:rsidP="00CC480D">
            <w:pPr>
              <w:spacing w:line="259" w:lineRule="auto"/>
            </w:pPr>
            <w:r>
              <w:rPr>
                <w:sz w:val="16"/>
              </w:rPr>
              <w:t>Financial assets</w:t>
            </w:r>
          </w:p>
        </w:tc>
        <w:tc>
          <w:tcPr>
            <w:tcW w:w="613" w:type="dxa"/>
            <w:tcBorders>
              <w:top w:val="nil"/>
              <w:left w:val="nil"/>
              <w:bottom w:val="nil"/>
              <w:right w:val="nil"/>
            </w:tcBorders>
          </w:tcPr>
          <w:p w:rsidR="00941306" w:rsidRDefault="00941306" w:rsidP="00CC480D">
            <w:pPr>
              <w:spacing w:line="259" w:lineRule="auto"/>
              <w:ind w:left="71"/>
            </w:pPr>
            <w:r>
              <w:rPr>
                <w:sz w:val="14"/>
              </w:rPr>
              <w:t>17A</w:t>
            </w:r>
          </w:p>
        </w:tc>
        <w:tc>
          <w:tcPr>
            <w:tcW w:w="879" w:type="dxa"/>
            <w:tcBorders>
              <w:top w:val="nil"/>
              <w:left w:val="nil"/>
              <w:bottom w:val="nil"/>
              <w:right w:val="nil"/>
            </w:tcBorders>
            <w:shd w:val="clear" w:color="auto" w:fill="F0F0F0"/>
          </w:tcPr>
          <w:p w:rsidR="00941306" w:rsidRDefault="00941306" w:rsidP="00CC480D">
            <w:pPr>
              <w:spacing w:line="259" w:lineRule="auto"/>
              <w:ind w:left="456"/>
            </w:pPr>
            <w:r>
              <w:rPr>
                <w:b/>
                <w:sz w:val="16"/>
              </w:rPr>
              <w:t>605</w:t>
            </w:r>
          </w:p>
        </w:tc>
        <w:tc>
          <w:tcPr>
            <w:tcW w:w="879" w:type="dxa"/>
            <w:tcBorders>
              <w:top w:val="nil"/>
              <w:left w:val="nil"/>
              <w:bottom w:val="nil"/>
              <w:right w:val="nil"/>
            </w:tcBorders>
          </w:tcPr>
          <w:p w:rsidR="00941306" w:rsidRDefault="00941306" w:rsidP="00CC480D">
            <w:pPr>
              <w:spacing w:line="259" w:lineRule="auto"/>
              <w:ind w:left="445"/>
            </w:pPr>
            <w:r>
              <w:rPr>
                <w:sz w:val="16"/>
              </w:rPr>
              <w:t xml:space="preserve"> 715 </w:t>
            </w:r>
          </w:p>
        </w:tc>
      </w:tr>
      <w:tr w:rsidR="00941306" w:rsidTr="00CC480D">
        <w:trPr>
          <w:trHeight w:val="252"/>
        </w:trPr>
        <w:tc>
          <w:tcPr>
            <w:tcW w:w="7551" w:type="dxa"/>
            <w:vMerge w:val="restart"/>
            <w:tcBorders>
              <w:top w:val="nil"/>
              <w:left w:val="nil"/>
              <w:bottom w:val="nil"/>
              <w:right w:val="nil"/>
            </w:tcBorders>
          </w:tcPr>
          <w:p w:rsidR="00941306" w:rsidRDefault="00941306" w:rsidP="00CC480D">
            <w:pPr>
              <w:spacing w:after="369" w:line="259" w:lineRule="auto"/>
            </w:pPr>
            <w:r>
              <w:rPr>
                <w:sz w:val="16"/>
              </w:rPr>
              <w:t>Other non-current assets</w:t>
            </w:r>
          </w:p>
          <w:p w:rsidR="00941306" w:rsidRDefault="00941306" w:rsidP="00CC480D">
            <w:pPr>
              <w:spacing w:line="259" w:lineRule="auto"/>
            </w:pPr>
            <w:r>
              <w:rPr>
                <w:b/>
                <w:color w:val="636362"/>
                <w:sz w:val="16"/>
              </w:rPr>
              <w:t>Current assets</w:t>
            </w:r>
          </w:p>
          <w:p w:rsidR="00941306" w:rsidRDefault="00941306" w:rsidP="00CC480D">
            <w:pPr>
              <w:spacing w:line="259" w:lineRule="auto"/>
            </w:pPr>
            <w:r>
              <w:rPr>
                <w:sz w:val="16"/>
              </w:rPr>
              <w:t>Inventories</w:t>
            </w:r>
          </w:p>
        </w:tc>
        <w:tc>
          <w:tcPr>
            <w:tcW w:w="613" w:type="dxa"/>
            <w:vMerge w:val="restart"/>
            <w:tcBorders>
              <w:top w:val="nil"/>
              <w:left w:val="nil"/>
              <w:bottom w:val="nil"/>
              <w:right w:val="nil"/>
            </w:tcBorders>
          </w:tcPr>
          <w:p w:rsidR="00941306" w:rsidRDefault="00941306" w:rsidP="00CC480D">
            <w:pPr>
              <w:spacing w:after="582" w:line="259" w:lineRule="auto"/>
              <w:ind w:left="109"/>
            </w:pPr>
            <w:r>
              <w:rPr>
                <w:sz w:val="14"/>
              </w:rPr>
              <w:t>11</w:t>
            </w:r>
          </w:p>
          <w:p w:rsidR="00941306" w:rsidRDefault="00941306" w:rsidP="00CC480D">
            <w:pPr>
              <w:spacing w:line="259" w:lineRule="auto"/>
              <w:ind w:left="107"/>
            </w:pPr>
            <w:r>
              <w:rPr>
                <w:sz w:val="14"/>
              </w:rPr>
              <w:t>12</w:t>
            </w:r>
          </w:p>
        </w:tc>
        <w:tc>
          <w:tcPr>
            <w:tcW w:w="879" w:type="dxa"/>
            <w:tcBorders>
              <w:top w:val="nil"/>
              <w:left w:val="nil"/>
              <w:bottom w:val="single" w:sz="2" w:space="0" w:color="000000"/>
              <w:right w:val="nil"/>
            </w:tcBorders>
            <w:shd w:val="clear" w:color="auto" w:fill="F0F0F0"/>
          </w:tcPr>
          <w:p w:rsidR="00941306" w:rsidRDefault="00941306" w:rsidP="00CC480D">
            <w:pPr>
              <w:spacing w:line="259" w:lineRule="auto"/>
              <w:ind w:left="457"/>
            </w:pPr>
            <w:r>
              <w:rPr>
                <w:b/>
                <w:sz w:val="16"/>
              </w:rPr>
              <w:t>771</w:t>
            </w:r>
          </w:p>
        </w:tc>
        <w:tc>
          <w:tcPr>
            <w:tcW w:w="879" w:type="dxa"/>
            <w:tcBorders>
              <w:top w:val="nil"/>
              <w:left w:val="nil"/>
              <w:bottom w:val="single" w:sz="2" w:space="0" w:color="000000"/>
              <w:right w:val="nil"/>
            </w:tcBorders>
          </w:tcPr>
          <w:p w:rsidR="00941306" w:rsidRDefault="00941306" w:rsidP="00CC480D">
            <w:pPr>
              <w:spacing w:line="259" w:lineRule="auto"/>
              <w:ind w:left="433"/>
            </w:pPr>
            <w:r>
              <w:rPr>
                <w:sz w:val="16"/>
              </w:rPr>
              <w:t xml:space="preserve"> 657 </w:t>
            </w:r>
          </w:p>
        </w:tc>
      </w:tr>
      <w:tr w:rsidR="00941306" w:rsidTr="00CC480D">
        <w:trPr>
          <w:trHeight w:val="29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single" w:sz="2" w:space="0" w:color="000000"/>
              <w:right w:val="nil"/>
            </w:tcBorders>
            <w:shd w:val="clear" w:color="auto" w:fill="F0F0F0"/>
          </w:tcPr>
          <w:p w:rsidR="00941306" w:rsidRDefault="00941306" w:rsidP="00CC480D">
            <w:pPr>
              <w:spacing w:line="259" w:lineRule="auto"/>
              <w:ind w:left="226"/>
              <w:jc w:val="center"/>
            </w:pPr>
            <w:r>
              <w:rPr>
                <w:b/>
                <w:sz w:val="16"/>
              </w:rPr>
              <w:t>39,612</w:t>
            </w:r>
          </w:p>
        </w:tc>
        <w:tc>
          <w:tcPr>
            <w:tcW w:w="879" w:type="dxa"/>
            <w:tcBorders>
              <w:top w:val="single" w:sz="2" w:space="0" w:color="000000"/>
              <w:left w:val="nil"/>
              <w:bottom w:val="single" w:sz="2" w:space="0" w:color="000000"/>
              <w:right w:val="nil"/>
            </w:tcBorders>
          </w:tcPr>
          <w:p w:rsidR="00941306" w:rsidRDefault="00941306" w:rsidP="00CC480D">
            <w:pPr>
              <w:spacing w:line="259" w:lineRule="auto"/>
              <w:ind w:left="179"/>
              <w:jc w:val="center"/>
            </w:pPr>
            <w:r>
              <w:rPr>
                <w:sz w:val="16"/>
              </w:rPr>
              <w:t xml:space="preserve"> 35,680 </w:t>
            </w:r>
          </w:p>
        </w:tc>
      </w:tr>
      <w:tr w:rsidR="00941306" w:rsidTr="00CC480D">
        <w:trPr>
          <w:trHeight w:val="403"/>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nil"/>
              <w:right w:val="nil"/>
            </w:tcBorders>
            <w:shd w:val="clear" w:color="auto" w:fill="F0F0F0"/>
            <w:vAlign w:val="bottom"/>
          </w:tcPr>
          <w:p w:rsidR="00941306" w:rsidRDefault="00941306" w:rsidP="00CC480D">
            <w:pPr>
              <w:spacing w:line="259" w:lineRule="auto"/>
              <w:ind w:left="323"/>
            </w:pPr>
            <w:r>
              <w:rPr>
                <w:b/>
                <w:sz w:val="16"/>
              </w:rPr>
              <w:t>4,335</w:t>
            </w:r>
          </w:p>
        </w:tc>
        <w:tc>
          <w:tcPr>
            <w:tcW w:w="879" w:type="dxa"/>
            <w:tcBorders>
              <w:top w:val="single" w:sz="2" w:space="0" w:color="000000"/>
              <w:left w:val="nil"/>
              <w:bottom w:val="nil"/>
              <w:right w:val="nil"/>
            </w:tcBorders>
            <w:vAlign w:val="bottom"/>
          </w:tcPr>
          <w:p w:rsidR="00941306" w:rsidRDefault="00941306" w:rsidP="00CC480D">
            <w:pPr>
              <w:spacing w:line="259" w:lineRule="auto"/>
              <w:ind w:left="329"/>
            </w:pPr>
            <w:r>
              <w:rPr>
                <w:sz w:val="16"/>
              </w:rPr>
              <w:t xml:space="preserve"> 4,168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Trade and other current receivables</w:t>
            </w:r>
          </w:p>
        </w:tc>
        <w:tc>
          <w:tcPr>
            <w:tcW w:w="613" w:type="dxa"/>
            <w:tcBorders>
              <w:top w:val="nil"/>
              <w:left w:val="nil"/>
              <w:bottom w:val="nil"/>
              <w:right w:val="nil"/>
            </w:tcBorders>
          </w:tcPr>
          <w:p w:rsidR="00941306" w:rsidRDefault="00941306" w:rsidP="00CC480D">
            <w:pPr>
              <w:spacing w:line="259" w:lineRule="auto"/>
              <w:ind w:left="107"/>
            </w:pPr>
            <w:r>
              <w:rPr>
                <w:sz w:val="14"/>
              </w:rPr>
              <w:t>13</w:t>
            </w:r>
          </w:p>
        </w:tc>
        <w:tc>
          <w:tcPr>
            <w:tcW w:w="879" w:type="dxa"/>
            <w:tcBorders>
              <w:top w:val="nil"/>
              <w:left w:val="nil"/>
              <w:bottom w:val="nil"/>
              <w:right w:val="nil"/>
            </w:tcBorders>
            <w:shd w:val="clear" w:color="auto" w:fill="F0F0F0"/>
          </w:tcPr>
          <w:p w:rsidR="00941306" w:rsidRDefault="00941306" w:rsidP="00CC480D">
            <w:pPr>
              <w:spacing w:line="259" w:lineRule="auto"/>
              <w:ind w:left="322"/>
            </w:pPr>
            <w:r>
              <w:rPr>
                <w:b/>
                <w:sz w:val="16"/>
              </w:rPr>
              <w:t>4,804</w:t>
            </w:r>
          </w:p>
        </w:tc>
        <w:tc>
          <w:tcPr>
            <w:tcW w:w="879" w:type="dxa"/>
            <w:tcBorders>
              <w:top w:val="nil"/>
              <w:left w:val="nil"/>
              <w:bottom w:val="nil"/>
              <w:right w:val="nil"/>
            </w:tcBorders>
          </w:tcPr>
          <w:p w:rsidR="00941306" w:rsidRDefault="00941306" w:rsidP="00CC480D">
            <w:pPr>
              <w:spacing w:line="259" w:lineRule="auto"/>
              <w:ind w:left="310"/>
            </w:pPr>
            <w:r>
              <w:rPr>
                <w:sz w:val="16"/>
              </w:rPr>
              <w:t xml:space="preserve"> 5,029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 xml:space="preserve">Current tax assets </w:t>
            </w:r>
          </w:p>
        </w:tc>
        <w:tc>
          <w:tcPr>
            <w:tcW w:w="613" w:type="dxa"/>
            <w:tcBorders>
              <w:top w:val="nil"/>
              <w:left w:val="nil"/>
              <w:bottom w:val="nil"/>
              <w:right w:val="nil"/>
            </w:tcBorders>
          </w:tcPr>
          <w:p w:rsidR="00941306" w:rsidRDefault="00941306" w:rsidP="00CC480D">
            <w:pPr>
              <w:spacing w:after="160" w:line="259" w:lineRule="auto"/>
            </w:pPr>
          </w:p>
        </w:tc>
        <w:tc>
          <w:tcPr>
            <w:tcW w:w="879" w:type="dxa"/>
            <w:tcBorders>
              <w:top w:val="nil"/>
              <w:left w:val="nil"/>
              <w:bottom w:val="nil"/>
              <w:right w:val="nil"/>
            </w:tcBorders>
            <w:shd w:val="clear" w:color="auto" w:fill="F0F0F0"/>
          </w:tcPr>
          <w:p w:rsidR="00941306" w:rsidRDefault="00941306" w:rsidP="00CC480D">
            <w:pPr>
              <w:spacing w:line="259" w:lineRule="auto"/>
              <w:ind w:left="455"/>
            </w:pPr>
            <w:r>
              <w:rPr>
                <w:b/>
                <w:sz w:val="16"/>
              </w:rPr>
              <w:t>230</w:t>
            </w:r>
          </w:p>
        </w:tc>
        <w:tc>
          <w:tcPr>
            <w:tcW w:w="879" w:type="dxa"/>
            <w:tcBorders>
              <w:top w:val="nil"/>
              <w:left w:val="nil"/>
              <w:bottom w:val="nil"/>
              <w:right w:val="nil"/>
            </w:tcBorders>
          </w:tcPr>
          <w:p w:rsidR="00941306" w:rsidRDefault="00941306" w:rsidP="00CC480D">
            <w:pPr>
              <w:spacing w:line="259" w:lineRule="auto"/>
              <w:ind w:left="435"/>
            </w:pPr>
            <w:r>
              <w:rPr>
                <w:sz w:val="16"/>
              </w:rPr>
              <w:t xml:space="preserve"> 281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Cash and cash equivalents</w:t>
            </w:r>
          </w:p>
        </w:tc>
        <w:tc>
          <w:tcPr>
            <w:tcW w:w="613" w:type="dxa"/>
            <w:tcBorders>
              <w:top w:val="nil"/>
              <w:left w:val="nil"/>
              <w:bottom w:val="nil"/>
              <w:right w:val="nil"/>
            </w:tcBorders>
          </w:tcPr>
          <w:p w:rsidR="00941306" w:rsidRDefault="00941306" w:rsidP="00CC480D">
            <w:pPr>
              <w:spacing w:line="259" w:lineRule="auto"/>
              <w:ind w:left="71"/>
            </w:pPr>
            <w:r>
              <w:rPr>
                <w:sz w:val="14"/>
              </w:rPr>
              <w:t>17A</w:t>
            </w:r>
          </w:p>
        </w:tc>
        <w:tc>
          <w:tcPr>
            <w:tcW w:w="879" w:type="dxa"/>
            <w:tcBorders>
              <w:top w:val="nil"/>
              <w:left w:val="nil"/>
              <w:bottom w:val="nil"/>
              <w:right w:val="nil"/>
            </w:tcBorders>
            <w:shd w:val="clear" w:color="auto" w:fill="F0F0F0"/>
          </w:tcPr>
          <w:p w:rsidR="00941306" w:rsidRDefault="00941306" w:rsidP="00CC480D">
            <w:pPr>
              <w:spacing w:line="259" w:lineRule="auto"/>
              <w:ind w:left="325"/>
            </w:pPr>
            <w:r>
              <w:rPr>
                <w:b/>
                <w:sz w:val="16"/>
              </w:rPr>
              <w:t>2,302</w:t>
            </w:r>
          </w:p>
        </w:tc>
        <w:tc>
          <w:tcPr>
            <w:tcW w:w="879" w:type="dxa"/>
            <w:tcBorders>
              <w:top w:val="nil"/>
              <w:left w:val="nil"/>
              <w:bottom w:val="nil"/>
              <w:right w:val="nil"/>
            </w:tcBorders>
          </w:tcPr>
          <w:p w:rsidR="00941306" w:rsidRDefault="00941306" w:rsidP="00CC480D">
            <w:pPr>
              <w:spacing w:line="259" w:lineRule="auto"/>
              <w:ind w:left="340"/>
            </w:pPr>
            <w:r>
              <w:rPr>
                <w:sz w:val="16"/>
              </w:rPr>
              <w:t xml:space="preserve"> 2,151 </w:t>
            </w:r>
          </w:p>
        </w:tc>
      </w:tr>
      <w:tr w:rsidR="00941306" w:rsidTr="00CC480D">
        <w:trPr>
          <w:trHeight w:val="185"/>
        </w:trPr>
        <w:tc>
          <w:tcPr>
            <w:tcW w:w="7551" w:type="dxa"/>
            <w:tcBorders>
              <w:top w:val="nil"/>
              <w:left w:val="nil"/>
              <w:bottom w:val="nil"/>
              <w:right w:val="nil"/>
            </w:tcBorders>
          </w:tcPr>
          <w:p w:rsidR="00941306" w:rsidRDefault="00941306" w:rsidP="00CC480D">
            <w:pPr>
              <w:spacing w:line="259" w:lineRule="auto"/>
            </w:pPr>
            <w:r>
              <w:rPr>
                <w:sz w:val="16"/>
              </w:rPr>
              <w:t>Other financial assets</w:t>
            </w:r>
          </w:p>
        </w:tc>
        <w:tc>
          <w:tcPr>
            <w:tcW w:w="613" w:type="dxa"/>
            <w:tcBorders>
              <w:top w:val="nil"/>
              <w:left w:val="nil"/>
              <w:bottom w:val="nil"/>
              <w:right w:val="nil"/>
            </w:tcBorders>
          </w:tcPr>
          <w:p w:rsidR="00941306" w:rsidRDefault="00941306" w:rsidP="00CC480D">
            <w:pPr>
              <w:spacing w:line="259" w:lineRule="auto"/>
              <w:ind w:left="71"/>
            </w:pPr>
            <w:r>
              <w:rPr>
                <w:sz w:val="14"/>
              </w:rPr>
              <w:t>17A</w:t>
            </w:r>
          </w:p>
        </w:tc>
        <w:tc>
          <w:tcPr>
            <w:tcW w:w="879" w:type="dxa"/>
            <w:tcBorders>
              <w:top w:val="nil"/>
              <w:left w:val="nil"/>
              <w:bottom w:val="nil"/>
              <w:right w:val="nil"/>
            </w:tcBorders>
            <w:shd w:val="clear" w:color="auto" w:fill="F0F0F0"/>
          </w:tcPr>
          <w:p w:rsidR="00941306" w:rsidRDefault="00941306" w:rsidP="00CC480D">
            <w:pPr>
              <w:spacing w:line="259" w:lineRule="auto"/>
              <w:ind w:left="453"/>
            </w:pPr>
            <w:r>
              <w:rPr>
                <w:b/>
                <w:sz w:val="16"/>
              </w:rPr>
              <w:t>836</w:t>
            </w:r>
          </w:p>
        </w:tc>
        <w:tc>
          <w:tcPr>
            <w:tcW w:w="879" w:type="dxa"/>
            <w:tcBorders>
              <w:top w:val="nil"/>
              <w:left w:val="nil"/>
              <w:bottom w:val="nil"/>
              <w:right w:val="nil"/>
            </w:tcBorders>
          </w:tcPr>
          <w:p w:rsidR="00941306" w:rsidRDefault="00941306" w:rsidP="00CC480D">
            <w:pPr>
              <w:spacing w:line="259" w:lineRule="auto"/>
              <w:ind w:left="444"/>
            </w:pPr>
            <w:r>
              <w:rPr>
                <w:sz w:val="16"/>
              </w:rPr>
              <w:t xml:space="preserve"> 671 </w:t>
            </w:r>
          </w:p>
        </w:tc>
      </w:tr>
      <w:tr w:rsidR="00941306" w:rsidTr="00CC480D">
        <w:trPr>
          <w:trHeight w:val="252"/>
        </w:trPr>
        <w:tc>
          <w:tcPr>
            <w:tcW w:w="7551" w:type="dxa"/>
            <w:vMerge w:val="restart"/>
            <w:tcBorders>
              <w:top w:val="nil"/>
              <w:left w:val="nil"/>
              <w:bottom w:val="single" w:sz="6" w:space="0" w:color="000000"/>
              <w:right w:val="nil"/>
            </w:tcBorders>
          </w:tcPr>
          <w:p w:rsidR="00941306" w:rsidRDefault="00941306" w:rsidP="00CC480D">
            <w:pPr>
              <w:spacing w:after="369" w:line="259" w:lineRule="auto"/>
            </w:pPr>
            <w:r>
              <w:rPr>
                <w:sz w:val="16"/>
              </w:rPr>
              <w:t>Non-current assets held for sale</w:t>
            </w:r>
          </w:p>
          <w:p w:rsidR="00941306" w:rsidRDefault="00941306" w:rsidP="00CC480D">
            <w:pPr>
              <w:spacing w:line="259" w:lineRule="auto"/>
            </w:pPr>
            <w:r>
              <w:rPr>
                <w:b/>
                <w:sz w:val="16"/>
              </w:rPr>
              <w:t>Total assets</w:t>
            </w:r>
          </w:p>
        </w:tc>
        <w:tc>
          <w:tcPr>
            <w:tcW w:w="613" w:type="dxa"/>
            <w:vMerge w:val="restart"/>
            <w:tcBorders>
              <w:top w:val="nil"/>
              <w:left w:val="nil"/>
              <w:bottom w:val="single" w:sz="6" w:space="0" w:color="000000"/>
              <w:right w:val="nil"/>
            </w:tcBorders>
          </w:tcPr>
          <w:p w:rsidR="00941306" w:rsidRDefault="00941306" w:rsidP="00CC480D">
            <w:pPr>
              <w:spacing w:line="259" w:lineRule="auto"/>
              <w:ind w:left="103"/>
            </w:pPr>
            <w:r>
              <w:rPr>
                <w:sz w:val="14"/>
              </w:rPr>
              <w:t>22</w:t>
            </w:r>
          </w:p>
        </w:tc>
        <w:tc>
          <w:tcPr>
            <w:tcW w:w="879" w:type="dxa"/>
            <w:tcBorders>
              <w:top w:val="nil"/>
              <w:left w:val="nil"/>
              <w:bottom w:val="single" w:sz="2" w:space="0" w:color="000000"/>
              <w:right w:val="nil"/>
            </w:tcBorders>
            <w:shd w:val="clear" w:color="auto" w:fill="F0F0F0"/>
          </w:tcPr>
          <w:p w:rsidR="00941306" w:rsidRDefault="00941306" w:rsidP="00CC480D">
            <w:pPr>
              <w:spacing w:line="259" w:lineRule="auto"/>
              <w:ind w:left="463"/>
            </w:pPr>
            <w:r>
              <w:rPr>
                <w:b/>
                <w:sz w:val="16"/>
              </w:rPr>
              <w:t>179</w:t>
            </w:r>
          </w:p>
        </w:tc>
        <w:tc>
          <w:tcPr>
            <w:tcW w:w="879" w:type="dxa"/>
            <w:tcBorders>
              <w:top w:val="nil"/>
              <w:left w:val="nil"/>
              <w:bottom w:val="single" w:sz="2" w:space="0" w:color="000000"/>
              <w:right w:val="nil"/>
            </w:tcBorders>
          </w:tcPr>
          <w:p w:rsidR="00941306" w:rsidRDefault="00941306" w:rsidP="00CC480D">
            <w:pPr>
              <w:spacing w:line="259" w:lineRule="auto"/>
              <w:ind w:left="520"/>
            </w:pPr>
            <w:r>
              <w:rPr>
                <w:sz w:val="16"/>
              </w:rPr>
              <w:t xml:space="preserve"> 47 </w:t>
            </w:r>
          </w:p>
        </w:tc>
      </w:tr>
      <w:tr w:rsidR="00941306" w:rsidTr="00CC480D">
        <w:trPr>
          <w:trHeight w:val="29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single" w:sz="2" w:space="0" w:color="000000"/>
              <w:right w:val="nil"/>
            </w:tcBorders>
            <w:shd w:val="clear" w:color="auto" w:fill="F0F0F0"/>
          </w:tcPr>
          <w:p w:rsidR="00941306" w:rsidRDefault="00941306" w:rsidP="00CC480D">
            <w:pPr>
              <w:spacing w:line="259" w:lineRule="auto"/>
              <w:ind w:left="201"/>
              <w:jc w:val="center"/>
            </w:pPr>
            <w:r>
              <w:rPr>
                <w:b/>
                <w:sz w:val="16"/>
              </w:rPr>
              <w:t>12,686</w:t>
            </w:r>
          </w:p>
        </w:tc>
        <w:tc>
          <w:tcPr>
            <w:tcW w:w="879" w:type="dxa"/>
            <w:tcBorders>
              <w:top w:val="single" w:sz="2" w:space="0" w:color="000000"/>
              <w:left w:val="nil"/>
              <w:bottom w:val="single" w:sz="2" w:space="0" w:color="000000"/>
              <w:right w:val="nil"/>
            </w:tcBorders>
          </w:tcPr>
          <w:p w:rsidR="00941306" w:rsidRDefault="00941306" w:rsidP="00CC480D">
            <w:pPr>
              <w:spacing w:line="259" w:lineRule="auto"/>
              <w:ind w:left="195"/>
              <w:jc w:val="center"/>
            </w:pPr>
            <w:r>
              <w:rPr>
                <w:sz w:val="16"/>
              </w:rPr>
              <w:t xml:space="preserve"> 12,347 </w:t>
            </w:r>
          </w:p>
        </w:tc>
      </w:tr>
      <w:tr w:rsidR="00941306" w:rsidTr="00CC480D">
        <w:trPr>
          <w:trHeight w:val="290"/>
        </w:trPr>
        <w:tc>
          <w:tcPr>
            <w:tcW w:w="0" w:type="auto"/>
            <w:vMerge/>
            <w:tcBorders>
              <w:top w:val="nil"/>
              <w:left w:val="nil"/>
              <w:bottom w:val="single" w:sz="6" w:space="0" w:color="000000"/>
              <w:right w:val="nil"/>
            </w:tcBorders>
          </w:tcPr>
          <w:p w:rsidR="00941306" w:rsidRDefault="00941306" w:rsidP="00CC480D">
            <w:pPr>
              <w:spacing w:after="160" w:line="259" w:lineRule="auto"/>
            </w:pPr>
          </w:p>
        </w:tc>
        <w:tc>
          <w:tcPr>
            <w:tcW w:w="0" w:type="auto"/>
            <w:vMerge/>
            <w:tcBorders>
              <w:top w:val="nil"/>
              <w:left w:val="nil"/>
              <w:bottom w:val="single" w:sz="6" w:space="0" w:color="000000"/>
              <w:right w:val="nil"/>
            </w:tcBorders>
          </w:tcPr>
          <w:p w:rsidR="00941306" w:rsidRDefault="00941306" w:rsidP="00CC480D">
            <w:pPr>
              <w:spacing w:after="160" w:line="259" w:lineRule="auto"/>
            </w:pPr>
          </w:p>
        </w:tc>
        <w:tc>
          <w:tcPr>
            <w:tcW w:w="879" w:type="dxa"/>
            <w:tcBorders>
              <w:top w:val="single" w:sz="2" w:space="0" w:color="000000"/>
              <w:left w:val="nil"/>
              <w:bottom w:val="single" w:sz="6" w:space="0" w:color="000000"/>
              <w:right w:val="nil"/>
            </w:tcBorders>
            <w:shd w:val="clear" w:color="auto" w:fill="F0F0F0"/>
          </w:tcPr>
          <w:p w:rsidR="00941306" w:rsidRDefault="00941306" w:rsidP="00CC480D">
            <w:pPr>
              <w:spacing w:line="259" w:lineRule="auto"/>
              <w:ind w:left="192"/>
              <w:jc w:val="center"/>
            </w:pPr>
            <w:r>
              <w:rPr>
                <w:b/>
                <w:sz w:val="16"/>
              </w:rPr>
              <w:t>52,298</w:t>
            </w:r>
          </w:p>
        </w:tc>
        <w:tc>
          <w:tcPr>
            <w:tcW w:w="879" w:type="dxa"/>
            <w:tcBorders>
              <w:top w:val="single" w:sz="2" w:space="0" w:color="000000"/>
              <w:left w:val="nil"/>
              <w:bottom w:val="single" w:sz="6" w:space="0" w:color="000000"/>
              <w:right w:val="nil"/>
            </w:tcBorders>
          </w:tcPr>
          <w:p w:rsidR="00941306" w:rsidRDefault="00941306" w:rsidP="00CC480D">
            <w:pPr>
              <w:spacing w:line="259" w:lineRule="auto"/>
              <w:ind w:left="179"/>
              <w:jc w:val="center"/>
            </w:pPr>
            <w:r>
              <w:rPr>
                <w:sz w:val="16"/>
              </w:rPr>
              <w:t xml:space="preserve"> 48,027 </w:t>
            </w:r>
          </w:p>
        </w:tc>
      </w:tr>
      <w:tr w:rsidR="00941306" w:rsidTr="00CC480D">
        <w:trPr>
          <w:trHeight w:val="683"/>
        </w:trPr>
        <w:tc>
          <w:tcPr>
            <w:tcW w:w="7551" w:type="dxa"/>
            <w:tcBorders>
              <w:top w:val="single" w:sz="6" w:space="0" w:color="000000"/>
              <w:left w:val="nil"/>
              <w:bottom w:val="nil"/>
              <w:right w:val="nil"/>
            </w:tcBorders>
            <w:vAlign w:val="bottom"/>
          </w:tcPr>
          <w:p w:rsidR="00941306" w:rsidRDefault="00941306" w:rsidP="00CC480D">
            <w:pPr>
              <w:spacing w:line="259" w:lineRule="auto"/>
            </w:pPr>
            <w:r>
              <w:rPr>
                <w:b/>
                <w:sz w:val="16"/>
              </w:rPr>
              <w:t xml:space="preserve">Liabilities </w:t>
            </w:r>
          </w:p>
          <w:p w:rsidR="00941306" w:rsidRDefault="00941306" w:rsidP="00CC480D">
            <w:pPr>
              <w:spacing w:line="259" w:lineRule="auto"/>
            </w:pPr>
            <w:r>
              <w:rPr>
                <w:b/>
                <w:color w:val="636362"/>
                <w:sz w:val="16"/>
              </w:rPr>
              <w:t>Current liabilities</w:t>
            </w:r>
          </w:p>
          <w:p w:rsidR="00941306" w:rsidRDefault="00941306" w:rsidP="00CC480D">
            <w:pPr>
              <w:spacing w:line="259" w:lineRule="auto"/>
            </w:pPr>
            <w:r>
              <w:rPr>
                <w:sz w:val="16"/>
              </w:rPr>
              <w:t>Financial liabilities</w:t>
            </w:r>
          </w:p>
        </w:tc>
        <w:tc>
          <w:tcPr>
            <w:tcW w:w="613" w:type="dxa"/>
            <w:tcBorders>
              <w:top w:val="single" w:sz="6" w:space="0" w:color="000000"/>
              <w:left w:val="nil"/>
              <w:bottom w:val="nil"/>
              <w:right w:val="nil"/>
            </w:tcBorders>
            <w:vAlign w:val="bottom"/>
          </w:tcPr>
          <w:p w:rsidR="00941306" w:rsidRDefault="00941306" w:rsidP="00CC480D">
            <w:pPr>
              <w:spacing w:line="259" w:lineRule="auto"/>
              <w:ind w:left="67"/>
            </w:pPr>
            <w:r>
              <w:rPr>
                <w:sz w:val="14"/>
              </w:rPr>
              <w:t>15C</w:t>
            </w:r>
          </w:p>
        </w:tc>
        <w:tc>
          <w:tcPr>
            <w:tcW w:w="879" w:type="dxa"/>
            <w:tcBorders>
              <w:top w:val="single" w:sz="6" w:space="0" w:color="000000"/>
              <w:left w:val="nil"/>
              <w:bottom w:val="nil"/>
              <w:right w:val="nil"/>
            </w:tcBorders>
            <w:shd w:val="clear" w:color="auto" w:fill="F0F0F0"/>
            <w:vAlign w:val="bottom"/>
          </w:tcPr>
          <w:p w:rsidR="00941306" w:rsidRDefault="00941306" w:rsidP="00CC480D">
            <w:pPr>
              <w:spacing w:line="259" w:lineRule="auto"/>
              <w:ind w:left="330"/>
            </w:pPr>
            <w:r>
              <w:rPr>
                <w:b/>
                <w:sz w:val="16"/>
              </w:rPr>
              <w:t>4,789</w:t>
            </w:r>
          </w:p>
        </w:tc>
        <w:tc>
          <w:tcPr>
            <w:tcW w:w="879" w:type="dxa"/>
            <w:tcBorders>
              <w:top w:val="single" w:sz="6" w:space="0" w:color="000000"/>
              <w:left w:val="nil"/>
              <w:bottom w:val="nil"/>
              <w:right w:val="nil"/>
            </w:tcBorders>
            <w:vAlign w:val="bottom"/>
          </w:tcPr>
          <w:p w:rsidR="00941306" w:rsidRDefault="00941306" w:rsidP="00CC480D">
            <w:pPr>
              <w:spacing w:line="259" w:lineRule="auto"/>
              <w:ind w:left="307"/>
            </w:pPr>
            <w:r>
              <w:rPr>
                <w:sz w:val="16"/>
              </w:rPr>
              <w:t xml:space="preserve"> 5,536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Trade payables and other current liabilities</w:t>
            </w:r>
          </w:p>
        </w:tc>
        <w:tc>
          <w:tcPr>
            <w:tcW w:w="613" w:type="dxa"/>
            <w:tcBorders>
              <w:top w:val="nil"/>
              <w:left w:val="nil"/>
              <w:bottom w:val="nil"/>
              <w:right w:val="nil"/>
            </w:tcBorders>
          </w:tcPr>
          <w:p w:rsidR="00941306" w:rsidRDefault="00941306" w:rsidP="00CC480D">
            <w:pPr>
              <w:spacing w:line="259" w:lineRule="auto"/>
              <w:ind w:left="107"/>
            </w:pPr>
            <w:r>
              <w:rPr>
                <w:sz w:val="14"/>
              </w:rPr>
              <w:t>14</w:t>
            </w:r>
          </w:p>
        </w:tc>
        <w:tc>
          <w:tcPr>
            <w:tcW w:w="879" w:type="dxa"/>
            <w:tcBorders>
              <w:top w:val="nil"/>
              <w:left w:val="nil"/>
              <w:bottom w:val="nil"/>
              <w:right w:val="nil"/>
            </w:tcBorders>
            <w:shd w:val="clear" w:color="auto" w:fill="F0F0F0"/>
          </w:tcPr>
          <w:p w:rsidR="00941306" w:rsidRDefault="00941306" w:rsidP="00CC480D">
            <w:pPr>
              <w:spacing w:line="259" w:lineRule="auto"/>
              <w:ind w:left="207"/>
              <w:jc w:val="center"/>
            </w:pPr>
            <w:r>
              <w:rPr>
                <w:b/>
                <w:sz w:val="16"/>
              </w:rPr>
              <w:t>13,788</w:t>
            </w:r>
          </w:p>
        </w:tc>
        <w:tc>
          <w:tcPr>
            <w:tcW w:w="879" w:type="dxa"/>
            <w:tcBorders>
              <w:top w:val="nil"/>
              <w:left w:val="nil"/>
              <w:bottom w:val="nil"/>
              <w:right w:val="nil"/>
            </w:tcBorders>
          </w:tcPr>
          <w:p w:rsidR="00941306" w:rsidRDefault="00941306" w:rsidP="00CC480D">
            <w:pPr>
              <w:spacing w:line="259" w:lineRule="auto"/>
              <w:ind w:left="192"/>
              <w:jc w:val="center"/>
            </w:pPr>
            <w:r>
              <w:rPr>
                <w:sz w:val="16"/>
              </w:rPr>
              <w:t xml:space="preserve"> 12,606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Current tax liabilities</w:t>
            </w:r>
          </w:p>
        </w:tc>
        <w:tc>
          <w:tcPr>
            <w:tcW w:w="613" w:type="dxa"/>
            <w:tcBorders>
              <w:top w:val="nil"/>
              <w:left w:val="nil"/>
              <w:bottom w:val="nil"/>
              <w:right w:val="nil"/>
            </w:tcBorders>
          </w:tcPr>
          <w:p w:rsidR="00941306" w:rsidRDefault="00941306" w:rsidP="00CC480D">
            <w:pPr>
              <w:spacing w:after="160" w:line="259" w:lineRule="auto"/>
            </w:pPr>
          </w:p>
        </w:tc>
        <w:tc>
          <w:tcPr>
            <w:tcW w:w="879" w:type="dxa"/>
            <w:tcBorders>
              <w:top w:val="nil"/>
              <w:left w:val="nil"/>
              <w:bottom w:val="nil"/>
              <w:right w:val="nil"/>
            </w:tcBorders>
            <w:shd w:val="clear" w:color="auto" w:fill="F0F0F0"/>
          </w:tcPr>
          <w:p w:rsidR="00941306" w:rsidRDefault="00941306" w:rsidP="00CC480D">
            <w:pPr>
              <w:spacing w:line="259" w:lineRule="auto"/>
              <w:ind w:left="354"/>
            </w:pPr>
            <w:r>
              <w:rPr>
                <w:b/>
                <w:sz w:val="16"/>
              </w:rPr>
              <w:t>1,127</w:t>
            </w:r>
          </w:p>
        </w:tc>
        <w:tc>
          <w:tcPr>
            <w:tcW w:w="879" w:type="dxa"/>
            <w:tcBorders>
              <w:top w:val="nil"/>
              <w:left w:val="nil"/>
              <w:bottom w:val="nil"/>
              <w:right w:val="nil"/>
            </w:tcBorders>
          </w:tcPr>
          <w:p w:rsidR="00941306" w:rsidRDefault="00941306" w:rsidP="00CC480D">
            <w:pPr>
              <w:spacing w:line="259" w:lineRule="auto"/>
              <w:ind w:left="321"/>
            </w:pPr>
            <w:r>
              <w:rPr>
                <w:sz w:val="16"/>
              </w:rPr>
              <w:t xml:space="preserve"> 1,081 </w:t>
            </w:r>
          </w:p>
        </w:tc>
      </w:tr>
      <w:tr w:rsidR="00941306" w:rsidTr="00CC480D">
        <w:trPr>
          <w:trHeight w:val="185"/>
        </w:trPr>
        <w:tc>
          <w:tcPr>
            <w:tcW w:w="7551" w:type="dxa"/>
            <w:tcBorders>
              <w:top w:val="nil"/>
              <w:left w:val="nil"/>
              <w:bottom w:val="nil"/>
              <w:right w:val="nil"/>
            </w:tcBorders>
          </w:tcPr>
          <w:p w:rsidR="00941306" w:rsidRDefault="00941306" w:rsidP="00CC480D">
            <w:pPr>
              <w:spacing w:line="259" w:lineRule="auto"/>
            </w:pPr>
            <w:r>
              <w:rPr>
                <w:sz w:val="16"/>
              </w:rPr>
              <w:t>Provisions</w:t>
            </w:r>
          </w:p>
        </w:tc>
        <w:tc>
          <w:tcPr>
            <w:tcW w:w="613" w:type="dxa"/>
            <w:tcBorders>
              <w:top w:val="nil"/>
              <w:left w:val="nil"/>
              <w:bottom w:val="nil"/>
              <w:right w:val="nil"/>
            </w:tcBorders>
          </w:tcPr>
          <w:p w:rsidR="00941306" w:rsidRDefault="00941306" w:rsidP="00CC480D">
            <w:pPr>
              <w:spacing w:line="259" w:lineRule="auto"/>
              <w:ind w:left="107"/>
            </w:pPr>
            <w:r>
              <w:rPr>
                <w:sz w:val="14"/>
              </w:rPr>
              <w:t>19</w:t>
            </w:r>
          </w:p>
        </w:tc>
        <w:tc>
          <w:tcPr>
            <w:tcW w:w="879" w:type="dxa"/>
            <w:tcBorders>
              <w:top w:val="nil"/>
              <w:left w:val="nil"/>
              <w:bottom w:val="nil"/>
              <w:right w:val="nil"/>
            </w:tcBorders>
            <w:shd w:val="clear" w:color="auto" w:fill="F0F0F0"/>
          </w:tcPr>
          <w:p w:rsidR="00941306" w:rsidRDefault="00941306" w:rsidP="00CC480D">
            <w:pPr>
              <w:spacing w:line="259" w:lineRule="auto"/>
              <w:ind w:left="455"/>
            </w:pPr>
            <w:r>
              <w:rPr>
                <w:b/>
                <w:sz w:val="16"/>
              </w:rPr>
              <w:t>309</w:t>
            </w:r>
          </w:p>
        </w:tc>
        <w:tc>
          <w:tcPr>
            <w:tcW w:w="879" w:type="dxa"/>
            <w:tcBorders>
              <w:top w:val="nil"/>
              <w:left w:val="nil"/>
              <w:bottom w:val="nil"/>
              <w:right w:val="nil"/>
            </w:tcBorders>
          </w:tcPr>
          <w:p w:rsidR="00941306" w:rsidRDefault="00941306" w:rsidP="00CC480D">
            <w:pPr>
              <w:spacing w:line="259" w:lineRule="auto"/>
              <w:ind w:left="451"/>
            </w:pPr>
            <w:r>
              <w:rPr>
                <w:sz w:val="16"/>
              </w:rPr>
              <w:t xml:space="preserve"> 418 </w:t>
            </w:r>
          </w:p>
        </w:tc>
      </w:tr>
      <w:tr w:rsidR="00941306" w:rsidTr="00CC480D">
        <w:trPr>
          <w:trHeight w:val="252"/>
        </w:trPr>
        <w:tc>
          <w:tcPr>
            <w:tcW w:w="7551" w:type="dxa"/>
            <w:vMerge w:val="restart"/>
            <w:tcBorders>
              <w:top w:val="nil"/>
              <w:left w:val="nil"/>
              <w:bottom w:val="nil"/>
              <w:right w:val="nil"/>
            </w:tcBorders>
          </w:tcPr>
          <w:p w:rsidR="00941306" w:rsidRDefault="00941306" w:rsidP="00CC480D">
            <w:pPr>
              <w:spacing w:after="369" w:line="259" w:lineRule="auto"/>
            </w:pPr>
            <w:r>
              <w:rPr>
                <w:sz w:val="16"/>
              </w:rPr>
              <w:t>Liabilities associated with assets held for sale</w:t>
            </w:r>
          </w:p>
          <w:p w:rsidR="00941306" w:rsidRDefault="00941306" w:rsidP="00CC480D">
            <w:pPr>
              <w:spacing w:line="259" w:lineRule="auto"/>
            </w:pPr>
            <w:r>
              <w:rPr>
                <w:b/>
                <w:color w:val="636362"/>
                <w:sz w:val="16"/>
              </w:rPr>
              <w:t>Non-current liabilities</w:t>
            </w:r>
          </w:p>
          <w:p w:rsidR="00941306" w:rsidRDefault="00941306" w:rsidP="00CC480D">
            <w:pPr>
              <w:spacing w:line="259" w:lineRule="auto"/>
            </w:pPr>
            <w:r>
              <w:rPr>
                <w:sz w:val="16"/>
              </w:rPr>
              <w:t>Financial liabilities</w:t>
            </w:r>
          </w:p>
        </w:tc>
        <w:tc>
          <w:tcPr>
            <w:tcW w:w="613" w:type="dxa"/>
            <w:vMerge w:val="restart"/>
            <w:tcBorders>
              <w:top w:val="nil"/>
              <w:left w:val="nil"/>
              <w:bottom w:val="nil"/>
              <w:right w:val="nil"/>
            </w:tcBorders>
          </w:tcPr>
          <w:p w:rsidR="00941306" w:rsidRDefault="00941306" w:rsidP="00CC480D">
            <w:pPr>
              <w:spacing w:after="582" w:line="259" w:lineRule="auto"/>
              <w:ind w:left="103"/>
            </w:pPr>
            <w:r>
              <w:rPr>
                <w:sz w:val="14"/>
              </w:rPr>
              <w:t>22</w:t>
            </w:r>
          </w:p>
          <w:p w:rsidR="00941306" w:rsidRDefault="00941306" w:rsidP="00CC480D">
            <w:pPr>
              <w:spacing w:line="259" w:lineRule="auto"/>
              <w:ind w:left="67"/>
            </w:pPr>
            <w:r>
              <w:rPr>
                <w:sz w:val="14"/>
              </w:rPr>
              <w:t>15C</w:t>
            </w:r>
          </w:p>
        </w:tc>
        <w:tc>
          <w:tcPr>
            <w:tcW w:w="879" w:type="dxa"/>
            <w:tcBorders>
              <w:top w:val="nil"/>
              <w:left w:val="nil"/>
              <w:bottom w:val="single" w:sz="2" w:space="0" w:color="000000"/>
              <w:right w:val="nil"/>
            </w:tcBorders>
            <w:shd w:val="clear" w:color="auto" w:fill="F0F0F0"/>
          </w:tcPr>
          <w:p w:rsidR="00941306" w:rsidRDefault="00941306" w:rsidP="00CC480D">
            <w:pPr>
              <w:spacing w:line="259" w:lineRule="auto"/>
              <w:ind w:left="627"/>
            </w:pPr>
            <w:r>
              <w:rPr>
                <w:b/>
                <w:sz w:val="16"/>
              </w:rPr>
              <w:t>6</w:t>
            </w:r>
          </w:p>
        </w:tc>
        <w:tc>
          <w:tcPr>
            <w:tcW w:w="879" w:type="dxa"/>
            <w:tcBorders>
              <w:top w:val="nil"/>
              <w:left w:val="nil"/>
              <w:bottom w:val="single" w:sz="2" w:space="0" w:color="000000"/>
              <w:right w:val="nil"/>
            </w:tcBorders>
          </w:tcPr>
          <w:p w:rsidR="00941306" w:rsidRDefault="00941306" w:rsidP="00CC480D">
            <w:pPr>
              <w:spacing w:line="259" w:lineRule="auto"/>
              <w:ind w:left="596"/>
            </w:pPr>
            <w:r>
              <w:rPr>
                <w:sz w:val="16"/>
              </w:rPr>
              <w:t xml:space="preserve"> 1 </w:t>
            </w:r>
          </w:p>
        </w:tc>
      </w:tr>
      <w:tr w:rsidR="00941306" w:rsidTr="00CC480D">
        <w:trPr>
          <w:trHeight w:val="29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single" w:sz="2" w:space="0" w:color="000000"/>
              <w:right w:val="nil"/>
            </w:tcBorders>
            <w:shd w:val="clear" w:color="auto" w:fill="F0F0F0"/>
          </w:tcPr>
          <w:p w:rsidR="00941306" w:rsidRDefault="00941306" w:rsidP="00CC480D">
            <w:pPr>
              <w:spacing w:line="259" w:lineRule="auto"/>
              <w:ind w:left="209"/>
              <w:jc w:val="center"/>
            </w:pPr>
            <w:r>
              <w:rPr>
                <w:b/>
                <w:sz w:val="16"/>
              </w:rPr>
              <w:t>20,019</w:t>
            </w:r>
          </w:p>
        </w:tc>
        <w:tc>
          <w:tcPr>
            <w:tcW w:w="879" w:type="dxa"/>
            <w:tcBorders>
              <w:top w:val="single" w:sz="2" w:space="0" w:color="000000"/>
              <w:left w:val="nil"/>
              <w:bottom w:val="single" w:sz="2" w:space="0" w:color="000000"/>
              <w:right w:val="nil"/>
            </w:tcBorders>
          </w:tcPr>
          <w:p w:rsidR="00941306" w:rsidRDefault="00941306" w:rsidP="00CC480D">
            <w:pPr>
              <w:spacing w:line="259" w:lineRule="auto"/>
              <w:ind w:left="202"/>
              <w:jc w:val="center"/>
            </w:pPr>
            <w:r>
              <w:rPr>
                <w:sz w:val="16"/>
              </w:rPr>
              <w:t xml:space="preserve"> 19,642 </w:t>
            </w:r>
          </w:p>
        </w:tc>
      </w:tr>
      <w:tr w:rsidR="00941306" w:rsidTr="00CC480D">
        <w:trPr>
          <w:trHeight w:val="403"/>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nil"/>
              <w:right w:val="nil"/>
            </w:tcBorders>
            <w:shd w:val="clear" w:color="auto" w:fill="F0F0F0"/>
            <w:vAlign w:val="bottom"/>
          </w:tcPr>
          <w:p w:rsidR="00941306" w:rsidRDefault="00941306" w:rsidP="00CC480D">
            <w:pPr>
              <w:spacing w:line="259" w:lineRule="auto"/>
              <w:ind w:left="334"/>
            </w:pPr>
            <w:r>
              <w:rPr>
                <w:b/>
                <w:sz w:val="16"/>
              </w:rPr>
              <w:t>9,854</w:t>
            </w:r>
          </w:p>
        </w:tc>
        <w:tc>
          <w:tcPr>
            <w:tcW w:w="879" w:type="dxa"/>
            <w:tcBorders>
              <w:top w:val="single" w:sz="2" w:space="0" w:color="000000"/>
              <w:left w:val="nil"/>
              <w:bottom w:val="nil"/>
              <w:right w:val="nil"/>
            </w:tcBorders>
            <w:vAlign w:val="bottom"/>
          </w:tcPr>
          <w:p w:rsidR="00941306" w:rsidRDefault="00941306" w:rsidP="00CC480D">
            <w:pPr>
              <w:spacing w:line="259" w:lineRule="auto"/>
              <w:ind w:left="342"/>
            </w:pPr>
            <w:r>
              <w:rPr>
                <w:sz w:val="16"/>
              </w:rPr>
              <w:t xml:space="preserve"> 7,186 </w:t>
            </w:r>
          </w:p>
        </w:tc>
      </w:tr>
      <w:tr w:rsidR="00941306" w:rsidTr="00CC480D">
        <w:trPr>
          <w:trHeight w:val="185"/>
        </w:trPr>
        <w:tc>
          <w:tcPr>
            <w:tcW w:w="7551" w:type="dxa"/>
            <w:tcBorders>
              <w:top w:val="nil"/>
              <w:left w:val="nil"/>
              <w:bottom w:val="nil"/>
              <w:right w:val="nil"/>
            </w:tcBorders>
          </w:tcPr>
          <w:p w:rsidR="00941306" w:rsidRDefault="00941306" w:rsidP="00CC480D">
            <w:pPr>
              <w:spacing w:line="259" w:lineRule="auto"/>
            </w:pPr>
            <w:r>
              <w:rPr>
                <w:sz w:val="16"/>
              </w:rPr>
              <w:t>Non-current tax liabilities</w:t>
            </w:r>
          </w:p>
        </w:tc>
        <w:tc>
          <w:tcPr>
            <w:tcW w:w="613" w:type="dxa"/>
            <w:tcBorders>
              <w:top w:val="nil"/>
              <w:left w:val="nil"/>
              <w:bottom w:val="nil"/>
              <w:right w:val="nil"/>
            </w:tcBorders>
          </w:tcPr>
          <w:p w:rsidR="00941306" w:rsidRDefault="00941306" w:rsidP="00CC480D">
            <w:pPr>
              <w:spacing w:after="160" w:line="259" w:lineRule="auto"/>
            </w:pPr>
          </w:p>
        </w:tc>
        <w:tc>
          <w:tcPr>
            <w:tcW w:w="879" w:type="dxa"/>
            <w:tcBorders>
              <w:top w:val="nil"/>
              <w:left w:val="nil"/>
              <w:bottom w:val="nil"/>
              <w:right w:val="nil"/>
            </w:tcBorders>
            <w:shd w:val="clear" w:color="auto" w:fill="F0F0F0"/>
          </w:tcPr>
          <w:p w:rsidR="00941306" w:rsidRDefault="00941306" w:rsidP="00CC480D">
            <w:pPr>
              <w:spacing w:line="259" w:lineRule="auto"/>
              <w:ind w:left="468"/>
            </w:pPr>
            <w:r>
              <w:rPr>
                <w:b/>
                <w:sz w:val="16"/>
              </w:rPr>
              <w:t>121</w:t>
            </w:r>
          </w:p>
        </w:tc>
        <w:tc>
          <w:tcPr>
            <w:tcW w:w="879" w:type="dxa"/>
            <w:tcBorders>
              <w:top w:val="nil"/>
              <w:left w:val="nil"/>
              <w:bottom w:val="nil"/>
              <w:right w:val="nil"/>
            </w:tcBorders>
          </w:tcPr>
          <w:p w:rsidR="00941306" w:rsidRDefault="00941306" w:rsidP="00CC480D">
            <w:pPr>
              <w:spacing w:line="259" w:lineRule="auto"/>
              <w:ind w:left="455"/>
            </w:pPr>
            <w:r>
              <w:rPr>
                <w:sz w:val="16"/>
              </w:rPr>
              <w:t xml:space="preserve"> 161 </w:t>
            </w:r>
          </w:p>
        </w:tc>
      </w:tr>
      <w:tr w:rsidR="00941306" w:rsidTr="00CC480D">
        <w:trPr>
          <w:trHeight w:val="355"/>
        </w:trPr>
        <w:tc>
          <w:tcPr>
            <w:tcW w:w="7551" w:type="dxa"/>
            <w:tcBorders>
              <w:top w:val="nil"/>
              <w:left w:val="nil"/>
              <w:bottom w:val="nil"/>
              <w:right w:val="nil"/>
            </w:tcBorders>
          </w:tcPr>
          <w:p w:rsidR="00941306" w:rsidRDefault="00941306" w:rsidP="00CC480D">
            <w:pPr>
              <w:spacing w:line="259" w:lineRule="auto"/>
              <w:ind w:left="156" w:right="3411" w:hanging="156"/>
            </w:pPr>
            <w:r>
              <w:rPr>
                <w:sz w:val="16"/>
              </w:rPr>
              <w:t>Pensions and post-retirement healthcare liabilities: Funded schemes in deficit</w:t>
            </w:r>
          </w:p>
        </w:tc>
        <w:tc>
          <w:tcPr>
            <w:tcW w:w="613" w:type="dxa"/>
            <w:tcBorders>
              <w:top w:val="nil"/>
              <w:left w:val="nil"/>
              <w:bottom w:val="nil"/>
              <w:right w:val="nil"/>
            </w:tcBorders>
            <w:vAlign w:val="bottom"/>
          </w:tcPr>
          <w:p w:rsidR="00941306" w:rsidRDefault="00941306" w:rsidP="00CC480D">
            <w:pPr>
              <w:spacing w:line="259" w:lineRule="auto"/>
              <w:ind w:left="93"/>
            </w:pPr>
            <w:r>
              <w:rPr>
                <w:sz w:val="14"/>
              </w:rPr>
              <w:t>4B</w:t>
            </w:r>
          </w:p>
        </w:tc>
        <w:tc>
          <w:tcPr>
            <w:tcW w:w="879" w:type="dxa"/>
            <w:tcBorders>
              <w:top w:val="nil"/>
              <w:left w:val="nil"/>
              <w:bottom w:val="nil"/>
              <w:right w:val="nil"/>
            </w:tcBorders>
            <w:shd w:val="clear" w:color="auto" w:fill="F0F0F0"/>
            <w:vAlign w:val="bottom"/>
          </w:tcPr>
          <w:p w:rsidR="00941306" w:rsidRDefault="00941306" w:rsidP="00CC480D">
            <w:pPr>
              <w:spacing w:line="259" w:lineRule="auto"/>
              <w:ind w:left="339"/>
            </w:pPr>
            <w:r>
              <w:rPr>
                <w:b/>
                <w:sz w:val="16"/>
              </w:rPr>
              <w:t>1,569</w:t>
            </w:r>
          </w:p>
        </w:tc>
        <w:tc>
          <w:tcPr>
            <w:tcW w:w="879" w:type="dxa"/>
            <w:tcBorders>
              <w:top w:val="nil"/>
              <w:left w:val="nil"/>
              <w:bottom w:val="nil"/>
              <w:right w:val="nil"/>
            </w:tcBorders>
            <w:vAlign w:val="bottom"/>
          </w:tcPr>
          <w:p w:rsidR="00941306" w:rsidRDefault="00941306" w:rsidP="00CC480D">
            <w:pPr>
              <w:spacing w:line="259" w:lineRule="auto"/>
              <w:ind w:left="308"/>
            </w:pPr>
            <w:r>
              <w:rPr>
                <w:sz w:val="16"/>
              </w:rPr>
              <w:t xml:space="preserve"> 2,222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ind w:left="156"/>
            </w:pPr>
            <w:r>
              <w:rPr>
                <w:sz w:val="16"/>
              </w:rPr>
              <w:t>Unfunded schemes</w:t>
            </w:r>
          </w:p>
        </w:tc>
        <w:tc>
          <w:tcPr>
            <w:tcW w:w="613" w:type="dxa"/>
            <w:tcBorders>
              <w:top w:val="nil"/>
              <w:left w:val="nil"/>
              <w:bottom w:val="nil"/>
              <w:right w:val="nil"/>
            </w:tcBorders>
          </w:tcPr>
          <w:p w:rsidR="00941306" w:rsidRDefault="00941306" w:rsidP="00CC480D">
            <w:pPr>
              <w:spacing w:line="259" w:lineRule="auto"/>
              <w:ind w:left="93"/>
            </w:pPr>
            <w:r>
              <w:rPr>
                <w:sz w:val="14"/>
              </w:rPr>
              <w:t>4B</w:t>
            </w:r>
          </w:p>
        </w:tc>
        <w:tc>
          <w:tcPr>
            <w:tcW w:w="879" w:type="dxa"/>
            <w:tcBorders>
              <w:top w:val="nil"/>
              <w:left w:val="nil"/>
              <w:bottom w:val="nil"/>
              <w:right w:val="nil"/>
            </w:tcBorders>
            <w:shd w:val="clear" w:color="auto" w:fill="F0F0F0"/>
          </w:tcPr>
          <w:p w:rsidR="00941306" w:rsidRDefault="00941306" w:rsidP="00CC480D">
            <w:pPr>
              <w:spacing w:line="259" w:lineRule="auto"/>
              <w:ind w:left="332"/>
            </w:pPr>
            <w:r>
              <w:rPr>
                <w:b/>
                <w:sz w:val="16"/>
              </w:rPr>
              <w:t>1,685</w:t>
            </w:r>
          </w:p>
        </w:tc>
        <w:tc>
          <w:tcPr>
            <w:tcW w:w="879" w:type="dxa"/>
            <w:tcBorders>
              <w:top w:val="nil"/>
              <w:left w:val="nil"/>
              <w:bottom w:val="nil"/>
              <w:right w:val="nil"/>
            </w:tcBorders>
          </w:tcPr>
          <w:p w:rsidR="00941306" w:rsidRDefault="00941306" w:rsidP="00CC480D">
            <w:pPr>
              <w:spacing w:line="259" w:lineRule="auto"/>
              <w:ind w:left="327"/>
            </w:pPr>
            <w:r>
              <w:rPr>
                <w:sz w:val="16"/>
              </w:rPr>
              <w:t xml:space="preserve"> 1,725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Provisions</w:t>
            </w:r>
          </w:p>
        </w:tc>
        <w:tc>
          <w:tcPr>
            <w:tcW w:w="613" w:type="dxa"/>
            <w:tcBorders>
              <w:top w:val="nil"/>
              <w:left w:val="nil"/>
              <w:bottom w:val="nil"/>
              <w:right w:val="nil"/>
            </w:tcBorders>
          </w:tcPr>
          <w:p w:rsidR="00941306" w:rsidRDefault="00941306" w:rsidP="00CC480D">
            <w:pPr>
              <w:spacing w:line="259" w:lineRule="auto"/>
              <w:ind w:left="107"/>
            </w:pPr>
            <w:r>
              <w:rPr>
                <w:sz w:val="14"/>
              </w:rPr>
              <w:t>19</w:t>
            </w:r>
          </w:p>
        </w:tc>
        <w:tc>
          <w:tcPr>
            <w:tcW w:w="879" w:type="dxa"/>
            <w:tcBorders>
              <w:top w:val="nil"/>
              <w:left w:val="nil"/>
              <w:bottom w:val="nil"/>
              <w:right w:val="nil"/>
            </w:tcBorders>
            <w:shd w:val="clear" w:color="auto" w:fill="F0F0F0"/>
          </w:tcPr>
          <w:p w:rsidR="00941306" w:rsidRDefault="00941306" w:rsidP="00CC480D">
            <w:pPr>
              <w:spacing w:line="259" w:lineRule="auto"/>
              <w:ind w:left="458"/>
            </w:pPr>
            <w:r>
              <w:rPr>
                <w:b/>
                <w:sz w:val="16"/>
              </w:rPr>
              <w:t>831</w:t>
            </w:r>
          </w:p>
        </w:tc>
        <w:tc>
          <w:tcPr>
            <w:tcW w:w="879" w:type="dxa"/>
            <w:tcBorders>
              <w:top w:val="nil"/>
              <w:left w:val="nil"/>
              <w:bottom w:val="nil"/>
              <w:right w:val="nil"/>
            </w:tcBorders>
          </w:tcPr>
          <w:p w:rsidR="00941306" w:rsidRDefault="00941306" w:rsidP="00CC480D">
            <w:pPr>
              <w:spacing w:line="259" w:lineRule="auto"/>
              <w:ind w:left="445"/>
            </w:pPr>
            <w:r>
              <w:rPr>
                <w:sz w:val="16"/>
              </w:rPr>
              <w:t xml:space="preserve"> 916 </w:t>
            </w:r>
          </w:p>
        </w:tc>
      </w:tr>
      <w:tr w:rsidR="00941306" w:rsidTr="00CC480D">
        <w:trPr>
          <w:trHeight w:val="185"/>
        </w:trPr>
        <w:tc>
          <w:tcPr>
            <w:tcW w:w="7551" w:type="dxa"/>
            <w:tcBorders>
              <w:top w:val="nil"/>
              <w:left w:val="nil"/>
              <w:bottom w:val="nil"/>
              <w:right w:val="nil"/>
            </w:tcBorders>
          </w:tcPr>
          <w:p w:rsidR="00941306" w:rsidRDefault="00941306" w:rsidP="00CC480D">
            <w:pPr>
              <w:spacing w:line="259" w:lineRule="auto"/>
            </w:pPr>
            <w:r>
              <w:rPr>
                <w:sz w:val="16"/>
              </w:rPr>
              <w:t>Deferred tax liabilities</w:t>
            </w:r>
          </w:p>
        </w:tc>
        <w:tc>
          <w:tcPr>
            <w:tcW w:w="613" w:type="dxa"/>
            <w:tcBorders>
              <w:top w:val="nil"/>
              <w:left w:val="nil"/>
              <w:bottom w:val="nil"/>
              <w:right w:val="nil"/>
            </w:tcBorders>
          </w:tcPr>
          <w:p w:rsidR="00941306" w:rsidRDefault="00941306" w:rsidP="00CC480D">
            <w:pPr>
              <w:spacing w:line="259" w:lineRule="auto"/>
              <w:ind w:left="94"/>
            </w:pPr>
            <w:r>
              <w:rPr>
                <w:sz w:val="14"/>
              </w:rPr>
              <w:t>6B</w:t>
            </w:r>
          </w:p>
        </w:tc>
        <w:tc>
          <w:tcPr>
            <w:tcW w:w="879" w:type="dxa"/>
            <w:tcBorders>
              <w:top w:val="nil"/>
              <w:left w:val="nil"/>
              <w:bottom w:val="nil"/>
              <w:right w:val="nil"/>
            </w:tcBorders>
            <w:shd w:val="clear" w:color="auto" w:fill="F0F0F0"/>
          </w:tcPr>
          <w:p w:rsidR="00941306" w:rsidRDefault="00941306" w:rsidP="00CC480D">
            <w:pPr>
              <w:spacing w:line="259" w:lineRule="auto"/>
              <w:ind w:left="343"/>
            </w:pPr>
            <w:r>
              <w:rPr>
                <w:b/>
                <w:sz w:val="16"/>
              </w:rPr>
              <w:t>1,744</w:t>
            </w:r>
          </w:p>
        </w:tc>
        <w:tc>
          <w:tcPr>
            <w:tcW w:w="879" w:type="dxa"/>
            <w:tcBorders>
              <w:top w:val="nil"/>
              <w:left w:val="nil"/>
              <w:bottom w:val="nil"/>
              <w:right w:val="nil"/>
            </w:tcBorders>
          </w:tcPr>
          <w:p w:rsidR="00941306" w:rsidRDefault="00941306" w:rsidP="00CC480D">
            <w:pPr>
              <w:spacing w:line="259" w:lineRule="auto"/>
              <w:ind w:left="313"/>
            </w:pPr>
            <w:r>
              <w:rPr>
                <w:sz w:val="16"/>
              </w:rPr>
              <w:t xml:space="preserve"> 1,534 </w:t>
            </w:r>
          </w:p>
        </w:tc>
      </w:tr>
      <w:tr w:rsidR="00941306" w:rsidTr="00CC480D">
        <w:trPr>
          <w:trHeight w:val="252"/>
        </w:trPr>
        <w:tc>
          <w:tcPr>
            <w:tcW w:w="7551" w:type="dxa"/>
            <w:vMerge w:val="restart"/>
            <w:tcBorders>
              <w:top w:val="nil"/>
              <w:left w:val="nil"/>
              <w:bottom w:val="nil"/>
              <w:right w:val="nil"/>
            </w:tcBorders>
          </w:tcPr>
          <w:p w:rsidR="00941306" w:rsidRDefault="00941306" w:rsidP="00CC480D">
            <w:pPr>
              <w:spacing w:after="369" w:line="259" w:lineRule="auto"/>
            </w:pPr>
            <w:r>
              <w:rPr>
                <w:sz w:val="16"/>
              </w:rPr>
              <w:t>Other non-current liabilities</w:t>
            </w:r>
          </w:p>
          <w:p w:rsidR="00941306" w:rsidRDefault="00941306" w:rsidP="00CC480D">
            <w:pPr>
              <w:spacing w:after="179" w:line="259" w:lineRule="auto"/>
            </w:pPr>
            <w:r>
              <w:rPr>
                <w:b/>
                <w:sz w:val="16"/>
              </w:rPr>
              <w:t>Total liabilities</w:t>
            </w:r>
          </w:p>
          <w:p w:rsidR="00941306" w:rsidRDefault="00941306" w:rsidP="00CC480D">
            <w:pPr>
              <w:spacing w:line="259" w:lineRule="auto"/>
            </w:pPr>
            <w:r>
              <w:rPr>
                <w:b/>
                <w:sz w:val="16"/>
              </w:rPr>
              <w:t>Equity</w:t>
            </w:r>
          </w:p>
          <w:p w:rsidR="00941306" w:rsidRDefault="00941306" w:rsidP="00CC480D">
            <w:pPr>
              <w:spacing w:line="259" w:lineRule="auto"/>
            </w:pPr>
            <w:r>
              <w:rPr>
                <w:b/>
                <w:color w:val="636362"/>
                <w:sz w:val="16"/>
              </w:rPr>
              <w:t>Shareholders’ equity</w:t>
            </w:r>
          </w:p>
          <w:p w:rsidR="00941306" w:rsidRDefault="00941306" w:rsidP="00CC480D">
            <w:pPr>
              <w:spacing w:line="259" w:lineRule="auto"/>
            </w:pPr>
            <w:r>
              <w:rPr>
                <w:sz w:val="16"/>
              </w:rPr>
              <w:t>Called up share capital</w:t>
            </w:r>
          </w:p>
        </w:tc>
        <w:tc>
          <w:tcPr>
            <w:tcW w:w="613" w:type="dxa"/>
            <w:vMerge w:val="restart"/>
            <w:tcBorders>
              <w:top w:val="nil"/>
              <w:left w:val="nil"/>
              <w:bottom w:val="nil"/>
              <w:right w:val="nil"/>
            </w:tcBorders>
          </w:tcPr>
          <w:p w:rsidR="00941306" w:rsidRDefault="00941306" w:rsidP="00CC480D">
            <w:pPr>
              <w:spacing w:after="1152" w:line="259" w:lineRule="auto"/>
              <w:ind w:left="107"/>
            </w:pPr>
            <w:r>
              <w:rPr>
                <w:sz w:val="14"/>
              </w:rPr>
              <w:t>14</w:t>
            </w:r>
          </w:p>
          <w:p w:rsidR="00941306" w:rsidRDefault="00941306" w:rsidP="00CC480D">
            <w:pPr>
              <w:spacing w:line="259" w:lineRule="auto"/>
              <w:ind w:left="66"/>
            </w:pPr>
            <w:r>
              <w:rPr>
                <w:sz w:val="14"/>
              </w:rPr>
              <w:t>15A</w:t>
            </w:r>
          </w:p>
        </w:tc>
        <w:tc>
          <w:tcPr>
            <w:tcW w:w="879" w:type="dxa"/>
            <w:tcBorders>
              <w:top w:val="nil"/>
              <w:left w:val="nil"/>
              <w:bottom w:val="single" w:sz="2" w:space="0" w:color="000000"/>
              <w:right w:val="nil"/>
            </w:tcBorders>
            <w:shd w:val="clear" w:color="auto" w:fill="F0F0F0"/>
          </w:tcPr>
          <w:p w:rsidR="00941306" w:rsidRDefault="00941306" w:rsidP="00CC480D">
            <w:pPr>
              <w:spacing w:line="259" w:lineRule="auto"/>
              <w:ind w:left="455"/>
            </w:pPr>
            <w:r>
              <w:rPr>
                <w:b/>
                <w:sz w:val="16"/>
              </w:rPr>
              <w:t>393</w:t>
            </w:r>
          </w:p>
        </w:tc>
        <w:tc>
          <w:tcPr>
            <w:tcW w:w="879" w:type="dxa"/>
            <w:tcBorders>
              <w:top w:val="nil"/>
              <w:left w:val="nil"/>
              <w:bottom w:val="single" w:sz="2" w:space="0" w:color="000000"/>
              <w:right w:val="nil"/>
            </w:tcBorders>
          </w:tcPr>
          <w:p w:rsidR="00941306" w:rsidRDefault="00941306" w:rsidP="00CC480D">
            <w:pPr>
              <w:spacing w:line="259" w:lineRule="auto"/>
              <w:ind w:left="434"/>
            </w:pPr>
            <w:r>
              <w:rPr>
                <w:sz w:val="16"/>
              </w:rPr>
              <w:t xml:space="preserve"> 378 </w:t>
            </w:r>
          </w:p>
        </w:tc>
      </w:tr>
      <w:tr w:rsidR="00941306" w:rsidTr="00CC480D">
        <w:trPr>
          <w:trHeight w:val="29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single" w:sz="2" w:space="0" w:color="000000"/>
              <w:right w:val="nil"/>
            </w:tcBorders>
            <w:shd w:val="clear" w:color="auto" w:fill="F0F0F0"/>
          </w:tcPr>
          <w:p w:rsidR="00941306" w:rsidRDefault="00941306" w:rsidP="00CC480D">
            <w:pPr>
              <w:spacing w:line="259" w:lineRule="auto"/>
              <w:ind w:left="224"/>
              <w:jc w:val="center"/>
            </w:pPr>
            <w:r>
              <w:rPr>
                <w:b/>
                <w:sz w:val="16"/>
              </w:rPr>
              <w:t>16,197</w:t>
            </w:r>
          </w:p>
        </w:tc>
        <w:tc>
          <w:tcPr>
            <w:tcW w:w="879" w:type="dxa"/>
            <w:tcBorders>
              <w:top w:val="single" w:sz="2" w:space="0" w:color="000000"/>
              <w:left w:val="nil"/>
              <w:bottom w:val="single" w:sz="2" w:space="0" w:color="000000"/>
              <w:right w:val="nil"/>
            </w:tcBorders>
          </w:tcPr>
          <w:p w:rsidR="00941306" w:rsidRDefault="00941306" w:rsidP="00CC480D">
            <w:pPr>
              <w:spacing w:line="259" w:lineRule="auto"/>
              <w:ind w:left="210"/>
              <w:jc w:val="center"/>
            </w:pPr>
            <w:r>
              <w:rPr>
                <w:sz w:val="16"/>
              </w:rPr>
              <w:t xml:space="preserve"> 14,122 </w:t>
            </w:r>
          </w:p>
        </w:tc>
      </w:tr>
      <w:tr w:rsidR="00941306" w:rsidTr="00CC480D">
        <w:trPr>
          <w:trHeight w:val="29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single" w:sz="2" w:space="0" w:color="000000"/>
              <w:right w:val="nil"/>
            </w:tcBorders>
            <w:shd w:val="clear" w:color="auto" w:fill="F0F0F0"/>
          </w:tcPr>
          <w:p w:rsidR="00941306" w:rsidRDefault="00941306" w:rsidP="00CC480D">
            <w:pPr>
              <w:spacing w:line="259" w:lineRule="auto"/>
              <w:ind w:left="205"/>
              <w:jc w:val="center"/>
            </w:pPr>
            <w:r>
              <w:rPr>
                <w:b/>
                <w:sz w:val="16"/>
              </w:rPr>
              <w:t>36,216</w:t>
            </w:r>
          </w:p>
        </w:tc>
        <w:tc>
          <w:tcPr>
            <w:tcW w:w="879" w:type="dxa"/>
            <w:tcBorders>
              <w:top w:val="single" w:sz="2" w:space="0" w:color="000000"/>
              <w:left w:val="nil"/>
              <w:bottom w:val="single" w:sz="2" w:space="0" w:color="000000"/>
              <w:right w:val="nil"/>
            </w:tcBorders>
          </w:tcPr>
          <w:p w:rsidR="00941306" w:rsidRDefault="00941306" w:rsidP="00CC480D">
            <w:pPr>
              <w:spacing w:line="259" w:lineRule="auto"/>
              <w:ind w:left="194"/>
              <w:jc w:val="center"/>
            </w:pPr>
            <w:r>
              <w:rPr>
                <w:sz w:val="16"/>
              </w:rPr>
              <w:t xml:space="preserve"> 33,764 </w:t>
            </w:r>
          </w:p>
        </w:tc>
      </w:tr>
      <w:tr w:rsidR="00941306" w:rsidTr="00CC480D">
        <w:trPr>
          <w:trHeight w:val="683"/>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nil"/>
              <w:right w:val="nil"/>
            </w:tcBorders>
            <w:shd w:val="clear" w:color="auto" w:fill="F0F0F0"/>
            <w:vAlign w:val="bottom"/>
          </w:tcPr>
          <w:p w:rsidR="00941306" w:rsidRDefault="00941306" w:rsidP="00CC480D">
            <w:pPr>
              <w:spacing w:line="259" w:lineRule="auto"/>
              <w:ind w:left="451"/>
            </w:pPr>
            <w:r>
              <w:rPr>
                <w:b/>
                <w:sz w:val="16"/>
              </w:rPr>
              <w:t>484</w:t>
            </w:r>
          </w:p>
        </w:tc>
        <w:tc>
          <w:tcPr>
            <w:tcW w:w="879" w:type="dxa"/>
            <w:tcBorders>
              <w:top w:val="single" w:sz="2" w:space="0" w:color="000000"/>
              <w:left w:val="nil"/>
              <w:bottom w:val="nil"/>
              <w:right w:val="nil"/>
            </w:tcBorders>
            <w:vAlign w:val="bottom"/>
          </w:tcPr>
          <w:p w:rsidR="00941306" w:rsidRDefault="00941306" w:rsidP="00CC480D">
            <w:pPr>
              <w:spacing w:line="259" w:lineRule="auto"/>
              <w:ind w:left="424"/>
            </w:pPr>
            <w:r>
              <w:rPr>
                <w:sz w:val="16"/>
              </w:rPr>
              <w:t xml:space="preserve"> 484 </w:t>
            </w:r>
          </w:p>
        </w:tc>
      </w:tr>
      <w:tr w:rsidR="00941306" w:rsidTr="00CC480D">
        <w:trPr>
          <w:trHeight w:val="180"/>
        </w:trPr>
        <w:tc>
          <w:tcPr>
            <w:tcW w:w="7551" w:type="dxa"/>
            <w:tcBorders>
              <w:top w:val="nil"/>
              <w:left w:val="nil"/>
              <w:bottom w:val="nil"/>
              <w:right w:val="nil"/>
            </w:tcBorders>
          </w:tcPr>
          <w:p w:rsidR="00941306" w:rsidRDefault="00941306" w:rsidP="00CC480D">
            <w:pPr>
              <w:spacing w:line="259" w:lineRule="auto"/>
            </w:pPr>
            <w:r>
              <w:rPr>
                <w:sz w:val="16"/>
              </w:rPr>
              <w:t>Share premium account</w:t>
            </w:r>
          </w:p>
        </w:tc>
        <w:tc>
          <w:tcPr>
            <w:tcW w:w="613" w:type="dxa"/>
            <w:tcBorders>
              <w:top w:val="nil"/>
              <w:left w:val="nil"/>
              <w:bottom w:val="nil"/>
              <w:right w:val="nil"/>
            </w:tcBorders>
          </w:tcPr>
          <w:p w:rsidR="00941306" w:rsidRDefault="00941306" w:rsidP="00CC480D">
            <w:pPr>
              <w:spacing w:after="160" w:line="259" w:lineRule="auto"/>
            </w:pPr>
          </w:p>
        </w:tc>
        <w:tc>
          <w:tcPr>
            <w:tcW w:w="879" w:type="dxa"/>
            <w:tcBorders>
              <w:top w:val="nil"/>
              <w:left w:val="nil"/>
              <w:bottom w:val="nil"/>
              <w:right w:val="nil"/>
            </w:tcBorders>
            <w:shd w:val="clear" w:color="auto" w:fill="F0F0F0"/>
          </w:tcPr>
          <w:p w:rsidR="00941306" w:rsidRDefault="00941306" w:rsidP="00CC480D">
            <w:pPr>
              <w:spacing w:line="259" w:lineRule="auto"/>
              <w:ind w:left="464"/>
            </w:pPr>
            <w:r>
              <w:rPr>
                <w:b/>
                <w:sz w:val="16"/>
              </w:rPr>
              <w:t>152</w:t>
            </w:r>
          </w:p>
        </w:tc>
        <w:tc>
          <w:tcPr>
            <w:tcW w:w="879" w:type="dxa"/>
            <w:tcBorders>
              <w:top w:val="nil"/>
              <w:left w:val="nil"/>
              <w:bottom w:val="nil"/>
              <w:right w:val="nil"/>
            </w:tcBorders>
          </w:tcPr>
          <w:p w:rsidR="00941306" w:rsidRDefault="00941306" w:rsidP="00CC480D">
            <w:pPr>
              <w:spacing w:line="259" w:lineRule="auto"/>
              <w:ind w:left="437"/>
            </w:pPr>
            <w:r>
              <w:rPr>
                <w:sz w:val="16"/>
              </w:rPr>
              <w:t xml:space="preserve"> 145 </w:t>
            </w:r>
          </w:p>
        </w:tc>
      </w:tr>
      <w:tr w:rsidR="00941306" w:rsidTr="00CC480D">
        <w:trPr>
          <w:trHeight w:val="185"/>
        </w:trPr>
        <w:tc>
          <w:tcPr>
            <w:tcW w:w="7551" w:type="dxa"/>
            <w:tcBorders>
              <w:top w:val="nil"/>
              <w:left w:val="nil"/>
              <w:bottom w:val="nil"/>
              <w:right w:val="nil"/>
            </w:tcBorders>
          </w:tcPr>
          <w:p w:rsidR="00941306" w:rsidRDefault="00941306" w:rsidP="00CC480D">
            <w:pPr>
              <w:spacing w:line="259" w:lineRule="auto"/>
            </w:pPr>
            <w:r>
              <w:rPr>
                <w:sz w:val="16"/>
              </w:rPr>
              <w:t>Other reserves</w:t>
            </w:r>
          </w:p>
        </w:tc>
        <w:tc>
          <w:tcPr>
            <w:tcW w:w="613" w:type="dxa"/>
            <w:tcBorders>
              <w:top w:val="nil"/>
              <w:left w:val="nil"/>
              <w:bottom w:val="nil"/>
              <w:right w:val="nil"/>
            </w:tcBorders>
          </w:tcPr>
          <w:p w:rsidR="00941306" w:rsidRDefault="00941306" w:rsidP="00CC480D">
            <w:pPr>
              <w:spacing w:line="259" w:lineRule="auto"/>
              <w:ind w:left="62"/>
            </w:pPr>
            <w:r>
              <w:rPr>
                <w:sz w:val="14"/>
              </w:rPr>
              <w:t>15B</w:t>
            </w:r>
          </w:p>
        </w:tc>
        <w:tc>
          <w:tcPr>
            <w:tcW w:w="879" w:type="dxa"/>
            <w:tcBorders>
              <w:top w:val="nil"/>
              <w:left w:val="nil"/>
              <w:bottom w:val="nil"/>
              <w:right w:val="nil"/>
            </w:tcBorders>
            <w:shd w:val="clear" w:color="auto" w:fill="F0F0F0"/>
          </w:tcPr>
          <w:p w:rsidR="00941306" w:rsidRDefault="00941306" w:rsidP="00CC480D">
            <w:pPr>
              <w:spacing w:line="259" w:lineRule="auto"/>
              <w:ind w:left="295"/>
            </w:pPr>
            <w:r>
              <w:rPr>
                <w:b/>
                <w:sz w:val="16"/>
              </w:rPr>
              <w:t>(7,816)</w:t>
            </w:r>
          </w:p>
        </w:tc>
        <w:tc>
          <w:tcPr>
            <w:tcW w:w="879" w:type="dxa"/>
            <w:tcBorders>
              <w:top w:val="nil"/>
              <w:left w:val="nil"/>
              <w:bottom w:val="nil"/>
              <w:right w:val="nil"/>
            </w:tcBorders>
          </w:tcPr>
          <w:p w:rsidR="00941306" w:rsidRDefault="00941306" w:rsidP="00CC480D">
            <w:pPr>
              <w:spacing w:line="259" w:lineRule="auto"/>
              <w:ind w:left="280"/>
            </w:pPr>
            <w:r>
              <w:rPr>
                <w:sz w:val="16"/>
              </w:rPr>
              <w:t xml:space="preserve"> (7,538)</w:t>
            </w:r>
          </w:p>
        </w:tc>
      </w:tr>
      <w:tr w:rsidR="00941306" w:rsidTr="00CC480D">
        <w:trPr>
          <w:trHeight w:val="252"/>
        </w:trPr>
        <w:tc>
          <w:tcPr>
            <w:tcW w:w="7551" w:type="dxa"/>
            <w:vMerge w:val="restart"/>
            <w:tcBorders>
              <w:top w:val="nil"/>
              <w:left w:val="nil"/>
              <w:bottom w:val="nil"/>
              <w:right w:val="nil"/>
            </w:tcBorders>
          </w:tcPr>
          <w:p w:rsidR="00941306" w:rsidRDefault="00941306" w:rsidP="00CC480D">
            <w:pPr>
              <w:spacing w:after="79" w:line="259" w:lineRule="auto"/>
            </w:pPr>
            <w:r>
              <w:rPr>
                <w:sz w:val="16"/>
              </w:rPr>
              <w:t>Retained profit</w:t>
            </w:r>
          </w:p>
          <w:p w:rsidR="00941306" w:rsidRDefault="00941306" w:rsidP="00CC480D">
            <w:pPr>
              <w:spacing w:line="259" w:lineRule="auto"/>
            </w:pPr>
            <w:r>
              <w:rPr>
                <w:b/>
                <w:sz w:val="16"/>
              </w:rPr>
              <w:t>Shareholders’ equity</w:t>
            </w:r>
          </w:p>
        </w:tc>
        <w:tc>
          <w:tcPr>
            <w:tcW w:w="613" w:type="dxa"/>
            <w:vMerge w:val="restart"/>
            <w:tcBorders>
              <w:top w:val="nil"/>
              <w:left w:val="nil"/>
              <w:bottom w:val="nil"/>
              <w:right w:val="nil"/>
            </w:tcBorders>
          </w:tcPr>
          <w:p w:rsidR="00941306" w:rsidRDefault="00941306" w:rsidP="00CC480D">
            <w:pPr>
              <w:spacing w:after="160" w:line="259" w:lineRule="auto"/>
            </w:pPr>
          </w:p>
        </w:tc>
        <w:tc>
          <w:tcPr>
            <w:tcW w:w="879" w:type="dxa"/>
            <w:tcBorders>
              <w:top w:val="nil"/>
              <w:left w:val="nil"/>
              <w:bottom w:val="single" w:sz="2" w:space="0" w:color="000000"/>
              <w:right w:val="nil"/>
            </w:tcBorders>
            <w:shd w:val="clear" w:color="auto" w:fill="F0F0F0"/>
          </w:tcPr>
          <w:p w:rsidR="00941306" w:rsidRDefault="00941306" w:rsidP="00CC480D">
            <w:pPr>
              <w:spacing w:line="259" w:lineRule="auto"/>
              <w:ind w:left="214"/>
              <w:jc w:val="center"/>
            </w:pPr>
            <w:r>
              <w:rPr>
                <w:b/>
                <w:sz w:val="16"/>
              </w:rPr>
              <w:t>22,619</w:t>
            </w:r>
          </w:p>
        </w:tc>
        <w:tc>
          <w:tcPr>
            <w:tcW w:w="879" w:type="dxa"/>
            <w:tcBorders>
              <w:top w:val="nil"/>
              <w:left w:val="nil"/>
              <w:bottom w:val="single" w:sz="2" w:space="0" w:color="000000"/>
              <w:right w:val="nil"/>
            </w:tcBorders>
          </w:tcPr>
          <w:p w:rsidR="00941306" w:rsidRDefault="00941306" w:rsidP="00CC480D">
            <w:pPr>
              <w:spacing w:line="259" w:lineRule="auto"/>
              <w:ind w:left="181"/>
              <w:jc w:val="center"/>
            </w:pPr>
            <w:r>
              <w:rPr>
                <w:sz w:val="16"/>
              </w:rPr>
              <w:t xml:space="preserve"> 20,560 </w:t>
            </w:r>
          </w:p>
        </w:tc>
      </w:tr>
      <w:tr w:rsidR="00941306" w:rsidTr="00CC480D">
        <w:trPr>
          <w:trHeight w:val="228"/>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nil"/>
              <w:right w:val="nil"/>
            </w:tcBorders>
            <w:shd w:val="clear" w:color="auto" w:fill="F0F0F0"/>
          </w:tcPr>
          <w:p w:rsidR="00941306" w:rsidRDefault="00941306" w:rsidP="00CC480D">
            <w:pPr>
              <w:spacing w:line="259" w:lineRule="auto"/>
              <w:ind w:left="199"/>
              <w:jc w:val="center"/>
            </w:pPr>
            <w:r>
              <w:rPr>
                <w:b/>
                <w:sz w:val="16"/>
              </w:rPr>
              <w:t>15,439</w:t>
            </w:r>
          </w:p>
        </w:tc>
        <w:tc>
          <w:tcPr>
            <w:tcW w:w="879" w:type="dxa"/>
            <w:tcBorders>
              <w:top w:val="single" w:sz="2" w:space="0" w:color="000000"/>
              <w:left w:val="nil"/>
              <w:bottom w:val="nil"/>
              <w:right w:val="nil"/>
            </w:tcBorders>
          </w:tcPr>
          <w:p w:rsidR="00941306" w:rsidRDefault="00941306" w:rsidP="00CC480D">
            <w:pPr>
              <w:spacing w:line="259" w:lineRule="auto"/>
              <w:ind w:left="199"/>
              <w:jc w:val="center"/>
            </w:pPr>
            <w:r>
              <w:rPr>
                <w:sz w:val="16"/>
              </w:rPr>
              <w:t xml:space="preserve"> 13,651 </w:t>
            </w:r>
          </w:p>
        </w:tc>
      </w:tr>
      <w:tr w:rsidR="00941306" w:rsidTr="00CC480D">
        <w:trPr>
          <w:trHeight w:val="252"/>
        </w:trPr>
        <w:tc>
          <w:tcPr>
            <w:tcW w:w="7551" w:type="dxa"/>
            <w:vMerge w:val="restart"/>
            <w:tcBorders>
              <w:top w:val="nil"/>
              <w:left w:val="nil"/>
              <w:bottom w:val="single" w:sz="6" w:space="0" w:color="000000"/>
              <w:right w:val="nil"/>
            </w:tcBorders>
          </w:tcPr>
          <w:p w:rsidR="00941306" w:rsidRDefault="00941306" w:rsidP="00CC480D">
            <w:pPr>
              <w:spacing w:line="356" w:lineRule="auto"/>
              <w:ind w:right="5341"/>
              <w:jc w:val="both"/>
            </w:pPr>
            <w:r>
              <w:rPr>
                <w:sz w:val="16"/>
              </w:rPr>
              <w:t xml:space="preserve">Non-controlling </w:t>
            </w:r>
            <w:proofErr w:type="gramStart"/>
            <w:r>
              <w:rPr>
                <w:sz w:val="16"/>
              </w:rPr>
              <w:t>interests</w:t>
            </w:r>
            <w:proofErr w:type="gramEnd"/>
            <w:r>
              <w:rPr>
                <w:sz w:val="16"/>
              </w:rPr>
              <w:t xml:space="preserve"> </w:t>
            </w:r>
            <w:r>
              <w:rPr>
                <w:b/>
                <w:sz w:val="16"/>
              </w:rPr>
              <w:t xml:space="preserve">Total equity </w:t>
            </w:r>
          </w:p>
          <w:p w:rsidR="00941306" w:rsidRDefault="00941306" w:rsidP="00CC480D">
            <w:pPr>
              <w:spacing w:line="259" w:lineRule="auto"/>
            </w:pPr>
            <w:r>
              <w:rPr>
                <w:b/>
                <w:sz w:val="16"/>
              </w:rPr>
              <w:t>Total liabilities and equity</w:t>
            </w:r>
          </w:p>
        </w:tc>
        <w:tc>
          <w:tcPr>
            <w:tcW w:w="613" w:type="dxa"/>
            <w:vMerge w:val="restart"/>
            <w:tcBorders>
              <w:top w:val="nil"/>
              <w:left w:val="nil"/>
              <w:bottom w:val="single" w:sz="6" w:space="0" w:color="000000"/>
              <w:right w:val="nil"/>
            </w:tcBorders>
          </w:tcPr>
          <w:p w:rsidR="00941306" w:rsidRDefault="00941306" w:rsidP="00CC480D">
            <w:pPr>
              <w:spacing w:after="160" w:line="259" w:lineRule="auto"/>
            </w:pPr>
          </w:p>
        </w:tc>
        <w:tc>
          <w:tcPr>
            <w:tcW w:w="879" w:type="dxa"/>
            <w:tcBorders>
              <w:top w:val="nil"/>
              <w:left w:val="nil"/>
              <w:bottom w:val="single" w:sz="2" w:space="0" w:color="000000"/>
              <w:right w:val="nil"/>
            </w:tcBorders>
            <w:shd w:val="clear" w:color="auto" w:fill="F0F0F0"/>
          </w:tcPr>
          <w:p w:rsidR="00941306" w:rsidRDefault="00941306" w:rsidP="00CC480D">
            <w:pPr>
              <w:spacing w:line="259" w:lineRule="auto"/>
              <w:ind w:left="451"/>
            </w:pPr>
            <w:r>
              <w:rPr>
                <w:b/>
                <w:sz w:val="16"/>
              </w:rPr>
              <w:t>643</w:t>
            </w:r>
          </w:p>
        </w:tc>
        <w:tc>
          <w:tcPr>
            <w:tcW w:w="879" w:type="dxa"/>
            <w:tcBorders>
              <w:top w:val="nil"/>
              <w:left w:val="nil"/>
              <w:bottom w:val="single" w:sz="2" w:space="0" w:color="000000"/>
              <w:right w:val="nil"/>
            </w:tcBorders>
          </w:tcPr>
          <w:p w:rsidR="00941306" w:rsidRDefault="00941306" w:rsidP="00CC480D">
            <w:pPr>
              <w:spacing w:line="259" w:lineRule="auto"/>
              <w:ind w:left="455"/>
            </w:pPr>
            <w:r>
              <w:rPr>
                <w:sz w:val="16"/>
              </w:rPr>
              <w:t xml:space="preserve"> 612 </w:t>
            </w:r>
          </w:p>
        </w:tc>
      </w:tr>
      <w:tr w:rsidR="00941306" w:rsidTr="00CC480D">
        <w:trPr>
          <w:trHeight w:val="29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879" w:type="dxa"/>
            <w:tcBorders>
              <w:top w:val="single" w:sz="2" w:space="0" w:color="000000"/>
              <w:left w:val="nil"/>
              <w:bottom w:val="single" w:sz="2" w:space="0" w:color="000000"/>
              <w:right w:val="nil"/>
            </w:tcBorders>
            <w:shd w:val="clear" w:color="auto" w:fill="F0F0F0"/>
          </w:tcPr>
          <w:p w:rsidR="00941306" w:rsidRDefault="00941306" w:rsidP="00CC480D">
            <w:pPr>
              <w:spacing w:line="259" w:lineRule="auto"/>
              <w:ind w:left="205"/>
              <w:jc w:val="center"/>
            </w:pPr>
            <w:r>
              <w:rPr>
                <w:b/>
                <w:sz w:val="16"/>
              </w:rPr>
              <w:t>16,082</w:t>
            </w:r>
          </w:p>
        </w:tc>
        <w:tc>
          <w:tcPr>
            <w:tcW w:w="879" w:type="dxa"/>
            <w:tcBorders>
              <w:top w:val="single" w:sz="2" w:space="0" w:color="000000"/>
              <w:left w:val="nil"/>
              <w:bottom w:val="single" w:sz="2" w:space="0" w:color="000000"/>
              <w:right w:val="nil"/>
            </w:tcBorders>
          </w:tcPr>
          <w:p w:rsidR="00941306" w:rsidRDefault="00941306" w:rsidP="00CC480D">
            <w:pPr>
              <w:spacing w:line="259" w:lineRule="auto"/>
              <w:ind w:left="188"/>
              <w:jc w:val="center"/>
            </w:pPr>
            <w:r>
              <w:rPr>
                <w:sz w:val="16"/>
              </w:rPr>
              <w:t xml:space="preserve"> 14,263 </w:t>
            </w:r>
          </w:p>
        </w:tc>
      </w:tr>
      <w:tr w:rsidR="00941306" w:rsidTr="00CC480D">
        <w:trPr>
          <w:trHeight w:val="290"/>
        </w:trPr>
        <w:tc>
          <w:tcPr>
            <w:tcW w:w="0" w:type="auto"/>
            <w:vMerge/>
            <w:tcBorders>
              <w:top w:val="nil"/>
              <w:left w:val="nil"/>
              <w:bottom w:val="single" w:sz="6" w:space="0" w:color="000000"/>
              <w:right w:val="nil"/>
            </w:tcBorders>
          </w:tcPr>
          <w:p w:rsidR="00941306" w:rsidRDefault="00941306" w:rsidP="00CC480D">
            <w:pPr>
              <w:spacing w:after="160" w:line="259" w:lineRule="auto"/>
            </w:pPr>
          </w:p>
        </w:tc>
        <w:tc>
          <w:tcPr>
            <w:tcW w:w="0" w:type="auto"/>
            <w:vMerge/>
            <w:tcBorders>
              <w:top w:val="nil"/>
              <w:left w:val="nil"/>
              <w:bottom w:val="single" w:sz="6" w:space="0" w:color="000000"/>
              <w:right w:val="nil"/>
            </w:tcBorders>
          </w:tcPr>
          <w:p w:rsidR="00941306" w:rsidRDefault="00941306" w:rsidP="00CC480D">
            <w:pPr>
              <w:spacing w:after="160" w:line="259" w:lineRule="auto"/>
            </w:pPr>
          </w:p>
        </w:tc>
        <w:tc>
          <w:tcPr>
            <w:tcW w:w="879" w:type="dxa"/>
            <w:tcBorders>
              <w:top w:val="single" w:sz="2" w:space="0" w:color="000000"/>
              <w:left w:val="nil"/>
              <w:bottom w:val="single" w:sz="6" w:space="0" w:color="000000"/>
              <w:right w:val="nil"/>
            </w:tcBorders>
            <w:shd w:val="clear" w:color="auto" w:fill="F0F0F0"/>
          </w:tcPr>
          <w:p w:rsidR="00941306" w:rsidRDefault="00941306" w:rsidP="00CC480D">
            <w:pPr>
              <w:spacing w:line="259" w:lineRule="auto"/>
              <w:ind w:left="192"/>
              <w:jc w:val="center"/>
            </w:pPr>
            <w:r>
              <w:rPr>
                <w:b/>
                <w:sz w:val="16"/>
              </w:rPr>
              <w:t>52,298</w:t>
            </w:r>
          </w:p>
        </w:tc>
        <w:tc>
          <w:tcPr>
            <w:tcW w:w="879" w:type="dxa"/>
            <w:tcBorders>
              <w:top w:val="single" w:sz="2" w:space="0" w:color="000000"/>
              <w:left w:val="nil"/>
              <w:bottom w:val="single" w:sz="6" w:space="0" w:color="000000"/>
              <w:right w:val="nil"/>
            </w:tcBorders>
          </w:tcPr>
          <w:p w:rsidR="00941306" w:rsidRDefault="00941306" w:rsidP="00CC480D">
            <w:pPr>
              <w:spacing w:line="259" w:lineRule="auto"/>
              <w:ind w:left="179"/>
              <w:jc w:val="center"/>
            </w:pPr>
            <w:r>
              <w:rPr>
                <w:sz w:val="16"/>
              </w:rPr>
              <w:t xml:space="preserve"> 48,027 </w:t>
            </w:r>
          </w:p>
        </w:tc>
      </w:tr>
    </w:tbl>
    <w:p w:rsidR="00AF4E96" w:rsidRDefault="00AF4E96" w:rsidP="0073699A">
      <w:pPr>
        <w:jc w:val="both"/>
        <w:rPr>
          <w:sz w:val="24"/>
          <w:szCs w:val="24"/>
        </w:rPr>
      </w:pPr>
    </w:p>
    <w:p w:rsidR="00C06930" w:rsidRDefault="00C06930" w:rsidP="0073699A">
      <w:pPr>
        <w:jc w:val="both"/>
        <w:rPr>
          <w:sz w:val="24"/>
          <w:szCs w:val="24"/>
        </w:rPr>
      </w:pPr>
    </w:p>
    <w:p w:rsidR="00941306" w:rsidRPr="00941306" w:rsidRDefault="00941306" w:rsidP="00941306">
      <w:pPr>
        <w:rPr>
          <w:b/>
          <w:sz w:val="24"/>
          <w:szCs w:val="24"/>
        </w:rPr>
      </w:pPr>
      <w:r w:rsidRPr="00941306">
        <w:rPr>
          <w:b/>
          <w:sz w:val="24"/>
          <w:szCs w:val="24"/>
        </w:rPr>
        <w:t>CONSOLIDATED BALANCE SHEET</w:t>
      </w:r>
    </w:p>
    <w:p w:rsidR="00941306" w:rsidRDefault="00941306" w:rsidP="00941306">
      <w:pPr>
        <w:ind w:left="6" w:right="15"/>
      </w:pPr>
      <w:r>
        <w:t>as at 31 December</w:t>
      </w:r>
    </w:p>
    <w:p w:rsidR="00941306" w:rsidRDefault="00941306" w:rsidP="00941306">
      <w:pPr>
        <w:tabs>
          <w:tab w:val="center" w:pos="8540"/>
          <w:tab w:val="center" w:pos="9615"/>
        </w:tabs>
        <w:spacing w:line="267" w:lineRule="auto"/>
      </w:pPr>
      <w:r>
        <w:tab/>
      </w:r>
      <w:r>
        <w:rPr>
          <w:b/>
          <w:sz w:val="14"/>
        </w:rPr>
        <w:t>€ million</w:t>
      </w:r>
      <w:r>
        <w:rPr>
          <w:b/>
          <w:sz w:val="14"/>
        </w:rPr>
        <w:tab/>
      </w:r>
      <w:r>
        <w:rPr>
          <w:sz w:val="14"/>
        </w:rPr>
        <w:t>€ million</w:t>
      </w:r>
    </w:p>
    <w:p w:rsidR="00941306" w:rsidRDefault="00941306" w:rsidP="00941306">
      <w:pPr>
        <w:tabs>
          <w:tab w:val="center" w:pos="7265"/>
          <w:tab w:val="center" w:pos="8675"/>
          <w:tab w:val="center" w:pos="9751"/>
        </w:tabs>
        <w:spacing w:line="267" w:lineRule="auto"/>
      </w:pPr>
      <w:r>
        <w:tab/>
      </w:r>
      <w:r>
        <w:rPr>
          <w:sz w:val="14"/>
        </w:rPr>
        <w:t>Notes</w:t>
      </w:r>
      <w:r>
        <w:rPr>
          <w:sz w:val="14"/>
        </w:rPr>
        <w:tab/>
      </w:r>
      <w:r>
        <w:rPr>
          <w:b/>
          <w:sz w:val="14"/>
        </w:rPr>
        <w:t>2016</w:t>
      </w:r>
      <w:r>
        <w:rPr>
          <w:b/>
          <w:sz w:val="14"/>
        </w:rPr>
        <w:tab/>
      </w:r>
      <w:r>
        <w:rPr>
          <w:sz w:val="14"/>
        </w:rPr>
        <w:t>2015</w:t>
      </w:r>
    </w:p>
    <w:tbl>
      <w:tblPr>
        <w:tblStyle w:val="TableGrid0"/>
        <w:tblW w:w="9975" w:type="dxa"/>
        <w:tblInd w:w="-40" w:type="dxa"/>
        <w:tblCellMar>
          <w:left w:w="40" w:type="dxa"/>
          <w:right w:w="38" w:type="dxa"/>
        </w:tblCellMar>
        <w:tblLook w:val="04A0" w:firstRow="1" w:lastRow="0" w:firstColumn="1" w:lastColumn="0" w:noHBand="0" w:noVBand="1"/>
      </w:tblPr>
      <w:tblGrid>
        <w:gridCol w:w="7069"/>
        <w:gridCol w:w="708"/>
        <w:gridCol w:w="1139"/>
        <w:gridCol w:w="1059"/>
      </w:tblGrid>
      <w:tr w:rsidR="00941306" w:rsidTr="00CC480D">
        <w:trPr>
          <w:trHeight w:val="622"/>
        </w:trPr>
        <w:tc>
          <w:tcPr>
            <w:tcW w:w="7130" w:type="dxa"/>
            <w:tcBorders>
              <w:top w:val="single" w:sz="8" w:space="0" w:color="000000"/>
              <w:left w:val="nil"/>
              <w:bottom w:val="nil"/>
              <w:right w:val="nil"/>
            </w:tcBorders>
          </w:tcPr>
          <w:p w:rsidR="00941306" w:rsidRDefault="00941306" w:rsidP="00CC480D">
            <w:pPr>
              <w:spacing w:after="1" w:line="259" w:lineRule="auto"/>
            </w:pPr>
            <w:r>
              <w:rPr>
                <w:b/>
              </w:rPr>
              <w:t>Assets</w:t>
            </w:r>
          </w:p>
          <w:p w:rsidR="00941306" w:rsidRDefault="00941306" w:rsidP="00CC480D">
            <w:pPr>
              <w:spacing w:line="259" w:lineRule="auto"/>
            </w:pPr>
            <w:r>
              <w:rPr>
                <w:b/>
              </w:rPr>
              <w:t>Non-current assets</w:t>
            </w:r>
          </w:p>
          <w:p w:rsidR="00941306" w:rsidRDefault="00941306" w:rsidP="00CC480D">
            <w:pPr>
              <w:spacing w:line="259" w:lineRule="auto"/>
            </w:pPr>
            <w:r>
              <w:t>Goodwill</w:t>
            </w:r>
          </w:p>
        </w:tc>
        <w:tc>
          <w:tcPr>
            <w:tcW w:w="715" w:type="dxa"/>
            <w:tcBorders>
              <w:top w:val="single" w:sz="8" w:space="0" w:color="000000"/>
              <w:left w:val="nil"/>
              <w:bottom w:val="nil"/>
              <w:right w:val="nil"/>
            </w:tcBorders>
            <w:vAlign w:val="bottom"/>
          </w:tcPr>
          <w:p w:rsidR="00941306" w:rsidRDefault="00941306" w:rsidP="00CC480D">
            <w:pPr>
              <w:spacing w:line="259" w:lineRule="auto"/>
              <w:ind w:left="107"/>
            </w:pPr>
            <w:r>
              <w:rPr>
                <w:sz w:val="14"/>
              </w:rPr>
              <w:t>9</w:t>
            </w:r>
          </w:p>
        </w:tc>
        <w:tc>
          <w:tcPr>
            <w:tcW w:w="1065" w:type="dxa"/>
            <w:tcBorders>
              <w:top w:val="single" w:sz="8" w:space="0" w:color="000000"/>
              <w:left w:val="nil"/>
              <w:bottom w:val="nil"/>
              <w:right w:val="nil"/>
            </w:tcBorders>
            <w:shd w:val="clear" w:color="auto" w:fill="F2F2F2"/>
            <w:vAlign w:val="bottom"/>
          </w:tcPr>
          <w:p w:rsidR="00941306" w:rsidRDefault="00941306" w:rsidP="00CC480D">
            <w:pPr>
              <w:spacing w:line="259" w:lineRule="auto"/>
              <w:ind w:left="446"/>
            </w:pPr>
            <w:r>
              <w:rPr>
                <w:b/>
              </w:rPr>
              <w:t>17,624</w:t>
            </w:r>
          </w:p>
        </w:tc>
        <w:tc>
          <w:tcPr>
            <w:tcW w:w="1065" w:type="dxa"/>
            <w:tcBorders>
              <w:top w:val="single" w:sz="8" w:space="0" w:color="000000"/>
              <w:left w:val="nil"/>
              <w:bottom w:val="nil"/>
              <w:right w:val="nil"/>
            </w:tcBorders>
            <w:vAlign w:val="bottom"/>
          </w:tcPr>
          <w:p w:rsidR="00941306" w:rsidRDefault="00941306" w:rsidP="00CC480D">
            <w:pPr>
              <w:spacing w:line="259" w:lineRule="auto"/>
              <w:ind w:right="49"/>
              <w:jc w:val="right"/>
            </w:pPr>
            <w:r>
              <w:t>16,213</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Intangible assets</w:t>
            </w:r>
          </w:p>
        </w:tc>
        <w:tc>
          <w:tcPr>
            <w:tcW w:w="715" w:type="dxa"/>
            <w:tcBorders>
              <w:top w:val="nil"/>
              <w:left w:val="nil"/>
              <w:bottom w:val="nil"/>
              <w:right w:val="nil"/>
            </w:tcBorders>
          </w:tcPr>
          <w:p w:rsidR="00941306" w:rsidRDefault="00941306" w:rsidP="00CC480D">
            <w:pPr>
              <w:spacing w:line="259" w:lineRule="auto"/>
              <w:ind w:left="107"/>
            </w:pPr>
            <w:r>
              <w:rPr>
                <w:sz w:val="14"/>
              </w:rPr>
              <w:t>9</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9,809</w:t>
            </w:r>
          </w:p>
        </w:tc>
        <w:tc>
          <w:tcPr>
            <w:tcW w:w="1065" w:type="dxa"/>
            <w:tcBorders>
              <w:top w:val="nil"/>
              <w:left w:val="nil"/>
              <w:bottom w:val="nil"/>
              <w:right w:val="nil"/>
            </w:tcBorders>
          </w:tcPr>
          <w:p w:rsidR="00941306" w:rsidRDefault="00941306" w:rsidP="00CC480D">
            <w:pPr>
              <w:spacing w:line="259" w:lineRule="auto"/>
              <w:ind w:right="49"/>
              <w:jc w:val="right"/>
            </w:pPr>
            <w:r>
              <w:t>8,846</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Property, plant and equipment</w:t>
            </w:r>
          </w:p>
        </w:tc>
        <w:tc>
          <w:tcPr>
            <w:tcW w:w="715" w:type="dxa"/>
            <w:tcBorders>
              <w:top w:val="nil"/>
              <w:left w:val="nil"/>
              <w:bottom w:val="nil"/>
              <w:right w:val="nil"/>
            </w:tcBorders>
          </w:tcPr>
          <w:p w:rsidR="00941306" w:rsidRDefault="00941306" w:rsidP="00CC480D">
            <w:pPr>
              <w:spacing w:line="259" w:lineRule="auto"/>
              <w:ind w:left="71"/>
            </w:pPr>
            <w:r>
              <w:rPr>
                <w:sz w:val="14"/>
              </w:rPr>
              <w:t>10</w:t>
            </w:r>
          </w:p>
        </w:tc>
        <w:tc>
          <w:tcPr>
            <w:tcW w:w="1065" w:type="dxa"/>
            <w:tcBorders>
              <w:top w:val="nil"/>
              <w:left w:val="nil"/>
              <w:bottom w:val="nil"/>
              <w:right w:val="nil"/>
            </w:tcBorders>
            <w:shd w:val="clear" w:color="auto" w:fill="F2F2F2"/>
          </w:tcPr>
          <w:p w:rsidR="00941306" w:rsidRDefault="00941306" w:rsidP="00CC480D">
            <w:pPr>
              <w:spacing w:line="259" w:lineRule="auto"/>
              <w:ind w:left="446"/>
            </w:pPr>
            <w:r>
              <w:rPr>
                <w:b/>
              </w:rPr>
              <w:t>11,673</w:t>
            </w:r>
          </w:p>
        </w:tc>
        <w:tc>
          <w:tcPr>
            <w:tcW w:w="1065" w:type="dxa"/>
            <w:tcBorders>
              <w:top w:val="nil"/>
              <w:left w:val="nil"/>
              <w:bottom w:val="nil"/>
              <w:right w:val="nil"/>
            </w:tcBorders>
          </w:tcPr>
          <w:p w:rsidR="00941306" w:rsidRDefault="00941306" w:rsidP="00CC480D">
            <w:pPr>
              <w:spacing w:line="259" w:lineRule="auto"/>
              <w:ind w:right="49"/>
              <w:jc w:val="right"/>
            </w:pPr>
            <w:r>
              <w:t>11,058</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Pension asset for funded schemes in surplus</w:t>
            </w:r>
          </w:p>
        </w:tc>
        <w:tc>
          <w:tcPr>
            <w:tcW w:w="715" w:type="dxa"/>
            <w:tcBorders>
              <w:top w:val="nil"/>
              <w:left w:val="nil"/>
              <w:bottom w:val="nil"/>
              <w:right w:val="nil"/>
            </w:tcBorders>
          </w:tcPr>
          <w:p w:rsidR="00941306" w:rsidRDefault="00941306" w:rsidP="00CC480D">
            <w:pPr>
              <w:spacing w:line="259" w:lineRule="auto"/>
              <w:ind w:left="60"/>
            </w:pPr>
            <w:r>
              <w:rPr>
                <w:sz w:val="14"/>
              </w:rPr>
              <w:t>4B</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694</w:t>
            </w:r>
          </w:p>
        </w:tc>
        <w:tc>
          <w:tcPr>
            <w:tcW w:w="1065" w:type="dxa"/>
            <w:tcBorders>
              <w:top w:val="nil"/>
              <w:left w:val="nil"/>
              <w:bottom w:val="nil"/>
              <w:right w:val="nil"/>
            </w:tcBorders>
          </w:tcPr>
          <w:p w:rsidR="00941306" w:rsidRDefault="00941306" w:rsidP="00CC480D">
            <w:pPr>
              <w:spacing w:line="259" w:lineRule="auto"/>
              <w:ind w:right="49"/>
              <w:jc w:val="right"/>
            </w:pPr>
            <w:r>
              <w:t>934</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Deferred tax assets</w:t>
            </w:r>
          </w:p>
        </w:tc>
        <w:tc>
          <w:tcPr>
            <w:tcW w:w="715" w:type="dxa"/>
            <w:tcBorders>
              <w:top w:val="nil"/>
              <w:left w:val="nil"/>
              <w:bottom w:val="nil"/>
              <w:right w:val="nil"/>
            </w:tcBorders>
          </w:tcPr>
          <w:p w:rsidR="00941306" w:rsidRDefault="00941306" w:rsidP="00CC480D">
            <w:pPr>
              <w:spacing w:line="259" w:lineRule="auto"/>
              <w:ind w:left="60"/>
            </w:pPr>
            <w:r>
              <w:rPr>
                <w:sz w:val="14"/>
              </w:rPr>
              <w:t>6B</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1,354</w:t>
            </w:r>
          </w:p>
        </w:tc>
        <w:tc>
          <w:tcPr>
            <w:tcW w:w="1065" w:type="dxa"/>
            <w:tcBorders>
              <w:top w:val="nil"/>
              <w:left w:val="nil"/>
              <w:bottom w:val="nil"/>
              <w:right w:val="nil"/>
            </w:tcBorders>
          </w:tcPr>
          <w:p w:rsidR="00941306" w:rsidRDefault="00941306" w:rsidP="00CC480D">
            <w:pPr>
              <w:spacing w:line="259" w:lineRule="auto"/>
              <w:ind w:right="49"/>
              <w:jc w:val="right"/>
            </w:pPr>
            <w:r>
              <w:t>1,185</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Financial assets</w:t>
            </w:r>
          </w:p>
        </w:tc>
        <w:tc>
          <w:tcPr>
            <w:tcW w:w="715" w:type="dxa"/>
            <w:tcBorders>
              <w:top w:val="nil"/>
              <w:left w:val="nil"/>
              <w:bottom w:val="nil"/>
              <w:right w:val="nil"/>
            </w:tcBorders>
          </w:tcPr>
          <w:p w:rsidR="00941306" w:rsidRDefault="00941306" w:rsidP="00CC480D">
            <w:pPr>
              <w:spacing w:line="259" w:lineRule="auto"/>
              <w:ind w:left="28"/>
            </w:pPr>
            <w:r>
              <w:rPr>
                <w:sz w:val="14"/>
              </w:rPr>
              <w:t>17A</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673</w:t>
            </w:r>
          </w:p>
        </w:tc>
        <w:tc>
          <w:tcPr>
            <w:tcW w:w="1065" w:type="dxa"/>
            <w:tcBorders>
              <w:top w:val="nil"/>
              <w:left w:val="nil"/>
              <w:bottom w:val="nil"/>
              <w:right w:val="nil"/>
            </w:tcBorders>
          </w:tcPr>
          <w:p w:rsidR="00941306" w:rsidRDefault="00941306" w:rsidP="00CC480D">
            <w:pPr>
              <w:spacing w:line="259" w:lineRule="auto"/>
              <w:ind w:right="49"/>
              <w:jc w:val="right"/>
            </w:pPr>
            <w:r>
              <w:t>605</w:t>
            </w:r>
          </w:p>
        </w:tc>
      </w:tr>
      <w:tr w:rsidR="00941306" w:rsidTr="00CC480D">
        <w:trPr>
          <w:trHeight w:val="195"/>
        </w:trPr>
        <w:tc>
          <w:tcPr>
            <w:tcW w:w="7130" w:type="dxa"/>
            <w:vMerge w:val="restart"/>
            <w:tcBorders>
              <w:top w:val="nil"/>
              <w:left w:val="nil"/>
              <w:bottom w:val="nil"/>
              <w:right w:val="nil"/>
            </w:tcBorders>
          </w:tcPr>
          <w:p w:rsidR="00941306" w:rsidRDefault="00941306" w:rsidP="00CC480D">
            <w:pPr>
              <w:spacing w:after="264" w:line="259" w:lineRule="auto"/>
            </w:pPr>
            <w:r>
              <w:t>Other non-current assets</w:t>
            </w:r>
          </w:p>
          <w:p w:rsidR="00941306" w:rsidRDefault="00941306" w:rsidP="00CC480D">
            <w:pPr>
              <w:spacing w:line="259" w:lineRule="auto"/>
            </w:pPr>
            <w:r>
              <w:rPr>
                <w:b/>
              </w:rPr>
              <w:t>Current assets</w:t>
            </w:r>
          </w:p>
          <w:p w:rsidR="00941306" w:rsidRDefault="00941306" w:rsidP="00CC480D">
            <w:pPr>
              <w:spacing w:line="259" w:lineRule="auto"/>
            </w:pPr>
            <w:r>
              <w:t>Inventories</w:t>
            </w:r>
          </w:p>
        </w:tc>
        <w:tc>
          <w:tcPr>
            <w:tcW w:w="715" w:type="dxa"/>
            <w:vMerge w:val="restart"/>
            <w:tcBorders>
              <w:top w:val="nil"/>
              <w:left w:val="nil"/>
              <w:bottom w:val="nil"/>
              <w:right w:val="nil"/>
            </w:tcBorders>
          </w:tcPr>
          <w:p w:rsidR="00941306" w:rsidRDefault="00941306" w:rsidP="00CC480D">
            <w:pPr>
              <w:spacing w:after="475" w:line="259" w:lineRule="auto"/>
              <w:ind w:left="71"/>
            </w:pPr>
            <w:r>
              <w:rPr>
                <w:sz w:val="14"/>
              </w:rPr>
              <w:t>11</w:t>
            </w:r>
          </w:p>
          <w:p w:rsidR="00941306" w:rsidRDefault="00941306" w:rsidP="00CC480D">
            <w:pPr>
              <w:spacing w:line="259" w:lineRule="auto"/>
              <w:ind w:left="71"/>
            </w:pPr>
            <w:r>
              <w:rPr>
                <w:sz w:val="14"/>
              </w:rPr>
              <w:t>12</w:t>
            </w:r>
          </w:p>
        </w:tc>
        <w:tc>
          <w:tcPr>
            <w:tcW w:w="1065" w:type="dxa"/>
            <w:tcBorders>
              <w:top w:val="nil"/>
              <w:left w:val="nil"/>
              <w:bottom w:val="single" w:sz="4" w:space="0" w:color="000000"/>
              <w:right w:val="nil"/>
            </w:tcBorders>
            <w:shd w:val="clear" w:color="auto" w:fill="F2F2F2"/>
          </w:tcPr>
          <w:p w:rsidR="00941306" w:rsidRDefault="00941306" w:rsidP="00CC480D">
            <w:pPr>
              <w:spacing w:line="259" w:lineRule="auto"/>
              <w:ind w:right="68"/>
              <w:jc w:val="right"/>
            </w:pPr>
            <w:r>
              <w:rPr>
                <w:b/>
              </w:rPr>
              <w:t>718</w:t>
            </w:r>
          </w:p>
        </w:tc>
        <w:tc>
          <w:tcPr>
            <w:tcW w:w="1065" w:type="dxa"/>
            <w:tcBorders>
              <w:top w:val="nil"/>
              <w:left w:val="nil"/>
              <w:bottom w:val="single" w:sz="4" w:space="0" w:color="000000"/>
              <w:right w:val="nil"/>
            </w:tcBorders>
          </w:tcPr>
          <w:p w:rsidR="00941306" w:rsidRDefault="00941306" w:rsidP="00CC480D">
            <w:pPr>
              <w:spacing w:line="259" w:lineRule="auto"/>
              <w:ind w:right="49"/>
              <w:jc w:val="right"/>
            </w:pPr>
            <w:r>
              <w:t>771</w:t>
            </w:r>
          </w:p>
        </w:tc>
      </w:tr>
      <w:tr w:rsidR="00941306" w:rsidTr="00CC480D">
        <w:trPr>
          <w:trHeight w:val="27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single" w:sz="4" w:space="0" w:color="000000"/>
              <w:right w:val="nil"/>
            </w:tcBorders>
            <w:shd w:val="clear" w:color="auto" w:fill="F2F2F2"/>
          </w:tcPr>
          <w:p w:rsidR="00941306" w:rsidRDefault="00941306" w:rsidP="00CC480D">
            <w:pPr>
              <w:spacing w:line="259" w:lineRule="auto"/>
              <w:ind w:left="446"/>
            </w:pPr>
            <w:r>
              <w:rPr>
                <w:b/>
              </w:rPr>
              <w:t>42,545</w:t>
            </w:r>
          </w:p>
        </w:tc>
        <w:tc>
          <w:tcPr>
            <w:tcW w:w="1065" w:type="dxa"/>
            <w:tcBorders>
              <w:top w:val="single" w:sz="4" w:space="0" w:color="000000"/>
              <w:left w:val="nil"/>
              <w:bottom w:val="single" w:sz="4" w:space="0" w:color="000000"/>
              <w:right w:val="nil"/>
            </w:tcBorders>
          </w:tcPr>
          <w:p w:rsidR="00941306" w:rsidRDefault="00941306" w:rsidP="00CC480D">
            <w:pPr>
              <w:spacing w:line="259" w:lineRule="auto"/>
              <w:ind w:right="49"/>
              <w:jc w:val="right"/>
            </w:pPr>
            <w:r>
              <w:t>39,612</w:t>
            </w:r>
          </w:p>
        </w:tc>
      </w:tr>
      <w:tr w:rsidR="00941306" w:rsidTr="00CC480D">
        <w:trPr>
          <w:trHeight w:val="39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nil"/>
              <w:right w:val="nil"/>
            </w:tcBorders>
            <w:shd w:val="clear" w:color="auto" w:fill="F2F2F2"/>
            <w:vAlign w:val="bottom"/>
          </w:tcPr>
          <w:p w:rsidR="00941306" w:rsidRDefault="00941306" w:rsidP="00CC480D">
            <w:pPr>
              <w:spacing w:line="259" w:lineRule="auto"/>
              <w:ind w:right="68"/>
              <w:jc w:val="right"/>
            </w:pPr>
            <w:r>
              <w:rPr>
                <w:b/>
              </w:rPr>
              <w:t>4,278</w:t>
            </w:r>
          </w:p>
        </w:tc>
        <w:tc>
          <w:tcPr>
            <w:tcW w:w="1065" w:type="dxa"/>
            <w:tcBorders>
              <w:top w:val="single" w:sz="4" w:space="0" w:color="000000"/>
              <w:left w:val="nil"/>
              <w:bottom w:val="nil"/>
              <w:right w:val="nil"/>
            </w:tcBorders>
            <w:vAlign w:val="bottom"/>
          </w:tcPr>
          <w:p w:rsidR="00941306" w:rsidRDefault="00941306" w:rsidP="00CC480D">
            <w:pPr>
              <w:spacing w:line="259" w:lineRule="auto"/>
              <w:ind w:right="49"/>
              <w:jc w:val="right"/>
            </w:pPr>
            <w:r>
              <w:t>4,335</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Trade and other current receivables</w:t>
            </w:r>
          </w:p>
        </w:tc>
        <w:tc>
          <w:tcPr>
            <w:tcW w:w="715" w:type="dxa"/>
            <w:tcBorders>
              <w:top w:val="nil"/>
              <w:left w:val="nil"/>
              <w:bottom w:val="nil"/>
              <w:right w:val="nil"/>
            </w:tcBorders>
          </w:tcPr>
          <w:p w:rsidR="00941306" w:rsidRDefault="00941306" w:rsidP="00CC480D">
            <w:pPr>
              <w:spacing w:line="259" w:lineRule="auto"/>
              <w:ind w:left="71"/>
            </w:pPr>
            <w:r>
              <w:rPr>
                <w:sz w:val="14"/>
              </w:rPr>
              <w:t>13</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5,102</w:t>
            </w:r>
          </w:p>
        </w:tc>
        <w:tc>
          <w:tcPr>
            <w:tcW w:w="1065" w:type="dxa"/>
            <w:tcBorders>
              <w:top w:val="nil"/>
              <w:left w:val="nil"/>
              <w:bottom w:val="nil"/>
              <w:right w:val="nil"/>
            </w:tcBorders>
          </w:tcPr>
          <w:p w:rsidR="00941306" w:rsidRDefault="00941306" w:rsidP="00CC480D">
            <w:pPr>
              <w:spacing w:line="259" w:lineRule="auto"/>
              <w:ind w:right="49"/>
              <w:jc w:val="right"/>
            </w:pPr>
            <w:r>
              <w:t>4,804</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Current tax assets</w:t>
            </w:r>
          </w:p>
        </w:tc>
        <w:tc>
          <w:tcPr>
            <w:tcW w:w="715" w:type="dxa"/>
            <w:tcBorders>
              <w:top w:val="nil"/>
              <w:left w:val="nil"/>
              <w:bottom w:val="nil"/>
              <w:right w:val="nil"/>
            </w:tcBorders>
          </w:tcPr>
          <w:p w:rsidR="00941306" w:rsidRDefault="00941306" w:rsidP="00CC480D">
            <w:pPr>
              <w:spacing w:after="160" w:line="259" w:lineRule="auto"/>
            </w:pP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317</w:t>
            </w:r>
          </w:p>
        </w:tc>
        <w:tc>
          <w:tcPr>
            <w:tcW w:w="1065" w:type="dxa"/>
            <w:tcBorders>
              <w:top w:val="nil"/>
              <w:left w:val="nil"/>
              <w:bottom w:val="nil"/>
              <w:right w:val="nil"/>
            </w:tcBorders>
          </w:tcPr>
          <w:p w:rsidR="00941306" w:rsidRDefault="00941306" w:rsidP="00CC480D">
            <w:pPr>
              <w:spacing w:line="259" w:lineRule="auto"/>
              <w:ind w:right="49"/>
              <w:jc w:val="right"/>
            </w:pPr>
            <w:r>
              <w:t>230</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Cash and cash equivalents</w:t>
            </w:r>
          </w:p>
        </w:tc>
        <w:tc>
          <w:tcPr>
            <w:tcW w:w="715" w:type="dxa"/>
            <w:tcBorders>
              <w:top w:val="nil"/>
              <w:left w:val="nil"/>
              <w:bottom w:val="nil"/>
              <w:right w:val="nil"/>
            </w:tcBorders>
          </w:tcPr>
          <w:p w:rsidR="00941306" w:rsidRDefault="00941306" w:rsidP="00CC480D">
            <w:pPr>
              <w:spacing w:line="259" w:lineRule="auto"/>
              <w:ind w:left="28"/>
            </w:pPr>
            <w:r>
              <w:rPr>
                <w:sz w:val="14"/>
              </w:rPr>
              <w:t>17A</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3,382</w:t>
            </w:r>
          </w:p>
        </w:tc>
        <w:tc>
          <w:tcPr>
            <w:tcW w:w="1065" w:type="dxa"/>
            <w:tcBorders>
              <w:top w:val="nil"/>
              <w:left w:val="nil"/>
              <w:bottom w:val="nil"/>
              <w:right w:val="nil"/>
            </w:tcBorders>
          </w:tcPr>
          <w:p w:rsidR="00941306" w:rsidRDefault="00941306" w:rsidP="00CC480D">
            <w:pPr>
              <w:spacing w:line="259" w:lineRule="auto"/>
              <w:ind w:right="49"/>
              <w:jc w:val="right"/>
            </w:pPr>
            <w:r>
              <w:t>2,302</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Other financial assets</w:t>
            </w:r>
          </w:p>
        </w:tc>
        <w:tc>
          <w:tcPr>
            <w:tcW w:w="715" w:type="dxa"/>
            <w:tcBorders>
              <w:top w:val="nil"/>
              <w:left w:val="nil"/>
              <w:bottom w:val="nil"/>
              <w:right w:val="nil"/>
            </w:tcBorders>
          </w:tcPr>
          <w:p w:rsidR="00941306" w:rsidRDefault="00941306" w:rsidP="00CC480D">
            <w:pPr>
              <w:spacing w:line="259" w:lineRule="auto"/>
              <w:ind w:left="28"/>
            </w:pPr>
            <w:r>
              <w:rPr>
                <w:sz w:val="14"/>
              </w:rPr>
              <w:t>17A</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599</w:t>
            </w:r>
          </w:p>
        </w:tc>
        <w:tc>
          <w:tcPr>
            <w:tcW w:w="1065" w:type="dxa"/>
            <w:tcBorders>
              <w:top w:val="nil"/>
              <w:left w:val="nil"/>
              <w:bottom w:val="nil"/>
              <w:right w:val="nil"/>
            </w:tcBorders>
          </w:tcPr>
          <w:p w:rsidR="00941306" w:rsidRDefault="00941306" w:rsidP="00CC480D">
            <w:pPr>
              <w:spacing w:line="259" w:lineRule="auto"/>
              <w:ind w:right="49"/>
              <w:jc w:val="right"/>
            </w:pPr>
            <w:r>
              <w:t>836</w:t>
            </w:r>
          </w:p>
        </w:tc>
      </w:tr>
      <w:tr w:rsidR="00941306" w:rsidTr="00CC480D">
        <w:trPr>
          <w:trHeight w:val="195"/>
        </w:trPr>
        <w:tc>
          <w:tcPr>
            <w:tcW w:w="7130" w:type="dxa"/>
            <w:vMerge w:val="restart"/>
            <w:tcBorders>
              <w:top w:val="nil"/>
              <w:left w:val="nil"/>
              <w:bottom w:val="single" w:sz="8" w:space="0" w:color="000000"/>
              <w:right w:val="nil"/>
            </w:tcBorders>
          </w:tcPr>
          <w:p w:rsidR="00941306" w:rsidRDefault="00941306" w:rsidP="00CC480D">
            <w:pPr>
              <w:spacing w:after="292" w:line="259" w:lineRule="auto"/>
            </w:pPr>
            <w:r>
              <w:t>Non-current assets held for sale</w:t>
            </w:r>
          </w:p>
          <w:p w:rsidR="00941306" w:rsidRDefault="00941306" w:rsidP="00CC480D">
            <w:pPr>
              <w:spacing w:line="259" w:lineRule="auto"/>
            </w:pPr>
            <w:r>
              <w:rPr>
                <w:b/>
              </w:rPr>
              <w:t>Total assets</w:t>
            </w:r>
          </w:p>
        </w:tc>
        <w:tc>
          <w:tcPr>
            <w:tcW w:w="715" w:type="dxa"/>
            <w:vMerge w:val="restart"/>
            <w:tcBorders>
              <w:top w:val="nil"/>
              <w:left w:val="nil"/>
              <w:bottom w:val="single" w:sz="8" w:space="0" w:color="000000"/>
              <w:right w:val="nil"/>
            </w:tcBorders>
          </w:tcPr>
          <w:p w:rsidR="00941306" w:rsidRDefault="00941306" w:rsidP="00CC480D">
            <w:pPr>
              <w:spacing w:line="259" w:lineRule="auto"/>
              <w:ind w:left="71"/>
            </w:pPr>
            <w:r>
              <w:rPr>
                <w:sz w:val="14"/>
              </w:rPr>
              <w:t>22</w:t>
            </w:r>
          </w:p>
        </w:tc>
        <w:tc>
          <w:tcPr>
            <w:tcW w:w="1065" w:type="dxa"/>
            <w:tcBorders>
              <w:top w:val="nil"/>
              <w:left w:val="nil"/>
              <w:bottom w:val="single" w:sz="4" w:space="0" w:color="000000"/>
              <w:right w:val="nil"/>
            </w:tcBorders>
            <w:shd w:val="clear" w:color="auto" w:fill="F2F2F2"/>
          </w:tcPr>
          <w:p w:rsidR="00941306" w:rsidRDefault="00941306" w:rsidP="00CC480D">
            <w:pPr>
              <w:spacing w:line="259" w:lineRule="auto"/>
              <w:ind w:right="68"/>
              <w:jc w:val="right"/>
            </w:pPr>
            <w:r>
              <w:rPr>
                <w:b/>
              </w:rPr>
              <w:t>206</w:t>
            </w:r>
          </w:p>
        </w:tc>
        <w:tc>
          <w:tcPr>
            <w:tcW w:w="1065" w:type="dxa"/>
            <w:tcBorders>
              <w:top w:val="nil"/>
              <w:left w:val="nil"/>
              <w:bottom w:val="single" w:sz="4" w:space="0" w:color="000000"/>
              <w:right w:val="nil"/>
            </w:tcBorders>
          </w:tcPr>
          <w:p w:rsidR="00941306" w:rsidRDefault="00941306" w:rsidP="00CC480D">
            <w:pPr>
              <w:spacing w:line="259" w:lineRule="auto"/>
              <w:ind w:right="49"/>
              <w:jc w:val="right"/>
            </w:pPr>
            <w:r>
              <w:t>179</w:t>
            </w:r>
          </w:p>
        </w:tc>
      </w:tr>
      <w:tr w:rsidR="00941306" w:rsidTr="00CC480D">
        <w:trPr>
          <w:trHeight w:val="27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single" w:sz="4" w:space="0" w:color="000000"/>
              <w:right w:val="nil"/>
            </w:tcBorders>
            <w:shd w:val="clear" w:color="auto" w:fill="F2F2F2"/>
          </w:tcPr>
          <w:p w:rsidR="00941306" w:rsidRDefault="00941306" w:rsidP="00CC480D">
            <w:pPr>
              <w:spacing w:line="259" w:lineRule="auto"/>
              <w:ind w:left="446"/>
            </w:pPr>
            <w:r>
              <w:rPr>
                <w:b/>
              </w:rPr>
              <w:t>13,884</w:t>
            </w:r>
          </w:p>
        </w:tc>
        <w:tc>
          <w:tcPr>
            <w:tcW w:w="1065" w:type="dxa"/>
            <w:tcBorders>
              <w:top w:val="single" w:sz="4" w:space="0" w:color="000000"/>
              <w:left w:val="nil"/>
              <w:bottom w:val="single" w:sz="4" w:space="0" w:color="000000"/>
              <w:right w:val="nil"/>
            </w:tcBorders>
          </w:tcPr>
          <w:p w:rsidR="00941306" w:rsidRDefault="00941306" w:rsidP="00CC480D">
            <w:pPr>
              <w:spacing w:line="259" w:lineRule="auto"/>
              <w:ind w:right="49"/>
              <w:jc w:val="right"/>
            </w:pPr>
            <w:r>
              <w:t>12,686</w:t>
            </w:r>
          </w:p>
        </w:tc>
      </w:tr>
      <w:tr w:rsidR="00941306" w:rsidTr="00CC480D">
        <w:trPr>
          <w:trHeight w:val="275"/>
        </w:trPr>
        <w:tc>
          <w:tcPr>
            <w:tcW w:w="0" w:type="auto"/>
            <w:vMerge/>
            <w:tcBorders>
              <w:top w:val="nil"/>
              <w:left w:val="nil"/>
              <w:bottom w:val="single" w:sz="8" w:space="0" w:color="000000"/>
              <w:right w:val="nil"/>
            </w:tcBorders>
          </w:tcPr>
          <w:p w:rsidR="00941306" w:rsidRDefault="00941306" w:rsidP="00CC480D">
            <w:pPr>
              <w:spacing w:after="160" w:line="259" w:lineRule="auto"/>
            </w:pPr>
          </w:p>
        </w:tc>
        <w:tc>
          <w:tcPr>
            <w:tcW w:w="0" w:type="auto"/>
            <w:vMerge/>
            <w:tcBorders>
              <w:top w:val="nil"/>
              <w:left w:val="nil"/>
              <w:bottom w:val="single" w:sz="8" w:space="0" w:color="000000"/>
              <w:right w:val="nil"/>
            </w:tcBorders>
          </w:tcPr>
          <w:p w:rsidR="00941306" w:rsidRDefault="00941306" w:rsidP="00CC480D">
            <w:pPr>
              <w:spacing w:after="160" w:line="259" w:lineRule="auto"/>
            </w:pPr>
          </w:p>
        </w:tc>
        <w:tc>
          <w:tcPr>
            <w:tcW w:w="1065" w:type="dxa"/>
            <w:tcBorders>
              <w:top w:val="single" w:sz="4" w:space="0" w:color="000000"/>
              <w:left w:val="nil"/>
              <w:bottom w:val="single" w:sz="8" w:space="0" w:color="000000"/>
              <w:right w:val="nil"/>
            </w:tcBorders>
            <w:shd w:val="clear" w:color="auto" w:fill="F2F2F2"/>
          </w:tcPr>
          <w:p w:rsidR="00941306" w:rsidRDefault="00941306" w:rsidP="00CC480D">
            <w:pPr>
              <w:spacing w:line="259" w:lineRule="auto"/>
              <w:ind w:left="446"/>
            </w:pPr>
            <w:r>
              <w:rPr>
                <w:b/>
              </w:rPr>
              <w:t>56,429</w:t>
            </w:r>
          </w:p>
        </w:tc>
        <w:tc>
          <w:tcPr>
            <w:tcW w:w="1065" w:type="dxa"/>
            <w:tcBorders>
              <w:top w:val="single" w:sz="4" w:space="0" w:color="000000"/>
              <w:left w:val="nil"/>
              <w:bottom w:val="single" w:sz="8" w:space="0" w:color="000000"/>
              <w:right w:val="nil"/>
            </w:tcBorders>
          </w:tcPr>
          <w:p w:rsidR="00941306" w:rsidRDefault="00941306" w:rsidP="00CC480D">
            <w:pPr>
              <w:spacing w:line="259" w:lineRule="auto"/>
              <w:ind w:right="49"/>
              <w:jc w:val="right"/>
            </w:pPr>
            <w:r>
              <w:t>52,298</w:t>
            </w:r>
          </w:p>
        </w:tc>
      </w:tr>
      <w:tr w:rsidR="00941306" w:rsidTr="00CC480D">
        <w:trPr>
          <w:trHeight w:val="640"/>
        </w:trPr>
        <w:tc>
          <w:tcPr>
            <w:tcW w:w="7130" w:type="dxa"/>
            <w:tcBorders>
              <w:top w:val="single" w:sz="8" w:space="0" w:color="000000"/>
              <w:left w:val="nil"/>
              <w:bottom w:val="nil"/>
              <w:right w:val="nil"/>
            </w:tcBorders>
          </w:tcPr>
          <w:p w:rsidR="00941306" w:rsidRDefault="00941306" w:rsidP="00CC480D">
            <w:pPr>
              <w:spacing w:line="259" w:lineRule="auto"/>
            </w:pPr>
            <w:r>
              <w:rPr>
                <w:b/>
              </w:rPr>
              <w:t xml:space="preserve">Liabilities </w:t>
            </w:r>
          </w:p>
          <w:p w:rsidR="00941306" w:rsidRDefault="00941306" w:rsidP="00CC480D">
            <w:pPr>
              <w:spacing w:line="259" w:lineRule="auto"/>
            </w:pPr>
            <w:r>
              <w:rPr>
                <w:b/>
              </w:rPr>
              <w:t>Current liabilities</w:t>
            </w:r>
          </w:p>
          <w:p w:rsidR="00941306" w:rsidRDefault="00941306" w:rsidP="00CC480D">
            <w:pPr>
              <w:spacing w:line="259" w:lineRule="auto"/>
            </w:pPr>
            <w:r>
              <w:t>Financial liabilities</w:t>
            </w:r>
          </w:p>
        </w:tc>
        <w:tc>
          <w:tcPr>
            <w:tcW w:w="715" w:type="dxa"/>
            <w:tcBorders>
              <w:top w:val="single" w:sz="8" w:space="0" w:color="000000"/>
              <w:left w:val="nil"/>
              <w:bottom w:val="nil"/>
              <w:right w:val="nil"/>
            </w:tcBorders>
            <w:vAlign w:val="bottom"/>
          </w:tcPr>
          <w:p w:rsidR="00941306" w:rsidRDefault="00941306" w:rsidP="00CC480D">
            <w:pPr>
              <w:spacing w:line="259" w:lineRule="auto"/>
              <w:ind w:left="25"/>
            </w:pPr>
            <w:r>
              <w:rPr>
                <w:sz w:val="14"/>
              </w:rPr>
              <w:t>15C</w:t>
            </w:r>
          </w:p>
        </w:tc>
        <w:tc>
          <w:tcPr>
            <w:tcW w:w="1065" w:type="dxa"/>
            <w:tcBorders>
              <w:top w:val="single" w:sz="8" w:space="0" w:color="000000"/>
              <w:left w:val="nil"/>
              <w:bottom w:val="nil"/>
              <w:right w:val="nil"/>
            </w:tcBorders>
            <w:shd w:val="clear" w:color="auto" w:fill="F2F2F2"/>
            <w:vAlign w:val="bottom"/>
          </w:tcPr>
          <w:p w:rsidR="00941306" w:rsidRDefault="00941306" w:rsidP="00CC480D">
            <w:pPr>
              <w:spacing w:line="259" w:lineRule="auto"/>
              <w:ind w:right="68"/>
              <w:jc w:val="right"/>
            </w:pPr>
            <w:r>
              <w:rPr>
                <w:b/>
              </w:rPr>
              <w:t>5,450</w:t>
            </w:r>
          </w:p>
        </w:tc>
        <w:tc>
          <w:tcPr>
            <w:tcW w:w="1065" w:type="dxa"/>
            <w:tcBorders>
              <w:top w:val="single" w:sz="8" w:space="0" w:color="000000"/>
              <w:left w:val="nil"/>
              <w:bottom w:val="nil"/>
              <w:right w:val="nil"/>
            </w:tcBorders>
            <w:vAlign w:val="bottom"/>
          </w:tcPr>
          <w:p w:rsidR="00941306" w:rsidRDefault="00941306" w:rsidP="00CC480D">
            <w:pPr>
              <w:spacing w:line="259" w:lineRule="auto"/>
              <w:ind w:right="49"/>
              <w:jc w:val="right"/>
            </w:pPr>
            <w:r>
              <w:t>4,789</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Trade payables and other current liabilities</w:t>
            </w:r>
          </w:p>
        </w:tc>
        <w:tc>
          <w:tcPr>
            <w:tcW w:w="715" w:type="dxa"/>
            <w:tcBorders>
              <w:top w:val="nil"/>
              <w:left w:val="nil"/>
              <w:bottom w:val="nil"/>
              <w:right w:val="nil"/>
            </w:tcBorders>
          </w:tcPr>
          <w:p w:rsidR="00941306" w:rsidRDefault="00941306" w:rsidP="00CC480D">
            <w:pPr>
              <w:spacing w:line="259" w:lineRule="auto"/>
              <w:ind w:left="71"/>
            </w:pPr>
            <w:r>
              <w:rPr>
                <w:sz w:val="14"/>
              </w:rPr>
              <w:t>14</w:t>
            </w:r>
          </w:p>
        </w:tc>
        <w:tc>
          <w:tcPr>
            <w:tcW w:w="1065" w:type="dxa"/>
            <w:tcBorders>
              <w:top w:val="nil"/>
              <w:left w:val="nil"/>
              <w:bottom w:val="nil"/>
              <w:right w:val="nil"/>
            </w:tcBorders>
            <w:shd w:val="clear" w:color="auto" w:fill="F2F2F2"/>
          </w:tcPr>
          <w:p w:rsidR="00941306" w:rsidRDefault="00941306" w:rsidP="00CC480D">
            <w:pPr>
              <w:spacing w:line="259" w:lineRule="auto"/>
              <w:ind w:left="446"/>
            </w:pPr>
            <w:r>
              <w:rPr>
                <w:b/>
              </w:rPr>
              <w:t>13,871</w:t>
            </w:r>
          </w:p>
        </w:tc>
        <w:tc>
          <w:tcPr>
            <w:tcW w:w="1065" w:type="dxa"/>
            <w:tcBorders>
              <w:top w:val="nil"/>
              <w:left w:val="nil"/>
              <w:bottom w:val="nil"/>
              <w:right w:val="nil"/>
            </w:tcBorders>
          </w:tcPr>
          <w:p w:rsidR="00941306" w:rsidRDefault="00941306" w:rsidP="00CC480D">
            <w:pPr>
              <w:spacing w:line="259" w:lineRule="auto"/>
              <w:ind w:right="49"/>
              <w:jc w:val="right"/>
            </w:pPr>
            <w:r>
              <w:t>13,788</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Current tax liabilities</w:t>
            </w:r>
          </w:p>
        </w:tc>
        <w:tc>
          <w:tcPr>
            <w:tcW w:w="715" w:type="dxa"/>
            <w:tcBorders>
              <w:top w:val="nil"/>
              <w:left w:val="nil"/>
              <w:bottom w:val="nil"/>
              <w:right w:val="nil"/>
            </w:tcBorders>
          </w:tcPr>
          <w:p w:rsidR="00941306" w:rsidRDefault="00941306" w:rsidP="00CC480D">
            <w:pPr>
              <w:spacing w:after="160" w:line="259" w:lineRule="auto"/>
            </w:pP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844</w:t>
            </w:r>
          </w:p>
        </w:tc>
        <w:tc>
          <w:tcPr>
            <w:tcW w:w="1065" w:type="dxa"/>
            <w:tcBorders>
              <w:top w:val="nil"/>
              <w:left w:val="nil"/>
              <w:bottom w:val="nil"/>
              <w:right w:val="nil"/>
            </w:tcBorders>
          </w:tcPr>
          <w:p w:rsidR="00941306" w:rsidRDefault="00941306" w:rsidP="00CC480D">
            <w:pPr>
              <w:spacing w:line="259" w:lineRule="auto"/>
              <w:ind w:right="49"/>
              <w:jc w:val="right"/>
            </w:pPr>
            <w:r>
              <w:t>1,127</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Provisions</w:t>
            </w:r>
          </w:p>
        </w:tc>
        <w:tc>
          <w:tcPr>
            <w:tcW w:w="715" w:type="dxa"/>
            <w:tcBorders>
              <w:top w:val="nil"/>
              <w:left w:val="nil"/>
              <w:bottom w:val="nil"/>
              <w:right w:val="nil"/>
            </w:tcBorders>
          </w:tcPr>
          <w:p w:rsidR="00941306" w:rsidRDefault="00941306" w:rsidP="00CC480D">
            <w:pPr>
              <w:spacing w:line="259" w:lineRule="auto"/>
              <w:ind w:left="71"/>
            </w:pPr>
            <w:r>
              <w:rPr>
                <w:sz w:val="14"/>
              </w:rPr>
              <w:t>19</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390</w:t>
            </w:r>
          </w:p>
        </w:tc>
        <w:tc>
          <w:tcPr>
            <w:tcW w:w="1065" w:type="dxa"/>
            <w:tcBorders>
              <w:top w:val="nil"/>
              <w:left w:val="nil"/>
              <w:bottom w:val="nil"/>
              <w:right w:val="nil"/>
            </w:tcBorders>
          </w:tcPr>
          <w:p w:rsidR="00941306" w:rsidRDefault="00941306" w:rsidP="00CC480D">
            <w:pPr>
              <w:spacing w:line="259" w:lineRule="auto"/>
              <w:ind w:right="49"/>
              <w:jc w:val="right"/>
            </w:pPr>
            <w:r>
              <w:t>309</w:t>
            </w:r>
          </w:p>
        </w:tc>
      </w:tr>
      <w:tr w:rsidR="00941306" w:rsidTr="00CC480D">
        <w:trPr>
          <w:trHeight w:val="195"/>
        </w:trPr>
        <w:tc>
          <w:tcPr>
            <w:tcW w:w="7130" w:type="dxa"/>
            <w:vMerge w:val="restart"/>
            <w:tcBorders>
              <w:top w:val="nil"/>
              <w:left w:val="nil"/>
              <w:bottom w:val="nil"/>
              <w:right w:val="nil"/>
            </w:tcBorders>
          </w:tcPr>
          <w:p w:rsidR="00941306" w:rsidRDefault="00941306" w:rsidP="00CC480D">
            <w:pPr>
              <w:spacing w:after="264" w:line="259" w:lineRule="auto"/>
            </w:pPr>
            <w:r>
              <w:t>Liabilities associated with assets held for sale</w:t>
            </w:r>
          </w:p>
          <w:p w:rsidR="00941306" w:rsidRDefault="00941306" w:rsidP="00CC480D">
            <w:pPr>
              <w:spacing w:line="259" w:lineRule="auto"/>
            </w:pPr>
            <w:r>
              <w:rPr>
                <w:b/>
              </w:rPr>
              <w:t>Non-current liabilities</w:t>
            </w:r>
          </w:p>
          <w:p w:rsidR="00941306" w:rsidRDefault="00941306" w:rsidP="00CC480D">
            <w:pPr>
              <w:spacing w:line="259" w:lineRule="auto"/>
            </w:pPr>
            <w:r>
              <w:t>Financial liabilities</w:t>
            </w:r>
          </w:p>
        </w:tc>
        <w:tc>
          <w:tcPr>
            <w:tcW w:w="715" w:type="dxa"/>
            <w:vMerge w:val="restart"/>
            <w:tcBorders>
              <w:top w:val="nil"/>
              <w:left w:val="nil"/>
              <w:bottom w:val="nil"/>
              <w:right w:val="nil"/>
            </w:tcBorders>
          </w:tcPr>
          <w:p w:rsidR="00941306" w:rsidRDefault="00941306" w:rsidP="00CC480D">
            <w:pPr>
              <w:spacing w:after="475" w:line="259" w:lineRule="auto"/>
              <w:ind w:left="71"/>
            </w:pPr>
            <w:r>
              <w:rPr>
                <w:sz w:val="14"/>
              </w:rPr>
              <w:t>22</w:t>
            </w:r>
          </w:p>
          <w:p w:rsidR="00941306" w:rsidRDefault="00941306" w:rsidP="00CC480D">
            <w:pPr>
              <w:spacing w:line="259" w:lineRule="auto"/>
              <w:ind w:left="25"/>
            </w:pPr>
            <w:r>
              <w:rPr>
                <w:sz w:val="14"/>
              </w:rPr>
              <w:t>15C</w:t>
            </w:r>
          </w:p>
        </w:tc>
        <w:tc>
          <w:tcPr>
            <w:tcW w:w="1065" w:type="dxa"/>
            <w:tcBorders>
              <w:top w:val="nil"/>
              <w:left w:val="nil"/>
              <w:bottom w:val="single" w:sz="4" w:space="0" w:color="000000"/>
              <w:right w:val="nil"/>
            </w:tcBorders>
            <w:shd w:val="clear" w:color="auto" w:fill="F2F2F2"/>
          </w:tcPr>
          <w:p w:rsidR="00941306" w:rsidRDefault="00941306" w:rsidP="00CC480D">
            <w:pPr>
              <w:spacing w:line="259" w:lineRule="auto"/>
              <w:ind w:right="68"/>
              <w:jc w:val="right"/>
            </w:pPr>
            <w:r>
              <w:rPr>
                <w:b/>
              </w:rPr>
              <w:t>1</w:t>
            </w:r>
          </w:p>
        </w:tc>
        <w:tc>
          <w:tcPr>
            <w:tcW w:w="1065" w:type="dxa"/>
            <w:tcBorders>
              <w:top w:val="nil"/>
              <w:left w:val="nil"/>
              <w:bottom w:val="single" w:sz="4" w:space="0" w:color="000000"/>
              <w:right w:val="nil"/>
            </w:tcBorders>
          </w:tcPr>
          <w:p w:rsidR="00941306" w:rsidRDefault="00941306" w:rsidP="00CC480D">
            <w:pPr>
              <w:spacing w:line="259" w:lineRule="auto"/>
              <w:ind w:right="49"/>
              <w:jc w:val="right"/>
            </w:pPr>
            <w:r>
              <w:t>6</w:t>
            </w:r>
          </w:p>
        </w:tc>
      </w:tr>
      <w:tr w:rsidR="00941306" w:rsidTr="00CC480D">
        <w:trPr>
          <w:trHeight w:val="27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single" w:sz="4" w:space="0" w:color="000000"/>
              <w:right w:val="nil"/>
            </w:tcBorders>
            <w:shd w:val="clear" w:color="auto" w:fill="F2F2F2"/>
          </w:tcPr>
          <w:p w:rsidR="00941306" w:rsidRDefault="00941306" w:rsidP="00CC480D">
            <w:pPr>
              <w:spacing w:line="259" w:lineRule="auto"/>
              <w:ind w:left="446"/>
            </w:pPr>
            <w:r>
              <w:rPr>
                <w:b/>
              </w:rPr>
              <w:t>20,556</w:t>
            </w:r>
          </w:p>
        </w:tc>
        <w:tc>
          <w:tcPr>
            <w:tcW w:w="1065" w:type="dxa"/>
            <w:tcBorders>
              <w:top w:val="single" w:sz="4" w:space="0" w:color="000000"/>
              <w:left w:val="nil"/>
              <w:bottom w:val="single" w:sz="4" w:space="0" w:color="000000"/>
              <w:right w:val="nil"/>
            </w:tcBorders>
          </w:tcPr>
          <w:p w:rsidR="00941306" w:rsidRDefault="00941306" w:rsidP="00CC480D">
            <w:pPr>
              <w:spacing w:line="259" w:lineRule="auto"/>
              <w:ind w:right="49"/>
              <w:jc w:val="right"/>
            </w:pPr>
            <w:r>
              <w:t>20,019</w:t>
            </w:r>
          </w:p>
        </w:tc>
      </w:tr>
      <w:tr w:rsidR="00941306" w:rsidTr="00CC480D">
        <w:trPr>
          <w:trHeight w:val="39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nil"/>
              <w:right w:val="nil"/>
            </w:tcBorders>
            <w:shd w:val="clear" w:color="auto" w:fill="F2F2F2"/>
            <w:vAlign w:val="bottom"/>
          </w:tcPr>
          <w:p w:rsidR="00941306" w:rsidRDefault="00941306" w:rsidP="00CC480D">
            <w:pPr>
              <w:spacing w:line="259" w:lineRule="auto"/>
              <w:ind w:left="446"/>
            </w:pPr>
            <w:r>
              <w:rPr>
                <w:b/>
              </w:rPr>
              <w:t>11,145</w:t>
            </w:r>
          </w:p>
        </w:tc>
        <w:tc>
          <w:tcPr>
            <w:tcW w:w="1065" w:type="dxa"/>
            <w:tcBorders>
              <w:top w:val="single" w:sz="4" w:space="0" w:color="000000"/>
              <w:left w:val="nil"/>
              <w:bottom w:val="nil"/>
              <w:right w:val="nil"/>
            </w:tcBorders>
            <w:vAlign w:val="bottom"/>
          </w:tcPr>
          <w:p w:rsidR="00941306" w:rsidRDefault="00941306" w:rsidP="00CC480D">
            <w:pPr>
              <w:spacing w:line="259" w:lineRule="auto"/>
              <w:ind w:right="49"/>
              <w:jc w:val="right"/>
            </w:pPr>
            <w:r>
              <w:t>9,854</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Non-current tax liabilities</w:t>
            </w:r>
          </w:p>
        </w:tc>
        <w:tc>
          <w:tcPr>
            <w:tcW w:w="715" w:type="dxa"/>
            <w:tcBorders>
              <w:top w:val="nil"/>
              <w:left w:val="nil"/>
              <w:bottom w:val="nil"/>
              <w:right w:val="nil"/>
            </w:tcBorders>
          </w:tcPr>
          <w:p w:rsidR="00941306" w:rsidRDefault="00941306" w:rsidP="00CC480D">
            <w:pPr>
              <w:spacing w:after="160" w:line="259" w:lineRule="auto"/>
            </w:pP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120</w:t>
            </w:r>
          </w:p>
        </w:tc>
        <w:tc>
          <w:tcPr>
            <w:tcW w:w="1065" w:type="dxa"/>
            <w:tcBorders>
              <w:top w:val="nil"/>
              <w:left w:val="nil"/>
              <w:bottom w:val="nil"/>
              <w:right w:val="nil"/>
            </w:tcBorders>
          </w:tcPr>
          <w:p w:rsidR="00941306" w:rsidRDefault="00941306" w:rsidP="00CC480D">
            <w:pPr>
              <w:spacing w:line="259" w:lineRule="auto"/>
              <w:ind w:right="49"/>
              <w:jc w:val="right"/>
            </w:pPr>
            <w:r>
              <w:t>121</w:t>
            </w:r>
          </w:p>
        </w:tc>
      </w:tr>
      <w:tr w:rsidR="00941306" w:rsidTr="00CC480D">
        <w:trPr>
          <w:trHeight w:val="390"/>
        </w:trPr>
        <w:tc>
          <w:tcPr>
            <w:tcW w:w="7130" w:type="dxa"/>
            <w:tcBorders>
              <w:top w:val="nil"/>
              <w:left w:val="nil"/>
              <w:bottom w:val="nil"/>
              <w:right w:val="nil"/>
            </w:tcBorders>
          </w:tcPr>
          <w:p w:rsidR="00941306" w:rsidRDefault="00941306" w:rsidP="00CC480D">
            <w:pPr>
              <w:spacing w:line="259" w:lineRule="auto"/>
              <w:ind w:right="2904"/>
            </w:pPr>
            <w:r>
              <w:t>Pensions and post-retirement healthcare liabilities:    Funded schemes in deficit</w:t>
            </w:r>
          </w:p>
        </w:tc>
        <w:tc>
          <w:tcPr>
            <w:tcW w:w="715" w:type="dxa"/>
            <w:tcBorders>
              <w:top w:val="nil"/>
              <w:left w:val="nil"/>
              <w:bottom w:val="nil"/>
              <w:right w:val="nil"/>
            </w:tcBorders>
            <w:vAlign w:val="bottom"/>
          </w:tcPr>
          <w:p w:rsidR="00941306" w:rsidRDefault="00941306" w:rsidP="00CC480D">
            <w:pPr>
              <w:spacing w:line="259" w:lineRule="auto"/>
              <w:ind w:left="60"/>
            </w:pPr>
            <w:r>
              <w:rPr>
                <w:sz w:val="14"/>
              </w:rPr>
              <w:t>4B</w:t>
            </w:r>
          </w:p>
        </w:tc>
        <w:tc>
          <w:tcPr>
            <w:tcW w:w="1065" w:type="dxa"/>
            <w:tcBorders>
              <w:top w:val="nil"/>
              <w:left w:val="nil"/>
              <w:bottom w:val="nil"/>
              <w:right w:val="nil"/>
            </w:tcBorders>
            <w:shd w:val="clear" w:color="auto" w:fill="F2F2F2"/>
            <w:vAlign w:val="bottom"/>
          </w:tcPr>
          <w:p w:rsidR="00941306" w:rsidRDefault="00941306" w:rsidP="00CC480D">
            <w:pPr>
              <w:spacing w:line="259" w:lineRule="auto"/>
              <w:ind w:right="68"/>
              <w:jc w:val="right"/>
            </w:pPr>
            <w:r>
              <w:rPr>
                <w:b/>
              </w:rPr>
              <w:t>2,163</w:t>
            </w:r>
          </w:p>
        </w:tc>
        <w:tc>
          <w:tcPr>
            <w:tcW w:w="1065" w:type="dxa"/>
            <w:tcBorders>
              <w:top w:val="nil"/>
              <w:left w:val="nil"/>
              <w:bottom w:val="nil"/>
              <w:right w:val="nil"/>
            </w:tcBorders>
            <w:vAlign w:val="bottom"/>
          </w:tcPr>
          <w:p w:rsidR="00941306" w:rsidRDefault="00941306" w:rsidP="00CC480D">
            <w:pPr>
              <w:spacing w:line="259" w:lineRule="auto"/>
              <w:ind w:right="49"/>
              <w:jc w:val="right"/>
            </w:pPr>
            <w:r>
              <w:t>1,569</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 xml:space="preserve">   Unfunded schemes</w:t>
            </w:r>
          </w:p>
        </w:tc>
        <w:tc>
          <w:tcPr>
            <w:tcW w:w="715" w:type="dxa"/>
            <w:tcBorders>
              <w:top w:val="nil"/>
              <w:left w:val="nil"/>
              <w:bottom w:val="nil"/>
              <w:right w:val="nil"/>
            </w:tcBorders>
          </w:tcPr>
          <w:p w:rsidR="00941306" w:rsidRDefault="00941306" w:rsidP="00CC480D">
            <w:pPr>
              <w:spacing w:line="259" w:lineRule="auto"/>
              <w:ind w:left="60"/>
            </w:pPr>
            <w:r>
              <w:rPr>
                <w:sz w:val="14"/>
              </w:rPr>
              <w:t>4B</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1,704</w:t>
            </w:r>
          </w:p>
        </w:tc>
        <w:tc>
          <w:tcPr>
            <w:tcW w:w="1065" w:type="dxa"/>
            <w:tcBorders>
              <w:top w:val="nil"/>
              <w:left w:val="nil"/>
              <w:bottom w:val="nil"/>
              <w:right w:val="nil"/>
            </w:tcBorders>
          </w:tcPr>
          <w:p w:rsidR="00941306" w:rsidRDefault="00941306" w:rsidP="00CC480D">
            <w:pPr>
              <w:spacing w:line="259" w:lineRule="auto"/>
              <w:ind w:right="49"/>
              <w:jc w:val="right"/>
            </w:pPr>
            <w:r>
              <w:t>1,685</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Provisions</w:t>
            </w:r>
          </w:p>
        </w:tc>
        <w:tc>
          <w:tcPr>
            <w:tcW w:w="715" w:type="dxa"/>
            <w:tcBorders>
              <w:top w:val="nil"/>
              <w:left w:val="nil"/>
              <w:bottom w:val="nil"/>
              <w:right w:val="nil"/>
            </w:tcBorders>
          </w:tcPr>
          <w:p w:rsidR="00941306" w:rsidRDefault="00941306" w:rsidP="00CC480D">
            <w:pPr>
              <w:spacing w:line="259" w:lineRule="auto"/>
              <w:ind w:left="71"/>
            </w:pPr>
            <w:r>
              <w:rPr>
                <w:sz w:val="14"/>
              </w:rPr>
              <w:t>19</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1,033</w:t>
            </w:r>
          </w:p>
        </w:tc>
        <w:tc>
          <w:tcPr>
            <w:tcW w:w="1065" w:type="dxa"/>
            <w:tcBorders>
              <w:top w:val="nil"/>
              <w:left w:val="nil"/>
              <w:bottom w:val="nil"/>
              <w:right w:val="nil"/>
            </w:tcBorders>
          </w:tcPr>
          <w:p w:rsidR="00941306" w:rsidRDefault="00941306" w:rsidP="00CC480D">
            <w:pPr>
              <w:spacing w:line="259" w:lineRule="auto"/>
              <w:ind w:right="49"/>
              <w:jc w:val="right"/>
            </w:pPr>
            <w:r>
              <w:t>831</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Deferred tax liabilities</w:t>
            </w:r>
          </w:p>
        </w:tc>
        <w:tc>
          <w:tcPr>
            <w:tcW w:w="715" w:type="dxa"/>
            <w:tcBorders>
              <w:top w:val="nil"/>
              <w:left w:val="nil"/>
              <w:bottom w:val="nil"/>
              <w:right w:val="nil"/>
            </w:tcBorders>
          </w:tcPr>
          <w:p w:rsidR="00941306" w:rsidRDefault="00941306" w:rsidP="00CC480D">
            <w:pPr>
              <w:spacing w:line="259" w:lineRule="auto"/>
              <w:ind w:left="60"/>
            </w:pPr>
            <w:r>
              <w:rPr>
                <w:sz w:val="14"/>
              </w:rPr>
              <w:t>6B</w:t>
            </w: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2,061</w:t>
            </w:r>
          </w:p>
        </w:tc>
        <w:tc>
          <w:tcPr>
            <w:tcW w:w="1065" w:type="dxa"/>
            <w:tcBorders>
              <w:top w:val="nil"/>
              <w:left w:val="nil"/>
              <w:bottom w:val="nil"/>
              <w:right w:val="nil"/>
            </w:tcBorders>
          </w:tcPr>
          <w:p w:rsidR="00941306" w:rsidRDefault="00941306" w:rsidP="00CC480D">
            <w:pPr>
              <w:spacing w:line="259" w:lineRule="auto"/>
              <w:ind w:right="49"/>
              <w:jc w:val="right"/>
            </w:pPr>
            <w:r>
              <w:t>1,744</w:t>
            </w:r>
          </w:p>
        </w:tc>
      </w:tr>
      <w:tr w:rsidR="00941306" w:rsidTr="00CC480D">
        <w:trPr>
          <w:trHeight w:val="195"/>
        </w:trPr>
        <w:tc>
          <w:tcPr>
            <w:tcW w:w="7130" w:type="dxa"/>
            <w:vMerge w:val="restart"/>
            <w:tcBorders>
              <w:top w:val="nil"/>
              <w:left w:val="nil"/>
              <w:bottom w:val="nil"/>
              <w:right w:val="nil"/>
            </w:tcBorders>
          </w:tcPr>
          <w:p w:rsidR="00941306" w:rsidRDefault="00941306" w:rsidP="00CC480D">
            <w:pPr>
              <w:spacing w:after="292" w:line="259" w:lineRule="auto"/>
            </w:pPr>
            <w:r>
              <w:t>Other non-current liabilities</w:t>
            </w:r>
          </w:p>
          <w:p w:rsidR="00941306" w:rsidRDefault="00941306" w:rsidP="00CC480D">
            <w:pPr>
              <w:spacing w:after="81" w:line="259" w:lineRule="auto"/>
            </w:pPr>
            <w:r>
              <w:rPr>
                <w:b/>
              </w:rPr>
              <w:lastRenderedPageBreak/>
              <w:t>Total liabilities</w:t>
            </w:r>
          </w:p>
          <w:p w:rsidR="00941306" w:rsidRDefault="00941306" w:rsidP="00CC480D">
            <w:pPr>
              <w:spacing w:line="259" w:lineRule="auto"/>
            </w:pPr>
            <w:r>
              <w:rPr>
                <w:b/>
              </w:rPr>
              <w:t>Equity</w:t>
            </w:r>
          </w:p>
          <w:p w:rsidR="00941306" w:rsidRDefault="00941306" w:rsidP="00CC480D">
            <w:pPr>
              <w:spacing w:line="259" w:lineRule="auto"/>
            </w:pPr>
            <w:r>
              <w:rPr>
                <w:b/>
              </w:rPr>
              <w:t>Shareholders’ equity</w:t>
            </w:r>
          </w:p>
          <w:p w:rsidR="00941306" w:rsidRDefault="00941306" w:rsidP="00CC480D">
            <w:pPr>
              <w:spacing w:line="259" w:lineRule="auto"/>
            </w:pPr>
            <w:r>
              <w:t>Called up share capital</w:t>
            </w:r>
          </w:p>
        </w:tc>
        <w:tc>
          <w:tcPr>
            <w:tcW w:w="715" w:type="dxa"/>
            <w:vMerge w:val="restart"/>
            <w:tcBorders>
              <w:top w:val="nil"/>
              <w:left w:val="nil"/>
              <w:bottom w:val="nil"/>
              <w:right w:val="nil"/>
            </w:tcBorders>
          </w:tcPr>
          <w:p w:rsidR="00941306" w:rsidRDefault="00941306" w:rsidP="00CC480D">
            <w:pPr>
              <w:spacing w:after="1000" w:line="259" w:lineRule="auto"/>
              <w:ind w:left="71"/>
            </w:pPr>
            <w:r>
              <w:rPr>
                <w:sz w:val="14"/>
              </w:rPr>
              <w:lastRenderedPageBreak/>
              <w:t>14</w:t>
            </w:r>
          </w:p>
          <w:p w:rsidR="00941306" w:rsidRDefault="00941306" w:rsidP="00CC480D">
            <w:pPr>
              <w:spacing w:line="259" w:lineRule="auto"/>
              <w:ind w:left="28"/>
            </w:pPr>
            <w:r>
              <w:rPr>
                <w:sz w:val="14"/>
              </w:rPr>
              <w:t>15A</w:t>
            </w:r>
          </w:p>
        </w:tc>
        <w:tc>
          <w:tcPr>
            <w:tcW w:w="1065" w:type="dxa"/>
            <w:tcBorders>
              <w:top w:val="nil"/>
              <w:left w:val="nil"/>
              <w:bottom w:val="single" w:sz="4" w:space="0" w:color="000000"/>
              <w:right w:val="nil"/>
            </w:tcBorders>
            <w:shd w:val="clear" w:color="auto" w:fill="F2F2F2"/>
          </w:tcPr>
          <w:p w:rsidR="00941306" w:rsidRDefault="00941306" w:rsidP="00CC480D">
            <w:pPr>
              <w:spacing w:line="259" w:lineRule="auto"/>
              <w:ind w:right="68"/>
              <w:jc w:val="right"/>
            </w:pPr>
            <w:r>
              <w:rPr>
                <w:b/>
              </w:rPr>
              <w:t>667</w:t>
            </w:r>
          </w:p>
        </w:tc>
        <w:tc>
          <w:tcPr>
            <w:tcW w:w="1065" w:type="dxa"/>
            <w:tcBorders>
              <w:top w:val="nil"/>
              <w:left w:val="nil"/>
              <w:bottom w:val="single" w:sz="4" w:space="0" w:color="000000"/>
              <w:right w:val="nil"/>
            </w:tcBorders>
          </w:tcPr>
          <w:p w:rsidR="00941306" w:rsidRDefault="00941306" w:rsidP="00CC480D">
            <w:pPr>
              <w:spacing w:line="259" w:lineRule="auto"/>
              <w:ind w:right="49"/>
              <w:jc w:val="right"/>
            </w:pPr>
            <w:r>
              <w:t>393</w:t>
            </w:r>
          </w:p>
        </w:tc>
      </w:tr>
      <w:tr w:rsidR="00941306" w:rsidTr="00CC480D">
        <w:trPr>
          <w:trHeight w:val="27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single" w:sz="4" w:space="0" w:color="000000"/>
              <w:right w:val="nil"/>
            </w:tcBorders>
            <w:shd w:val="clear" w:color="auto" w:fill="F2F2F2"/>
          </w:tcPr>
          <w:p w:rsidR="00941306" w:rsidRDefault="00941306" w:rsidP="00CC480D">
            <w:pPr>
              <w:spacing w:line="259" w:lineRule="auto"/>
              <w:ind w:left="446"/>
            </w:pPr>
            <w:r>
              <w:rPr>
                <w:b/>
              </w:rPr>
              <w:t>18,893</w:t>
            </w:r>
          </w:p>
        </w:tc>
        <w:tc>
          <w:tcPr>
            <w:tcW w:w="1065" w:type="dxa"/>
            <w:tcBorders>
              <w:top w:val="single" w:sz="4" w:space="0" w:color="000000"/>
              <w:left w:val="nil"/>
              <w:bottom w:val="single" w:sz="4" w:space="0" w:color="000000"/>
              <w:right w:val="nil"/>
            </w:tcBorders>
          </w:tcPr>
          <w:p w:rsidR="00941306" w:rsidRDefault="00941306" w:rsidP="00CC480D">
            <w:pPr>
              <w:spacing w:line="259" w:lineRule="auto"/>
              <w:ind w:right="49"/>
              <w:jc w:val="right"/>
            </w:pPr>
            <w:r>
              <w:t>16,197</w:t>
            </w:r>
          </w:p>
        </w:tc>
      </w:tr>
      <w:tr w:rsidR="00941306" w:rsidTr="00CC480D">
        <w:trPr>
          <w:trHeight w:val="27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single" w:sz="4" w:space="0" w:color="000000"/>
              <w:right w:val="nil"/>
            </w:tcBorders>
            <w:shd w:val="clear" w:color="auto" w:fill="F2F2F2"/>
          </w:tcPr>
          <w:p w:rsidR="00941306" w:rsidRDefault="00941306" w:rsidP="00CC480D">
            <w:pPr>
              <w:spacing w:line="259" w:lineRule="auto"/>
              <w:ind w:left="446"/>
            </w:pPr>
            <w:r>
              <w:rPr>
                <w:b/>
              </w:rPr>
              <w:t>39,449</w:t>
            </w:r>
          </w:p>
        </w:tc>
        <w:tc>
          <w:tcPr>
            <w:tcW w:w="1065" w:type="dxa"/>
            <w:tcBorders>
              <w:top w:val="single" w:sz="4" w:space="0" w:color="000000"/>
              <w:left w:val="nil"/>
              <w:bottom w:val="single" w:sz="4" w:space="0" w:color="000000"/>
              <w:right w:val="nil"/>
            </w:tcBorders>
          </w:tcPr>
          <w:p w:rsidR="00941306" w:rsidRDefault="00941306" w:rsidP="00CC480D">
            <w:pPr>
              <w:spacing w:line="259" w:lineRule="auto"/>
              <w:ind w:right="49"/>
              <w:jc w:val="right"/>
            </w:pPr>
            <w:r>
              <w:t>36,216</w:t>
            </w:r>
          </w:p>
        </w:tc>
      </w:tr>
      <w:tr w:rsidR="00941306" w:rsidTr="00CC480D">
        <w:trPr>
          <w:trHeight w:val="645"/>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nil"/>
              <w:right w:val="nil"/>
            </w:tcBorders>
            <w:shd w:val="clear" w:color="auto" w:fill="F2F2F2"/>
            <w:vAlign w:val="bottom"/>
          </w:tcPr>
          <w:p w:rsidR="00941306" w:rsidRDefault="00941306" w:rsidP="00CC480D">
            <w:pPr>
              <w:spacing w:line="259" w:lineRule="auto"/>
              <w:ind w:right="68"/>
              <w:jc w:val="right"/>
            </w:pPr>
            <w:r>
              <w:rPr>
                <w:b/>
              </w:rPr>
              <w:t>484</w:t>
            </w:r>
          </w:p>
        </w:tc>
        <w:tc>
          <w:tcPr>
            <w:tcW w:w="1065" w:type="dxa"/>
            <w:tcBorders>
              <w:top w:val="single" w:sz="4" w:space="0" w:color="000000"/>
              <w:left w:val="nil"/>
              <w:bottom w:val="nil"/>
              <w:right w:val="nil"/>
            </w:tcBorders>
            <w:vAlign w:val="bottom"/>
          </w:tcPr>
          <w:p w:rsidR="00941306" w:rsidRDefault="00941306" w:rsidP="00CC480D">
            <w:pPr>
              <w:spacing w:line="259" w:lineRule="auto"/>
              <w:ind w:right="49"/>
              <w:jc w:val="right"/>
            </w:pPr>
            <w:r>
              <w:t>484</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Share premium account</w:t>
            </w:r>
          </w:p>
        </w:tc>
        <w:tc>
          <w:tcPr>
            <w:tcW w:w="715" w:type="dxa"/>
            <w:tcBorders>
              <w:top w:val="nil"/>
              <w:left w:val="nil"/>
              <w:bottom w:val="nil"/>
              <w:right w:val="nil"/>
            </w:tcBorders>
          </w:tcPr>
          <w:p w:rsidR="00941306" w:rsidRDefault="00941306" w:rsidP="00CC480D">
            <w:pPr>
              <w:spacing w:after="160" w:line="259" w:lineRule="auto"/>
            </w:pPr>
          </w:p>
        </w:tc>
        <w:tc>
          <w:tcPr>
            <w:tcW w:w="1065" w:type="dxa"/>
            <w:tcBorders>
              <w:top w:val="nil"/>
              <w:left w:val="nil"/>
              <w:bottom w:val="nil"/>
              <w:right w:val="nil"/>
            </w:tcBorders>
            <w:shd w:val="clear" w:color="auto" w:fill="F2F2F2"/>
          </w:tcPr>
          <w:p w:rsidR="00941306" w:rsidRDefault="00941306" w:rsidP="00CC480D">
            <w:pPr>
              <w:spacing w:line="259" w:lineRule="auto"/>
              <w:ind w:right="68"/>
              <w:jc w:val="right"/>
            </w:pPr>
            <w:r>
              <w:rPr>
                <w:b/>
              </w:rPr>
              <w:t>134</w:t>
            </w:r>
          </w:p>
        </w:tc>
        <w:tc>
          <w:tcPr>
            <w:tcW w:w="1065" w:type="dxa"/>
            <w:tcBorders>
              <w:top w:val="nil"/>
              <w:left w:val="nil"/>
              <w:bottom w:val="nil"/>
              <w:right w:val="nil"/>
            </w:tcBorders>
          </w:tcPr>
          <w:p w:rsidR="00941306" w:rsidRDefault="00941306" w:rsidP="00CC480D">
            <w:pPr>
              <w:spacing w:line="259" w:lineRule="auto"/>
              <w:ind w:right="49"/>
              <w:jc w:val="right"/>
            </w:pPr>
            <w:r>
              <w:t>152</w:t>
            </w:r>
          </w:p>
        </w:tc>
      </w:tr>
      <w:tr w:rsidR="00941306" w:rsidTr="00CC480D">
        <w:trPr>
          <w:trHeight w:val="195"/>
        </w:trPr>
        <w:tc>
          <w:tcPr>
            <w:tcW w:w="7130" w:type="dxa"/>
            <w:tcBorders>
              <w:top w:val="nil"/>
              <w:left w:val="nil"/>
              <w:bottom w:val="nil"/>
              <w:right w:val="nil"/>
            </w:tcBorders>
          </w:tcPr>
          <w:p w:rsidR="00941306" w:rsidRDefault="00941306" w:rsidP="00CC480D">
            <w:pPr>
              <w:spacing w:line="259" w:lineRule="auto"/>
            </w:pPr>
            <w:r>
              <w:t>Other reserves</w:t>
            </w:r>
          </w:p>
        </w:tc>
        <w:tc>
          <w:tcPr>
            <w:tcW w:w="715" w:type="dxa"/>
            <w:tcBorders>
              <w:top w:val="nil"/>
              <w:left w:val="nil"/>
              <w:bottom w:val="nil"/>
              <w:right w:val="nil"/>
            </w:tcBorders>
          </w:tcPr>
          <w:p w:rsidR="00941306" w:rsidRDefault="00941306" w:rsidP="00CC480D">
            <w:pPr>
              <w:spacing w:line="259" w:lineRule="auto"/>
              <w:ind w:left="24"/>
            </w:pPr>
            <w:r>
              <w:rPr>
                <w:sz w:val="14"/>
              </w:rPr>
              <w:t>15B</w:t>
            </w:r>
          </w:p>
        </w:tc>
        <w:tc>
          <w:tcPr>
            <w:tcW w:w="1065" w:type="dxa"/>
            <w:tcBorders>
              <w:top w:val="nil"/>
              <w:left w:val="nil"/>
              <w:bottom w:val="nil"/>
              <w:right w:val="nil"/>
            </w:tcBorders>
            <w:shd w:val="clear" w:color="auto" w:fill="F2F2F2"/>
          </w:tcPr>
          <w:p w:rsidR="00941306" w:rsidRDefault="00941306" w:rsidP="00CC480D">
            <w:pPr>
              <w:spacing w:line="259" w:lineRule="auto"/>
              <w:ind w:right="6"/>
              <w:jc w:val="right"/>
            </w:pPr>
            <w:r>
              <w:rPr>
                <w:b/>
              </w:rPr>
              <w:t>(7,443)</w:t>
            </w:r>
          </w:p>
        </w:tc>
        <w:tc>
          <w:tcPr>
            <w:tcW w:w="1065" w:type="dxa"/>
            <w:tcBorders>
              <w:top w:val="nil"/>
              <w:left w:val="nil"/>
              <w:bottom w:val="nil"/>
              <w:right w:val="nil"/>
            </w:tcBorders>
          </w:tcPr>
          <w:p w:rsidR="00941306" w:rsidRDefault="00941306" w:rsidP="00CC480D">
            <w:pPr>
              <w:spacing w:line="259" w:lineRule="auto"/>
              <w:jc w:val="right"/>
            </w:pPr>
            <w:r>
              <w:t>(7,816)</w:t>
            </w:r>
          </w:p>
        </w:tc>
      </w:tr>
      <w:tr w:rsidR="00941306" w:rsidTr="00CC480D">
        <w:trPr>
          <w:trHeight w:val="195"/>
        </w:trPr>
        <w:tc>
          <w:tcPr>
            <w:tcW w:w="7130" w:type="dxa"/>
            <w:vMerge w:val="restart"/>
            <w:tcBorders>
              <w:top w:val="nil"/>
              <w:left w:val="nil"/>
              <w:bottom w:val="nil"/>
              <w:right w:val="nil"/>
            </w:tcBorders>
          </w:tcPr>
          <w:p w:rsidR="00941306" w:rsidRDefault="00941306" w:rsidP="00CC480D">
            <w:pPr>
              <w:spacing w:line="259" w:lineRule="auto"/>
            </w:pPr>
            <w:r>
              <w:t>Retained profit</w:t>
            </w:r>
          </w:p>
        </w:tc>
        <w:tc>
          <w:tcPr>
            <w:tcW w:w="715" w:type="dxa"/>
            <w:vMerge w:val="restart"/>
            <w:tcBorders>
              <w:top w:val="nil"/>
              <w:left w:val="nil"/>
              <w:bottom w:val="nil"/>
              <w:right w:val="nil"/>
            </w:tcBorders>
          </w:tcPr>
          <w:p w:rsidR="00941306" w:rsidRDefault="00941306" w:rsidP="00CC480D">
            <w:pPr>
              <w:spacing w:after="160" w:line="259" w:lineRule="auto"/>
            </w:pPr>
          </w:p>
        </w:tc>
        <w:tc>
          <w:tcPr>
            <w:tcW w:w="1065" w:type="dxa"/>
            <w:tcBorders>
              <w:top w:val="nil"/>
              <w:left w:val="nil"/>
              <w:bottom w:val="single" w:sz="4" w:space="0" w:color="000000"/>
              <w:right w:val="nil"/>
            </w:tcBorders>
            <w:shd w:val="clear" w:color="auto" w:fill="F2F2F2"/>
          </w:tcPr>
          <w:p w:rsidR="00941306" w:rsidRDefault="00941306" w:rsidP="00CC480D">
            <w:pPr>
              <w:spacing w:line="259" w:lineRule="auto"/>
              <w:ind w:left="446"/>
            </w:pPr>
            <w:r>
              <w:rPr>
                <w:b/>
              </w:rPr>
              <w:t>23,179</w:t>
            </w:r>
          </w:p>
        </w:tc>
        <w:tc>
          <w:tcPr>
            <w:tcW w:w="1065" w:type="dxa"/>
            <w:tcBorders>
              <w:top w:val="nil"/>
              <w:left w:val="nil"/>
              <w:bottom w:val="single" w:sz="4" w:space="0" w:color="000000"/>
              <w:right w:val="nil"/>
            </w:tcBorders>
          </w:tcPr>
          <w:p w:rsidR="00941306" w:rsidRDefault="00941306" w:rsidP="00CC480D">
            <w:pPr>
              <w:spacing w:line="259" w:lineRule="auto"/>
              <w:ind w:right="49"/>
              <w:jc w:val="right"/>
            </w:pPr>
            <w:r>
              <w:t>22,619</w:t>
            </w:r>
          </w:p>
        </w:tc>
      </w:tr>
      <w:tr w:rsidR="00941306" w:rsidTr="00CC480D">
        <w:trPr>
          <w:trHeight w:val="251"/>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nil"/>
              <w:right w:val="nil"/>
            </w:tcBorders>
            <w:shd w:val="clear" w:color="auto" w:fill="F2F2F2"/>
          </w:tcPr>
          <w:p w:rsidR="00941306" w:rsidRDefault="00941306" w:rsidP="00CC480D">
            <w:pPr>
              <w:spacing w:line="259" w:lineRule="auto"/>
              <w:ind w:left="446"/>
            </w:pPr>
            <w:r>
              <w:rPr>
                <w:b/>
              </w:rPr>
              <w:t>16,354</w:t>
            </w:r>
          </w:p>
        </w:tc>
        <w:tc>
          <w:tcPr>
            <w:tcW w:w="1065" w:type="dxa"/>
            <w:tcBorders>
              <w:top w:val="single" w:sz="4" w:space="0" w:color="000000"/>
              <w:left w:val="nil"/>
              <w:bottom w:val="nil"/>
              <w:right w:val="nil"/>
            </w:tcBorders>
          </w:tcPr>
          <w:p w:rsidR="00941306" w:rsidRDefault="00941306" w:rsidP="00CC480D">
            <w:pPr>
              <w:spacing w:line="259" w:lineRule="auto"/>
              <w:ind w:right="49"/>
              <w:jc w:val="right"/>
            </w:pPr>
            <w:r>
              <w:t>15,439</w:t>
            </w:r>
          </w:p>
        </w:tc>
      </w:tr>
      <w:tr w:rsidR="00941306" w:rsidTr="00CC480D">
        <w:trPr>
          <w:trHeight w:val="214"/>
        </w:trPr>
        <w:tc>
          <w:tcPr>
            <w:tcW w:w="7130" w:type="dxa"/>
            <w:vMerge w:val="restart"/>
            <w:tcBorders>
              <w:top w:val="nil"/>
              <w:left w:val="nil"/>
              <w:bottom w:val="single" w:sz="8" w:space="0" w:color="000000"/>
              <w:right w:val="nil"/>
            </w:tcBorders>
          </w:tcPr>
          <w:p w:rsidR="00941306" w:rsidRDefault="00941306" w:rsidP="00CC480D">
            <w:pPr>
              <w:spacing w:after="22" w:line="259" w:lineRule="auto"/>
            </w:pPr>
            <w:r>
              <w:t>Non-controlling interests</w:t>
            </w:r>
          </w:p>
          <w:p w:rsidR="00941306" w:rsidRDefault="00941306" w:rsidP="00CC480D">
            <w:pPr>
              <w:spacing w:after="59" w:line="259" w:lineRule="auto"/>
            </w:pPr>
            <w:r>
              <w:rPr>
                <w:b/>
              </w:rPr>
              <w:t xml:space="preserve">Total equity </w:t>
            </w:r>
          </w:p>
          <w:p w:rsidR="00941306" w:rsidRDefault="00941306" w:rsidP="00CC480D">
            <w:pPr>
              <w:spacing w:line="259" w:lineRule="auto"/>
            </w:pPr>
            <w:r>
              <w:rPr>
                <w:b/>
              </w:rPr>
              <w:t>Total liabilities and equity</w:t>
            </w:r>
          </w:p>
        </w:tc>
        <w:tc>
          <w:tcPr>
            <w:tcW w:w="715" w:type="dxa"/>
            <w:vMerge w:val="restart"/>
            <w:tcBorders>
              <w:top w:val="nil"/>
              <w:left w:val="nil"/>
              <w:bottom w:val="single" w:sz="8" w:space="0" w:color="000000"/>
              <w:right w:val="nil"/>
            </w:tcBorders>
          </w:tcPr>
          <w:p w:rsidR="00941306" w:rsidRDefault="00941306" w:rsidP="00CC480D">
            <w:pPr>
              <w:spacing w:after="160" w:line="259" w:lineRule="auto"/>
            </w:pPr>
          </w:p>
        </w:tc>
        <w:tc>
          <w:tcPr>
            <w:tcW w:w="1065" w:type="dxa"/>
            <w:tcBorders>
              <w:top w:val="nil"/>
              <w:left w:val="nil"/>
              <w:bottom w:val="single" w:sz="4" w:space="0" w:color="000000"/>
              <w:right w:val="nil"/>
            </w:tcBorders>
            <w:shd w:val="clear" w:color="auto" w:fill="F2F2F2"/>
          </w:tcPr>
          <w:p w:rsidR="00941306" w:rsidRDefault="00941306" w:rsidP="00CC480D">
            <w:pPr>
              <w:spacing w:line="259" w:lineRule="auto"/>
              <w:ind w:right="68"/>
              <w:jc w:val="right"/>
            </w:pPr>
            <w:r>
              <w:rPr>
                <w:b/>
              </w:rPr>
              <w:t>626</w:t>
            </w:r>
          </w:p>
        </w:tc>
        <w:tc>
          <w:tcPr>
            <w:tcW w:w="1065" w:type="dxa"/>
            <w:tcBorders>
              <w:top w:val="nil"/>
              <w:left w:val="nil"/>
              <w:bottom w:val="single" w:sz="4" w:space="0" w:color="000000"/>
              <w:right w:val="nil"/>
            </w:tcBorders>
          </w:tcPr>
          <w:p w:rsidR="00941306" w:rsidRDefault="00941306" w:rsidP="00CC480D">
            <w:pPr>
              <w:spacing w:line="259" w:lineRule="auto"/>
              <w:ind w:right="49"/>
              <w:jc w:val="right"/>
            </w:pPr>
            <w:r>
              <w:t>643</w:t>
            </w:r>
          </w:p>
        </w:tc>
      </w:tr>
      <w:tr w:rsidR="00941306" w:rsidTr="00CC480D">
        <w:trPr>
          <w:trHeight w:val="27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1065" w:type="dxa"/>
            <w:tcBorders>
              <w:top w:val="single" w:sz="4" w:space="0" w:color="000000"/>
              <w:left w:val="nil"/>
              <w:bottom w:val="single" w:sz="4" w:space="0" w:color="000000"/>
              <w:right w:val="nil"/>
            </w:tcBorders>
            <w:shd w:val="clear" w:color="auto" w:fill="F2F2F2"/>
          </w:tcPr>
          <w:p w:rsidR="00941306" w:rsidRDefault="00941306" w:rsidP="00CC480D">
            <w:pPr>
              <w:spacing w:line="259" w:lineRule="auto"/>
              <w:ind w:left="446"/>
            </w:pPr>
            <w:r>
              <w:rPr>
                <w:b/>
              </w:rPr>
              <w:t>16,980</w:t>
            </w:r>
          </w:p>
        </w:tc>
        <w:tc>
          <w:tcPr>
            <w:tcW w:w="1065" w:type="dxa"/>
            <w:tcBorders>
              <w:top w:val="single" w:sz="4" w:space="0" w:color="000000"/>
              <w:left w:val="nil"/>
              <w:bottom w:val="single" w:sz="4" w:space="0" w:color="000000"/>
              <w:right w:val="nil"/>
            </w:tcBorders>
          </w:tcPr>
          <w:p w:rsidR="00941306" w:rsidRDefault="00941306" w:rsidP="00CC480D">
            <w:pPr>
              <w:spacing w:line="259" w:lineRule="auto"/>
              <w:ind w:right="49"/>
              <w:jc w:val="right"/>
            </w:pPr>
            <w:r>
              <w:t>16,082</w:t>
            </w:r>
          </w:p>
        </w:tc>
      </w:tr>
      <w:tr w:rsidR="00941306" w:rsidTr="00CC480D">
        <w:trPr>
          <w:trHeight w:val="273"/>
        </w:trPr>
        <w:tc>
          <w:tcPr>
            <w:tcW w:w="0" w:type="auto"/>
            <w:vMerge/>
            <w:tcBorders>
              <w:top w:val="nil"/>
              <w:left w:val="nil"/>
              <w:bottom w:val="single" w:sz="8" w:space="0" w:color="000000"/>
              <w:right w:val="nil"/>
            </w:tcBorders>
          </w:tcPr>
          <w:p w:rsidR="00941306" w:rsidRDefault="00941306" w:rsidP="00CC480D">
            <w:pPr>
              <w:spacing w:after="160" w:line="259" w:lineRule="auto"/>
            </w:pPr>
          </w:p>
        </w:tc>
        <w:tc>
          <w:tcPr>
            <w:tcW w:w="0" w:type="auto"/>
            <w:vMerge/>
            <w:tcBorders>
              <w:top w:val="nil"/>
              <w:left w:val="nil"/>
              <w:bottom w:val="single" w:sz="8" w:space="0" w:color="000000"/>
              <w:right w:val="nil"/>
            </w:tcBorders>
          </w:tcPr>
          <w:p w:rsidR="00941306" w:rsidRDefault="00941306" w:rsidP="00CC480D">
            <w:pPr>
              <w:spacing w:after="160" w:line="259" w:lineRule="auto"/>
            </w:pPr>
          </w:p>
        </w:tc>
        <w:tc>
          <w:tcPr>
            <w:tcW w:w="1065" w:type="dxa"/>
            <w:tcBorders>
              <w:top w:val="single" w:sz="4" w:space="0" w:color="000000"/>
              <w:left w:val="nil"/>
              <w:bottom w:val="single" w:sz="8" w:space="0" w:color="000000"/>
              <w:right w:val="nil"/>
            </w:tcBorders>
            <w:shd w:val="clear" w:color="auto" w:fill="F2F2F2"/>
          </w:tcPr>
          <w:p w:rsidR="00941306" w:rsidRDefault="00941306" w:rsidP="00CC480D">
            <w:pPr>
              <w:spacing w:line="259" w:lineRule="auto"/>
              <w:ind w:left="446"/>
            </w:pPr>
            <w:r>
              <w:rPr>
                <w:b/>
              </w:rPr>
              <w:t>56,429</w:t>
            </w:r>
          </w:p>
        </w:tc>
        <w:tc>
          <w:tcPr>
            <w:tcW w:w="1065" w:type="dxa"/>
            <w:tcBorders>
              <w:top w:val="single" w:sz="4" w:space="0" w:color="000000"/>
              <w:left w:val="nil"/>
              <w:bottom w:val="single" w:sz="8" w:space="0" w:color="000000"/>
              <w:right w:val="nil"/>
            </w:tcBorders>
          </w:tcPr>
          <w:p w:rsidR="00941306" w:rsidRDefault="00941306" w:rsidP="00CC480D">
            <w:pPr>
              <w:spacing w:line="259" w:lineRule="auto"/>
              <w:ind w:right="49"/>
              <w:jc w:val="right"/>
            </w:pPr>
            <w:r>
              <w:t>52,298</w:t>
            </w:r>
          </w:p>
        </w:tc>
      </w:tr>
    </w:tbl>
    <w:p w:rsidR="00941306" w:rsidRDefault="00941306" w:rsidP="0073699A">
      <w:pPr>
        <w:jc w:val="both"/>
        <w:rPr>
          <w:sz w:val="24"/>
          <w:szCs w:val="24"/>
        </w:rPr>
      </w:pPr>
    </w:p>
    <w:p w:rsidR="00941306" w:rsidRDefault="00941306" w:rsidP="0073699A">
      <w:pPr>
        <w:jc w:val="both"/>
        <w:rPr>
          <w:sz w:val="24"/>
          <w:szCs w:val="24"/>
        </w:rPr>
      </w:pPr>
    </w:p>
    <w:p w:rsidR="00941306" w:rsidRPr="00941306" w:rsidRDefault="00941306" w:rsidP="00941306">
      <w:pPr>
        <w:rPr>
          <w:b/>
          <w:sz w:val="24"/>
          <w:szCs w:val="24"/>
        </w:rPr>
      </w:pPr>
      <w:r w:rsidRPr="00941306">
        <w:rPr>
          <w:b/>
          <w:sz w:val="24"/>
          <w:szCs w:val="24"/>
        </w:rPr>
        <w:t xml:space="preserve">CONSOLIDATED BALANCE SHEET </w:t>
      </w:r>
    </w:p>
    <w:p w:rsidR="00941306" w:rsidRDefault="00941306" w:rsidP="00941306">
      <w:pPr>
        <w:spacing w:after="17"/>
        <w:ind w:left="-2" w:right="15"/>
      </w:pPr>
      <w:r>
        <w:t xml:space="preserve">as at 31 December </w:t>
      </w:r>
    </w:p>
    <w:p w:rsidR="00941306" w:rsidRDefault="00941306" w:rsidP="00941306">
      <w:pPr>
        <w:tabs>
          <w:tab w:val="center" w:pos="9027"/>
          <w:tab w:val="right" w:pos="10205"/>
        </w:tabs>
        <w:spacing w:after="10"/>
      </w:pPr>
      <w:r>
        <w:tab/>
      </w:r>
      <w:r>
        <w:rPr>
          <w:b/>
          <w:sz w:val="14"/>
        </w:rPr>
        <w:t xml:space="preserve">€ million </w:t>
      </w:r>
      <w:r>
        <w:rPr>
          <w:b/>
          <w:sz w:val="14"/>
        </w:rPr>
        <w:tab/>
      </w:r>
      <w:r>
        <w:rPr>
          <w:sz w:val="14"/>
        </w:rPr>
        <w:t xml:space="preserve">€ million </w:t>
      </w:r>
    </w:p>
    <w:p w:rsidR="00941306" w:rsidRDefault="00941306" w:rsidP="00941306">
      <w:pPr>
        <w:tabs>
          <w:tab w:val="center" w:pos="8339"/>
          <w:tab w:val="center" w:pos="9163"/>
          <w:tab w:val="right" w:pos="10205"/>
        </w:tabs>
        <w:spacing w:after="10"/>
      </w:pPr>
      <w:r>
        <w:tab/>
      </w:r>
      <w:r>
        <w:rPr>
          <w:sz w:val="14"/>
        </w:rPr>
        <w:t xml:space="preserve">Notes </w:t>
      </w:r>
      <w:r>
        <w:rPr>
          <w:sz w:val="14"/>
        </w:rPr>
        <w:tab/>
      </w:r>
      <w:r>
        <w:rPr>
          <w:b/>
          <w:sz w:val="14"/>
        </w:rPr>
        <w:t xml:space="preserve">2018 </w:t>
      </w:r>
      <w:r>
        <w:rPr>
          <w:b/>
          <w:sz w:val="14"/>
        </w:rPr>
        <w:tab/>
      </w:r>
      <w:r>
        <w:rPr>
          <w:sz w:val="14"/>
        </w:rPr>
        <w:t xml:space="preserve">2017 </w:t>
      </w:r>
    </w:p>
    <w:tbl>
      <w:tblPr>
        <w:tblStyle w:val="TableGrid0"/>
        <w:tblW w:w="10205" w:type="dxa"/>
        <w:tblInd w:w="0" w:type="dxa"/>
        <w:tblCellMar>
          <w:top w:w="8" w:type="dxa"/>
          <w:bottom w:w="8" w:type="dxa"/>
          <w:right w:w="10" w:type="dxa"/>
        </w:tblCellMar>
        <w:tblLook w:val="04A0" w:firstRow="1" w:lastRow="0" w:firstColumn="1" w:lastColumn="0" w:noHBand="0" w:noVBand="1"/>
      </w:tblPr>
      <w:tblGrid>
        <w:gridCol w:w="8107"/>
        <w:gridCol w:w="457"/>
        <w:gridCol w:w="803"/>
        <w:gridCol w:w="838"/>
      </w:tblGrid>
      <w:tr w:rsidR="00941306" w:rsidTr="00CC480D">
        <w:trPr>
          <w:trHeight w:val="684"/>
        </w:trPr>
        <w:tc>
          <w:tcPr>
            <w:tcW w:w="8156" w:type="dxa"/>
            <w:tcBorders>
              <w:top w:val="single" w:sz="4" w:space="0" w:color="000000"/>
              <w:left w:val="nil"/>
              <w:bottom w:val="nil"/>
              <w:right w:val="nil"/>
            </w:tcBorders>
          </w:tcPr>
          <w:p w:rsidR="00941306" w:rsidRDefault="00941306" w:rsidP="00CC480D">
            <w:pPr>
              <w:spacing w:after="9" w:line="259" w:lineRule="auto"/>
            </w:pPr>
            <w:r>
              <w:rPr>
                <w:b/>
              </w:rPr>
              <w:t xml:space="preserve">Assets </w:t>
            </w:r>
          </w:p>
          <w:p w:rsidR="00941306" w:rsidRDefault="00941306" w:rsidP="00CC480D">
            <w:pPr>
              <w:spacing w:line="259" w:lineRule="auto"/>
              <w:ind w:right="6094"/>
            </w:pPr>
            <w:r>
              <w:rPr>
                <w:b/>
              </w:rPr>
              <w:t xml:space="preserve">Non-current assets </w:t>
            </w:r>
            <w:r>
              <w:t xml:space="preserve">Goodwill </w:t>
            </w:r>
          </w:p>
        </w:tc>
        <w:tc>
          <w:tcPr>
            <w:tcW w:w="461" w:type="dxa"/>
            <w:tcBorders>
              <w:top w:val="single" w:sz="4" w:space="0" w:color="000000"/>
              <w:left w:val="nil"/>
              <w:bottom w:val="nil"/>
              <w:right w:val="nil"/>
            </w:tcBorders>
            <w:vAlign w:val="bottom"/>
          </w:tcPr>
          <w:p w:rsidR="00941306" w:rsidRDefault="00941306" w:rsidP="00CC480D">
            <w:pPr>
              <w:spacing w:line="259" w:lineRule="auto"/>
              <w:ind w:left="206"/>
              <w:jc w:val="center"/>
            </w:pPr>
            <w:r>
              <w:rPr>
                <w:sz w:val="14"/>
              </w:rPr>
              <w:t>9</w:t>
            </w:r>
          </w:p>
        </w:tc>
        <w:tc>
          <w:tcPr>
            <w:tcW w:w="794" w:type="dxa"/>
            <w:tcBorders>
              <w:top w:val="single" w:sz="4" w:space="0" w:color="000000"/>
              <w:left w:val="nil"/>
              <w:bottom w:val="nil"/>
              <w:right w:val="nil"/>
            </w:tcBorders>
            <w:shd w:val="clear" w:color="auto" w:fill="F2F2F2"/>
            <w:vAlign w:val="bottom"/>
          </w:tcPr>
          <w:p w:rsidR="00941306" w:rsidRDefault="00941306" w:rsidP="00CC480D">
            <w:pPr>
              <w:spacing w:line="259" w:lineRule="auto"/>
              <w:ind w:right="86"/>
              <w:jc w:val="right"/>
            </w:pPr>
            <w:r>
              <w:rPr>
                <w:b/>
              </w:rPr>
              <w:t xml:space="preserve"> 17,341 </w:t>
            </w:r>
          </w:p>
        </w:tc>
        <w:tc>
          <w:tcPr>
            <w:tcW w:w="794" w:type="dxa"/>
            <w:tcBorders>
              <w:top w:val="single" w:sz="4" w:space="0" w:color="000000"/>
              <w:left w:val="nil"/>
              <w:bottom w:val="nil"/>
              <w:right w:val="nil"/>
            </w:tcBorders>
            <w:vAlign w:val="bottom"/>
          </w:tcPr>
          <w:p w:rsidR="00941306" w:rsidRDefault="00941306" w:rsidP="00CC480D">
            <w:pPr>
              <w:spacing w:line="259" w:lineRule="auto"/>
              <w:ind w:right="86"/>
              <w:jc w:val="right"/>
            </w:pPr>
            <w:r>
              <w:t xml:space="preserve">16,881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Intangible assets </w:t>
            </w:r>
          </w:p>
        </w:tc>
        <w:tc>
          <w:tcPr>
            <w:tcW w:w="461" w:type="dxa"/>
            <w:tcBorders>
              <w:top w:val="nil"/>
              <w:left w:val="nil"/>
              <w:bottom w:val="nil"/>
              <w:right w:val="nil"/>
            </w:tcBorders>
          </w:tcPr>
          <w:p w:rsidR="00941306" w:rsidRDefault="00941306" w:rsidP="00CC480D">
            <w:pPr>
              <w:spacing w:line="259" w:lineRule="auto"/>
              <w:ind w:left="206"/>
              <w:jc w:val="center"/>
            </w:pPr>
            <w:r>
              <w:rPr>
                <w:sz w:val="14"/>
              </w:rPr>
              <w:t>9</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12,152 </w:t>
            </w:r>
          </w:p>
        </w:tc>
        <w:tc>
          <w:tcPr>
            <w:tcW w:w="794" w:type="dxa"/>
            <w:tcBorders>
              <w:top w:val="nil"/>
              <w:left w:val="nil"/>
              <w:bottom w:val="nil"/>
              <w:right w:val="nil"/>
            </w:tcBorders>
          </w:tcPr>
          <w:p w:rsidR="00941306" w:rsidRDefault="00941306" w:rsidP="00CC480D">
            <w:pPr>
              <w:spacing w:line="259" w:lineRule="auto"/>
              <w:ind w:right="86"/>
              <w:jc w:val="right"/>
            </w:pPr>
            <w:r>
              <w:t xml:space="preserve">11,520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Property, plant and equipment </w:t>
            </w:r>
          </w:p>
        </w:tc>
        <w:tc>
          <w:tcPr>
            <w:tcW w:w="461" w:type="dxa"/>
            <w:tcBorders>
              <w:top w:val="nil"/>
              <w:left w:val="nil"/>
              <w:bottom w:val="nil"/>
              <w:right w:val="nil"/>
            </w:tcBorders>
          </w:tcPr>
          <w:p w:rsidR="00941306" w:rsidRDefault="00941306" w:rsidP="00CC480D">
            <w:pPr>
              <w:spacing w:line="259" w:lineRule="auto"/>
              <w:ind w:left="134"/>
              <w:jc w:val="center"/>
            </w:pPr>
            <w:r>
              <w:rPr>
                <w:sz w:val="14"/>
              </w:rPr>
              <w:t>10</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10,347 </w:t>
            </w:r>
          </w:p>
        </w:tc>
        <w:tc>
          <w:tcPr>
            <w:tcW w:w="794" w:type="dxa"/>
            <w:tcBorders>
              <w:top w:val="nil"/>
              <w:left w:val="nil"/>
              <w:bottom w:val="nil"/>
              <w:right w:val="nil"/>
            </w:tcBorders>
          </w:tcPr>
          <w:p w:rsidR="00941306" w:rsidRDefault="00941306" w:rsidP="00CC480D">
            <w:pPr>
              <w:spacing w:line="259" w:lineRule="auto"/>
              <w:ind w:right="86"/>
              <w:jc w:val="right"/>
            </w:pPr>
            <w:r>
              <w:t xml:space="preserve">10,411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Pension asset for funded schemes in surplus </w:t>
            </w:r>
          </w:p>
        </w:tc>
        <w:tc>
          <w:tcPr>
            <w:tcW w:w="461" w:type="dxa"/>
            <w:tcBorders>
              <w:top w:val="nil"/>
              <w:left w:val="nil"/>
              <w:bottom w:val="nil"/>
              <w:right w:val="nil"/>
            </w:tcBorders>
          </w:tcPr>
          <w:p w:rsidR="00941306" w:rsidRDefault="00941306" w:rsidP="00CC480D">
            <w:pPr>
              <w:spacing w:line="259" w:lineRule="auto"/>
              <w:ind w:left="112"/>
              <w:jc w:val="center"/>
            </w:pPr>
            <w:r>
              <w:rPr>
                <w:sz w:val="14"/>
              </w:rPr>
              <w:t>4B</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1,728 </w:t>
            </w:r>
          </w:p>
        </w:tc>
        <w:tc>
          <w:tcPr>
            <w:tcW w:w="794" w:type="dxa"/>
            <w:tcBorders>
              <w:top w:val="nil"/>
              <w:left w:val="nil"/>
              <w:bottom w:val="nil"/>
              <w:right w:val="nil"/>
            </w:tcBorders>
          </w:tcPr>
          <w:p w:rsidR="00941306" w:rsidRDefault="00941306" w:rsidP="00CC480D">
            <w:pPr>
              <w:spacing w:line="259" w:lineRule="auto"/>
              <w:ind w:right="86"/>
              <w:jc w:val="right"/>
            </w:pPr>
            <w:r>
              <w:t xml:space="preserve">2,173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Deferred tax assets </w:t>
            </w:r>
          </w:p>
        </w:tc>
        <w:tc>
          <w:tcPr>
            <w:tcW w:w="461" w:type="dxa"/>
            <w:tcBorders>
              <w:top w:val="nil"/>
              <w:left w:val="nil"/>
              <w:bottom w:val="nil"/>
              <w:right w:val="nil"/>
            </w:tcBorders>
          </w:tcPr>
          <w:p w:rsidR="00941306" w:rsidRDefault="00941306" w:rsidP="00CC480D">
            <w:pPr>
              <w:spacing w:line="259" w:lineRule="auto"/>
              <w:ind w:left="112"/>
              <w:jc w:val="center"/>
            </w:pPr>
            <w:r>
              <w:rPr>
                <w:sz w:val="14"/>
              </w:rPr>
              <w:t>6B</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1,117 </w:t>
            </w:r>
          </w:p>
        </w:tc>
        <w:tc>
          <w:tcPr>
            <w:tcW w:w="794" w:type="dxa"/>
            <w:tcBorders>
              <w:top w:val="nil"/>
              <w:left w:val="nil"/>
              <w:bottom w:val="nil"/>
              <w:right w:val="nil"/>
            </w:tcBorders>
          </w:tcPr>
          <w:p w:rsidR="00941306" w:rsidRDefault="00941306" w:rsidP="00CC480D">
            <w:pPr>
              <w:spacing w:line="259" w:lineRule="auto"/>
              <w:ind w:right="86"/>
              <w:jc w:val="right"/>
            </w:pPr>
            <w:r>
              <w:t xml:space="preserve">1,085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Financial assets </w:t>
            </w:r>
          </w:p>
        </w:tc>
        <w:tc>
          <w:tcPr>
            <w:tcW w:w="461" w:type="dxa"/>
            <w:tcBorders>
              <w:top w:val="nil"/>
              <w:left w:val="nil"/>
              <w:bottom w:val="nil"/>
              <w:right w:val="nil"/>
            </w:tcBorders>
          </w:tcPr>
          <w:p w:rsidR="00941306" w:rsidRDefault="00941306" w:rsidP="00CC480D">
            <w:pPr>
              <w:spacing w:line="259" w:lineRule="auto"/>
              <w:ind w:left="136"/>
            </w:pPr>
            <w:r>
              <w:rPr>
                <w:sz w:val="14"/>
              </w:rPr>
              <w:t>17A</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642 </w:t>
            </w:r>
          </w:p>
        </w:tc>
        <w:tc>
          <w:tcPr>
            <w:tcW w:w="794" w:type="dxa"/>
            <w:tcBorders>
              <w:top w:val="nil"/>
              <w:left w:val="nil"/>
              <w:bottom w:val="nil"/>
              <w:right w:val="nil"/>
            </w:tcBorders>
          </w:tcPr>
          <w:p w:rsidR="00941306" w:rsidRDefault="00941306" w:rsidP="00CC480D">
            <w:pPr>
              <w:spacing w:line="259" w:lineRule="auto"/>
              <w:ind w:right="86"/>
              <w:jc w:val="right"/>
            </w:pPr>
            <w:r>
              <w:t xml:space="preserve">675 </w:t>
            </w:r>
          </w:p>
        </w:tc>
      </w:tr>
      <w:tr w:rsidR="00941306" w:rsidTr="00CC480D">
        <w:trPr>
          <w:trHeight w:val="225"/>
        </w:trPr>
        <w:tc>
          <w:tcPr>
            <w:tcW w:w="8156" w:type="dxa"/>
            <w:vMerge w:val="restart"/>
            <w:tcBorders>
              <w:top w:val="nil"/>
              <w:left w:val="nil"/>
              <w:bottom w:val="nil"/>
              <w:right w:val="nil"/>
            </w:tcBorders>
          </w:tcPr>
          <w:p w:rsidR="00941306" w:rsidRDefault="00941306" w:rsidP="00CC480D">
            <w:pPr>
              <w:spacing w:after="278" w:line="259" w:lineRule="auto"/>
            </w:pPr>
            <w:r>
              <w:t xml:space="preserve">Other non-current assets </w:t>
            </w:r>
          </w:p>
          <w:p w:rsidR="00941306" w:rsidRDefault="00941306" w:rsidP="00CC480D">
            <w:pPr>
              <w:spacing w:after="9" w:line="259" w:lineRule="auto"/>
            </w:pPr>
            <w:r>
              <w:rPr>
                <w:b/>
              </w:rPr>
              <w:t xml:space="preserve">Current assets </w:t>
            </w:r>
          </w:p>
          <w:p w:rsidR="00941306" w:rsidRDefault="00941306" w:rsidP="00CC480D">
            <w:pPr>
              <w:spacing w:line="259" w:lineRule="auto"/>
            </w:pPr>
            <w:r>
              <w:t xml:space="preserve">Inventories </w:t>
            </w:r>
          </w:p>
        </w:tc>
        <w:tc>
          <w:tcPr>
            <w:tcW w:w="461" w:type="dxa"/>
            <w:vMerge w:val="restart"/>
            <w:tcBorders>
              <w:top w:val="nil"/>
              <w:left w:val="nil"/>
              <w:bottom w:val="nil"/>
              <w:right w:val="nil"/>
            </w:tcBorders>
          </w:tcPr>
          <w:p w:rsidR="00941306" w:rsidRDefault="00941306" w:rsidP="00CC480D">
            <w:pPr>
              <w:spacing w:after="525" w:line="259" w:lineRule="auto"/>
              <w:ind w:left="134"/>
              <w:jc w:val="center"/>
            </w:pPr>
            <w:r>
              <w:rPr>
                <w:sz w:val="14"/>
              </w:rPr>
              <w:t>11</w:t>
            </w:r>
          </w:p>
          <w:p w:rsidR="00941306" w:rsidRDefault="00941306" w:rsidP="00CC480D">
            <w:pPr>
              <w:spacing w:line="259" w:lineRule="auto"/>
              <w:ind w:left="134"/>
              <w:jc w:val="center"/>
            </w:pPr>
            <w:r>
              <w:rPr>
                <w:sz w:val="14"/>
              </w:rPr>
              <w:t>12</w:t>
            </w:r>
          </w:p>
        </w:tc>
        <w:tc>
          <w:tcPr>
            <w:tcW w:w="794" w:type="dxa"/>
            <w:tcBorders>
              <w:top w:val="nil"/>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648 </w:t>
            </w:r>
          </w:p>
        </w:tc>
        <w:tc>
          <w:tcPr>
            <w:tcW w:w="794" w:type="dxa"/>
            <w:tcBorders>
              <w:top w:val="nil"/>
              <w:left w:val="nil"/>
              <w:bottom w:val="single" w:sz="2" w:space="0" w:color="000000"/>
              <w:right w:val="nil"/>
            </w:tcBorders>
          </w:tcPr>
          <w:p w:rsidR="00941306" w:rsidRDefault="00941306" w:rsidP="00CC480D">
            <w:pPr>
              <w:spacing w:line="259" w:lineRule="auto"/>
              <w:ind w:left="451"/>
            </w:pPr>
            <w:r>
              <w:t>557</w:t>
            </w:r>
          </w:p>
        </w:tc>
      </w:tr>
      <w:tr w:rsidR="00941306" w:rsidTr="00CC480D">
        <w:trPr>
          <w:trHeight w:val="245"/>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43,975 </w:t>
            </w:r>
          </w:p>
        </w:tc>
        <w:tc>
          <w:tcPr>
            <w:tcW w:w="794" w:type="dxa"/>
            <w:tcBorders>
              <w:top w:val="single" w:sz="2" w:space="0" w:color="000000"/>
              <w:left w:val="nil"/>
              <w:bottom w:val="single" w:sz="2" w:space="0" w:color="000000"/>
              <w:right w:val="nil"/>
            </w:tcBorders>
          </w:tcPr>
          <w:p w:rsidR="00941306" w:rsidRDefault="00941306" w:rsidP="00CC480D">
            <w:pPr>
              <w:spacing w:line="259" w:lineRule="auto"/>
              <w:ind w:right="86"/>
              <w:jc w:val="right"/>
            </w:pPr>
            <w:r>
              <w:t xml:space="preserve">43,302 </w:t>
            </w:r>
          </w:p>
        </w:tc>
      </w:tr>
      <w:tr w:rsidR="00941306" w:rsidTr="00CC480D">
        <w:trPr>
          <w:trHeight w:val="461"/>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nil"/>
              <w:right w:val="nil"/>
            </w:tcBorders>
            <w:shd w:val="clear" w:color="auto" w:fill="F2F2F2"/>
            <w:vAlign w:val="bottom"/>
          </w:tcPr>
          <w:p w:rsidR="00941306" w:rsidRDefault="00941306" w:rsidP="00CC480D">
            <w:pPr>
              <w:spacing w:line="259" w:lineRule="auto"/>
              <w:ind w:right="86"/>
              <w:jc w:val="right"/>
            </w:pPr>
            <w:r>
              <w:rPr>
                <w:b/>
              </w:rPr>
              <w:t xml:space="preserve"> 4,301 </w:t>
            </w:r>
          </w:p>
        </w:tc>
        <w:tc>
          <w:tcPr>
            <w:tcW w:w="794" w:type="dxa"/>
            <w:tcBorders>
              <w:top w:val="single" w:sz="2" w:space="0" w:color="000000"/>
              <w:left w:val="nil"/>
              <w:bottom w:val="nil"/>
              <w:right w:val="nil"/>
            </w:tcBorders>
            <w:vAlign w:val="bottom"/>
          </w:tcPr>
          <w:p w:rsidR="00941306" w:rsidRDefault="00941306" w:rsidP="00CC480D">
            <w:pPr>
              <w:spacing w:line="259" w:lineRule="auto"/>
              <w:ind w:right="86"/>
              <w:jc w:val="right"/>
            </w:pPr>
            <w:r>
              <w:t xml:space="preserve">3,962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Trade and other current receivables </w:t>
            </w:r>
          </w:p>
        </w:tc>
        <w:tc>
          <w:tcPr>
            <w:tcW w:w="461" w:type="dxa"/>
            <w:tcBorders>
              <w:top w:val="nil"/>
              <w:left w:val="nil"/>
              <w:bottom w:val="nil"/>
              <w:right w:val="nil"/>
            </w:tcBorders>
          </w:tcPr>
          <w:p w:rsidR="00941306" w:rsidRDefault="00941306" w:rsidP="00CC480D">
            <w:pPr>
              <w:spacing w:line="259" w:lineRule="auto"/>
              <w:ind w:left="134"/>
              <w:jc w:val="center"/>
            </w:pPr>
            <w:r>
              <w:rPr>
                <w:sz w:val="14"/>
              </w:rPr>
              <w:t>13</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6,485 </w:t>
            </w:r>
          </w:p>
        </w:tc>
        <w:tc>
          <w:tcPr>
            <w:tcW w:w="794" w:type="dxa"/>
            <w:tcBorders>
              <w:top w:val="nil"/>
              <w:left w:val="nil"/>
              <w:bottom w:val="nil"/>
              <w:right w:val="nil"/>
            </w:tcBorders>
          </w:tcPr>
          <w:p w:rsidR="00941306" w:rsidRDefault="00941306" w:rsidP="00CC480D">
            <w:pPr>
              <w:spacing w:line="259" w:lineRule="auto"/>
              <w:ind w:right="86"/>
              <w:jc w:val="right"/>
            </w:pPr>
            <w:r>
              <w:t xml:space="preserve">5,222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Current tax assets</w:t>
            </w:r>
          </w:p>
        </w:tc>
        <w:tc>
          <w:tcPr>
            <w:tcW w:w="461" w:type="dxa"/>
            <w:tcBorders>
              <w:top w:val="nil"/>
              <w:left w:val="nil"/>
              <w:bottom w:val="nil"/>
              <w:right w:val="nil"/>
            </w:tcBorders>
          </w:tcPr>
          <w:p w:rsidR="00941306" w:rsidRDefault="00941306" w:rsidP="00CC480D">
            <w:pPr>
              <w:spacing w:after="160" w:line="259" w:lineRule="auto"/>
            </w:pP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472 </w:t>
            </w:r>
          </w:p>
        </w:tc>
        <w:tc>
          <w:tcPr>
            <w:tcW w:w="794" w:type="dxa"/>
            <w:tcBorders>
              <w:top w:val="nil"/>
              <w:left w:val="nil"/>
              <w:bottom w:val="nil"/>
              <w:right w:val="nil"/>
            </w:tcBorders>
          </w:tcPr>
          <w:p w:rsidR="00941306" w:rsidRDefault="00941306" w:rsidP="00CC480D">
            <w:pPr>
              <w:spacing w:line="259" w:lineRule="auto"/>
              <w:ind w:right="86"/>
              <w:jc w:val="right"/>
            </w:pPr>
            <w:r>
              <w:t xml:space="preserve">488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Cash and cash equivalents </w:t>
            </w:r>
          </w:p>
        </w:tc>
        <w:tc>
          <w:tcPr>
            <w:tcW w:w="461" w:type="dxa"/>
            <w:tcBorders>
              <w:top w:val="nil"/>
              <w:left w:val="nil"/>
              <w:bottom w:val="nil"/>
              <w:right w:val="nil"/>
            </w:tcBorders>
          </w:tcPr>
          <w:p w:rsidR="00941306" w:rsidRDefault="00941306" w:rsidP="00CC480D">
            <w:pPr>
              <w:spacing w:line="259" w:lineRule="auto"/>
              <w:ind w:left="136"/>
            </w:pPr>
            <w:r>
              <w:rPr>
                <w:sz w:val="14"/>
              </w:rPr>
              <w:t>17A</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3,230 </w:t>
            </w:r>
          </w:p>
        </w:tc>
        <w:tc>
          <w:tcPr>
            <w:tcW w:w="794" w:type="dxa"/>
            <w:tcBorders>
              <w:top w:val="nil"/>
              <w:left w:val="nil"/>
              <w:bottom w:val="nil"/>
              <w:right w:val="nil"/>
            </w:tcBorders>
          </w:tcPr>
          <w:p w:rsidR="00941306" w:rsidRDefault="00941306" w:rsidP="00CC480D">
            <w:pPr>
              <w:spacing w:line="259" w:lineRule="auto"/>
              <w:ind w:right="86"/>
              <w:jc w:val="right"/>
            </w:pPr>
            <w:r>
              <w:t xml:space="preserve">3,317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Other financial assets </w:t>
            </w:r>
          </w:p>
        </w:tc>
        <w:tc>
          <w:tcPr>
            <w:tcW w:w="461" w:type="dxa"/>
            <w:tcBorders>
              <w:top w:val="nil"/>
              <w:left w:val="nil"/>
              <w:bottom w:val="nil"/>
              <w:right w:val="nil"/>
            </w:tcBorders>
          </w:tcPr>
          <w:p w:rsidR="00941306" w:rsidRDefault="00941306" w:rsidP="00CC480D">
            <w:pPr>
              <w:spacing w:line="259" w:lineRule="auto"/>
              <w:ind w:left="136"/>
            </w:pPr>
            <w:r>
              <w:rPr>
                <w:sz w:val="14"/>
              </w:rPr>
              <w:t>17A</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874 </w:t>
            </w:r>
          </w:p>
        </w:tc>
        <w:tc>
          <w:tcPr>
            <w:tcW w:w="794" w:type="dxa"/>
            <w:tcBorders>
              <w:top w:val="nil"/>
              <w:left w:val="nil"/>
              <w:bottom w:val="nil"/>
              <w:right w:val="nil"/>
            </w:tcBorders>
          </w:tcPr>
          <w:p w:rsidR="00941306" w:rsidRDefault="00941306" w:rsidP="00CC480D">
            <w:pPr>
              <w:spacing w:line="259" w:lineRule="auto"/>
              <w:ind w:right="86"/>
              <w:jc w:val="right"/>
            </w:pPr>
            <w:r>
              <w:t xml:space="preserve">770 </w:t>
            </w:r>
          </w:p>
        </w:tc>
      </w:tr>
      <w:tr w:rsidR="00941306" w:rsidTr="00CC480D">
        <w:trPr>
          <w:trHeight w:val="225"/>
        </w:trPr>
        <w:tc>
          <w:tcPr>
            <w:tcW w:w="8156" w:type="dxa"/>
            <w:vMerge w:val="restart"/>
            <w:tcBorders>
              <w:top w:val="nil"/>
              <w:left w:val="nil"/>
              <w:bottom w:val="single" w:sz="4" w:space="0" w:color="000000"/>
              <w:right w:val="nil"/>
            </w:tcBorders>
          </w:tcPr>
          <w:p w:rsidR="00941306" w:rsidRDefault="00941306" w:rsidP="00CC480D">
            <w:pPr>
              <w:spacing w:after="278" w:line="259" w:lineRule="auto"/>
            </w:pPr>
            <w:r>
              <w:t xml:space="preserve">Assets held for sale </w:t>
            </w:r>
          </w:p>
          <w:p w:rsidR="00941306" w:rsidRDefault="00941306" w:rsidP="00CC480D">
            <w:pPr>
              <w:spacing w:line="259" w:lineRule="auto"/>
            </w:pPr>
            <w:r>
              <w:rPr>
                <w:b/>
              </w:rPr>
              <w:t>Total assets</w:t>
            </w:r>
          </w:p>
        </w:tc>
        <w:tc>
          <w:tcPr>
            <w:tcW w:w="461" w:type="dxa"/>
            <w:vMerge w:val="restart"/>
            <w:tcBorders>
              <w:top w:val="nil"/>
              <w:left w:val="nil"/>
              <w:bottom w:val="single" w:sz="4" w:space="0" w:color="000000"/>
              <w:right w:val="nil"/>
            </w:tcBorders>
          </w:tcPr>
          <w:p w:rsidR="00941306" w:rsidRDefault="00941306" w:rsidP="00CC480D">
            <w:pPr>
              <w:spacing w:line="259" w:lineRule="auto"/>
              <w:ind w:left="134"/>
              <w:jc w:val="center"/>
            </w:pPr>
            <w:r>
              <w:rPr>
                <w:sz w:val="14"/>
              </w:rPr>
              <w:t>22</w:t>
            </w:r>
          </w:p>
        </w:tc>
        <w:tc>
          <w:tcPr>
            <w:tcW w:w="794" w:type="dxa"/>
            <w:tcBorders>
              <w:top w:val="nil"/>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119 </w:t>
            </w:r>
          </w:p>
        </w:tc>
        <w:tc>
          <w:tcPr>
            <w:tcW w:w="794" w:type="dxa"/>
            <w:tcBorders>
              <w:top w:val="nil"/>
              <w:left w:val="nil"/>
              <w:bottom w:val="single" w:sz="2" w:space="0" w:color="000000"/>
              <w:right w:val="nil"/>
            </w:tcBorders>
          </w:tcPr>
          <w:p w:rsidR="00941306" w:rsidRDefault="00941306" w:rsidP="00CC480D">
            <w:pPr>
              <w:spacing w:line="259" w:lineRule="auto"/>
              <w:ind w:left="327"/>
            </w:pPr>
            <w:r>
              <w:t>3,224</w:t>
            </w:r>
          </w:p>
        </w:tc>
      </w:tr>
      <w:tr w:rsidR="00941306" w:rsidTr="00CC480D">
        <w:trPr>
          <w:trHeight w:val="245"/>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15,481 </w:t>
            </w:r>
          </w:p>
        </w:tc>
        <w:tc>
          <w:tcPr>
            <w:tcW w:w="794" w:type="dxa"/>
            <w:tcBorders>
              <w:top w:val="single" w:sz="2" w:space="0" w:color="000000"/>
              <w:left w:val="nil"/>
              <w:bottom w:val="single" w:sz="2" w:space="0" w:color="000000"/>
              <w:right w:val="nil"/>
            </w:tcBorders>
          </w:tcPr>
          <w:p w:rsidR="00941306" w:rsidRDefault="00941306" w:rsidP="00CC480D">
            <w:pPr>
              <w:spacing w:line="259" w:lineRule="auto"/>
              <w:ind w:right="86"/>
              <w:jc w:val="right"/>
            </w:pPr>
            <w:r>
              <w:t xml:space="preserve">16,983 </w:t>
            </w:r>
          </w:p>
        </w:tc>
      </w:tr>
      <w:tr w:rsidR="00941306" w:rsidTr="00CC480D">
        <w:trPr>
          <w:trHeight w:val="245"/>
        </w:trPr>
        <w:tc>
          <w:tcPr>
            <w:tcW w:w="0" w:type="auto"/>
            <w:vMerge/>
            <w:tcBorders>
              <w:top w:val="nil"/>
              <w:left w:val="nil"/>
              <w:bottom w:val="single" w:sz="4" w:space="0" w:color="000000"/>
              <w:right w:val="nil"/>
            </w:tcBorders>
          </w:tcPr>
          <w:p w:rsidR="00941306" w:rsidRDefault="00941306" w:rsidP="00CC480D">
            <w:pPr>
              <w:spacing w:after="160" w:line="259" w:lineRule="auto"/>
            </w:pPr>
          </w:p>
        </w:tc>
        <w:tc>
          <w:tcPr>
            <w:tcW w:w="0" w:type="auto"/>
            <w:vMerge/>
            <w:tcBorders>
              <w:top w:val="nil"/>
              <w:left w:val="nil"/>
              <w:bottom w:val="single" w:sz="4" w:space="0" w:color="000000"/>
              <w:right w:val="nil"/>
            </w:tcBorders>
          </w:tcPr>
          <w:p w:rsidR="00941306" w:rsidRDefault="00941306" w:rsidP="00CC480D">
            <w:pPr>
              <w:spacing w:after="160" w:line="259" w:lineRule="auto"/>
            </w:pPr>
          </w:p>
        </w:tc>
        <w:tc>
          <w:tcPr>
            <w:tcW w:w="794" w:type="dxa"/>
            <w:tcBorders>
              <w:top w:val="single" w:sz="2" w:space="0" w:color="000000"/>
              <w:left w:val="nil"/>
              <w:bottom w:val="single" w:sz="4" w:space="0" w:color="000000"/>
              <w:right w:val="nil"/>
            </w:tcBorders>
            <w:shd w:val="clear" w:color="auto" w:fill="F2F2F2"/>
          </w:tcPr>
          <w:p w:rsidR="00941306" w:rsidRDefault="00941306" w:rsidP="00CC480D">
            <w:pPr>
              <w:spacing w:line="259" w:lineRule="auto"/>
              <w:ind w:right="86"/>
              <w:jc w:val="right"/>
            </w:pPr>
            <w:r>
              <w:rPr>
                <w:b/>
              </w:rPr>
              <w:t xml:space="preserve"> 59,456 </w:t>
            </w:r>
          </w:p>
        </w:tc>
        <w:tc>
          <w:tcPr>
            <w:tcW w:w="794" w:type="dxa"/>
            <w:tcBorders>
              <w:top w:val="single" w:sz="2" w:space="0" w:color="000000"/>
              <w:left w:val="nil"/>
              <w:bottom w:val="single" w:sz="4" w:space="0" w:color="000000"/>
              <w:right w:val="nil"/>
            </w:tcBorders>
          </w:tcPr>
          <w:p w:rsidR="00941306" w:rsidRDefault="00941306" w:rsidP="00CC480D">
            <w:pPr>
              <w:spacing w:line="259" w:lineRule="auto"/>
              <w:ind w:right="86"/>
              <w:jc w:val="right"/>
            </w:pPr>
            <w:r>
              <w:t xml:space="preserve">60,285 </w:t>
            </w:r>
          </w:p>
        </w:tc>
      </w:tr>
      <w:tr w:rsidR="00941306" w:rsidTr="00CC480D">
        <w:trPr>
          <w:trHeight w:val="684"/>
        </w:trPr>
        <w:tc>
          <w:tcPr>
            <w:tcW w:w="8156" w:type="dxa"/>
            <w:tcBorders>
              <w:top w:val="single" w:sz="4" w:space="0" w:color="000000"/>
              <w:left w:val="nil"/>
              <w:bottom w:val="nil"/>
              <w:right w:val="nil"/>
            </w:tcBorders>
          </w:tcPr>
          <w:p w:rsidR="00941306" w:rsidRDefault="00941306" w:rsidP="00CC480D">
            <w:pPr>
              <w:spacing w:after="9" w:line="259" w:lineRule="auto"/>
            </w:pPr>
            <w:r>
              <w:rPr>
                <w:b/>
              </w:rPr>
              <w:t xml:space="preserve">Liabilities </w:t>
            </w:r>
          </w:p>
          <w:p w:rsidR="00941306" w:rsidRDefault="00941306" w:rsidP="00CC480D">
            <w:pPr>
              <w:spacing w:after="9" w:line="259" w:lineRule="auto"/>
            </w:pPr>
            <w:r>
              <w:rPr>
                <w:b/>
              </w:rPr>
              <w:t xml:space="preserve">Current liabilities </w:t>
            </w:r>
          </w:p>
          <w:p w:rsidR="00941306" w:rsidRDefault="00941306" w:rsidP="00CC480D">
            <w:pPr>
              <w:spacing w:line="259" w:lineRule="auto"/>
            </w:pPr>
            <w:r>
              <w:t xml:space="preserve">Financial liabilities </w:t>
            </w:r>
          </w:p>
        </w:tc>
        <w:tc>
          <w:tcPr>
            <w:tcW w:w="461" w:type="dxa"/>
            <w:tcBorders>
              <w:top w:val="single" w:sz="4" w:space="0" w:color="000000"/>
              <w:left w:val="nil"/>
              <w:bottom w:val="nil"/>
              <w:right w:val="nil"/>
            </w:tcBorders>
            <w:vAlign w:val="bottom"/>
          </w:tcPr>
          <w:p w:rsidR="00941306" w:rsidRDefault="00941306" w:rsidP="00CC480D">
            <w:pPr>
              <w:spacing w:line="259" w:lineRule="auto"/>
              <w:ind w:left="130"/>
            </w:pPr>
            <w:r>
              <w:rPr>
                <w:sz w:val="14"/>
              </w:rPr>
              <w:t>15C</w:t>
            </w:r>
          </w:p>
        </w:tc>
        <w:tc>
          <w:tcPr>
            <w:tcW w:w="794" w:type="dxa"/>
            <w:tcBorders>
              <w:top w:val="single" w:sz="4" w:space="0" w:color="000000"/>
              <w:left w:val="nil"/>
              <w:bottom w:val="nil"/>
              <w:right w:val="nil"/>
            </w:tcBorders>
            <w:shd w:val="clear" w:color="auto" w:fill="F2F2F2"/>
            <w:vAlign w:val="bottom"/>
          </w:tcPr>
          <w:p w:rsidR="00941306" w:rsidRDefault="00941306" w:rsidP="00CC480D">
            <w:pPr>
              <w:spacing w:line="259" w:lineRule="auto"/>
              <w:ind w:right="86"/>
              <w:jc w:val="right"/>
            </w:pPr>
            <w:r>
              <w:rPr>
                <w:b/>
              </w:rPr>
              <w:t xml:space="preserve"> 3,235 </w:t>
            </w:r>
          </w:p>
        </w:tc>
        <w:tc>
          <w:tcPr>
            <w:tcW w:w="794" w:type="dxa"/>
            <w:tcBorders>
              <w:top w:val="single" w:sz="4" w:space="0" w:color="000000"/>
              <w:left w:val="nil"/>
              <w:bottom w:val="nil"/>
              <w:right w:val="nil"/>
            </w:tcBorders>
            <w:vAlign w:val="bottom"/>
          </w:tcPr>
          <w:p w:rsidR="00941306" w:rsidRDefault="00941306" w:rsidP="00CC480D">
            <w:pPr>
              <w:spacing w:line="259" w:lineRule="auto"/>
              <w:ind w:right="86"/>
              <w:jc w:val="right"/>
            </w:pPr>
            <w:r>
              <w:t xml:space="preserve">7,968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Trade payables and other current liabilities </w:t>
            </w:r>
          </w:p>
        </w:tc>
        <w:tc>
          <w:tcPr>
            <w:tcW w:w="461" w:type="dxa"/>
            <w:tcBorders>
              <w:top w:val="nil"/>
              <w:left w:val="nil"/>
              <w:bottom w:val="nil"/>
              <w:right w:val="nil"/>
            </w:tcBorders>
          </w:tcPr>
          <w:p w:rsidR="00941306" w:rsidRDefault="00941306" w:rsidP="00CC480D">
            <w:pPr>
              <w:spacing w:line="259" w:lineRule="auto"/>
              <w:ind w:left="134"/>
              <w:jc w:val="center"/>
            </w:pPr>
            <w:r>
              <w:rPr>
                <w:sz w:val="14"/>
              </w:rPr>
              <w:t>14</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14,457 </w:t>
            </w:r>
          </w:p>
        </w:tc>
        <w:tc>
          <w:tcPr>
            <w:tcW w:w="794" w:type="dxa"/>
            <w:tcBorders>
              <w:top w:val="nil"/>
              <w:left w:val="nil"/>
              <w:bottom w:val="nil"/>
              <w:right w:val="nil"/>
            </w:tcBorders>
          </w:tcPr>
          <w:p w:rsidR="00941306" w:rsidRDefault="00941306" w:rsidP="00CC480D">
            <w:pPr>
              <w:spacing w:line="259" w:lineRule="auto"/>
              <w:ind w:right="86"/>
              <w:jc w:val="right"/>
            </w:pPr>
            <w:r>
              <w:t xml:space="preserve">13,426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Current tax liabilities</w:t>
            </w:r>
          </w:p>
        </w:tc>
        <w:tc>
          <w:tcPr>
            <w:tcW w:w="461" w:type="dxa"/>
            <w:tcBorders>
              <w:top w:val="nil"/>
              <w:left w:val="nil"/>
              <w:bottom w:val="nil"/>
              <w:right w:val="nil"/>
            </w:tcBorders>
          </w:tcPr>
          <w:p w:rsidR="00941306" w:rsidRDefault="00941306" w:rsidP="00CC480D">
            <w:pPr>
              <w:spacing w:after="160" w:line="259" w:lineRule="auto"/>
            </w:pP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1,445 </w:t>
            </w:r>
          </w:p>
        </w:tc>
        <w:tc>
          <w:tcPr>
            <w:tcW w:w="794" w:type="dxa"/>
            <w:tcBorders>
              <w:top w:val="nil"/>
              <w:left w:val="nil"/>
              <w:bottom w:val="nil"/>
              <w:right w:val="nil"/>
            </w:tcBorders>
          </w:tcPr>
          <w:p w:rsidR="00941306" w:rsidRDefault="00941306" w:rsidP="00CC480D">
            <w:pPr>
              <w:spacing w:line="259" w:lineRule="auto"/>
              <w:ind w:right="86"/>
              <w:jc w:val="right"/>
            </w:pPr>
            <w:r>
              <w:t xml:space="preserve">1,088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Provisions </w:t>
            </w:r>
          </w:p>
        </w:tc>
        <w:tc>
          <w:tcPr>
            <w:tcW w:w="461" w:type="dxa"/>
            <w:tcBorders>
              <w:top w:val="nil"/>
              <w:left w:val="nil"/>
              <w:bottom w:val="nil"/>
              <w:right w:val="nil"/>
            </w:tcBorders>
          </w:tcPr>
          <w:p w:rsidR="00941306" w:rsidRDefault="00941306" w:rsidP="00CC480D">
            <w:pPr>
              <w:spacing w:line="259" w:lineRule="auto"/>
              <w:ind w:left="134"/>
              <w:jc w:val="center"/>
            </w:pPr>
            <w:r>
              <w:rPr>
                <w:sz w:val="14"/>
              </w:rPr>
              <w:t>19</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624 </w:t>
            </w:r>
          </w:p>
        </w:tc>
        <w:tc>
          <w:tcPr>
            <w:tcW w:w="794" w:type="dxa"/>
            <w:tcBorders>
              <w:top w:val="nil"/>
              <w:left w:val="nil"/>
              <w:bottom w:val="nil"/>
              <w:right w:val="nil"/>
            </w:tcBorders>
          </w:tcPr>
          <w:p w:rsidR="00941306" w:rsidRDefault="00941306" w:rsidP="00CC480D">
            <w:pPr>
              <w:spacing w:line="259" w:lineRule="auto"/>
              <w:ind w:right="86"/>
              <w:jc w:val="right"/>
            </w:pPr>
            <w:r>
              <w:t xml:space="preserve">525 </w:t>
            </w:r>
          </w:p>
        </w:tc>
      </w:tr>
      <w:tr w:rsidR="00941306" w:rsidTr="00CC480D">
        <w:trPr>
          <w:trHeight w:val="225"/>
        </w:trPr>
        <w:tc>
          <w:tcPr>
            <w:tcW w:w="8156" w:type="dxa"/>
            <w:vMerge w:val="restart"/>
            <w:tcBorders>
              <w:top w:val="nil"/>
              <w:left w:val="nil"/>
              <w:bottom w:val="nil"/>
              <w:right w:val="nil"/>
            </w:tcBorders>
          </w:tcPr>
          <w:p w:rsidR="00941306" w:rsidRDefault="00941306" w:rsidP="00CC480D">
            <w:pPr>
              <w:spacing w:after="278" w:line="259" w:lineRule="auto"/>
            </w:pPr>
            <w:r>
              <w:lastRenderedPageBreak/>
              <w:t xml:space="preserve">Liabilities held for sale </w:t>
            </w:r>
          </w:p>
          <w:p w:rsidR="00941306" w:rsidRDefault="00941306" w:rsidP="00CC480D">
            <w:pPr>
              <w:spacing w:after="9" w:line="259" w:lineRule="auto"/>
            </w:pPr>
            <w:r>
              <w:rPr>
                <w:b/>
              </w:rPr>
              <w:t xml:space="preserve">Non-current liabilities </w:t>
            </w:r>
          </w:p>
          <w:p w:rsidR="00941306" w:rsidRDefault="00941306" w:rsidP="00CC480D">
            <w:pPr>
              <w:spacing w:line="259" w:lineRule="auto"/>
            </w:pPr>
            <w:r>
              <w:t xml:space="preserve">Financial liabilities </w:t>
            </w:r>
          </w:p>
        </w:tc>
        <w:tc>
          <w:tcPr>
            <w:tcW w:w="461" w:type="dxa"/>
            <w:vMerge w:val="restart"/>
            <w:tcBorders>
              <w:top w:val="nil"/>
              <w:left w:val="nil"/>
              <w:bottom w:val="nil"/>
              <w:right w:val="nil"/>
            </w:tcBorders>
          </w:tcPr>
          <w:p w:rsidR="00941306" w:rsidRDefault="00941306" w:rsidP="00CC480D">
            <w:pPr>
              <w:spacing w:after="525" w:line="259" w:lineRule="auto"/>
              <w:ind w:left="134"/>
              <w:jc w:val="center"/>
            </w:pPr>
            <w:r>
              <w:rPr>
                <w:sz w:val="14"/>
              </w:rPr>
              <w:t>22</w:t>
            </w:r>
          </w:p>
          <w:p w:rsidR="00941306" w:rsidRDefault="00941306" w:rsidP="00CC480D">
            <w:pPr>
              <w:spacing w:line="259" w:lineRule="auto"/>
              <w:ind w:left="130"/>
            </w:pPr>
            <w:r>
              <w:rPr>
                <w:sz w:val="14"/>
              </w:rPr>
              <w:t>15C</w:t>
            </w:r>
          </w:p>
        </w:tc>
        <w:tc>
          <w:tcPr>
            <w:tcW w:w="794" w:type="dxa"/>
            <w:tcBorders>
              <w:top w:val="nil"/>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11 </w:t>
            </w:r>
          </w:p>
        </w:tc>
        <w:tc>
          <w:tcPr>
            <w:tcW w:w="794" w:type="dxa"/>
            <w:tcBorders>
              <w:top w:val="nil"/>
              <w:left w:val="nil"/>
              <w:bottom w:val="single" w:sz="2" w:space="0" w:color="000000"/>
              <w:right w:val="nil"/>
            </w:tcBorders>
          </w:tcPr>
          <w:p w:rsidR="00941306" w:rsidRDefault="00941306" w:rsidP="00CC480D">
            <w:pPr>
              <w:spacing w:line="259" w:lineRule="auto"/>
              <w:ind w:left="451"/>
            </w:pPr>
            <w:r>
              <w:t>170</w:t>
            </w:r>
          </w:p>
        </w:tc>
      </w:tr>
      <w:tr w:rsidR="00941306" w:rsidTr="00CC480D">
        <w:trPr>
          <w:trHeight w:val="245"/>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19,772 </w:t>
            </w:r>
          </w:p>
        </w:tc>
        <w:tc>
          <w:tcPr>
            <w:tcW w:w="794" w:type="dxa"/>
            <w:tcBorders>
              <w:top w:val="single" w:sz="2" w:space="0" w:color="000000"/>
              <w:left w:val="nil"/>
              <w:bottom w:val="single" w:sz="2" w:space="0" w:color="000000"/>
              <w:right w:val="nil"/>
            </w:tcBorders>
          </w:tcPr>
          <w:p w:rsidR="00941306" w:rsidRDefault="00941306" w:rsidP="00CC480D">
            <w:pPr>
              <w:spacing w:line="259" w:lineRule="auto"/>
              <w:ind w:right="86"/>
              <w:jc w:val="right"/>
            </w:pPr>
            <w:r>
              <w:t xml:space="preserve">23,177 </w:t>
            </w:r>
          </w:p>
        </w:tc>
      </w:tr>
      <w:tr w:rsidR="00941306" w:rsidTr="00CC480D">
        <w:trPr>
          <w:trHeight w:val="461"/>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nil"/>
              <w:right w:val="nil"/>
            </w:tcBorders>
            <w:shd w:val="clear" w:color="auto" w:fill="F2F2F2"/>
            <w:vAlign w:val="bottom"/>
          </w:tcPr>
          <w:p w:rsidR="00941306" w:rsidRDefault="00941306" w:rsidP="00CC480D">
            <w:pPr>
              <w:spacing w:line="259" w:lineRule="auto"/>
              <w:ind w:right="86"/>
              <w:jc w:val="right"/>
            </w:pPr>
            <w:r>
              <w:rPr>
                <w:b/>
              </w:rPr>
              <w:t xml:space="preserve"> 21,650 </w:t>
            </w:r>
          </w:p>
        </w:tc>
        <w:tc>
          <w:tcPr>
            <w:tcW w:w="794" w:type="dxa"/>
            <w:tcBorders>
              <w:top w:val="single" w:sz="2" w:space="0" w:color="000000"/>
              <w:left w:val="nil"/>
              <w:bottom w:val="nil"/>
              <w:right w:val="nil"/>
            </w:tcBorders>
            <w:vAlign w:val="bottom"/>
          </w:tcPr>
          <w:p w:rsidR="00941306" w:rsidRDefault="00941306" w:rsidP="00CC480D">
            <w:pPr>
              <w:spacing w:line="259" w:lineRule="auto"/>
              <w:ind w:right="86"/>
              <w:jc w:val="right"/>
            </w:pPr>
            <w:r>
              <w:t xml:space="preserve">16,462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Non-current tax liabilities</w:t>
            </w:r>
          </w:p>
        </w:tc>
        <w:tc>
          <w:tcPr>
            <w:tcW w:w="461" w:type="dxa"/>
            <w:tcBorders>
              <w:top w:val="nil"/>
              <w:left w:val="nil"/>
              <w:bottom w:val="nil"/>
              <w:right w:val="nil"/>
            </w:tcBorders>
          </w:tcPr>
          <w:p w:rsidR="00941306" w:rsidRDefault="00941306" w:rsidP="00CC480D">
            <w:pPr>
              <w:spacing w:after="160" w:line="259" w:lineRule="auto"/>
            </w:pP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174 </w:t>
            </w:r>
          </w:p>
        </w:tc>
        <w:tc>
          <w:tcPr>
            <w:tcW w:w="794" w:type="dxa"/>
            <w:tcBorders>
              <w:top w:val="nil"/>
              <w:left w:val="nil"/>
              <w:bottom w:val="nil"/>
              <w:right w:val="nil"/>
            </w:tcBorders>
          </w:tcPr>
          <w:p w:rsidR="00941306" w:rsidRDefault="00941306" w:rsidP="00CC480D">
            <w:pPr>
              <w:spacing w:line="259" w:lineRule="auto"/>
              <w:ind w:right="86"/>
              <w:jc w:val="right"/>
            </w:pPr>
            <w:r>
              <w:t xml:space="preserve">118 </w:t>
            </w:r>
          </w:p>
        </w:tc>
      </w:tr>
      <w:tr w:rsidR="00941306" w:rsidTr="00CC480D">
        <w:trPr>
          <w:trHeight w:val="441"/>
        </w:trPr>
        <w:tc>
          <w:tcPr>
            <w:tcW w:w="8156" w:type="dxa"/>
            <w:tcBorders>
              <w:top w:val="nil"/>
              <w:left w:val="nil"/>
              <w:bottom w:val="nil"/>
              <w:right w:val="nil"/>
            </w:tcBorders>
          </w:tcPr>
          <w:p w:rsidR="00941306" w:rsidRDefault="00941306" w:rsidP="00CC480D">
            <w:pPr>
              <w:spacing w:line="259" w:lineRule="auto"/>
              <w:ind w:right="4013"/>
            </w:pPr>
            <w:r>
              <w:t xml:space="preserve">Pensions and post-retirement healthcare liabilities:    Funded schemes in deficit </w:t>
            </w:r>
          </w:p>
        </w:tc>
        <w:tc>
          <w:tcPr>
            <w:tcW w:w="461" w:type="dxa"/>
            <w:tcBorders>
              <w:top w:val="nil"/>
              <w:left w:val="nil"/>
              <w:bottom w:val="nil"/>
              <w:right w:val="nil"/>
            </w:tcBorders>
            <w:vAlign w:val="bottom"/>
          </w:tcPr>
          <w:p w:rsidR="00941306" w:rsidRDefault="00941306" w:rsidP="00CC480D">
            <w:pPr>
              <w:spacing w:line="259" w:lineRule="auto"/>
              <w:ind w:left="112"/>
              <w:jc w:val="center"/>
            </w:pPr>
            <w:r>
              <w:rPr>
                <w:sz w:val="14"/>
              </w:rPr>
              <w:t>4B</w:t>
            </w:r>
          </w:p>
        </w:tc>
        <w:tc>
          <w:tcPr>
            <w:tcW w:w="794" w:type="dxa"/>
            <w:tcBorders>
              <w:top w:val="nil"/>
              <w:left w:val="nil"/>
              <w:bottom w:val="nil"/>
              <w:right w:val="nil"/>
            </w:tcBorders>
            <w:shd w:val="clear" w:color="auto" w:fill="F2F2F2"/>
            <w:vAlign w:val="bottom"/>
          </w:tcPr>
          <w:p w:rsidR="00941306" w:rsidRDefault="00941306" w:rsidP="00CC480D">
            <w:pPr>
              <w:spacing w:line="259" w:lineRule="auto"/>
              <w:ind w:right="86"/>
              <w:jc w:val="right"/>
            </w:pPr>
            <w:r>
              <w:rPr>
                <w:b/>
              </w:rPr>
              <w:t xml:space="preserve"> 1,209 </w:t>
            </w:r>
          </w:p>
        </w:tc>
        <w:tc>
          <w:tcPr>
            <w:tcW w:w="794" w:type="dxa"/>
            <w:tcBorders>
              <w:top w:val="nil"/>
              <w:left w:val="nil"/>
              <w:bottom w:val="nil"/>
              <w:right w:val="nil"/>
            </w:tcBorders>
            <w:vAlign w:val="bottom"/>
          </w:tcPr>
          <w:p w:rsidR="00941306" w:rsidRDefault="00941306" w:rsidP="00CC480D">
            <w:pPr>
              <w:spacing w:line="259" w:lineRule="auto"/>
              <w:ind w:left="327"/>
            </w:pPr>
            <w:r>
              <w:t>1,225</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ind w:left="82"/>
            </w:pPr>
            <w:r>
              <w:t xml:space="preserve"> Unfunded schemes </w:t>
            </w:r>
          </w:p>
        </w:tc>
        <w:tc>
          <w:tcPr>
            <w:tcW w:w="461" w:type="dxa"/>
            <w:tcBorders>
              <w:top w:val="nil"/>
              <w:left w:val="nil"/>
              <w:bottom w:val="nil"/>
              <w:right w:val="nil"/>
            </w:tcBorders>
          </w:tcPr>
          <w:p w:rsidR="00941306" w:rsidRDefault="00941306" w:rsidP="00CC480D">
            <w:pPr>
              <w:spacing w:line="259" w:lineRule="auto"/>
              <w:ind w:left="112"/>
              <w:jc w:val="center"/>
            </w:pPr>
            <w:r>
              <w:rPr>
                <w:sz w:val="14"/>
              </w:rPr>
              <w:t>4B</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1,393 </w:t>
            </w:r>
          </w:p>
        </w:tc>
        <w:tc>
          <w:tcPr>
            <w:tcW w:w="794" w:type="dxa"/>
            <w:tcBorders>
              <w:top w:val="nil"/>
              <w:left w:val="nil"/>
              <w:bottom w:val="nil"/>
              <w:right w:val="nil"/>
            </w:tcBorders>
          </w:tcPr>
          <w:p w:rsidR="00941306" w:rsidRDefault="00941306" w:rsidP="00CC480D">
            <w:pPr>
              <w:spacing w:line="259" w:lineRule="auto"/>
              <w:ind w:right="86"/>
              <w:jc w:val="right"/>
            </w:pPr>
            <w:r>
              <w:t xml:space="preserve">1,509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Provisions </w:t>
            </w:r>
          </w:p>
        </w:tc>
        <w:tc>
          <w:tcPr>
            <w:tcW w:w="461" w:type="dxa"/>
            <w:tcBorders>
              <w:top w:val="nil"/>
              <w:left w:val="nil"/>
              <w:bottom w:val="nil"/>
              <w:right w:val="nil"/>
            </w:tcBorders>
          </w:tcPr>
          <w:p w:rsidR="00941306" w:rsidRDefault="00941306" w:rsidP="00CC480D">
            <w:pPr>
              <w:spacing w:line="259" w:lineRule="auto"/>
              <w:ind w:left="134"/>
              <w:jc w:val="center"/>
            </w:pPr>
            <w:r>
              <w:rPr>
                <w:sz w:val="14"/>
              </w:rPr>
              <w:t>19</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697 </w:t>
            </w:r>
          </w:p>
        </w:tc>
        <w:tc>
          <w:tcPr>
            <w:tcW w:w="794" w:type="dxa"/>
            <w:tcBorders>
              <w:top w:val="nil"/>
              <w:left w:val="nil"/>
              <w:bottom w:val="nil"/>
              <w:right w:val="nil"/>
            </w:tcBorders>
          </w:tcPr>
          <w:p w:rsidR="00941306" w:rsidRDefault="00941306" w:rsidP="00CC480D">
            <w:pPr>
              <w:spacing w:line="259" w:lineRule="auto"/>
              <w:ind w:right="86"/>
              <w:jc w:val="right"/>
            </w:pPr>
            <w:r>
              <w:t xml:space="preserve">794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Deferred tax liabilities </w:t>
            </w:r>
          </w:p>
        </w:tc>
        <w:tc>
          <w:tcPr>
            <w:tcW w:w="461" w:type="dxa"/>
            <w:tcBorders>
              <w:top w:val="nil"/>
              <w:left w:val="nil"/>
              <w:bottom w:val="nil"/>
              <w:right w:val="nil"/>
            </w:tcBorders>
          </w:tcPr>
          <w:p w:rsidR="00941306" w:rsidRDefault="00941306" w:rsidP="00CC480D">
            <w:pPr>
              <w:spacing w:line="259" w:lineRule="auto"/>
              <w:ind w:left="112"/>
              <w:jc w:val="center"/>
            </w:pPr>
            <w:r>
              <w:rPr>
                <w:sz w:val="14"/>
              </w:rPr>
              <w:t>6B</w:t>
            </w: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 1,923 </w:t>
            </w:r>
          </w:p>
        </w:tc>
        <w:tc>
          <w:tcPr>
            <w:tcW w:w="794" w:type="dxa"/>
            <w:tcBorders>
              <w:top w:val="nil"/>
              <w:left w:val="nil"/>
              <w:bottom w:val="nil"/>
              <w:right w:val="nil"/>
            </w:tcBorders>
          </w:tcPr>
          <w:p w:rsidR="00941306" w:rsidRDefault="00941306" w:rsidP="00CC480D">
            <w:pPr>
              <w:spacing w:line="259" w:lineRule="auto"/>
              <w:ind w:right="86"/>
              <w:jc w:val="right"/>
            </w:pPr>
            <w:r>
              <w:t xml:space="preserve">1,913 </w:t>
            </w:r>
          </w:p>
        </w:tc>
      </w:tr>
      <w:tr w:rsidR="00941306" w:rsidTr="00CC480D">
        <w:trPr>
          <w:trHeight w:val="225"/>
        </w:trPr>
        <w:tc>
          <w:tcPr>
            <w:tcW w:w="8156" w:type="dxa"/>
            <w:vMerge w:val="restart"/>
            <w:tcBorders>
              <w:top w:val="nil"/>
              <w:left w:val="nil"/>
              <w:bottom w:val="nil"/>
              <w:right w:val="nil"/>
            </w:tcBorders>
          </w:tcPr>
          <w:p w:rsidR="00941306" w:rsidRDefault="00941306" w:rsidP="00CC480D">
            <w:pPr>
              <w:spacing w:after="278" w:line="259" w:lineRule="auto"/>
            </w:pPr>
            <w:r>
              <w:t xml:space="preserve">Other non-current liabilities </w:t>
            </w:r>
          </w:p>
          <w:p w:rsidR="00941306" w:rsidRDefault="00941306" w:rsidP="00CC480D">
            <w:pPr>
              <w:spacing w:after="34" w:line="259" w:lineRule="auto"/>
            </w:pPr>
            <w:r>
              <w:rPr>
                <w:b/>
              </w:rPr>
              <w:t>Total liabilities</w:t>
            </w:r>
          </w:p>
          <w:p w:rsidR="00941306" w:rsidRDefault="00941306" w:rsidP="00CC480D">
            <w:pPr>
              <w:spacing w:after="9" w:line="259" w:lineRule="auto"/>
            </w:pPr>
            <w:r>
              <w:rPr>
                <w:b/>
              </w:rPr>
              <w:t xml:space="preserve">Equity </w:t>
            </w:r>
          </w:p>
          <w:p w:rsidR="00941306" w:rsidRDefault="00941306" w:rsidP="00CC480D">
            <w:pPr>
              <w:spacing w:after="31" w:line="259" w:lineRule="auto"/>
            </w:pPr>
            <w:r>
              <w:rPr>
                <w:b/>
              </w:rPr>
              <w:t xml:space="preserve">Shareholders’ equity </w:t>
            </w:r>
          </w:p>
          <w:p w:rsidR="00941306" w:rsidRDefault="00941306" w:rsidP="00CC480D">
            <w:pPr>
              <w:spacing w:line="259" w:lineRule="auto"/>
            </w:pPr>
            <w:r>
              <w:t xml:space="preserve">Called up share capital </w:t>
            </w:r>
          </w:p>
        </w:tc>
        <w:tc>
          <w:tcPr>
            <w:tcW w:w="461" w:type="dxa"/>
            <w:vMerge w:val="restart"/>
            <w:tcBorders>
              <w:top w:val="nil"/>
              <w:left w:val="nil"/>
              <w:bottom w:val="nil"/>
              <w:right w:val="nil"/>
            </w:tcBorders>
          </w:tcPr>
          <w:p w:rsidR="00941306" w:rsidRDefault="00941306" w:rsidP="00CC480D">
            <w:pPr>
              <w:spacing w:after="1011" w:line="259" w:lineRule="auto"/>
              <w:ind w:left="134"/>
              <w:jc w:val="center"/>
            </w:pPr>
            <w:r>
              <w:rPr>
                <w:sz w:val="14"/>
              </w:rPr>
              <w:t>14</w:t>
            </w:r>
          </w:p>
          <w:p w:rsidR="00941306" w:rsidRDefault="00941306" w:rsidP="00CC480D">
            <w:pPr>
              <w:spacing w:line="259" w:lineRule="auto"/>
              <w:ind w:right="86"/>
              <w:jc w:val="right"/>
            </w:pPr>
            <w:r>
              <w:rPr>
                <w:sz w:val="14"/>
              </w:rPr>
              <w:t xml:space="preserve">15A </w:t>
            </w:r>
          </w:p>
        </w:tc>
        <w:tc>
          <w:tcPr>
            <w:tcW w:w="794" w:type="dxa"/>
            <w:tcBorders>
              <w:top w:val="nil"/>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346 </w:t>
            </w:r>
          </w:p>
        </w:tc>
        <w:tc>
          <w:tcPr>
            <w:tcW w:w="794" w:type="dxa"/>
            <w:tcBorders>
              <w:top w:val="nil"/>
              <w:left w:val="nil"/>
              <w:bottom w:val="single" w:sz="2" w:space="0" w:color="000000"/>
              <w:right w:val="nil"/>
            </w:tcBorders>
          </w:tcPr>
          <w:p w:rsidR="00941306" w:rsidRDefault="00941306" w:rsidP="00CC480D">
            <w:pPr>
              <w:spacing w:line="259" w:lineRule="auto"/>
              <w:ind w:left="451"/>
            </w:pPr>
            <w:r>
              <w:t>700</w:t>
            </w:r>
          </w:p>
        </w:tc>
      </w:tr>
      <w:tr w:rsidR="00941306" w:rsidTr="00CC480D">
        <w:trPr>
          <w:trHeight w:val="245"/>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27,392 </w:t>
            </w:r>
          </w:p>
        </w:tc>
        <w:tc>
          <w:tcPr>
            <w:tcW w:w="794" w:type="dxa"/>
            <w:tcBorders>
              <w:top w:val="single" w:sz="2" w:space="0" w:color="000000"/>
              <w:left w:val="nil"/>
              <w:bottom w:val="single" w:sz="2" w:space="0" w:color="000000"/>
              <w:right w:val="nil"/>
            </w:tcBorders>
          </w:tcPr>
          <w:p w:rsidR="00941306" w:rsidRDefault="00941306" w:rsidP="00CC480D">
            <w:pPr>
              <w:spacing w:line="259" w:lineRule="auto"/>
              <w:ind w:right="86"/>
              <w:jc w:val="right"/>
            </w:pPr>
            <w:r>
              <w:t xml:space="preserve">22,721 </w:t>
            </w:r>
          </w:p>
        </w:tc>
      </w:tr>
      <w:tr w:rsidR="00941306" w:rsidTr="00CC480D">
        <w:trPr>
          <w:trHeight w:val="245"/>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47,164 </w:t>
            </w:r>
          </w:p>
        </w:tc>
        <w:tc>
          <w:tcPr>
            <w:tcW w:w="794" w:type="dxa"/>
            <w:tcBorders>
              <w:top w:val="single" w:sz="2" w:space="0" w:color="000000"/>
              <w:left w:val="nil"/>
              <w:bottom w:val="single" w:sz="2" w:space="0" w:color="000000"/>
              <w:right w:val="nil"/>
            </w:tcBorders>
          </w:tcPr>
          <w:p w:rsidR="00941306" w:rsidRDefault="00941306" w:rsidP="00CC480D">
            <w:pPr>
              <w:spacing w:line="259" w:lineRule="auto"/>
              <w:ind w:right="86"/>
              <w:jc w:val="right"/>
            </w:pPr>
            <w:r>
              <w:t xml:space="preserve">45,898 </w:t>
            </w:r>
          </w:p>
        </w:tc>
      </w:tr>
      <w:tr w:rsidR="00941306" w:rsidTr="00CC480D">
        <w:trPr>
          <w:trHeight w:val="703"/>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nil"/>
              <w:right w:val="nil"/>
            </w:tcBorders>
            <w:shd w:val="clear" w:color="auto" w:fill="F2F2F2"/>
            <w:vAlign w:val="bottom"/>
          </w:tcPr>
          <w:p w:rsidR="00941306" w:rsidRDefault="00941306" w:rsidP="00CC480D">
            <w:pPr>
              <w:spacing w:line="259" w:lineRule="auto"/>
              <w:ind w:right="86"/>
              <w:jc w:val="right"/>
            </w:pPr>
            <w:r>
              <w:rPr>
                <w:b/>
              </w:rPr>
              <w:t xml:space="preserve">464 </w:t>
            </w:r>
          </w:p>
        </w:tc>
        <w:tc>
          <w:tcPr>
            <w:tcW w:w="794" w:type="dxa"/>
            <w:tcBorders>
              <w:top w:val="single" w:sz="2" w:space="0" w:color="000000"/>
              <w:left w:val="nil"/>
              <w:bottom w:val="nil"/>
              <w:right w:val="nil"/>
            </w:tcBorders>
            <w:vAlign w:val="bottom"/>
          </w:tcPr>
          <w:p w:rsidR="00941306" w:rsidRDefault="00941306" w:rsidP="00CC480D">
            <w:pPr>
              <w:spacing w:line="259" w:lineRule="auto"/>
              <w:ind w:right="86"/>
              <w:jc w:val="right"/>
            </w:pPr>
            <w:r>
              <w:t xml:space="preserve">484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Share premium account </w:t>
            </w:r>
          </w:p>
        </w:tc>
        <w:tc>
          <w:tcPr>
            <w:tcW w:w="461" w:type="dxa"/>
            <w:tcBorders>
              <w:top w:val="nil"/>
              <w:left w:val="nil"/>
              <w:bottom w:val="nil"/>
              <w:right w:val="nil"/>
            </w:tcBorders>
          </w:tcPr>
          <w:p w:rsidR="00941306" w:rsidRDefault="00941306" w:rsidP="00CC480D">
            <w:pPr>
              <w:spacing w:after="160" w:line="259" w:lineRule="auto"/>
            </w:pPr>
          </w:p>
        </w:tc>
        <w:tc>
          <w:tcPr>
            <w:tcW w:w="794" w:type="dxa"/>
            <w:tcBorders>
              <w:top w:val="nil"/>
              <w:left w:val="nil"/>
              <w:bottom w:val="nil"/>
              <w:right w:val="nil"/>
            </w:tcBorders>
            <w:shd w:val="clear" w:color="auto" w:fill="F2F2F2"/>
          </w:tcPr>
          <w:p w:rsidR="00941306" w:rsidRDefault="00941306" w:rsidP="00CC480D">
            <w:pPr>
              <w:spacing w:line="259" w:lineRule="auto"/>
              <w:ind w:right="86"/>
              <w:jc w:val="right"/>
            </w:pPr>
            <w:r>
              <w:rPr>
                <w:b/>
              </w:rPr>
              <w:t xml:space="preserve">129 </w:t>
            </w:r>
          </w:p>
        </w:tc>
        <w:tc>
          <w:tcPr>
            <w:tcW w:w="794" w:type="dxa"/>
            <w:tcBorders>
              <w:top w:val="nil"/>
              <w:left w:val="nil"/>
              <w:bottom w:val="nil"/>
              <w:right w:val="nil"/>
            </w:tcBorders>
          </w:tcPr>
          <w:p w:rsidR="00941306" w:rsidRDefault="00941306" w:rsidP="00CC480D">
            <w:pPr>
              <w:spacing w:line="259" w:lineRule="auto"/>
              <w:ind w:right="86"/>
              <w:jc w:val="right"/>
            </w:pPr>
            <w:r>
              <w:t xml:space="preserve">130 </w:t>
            </w:r>
          </w:p>
        </w:tc>
      </w:tr>
      <w:tr w:rsidR="00941306" w:rsidTr="00CC480D">
        <w:trPr>
          <w:trHeight w:val="220"/>
        </w:trPr>
        <w:tc>
          <w:tcPr>
            <w:tcW w:w="8156" w:type="dxa"/>
            <w:tcBorders>
              <w:top w:val="nil"/>
              <w:left w:val="nil"/>
              <w:bottom w:val="nil"/>
              <w:right w:val="nil"/>
            </w:tcBorders>
          </w:tcPr>
          <w:p w:rsidR="00941306" w:rsidRDefault="00941306" w:rsidP="00CC480D">
            <w:pPr>
              <w:spacing w:line="259" w:lineRule="auto"/>
            </w:pPr>
            <w:r>
              <w:t xml:space="preserve">Other reserves </w:t>
            </w:r>
          </w:p>
        </w:tc>
        <w:tc>
          <w:tcPr>
            <w:tcW w:w="461" w:type="dxa"/>
            <w:tcBorders>
              <w:top w:val="nil"/>
              <w:left w:val="nil"/>
              <w:bottom w:val="nil"/>
              <w:right w:val="nil"/>
            </w:tcBorders>
          </w:tcPr>
          <w:p w:rsidR="00941306" w:rsidRDefault="00941306" w:rsidP="00CC480D">
            <w:pPr>
              <w:spacing w:line="259" w:lineRule="auto"/>
              <w:ind w:left="127"/>
            </w:pPr>
            <w:r>
              <w:rPr>
                <w:sz w:val="14"/>
              </w:rPr>
              <w:t xml:space="preserve">15B </w:t>
            </w:r>
          </w:p>
        </w:tc>
        <w:tc>
          <w:tcPr>
            <w:tcW w:w="794" w:type="dxa"/>
            <w:tcBorders>
              <w:top w:val="nil"/>
              <w:left w:val="nil"/>
              <w:bottom w:val="nil"/>
              <w:right w:val="nil"/>
            </w:tcBorders>
            <w:shd w:val="clear" w:color="auto" w:fill="F2F2F2"/>
          </w:tcPr>
          <w:p w:rsidR="00941306" w:rsidRDefault="00941306" w:rsidP="00CC480D">
            <w:pPr>
              <w:spacing w:line="259" w:lineRule="auto"/>
              <w:ind w:right="41"/>
              <w:jc w:val="right"/>
            </w:pPr>
            <w:r>
              <w:rPr>
                <w:b/>
              </w:rPr>
              <w:t xml:space="preserve">(15,286) </w:t>
            </w:r>
          </w:p>
        </w:tc>
        <w:tc>
          <w:tcPr>
            <w:tcW w:w="794" w:type="dxa"/>
            <w:tcBorders>
              <w:top w:val="nil"/>
              <w:left w:val="nil"/>
              <w:bottom w:val="nil"/>
              <w:right w:val="nil"/>
            </w:tcBorders>
          </w:tcPr>
          <w:p w:rsidR="00941306" w:rsidRDefault="00941306" w:rsidP="00CC480D">
            <w:pPr>
              <w:spacing w:line="259" w:lineRule="auto"/>
              <w:ind w:right="41"/>
              <w:jc w:val="right"/>
            </w:pPr>
            <w:r>
              <w:t xml:space="preserve">(13,633) </w:t>
            </w:r>
          </w:p>
        </w:tc>
      </w:tr>
      <w:tr w:rsidR="00941306" w:rsidTr="00CC480D">
        <w:trPr>
          <w:trHeight w:val="225"/>
        </w:trPr>
        <w:tc>
          <w:tcPr>
            <w:tcW w:w="8156" w:type="dxa"/>
            <w:vMerge w:val="restart"/>
            <w:tcBorders>
              <w:top w:val="nil"/>
              <w:left w:val="nil"/>
              <w:bottom w:val="nil"/>
              <w:right w:val="nil"/>
            </w:tcBorders>
          </w:tcPr>
          <w:p w:rsidR="00941306" w:rsidRDefault="00941306" w:rsidP="00CC480D">
            <w:pPr>
              <w:spacing w:line="259" w:lineRule="auto"/>
            </w:pPr>
            <w:r>
              <w:t xml:space="preserve">Retained profit </w:t>
            </w:r>
          </w:p>
        </w:tc>
        <w:tc>
          <w:tcPr>
            <w:tcW w:w="461" w:type="dxa"/>
            <w:vMerge w:val="restart"/>
            <w:tcBorders>
              <w:top w:val="nil"/>
              <w:left w:val="nil"/>
              <w:bottom w:val="nil"/>
              <w:right w:val="nil"/>
            </w:tcBorders>
          </w:tcPr>
          <w:p w:rsidR="00941306" w:rsidRDefault="00941306" w:rsidP="00CC480D">
            <w:pPr>
              <w:spacing w:after="160" w:line="259" w:lineRule="auto"/>
            </w:pPr>
          </w:p>
        </w:tc>
        <w:tc>
          <w:tcPr>
            <w:tcW w:w="794" w:type="dxa"/>
            <w:tcBorders>
              <w:top w:val="nil"/>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26,265 </w:t>
            </w:r>
          </w:p>
        </w:tc>
        <w:tc>
          <w:tcPr>
            <w:tcW w:w="794" w:type="dxa"/>
            <w:tcBorders>
              <w:top w:val="nil"/>
              <w:left w:val="nil"/>
              <w:bottom w:val="single" w:sz="2" w:space="0" w:color="000000"/>
              <w:right w:val="nil"/>
            </w:tcBorders>
          </w:tcPr>
          <w:p w:rsidR="00941306" w:rsidRDefault="00941306" w:rsidP="00CC480D">
            <w:pPr>
              <w:spacing w:line="259" w:lineRule="auto"/>
              <w:ind w:right="86"/>
              <w:jc w:val="right"/>
            </w:pPr>
            <w:r>
              <w:t xml:space="preserve">26,648 </w:t>
            </w:r>
          </w:p>
        </w:tc>
      </w:tr>
      <w:tr w:rsidR="00941306" w:rsidTr="00CC480D">
        <w:trPr>
          <w:trHeight w:val="240"/>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nil"/>
              <w:right w:val="nil"/>
            </w:tcBorders>
            <w:shd w:val="clear" w:color="auto" w:fill="F2F2F2"/>
          </w:tcPr>
          <w:p w:rsidR="00941306" w:rsidRDefault="00941306" w:rsidP="00CC480D">
            <w:pPr>
              <w:spacing w:line="259" w:lineRule="auto"/>
              <w:ind w:right="86"/>
              <w:jc w:val="right"/>
            </w:pPr>
            <w:r>
              <w:rPr>
                <w:b/>
              </w:rPr>
              <w:t xml:space="preserve">11,572 </w:t>
            </w:r>
          </w:p>
        </w:tc>
        <w:tc>
          <w:tcPr>
            <w:tcW w:w="794" w:type="dxa"/>
            <w:tcBorders>
              <w:top w:val="single" w:sz="2" w:space="0" w:color="000000"/>
              <w:left w:val="nil"/>
              <w:bottom w:val="nil"/>
              <w:right w:val="nil"/>
            </w:tcBorders>
          </w:tcPr>
          <w:p w:rsidR="00941306" w:rsidRDefault="00941306" w:rsidP="00CC480D">
            <w:pPr>
              <w:spacing w:line="259" w:lineRule="auto"/>
              <w:ind w:right="86"/>
              <w:jc w:val="right"/>
            </w:pPr>
            <w:r>
              <w:t xml:space="preserve">13,629 </w:t>
            </w:r>
          </w:p>
        </w:tc>
      </w:tr>
      <w:tr w:rsidR="00941306" w:rsidTr="00CC480D">
        <w:trPr>
          <w:trHeight w:val="225"/>
        </w:trPr>
        <w:tc>
          <w:tcPr>
            <w:tcW w:w="8156" w:type="dxa"/>
            <w:vMerge w:val="restart"/>
            <w:tcBorders>
              <w:top w:val="nil"/>
              <w:left w:val="nil"/>
              <w:bottom w:val="single" w:sz="4" w:space="0" w:color="000000"/>
              <w:right w:val="nil"/>
            </w:tcBorders>
          </w:tcPr>
          <w:p w:rsidR="00941306" w:rsidRDefault="00941306" w:rsidP="00CC480D">
            <w:pPr>
              <w:spacing w:after="34" w:line="259" w:lineRule="auto"/>
            </w:pPr>
            <w:r>
              <w:t>Non-controlling interests</w:t>
            </w:r>
          </w:p>
          <w:p w:rsidR="00941306" w:rsidRDefault="00941306" w:rsidP="00CC480D">
            <w:pPr>
              <w:spacing w:after="34" w:line="259" w:lineRule="auto"/>
            </w:pPr>
            <w:r>
              <w:rPr>
                <w:b/>
              </w:rPr>
              <w:t xml:space="preserve">Total equity </w:t>
            </w:r>
          </w:p>
          <w:p w:rsidR="00941306" w:rsidRDefault="00941306" w:rsidP="00CC480D">
            <w:pPr>
              <w:spacing w:line="259" w:lineRule="auto"/>
            </w:pPr>
            <w:r>
              <w:rPr>
                <w:b/>
              </w:rPr>
              <w:t>Total liabilities and equity</w:t>
            </w:r>
          </w:p>
        </w:tc>
        <w:tc>
          <w:tcPr>
            <w:tcW w:w="461" w:type="dxa"/>
            <w:vMerge w:val="restart"/>
            <w:tcBorders>
              <w:top w:val="nil"/>
              <w:left w:val="nil"/>
              <w:bottom w:val="single" w:sz="4" w:space="0" w:color="000000"/>
              <w:right w:val="nil"/>
            </w:tcBorders>
          </w:tcPr>
          <w:p w:rsidR="00941306" w:rsidRDefault="00941306" w:rsidP="00CC480D">
            <w:pPr>
              <w:spacing w:after="160" w:line="259" w:lineRule="auto"/>
            </w:pPr>
          </w:p>
        </w:tc>
        <w:tc>
          <w:tcPr>
            <w:tcW w:w="794" w:type="dxa"/>
            <w:tcBorders>
              <w:top w:val="nil"/>
              <w:left w:val="nil"/>
              <w:bottom w:val="single" w:sz="2" w:space="0" w:color="000000"/>
              <w:right w:val="nil"/>
            </w:tcBorders>
            <w:shd w:val="clear" w:color="auto" w:fill="F2F2F2"/>
          </w:tcPr>
          <w:p w:rsidR="00941306" w:rsidRDefault="00941306" w:rsidP="00CC480D">
            <w:pPr>
              <w:spacing w:line="259" w:lineRule="auto"/>
              <w:ind w:right="86"/>
              <w:jc w:val="right"/>
            </w:pPr>
            <w:r>
              <w:rPr>
                <w:b/>
              </w:rPr>
              <w:t xml:space="preserve"> 720 </w:t>
            </w:r>
          </w:p>
        </w:tc>
        <w:tc>
          <w:tcPr>
            <w:tcW w:w="794" w:type="dxa"/>
            <w:tcBorders>
              <w:top w:val="nil"/>
              <w:left w:val="nil"/>
              <w:bottom w:val="single" w:sz="2" w:space="0" w:color="000000"/>
              <w:right w:val="nil"/>
            </w:tcBorders>
          </w:tcPr>
          <w:p w:rsidR="00941306" w:rsidRDefault="00941306" w:rsidP="00CC480D">
            <w:pPr>
              <w:spacing w:line="259" w:lineRule="auto"/>
              <w:ind w:right="86"/>
              <w:jc w:val="right"/>
            </w:pPr>
            <w:r>
              <w:t xml:space="preserve">758 </w:t>
            </w:r>
          </w:p>
        </w:tc>
      </w:tr>
      <w:tr w:rsidR="00941306" w:rsidTr="00CC480D">
        <w:trPr>
          <w:trHeight w:val="245"/>
        </w:trPr>
        <w:tc>
          <w:tcPr>
            <w:tcW w:w="0" w:type="auto"/>
            <w:vMerge/>
            <w:tcBorders>
              <w:top w:val="nil"/>
              <w:left w:val="nil"/>
              <w:bottom w:val="nil"/>
              <w:right w:val="nil"/>
            </w:tcBorders>
          </w:tcPr>
          <w:p w:rsidR="00941306" w:rsidRDefault="00941306" w:rsidP="00CC480D">
            <w:pPr>
              <w:spacing w:after="160" w:line="259" w:lineRule="auto"/>
            </w:pPr>
          </w:p>
        </w:tc>
        <w:tc>
          <w:tcPr>
            <w:tcW w:w="0" w:type="auto"/>
            <w:vMerge/>
            <w:tcBorders>
              <w:top w:val="nil"/>
              <w:left w:val="nil"/>
              <w:bottom w:val="nil"/>
              <w:right w:val="nil"/>
            </w:tcBorders>
          </w:tcPr>
          <w:p w:rsidR="00941306" w:rsidRDefault="00941306" w:rsidP="00CC480D">
            <w:pPr>
              <w:spacing w:after="160" w:line="259" w:lineRule="auto"/>
            </w:pPr>
          </w:p>
        </w:tc>
        <w:tc>
          <w:tcPr>
            <w:tcW w:w="794" w:type="dxa"/>
            <w:tcBorders>
              <w:top w:val="single" w:sz="2" w:space="0" w:color="000000"/>
              <w:left w:val="nil"/>
              <w:bottom w:val="single" w:sz="2" w:space="0" w:color="000000"/>
              <w:right w:val="nil"/>
            </w:tcBorders>
            <w:shd w:val="clear" w:color="auto" w:fill="F2F2F2"/>
          </w:tcPr>
          <w:p w:rsidR="00941306" w:rsidRDefault="00941306" w:rsidP="00CC480D">
            <w:pPr>
              <w:spacing w:line="259" w:lineRule="auto"/>
              <w:ind w:right="87"/>
              <w:jc w:val="right"/>
            </w:pPr>
            <w:r>
              <w:rPr>
                <w:b/>
              </w:rPr>
              <w:t xml:space="preserve">12,292 </w:t>
            </w:r>
          </w:p>
        </w:tc>
        <w:tc>
          <w:tcPr>
            <w:tcW w:w="794" w:type="dxa"/>
            <w:tcBorders>
              <w:top w:val="single" w:sz="2" w:space="0" w:color="000000"/>
              <w:left w:val="nil"/>
              <w:bottom w:val="single" w:sz="2" w:space="0" w:color="000000"/>
              <w:right w:val="nil"/>
            </w:tcBorders>
          </w:tcPr>
          <w:p w:rsidR="00941306" w:rsidRDefault="00941306" w:rsidP="00CC480D">
            <w:pPr>
              <w:spacing w:line="259" w:lineRule="auto"/>
              <w:ind w:right="86"/>
              <w:jc w:val="right"/>
            </w:pPr>
            <w:r>
              <w:t xml:space="preserve">14,387 </w:t>
            </w:r>
          </w:p>
        </w:tc>
      </w:tr>
      <w:tr w:rsidR="00941306" w:rsidTr="00CC480D">
        <w:trPr>
          <w:trHeight w:val="245"/>
        </w:trPr>
        <w:tc>
          <w:tcPr>
            <w:tcW w:w="0" w:type="auto"/>
            <w:vMerge/>
            <w:tcBorders>
              <w:top w:val="nil"/>
              <w:left w:val="nil"/>
              <w:bottom w:val="single" w:sz="4" w:space="0" w:color="000000"/>
              <w:right w:val="nil"/>
            </w:tcBorders>
          </w:tcPr>
          <w:p w:rsidR="00941306" w:rsidRDefault="00941306" w:rsidP="00CC480D">
            <w:pPr>
              <w:spacing w:after="160" w:line="259" w:lineRule="auto"/>
            </w:pPr>
          </w:p>
        </w:tc>
        <w:tc>
          <w:tcPr>
            <w:tcW w:w="0" w:type="auto"/>
            <w:vMerge/>
            <w:tcBorders>
              <w:top w:val="nil"/>
              <w:left w:val="nil"/>
              <w:bottom w:val="single" w:sz="4" w:space="0" w:color="000000"/>
              <w:right w:val="nil"/>
            </w:tcBorders>
          </w:tcPr>
          <w:p w:rsidR="00941306" w:rsidRDefault="00941306" w:rsidP="00CC480D">
            <w:pPr>
              <w:spacing w:after="160" w:line="259" w:lineRule="auto"/>
            </w:pPr>
          </w:p>
        </w:tc>
        <w:tc>
          <w:tcPr>
            <w:tcW w:w="794" w:type="dxa"/>
            <w:tcBorders>
              <w:top w:val="single" w:sz="2" w:space="0" w:color="000000"/>
              <w:left w:val="nil"/>
              <w:bottom w:val="single" w:sz="4" w:space="0" w:color="000000"/>
              <w:right w:val="nil"/>
            </w:tcBorders>
            <w:shd w:val="clear" w:color="auto" w:fill="F2F2F2"/>
          </w:tcPr>
          <w:p w:rsidR="00941306" w:rsidRDefault="00941306" w:rsidP="00CC480D">
            <w:pPr>
              <w:spacing w:line="259" w:lineRule="auto"/>
              <w:ind w:right="86"/>
              <w:jc w:val="right"/>
            </w:pPr>
            <w:r>
              <w:rPr>
                <w:b/>
              </w:rPr>
              <w:t xml:space="preserve"> 59,456 </w:t>
            </w:r>
          </w:p>
        </w:tc>
        <w:tc>
          <w:tcPr>
            <w:tcW w:w="794" w:type="dxa"/>
            <w:tcBorders>
              <w:top w:val="single" w:sz="2" w:space="0" w:color="000000"/>
              <w:left w:val="nil"/>
              <w:bottom w:val="single" w:sz="4" w:space="0" w:color="000000"/>
              <w:right w:val="nil"/>
            </w:tcBorders>
          </w:tcPr>
          <w:p w:rsidR="00941306" w:rsidRDefault="00941306" w:rsidP="00CC480D">
            <w:pPr>
              <w:spacing w:line="259" w:lineRule="auto"/>
              <w:ind w:right="86"/>
              <w:jc w:val="right"/>
            </w:pPr>
            <w:r>
              <w:t xml:space="preserve">60,285 </w:t>
            </w:r>
          </w:p>
        </w:tc>
      </w:tr>
    </w:tbl>
    <w:p w:rsidR="00941306" w:rsidRDefault="00941306"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376902" w:rsidRDefault="00376902" w:rsidP="0073699A">
      <w:pPr>
        <w:jc w:val="both"/>
        <w:rPr>
          <w:sz w:val="24"/>
          <w:szCs w:val="24"/>
        </w:rPr>
      </w:pPr>
    </w:p>
    <w:p w:rsidR="000B36DE" w:rsidRDefault="000B36DE" w:rsidP="000B36DE">
      <w:pPr>
        <w:pStyle w:val="Heading1"/>
        <w:spacing w:after="100" w:afterAutospacing="1"/>
      </w:pPr>
      <w:bookmarkStart w:id="28" w:name="_Toc30151597"/>
      <w:r>
        <w:lastRenderedPageBreak/>
        <w:t>Appendix 2</w:t>
      </w:r>
      <w:bookmarkEnd w:id="28"/>
    </w:p>
    <w:p w:rsidR="000B36DE" w:rsidRPr="009F1D8A" w:rsidRDefault="000B36DE" w:rsidP="000B36DE">
      <w:pPr>
        <w:jc w:val="both"/>
        <w:rPr>
          <w:rFonts w:cstheme="minorHAnsi"/>
          <w:sz w:val="24"/>
          <w:szCs w:val="24"/>
        </w:rPr>
      </w:pPr>
      <w:r>
        <w:rPr>
          <w:rFonts w:cstheme="minorHAnsi"/>
          <w:sz w:val="24"/>
          <w:szCs w:val="24"/>
        </w:rPr>
        <w:t>UNILEVER</w:t>
      </w:r>
    </w:p>
    <w:tbl>
      <w:tblPr>
        <w:tblStyle w:val="TableGrid"/>
        <w:tblW w:w="0" w:type="auto"/>
        <w:tblLook w:val="04A0" w:firstRow="1" w:lastRow="0" w:firstColumn="1" w:lastColumn="0" w:noHBand="0" w:noVBand="1"/>
      </w:tblPr>
      <w:tblGrid>
        <w:gridCol w:w="846"/>
        <w:gridCol w:w="4111"/>
        <w:gridCol w:w="4059"/>
      </w:tblGrid>
      <w:tr w:rsidR="000B36DE" w:rsidRPr="009F1D8A" w:rsidTr="00C06930">
        <w:tc>
          <w:tcPr>
            <w:tcW w:w="846" w:type="dxa"/>
          </w:tcPr>
          <w:p w:rsidR="000B36DE" w:rsidRPr="009F1D8A" w:rsidRDefault="000B36DE" w:rsidP="00C06930">
            <w:pPr>
              <w:jc w:val="both"/>
              <w:rPr>
                <w:rFonts w:cstheme="minorHAnsi"/>
                <w:b/>
                <w:sz w:val="24"/>
                <w:szCs w:val="24"/>
              </w:rPr>
            </w:pPr>
            <w:r w:rsidRPr="009F1D8A">
              <w:rPr>
                <w:rFonts w:cstheme="minorHAnsi"/>
                <w:b/>
                <w:sz w:val="24"/>
                <w:szCs w:val="24"/>
              </w:rPr>
              <w:t>Year</w:t>
            </w:r>
          </w:p>
        </w:tc>
        <w:tc>
          <w:tcPr>
            <w:tcW w:w="4111" w:type="dxa"/>
          </w:tcPr>
          <w:p w:rsidR="000B36DE" w:rsidRPr="009F1D8A" w:rsidRDefault="000B36DE" w:rsidP="00C06930">
            <w:pPr>
              <w:jc w:val="both"/>
              <w:rPr>
                <w:rFonts w:cstheme="minorHAnsi"/>
                <w:b/>
                <w:sz w:val="24"/>
                <w:szCs w:val="24"/>
              </w:rPr>
            </w:pPr>
            <w:r>
              <w:rPr>
                <w:rFonts w:cstheme="minorHAnsi"/>
                <w:b/>
                <w:sz w:val="24"/>
                <w:szCs w:val="24"/>
              </w:rPr>
              <w:t>Disposals</w:t>
            </w:r>
            <w:r w:rsidRPr="009F1D8A">
              <w:rPr>
                <w:rFonts w:cstheme="minorHAnsi"/>
                <w:b/>
                <w:sz w:val="24"/>
                <w:szCs w:val="24"/>
              </w:rPr>
              <w:t xml:space="preserve"> ( companies &amp; brands)</w:t>
            </w:r>
          </w:p>
        </w:tc>
        <w:tc>
          <w:tcPr>
            <w:tcW w:w="4059" w:type="dxa"/>
          </w:tcPr>
          <w:p w:rsidR="000B36DE" w:rsidRPr="009F1D8A" w:rsidRDefault="000B36DE" w:rsidP="00C06930">
            <w:pPr>
              <w:jc w:val="both"/>
              <w:rPr>
                <w:rFonts w:cstheme="minorHAnsi"/>
                <w:b/>
                <w:sz w:val="24"/>
                <w:szCs w:val="24"/>
              </w:rPr>
            </w:pPr>
            <w:r w:rsidRPr="009F1D8A">
              <w:rPr>
                <w:rFonts w:cstheme="minorHAnsi"/>
                <w:b/>
                <w:sz w:val="24"/>
                <w:szCs w:val="24"/>
              </w:rPr>
              <w:t>Acquisitions % Development</w:t>
            </w:r>
          </w:p>
        </w:tc>
      </w:tr>
      <w:tr w:rsidR="000B36DE" w:rsidRPr="009F1D8A" w:rsidTr="00C06930">
        <w:tc>
          <w:tcPr>
            <w:tcW w:w="846" w:type="dxa"/>
            <w:vMerge w:val="restart"/>
          </w:tcPr>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r w:rsidRPr="009F1D8A">
              <w:rPr>
                <w:rFonts w:cstheme="minorHAnsi"/>
                <w:sz w:val="24"/>
                <w:szCs w:val="24"/>
              </w:rPr>
              <w:t>2014</w:t>
            </w:r>
          </w:p>
        </w:tc>
        <w:tc>
          <w:tcPr>
            <w:tcW w:w="4111" w:type="dxa"/>
          </w:tcPr>
          <w:p w:rsidR="000B36DE" w:rsidRPr="009F1D8A" w:rsidRDefault="000B36DE" w:rsidP="00C06930">
            <w:pPr>
              <w:rPr>
                <w:rFonts w:cstheme="minorHAnsi"/>
                <w:sz w:val="24"/>
                <w:szCs w:val="24"/>
              </w:rPr>
            </w:pPr>
            <w:r w:rsidRPr="009F1D8A">
              <w:rPr>
                <w:rFonts w:cstheme="minorHAnsi"/>
                <w:color w:val="222222"/>
                <w:sz w:val="24"/>
                <w:szCs w:val="24"/>
                <w:shd w:val="clear" w:color="auto" w:fill="FFFFFF"/>
              </w:rPr>
              <w:t>Meat snacks business to </w:t>
            </w:r>
            <w:hyperlink r:id="rId10" w:tooltip="Jack Link's Beef Jerky" w:history="1">
              <w:r w:rsidRPr="009F1D8A">
                <w:rPr>
                  <w:rStyle w:val="Hyperlink"/>
                  <w:rFonts w:cstheme="minorHAnsi"/>
                  <w:color w:val="auto"/>
                  <w:sz w:val="24"/>
                  <w:szCs w:val="24"/>
                  <w:u w:val="none"/>
                  <w:shd w:val="clear" w:color="auto" w:fill="FFFFFF"/>
                </w:rPr>
                <w:t>Jack Link's</w:t>
              </w:r>
            </w:hyperlink>
            <w:r w:rsidRPr="009F1D8A">
              <w:rPr>
                <w:rFonts w:cstheme="minorHAnsi"/>
                <w:color w:val="222222"/>
                <w:sz w:val="24"/>
                <w:szCs w:val="24"/>
                <w:shd w:val="clear" w:color="auto" w:fill="FFFFFF"/>
              </w:rPr>
              <w:t>, </w:t>
            </w:r>
          </w:p>
        </w:tc>
        <w:tc>
          <w:tcPr>
            <w:tcW w:w="4059" w:type="dxa"/>
          </w:tcPr>
          <w:p w:rsidR="000B36DE" w:rsidRPr="009F1D8A" w:rsidRDefault="000B36DE" w:rsidP="00C06930">
            <w:pPr>
              <w:rPr>
                <w:rFonts w:cstheme="minorHAnsi"/>
                <w:sz w:val="24"/>
                <w:szCs w:val="24"/>
              </w:rPr>
            </w:pPr>
            <w:r>
              <w:rPr>
                <w:rFonts w:cstheme="minorHAnsi"/>
                <w:color w:val="222222"/>
                <w:sz w:val="24"/>
                <w:szCs w:val="24"/>
                <w:shd w:val="clear" w:color="auto" w:fill="FFFFFF"/>
              </w:rPr>
              <w:t>W</w:t>
            </w:r>
            <w:r w:rsidRPr="009F1D8A">
              <w:rPr>
                <w:rFonts w:cstheme="minorHAnsi"/>
                <w:color w:val="222222"/>
                <w:sz w:val="24"/>
                <w:szCs w:val="24"/>
                <w:shd w:val="clear" w:color="auto" w:fill="FFFFFF"/>
              </w:rPr>
              <w:t xml:space="preserve">ater purification company </w:t>
            </w:r>
            <w:proofErr w:type="spellStart"/>
            <w:r w:rsidRPr="009F1D8A">
              <w:rPr>
                <w:rFonts w:cstheme="minorHAnsi"/>
                <w:color w:val="222222"/>
                <w:sz w:val="24"/>
                <w:szCs w:val="24"/>
                <w:shd w:val="clear" w:color="auto" w:fill="FFFFFF"/>
              </w:rPr>
              <w:t>Qinyuan</w:t>
            </w:r>
            <w:proofErr w:type="spellEnd"/>
            <w:r>
              <w:rPr>
                <w:rFonts w:cstheme="minorHAnsi"/>
                <w:color w:val="222222"/>
                <w:sz w:val="24"/>
                <w:szCs w:val="24"/>
                <w:shd w:val="clear" w:color="auto" w:fill="FFFFFF"/>
              </w:rPr>
              <w:t xml:space="preserve"> from China</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tcPr>
          <w:p w:rsidR="000B36DE" w:rsidRPr="009F1D8A" w:rsidRDefault="000B36DE" w:rsidP="00C06930">
            <w:pPr>
              <w:rPr>
                <w:rFonts w:cstheme="minorHAnsi"/>
                <w:sz w:val="24"/>
                <w:szCs w:val="24"/>
              </w:rPr>
            </w:pPr>
            <w:r w:rsidRPr="009F1D8A">
              <w:rPr>
                <w:rFonts w:cstheme="minorHAnsi"/>
                <w:color w:val="222222"/>
                <w:sz w:val="24"/>
                <w:szCs w:val="24"/>
                <w:shd w:val="clear" w:color="auto" w:fill="FFFFFF"/>
              </w:rPr>
              <w:t>Pasta sauces business to Japanese company </w:t>
            </w:r>
            <w:proofErr w:type="spellStart"/>
            <w:r w:rsidR="008528CB">
              <w:fldChar w:fldCharType="begin"/>
            </w:r>
            <w:r w:rsidR="008528CB">
              <w:instrText xml:space="preserve"> HYPERLINK "https://en.wikipedia.org/wiki/Mizkan" \o "Mizkan" </w:instrText>
            </w:r>
            <w:r w:rsidR="008528CB">
              <w:fldChar w:fldCharType="separate"/>
            </w:r>
            <w:r w:rsidRPr="009F1D8A">
              <w:rPr>
                <w:rStyle w:val="Hyperlink"/>
                <w:rFonts w:cstheme="minorHAnsi"/>
                <w:color w:val="auto"/>
                <w:sz w:val="24"/>
                <w:szCs w:val="24"/>
                <w:u w:val="none"/>
                <w:shd w:val="clear" w:color="auto" w:fill="FFFFFF"/>
              </w:rPr>
              <w:t>Mizkan</w:t>
            </w:r>
            <w:proofErr w:type="spellEnd"/>
            <w:r w:rsidR="008528CB">
              <w:rPr>
                <w:rStyle w:val="Hyperlink"/>
                <w:rFonts w:cstheme="minorHAnsi"/>
                <w:color w:val="auto"/>
                <w:sz w:val="24"/>
                <w:szCs w:val="24"/>
                <w:u w:val="none"/>
                <w:shd w:val="clear" w:color="auto" w:fill="FFFFFF"/>
              </w:rPr>
              <w:fldChar w:fldCharType="end"/>
            </w:r>
          </w:p>
        </w:tc>
        <w:tc>
          <w:tcPr>
            <w:tcW w:w="4059" w:type="dxa"/>
          </w:tcPr>
          <w:p w:rsidR="000B36DE" w:rsidRPr="009F1D8A" w:rsidRDefault="000B36DE" w:rsidP="00C06930">
            <w:pPr>
              <w:jc w:val="both"/>
              <w:rPr>
                <w:rFonts w:cstheme="minorHAnsi"/>
                <w:sz w:val="24"/>
                <w:szCs w:val="24"/>
              </w:rPr>
            </w:pPr>
            <w:proofErr w:type="spellStart"/>
            <w:r w:rsidRPr="009F1D8A">
              <w:rPr>
                <w:rFonts w:cstheme="minorHAnsi"/>
                <w:color w:val="222222"/>
                <w:sz w:val="24"/>
                <w:szCs w:val="24"/>
                <w:shd w:val="clear" w:color="auto" w:fill="FFFFFF"/>
              </w:rPr>
              <w:t>Talenti</w:t>
            </w:r>
            <w:proofErr w:type="spellEnd"/>
            <w:r w:rsidRPr="009F1D8A">
              <w:rPr>
                <w:rFonts w:cstheme="minorHAnsi"/>
                <w:color w:val="222222"/>
                <w:sz w:val="24"/>
                <w:szCs w:val="24"/>
                <w:shd w:val="clear" w:color="auto" w:fill="FFFFFF"/>
              </w:rPr>
              <w:t xml:space="preserve"> Gela</w:t>
            </w:r>
            <w:r>
              <w:rPr>
                <w:rFonts w:cstheme="minorHAnsi"/>
                <w:color w:val="222222"/>
                <w:sz w:val="24"/>
                <w:szCs w:val="24"/>
                <w:shd w:val="clear" w:color="auto" w:fill="FFFFFF"/>
              </w:rPr>
              <w:t xml:space="preserve">to &amp; </w:t>
            </w:r>
            <w:proofErr w:type="spellStart"/>
            <w:r>
              <w:rPr>
                <w:rFonts w:cstheme="minorHAnsi"/>
                <w:color w:val="222222"/>
                <w:sz w:val="24"/>
                <w:szCs w:val="24"/>
                <w:shd w:val="clear" w:color="auto" w:fill="FFFFFF"/>
              </w:rPr>
              <w:t>Sorbetto</w:t>
            </w:r>
            <w:proofErr w:type="spellEnd"/>
            <w:r>
              <w:rPr>
                <w:rFonts w:cstheme="minorHAnsi"/>
                <w:color w:val="222222"/>
                <w:sz w:val="24"/>
                <w:szCs w:val="24"/>
                <w:shd w:val="clear" w:color="auto" w:fill="FFFFFF"/>
              </w:rPr>
              <w:t xml:space="preserve"> from Minneapolis, USA</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tcPr>
          <w:p w:rsidR="000B36DE" w:rsidRPr="009F1D8A" w:rsidRDefault="008528CB" w:rsidP="00C06930">
            <w:pPr>
              <w:rPr>
                <w:rFonts w:cstheme="minorHAnsi"/>
                <w:sz w:val="24"/>
                <w:szCs w:val="24"/>
              </w:rPr>
            </w:pPr>
            <w:hyperlink r:id="rId11" w:tooltip="Slim-Fast" w:history="1">
              <w:r w:rsidR="000B36DE" w:rsidRPr="009F1D8A">
                <w:rPr>
                  <w:rStyle w:val="Hyperlink"/>
                  <w:rFonts w:cstheme="minorHAnsi"/>
                  <w:color w:val="auto"/>
                  <w:sz w:val="24"/>
                  <w:szCs w:val="24"/>
                  <w:u w:val="none"/>
                  <w:shd w:val="clear" w:color="auto" w:fill="FFFFFF"/>
                </w:rPr>
                <w:t>Slim-Fast</w:t>
              </w:r>
            </w:hyperlink>
            <w:r w:rsidR="000B36DE" w:rsidRPr="009F1D8A">
              <w:rPr>
                <w:rFonts w:cstheme="minorHAnsi"/>
                <w:color w:val="222222"/>
                <w:sz w:val="24"/>
                <w:szCs w:val="24"/>
                <w:shd w:val="clear" w:color="auto" w:fill="FFFFFF"/>
              </w:rPr>
              <w:t xml:space="preserve"> brand to </w:t>
            </w:r>
            <w:proofErr w:type="spellStart"/>
            <w:r w:rsidR="000B36DE" w:rsidRPr="009F1D8A">
              <w:rPr>
                <w:rFonts w:cstheme="minorHAnsi"/>
                <w:color w:val="222222"/>
                <w:sz w:val="24"/>
                <w:szCs w:val="24"/>
                <w:shd w:val="clear" w:color="auto" w:fill="FFFFFF"/>
              </w:rPr>
              <w:t>Kainos</w:t>
            </w:r>
            <w:proofErr w:type="spellEnd"/>
            <w:r w:rsidR="000B36DE" w:rsidRPr="009F1D8A">
              <w:rPr>
                <w:rFonts w:cstheme="minorHAnsi"/>
                <w:color w:val="222222"/>
                <w:sz w:val="24"/>
                <w:szCs w:val="24"/>
                <w:shd w:val="clear" w:color="auto" w:fill="FFFFFF"/>
              </w:rPr>
              <w:t xml:space="preserve"> Capital, keeping </w:t>
            </w:r>
            <w:r w:rsidR="000B36DE">
              <w:rPr>
                <w:rFonts w:cstheme="minorHAnsi"/>
                <w:color w:val="222222"/>
                <w:sz w:val="24"/>
                <w:szCs w:val="24"/>
                <w:shd w:val="clear" w:color="auto" w:fill="FFFFFF"/>
              </w:rPr>
              <w:t>a minority stake</w:t>
            </w:r>
          </w:p>
        </w:tc>
        <w:tc>
          <w:tcPr>
            <w:tcW w:w="4059" w:type="dxa"/>
          </w:tcPr>
          <w:p w:rsidR="000B36DE" w:rsidRPr="009F1D8A" w:rsidRDefault="000B36DE" w:rsidP="00C06930">
            <w:pPr>
              <w:jc w:val="both"/>
              <w:rPr>
                <w:rFonts w:cstheme="minorHAnsi"/>
                <w:sz w:val="24"/>
                <w:szCs w:val="24"/>
              </w:rPr>
            </w:pPr>
            <w:r w:rsidRPr="009F1D8A">
              <w:rPr>
                <w:rFonts w:cstheme="minorHAnsi"/>
                <w:sz w:val="24"/>
                <w:szCs w:val="24"/>
              </w:rPr>
              <w:t>Camay and Zest brands from Procter &amp; Gamble</w:t>
            </w:r>
          </w:p>
        </w:tc>
      </w:tr>
      <w:tr w:rsidR="000B36DE" w:rsidRPr="009F1D8A" w:rsidTr="00C06930">
        <w:tc>
          <w:tcPr>
            <w:tcW w:w="846" w:type="dxa"/>
            <w:vMerge w:val="restart"/>
          </w:tcPr>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r w:rsidRPr="009F1D8A">
              <w:rPr>
                <w:rFonts w:cstheme="minorHAnsi"/>
                <w:sz w:val="24"/>
                <w:szCs w:val="24"/>
              </w:rPr>
              <w:t>2015</w:t>
            </w:r>
          </w:p>
        </w:tc>
        <w:tc>
          <w:tcPr>
            <w:tcW w:w="4111" w:type="dxa"/>
            <w:vMerge w:val="restart"/>
          </w:tcPr>
          <w:p w:rsidR="000B36DE" w:rsidRPr="009F1D8A" w:rsidRDefault="000B36DE" w:rsidP="00C06930">
            <w:pPr>
              <w:rPr>
                <w:rFonts w:cstheme="minorHAnsi"/>
                <w:sz w:val="24"/>
                <w:szCs w:val="24"/>
              </w:rPr>
            </w:pPr>
          </w:p>
        </w:tc>
        <w:tc>
          <w:tcPr>
            <w:tcW w:w="4059" w:type="dxa"/>
          </w:tcPr>
          <w:p w:rsidR="000B36DE" w:rsidRPr="009F1D8A" w:rsidRDefault="000B36DE" w:rsidP="00C06930">
            <w:pPr>
              <w:jc w:val="both"/>
              <w:rPr>
                <w:rFonts w:cstheme="minorHAnsi"/>
                <w:sz w:val="24"/>
                <w:szCs w:val="24"/>
              </w:rPr>
            </w:pPr>
            <w:r w:rsidRPr="009F1D8A">
              <w:rPr>
                <w:rFonts w:cstheme="minorHAnsi"/>
                <w:color w:val="222222"/>
                <w:sz w:val="24"/>
                <w:szCs w:val="24"/>
                <w:shd w:val="clear" w:color="auto" w:fill="FFFFFF"/>
              </w:rPr>
              <w:t>Kate Somerville Skincare LLC from USA</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sz w:val="24"/>
                <w:szCs w:val="24"/>
              </w:rPr>
            </w:pPr>
          </w:p>
        </w:tc>
        <w:tc>
          <w:tcPr>
            <w:tcW w:w="4059" w:type="dxa"/>
          </w:tcPr>
          <w:p w:rsidR="000B36DE" w:rsidRPr="009F1D8A" w:rsidRDefault="000B36DE" w:rsidP="00C06930">
            <w:pPr>
              <w:jc w:val="both"/>
              <w:rPr>
                <w:rFonts w:cstheme="minorHAnsi"/>
                <w:sz w:val="24"/>
                <w:szCs w:val="24"/>
              </w:rPr>
            </w:pPr>
            <w:r w:rsidRPr="009F1D8A">
              <w:rPr>
                <w:rFonts w:cstheme="minorHAnsi"/>
                <w:color w:val="222222"/>
                <w:sz w:val="24"/>
                <w:szCs w:val="24"/>
                <w:shd w:val="clear" w:color="auto" w:fill="FFFFFF"/>
              </w:rPr>
              <w:t>REN Skincare, a British brand</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sz w:val="24"/>
                <w:szCs w:val="24"/>
              </w:rPr>
            </w:pPr>
          </w:p>
        </w:tc>
        <w:tc>
          <w:tcPr>
            <w:tcW w:w="4059" w:type="dxa"/>
          </w:tcPr>
          <w:p w:rsidR="000B36DE" w:rsidRPr="009F1D8A" w:rsidRDefault="000B36DE" w:rsidP="00C06930">
            <w:pPr>
              <w:rPr>
                <w:rFonts w:cstheme="minorHAnsi"/>
                <w:sz w:val="24"/>
                <w:szCs w:val="24"/>
              </w:rPr>
            </w:pPr>
            <w:r w:rsidRPr="009F1D8A">
              <w:rPr>
                <w:rFonts w:cstheme="minorHAnsi"/>
                <w:color w:val="222222"/>
                <w:sz w:val="24"/>
                <w:szCs w:val="24"/>
                <w:shd w:val="clear" w:color="auto" w:fill="FFFFFF"/>
              </w:rPr>
              <w:t>Italian ice cream maker </w:t>
            </w:r>
            <w:hyperlink r:id="rId12" w:tooltip="Grom (company)" w:history="1">
              <w:r w:rsidRPr="009F1D8A">
                <w:rPr>
                  <w:rStyle w:val="Hyperlink"/>
                  <w:rFonts w:cstheme="minorHAnsi"/>
                  <w:color w:val="auto"/>
                  <w:sz w:val="24"/>
                  <w:szCs w:val="24"/>
                  <w:u w:val="none"/>
                  <w:shd w:val="clear" w:color="auto" w:fill="FFFFFF"/>
                </w:rPr>
                <w:t>GROM</w:t>
              </w:r>
            </w:hyperlink>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sz w:val="24"/>
                <w:szCs w:val="24"/>
              </w:rPr>
            </w:pPr>
          </w:p>
        </w:tc>
        <w:tc>
          <w:tcPr>
            <w:tcW w:w="4059" w:type="dxa"/>
          </w:tcPr>
          <w:p w:rsidR="000B36DE" w:rsidRPr="009F1D8A" w:rsidRDefault="000B36DE" w:rsidP="00C06930">
            <w:pPr>
              <w:rPr>
                <w:rFonts w:cstheme="minorHAnsi"/>
                <w:sz w:val="24"/>
                <w:szCs w:val="24"/>
              </w:rPr>
            </w:pPr>
            <w:r w:rsidRPr="009F1D8A">
              <w:rPr>
                <w:rFonts w:cstheme="minorHAnsi"/>
                <w:sz w:val="24"/>
                <w:szCs w:val="24"/>
              </w:rPr>
              <w:t>Creation of Unilever Baking, Cooking and Spreading to address declining global sales in that type of product</w:t>
            </w:r>
          </w:p>
        </w:tc>
      </w:tr>
      <w:tr w:rsidR="000B36DE" w:rsidRPr="009F1D8A" w:rsidTr="00C06930">
        <w:tc>
          <w:tcPr>
            <w:tcW w:w="846" w:type="dxa"/>
            <w:vMerge w:val="restart"/>
          </w:tcPr>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r w:rsidRPr="009F1D8A">
              <w:rPr>
                <w:rFonts w:cstheme="minorHAnsi"/>
                <w:sz w:val="24"/>
                <w:szCs w:val="24"/>
              </w:rPr>
              <w:t>2016</w:t>
            </w:r>
          </w:p>
        </w:tc>
        <w:tc>
          <w:tcPr>
            <w:tcW w:w="4111" w:type="dxa"/>
            <w:vMerge w:val="restart"/>
          </w:tcPr>
          <w:p w:rsidR="000B36DE" w:rsidRPr="009F1D8A" w:rsidRDefault="000B36DE" w:rsidP="00C06930">
            <w:pPr>
              <w:jc w:val="both"/>
              <w:rPr>
                <w:rFonts w:cstheme="minorHAnsi"/>
                <w:sz w:val="24"/>
                <w:szCs w:val="24"/>
              </w:rPr>
            </w:pPr>
          </w:p>
        </w:tc>
        <w:tc>
          <w:tcPr>
            <w:tcW w:w="4059" w:type="dxa"/>
          </w:tcPr>
          <w:p w:rsidR="000B36DE" w:rsidRPr="009F1D8A" w:rsidRDefault="008528CB" w:rsidP="00C06930">
            <w:pPr>
              <w:jc w:val="both"/>
              <w:rPr>
                <w:rFonts w:cstheme="minorHAnsi"/>
                <w:sz w:val="24"/>
                <w:szCs w:val="24"/>
              </w:rPr>
            </w:pPr>
            <w:hyperlink r:id="rId13" w:tooltip="Dollar Shave Club" w:history="1">
              <w:r w:rsidR="000B36DE" w:rsidRPr="009F1D8A">
                <w:rPr>
                  <w:rStyle w:val="Hyperlink"/>
                  <w:rFonts w:cstheme="minorHAnsi"/>
                  <w:color w:val="auto"/>
                  <w:sz w:val="24"/>
                  <w:szCs w:val="24"/>
                  <w:u w:val="none"/>
                  <w:shd w:val="clear" w:color="auto" w:fill="FFFFFF"/>
                </w:rPr>
                <w:t>Dollar Shave Club</w:t>
              </w:r>
            </w:hyperlink>
            <w:r w:rsidR="000B36DE" w:rsidRPr="009F1D8A">
              <w:rPr>
                <w:rFonts w:cstheme="minorHAnsi"/>
                <w:color w:val="222222"/>
                <w:sz w:val="24"/>
                <w:szCs w:val="24"/>
                <w:shd w:val="clear" w:color="auto" w:fill="FFFFFF"/>
              </w:rPr>
              <w:t> from USA to compete in the male grooming market</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sz w:val="24"/>
                <w:szCs w:val="24"/>
              </w:rPr>
            </w:pPr>
          </w:p>
        </w:tc>
        <w:tc>
          <w:tcPr>
            <w:tcW w:w="4059" w:type="dxa"/>
          </w:tcPr>
          <w:p w:rsidR="000B36DE" w:rsidRPr="009F1D8A" w:rsidRDefault="000B36DE" w:rsidP="00C06930">
            <w:pPr>
              <w:jc w:val="both"/>
              <w:rPr>
                <w:rFonts w:cstheme="minorHAnsi"/>
                <w:sz w:val="24"/>
                <w:szCs w:val="24"/>
              </w:rPr>
            </w:pPr>
            <w:proofErr w:type="spellStart"/>
            <w:r>
              <w:rPr>
                <w:rFonts w:cstheme="minorHAnsi"/>
                <w:color w:val="222222"/>
                <w:sz w:val="24"/>
                <w:szCs w:val="24"/>
                <w:shd w:val="clear" w:color="auto" w:fill="FFFFFF"/>
              </w:rPr>
              <w:t>Blueair</w:t>
            </w:r>
            <w:proofErr w:type="spellEnd"/>
            <w:r>
              <w:rPr>
                <w:rFonts w:cstheme="minorHAnsi"/>
                <w:color w:val="222222"/>
                <w:sz w:val="24"/>
                <w:szCs w:val="24"/>
                <w:shd w:val="clear" w:color="auto" w:fill="FFFFFF"/>
              </w:rPr>
              <w:t xml:space="preserve">, a supplier of </w:t>
            </w:r>
            <w:r w:rsidRPr="009F1D8A">
              <w:rPr>
                <w:rFonts w:cstheme="minorHAnsi"/>
                <w:color w:val="222222"/>
                <w:sz w:val="24"/>
                <w:szCs w:val="24"/>
                <w:shd w:val="clear" w:color="auto" w:fill="FFFFFF"/>
              </w:rPr>
              <w:t>air purification technologies</w:t>
            </w:r>
          </w:p>
        </w:tc>
      </w:tr>
      <w:tr w:rsidR="000B36DE" w:rsidRPr="009F1D8A" w:rsidTr="00C06930">
        <w:trPr>
          <w:trHeight w:val="841"/>
        </w:trPr>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sz w:val="24"/>
                <w:szCs w:val="24"/>
              </w:rPr>
            </w:pPr>
          </w:p>
        </w:tc>
        <w:tc>
          <w:tcPr>
            <w:tcW w:w="4059" w:type="dxa"/>
          </w:tcPr>
          <w:p w:rsidR="000B36DE" w:rsidRPr="009F1D8A" w:rsidRDefault="000B36DE" w:rsidP="00C06930">
            <w:pPr>
              <w:ind w:right="240"/>
              <w:rPr>
                <w:rFonts w:eastAsia="Times New Roman" w:cstheme="minorHAnsi"/>
                <w:sz w:val="24"/>
                <w:szCs w:val="24"/>
                <w:lang w:eastAsia="en-GB"/>
              </w:rPr>
            </w:pPr>
            <w:r w:rsidRPr="009F1D8A">
              <w:rPr>
                <w:rFonts w:eastAsia="Times New Roman" w:cstheme="minorHAnsi"/>
                <w:sz w:val="24"/>
                <w:szCs w:val="24"/>
                <w:lang w:eastAsia="en-GB"/>
              </w:rPr>
              <w:t xml:space="preserve">Seventh Generation </w:t>
            </w:r>
            <w:proofErr w:type="spellStart"/>
            <w:r w:rsidRPr="009F1D8A">
              <w:rPr>
                <w:rFonts w:eastAsia="Times New Roman" w:cstheme="minorHAnsi"/>
                <w:sz w:val="24"/>
                <w:szCs w:val="24"/>
                <w:lang w:eastAsia="en-GB"/>
              </w:rPr>
              <w:t>Inc</w:t>
            </w:r>
            <w:proofErr w:type="spellEnd"/>
            <w:r>
              <w:rPr>
                <w:rFonts w:eastAsia="Times New Roman" w:cstheme="minorHAnsi"/>
                <w:sz w:val="24"/>
                <w:szCs w:val="24"/>
                <w:lang w:eastAsia="en-GB"/>
              </w:rPr>
              <w:t xml:space="preserve">, an American </w:t>
            </w:r>
            <w:r w:rsidRPr="009F1D8A">
              <w:rPr>
                <w:rFonts w:eastAsia="Times New Roman" w:cstheme="minorHAnsi"/>
                <w:sz w:val="24"/>
                <w:szCs w:val="24"/>
                <w:lang w:eastAsia="en-GB"/>
              </w:rPr>
              <w:t>cleaning, paper, and personal care products</w:t>
            </w:r>
            <w:r>
              <w:rPr>
                <w:rFonts w:eastAsia="Times New Roman" w:cstheme="minorHAnsi"/>
                <w:sz w:val="24"/>
                <w:szCs w:val="24"/>
                <w:lang w:eastAsia="en-GB"/>
              </w:rPr>
              <w:t xml:space="preserve"> company</w:t>
            </w:r>
          </w:p>
          <w:p w:rsidR="000B36DE" w:rsidRPr="009F1D8A" w:rsidRDefault="000B36DE" w:rsidP="00C06930">
            <w:pPr>
              <w:jc w:val="both"/>
              <w:rPr>
                <w:rFonts w:cstheme="minorHAnsi"/>
                <w:sz w:val="24"/>
                <w:szCs w:val="24"/>
              </w:rPr>
            </w:pP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sz w:val="24"/>
                <w:szCs w:val="24"/>
              </w:rPr>
            </w:pPr>
          </w:p>
        </w:tc>
        <w:tc>
          <w:tcPr>
            <w:tcW w:w="4059" w:type="dxa"/>
          </w:tcPr>
          <w:p w:rsidR="000B36DE" w:rsidRPr="009F1D8A" w:rsidRDefault="000B36DE" w:rsidP="00C06930">
            <w:pPr>
              <w:jc w:val="both"/>
              <w:rPr>
                <w:rFonts w:cstheme="minorHAnsi"/>
                <w:sz w:val="24"/>
                <w:szCs w:val="24"/>
              </w:rPr>
            </w:pPr>
            <w:r w:rsidRPr="009F1D8A">
              <w:rPr>
                <w:rFonts w:cstheme="minorHAnsi"/>
                <w:color w:val="222222"/>
                <w:sz w:val="24"/>
                <w:szCs w:val="24"/>
                <w:shd w:val="clear" w:color="auto" w:fill="FFFFFF"/>
              </w:rPr>
              <w:t xml:space="preserve">Living Proof </w:t>
            </w:r>
            <w:proofErr w:type="spellStart"/>
            <w:r w:rsidRPr="009F1D8A">
              <w:rPr>
                <w:rFonts w:cstheme="minorHAnsi"/>
                <w:color w:val="222222"/>
                <w:sz w:val="24"/>
                <w:szCs w:val="24"/>
                <w:shd w:val="clear" w:color="auto" w:fill="FFFFFF"/>
              </w:rPr>
              <w:t>Inc</w:t>
            </w:r>
            <w:proofErr w:type="spellEnd"/>
            <w:r w:rsidRPr="009F1D8A">
              <w:rPr>
                <w:rFonts w:cstheme="minorHAnsi"/>
                <w:color w:val="222222"/>
                <w:sz w:val="24"/>
                <w:szCs w:val="24"/>
                <w:shd w:val="clear" w:color="auto" w:fill="FFFFFF"/>
              </w:rPr>
              <w:t>, a hair care products business from USA</w:t>
            </w:r>
          </w:p>
        </w:tc>
      </w:tr>
      <w:tr w:rsidR="000B36DE" w:rsidRPr="009F1D8A" w:rsidTr="00C06930">
        <w:tc>
          <w:tcPr>
            <w:tcW w:w="846" w:type="dxa"/>
            <w:vMerge w:val="restart"/>
          </w:tcPr>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r w:rsidRPr="009F1D8A">
              <w:rPr>
                <w:rFonts w:cstheme="minorHAnsi"/>
                <w:sz w:val="24"/>
                <w:szCs w:val="24"/>
              </w:rPr>
              <w:t>2017</w:t>
            </w:r>
          </w:p>
        </w:tc>
        <w:tc>
          <w:tcPr>
            <w:tcW w:w="4111" w:type="dxa"/>
          </w:tcPr>
          <w:p w:rsidR="000B36DE" w:rsidRPr="009F1D8A" w:rsidRDefault="000B36DE" w:rsidP="00C06930">
            <w:pPr>
              <w:jc w:val="both"/>
              <w:rPr>
                <w:rFonts w:cstheme="minorHAnsi"/>
                <w:color w:val="222222"/>
                <w:sz w:val="24"/>
                <w:szCs w:val="24"/>
                <w:shd w:val="clear" w:color="auto" w:fill="FFFFFF"/>
              </w:rPr>
            </w:pPr>
            <w:r>
              <w:rPr>
                <w:rFonts w:ascii="Arial" w:hAnsi="Arial" w:cs="Arial"/>
                <w:color w:val="222222"/>
                <w:sz w:val="21"/>
                <w:szCs w:val="21"/>
                <w:shd w:val="clear" w:color="auto" w:fill="FFFFFF"/>
              </w:rPr>
              <w:t>Margarine and spreads division to investment firm </w:t>
            </w:r>
            <w:hyperlink r:id="rId14" w:tooltip="KKR" w:history="1">
              <w:r w:rsidRPr="00E90053">
                <w:rPr>
                  <w:rStyle w:val="Hyperlink"/>
                  <w:rFonts w:ascii="Arial" w:hAnsi="Arial" w:cs="Arial"/>
                  <w:color w:val="auto"/>
                  <w:sz w:val="21"/>
                  <w:szCs w:val="21"/>
                  <w:u w:val="none"/>
                  <w:shd w:val="clear" w:color="auto" w:fill="FFFFFF"/>
                </w:rPr>
                <w:t>KKR</w:t>
              </w:r>
            </w:hyperlink>
            <w:r w:rsidRPr="00E90053">
              <w:rPr>
                <w:rFonts w:ascii="Arial" w:hAnsi="Arial" w:cs="Arial"/>
                <w:sz w:val="21"/>
                <w:szCs w:val="21"/>
                <w:shd w:val="clear" w:color="auto" w:fill="FFFFFF"/>
              </w:rPr>
              <w:t> </w:t>
            </w:r>
          </w:p>
        </w:tc>
        <w:tc>
          <w:tcPr>
            <w:tcW w:w="4059" w:type="dxa"/>
          </w:tcPr>
          <w:p w:rsidR="000B36DE" w:rsidRPr="009F1D8A" w:rsidRDefault="000B36DE" w:rsidP="00C06930">
            <w:pPr>
              <w:jc w:val="both"/>
              <w:rPr>
                <w:rFonts w:cstheme="minorHAnsi"/>
                <w:sz w:val="24"/>
                <w:szCs w:val="24"/>
              </w:rPr>
            </w:pPr>
            <w:r w:rsidRPr="009F1D8A">
              <w:rPr>
                <w:rFonts w:cstheme="minorHAnsi"/>
                <w:color w:val="222222"/>
                <w:sz w:val="24"/>
                <w:szCs w:val="24"/>
                <w:shd w:val="clear" w:color="auto" w:fill="FFFFFF"/>
              </w:rPr>
              <w:t>Si</w:t>
            </w:r>
            <w:r>
              <w:rPr>
                <w:rFonts w:cstheme="minorHAnsi"/>
                <w:color w:val="222222"/>
                <w:sz w:val="24"/>
                <w:szCs w:val="24"/>
                <w:shd w:val="clear" w:color="auto" w:fill="FFFFFF"/>
              </w:rPr>
              <w:t>r Kensington’s, a</w:t>
            </w:r>
            <w:r w:rsidRPr="009F1D8A">
              <w:rPr>
                <w:rFonts w:cstheme="minorHAnsi"/>
                <w:color w:val="222222"/>
                <w:sz w:val="24"/>
                <w:szCs w:val="24"/>
                <w:shd w:val="clear" w:color="auto" w:fill="FFFFFF"/>
              </w:rPr>
              <w:t xml:space="preserve"> condiment maker</w:t>
            </w:r>
            <w:r>
              <w:rPr>
                <w:rFonts w:cstheme="minorHAnsi"/>
                <w:color w:val="222222"/>
                <w:sz w:val="24"/>
                <w:szCs w:val="24"/>
                <w:shd w:val="clear" w:color="auto" w:fill="FFFFFF"/>
              </w:rPr>
              <w:t xml:space="preserve"> from USA</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val="restart"/>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sz w:val="24"/>
                <w:szCs w:val="24"/>
              </w:rPr>
            </w:pPr>
            <w:r>
              <w:rPr>
                <w:rFonts w:cstheme="minorHAnsi"/>
                <w:color w:val="222222"/>
                <w:sz w:val="24"/>
                <w:szCs w:val="24"/>
                <w:shd w:val="clear" w:color="auto" w:fill="FFFFFF"/>
              </w:rPr>
              <w:t xml:space="preserve">Personal </w:t>
            </w:r>
            <w:r w:rsidRPr="009F1D8A">
              <w:rPr>
                <w:rFonts w:cstheme="minorHAnsi"/>
                <w:color w:val="222222"/>
                <w:sz w:val="24"/>
                <w:szCs w:val="24"/>
                <w:shd w:val="clear" w:color="auto" w:fill="FFFFFF"/>
              </w:rPr>
              <w:t xml:space="preserve">and home care brands of </w:t>
            </w:r>
            <w:proofErr w:type="spellStart"/>
            <w:r w:rsidRPr="009F1D8A">
              <w:rPr>
                <w:rFonts w:cstheme="minorHAnsi"/>
                <w:color w:val="222222"/>
                <w:sz w:val="24"/>
                <w:szCs w:val="24"/>
                <w:shd w:val="clear" w:color="auto" w:fill="FFFFFF"/>
              </w:rPr>
              <w:t>Quala</w:t>
            </w:r>
            <w:proofErr w:type="spellEnd"/>
            <w:r w:rsidRPr="009F1D8A">
              <w:rPr>
                <w:rFonts w:cstheme="minorHAnsi"/>
                <w:color w:val="222222"/>
                <w:sz w:val="24"/>
                <w:szCs w:val="24"/>
                <w:shd w:val="clear" w:color="auto" w:fill="FFFFFF"/>
              </w:rPr>
              <w:t>,</w:t>
            </w:r>
            <w:r>
              <w:rPr>
                <w:rFonts w:cstheme="minorHAnsi"/>
                <w:color w:val="222222"/>
                <w:sz w:val="24"/>
                <w:szCs w:val="24"/>
                <w:shd w:val="clear" w:color="auto" w:fill="FFFFFF"/>
              </w:rPr>
              <w:t xml:space="preserve"> a Latin American</w:t>
            </w:r>
            <w:r w:rsidRPr="009F1D8A">
              <w:rPr>
                <w:rFonts w:cstheme="minorHAnsi"/>
                <w:color w:val="222222"/>
                <w:sz w:val="24"/>
                <w:szCs w:val="24"/>
                <w:shd w:val="clear" w:color="auto" w:fill="FFFFFF"/>
              </w:rPr>
              <w:t xml:space="preserve"> company</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sz w:val="24"/>
                <w:szCs w:val="24"/>
              </w:rPr>
            </w:pPr>
            <w:r w:rsidRPr="009F1D8A">
              <w:rPr>
                <w:rFonts w:cstheme="minorHAnsi"/>
                <w:color w:val="222222"/>
                <w:sz w:val="24"/>
                <w:szCs w:val="24"/>
                <w:shd w:val="clear" w:color="auto" w:fill="FFFFFF"/>
              </w:rPr>
              <w:t>Hourglass, a colour cosmetics brand</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sz w:val="24"/>
                <w:szCs w:val="24"/>
              </w:rPr>
            </w:pPr>
            <w:r w:rsidRPr="009F1D8A">
              <w:rPr>
                <w:rFonts w:cstheme="minorHAnsi"/>
                <w:color w:val="222222"/>
                <w:sz w:val="24"/>
                <w:szCs w:val="24"/>
                <w:shd w:val="clear" w:color="auto" w:fill="FFFFFF"/>
              </w:rPr>
              <w:t xml:space="preserve">Organic </w:t>
            </w:r>
            <w:r>
              <w:rPr>
                <w:rFonts w:cstheme="minorHAnsi"/>
                <w:color w:val="222222"/>
                <w:sz w:val="24"/>
                <w:szCs w:val="24"/>
                <w:shd w:val="clear" w:color="auto" w:fill="FFFFFF"/>
              </w:rPr>
              <w:t>herbal tea company</w:t>
            </w:r>
            <w:r w:rsidRPr="009F1D8A">
              <w:rPr>
                <w:rFonts w:cstheme="minorHAnsi"/>
                <w:color w:val="222222"/>
                <w:sz w:val="24"/>
                <w:szCs w:val="24"/>
                <w:shd w:val="clear" w:color="auto" w:fill="FFFFFF"/>
              </w:rPr>
              <w:t>, Pukka Herbs</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color w:val="222222"/>
                <w:sz w:val="24"/>
                <w:szCs w:val="24"/>
                <w:shd w:val="clear" w:color="auto" w:fill="FFFFFF"/>
              </w:rPr>
            </w:pPr>
            <w:r w:rsidRPr="009F1D8A">
              <w:rPr>
                <w:rFonts w:cstheme="minorHAnsi"/>
                <w:color w:val="222222"/>
                <w:sz w:val="24"/>
                <w:szCs w:val="24"/>
                <w:shd w:val="clear" w:color="auto" w:fill="FFFFFF"/>
              </w:rPr>
              <w:t>Weis, an Australian ice cream business</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color w:val="222222"/>
                <w:sz w:val="24"/>
                <w:szCs w:val="24"/>
                <w:shd w:val="clear" w:color="auto" w:fill="FFFFFF"/>
              </w:rPr>
            </w:pPr>
            <w:r w:rsidRPr="009F1D8A">
              <w:rPr>
                <w:rFonts w:cstheme="minorHAnsi"/>
                <w:color w:val="222222"/>
                <w:sz w:val="24"/>
                <w:szCs w:val="24"/>
                <w:shd w:val="clear" w:color="auto" w:fill="FFFFFF"/>
              </w:rPr>
              <w:t>Carver Korea, a skincare business brand of AHC in North Asia</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color w:val="222222"/>
                <w:sz w:val="24"/>
                <w:szCs w:val="24"/>
                <w:shd w:val="clear" w:color="auto" w:fill="FFFFFF"/>
              </w:rPr>
            </w:pPr>
            <w:r w:rsidRPr="009F1D8A">
              <w:rPr>
                <w:rFonts w:cstheme="minorHAnsi"/>
                <w:color w:val="222222"/>
                <w:sz w:val="24"/>
                <w:szCs w:val="24"/>
                <w:shd w:val="clear" w:color="auto" w:fill="FFFFFF"/>
              </w:rPr>
              <w:t xml:space="preserve">Brazilian natural and organic food business </w:t>
            </w:r>
            <w:proofErr w:type="spellStart"/>
            <w:r w:rsidRPr="009F1D8A">
              <w:rPr>
                <w:rFonts w:cstheme="minorHAnsi"/>
                <w:color w:val="222222"/>
                <w:sz w:val="24"/>
                <w:szCs w:val="24"/>
                <w:shd w:val="clear" w:color="auto" w:fill="FFFFFF"/>
              </w:rPr>
              <w:t>Mãe</w:t>
            </w:r>
            <w:proofErr w:type="spellEnd"/>
            <w:r w:rsidRPr="009F1D8A">
              <w:rPr>
                <w:rFonts w:cstheme="minorHAnsi"/>
                <w:color w:val="222222"/>
                <w:sz w:val="24"/>
                <w:szCs w:val="24"/>
                <w:shd w:val="clear" w:color="auto" w:fill="FFFFFF"/>
              </w:rPr>
              <w:t xml:space="preserve"> Terra</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color w:val="222222"/>
                <w:sz w:val="24"/>
                <w:szCs w:val="24"/>
                <w:shd w:val="clear" w:color="auto" w:fill="FFFFFF"/>
              </w:rPr>
            </w:pPr>
            <w:r w:rsidRPr="009F1D8A">
              <w:rPr>
                <w:rFonts w:cstheme="minorHAnsi"/>
                <w:sz w:val="24"/>
                <w:szCs w:val="24"/>
                <w:shd w:val="clear" w:color="auto" w:fill="FFFFFF"/>
              </w:rPr>
              <w:t> </w:t>
            </w:r>
            <w:proofErr w:type="spellStart"/>
            <w:r w:rsidR="008528CB">
              <w:fldChar w:fldCharType="begin"/>
            </w:r>
            <w:r w:rsidR="008528CB">
              <w:instrText xml:space="preserve"> HYPERLINK "https://en.wikipedia.org/wiki/Tazo" \o "Tazo" </w:instrText>
            </w:r>
            <w:r w:rsidR="008528CB">
              <w:fldChar w:fldCharType="separate"/>
            </w:r>
            <w:r w:rsidRPr="009F1D8A">
              <w:rPr>
                <w:rStyle w:val="Hyperlink"/>
                <w:rFonts w:cstheme="minorHAnsi"/>
                <w:color w:val="auto"/>
                <w:sz w:val="24"/>
                <w:szCs w:val="24"/>
                <w:u w:val="none"/>
                <w:shd w:val="clear" w:color="auto" w:fill="FFFFFF"/>
              </w:rPr>
              <w:t>Tazo</w:t>
            </w:r>
            <w:proofErr w:type="spellEnd"/>
            <w:r w:rsidR="008528CB">
              <w:rPr>
                <w:rStyle w:val="Hyperlink"/>
                <w:rFonts w:cstheme="minorHAnsi"/>
                <w:color w:val="auto"/>
                <w:sz w:val="24"/>
                <w:szCs w:val="24"/>
                <w:u w:val="none"/>
                <w:shd w:val="clear" w:color="auto" w:fill="FFFFFF"/>
              </w:rPr>
              <w:fldChar w:fldCharType="end"/>
            </w:r>
            <w:r>
              <w:rPr>
                <w:rFonts w:cstheme="minorHAnsi"/>
                <w:color w:val="222222"/>
                <w:sz w:val="24"/>
                <w:szCs w:val="24"/>
                <w:shd w:val="clear" w:color="auto" w:fill="FFFFFF"/>
              </w:rPr>
              <w:t>, a</w:t>
            </w:r>
            <w:r w:rsidRPr="009F1D8A">
              <w:rPr>
                <w:rFonts w:cstheme="minorHAnsi"/>
                <w:color w:val="222222"/>
                <w:sz w:val="24"/>
                <w:szCs w:val="24"/>
                <w:shd w:val="clear" w:color="auto" w:fill="FFFFFF"/>
              </w:rPr>
              <w:t xml:space="preserve"> tea brand from </w:t>
            </w:r>
            <w:hyperlink r:id="rId15" w:tooltip="Starbucks" w:history="1">
              <w:r w:rsidRPr="009F1D8A">
                <w:rPr>
                  <w:rStyle w:val="Hyperlink"/>
                  <w:rFonts w:cstheme="minorHAnsi"/>
                  <w:color w:val="auto"/>
                  <w:sz w:val="24"/>
                  <w:szCs w:val="24"/>
                  <w:u w:val="none"/>
                  <w:shd w:val="clear" w:color="auto" w:fill="FFFFFF"/>
                </w:rPr>
                <w:t>Starbucks</w:t>
              </w:r>
            </w:hyperlink>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color w:val="222222"/>
                <w:sz w:val="24"/>
                <w:szCs w:val="24"/>
                <w:shd w:val="clear" w:color="auto" w:fill="FFFFFF"/>
              </w:rPr>
            </w:pPr>
            <w:r w:rsidRPr="009F1D8A">
              <w:rPr>
                <w:rFonts w:cstheme="minorHAnsi"/>
                <w:color w:val="222222"/>
                <w:sz w:val="24"/>
                <w:szCs w:val="24"/>
                <w:shd w:val="clear" w:color="auto" w:fill="FFFFFF"/>
              </w:rPr>
              <w:t>Sundial Brands, a skincare company</w:t>
            </w:r>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8528CB" w:rsidP="00C06930">
            <w:pPr>
              <w:jc w:val="both"/>
              <w:rPr>
                <w:rFonts w:cstheme="minorHAnsi"/>
                <w:color w:val="222222"/>
                <w:sz w:val="24"/>
                <w:szCs w:val="24"/>
                <w:shd w:val="clear" w:color="auto" w:fill="FFFFFF"/>
              </w:rPr>
            </w:pPr>
            <w:hyperlink r:id="rId16" w:tooltip="Schmidt’s Deodorant" w:history="1">
              <w:r w:rsidR="000B36DE" w:rsidRPr="009F1D8A">
                <w:rPr>
                  <w:rStyle w:val="Hyperlink"/>
                  <w:rFonts w:cstheme="minorHAnsi"/>
                  <w:color w:val="auto"/>
                  <w:sz w:val="24"/>
                  <w:szCs w:val="24"/>
                  <w:u w:val="none"/>
                  <w:shd w:val="clear" w:color="auto" w:fill="FFFFFF"/>
                </w:rPr>
                <w:t>Schmidt's Naturals</w:t>
              </w:r>
            </w:hyperlink>
            <w:r w:rsidR="000B36DE" w:rsidRPr="009F1D8A">
              <w:rPr>
                <w:rFonts w:cstheme="minorHAnsi"/>
                <w:color w:val="222222"/>
                <w:sz w:val="24"/>
                <w:szCs w:val="24"/>
                <w:shd w:val="clear" w:color="auto" w:fill="FFFFFF"/>
              </w:rPr>
              <w:t>,</w:t>
            </w:r>
            <w:r w:rsidR="000B36DE">
              <w:rPr>
                <w:rFonts w:cstheme="minorHAnsi"/>
                <w:color w:val="222222"/>
                <w:sz w:val="24"/>
                <w:szCs w:val="24"/>
                <w:shd w:val="clear" w:color="auto" w:fill="FFFFFF"/>
              </w:rPr>
              <w:t xml:space="preserve"> a US natural personal care products</w:t>
            </w:r>
            <w:r w:rsidR="000B36DE" w:rsidRPr="009F1D8A">
              <w:rPr>
                <w:rFonts w:cstheme="minorHAnsi"/>
                <w:color w:val="222222"/>
                <w:sz w:val="24"/>
                <w:szCs w:val="24"/>
                <w:shd w:val="clear" w:color="auto" w:fill="FFFFFF"/>
              </w:rPr>
              <w:t xml:space="preserve"> company</w:t>
            </w:r>
          </w:p>
        </w:tc>
      </w:tr>
      <w:tr w:rsidR="000B36DE" w:rsidRPr="009F1D8A" w:rsidTr="00C06930">
        <w:tc>
          <w:tcPr>
            <w:tcW w:w="846" w:type="dxa"/>
            <w:vMerge w:val="restart"/>
          </w:tcPr>
          <w:p w:rsidR="000B36DE" w:rsidRPr="009F1D8A" w:rsidRDefault="000B36DE" w:rsidP="00C06930">
            <w:pPr>
              <w:jc w:val="both"/>
              <w:rPr>
                <w:rFonts w:cstheme="minorHAnsi"/>
                <w:sz w:val="24"/>
                <w:szCs w:val="24"/>
              </w:rPr>
            </w:pPr>
          </w:p>
          <w:p w:rsidR="000B36DE" w:rsidRPr="009F1D8A" w:rsidRDefault="000B36DE" w:rsidP="00C06930">
            <w:pPr>
              <w:jc w:val="both"/>
              <w:rPr>
                <w:rFonts w:cstheme="minorHAnsi"/>
                <w:sz w:val="24"/>
                <w:szCs w:val="24"/>
              </w:rPr>
            </w:pPr>
            <w:r w:rsidRPr="009F1D8A">
              <w:rPr>
                <w:rFonts w:cstheme="minorHAnsi"/>
                <w:sz w:val="24"/>
                <w:szCs w:val="24"/>
              </w:rPr>
              <w:t>2018</w:t>
            </w:r>
          </w:p>
        </w:tc>
        <w:tc>
          <w:tcPr>
            <w:tcW w:w="4111" w:type="dxa"/>
            <w:vMerge w:val="restart"/>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sz w:val="24"/>
                <w:szCs w:val="24"/>
              </w:rPr>
            </w:pPr>
            <w:r w:rsidRPr="009F1D8A">
              <w:rPr>
                <w:rFonts w:cstheme="minorHAnsi"/>
                <w:color w:val="222222"/>
                <w:sz w:val="24"/>
                <w:szCs w:val="24"/>
                <w:shd w:val="clear" w:color="auto" w:fill="FFFFFF"/>
              </w:rPr>
              <w:t xml:space="preserve">75% stake in the Italian personal-care business </w:t>
            </w:r>
            <w:proofErr w:type="spellStart"/>
            <w:r w:rsidRPr="009F1D8A">
              <w:rPr>
                <w:rFonts w:cstheme="minorHAnsi"/>
                <w:color w:val="222222"/>
                <w:sz w:val="24"/>
                <w:szCs w:val="24"/>
                <w:shd w:val="clear" w:color="auto" w:fill="FFFFFF"/>
              </w:rPr>
              <w:t>Equilibra</w:t>
            </w:r>
            <w:proofErr w:type="spellEnd"/>
          </w:p>
        </w:tc>
      </w:tr>
      <w:tr w:rsidR="000B36DE" w:rsidRPr="009F1D8A" w:rsidTr="00C06930">
        <w:tc>
          <w:tcPr>
            <w:tcW w:w="846" w:type="dxa"/>
            <w:vMerge/>
          </w:tcPr>
          <w:p w:rsidR="000B36DE" w:rsidRPr="009F1D8A" w:rsidRDefault="000B36DE" w:rsidP="00C06930">
            <w:pPr>
              <w:jc w:val="both"/>
              <w:rPr>
                <w:rFonts w:cstheme="minorHAnsi"/>
                <w:sz w:val="24"/>
                <w:szCs w:val="24"/>
              </w:rPr>
            </w:pPr>
          </w:p>
        </w:tc>
        <w:tc>
          <w:tcPr>
            <w:tcW w:w="4111" w:type="dxa"/>
            <w:vMerge/>
          </w:tcPr>
          <w:p w:rsidR="000B36DE" w:rsidRPr="009F1D8A" w:rsidRDefault="000B36DE" w:rsidP="00C06930">
            <w:pPr>
              <w:jc w:val="both"/>
              <w:rPr>
                <w:rFonts w:cstheme="minorHAnsi"/>
                <w:color w:val="222222"/>
                <w:sz w:val="24"/>
                <w:szCs w:val="24"/>
                <w:shd w:val="clear" w:color="auto" w:fill="FFFFFF"/>
              </w:rPr>
            </w:pPr>
          </w:p>
        </w:tc>
        <w:tc>
          <w:tcPr>
            <w:tcW w:w="4059" w:type="dxa"/>
          </w:tcPr>
          <w:p w:rsidR="000B36DE" w:rsidRPr="009F1D8A" w:rsidRDefault="000B36DE" w:rsidP="00C06930">
            <w:pPr>
              <w:jc w:val="both"/>
              <w:rPr>
                <w:rFonts w:cstheme="minorHAnsi"/>
                <w:color w:val="222222"/>
                <w:sz w:val="24"/>
                <w:szCs w:val="24"/>
                <w:shd w:val="clear" w:color="auto" w:fill="FFFFFF"/>
              </w:rPr>
            </w:pPr>
            <w:r w:rsidRPr="009F1D8A">
              <w:rPr>
                <w:rFonts w:cstheme="minorHAnsi"/>
                <w:color w:val="222222"/>
                <w:sz w:val="24"/>
                <w:szCs w:val="24"/>
                <w:shd w:val="clear" w:color="auto" w:fill="FFFFFF"/>
              </w:rPr>
              <w:t>household cleaning products company The Laundress</w:t>
            </w:r>
          </w:p>
        </w:tc>
      </w:tr>
    </w:tbl>
    <w:p w:rsidR="000B36DE" w:rsidRDefault="000B36DE" w:rsidP="000B36DE">
      <w:pPr>
        <w:jc w:val="both"/>
        <w:rPr>
          <w:rFonts w:cstheme="minorHAnsi"/>
          <w:sz w:val="24"/>
          <w:szCs w:val="24"/>
        </w:rPr>
      </w:pPr>
    </w:p>
    <w:p w:rsidR="000B36DE" w:rsidRPr="00F26D60" w:rsidRDefault="000B36DE" w:rsidP="000B36DE">
      <w:pPr>
        <w:jc w:val="both"/>
        <w:rPr>
          <w:rFonts w:cstheme="minorHAnsi"/>
          <w:sz w:val="24"/>
          <w:szCs w:val="24"/>
        </w:rPr>
      </w:pPr>
      <w:r w:rsidRPr="00F26D60">
        <w:rPr>
          <w:rFonts w:cstheme="minorHAnsi"/>
          <w:sz w:val="24"/>
          <w:szCs w:val="24"/>
        </w:rPr>
        <w:t>PROCTER &amp; GAMBLE</w:t>
      </w:r>
    </w:p>
    <w:tbl>
      <w:tblPr>
        <w:tblStyle w:val="TableGrid"/>
        <w:tblW w:w="0" w:type="auto"/>
        <w:tblLook w:val="04A0" w:firstRow="1" w:lastRow="0" w:firstColumn="1" w:lastColumn="0" w:noHBand="0" w:noVBand="1"/>
      </w:tblPr>
      <w:tblGrid>
        <w:gridCol w:w="1555"/>
        <w:gridCol w:w="1842"/>
        <w:gridCol w:w="5619"/>
      </w:tblGrid>
      <w:tr w:rsidR="000B36DE" w:rsidRPr="00F26D60" w:rsidTr="00C06930">
        <w:tc>
          <w:tcPr>
            <w:tcW w:w="1555" w:type="dxa"/>
            <w:vMerge w:val="restart"/>
          </w:tcPr>
          <w:p w:rsidR="000B36DE" w:rsidRPr="00F26D60" w:rsidRDefault="000B36DE" w:rsidP="00C06930">
            <w:pPr>
              <w:jc w:val="both"/>
              <w:rPr>
                <w:rFonts w:cstheme="minorHAnsi"/>
                <w:sz w:val="24"/>
                <w:szCs w:val="24"/>
              </w:rPr>
            </w:pPr>
          </w:p>
          <w:p w:rsidR="000B36DE" w:rsidRPr="00F26D60" w:rsidRDefault="000B36DE" w:rsidP="00C06930">
            <w:pPr>
              <w:jc w:val="both"/>
              <w:rPr>
                <w:rFonts w:cstheme="minorHAnsi"/>
                <w:sz w:val="24"/>
                <w:szCs w:val="24"/>
              </w:rPr>
            </w:pPr>
          </w:p>
          <w:p w:rsidR="000B36DE" w:rsidRPr="00F26D60" w:rsidRDefault="000B36DE" w:rsidP="00C06930">
            <w:pPr>
              <w:jc w:val="center"/>
              <w:rPr>
                <w:rFonts w:cstheme="minorHAnsi"/>
                <w:sz w:val="24"/>
                <w:szCs w:val="24"/>
              </w:rPr>
            </w:pPr>
            <w:r w:rsidRPr="00F26D60">
              <w:rPr>
                <w:rFonts w:cstheme="minorHAnsi"/>
                <w:sz w:val="24"/>
                <w:szCs w:val="24"/>
              </w:rPr>
              <w:t>2018</w:t>
            </w:r>
          </w:p>
          <w:p w:rsidR="000B36DE" w:rsidRPr="00F26D60" w:rsidRDefault="008528CB" w:rsidP="00C06930">
            <w:pPr>
              <w:jc w:val="center"/>
              <w:rPr>
                <w:rFonts w:cstheme="minorHAnsi"/>
                <w:sz w:val="24"/>
                <w:szCs w:val="24"/>
              </w:rPr>
            </w:pPr>
            <w:sdt>
              <w:sdtPr>
                <w:rPr>
                  <w:rFonts w:cstheme="minorHAnsi"/>
                  <w:sz w:val="24"/>
                  <w:szCs w:val="24"/>
                </w:rPr>
                <w:id w:val="-1228449379"/>
                <w:citation/>
              </w:sdtPr>
              <w:sdtEndPr/>
              <w:sdtContent>
                <w:r w:rsidR="000B36DE" w:rsidRPr="00F26D60">
                  <w:rPr>
                    <w:rFonts w:cstheme="minorHAnsi"/>
                    <w:sz w:val="24"/>
                    <w:szCs w:val="24"/>
                  </w:rPr>
                  <w:fldChar w:fldCharType="begin"/>
                </w:r>
                <w:r w:rsidR="000B36DE" w:rsidRPr="00F26D60">
                  <w:rPr>
                    <w:rFonts w:cstheme="minorHAnsi"/>
                    <w:sz w:val="24"/>
                    <w:szCs w:val="24"/>
                  </w:rPr>
                  <w:instrText xml:space="preserve"> CITATION Dig19 \l 2057 </w:instrText>
                </w:r>
                <w:r w:rsidR="000B36DE" w:rsidRPr="00F26D60">
                  <w:rPr>
                    <w:rFonts w:cstheme="minorHAnsi"/>
                    <w:sz w:val="24"/>
                    <w:szCs w:val="24"/>
                  </w:rPr>
                  <w:fldChar w:fldCharType="separate"/>
                </w:r>
                <w:r w:rsidR="000B36DE" w:rsidRPr="00C1213C">
                  <w:rPr>
                    <w:rFonts w:cstheme="minorHAnsi"/>
                    <w:noProof/>
                    <w:sz w:val="24"/>
                    <w:szCs w:val="24"/>
                  </w:rPr>
                  <w:t>(Digiday, 2019)</w:t>
                </w:r>
                <w:r w:rsidR="000B36DE" w:rsidRPr="00F26D60">
                  <w:rPr>
                    <w:rFonts w:cstheme="minorHAnsi"/>
                    <w:sz w:val="24"/>
                    <w:szCs w:val="24"/>
                  </w:rPr>
                  <w:fldChar w:fldCharType="end"/>
                </w:r>
              </w:sdtContent>
            </w:sdt>
          </w:p>
        </w:tc>
        <w:tc>
          <w:tcPr>
            <w:tcW w:w="1842" w:type="dxa"/>
          </w:tcPr>
          <w:p w:rsidR="000B36DE" w:rsidRPr="00F26D60" w:rsidRDefault="000B36DE" w:rsidP="00C06930">
            <w:pPr>
              <w:jc w:val="both"/>
              <w:rPr>
                <w:rFonts w:cstheme="minorHAnsi"/>
                <w:sz w:val="24"/>
                <w:szCs w:val="24"/>
              </w:rPr>
            </w:pPr>
          </w:p>
        </w:tc>
        <w:tc>
          <w:tcPr>
            <w:tcW w:w="5619" w:type="dxa"/>
          </w:tcPr>
          <w:p w:rsidR="000B36DE" w:rsidRPr="00F26D60" w:rsidRDefault="000B36DE" w:rsidP="00C06930">
            <w:pPr>
              <w:jc w:val="both"/>
              <w:rPr>
                <w:rFonts w:cstheme="minorHAnsi"/>
                <w:sz w:val="24"/>
                <w:szCs w:val="24"/>
              </w:rPr>
            </w:pPr>
            <w:r w:rsidRPr="00F26D60">
              <w:rPr>
                <w:rFonts w:cstheme="minorHAnsi"/>
                <w:color w:val="000000"/>
                <w:sz w:val="24"/>
                <w:szCs w:val="24"/>
              </w:rPr>
              <w:t xml:space="preserve">Consumer health unit from </w:t>
            </w:r>
            <w:proofErr w:type="spellStart"/>
            <w:r w:rsidRPr="00F26D60">
              <w:rPr>
                <w:rFonts w:cstheme="minorHAnsi"/>
                <w:color w:val="000000"/>
                <w:sz w:val="24"/>
                <w:szCs w:val="24"/>
              </w:rPr>
              <w:t>Merk</w:t>
            </w:r>
            <w:proofErr w:type="spellEnd"/>
            <w:r w:rsidRPr="00F26D60">
              <w:rPr>
                <w:rFonts w:cstheme="minorHAnsi"/>
                <w:color w:val="000000"/>
                <w:sz w:val="24"/>
                <w:szCs w:val="24"/>
              </w:rPr>
              <w:t>, Germany</w:t>
            </w:r>
          </w:p>
        </w:tc>
      </w:tr>
      <w:tr w:rsidR="000B36DE" w:rsidRPr="00F26D60" w:rsidTr="00C06930">
        <w:tc>
          <w:tcPr>
            <w:tcW w:w="1555" w:type="dxa"/>
            <w:vMerge/>
          </w:tcPr>
          <w:p w:rsidR="000B36DE" w:rsidRPr="00F26D60" w:rsidRDefault="000B36DE" w:rsidP="00C06930">
            <w:pPr>
              <w:jc w:val="both"/>
              <w:rPr>
                <w:rFonts w:cstheme="minorHAnsi"/>
                <w:sz w:val="24"/>
                <w:szCs w:val="24"/>
              </w:rPr>
            </w:pPr>
          </w:p>
        </w:tc>
        <w:tc>
          <w:tcPr>
            <w:tcW w:w="1842" w:type="dxa"/>
          </w:tcPr>
          <w:p w:rsidR="000B36DE" w:rsidRPr="00F26D60" w:rsidRDefault="000B36DE" w:rsidP="00C06930">
            <w:pPr>
              <w:jc w:val="both"/>
              <w:rPr>
                <w:rFonts w:cstheme="minorHAnsi"/>
                <w:sz w:val="24"/>
                <w:szCs w:val="24"/>
              </w:rPr>
            </w:pPr>
          </w:p>
        </w:tc>
        <w:tc>
          <w:tcPr>
            <w:tcW w:w="5619" w:type="dxa"/>
          </w:tcPr>
          <w:p w:rsidR="000B36DE" w:rsidRPr="00F26D60" w:rsidRDefault="000B36DE" w:rsidP="00C06930">
            <w:pPr>
              <w:jc w:val="both"/>
              <w:rPr>
                <w:rFonts w:cstheme="minorHAnsi"/>
                <w:sz w:val="24"/>
                <w:szCs w:val="24"/>
              </w:rPr>
            </w:pPr>
            <w:r w:rsidRPr="00F26D60">
              <w:rPr>
                <w:rFonts w:cstheme="minorHAnsi"/>
                <w:sz w:val="24"/>
                <w:szCs w:val="24"/>
              </w:rPr>
              <w:t>Cosmetic company First Aid Beauty from USA</w:t>
            </w:r>
          </w:p>
        </w:tc>
      </w:tr>
      <w:tr w:rsidR="000B36DE" w:rsidRPr="00F26D60" w:rsidTr="00C06930">
        <w:tc>
          <w:tcPr>
            <w:tcW w:w="1555" w:type="dxa"/>
            <w:vMerge/>
          </w:tcPr>
          <w:p w:rsidR="000B36DE" w:rsidRPr="00F26D60" w:rsidRDefault="000B36DE" w:rsidP="00C06930">
            <w:pPr>
              <w:jc w:val="both"/>
              <w:rPr>
                <w:rFonts w:cstheme="minorHAnsi"/>
                <w:sz w:val="24"/>
                <w:szCs w:val="24"/>
              </w:rPr>
            </w:pPr>
          </w:p>
        </w:tc>
        <w:tc>
          <w:tcPr>
            <w:tcW w:w="1842" w:type="dxa"/>
          </w:tcPr>
          <w:p w:rsidR="000B36DE" w:rsidRPr="00F26D60" w:rsidRDefault="000B36DE" w:rsidP="00C06930">
            <w:pPr>
              <w:jc w:val="both"/>
              <w:rPr>
                <w:rFonts w:cstheme="minorHAnsi"/>
                <w:sz w:val="24"/>
                <w:szCs w:val="24"/>
              </w:rPr>
            </w:pPr>
          </w:p>
        </w:tc>
        <w:tc>
          <w:tcPr>
            <w:tcW w:w="5619" w:type="dxa"/>
          </w:tcPr>
          <w:p w:rsidR="000B36DE" w:rsidRPr="00F26D60" w:rsidRDefault="000B36DE" w:rsidP="00C06930">
            <w:pPr>
              <w:jc w:val="both"/>
              <w:rPr>
                <w:rFonts w:cstheme="minorHAnsi"/>
                <w:sz w:val="24"/>
                <w:szCs w:val="24"/>
              </w:rPr>
            </w:pPr>
            <w:r w:rsidRPr="00F26D60">
              <w:rPr>
                <w:rFonts w:cstheme="minorHAnsi"/>
                <w:color w:val="000000"/>
                <w:sz w:val="24"/>
                <w:szCs w:val="24"/>
              </w:rPr>
              <w:t>Tristan Walker’s Walker &amp; Company, a hair-care products from USA</w:t>
            </w:r>
          </w:p>
        </w:tc>
      </w:tr>
      <w:tr w:rsidR="000B36DE" w:rsidRPr="00F26D60" w:rsidTr="00C06930">
        <w:tc>
          <w:tcPr>
            <w:tcW w:w="1555" w:type="dxa"/>
            <w:vMerge/>
          </w:tcPr>
          <w:p w:rsidR="000B36DE" w:rsidRPr="00F26D60" w:rsidRDefault="000B36DE" w:rsidP="00C06930">
            <w:pPr>
              <w:jc w:val="both"/>
              <w:rPr>
                <w:rFonts w:cstheme="minorHAnsi"/>
                <w:sz w:val="24"/>
                <w:szCs w:val="24"/>
              </w:rPr>
            </w:pPr>
          </w:p>
        </w:tc>
        <w:tc>
          <w:tcPr>
            <w:tcW w:w="1842" w:type="dxa"/>
          </w:tcPr>
          <w:p w:rsidR="000B36DE" w:rsidRPr="00F26D60" w:rsidRDefault="000B36DE" w:rsidP="00C06930">
            <w:pPr>
              <w:jc w:val="both"/>
              <w:rPr>
                <w:rFonts w:cstheme="minorHAnsi"/>
                <w:sz w:val="24"/>
                <w:szCs w:val="24"/>
              </w:rPr>
            </w:pPr>
          </w:p>
        </w:tc>
        <w:tc>
          <w:tcPr>
            <w:tcW w:w="5619" w:type="dxa"/>
          </w:tcPr>
          <w:p w:rsidR="000B36DE" w:rsidRPr="00F26D60" w:rsidRDefault="000B36DE" w:rsidP="00C06930">
            <w:pPr>
              <w:jc w:val="both"/>
              <w:rPr>
                <w:rFonts w:cstheme="minorHAnsi"/>
                <w:color w:val="000000"/>
                <w:sz w:val="24"/>
                <w:szCs w:val="24"/>
              </w:rPr>
            </w:pPr>
            <w:r w:rsidRPr="00F26D60">
              <w:rPr>
                <w:rFonts w:cstheme="minorHAnsi"/>
                <w:color w:val="000000"/>
                <w:sz w:val="24"/>
                <w:szCs w:val="24"/>
              </w:rPr>
              <w:t>Bevel and Form grooming brands</w:t>
            </w:r>
          </w:p>
        </w:tc>
      </w:tr>
      <w:tr w:rsidR="000B36DE" w:rsidRPr="00F26D60" w:rsidTr="00C06930">
        <w:tc>
          <w:tcPr>
            <w:tcW w:w="1555" w:type="dxa"/>
            <w:vMerge/>
          </w:tcPr>
          <w:p w:rsidR="000B36DE" w:rsidRPr="00F26D60" w:rsidRDefault="000B36DE" w:rsidP="00C06930">
            <w:pPr>
              <w:jc w:val="both"/>
              <w:rPr>
                <w:rFonts w:cstheme="minorHAnsi"/>
                <w:sz w:val="24"/>
                <w:szCs w:val="24"/>
              </w:rPr>
            </w:pPr>
          </w:p>
        </w:tc>
        <w:tc>
          <w:tcPr>
            <w:tcW w:w="1842" w:type="dxa"/>
          </w:tcPr>
          <w:p w:rsidR="000B36DE" w:rsidRPr="00F26D60" w:rsidRDefault="000B36DE" w:rsidP="00C06930">
            <w:pPr>
              <w:jc w:val="both"/>
              <w:rPr>
                <w:rFonts w:cstheme="minorHAnsi"/>
                <w:sz w:val="24"/>
                <w:szCs w:val="24"/>
              </w:rPr>
            </w:pPr>
          </w:p>
        </w:tc>
        <w:tc>
          <w:tcPr>
            <w:tcW w:w="5619" w:type="dxa"/>
          </w:tcPr>
          <w:p w:rsidR="000B36DE" w:rsidRPr="00F26D60" w:rsidRDefault="000B36DE" w:rsidP="00C06930">
            <w:pPr>
              <w:jc w:val="both"/>
              <w:rPr>
                <w:rFonts w:cstheme="minorHAnsi"/>
                <w:color w:val="000000"/>
                <w:sz w:val="24"/>
                <w:szCs w:val="24"/>
              </w:rPr>
            </w:pPr>
            <w:r w:rsidRPr="00F26D60">
              <w:rPr>
                <w:rFonts w:cstheme="minorHAnsi"/>
                <w:sz w:val="24"/>
                <w:szCs w:val="24"/>
              </w:rPr>
              <w:t xml:space="preserve">Snowberry, a </w:t>
            </w:r>
            <w:hyperlink r:id="rId17" w:history="1">
              <w:r w:rsidRPr="00F26D60">
                <w:rPr>
                  <w:rStyle w:val="Hyperlink"/>
                  <w:rFonts w:cstheme="minorHAnsi"/>
                  <w:color w:val="212121"/>
                  <w:sz w:val="24"/>
                  <w:szCs w:val="24"/>
                  <w:u w:val="none"/>
                  <w:bdr w:val="none" w:sz="0" w:space="0" w:color="auto" w:frame="1"/>
                </w:rPr>
                <w:t>skin-care brand New Zealand</w:t>
              </w:r>
            </w:hyperlink>
            <w:r w:rsidRPr="00F26D60">
              <w:rPr>
                <w:rFonts w:cstheme="minorHAnsi"/>
                <w:color w:val="000000"/>
                <w:sz w:val="24"/>
                <w:szCs w:val="24"/>
              </w:rPr>
              <w:t>.</w:t>
            </w:r>
          </w:p>
        </w:tc>
      </w:tr>
    </w:tbl>
    <w:p w:rsidR="00AF4E96" w:rsidRDefault="00AF4E96" w:rsidP="0073699A">
      <w:pPr>
        <w:jc w:val="both"/>
        <w:rPr>
          <w:sz w:val="24"/>
          <w:szCs w:val="24"/>
        </w:rPr>
      </w:pPr>
    </w:p>
    <w:p w:rsidR="0039529B" w:rsidRDefault="0039529B" w:rsidP="0073699A">
      <w:pPr>
        <w:jc w:val="both"/>
        <w:rPr>
          <w:sz w:val="24"/>
          <w:szCs w:val="24"/>
        </w:rPr>
      </w:pPr>
    </w:p>
    <w:sectPr w:rsidR="0039529B" w:rsidSect="00253FA9">
      <w:footerReference w:type="default" r:id="rId18"/>
      <w:pgSz w:w="11906" w:h="16838"/>
      <w:pgMar w:top="1440" w:right="1080" w:bottom="1440" w:left="108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endnote w:type="separator" w:id="-1">
    <w:p w:rsidR="008528CB" w:rsidRDefault="008528CB" w:rsidP="000D25F2">
      <w:pPr>
        <w:spacing w:after="0" w:line="240" w:lineRule="auto"/>
      </w:pPr>
      <w:r>
        <w:separator/>
      </w:r>
    </w:p>
  </w:endnote>
  <w:endnote w:type="continuationSeparator" w:id="0">
    <w:p w:rsidR="008528CB" w:rsidRDefault="008528CB" w:rsidP="000D25F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sdt>
    <w:sdtPr>
      <w:id w:val="466399997"/>
      <w:docPartObj>
        <w:docPartGallery w:val="Page Numbers (Bottom of Page)"/>
        <w:docPartUnique/>
      </w:docPartObj>
    </w:sdtPr>
    <w:sdtEndPr>
      <w:rPr>
        <w:noProof/>
      </w:rPr>
    </w:sdtEndPr>
    <w:sdtContent>
      <w:p w:rsidR="00CC480D" w:rsidRDefault="00CC480D">
        <w:pPr>
          <w:pStyle w:val="Footer"/>
          <w:jc w:val="center"/>
        </w:pPr>
        <w:r>
          <w:fldChar w:fldCharType="begin"/>
        </w:r>
        <w:r>
          <w:instrText xml:space="preserve"> PAGE   \* MERGEFORMAT </w:instrText>
        </w:r>
        <w:r>
          <w:fldChar w:fldCharType="separate"/>
        </w:r>
        <w:r w:rsidR="00304AA7">
          <w:rPr>
            <w:noProof/>
          </w:rPr>
          <w:t>26</w:t>
        </w:r>
        <w:r>
          <w:rPr>
            <w:noProof/>
          </w:rPr>
          <w:fldChar w:fldCharType="end"/>
        </w:r>
      </w:p>
    </w:sdtContent>
  </w:sdt>
  <w:p w:rsidR="00CC480D" w:rsidRDefault="00CC480D">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footnote w:type="separator" w:id="-1">
    <w:p w:rsidR="008528CB" w:rsidRDefault="008528CB" w:rsidP="000D25F2">
      <w:pPr>
        <w:spacing w:after="0" w:line="240" w:lineRule="auto"/>
      </w:pPr>
      <w:r>
        <w:separator/>
      </w:r>
    </w:p>
  </w:footnote>
  <w:footnote w:type="continuationSeparator" w:id="0">
    <w:p w:rsidR="008528CB" w:rsidRDefault="008528CB" w:rsidP="000D25F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abstractNum w:abstractNumId="0" w15:restartNumberingAfterBreak="0">
    <w:nsid w:val="21DA5653"/>
    <w:multiLevelType w:val="multilevel"/>
    <w:tmpl w:val="01601AD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
      <w:lvlJc w:val="left"/>
      <w:pPr>
        <w:tabs>
          <w:tab w:val="num" w:pos="1440"/>
        </w:tabs>
        <w:ind w:left="1440" w:hanging="360"/>
      </w:pPr>
      <w:rPr>
        <w:rFonts w:ascii="Symbol" w:hAnsi="Symbol" w:hint="default"/>
        <w:sz w:val="20"/>
      </w:rPr>
    </w:lvl>
    <w:lvl w:ilvl="2" w:tentative="1">
      <w:start w:val="1"/>
      <w:numFmt w:val="bullet"/>
      <w:lvlText w:val=""/>
      <w:lvlJc w:val="left"/>
      <w:pPr>
        <w:tabs>
          <w:tab w:val="num" w:pos="2160"/>
        </w:tabs>
        <w:ind w:left="2160" w:hanging="360"/>
      </w:pPr>
      <w:rPr>
        <w:rFonts w:ascii="Symbol" w:hAnsi="Symbol" w:hint="default"/>
        <w:sz w:val="20"/>
      </w:rPr>
    </w:lvl>
    <w:lvl w:ilvl="3" w:tentative="1">
      <w:start w:val="1"/>
      <w:numFmt w:val="bullet"/>
      <w:lvlText w:val=""/>
      <w:lvlJc w:val="left"/>
      <w:pPr>
        <w:tabs>
          <w:tab w:val="num" w:pos="2880"/>
        </w:tabs>
        <w:ind w:left="2880" w:hanging="360"/>
      </w:pPr>
      <w:rPr>
        <w:rFonts w:ascii="Symbol" w:hAnsi="Symbol" w:hint="default"/>
        <w:sz w:val="20"/>
      </w:rPr>
    </w:lvl>
    <w:lvl w:ilvl="4" w:tentative="1">
      <w:start w:val="1"/>
      <w:numFmt w:val="bullet"/>
      <w:lvlText w:val=""/>
      <w:lvlJc w:val="left"/>
      <w:pPr>
        <w:tabs>
          <w:tab w:val="num" w:pos="3600"/>
        </w:tabs>
        <w:ind w:left="3600" w:hanging="360"/>
      </w:pPr>
      <w:rPr>
        <w:rFonts w:ascii="Symbol" w:hAnsi="Symbol" w:hint="default"/>
        <w:sz w:val="20"/>
      </w:rPr>
    </w:lvl>
    <w:lvl w:ilvl="5" w:tentative="1">
      <w:start w:val="1"/>
      <w:numFmt w:val="bullet"/>
      <w:lvlText w:val=""/>
      <w:lvlJc w:val="left"/>
      <w:pPr>
        <w:tabs>
          <w:tab w:val="num" w:pos="4320"/>
        </w:tabs>
        <w:ind w:left="4320" w:hanging="360"/>
      </w:pPr>
      <w:rPr>
        <w:rFonts w:ascii="Symbol" w:hAnsi="Symbol" w:hint="default"/>
        <w:sz w:val="20"/>
      </w:rPr>
    </w:lvl>
    <w:lvl w:ilvl="6" w:tentative="1">
      <w:start w:val="1"/>
      <w:numFmt w:val="bullet"/>
      <w:lvlText w:val=""/>
      <w:lvlJc w:val="left"/>
      <w:pPr>
        <w:tabs>
          <w:tab w:val="num" w:pos="5040"/>
        </w:tabs>
        <w:ind w:left="5040" w:hanging="360"/>
      </w:pPr>
      <w:rPr>
        <w:rFonts w:ascii="Symbol" w:hAnsi="Symbol" w:hint="default"/>
        <w:sz w:val="20"/>
      </w:rPr>
    </w:lvl>
    <w:lvl w:ilvl="7" w:tentative="1">
      <w:start w:val="1"/>
      <w:numFmt w:val="bullet"/>
      <w:lvlText w:val=""/>
      <w:lvlJc w:val="left"/>
      <w:pPr>
        <w:tabs>
          <w:tab w:val="num" w:pos="5760"/>
        </w:tabs>
        <w:ind w:left="5760" w:hanging="360"/>
      </w:pPr>
      <w:rPr>
        <w:rFonts w:ascii="Symbol" w:hAnsi="Symbol" w:hint="default"/>
        <w:sz w:val="20"/>
      </w:rPr>
    </w:lvl>
    <w:lvl w:ilvl="8" w:tentative="1">
      <w:start w:val="1"/>
      <w:numFmt w:val="bullet"/>
      <w:lvlText w:val=""/>
      <w:lvlJc w:val="left"/>
      <w:pPr>
        <w:tabs>
          <w:tab w:val="num" w:pos="6480"/>
        </w:tabs>
        <w:ind w:left="6480" w:hanging="360"/>
      </w:pPr>
      <w:rPr>
        <w:rFonts w:ascii="Symbol" w:hAnsi="Symbol" w:hint="default"/>
        <w:sz w:val="20"/>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zoom w:percent="5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105D06"/>
    <w:rsid w:val="00011E5C"/>
    <w:rsid w:val="00020195"/>
    <w:rsid w:val="00022CFE"/>
    <w:rsid w:val="00030B04"/>
    <w:rsid w:val="00030C14"/>
    <w:rsid w:val="000325B3"/>
    <w:rsid w:val="0004238E"/>
    <w:rsid w:val="0004584F"/>
    <w:rsid w:val="00064706"/>
    <w:rsid w:val="00084DCD"/>
    <w:rsid w:val="00086615"/>
    <w:rsid w:val="000B0296"/>
    <w:rsid w:val="000B36DE"/>
    <w:rsid w:val="000D25F2"/>
    <w:rsid w:val="000D562A"/>
    <w:rsid w:val="000D562D"/>
    <w:rsid w:val="000F5162"/>
    <w:rsid w:val="000F6FA8"/>
    <w:rsid w:val="001002D6"/>
    <w:rsid w:val="00105D06"/>
    <w:rsid w:val="0010741C"/>
    <w:rsid w:val="00107799"/>
    <w:rsid w:val="00132AE1"/>
    <w:rsid w:val="001459C1"/>
    <w:rsid w:val="001546BB"/>
    <w:rsid w:val="0019255D"/>
    <w:rsid w:val="001B70C2"/>
    <w:rsid w:val="001C4A8C"/>
    <w:rsid w:val="001C6279"/>
    <w:rsid w:val="001E187E"/>
    <w:rsid w:val="001E24E9"/>
    <w:rsid w:val="001F11E5"/>
    <w:rsid w:val="001F59F7"/>
    <w:rsid w:val="002046C3"/>
    <w:rsid w:val="00206EBE"/>
    <w:rsid w:val="00215AAB"/>
    <w:rsid w:val="00224570"/>
    <w:rsid w:val="00242164"/>
    <w:rsid w:val="00245A3F"/>
    <w:rsid w:val="00251A83"/>
    <w:rsid w:val="00253FA9"/>
    <w:rsid w:val="00271011"/>
    <w:rsid w:val="00273DF9"/>
    <w:rsid w:val="002747A9"/>
    <w:rsid w:val="002A08FB"/>
    <w:rsid w:val="002E52C6"/>
    <w:rsid w:val="002E5671"/>
    <w:rsid w:val="002E5842"/>
    <w:rsid w:val="002F41AA"/>
    <w:rsid w:val="002F5925"/>
    <w:rsid w:val="00300A03"/>
    <w:rsid w:val="00304AA7"/>
    <w:rsid w:val="00331D36"/>
    <w:rsid w:val="003435A5"/>
    <w:rsid w:val="00351D96"/>
    <w:rsid w:val="00376902"/>
    <w:rsid w:val="00381DFD"/>
    <w:rsid w:val="0038720C"/>
    <w:rsid w:val="00394852"/>
    <w:rsid w:val="0039529B"/>
    <w:rsid w:val="003963B1"/>
    <w:rsid w:val="00397198"/>
    <w:rsid w:val="003A632A"/>
    <w:rsid w:val="003B3475"/>
    <w:rsid w:val="003B7992"/>
    <w:rsid w:val="003C74C2"/>
    <w:rsid w:val="003D7390"/>
    <w:rsid w:val="003E031A"/>
    <w:rsid w:val="003E3127"/>
    <w:rsid w:val="003E31B7"/>
    <w:rsid w:val="003E763E"/>
    <w:rsid w:val="003E7FD9"/>
    <w:rsid w:val="003F3A89"/>
    <w:rsid w:val="004010ED"/>
    <w:rsid w:val="00415536"/>
    <w:rsid w:val="00422DAF"/>
    <w:rsid w:val="00433978"/>
    <w:rsid w:val="00441D71"/>
    <w:rsid w:val="00446127"/>
    <w:rsid w:val="00460075"/>
    <w:rsid w:val="004957BA"/>
    <w:rsid w:val="004E04D3"/>
    <w:rsid w:val="004E63F6"/>
    <w:rsid w:val="004F276C"/>
    <w:rsid w:val="004F27BE"/>
    <w:rsid w:val="004F47B6"/>
    <w:rsid w:val="004F61D6"/>
    <w:rsid w:val="00507D00"/>
    <w:rsid w:val="0052474E"/>
    <w:rsid w:val="0053224D"/>
    <w:rsid w:val="00536D45"/>
    <w:rsid w:val="00541B56"/>
    <w:rsid w:val="005624F8"/>
    <w:rsid w:val="00582CAF"/>
    <w:rsid w:val="005A41E6"/>
    <w:rsid w:val="005A5596"/>
    <w:rsid w:val="005B6293"/>
    <w:rsid w:val="005B79FD"/>
    <w:rsid w:val="005C208C"/>
    <w:rsid w:val="005D18AA"/>
    <w:rsid w:val="005E11CE"/>
    <w:rsid w:val="005F2A55"/>
    <w:rsid w:val="005F6C8D"/>
    <w:rsid w:val="005F7B9D"/>
    <w:rsid w:val="0060764E"/>
    <w:rsid w:val="0062577B"/>
    <w:rsid w:val="00644870"/>
    <w:rsid w:val="006477BE"/>
    <w:rsid w:val="00680133"/>
    <w:rsid w:val="0068190F"/>
    <w:rsid w:val="00681D51"/>
    <w:rsid w:val="00686A72"/>
    <w:rsid w:val="006C0281"/>
    <w:rsid w:val="006C3B08"/>
    <w:rsid w:val="007108F9"/>
    <w:rsid w:val="00731784"/>
    <w:rsid w:val="0073699A"/>
    <w:rsid w:val="00741999"/>
    <w:rsid w:val="007470F2"/>
    <w:rsid w:val="0076077C"/>
    <w:rsid w:val="00770685"/>
    <w:rsid w:val="00771D66"/>
    <w:rsid w:val="00792C2E"/>
    <w:rsid w:val="0079614D"/>
    <w:rsid w:val="00797343"/>
    <w:rsid w:val="007D191B"/>
    <w:rsid w:val="00800C38"/>
    <w:rsid w:val="008162AB"/>
    <w:rsid w:val="00820AFE"/>
    <w:rsid w:val="00822BE1"/>
    <w:rsid w:val="008443E5"/>
    <w:rsid w:val="008528CB"/>
    <w:rsid w:val="00856FEC"/>
    <w:rsid w:val="00866C83"/>
    <w:rsid w:val="0088682E"/>
    <w:rsid w:val="00887DBD"/>
    <w:rsid w:val="0089187C"/>
    <w:rsid w:val="00891EA4"/>
    <w:rsid w:val="008B080C"/>
    <w:rsid w:val="008B2F4E"/>
    <w:rsid w:val="008D0B39"/>
    <w:rsid w:val="008E7998"/>
    <w:rsid w:val="009019D0"/>
    <w:rsid w:val="00921631"/>
    <w:rsid w:val="00923F96"/>
    <w:rsid w:val="00933C98"/>
    <w:rsid w:val="0094101D"/>
    <w:rsid w:val="00941306"/>
    <w:rsid w:val="00974D6F"/>
    <w:rsid w:val="009A2213"/>
    <w:rsid w:val="009C6309"/>
    <w:rsid w:val="009D2D0E"/>
    <w:rsid w:val="009E293C"/>
    <w:rsid w:val="009E5623"/>
    <w:rsid w:val="009E66FE"/>
    <w:rsid w:val="009F1D8A"/>
    <w:rsid w:val="009F6F8C"/>
    <w:rsid w:val="00A11184"/>
    <w:rsid w:val="00A11CB8"/>
    <w:rsid w:val="00A20BD0"/>
    <w:rsid w:val="00A302A8"/>
    <w:rsid w:val="00A344C7"/>
    <w:rsid w:val="00A35BDF"/>
    <w:rsid w:val="00A54B46"/>
    <w:rsid w:val="00A8382C"/>
    <w:rsid w:val="00A864CA"/>
    <w:rsid w:val="00A937ED"/>
    <w:rsid w:val="00A948AA"/>
    <w:rsid w:val="00AC07B7"/>
    <w:rsid w:val="00AE1CB3"/>
    <w:rsid w:val="00AF4E96"/>
    <w:rsid w:val="00B1056B"/>
    <w:rsid w:val="00B11AB3"/>
    <w:rsid w:val="00B137DA"/>
    <w:rsid w:val="00B36936"/>
    <w:rsid w:val="00B516B8"/>
    <w:rsid w:val="00B97B04"/>
    <w:rsid w:val="00BA04C3"/>
    <w:rsid w:val="00BA34E3"/>
    <w:rsid w:val="00BB65DF"/>
    <w:rsid w:val="00BD1B1D"/>
    <w:rsid w:val="00BD6A01"/>
    <w:rsid w:val="00BE10F6"/>
    <w:rsid w:val="00BF4DC8"/>
    <w:rsid w:val="00C06930"/>
    <w:rsid w:val="00C1213C"/>
    <w:rsid w:val="00C1415C"/>
    <w:rsid w:val="00C162DB"/>
    <w:rsid w:val="00C26DF1"/>
    <w:rsid w:val="00C36247"/>
    <w:rsid w:val="00C7636C"/>
    <w:rsid w:val="00C81670"/>
    <w:rsid w:val="00CA3F52"/>
    <w:rsid w:val="00CB7FC0"/>
    <w:rsid w:val="00CC480D"/>
    <w:rsid w:val="00CC6668"/>
    <w:rsid w:val="00CF307D"/>
    <w:rsid w:val="00D21791"/>
    <w:rsid w:val="00D5194F"/>
    <w:rsid w:val="00DB406F"/>
    <w:rsid w:val="00DC1B28"/>
    <w:rsid w:val="00DE6A44"/>
    <w:rsid w:val="00DF1055"/>
    <w:rsid w:val="00DF15D0"/>
    <w:rsid w:val="00E00656"/>
    <w:rsid w:val="00E03F43"/>
    <w:rsid w:val="00E24764"/>
    <w:rsid w:val="00E33F5B"/>
    <w:rsid w:val="00E4088D"/>
    <w:rsid w:val="00E55248"/>
    <w:rsid w:val="00E62730"/>
    <w:rsid w:val="00E672BA"/>
    <w:rsid w:val="00E77508"/>
    <w:rsid w:val="00E8100E"/>
    <w:rsid w:val="00E90053"/>
    <w:rsid w:val="00E96389"/>
    <w:rsid w:val="00EC3613"/>
    <w:rsid w:val="00EE23B5"/>
    <w:rsid w:val="00F13C14"/>
    <w:rsid w:val="00F13CB1"/>
    <w:rsid w:val="00F26231"/>
    <w:rsid w:val="00F26D60"/>
    <w:rsid w:val="00F571E5"/>
    <w:rsid w:val="00F61868"/>
    <w:rsid w:val="00F65968"/>
    <w:rsid w:val="00F667A6"/>
    <w:rsid w:val="00F745C8"/>
    <w:rsid w:val="00F7533D"/>
    <w:rsid w:val="00F9075D"/>
    <w:rsid w:val="00F90FA7"/>
    <w:rsid w:val="00F92B7E"/>
    <w:rsid w:val="00FD5077"/>
    <w:rsid w:val="00FE12E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2CD9277"/>
  <w15:chartTrackingRefBased/>
  <w15:docId w15:val="{5C53BBE8-A560-4864-B34B-0A08869E2E0C}"/>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415536"/>
    <w:pPr>
      <w:keepNext/>
      <w:keepLines/>
      <w:spacing w:before="240" w:after="0"/>
      <w:outlineLvl w:val="0"/>
    </w:pPr>
    <w:rPr>
      <w:rFonts w:eastAsiaTheme="majorEastAsia" w:cstheme="majorBidi"/>
      <w:b/>
      <w:sz w:val="32"/>
      <w:szCs w:val="32"/>
      <w:lang w:val="en-US"/>
    </w:rPr>
  </w:style>
  <w:style w:type="paragraph" w:styleId="Heading2">
    <w:name w:val="heading 2"/>
    <w:basedOn w:val="Normal"/>
    <w:next w:val="Normal"/>
    <w:link w:val="Heading2Char"/>
    <w:uiPriority w:val="9"/>
    <w:unhideWhenUsed/>
    <w:qFormat/>
    <w:rsid w:val="00415536"/>
    <w:pPr>
      <w:keepNext/>
      <w:keepLines/>
      <w:spacing w:before="40" w:after="0"/>
      <w:outlineLvl w:val="1"/>
    </w:pPr>
    <w:rPr>
      <w:rFonts w:eastAsiaTheme="majorEastAsia" w:cstheme="majorBidi"/>
      <w:b/>
      <w:sz w:val="28"/>
      <w:szCs w:val="26"/>
    </w:rPr>
  </w:style>
  <w:style w:type="paragraph" w:styleId="Heading3">
    <w:name w:val="heading 3"/>
    <w:basedOn w:val="Normal"/>
    <w:next w:val="Normal"/>
    <w:link w:val="Heading3Char"/>
    <w:uiPriority w:val="9"/>
    <w:unhideWhenUsed/>
    <w:qFormat/>
    <w:rsid w:val="00D21791"/>
    <w:pPr>
      <w:keepNext/>
      <w:keepLines/>
      <w:spacing w:before="40" w:after="0"/>
      <w:outlineLvl w:val="2"/>
    </w:pPr>
    <w:rPr>
      <w:rFonts w:asciiTheme="majorHAnsi" w:eastAsiaTheme="majorEastAsia" w:hAnsiTheme="majorHAnsi" w:cstheme="majorBidi"/>
      <w:color w:val="1F4D78"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415536"/>
    <w:rPr>
      <w:rFonts w:eastAsiaTheme="majorEastAsia" w:cstheme="majorBidi"/>
      <w:b/>
      <w:sz w:val="32"/>
      <w:szCs w:val="32"/>
      <w:lang w:val="en-US"/>
    </w:rPr>
  </w:style>
  <w:style w:type="paragraph" w:styleId="Bibliography">
    <w:name w:val="Bibliography"/>
    <w:basedOn w:val="Normal"/>
    <w:next w:val="Normal"/>
    <w:uiPriority w:val="37"/>
    <w:unhideWhenUsed/>
    <w:rsid w:val="00AF4E96"/>
  </w:style>
  <w:style w:type="table" w:styleId="TableGrid">
    <w:name w:val="Table Grid"/>
    <w:basedOn w:val="TableNormal"/>
    <w:uiPriority w:val="39"/>
    <w:rsid w:val="003E7FD9"/>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Hyperlink">
    <w:name w:val="Hyperlink"/>
    <w:basedOn w:val="DefaultParagraphFont"/>
    <w:uiPriority w:val="99"/>
    <w:unhideWhenUsed/>
    <w:rsid w:val="003E7FD9"/>
    <w:rPr>
      <w:color w:val="0000FF"/>
      <w:u w:val="single"/>
    </w:rPr>
  </w:style>
  <w:style w:type="paragraph" w:styleId="NormalWeb">
    <w:name w:val="Normal (Web)"/>
    <w:basedOn w:val="Normal"/>
    <w:uiPriority w:val="99"/>
    <w:unhideWhenUsed/>
    <w:rsid w:val="001F11E5"/>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Heading2Char">
    <w:name w:val="Heading 2 Char"/>
    <w:basedOn w:val="DefaultParagraphFont"/>
    <w:link w:val="Heading2"/>
    <w:uiPriority w:val="9"/>
    <w:rsid w:val="00415536"/>
    <w:rPr>
      <w:rFonts w:eastAsiaTheme="majorEastAsia" w:cstheme="majorBidi"/>
      <w:b/>
      <w:sz w:val="28"/>
      <w:szCs w:val="26"/>
    </w:rPr>
  </w:style>
  <w:style w:type="character" w:customStyle="1" w:styleId="Heading3Char">
    <w:name w:val="Heading 3 Char"/>
    <w:basedOn w:val="DefaultParagraphFont"/>
    <w:link w:val="Heading3"/>
    <w:uiPriority w:val="9"/>
    <w:rsid w:val="00D21791"/>
    <w:rPr>
      <w:rFonts w:asciiTheme="majorHAnsi" w:eastAsiaTheme="majorEastAsia" w:hAnsiTheme="majorHAnsi" w:cstheme="majorBidi"/>
      <w:color w:val="1F4D78" w:themeColor="accent1" w:themeShade="7F"/>
      <w:sz w:val="24"/>
      <w:szCs w:val="24"/>
    </w:rPr>
  </w:style>
  <w:style w:type="character" w:styleId="PlaceholderText">
    <w:name w:val="Placeholder Text"/>
    <w:basedOn w:val="DefaultParagraphFont"/>
    <w:uiPriority w:val="99"/>
    <w:semiHidden/>
    <w:rsid w:val="00460075"/>
    <w:rPr>
      <w:color w:val="808080"/>
    </w:rPr>
  </w:style>
  <w:style w:type="table" w:customStyle="1" w:styleId="TableGrid0">
    <w:name w:val="TableGrid"/>
    <w:rsid w:val="00797343"/>
    <w:pPr>
      <w:spacing w:after="0" w:line="240" w:lineRule="auto"/>
    </w:pPr>
    <w:rPr>
      <w:rFonts w:eastAsiaTheme="minorEastAsia"/>
      <w:lang w:eastAsia="en-GB"/>
    </w:rPr>
    <w:tblPr>
      <w:tblCellMar>
        <w:top w:w="0" w:type="dxa"/>
        <w:left w:w="0" w:type="dxa"/>
        <w:bottom w:w="0" w:type="dxa"/>
        <w:right w:w="0" w:type="dxa"/>
      </w:tblCellMar>
    </w:tblPr>
  </w:style>
  <w:style w:type="paragraph" w:styleId="Header">
    <w:name w:val="header"/>
    <w:basedOn w:val="Normal"/>
    <w:link w:val="HeaderChar"/>
    <w:uiPriority w:val="99"/>
    <w:unhideWhenUsed/>
    <w:rsid w:val="000D25F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D25F2"/>
  </w:style>
  <w:style w:type="paragraph" w:styleId="Footer">
    <w:name w:val="footer"/>
    <w:basedOn w:val="Normal"/>
    <w:link w:val="FooterChar"/>
    <w:uiPriority w:val="99"/>
    <w:unhideWhenUsed/>
    <w:rsid w:val="000D25F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D25F2"/>
  </w:style>
  <w:style w:type="paragraph" w:styleId="TOCHeading">
    <w:name w:val="TOC Heading"/>
    <w:basedOn w:val="Heading1"/>
    <w:next w:val="Normal"/>
    <w:uiPriority w:val="39"/>
    <w:unhideWhenUsed/>
    <w:qFormat/>
    <w:rsid w:val="000D25F2"/>
    <w:pPr>
      <w:outlineLvl w:val="9"/>
    </w:pPr>
    <w:rPr>
      <w:rFonts w:asciiTheme="majorHAnsi" w:hAnsiTheme="majorHAnsi"/>
      <w:b w:val="0"/>
      <w:color w:val="2E74B5" w:themeColor="accent1" w:themeShade="BF"/>
    </w:rPr>
  </w:style>
  <w:style w:type="paragraph" w:styleId="TOC1">
    <w:name w:val="toc 1"/>
    <w:basedOn w:val="Normal"/>
    <w:next w:val="Normal"/>
    <w:autoRedefine/>
    <w:uiPriority w:val="39"/>
    <w:unhideWhenUsed/>
    <w:rsid w:val="000D25F2"/>
    <w:pPr>
      <w:spacing w:after="100"/>
    </w:pPr>
  </w:style>
  <w:style w:type="paragraph" w:styleId="TOC2">
    <w:name w:val="toc 2"/>
    <w:basedOn w:val="Normal"/>
    <w:next w:val="Normal"/>
    <w:autoRedefine/>
    <w:uiPriority w:val="39"/>
    <w:unhideWhenUsed/>
    <w:rsid w:val="000D25F2"/>
    <w:pPr>
      <w:spacing w:after="100"/>
      <w:ind w:left="220"/>
    </w:pPr>
  </w:style>
  <w:style w:type="paragraph" w:styleId="TOC3">
    <w:name w:val="toc 3"/>
    <w:basedOn w:val="Normal"/>
    <w:next w:val="Normal"/>
    <w:autoRedefine/>
    <w:uiPriority w:val="39"/>
    <w:unhideWhenUsed/>
    <w:rsid w:val="000D25F2"/>
    <w:pPr>
      <w:spacing w:after="100"/>
      <w:ind w:left="440"/>
    </w:pPr>
  </w:style>
  <w:style w:type="paragraph" w:styleId="NoSpacing">
    <w:name w:val="No Spacing"/>
    <w:link w:val="NoSpacingChar"/>
    <w:uiPriority w:val="1"/>
    <w:qFormat/>
    <w:rsid w:val="00253FA9"/>
    <w:pPr>
      <w:spacing w:after="0" w:line="240" w:lineRule="auto"/>
    </w:pPr>
    <w:rPr>
      <w:rFonts w:eastAsiaTheme="minorEastAsia"/>
      <w:lang w:val="en-US"/>
    </w:rPr>
  </w:style>
  <w:style w:type="character" w:customStyle="1" w:styleId="NoSpacingChar">
    <w:name w:val="No Spacing Char"/>
    <w:basedOn w:val="DefaultParagraphFont"/>
    <w:link w:val="NoSpacing"/>
    <w:uiPriority w:val="1"/>
    <w:rsid w:val="00253FA9"/>
    <w:rPr>
      <w:rFonts w:eastAsiaTheme="minorEastAsia"/>
      <w:lang w:val="en-U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ivs>
    <w:div w:id="1904798">
      <w:bodyDiv w:val="1"/>
      <w:marLeft w:val="0"/>
      <w:marRight w:val="0"/>
      <w:marTop w:val="0"/>
      <w:marBottom w:val="0"/>
      <w:divBdr>
        <w:top w:val="none" w:sz="0" w:space="0" w:color="auto"/>
        <w:left w:val="none" w:sz="0" w:space="0" w:color="auto"/>
        <w:bottom w:val="none" w:sz="0" w:space="0" w:color="auto"/>
        <w:right w:val="none" w:sz="0" w:space="0" w:color="auto"/>
      </w:divBdr>
    </w:div>
    <w:div w:id="3943894">
      <w:bodyDiv w:val="1"/>
      <w:marLeft w:val="0"/>
      <w:marRight w:val="0"/>
      <w:marTop w:val="0"/>
      <w:marBottom w:val="0"/>
      <w:divBdr>
        <w:top w:val="none" w:sz="0" w:space="0" w:color="auto"/>
        <w:left w:val="none" w:sz="0" w:space="0" w:color="auto"/>
        <w:bottom w:val="none" w:sz="0" w:space="0" w:color="auto"/>
        <w:right w:val="none" w:sz="0" w:space="0" w:color="auto"/>
      </w:divBdr>
    </w:div>
    <w:div w:id="5642861">
      <w:bodyDiv w:val="1"/>
      <w:marLeft w:val="0"/>
      <w:marRight w:val="0"/>
      <w:marTop w:val="0"/>
      <w:marBottom w:val="0"/>
      <w:divBdr>
        <w:top w:val="none" w:sz="0" w:space="0" w:color="auto"/>
        <w:left w:val="none" w:sz="0" w:space="0" w:color="auto"/>
        <w:bottom w:val="none" w:sz="0" w:space="0" w:color="auto"/>
        <w:right w:val="none" w:sz="0" w:space="0" w:color="auto"/>
      </w:divBdr>
    </w:div>
    <w:div w:id="6567852">
      <w:bodyDiv w:val="1"/>
      <w:marLeft w:val="0"/>
      <w:marRight w:val="0"/>
      <w:marTop w:val="0"/>
      <w:marBottom w:val="0"/>
      <w:divBdr>
        <w:top w:val="none" w:sz="0" w:space="0" w:color="auto"/>
        <w:left w:val="none" w:sz="0" w:space="0" w:color="auto"/>
        <w:bottom w:val="none" w:sz="0" w:space="0" w:color="auto"/>
        <w:right w:val="none" w:sz="0" w:space="0" w:color="auto"/>
      </w:divBdr>
    </w:div>
    <w:div w:id="9920270">
      <w:bodyDiv w:val="1"/>
      <w:marLeft w:val="0"/>
      <w:marRight w:val="0"/>
      <w:marTop w:val="0"/>
      <w:marBottom w:val="0"/>
      <w:divBdr>
        <w:top w:val="none" w:sz="0" w:space="0" w:color="auto"/>
        <w:left w:val="none" w:sz="0" w:space="0" w:color="auto"/>
        <w:bottom w:val="none" w:sz="0" w:space="0" w:color="auto"/>
        <w:right w:val="none" w:sz="0" w:space="0" w:color="auto"/>
      </w:divBdr>
    </w:div>
    <w:div w:id="11345038">
      <w:bodyDiv w:val="1"/>
      <w:marLeft w:val="0"/>
      <w:marRight w:val="0"/>
      <w:marTop w:val="0"/>
      <w:marBottom w:val="0"/>
      <w:divBdr>
        <w:top w:val="none" w:sz="0" w:space="0" w:color="auto"/>
        <w:left w:val="none" w:sz="0" w:space="0" w:color="auto"/>
        <w:bottom w:val="none" w:sz="0" w:space="0" w:color="auto"/>
        <w:right w:val="none" w:sz="0" w:space="0" w:color="auto"/>
      </w:divBdr>
    </w:div>
    <w:div w:id="12197072">
      <w:bodyDiv w:val="1"/>
      <w:marLeft w:val="0"/>
      <w:marRight w:val="0"/>
      <w:marTop w:val="0"/>
      <w:marBottom w:val="0"/>
      <w:divBdr>
        <w:top w:val="none" w:sz="0" w:space="0" w:color="auto"/>
        <w:left w:val="none" w:sz="0" w:space="0" w:color="auto"/>
        <w:bottom w:val="none" w:sz="0" w:space="0" w:color="auto"/>
        <w:right w:val="none" w:sz="0" w:space="0" w:color="auto"/>
      </w:divBdr>
    </w:div>
    <w:div w:id="12847226">
      <w:bodyDiv w:val="1"/>
      <w:marLeft w:val="0"/>
      <w:marRight w:val="0"/>
      <w:marTop w:val="0"/>
      <w:marBottom w:val="0"/>
      <w:divBdr>
        <w:top w:val="none" w:sz="0" w:space="0" w:color="auto"/>
        <w:left w:val="none" w:sz="0" w:space="0" w:color="auto"/>
        <w:bottom w:val="none" w:sz="0" w:space="0" w:color="auto"/>
        <w:right w:val="none" w:sz="0" w:space="0" w:color="auto"/>
      </w:divBdr>
    </w:div>
    <w:div w:id="14384877">
      <w:bodyDiv w:val="1"/>
      <w:marLeft w:val="0"/>
      <w:marRight w:val="0"/>
      <w:marTop w:val="0"/>
      <w:marBottom w:val="0"/>
      <w:divBdr>
        <w:top w:val="none" w:sz="0" w:space="0" w:color="auto"/>
        <w:left w:val="none" w:sz="0" w:space="0" w:color="auto"/>
        <w:bottom w:val="none" w:sz="0" w:space="0" w:color="auto"/>
        <w:right w:val="none" w:sz="0" w:space="0" w:color="auto"/>
      </w:divBdr>
    </w:div>
    <w:div w:id="15543506">
      <w:bodyDiv w:val="1"/>
      <w:marLeft w:val="0"/>
      <w:marRight w:val="0"/>
      <w:marTop w:val="0"/>
      <w:marBottom w:val="0"/>
      <w:divBdr>
        <w:top w:val="none" w:sz="0" w:space="0" w:color="auto"/>
        <w:left w:val="none" w:sz="0" w:space="0" w:color="auto"/>
        <w:bottom w:val="none" w:sz="0" w:space="0" w:color="auto"/>
        <w:right w:val="none" w:sz="0" w:space="0" w:color="auto"/>
      </w:divBdr>
    </w:div>
    <w:div w:id="21397499">
      <w:bodyDiv w:val="1"/>
      <w:marLeft w:val="0"/>
      <w:marRight w:val="0"/>
      <w:marTop w:val="0"/>
      <w:marBottom w:val="0"/>
      <w:divBdr>
        <w:top w:val="none" w:sz="0" w:space="0" w:color="auto"/>
        <w:left w:val="none" w:sz="0" w:space="0" w:color="auto"/>
        <w:bottom w:val="none" w:sz="0" w:space="0" w:color="auto"/>
        <w:right w:val="none" w:sz="0" w:space="0" w:color="auto"/>
      </w:divBdr>
    </w:div>
    <w:div w:id="23024240">
      <w:bodyDiv w:val="1"/>
      <w:marLeft w:val="0"/>
      <w:marRight w:val="0"/>
      <w:marTop w:val="0"/>
      <w:marBottom w:val="0"/>
      <w:divBdr>
        <w:top w:val="none" w:sz="0" w:space="0" w:color="auto"/>
        <w:left w:val="none" w:sz="0" w:space="0" w:color="auto"/>
        <w:bottom w:val="none" w:sz="0" w:space="0" w:color="auto"/>
        <w:right w:val="none" w:sz="0" w:space="0" w:color="auto"/>
      </w:divBdr>
    </w:div>
    <w:div w:id="25061166">
      <w:bodyDiv w:val="1"/>
      <w:marLeft w:val="0"/>
      <w:marRight w:val="0"/>
      <w:marTop w:val="0"/>
      <w:marBottom w:val="0"/>
      <w:divBdr>
        <w:top w:val="none" w:sz="0" w:space="0" w:color="auto"/>
        <w:left w:val="none" w:sz="0" w:space="0" w:color="auto"/>
        <w:bottom w:val="none" w:sz="0" w:space="0" w:color="auto"/>
        <w:right w:val="none" w:sz="0" w:space="0" w:color="auto"/>
      </w:divBdr>
    </w:div>
    <w:div w:id="32465644">
      <w:bodyDiv w:val="1"/>
      <w:marLeft w:val="0"/>
      <w:marRight w:val="0"/>
      <w:marTop w:val="0"/>
      <w:marBottom w:val="0"/>
      <w:divBdr>
        <w:top w:val="none" w:sz="0" w:space="0" w:color="auto"/>
        <w:left w:val="none" w:sz="0" w:space="0" w:color="auto"/>
        <w:bottom w:val="none" w:sz="0" w:space="0" w:color="auto"/>
        <w:right w:val="none" w:sz="0" w:space="0" w:color="auto"/>
      </w:divBdr>
    </w:div>
    <w:div w:id="38021276">
      <w:bodyDiv w:val="1"/>
      <w:marLeft w:val="0"/>
      <w:marRight w:val="0"/>
      <w:marTop w:val="0"/>
      <w:marBottom w:val="0"/>
      <w:divBdr>
        <w:top w:val="none" w:sz="0" w:space="0" w:color="auto"/>
        <w:left w:val="none" w:sz="0" w:space="0" w:color="auto"/>
        <w:bottom w:val="none" w:sz="0" w:space="0" w:color="auto"/>
        <w:right w:val="none" w:sz="0" w:space="0" w:color="auto"/>
      </w:divBdr>
    </w:div>
    <w:div w:id="39283506">
      <w:bodyDiv w:val="1"/>
      <w:marLeft w:val="0"/>
      <w:marRight w:val="0"/>
      <w:marTop w:val="0"/>
      <w:marBottom w:val="0"/>
      <w:divBdr>
        <w:top w:val="none" w:sz="0" w:space="0" w:color="auto"/>
        <w:left w:val="none" w:sz="0" w:space="0" w:color="auto"/>
        <w:bottom w:val="none" w:sz="0" w:space="0" w:color="auto"/>
        <w:right w:val="none" w:sz="0" w:space="0" w:color="auto"/>
      </w:divBdr>
    </w:div>
    <w:div w:id="41561481">
      <w:bodyDiv w:val="1"/>
      <w:marLeft w:val="0"/>
      <w:marRight w:val="0"/>
      <w:marTop w:val="0"/>
      <w:marBottom w:val="0"/>
      <w:divBdr>
        <w:top w:val="none" w:sz="0" w:space="0" w:color="auto"/>
        <w:left w:val="none" w:sz="0" w:space="0" w:color="auto"/>
        <w:bottom w:val="none" w:sz="0" w:space="0" w:color="auto"/>
        <w:right w:val="none" w:sz="0" w:space="0" w:color="auto"/>
      </w:divBdr>
    </w:div>
    <w:div w:id="43137902">
      <w:bodyDiv w:val="1"/>
      <w:marLeft w:val="0"/>
      <w:marRight w:val="0"/>
      <w:marTop w:val="0"/>
      <w:marBottom w:val="0"/>
      <w:divBdr>
        <w:top w:val="none" w:sz="0" w:space="0" w:color="auto"/>
        <w:left w:val="none" w:sz="0" w:space="0" w:color="auto"/>
        <w:bottom w:val="none" w:sz="0" w:space="0" w:color="auto"/>
        <w:right w:val="none" w:sz="0" w:space="0" w:color="auto"/>
      </w:divBdr>
    </w:div>
    <w:div w:id="49114457">
      <w:bodyDiv w:val="1"/>
      <w:marLeft w:val="0"/>
      <w:marRight w:val="0"/>
      <w:marTop w:val="0"/>
      <w:marBottom w:val="0"/>
      <w:divBdr>
        <w:top w:val="none" w:sz="0" w:space="0" w:color="auto"/>
        <w:left w:val="none" w:sz="0" w:space="0" w:color="auto"/>
        <w:bottom w:val="none" w:sz="0" w:space="0" w:color="auto"/>
        <w:right w:val="none" w:sz="0" w:space="0" w:color="auto"/>
      </w:divBdr>
    </w:div>
    <w:div w:id="56754275">
      <w:bodyDiv w:val="1"/>
      <w:marLeft w:val="0"/>
      <w:marRight w:val="0"/>
      <w:marTop w:val="0"/>
      <w:marBottom w:val="0"/>
      <w:divBdr>
        <w:top w:val="none" w:sz="0" w:space="0" w:color="auto"/>
        <w:left w:val="none" w:sz="0" w:space="0" w:color="auto"/>
        <w:bottom w:val="none" w:sz="0" w:space="0" w:color="auto"/>
        <w:right w:val="none" w:sz="0" w:space="0" w:color="auto"/>
      </w:divBdr>
    </w:div>
    <w:div w:id="65223454">
      <w:bodyDiv w:val="1"/>
      <w:marLeft w:val="0"/>
      <w:marRight w:val="0"/>
      <w:marTop w:val="0"/>
      <w:marBottom w:val="0"/>
      <w:divBdr>
        <w:top w:val="none" w:sz="0" w:space="0" w:color="auto"/>
        <w:left w:val="none" w:sz="0" w:space="0" w:color="auto"/>
        <w:bottom w:val="none" w:sz="0" w:space="0" w:color="auto"/>
        <w:right w:val="none" w:sz="0" w:space="0" w:color="auto"/>
      </w:divBdr>
    </w:div>
    <w:div w:id="67577902">
      <w:bodyDiv w:val="1"/>
      <w:marLeft w:val="0"/>
      <w:marRight w:val="0"/>
      <w:marTop w:val="0"/>
      <w:marBottom w:val="0"/>
      <w:divBdr>
        <w:top w:val="none" w:sz="0" w:space="0" w:color="auto"/>
        <w:left w:val="none" w:sz="0" w:space="0" w:color="auto"/>
        <w:bottom w:val="none" w:sz="0" w:space="0" w:color="auto"/>
        <w:right w:val="none" w:sz="0" w:space="0" w:color="auto"/>
      </w:divBdr>
    </w:div>
    <w:div w:id="74520481">
      <w:bodyDiv w:val="1"/>
      <w:marLeft w:val="0"/>
      <w:marRight w:val="0"/>
      <w:marTop w:val="0"/>
      <w:marBottom w:val="0"/>
      <w:divBdr>
        <w:top w:val="none" w:sz="0" w:space="0" w:color="auto"/>
        <w:left w:val="none" w:sz="0" w:space="0" w:color="auto"/>
        <w:bottom w:val="none" w:sz="0" w:space="0" w:color="auto"/>
        <w:right w:val="none" w:sz="0" w:space="0" w:color="auto"/>
      </w:divBdr>
    </w:div>
    <w:div w:id="83763711">
      <w:bodyDiv w:val="1"/>
      <w:marLeft w:val="0"/>
      <w:marRight w:val="0"/>
      <w:marTop w:val="0"/>
      <w:marBottom w:val="0"/>
      <w:divBdr>
        <w:top w:val="none" w:sz="0" w:space="0" w:color="auto"/>
        <w:left w:val="none" w:sz="0" w:space="0" w:color="auto"/>
        <w:bottom w:val="none" w:sz="0" w:space="0" w:color="auto"/>
        <w:right w:val="none" w:sz="0" w:space="0" w:color="auto"/>
      </w:divBdr>
    </w:div>
    <w:div w:id="85619364">
      <w:bodyDiv w:val="1"/>
      <w:marLeft w:val="0"/>
      <w:marRight w:val="0"/>
      <w:marTop w:val="0"/>
      <w:marBottom w:val="0"/>
      <w:divBdr>
        <w:top w:val="none" w:sz="0" w:space="0" w:color="auto"/>
        <w:left w:val="none" w:sz="0" w:space="0" w:color="auto"/>
        <w:bottom w:val="none" w:sz="0" w:space="0" w:color="auto"/>
        <w:right w:val="none" w:sz="0" w:space="0" w:color="auto"/>
      </w:divBdr>
    </w:div>
    <w:div w:id="90468903">
      <w:bodyDiv w:val="1"/>
      <w:marLeft w:val="0"/>
      <w:marRight w:val="0"/>
      <w:marTop w:val="0"/>
      <w:marBottom w:val="0"/>
      <w:divBdr>
        <w:top w:val="none" w:sz="0" w:space="0" w:color="auto"/>
        <w:left w:val="none" w:sz="0" w:space="0" w:color="auto"/>
        <w:bottom w:val="none" w:sz="0" w:space="0" w:color="auto"/>
        <w:right w:val="none" w:sz="0" w:space="0" w:color="auto"/>
      </w:divBdr>
    </w:div>
    <w:div w:id="92476222">
      <w:bodyDiv w:val="1"/>
      <w:marLeft w:val="0"/>
      <w:marRight w:val="0"/>
      <w:marTop w:val="0"/>
      <w:marBottom w:val="0"/>
      <w:divBdr>
        <w:top w:val="none" w:sz="0" w:space="0" w:color="auto"/>
        <w:left w:val="none" w:sz="0" w:space="0" w:color="auto"/>
        <w:bottom w:val="none" w:sz="0" w:space="0" w:color="auto"/>
        <w:right w:val="none" w:sz="0" w:space="0" w:color="auto"/>
      </w:divBdr>
    </w:div>
    <w:div w:id="93551511">
      <w:bodyDiv w:val="1"/>
      <w:marLeft w:val="0"/>
      <w:marRight w:val="0"/>
      <w:marTop w:val="0"/>
      <w:marBottom w:val="0"/>
      <w:divBdr>
        <w:top w:val="none" w:sz="0" w:space="0" w:color="auto"/>
        <w:left w:val="none" w:sz="0" w:space="0" w:color="auto"/>
        <w:bottom w:val="none" w:sz="0" w:space="0" w:color="auto"/>
        <w:right w:val="none" w:sz="0" w:space="0" w:color="auto"/>
      </w:divBdr>
    </w:div>
    <w:div w:id="101416740">
      <w:bodyDiv w:val="1"/>
      <w:marLeft w:val="0"/>
      <w:marRight w:val="0"/>
      <w:marTop w:val="0"/>
      <w:marBottom w:val="0"/>
      <w:divBdr>
        <w:top w:val="none" w:sz="0" w:space="0" w:color="auto"/>
        <w:left w:val="none" w:sz="0" w:space="0" w:color="auto"/>
        <w:bottom w:val="none" w:sz="0" w:space="0" w:color="auto"/>
        <w:right w:val="none" w:sz="0" w:space="0" w:color="auto"/>
      </w:divBdr>
    </w:div>
    <w:div w:id="104546752">
      <w:bodyDiv w:val="1"/>
      <w:marLeft w:val="0"/>
      <w:marRight w:val="0"/>
      <w:marTop w:val="0"/>
      <w:marBottom w:val="0"/>
      <w:divBdr>
        <w:top w:val="none" w:sz="0" w:space="0" w:color="auto"/>
        <w:left w:val="none" w:sz="0" w:space="0" w:color="auto"/>
        <w:bottom w:val="none" w:sz="0" w:space="0" w:color="auto"/>
        <w:right w:val="none" w:sz="0" w:space="0" w:color="auto"/>
      </w:divBdr>
    </w:div>
    <w:div w:id="110057729">
      <w:bodyDiv w:val="1"/>
      <w:marLeft w:val="0"/>
      <w:marRight w:val="0"/>
      <w:marTop w:val="0"/>
      <w:marBottom w:val="0"/>
      <w:divBdr>
        <w:top w:val="none" w:sz="0" w:space="0" w:color="auto"/>
        <w:left w:val="none" w:sz="0" w:space="0" w:color="auto"/>
        <w:bottom w:val="none" w:sz="0" w:space="0" w:color="auto"/>
        <w:right w:val="none" w:sz="0" w:space="0" w:color="auto"/>
      </w:divBdr>
    </w:div>
    <w:div w:id="110903708">
      <w:bodyDiv w:val="1"/>
      <w:marLeft w:val="0"/>
      <w:marRight w:val="0"/>
      <w:marTop w:val="0"/>
      <w:marBottom w:val="0"/>
      <w:divBdr>
        <w:top w:val="none" w:sz="0" w:space="0" w:color="auto"/>
        <w:left w:val="none" w:sz="0" w:space="0" w:color="auto"/>
        <w:bottom w:val="none" w:sz="0" w:space="0" w:color="auto"/>
        <w:right w:val="none" w:sz="0" w:space="0" w:color="auto"/>
      </w:divBdr>
    </w:div>
    <w:div w:id="111825695">
      <w:bodyDiv w:val="1"/>
      <w:marLeft w:val="0"/>
      <w:marRight w:val="0"/>
      <w:marTop w:val="0"/>
      <w:marBottom w:val="0"/>
      <w:divBdr>
        <w:top w:val="none" w:sz="0" w:space="0" w:color="auto"/>
        <w:left w:val="none" w:sz="0" w:space="0" w:color="auto"/>
        <w:bottom w:val="none" w:sz="0" w:space="0" w:color="auto"/>
        <w:right w:val="none" w:sz="0" w:space="0" w:color="auto"/>
      </w:divBdr>
    </w:div>
    <w:div w:id="115608569">
      <w:bodyDiv w:val="1"/>
      <w:marLeft w:val="0"/>
      <w:marRight w:val="0"/>
      <w:marTop w:val="0"/>
      <w:marBottom w:val="0"/>
      <w:divBdr>
        <w:top w:val="none" w:sz="0" w:space="0" w:color="auto"/>
        <w:left w:val="none" w:sz="0" w:space="0" w:color="auto"/>
        <w:bottom w:val="none" w:sz="0" w:space="0" w:color="auto"/>
        <w:right w:val="none" w:sz="0" w:space="0" w:color="auto"/>
      </w:divBdr>
    </w:div>
    <w:div w:id="115687548">
      <w:bodyDiv w:val="1"/>
      <w:marLeft w:val="0"/>
      <w:marRight w:val="0"/>
      <w:marTop w:val="0"/>
      <w:marBottom w:val="0"/>
      <w:divBdr>
        <w:top w:val="none" w:sz="0" w:space="0" w:color="auto"/>
        <w:left w:val="none" w:sz="0" w:space="0" w:color="auto"/>
        <w:bottom w:val="none" w:sz="0" w:space="0" w:color="auto"/>
        <w:right w:val="none" w:sz="0" w:space="0" w:color="auto"/>
      </w:divBdr>
    </w:div>
    <w:div w:id="122694857">
      <w:bodyDiv w:val="1"/>
      <w:marLeft w:val="0"/>
      <w:marRight w:val="0"/>
      <w:marTop w:val="0"/>
      <w:marBottom w:val="0"/>
      <w:divBdr>
        <w:top w:val="none" w:sz="0" w:space="0" w:color="auto"/>
        <w:left w:val="none" w:sz="0" w:space="0" w:color="auto"/>
        <w:bottom w:val="none" w:sz="0" w:space="0" w:color="auto"/>
        <w:right w:val="none" w:sz="0" w:space="0" w:color="auto"/>
      </w:divBdr>
    </w:div>
    <w:div w:id="130638864">
      <w:bodyDiv w:val="1"/>
      <w:marLeft w:val="0"/>
      <w:marRight w:val="0"/>
      <w:marTop w:val="0"/>
      <w:marBottom w:val="0"/>
      <w:divBdr>
        <w:top w:val="none" w:sz="0" w:space="0" w:color="auto"/>
        <w:left w:val="none" w:sz="0" w:space="0" w:color="auto"/>
        <w:bottom w:val="none" w:sz="0" w:space="0" w:color="auto"/>
        <w:right w:val="none" w:sz="0" w:space="0" w:color="auto"/>
      </w:divBdr>
    </w:div>
    <w:div w:id="142045996">
      <w:bodyDiv w:val="1"/>
      <w:marLeft w:val="0"/>
      <w:marRight w:val="0"/>
      <w:marTop w:val="0"/>
      <w:marBottom w:val="0"/>
      <w:divBdr>
        <w:top w:val="none" w:sz="0" w:space="0" w:color="auto"/>
        <w:left w:val="none" w:sz="0" w:space="0" w:color="auto"/>
        <w:bottom w:val="none" w:sz="0" w:space="0" w:color="auto"/>
        <w:right w:val="none" w:sz="0" w:space="0" w:color="auto"/>
      </w:divBdr>
    </w:div>
    <w:div w:id="150295102">
      <w:bodyDiv w:val="1"/>
      <w:marLeft w:val="0"/>
      <w:marRight w:val="0"/>
      <w:marTop w:val="0"/>
      <w:marBottom w:val="0"/>
      <w:divBdr>
        <w:top w:val="none" w:sz="0" w:space="0" w:color="auto"/>
        <w:left w:val="none" w:sz="0" w:space="0" w:color="auto"/>
        <w:bottom w:val="none" w:sz="0" w:space="0" w:color="auto"/>
        <w:right w:val="none" w:sz="0" w:space="0" w:color="auto"/>
      </w:divBdr>
    </w:div>
    <w:div w:id="156771952">
      <w:bodyDiv w:val="1"/>
      <w:marLeft w:val="0"/>
      <w:marRight w:val="0"/>
      <w:marTop w:val="0"/>
      <w:marBottom w:val="0"/>
      <w:divBdr>
        <w:top w:val="none" w:sz="0" w:space="0" w:color="auto"/>
        <w:left w:val="none" w:sz="0" w:space="0" w:color="auto"/>
        <w:bottom w:val="none" w:sz="0" w:space="0" w:color="auto"/>
        <w:right w:val="none" w:sz="0" w:space="0" w:color="auto"/>
      </w:divBdr>
    </w:div>
    <w:div w:id="164328607">
      <w:bodyDiv w:val="1"/>
      <w:marLeft w:val="0"/>
      <w:marRight w:val="0"/>
      <w:marTop w:val="0"/>
      <w:marBottom w:val="0"/>
      <w:divBdr>
        <w:top w:val="none" w:sz="0" w:space="0" w:color="auto"/>
        <w:left w:val="none" w:sz="0" w:space="0" w:color="auto"/>
        <w:bottom w:val="none" w:sz="0" w:space="0" w:color="auto"/>
        <w:right w:val="none" w:sz="0" w:space="0" w:color="auto"/>
      </w:divBdr>
    </w:div>
    <w:div w:id="166796257">
      <w:bodyDiv w:val="1"/>
      <w:marLeft w:val="0"/>
      <w:marRight w:val="0"/>
      <w:marTop w:val="0"/>
      <w:marBottom w:val="0"/>
      <w:divBdr>
        <w:top w:val="none" w:sz="0" w:space="0" w:color="auto"/>
        <w:left w:val="none" w:sz="0" w:space="0" w:color="auto"/>
        <w:bottom w:val="none" w:sz="0" w:space="0" w:color="auto"/>
        <w:right w:val="none" w:sz="0" w:space="0" w:color="auto"/>
      </w:divBdr>
    </w:div>
    <w:div w:id="166868455">
      <w:bodyDiv w:val="1"/>
      <w:marLeft w:val="0"/>
      <w:marRight w:val="0"/>
      <w:marTop w:val="0"/>
      <w:marBottom w:val="0"/>
      <w:divBdr>
        <w:top w:val="none" w:sz="0" w:space="0" w:color="auto"/>
        <w:left w:val="none" w:sz="0" w:space="0" w:color="auto"/>
        <w:bottom w:val="none" w:sz="0" w:space="0" w:color="auto"/>
        <w:right w:val="none" w:sz="0" w:space="0" w:color="auto"/>
      </w:divBdr>
    </w:div>
    <w:div w:id="168184760">
      <w:bodyDiv w:val="1"/>
      <w:marLeft w:val="0"/>
      <w:marRight w:val="0"/>
      <w:marTop w:val="0"/>
      <w:marBottom w:val="0"/>
      <w:divBdr>
        <w:top w:val="none" w:sz="0" w:space="0" w:color="auto"/>
        <w:left w:val="none" w:sz="0" w:space="0" w:color="auto"/>
        <w:bottom w:val="none" w:sz="0" w:space="0" w:color="auto"/>
        <w:right w:val="none" w:sz="0" w:space="0" w:color="auto"/>
      </w:divBdr>
    </w:div>
    <w:div w:id="168760153">
      <w:bodyDiv w:val="1"/>
      <w:marLeft w:val="0"/>
      <w:marRight w:val="0"/>
      <w:marTop w:val="0"/>
      <w:marBottom w:val="0"/>
      <w:divBdr>
        <w:top w:val="none" w:sz="0" w:space="0" w:color="auto"/>
        <w:left w:val="none" w:sz="0" w:space="0" w:color="auto"/>
        <w:bottom w:val="none" w:sz="0" w:space="0" w:color="auto"/>
        <w:right w:val="none" w:sz="0" w:space="0" w:color="auto"/>
      </w:divBdr>
    </w:div>
    <w:div w:id="170411070">
      <w:bodyDiv w:val="1"/>
      <w:marLeft w:val="0"/>
      <w:marRight w:val="0"/>
      <w:marTop w:val="0"/>
      <w:marBottom w:val="0"/>
      <w:divBdr>
        <w:top w:val="none" w:sz="0" w:space="0" w:color="auto"/>
        <w:left w:val="none" w:sz="0" w:space="0" w:color="auto"/>
        <w:bottom w:val="none" w:sz="0" w:space="0" w:color="auto"/>
        <w:right w:val="none" w:sz="0" w:space="0" w:color="auto"/>
      </w:divBdr>
    </w:div>
    <w:div w:id="171534192">
      <w:bodyDiv w:val="1"/>
      <w:marLeft w:val="0"/>
      <w:marRight w:val="0"/>
      <w:marTop w:val="0"/>
      <w:marBottom w:val="0"/>
      <w:divBdr>
        <w:top w:val="none" w:sz="0" w:space="0" w:color="auto"/>
        <w:left w:val="none" w:sz="0" w:space="0" w:color="auto"/>
        <w:bottom w:val="none" w:sz="0" w:space="0" w:color="auto"/>
        <w:right w:val="none" w:sz="0" w:space="0" w:color="auto"/>
      </w:divBdr>
    </w:div>
    <w:div w:id="178786549">
      <w:bodyDiv w:val="1"/>
      <w:marLeft w:val="0"/>
      <w:marRight w:val="0"/>
      <w:marTop w:val="0"/>
      <w:marBottom w:val="0"/>
      <w:divBdr>
        <w:top w:val="none" w:sz="0" w:space="0" w:color="auto"/>
        <w:left w:val="none" w:sz="0" w:space="0" w:color="auto"/>
        <w:bottom w:val="none" w:sz="0" w:space="0" w:color="auto"/>
        <w:right w:val="none" w:sz="0" w:space="0" w:color="auto"/>
      </w:divBdr>
    </w:div>
    <w:div w:id="183322451">
      <w:bodyDiv w:val="1"/>
      <w:marLeft w:val="0"/>
      <w:marRight w:val="0"/>
      <w:marTop w:val="0"/>
      <w:marBottom w:val="0"/>
      <w:divBdr>
        <w:top w:val="none" w:sz="0" w:space="0" w:color="auto"/>
        <w:left w:val="none" w:sz="0" w:space="0" w:color="auto"/>
        <w:bottom w:val="none" w:sz="0" w:space="0" w:color="auto"/>
        <w:right w:val="none" w:sz="0" w:space="0" w:color="auto"/>
      </w:divBdr>
    </w:div>
    <w:div w:id="183979349">
      <w:bodyDiv w:val="1"/>
      <w:marLeft w:val="0"/>
      <w:marRight w:val="0"/>
      <w:marTop w:val="0"/>
      <w:marBottom w:val="0"/>
      <w:divBdr>
        <w:top w:val="none" w:sz="0" w:space="0" w:color="auto"/>
        <w:left w:val="none" w:sz="0" w:space="0" w:color="auto"/>
        <w:bottom w:val="none" w:sz="0" w:space="0" w:color="auto"/>
        <w:right w:val="none" w:sz="0" w:space="0" w:color="auto"/>
      </w:divBdr>
    </w:div>
    <w:div w:id="184833150">
      <w:bodyDiv w:val="1"/>
      <w:marLeft w:val="0"/>
      <w:marRight w:val="0"/>
      <w:marTop w:val="0"/>
      <w:marBottom w:val="0"/>
      <w:divBdr>
        <w:top w:val="none" w:sz="0" w:space="0" w:color="auto"/>
        <w:left w:val="none" w:sz="0" w:space="0" w:color="auto"/>
        <w:bottom w:val="none" w:sz="0" w:space="0" w:color="auto"/>
        <w:right w:val="none" w:sz="0" w:space="0" w:color="auto"/>
      </w:divBdr>
    </w:div>
    <w:div w:id="187765472">
      <w:bodyDiv w:val="1"/>
      <w:marLeft w:val="0"/>
      <w:marRight w:val="0"/>
      <w:marTop w:val="0"/>
      <w:marBottom w:val="0"/>
      <w:divBdr>
        <w:top w:val="none" w:sz="0" w:space="0" w:color="auto"/>
        <w:left w:val="none" w:sz="0" w:space="0" w:color="auto"/>
        <w:bottom w:val="none" w:sz="0" w:space="0" w:color="auto"/>
        <w:right w:val="none" w:sz="0" w:space="0" w:color="auto"/>
      </w:divBdr>
    </w:div>
    <w:div w:id="191456427">
      <w:bodyDiv w:val="1"/>
      <w:marLeft w:val="0"/>
      <w:marRight w:val="0"/>
      <w:marTop w:val="0"/>
      <w:marBottom w:val="0"/>
      <w:divBdr>
        <w:top w:val="none" w:sz="0" w:space="0" w:color="auto"/>
        <w:left w:val="none" w:sz="0" w:space="0" w:color="auto"/>
        <w:bottom w:val="none" w:sz="0" w:space="0" w:color="auto"/>
        <w:right w:val="none" w:sz="0" w:space="0" w:color="auto"/>
      </w:divBdr>
    </w:div>
    <w:div w:id="191580067">
      <w:bodyDiv w:val="1"/>
      <w:marLeft w:val="0"/>
      <w:marRight w:val="0"/>
      <w:marTop w:val="0"/>
      <w:marBottom w:val="0"/>
      <w:divBdr>
        <w:top w:val="none" w:sz="0" w:space="0" w:color="auto"/>
        <w:left w:val="none" w:sz="0" w:space="0" w:color="auto"/>
        <w:bottom w:val="none" w:sz="0" w:space="0" w:color="auto"/>
        <w:right w:val="none" w:sz="0" w:space="0" w:color="auto"/>
      </w:divBdr>
    </w:div>
    <w:div w:id="195891810">
      <w:bodyDiv w:val="1"/>
      <w:marLeft w:val="0"/>
      <w:marRight w:val="0"/>
      <w:marTop w:val="0"/>
      <w:marBottom w:val="0"/>
      <w:divBdr>
        <w:top w:val="none" w:sz="0" w:space="0" w:color="auto"/>
        <w:left w:val="none" w:sz="0" w:space="0" w:color="auto"/>
        <w:bottom w:val="none" w:sz="0" w:space="0" w:color="auto"/>
        <w:right w:val="none" w:sz="0" w:space="0" w:color="auto"/>
      </w:divBdr>
    </w:div>
    <w:div w:id="199585673">
      <w:bodyDiv w:val="1"/>
      <w:marLeft w:val="0"/>
      <w:marRight w:val="0"/>
      <w:marTop w:val="0"/>
      <w:marBottom w:val="0"/>
      <w:divBdr>
        <w:top w:val="none" w:sz="0" w:space="0" w:color="auto"/>
        <w:left w:val="none" w:sz="0" w:space="0" w:color="auto"/>
        <w:bottom w:val="none" w:sz="0" w:space="0" w:color="auto"/>
        <w:right w:val="none" w:sz="0" w:space="0" w:color="auto"/>
      </w:divBdr>
    </w:div>
    <w:div w:id="199630097">
      <w:bodyDiv w:val="1"/>
      <w:marLeft w:val="0"/>
      <w:marRight w:val="0"/>
      <w:marTop w:val="0"/>
      <w:marBottom w:val="0"/>
      <w:divBdr>
        <w:top w:val="none" w:sz="0" w:space="0" w:color="auto"/>
        <w:left w:val="none" w:sz="0" w:space="0" w:color="auto"/>
        <w:bottom w:val="none" w:sz="0" w:space="0" w:color="auto"/>
        <w:right w:val="none" w:sz="0" w:space="0" w:color="auto"/>
      </w:divBdr>
    </w:div>
    <w:div w:id="202643609">
      <w:bodyDiv w:val="1"/>
      <w:marLeft w:val="0"/>
      <w:marRight w:val="0"/>
      <w:marTop w:val="0"/>
      <w:marBottom w:val="0"/>
      <w:divBdr>
        <w:top w:val="none" w:sz="0" w:space="0" w:color="auto"/>
        <w:left w:val="none" w:sz="0" w:space="0" w:color="auto"/>
        <w:bottom w:val="none" w:sz="0" w:space="0" w:color="auto"/>
        <w:right w:val="none" w:sz="0" w:space="0" w:color="auto"/>
      </w:divBdr>
    </w:div>
    <w:div w:id="206600712">
      <w:bodyDiv w:val="1"/>
      <w:marLeft w:val="0"/>
      <w:marRight w:val="0"/>
      <w:marTop w:val="0"/>
      <w:marBottom w:val="0"/>
      <w:divBdr>
        <w:top w:val="none" w:sz="0" w:space="0" w:color="auto"/>
        <w:left w:val="none" w:sz="0" w:space="0" w:color="auto"/>
        <w:bottom w:val="none" w:sz="0" w:space="0" w:color="auto"/>
        <w:right w:val="none" w:sz="0" w:space="0" w:color="auto"/>
      </w:divBdr>
    </w:div>
    <w:div w:id="207645514">
      <w:bodyDiv w:val="1"/>
      <w:marLeft w:val="0"/>
      <w:marRight w:val="0"/>
      <w:marTop w:val="0"/>
      <w:marBottom w:val="0"/>
      <w:divBdr>
        <w:top w:val="none" w:sz="0" w:space="0" w:color="auto"/>
        <w:left w:val="none" w:sz="0" w:space="0" w:color="auto"/>
        <w:bottom w:val="none" w:sz="0" w:space="0" w:color="auto"/>
        <w:right w:val="none" w:sz="0" w:space="0" w:color="auto"/>
      </w:divBdr>
    </w:div>
    <w:div w:id="208811261">
      <w:bodyDiv w:val="1"/>
      <w:marLeft w:val="0"/>
      <w:marRight w:val="0"/>
      <w:marTop w:val="0"/>
      <w:marBottom w:val="0"/>
      <w:divBdr>
        <w:top w:val="none" w:sz="0" w:space="0" w:color="auto"/>
        <w:left w:val="none" w:sz="0" w:space="0" w:color="auto"/>
        <w:bottom w:val="none" w:sz="0" w:space="0" w:color="auto"/>
        <w:right w:val="none" w:sz="0" w:space="0" w:color="auto"/>
      </w:divBdr>
    </w:div>
    <w:div w:id="208929328">
      <w:bodyDiv w:val="1"/>
      <w:marLeft w:val="0"/>
      <w:marRight w:val="0"/>
      <w:marTop w:val="0"/>
      <w:marBottom w:val="0"/>
      <w:divBdr>
        <w:top w:val="none" w:sz="0" w:space="0" w:color="auto"/>
        <w:left w:val="none" w:sz="0" w:space="0" w:color="auto"/>
        <w:bottom w:val="none" w:sz="0" w:space="0" w:color="auto"/>
        <w:right w:val="none" w:sz="0" w:space="0" w:color="auto"/>
      </w:divBdr>
    </w:div>
    <w:div w:id="209072570">
      <w:bodyDiv w:val="1"/>
      <w:marLeft w:val="0"/>
      <w:marRight w:val="0"/>
      <w:marTop w:val="0"/>
      <w:marBottom w:val="0"/>
      <w:divBdr>
        <w:top w:val="none" w:sz="0" w:space="0" w:color="auto"/>
        <w:left w:val="none" w:sz="0" w:space="0" w:color="auto"/>
        <w:bottom w:val="none" w:sz="0" w:space="0" w:color="auto"/>
        <w:right w:val="none" w:sz="0" w:space="0" w:color="auto"/>
      </w:divBdr>
    </w:div>
    <w:div w:id="210577116">
      <w:bodyDiv w:val="1"/>
      <w:marLeft w:val="0"/>
      <w:marRight w:val="0"/>
      <w:marTop w:val="0"/>
      <w:marBottom w:val="0"/>
      <w:divBdr>
        <w:top w:val="none" w:sz="0" w:space="0" w:color="auto"/>
        <w:left w:val="none" w:sz="0" w:space="0" w:color="auto"/>
        <w:bottom w:val="none" w:sz="0" w:space="0" w:color="auto"/>
        <w:right w:val="none" w:sz="0" w:space="0" w:color="auto"/>
      </w:divBdr>
    </w:div>
    <w:div w:id="211310336">
      <w:bodyDiv w:val="1"/>
      <w:marLeft w:val="0"/>
      <w:marRight w:val="0"/>
      <w:marTop w:val="0"/>
      <w:marBottom w:val="0"/>
      <w:divBdr>
        <w:top w:val="none" w:sz="0" w:space="0" w:color="auto"/>
        <w:left w:val="none" w:sz="0" w:space="0" w:color="auto"/>
        <w:bottom w:val="none" w:sz="0" w:space="0" w:color="auto"/>
        <w:right w:val="none" w:sz="0" w:space="0" w:color="auto"/>
      </w:divBdr>
    </w:div>
    <w:div w:id="220753164">
      <w:bodyDiv w:val="1"/>
      <w:marLeft w:val="0"/>
      <w:marRight w:val="0"/>
      <w:marTop w:val="0"/>
      <w:marBottom w:val="0"/>
      <w:divBdr>
        <w:top w:val="none" w:sz="0" w:space="0" w:color="auto"/>
        <w:left w:val="none" w:sz="0" w:space="0" w:color="auto"/>
        <w:bottom w:val="none" w:sz="0" w:space="0" w:color="auto"/>
        <w:right w:val="none" w:sz="0" w:space="0" w:color="auto"/>
      </w:divBdr>
    </w:div>
    <w:div w:id="223640233">
      <w:bodyDiv w:val="1"/>
      <w:marLeft w:val="0"/>
      <w:marRight w:val="0"/>
      <w:marTop w:val="0"/>
      <w:marBottom w:val="0"/>
      <w:divBdr>
        <w:top w:val="none" w:sz="0" w:space="0" w:color="auto"/>
        <w:left w:val="none" w:sz="0" w:space="0" w:color="auto"/>
        <w:bottom w:val="none" w:sz="0" w:space="0" w:color="auto"/>
        <w:right w:val="none" w:sz="0" w:space="0" w:color="auto"/>
      </w:divBdr>
    </w:div>
    <w:div w:id="228880421">
      <w:bodyDiv w:val="1"/>
      <w:marLeft w:val="0"/>
      <w:marRight w:val="0"/>
      <w:marTop w:val="0"/>
      <w:marBottom w:val="0"/>
      <w:divBdr>
        <w:top w:val="none" w:sz="0" w:space="0" w:color="auto"/>
        <w:left w:val="none" w:sz="0" w:space="0" w:color="auto"/>
        <w:bottom w:val="none" w:sz="0" w:space="0" w:color="auto"/>
        <w:right w:val="none" w:sz="0" w:space="0" w:color="auto"/>
      </w:divBdr>
    </w:div>
    <w:div w:id="229465340">
      <w:bodyDiv w:val="1"/>
      <w:marLeft w:val="0"/>
      <w:marRight w:val="0"/>
      <w:marTop w:val="0"/>
      <w:marBottom w:val="0"/>
      <w:divBdr>
        <w:top w:val="none" w:sz="0" w:space="0" w:color="auto"/>
        <w:left w:val="none" w:sz="0" w:space="0" w:color="auto"/>
        <w:bottom w:val="none" w:sz="0" w:space="0" w:color="auto"/>
        <w:right w:val="none" w:sz="0" w:space="0" w:color="auto"/>
      </w:divBdr>
    </w:div>
    <w:div w:id="230579253">
      <w:bodyDiv w:val="1"/>
      <w:marLeft w:val="0"/>
      <w:marRight w:val="0"/>
      <w:marTop w:val="0"/>
      <w:marBottom w:val="0"/>
      <w:divBdr>
        <w:top w:val="none" w:sz="0" w:space="0" w:color="auto"/>
        <w:left w:val="none" w:sz="0" w:space="0" w:color="auto"/>
        <w:bottom w:val="none" w:sz="0" w:space="0" w:color="auto"/>
        <w:right w:val="none" w:sz="0" w:space="0" w:color="auto"/>
      </w:divBdr>
    </w:div>
    <w:div w:id="233857713">
      <w:bodyDiv w:val="1"/>
      <w:marLeft w:val="0"/>
      <w:marRight w:val="0"/>
      <w:marTop w:val="0"/>
      <w:marBottom w:val="0"/>
      <w:divBdr>
        <w:top w:val="none" w:sz="0" w:space="0" w:color="auto"/>
        <w:left w:val="none" w:sz="0" w:space="0" w:color="auto"/>
        <w:bottom w:val="none" w:sz="0" w:space="0" w:color="auto"/>
        <w:right w:val="none" w:sz="0" w:space="0" w:color="auto"/>
      </w:divBdr>
    </w:div>
    <w:div w:id="239487462">
      <w:bodyDiv w:val="1"/>
      <w:marLeft w:val="0"/>
      <w:marRight w:val="0"/>
      <w:marTop w:val="0"/>
      <w:marBottom w:val="0"/>
      <w:divBdr>
        <w:top w:val="none" w:sz="0" w:space="0" w:color="auto"/>
        <w:left w:val="none" w:sz="0" w:space="0" w:color="auto"/>
        <w:bottom w:val="none" w:sz="0" w:space="0" w:color="auto"/>
        <w:right w:val="none" w:sz="0" w:space="0" w:color="auto"/>
      </w:divBdr>
    </w:div>
    <w:div w:id="241188020">
      <w:bodyDiv w:val="1"/>
      <w:marLeft w:val="0"/>
      <w:marRight w:val="0"/>
      <w:marTop w:val="0"/>
      <w:marBottom w:val="0"/>
      <w:divBdr>
        <w:top w:val="none" w:sz="0" w:space="0" w:color="auto"/>
        <w:left w:val="none" w:sz="0" w:space="0" w:color="auto"/>
        <w:bottom w:val="none" w:sz="0" w:space="0" w:color="auto"/>
        <w:right w:val="none" w:sz="0" w:space="0" w:color="auto"/>
      </w:divBdr>
    </w:div>
    <w:div w:id="242108278">
      <w:bodyDiv w:val="1"/>
      <w:marLeft w:val="0"/>
      <w:marRight w:val="0"/>
      <w:marTop w:val="0"/>
      <w:marBottom w:val="0"/>
      <w:divBdr>
        <w:top w:val="none" w:sz="0" w:space="0" w:color="auto"/>
        <w:left w:val="none" w:sz="0" w:space="0" w:color="auto"/>
        <w:bottom w:val="none" w:sz="0" w:space="0" w:color="auto"/>
        <w:right w:val="none" w:sz="0" w:space="0" w:color="auto"/>
      </w:divBdr>
    </w:div>
    <w:div w:id="242420463">
      <w:bodyDiv w:val="1"/>
      <w:marLeft w:val="0"/>
      <w:marRight w:val="0"/>
      <w:marTop w:val="0"/>
      <w:marBottom w:val="0"/>
      <w:divBdr>
        <w:top w:val="none" w:sz="0" w:space="0" w:color="auto"/>
        <w:left w:val="none" w:sz="0" w:space="0" w:color="auto"/>
        <w:bottom w:val="none" w:sz="0" w:space="0" w:color="auto"/>
        <w:right w:val="none" w:sz="0" w:space="0" w:color="auto"/>
      </w:divBdr>
    </w:div>
    <w:div w:id="246354460">
      <w:bodyDiv w:val="1"/>
      <w:marLeft w:val="0"/>
      <w:marRight w:val="0"/>
      <w:marTop w:val="0"/>
      <w:marBottom w:val="0"/>
      <w:divBdr>
        <w:top w:val="none" w:sz="0" w:space="0" w:color="auto"/>
        <w:left w:val="none" w:sz="0" w:space="0" w:color="auto"/>
        <w:bottom w:val="none" w:sz="0" w:space="0" w:color="auto"/>
        <w:right w:val="none" w:sz="0" w:space="0" w:color="auto"/>
      </w:divBdr>
    </w:div>
    <w:div w:id="253126354">
      <w:bodyDiv w:val="1"/>
      <w:marLeft w:val="0"/>
      <w:marRight w:val="0"/>
      <w:marTop w:val="0"/>
      <w:marBottom w:val="0"/>
      <w:divBdr>
        <w:top w:val="none" w:sz="0" w:space="0" w:color="auto"/>
        <w:left w:val="none" w:sz="0" w:space="0" w:color="auto"/>
        <w:bottom w:val="none" w:sz="0" w:space="0" w:color="auto"/>
        <w:right w:val="none" w:sz="0" w:space="0" w:color="auto"/>
      </w:divBdr>
    </w:div>
    <w:div w:id="255749296">
      <w:bodyDiv w:val="1"/>
      <w:marLeft w:val="0"/>
      <w:marRight w:val="0"/>
      <w:marTop w:val="0"/>
      <w:marBottom w:val="0"/>
      <w:divBdr>
        <w:top w:val="none" w:sz="0" w:space="0" w:color="auto"/>
        <w:left w:val="none" w:sz="0" w:space="0" w:color="auto"/>
        <w:bottom w:val="none" w:sz="0" w:space="0" w:color="auto"/>
        <w:right w:val="none" w:sz="0" w:space="0" w:color="auto"/>
      </w:divBdr>
    </w:div>
    <w:div w:id="262686928">
      <w:bodyDiv w:val="1"/>
      <w:marLeft w:val="0"/>
      <w:marRight w:val="0"/>
      <w:marTop w:val="0"/>
      <w:marBottom w:val="0"/>
      <w:divBdr>
        <w:top w:val="none" w:sz="0" w:space="0" w:color="auto"/>
        <w:left w:val="none" w:sz="0" w:space="0" w:color="auto"/>
        <w:bottom w:val="none" w:sz="0" w:space="0" w:color="auto"/>
        <w:right w:val="none" w:sz="0" w:space="0" w:color="auto"/>
      </w:divBdr>
    </w:div>
    <w:div w:id="263005572">
      <w:bodyDiv w:val="1"/>
      <w:marLeft w:val="0"/>
      <w:marRight w:val="0"/>
      <w:marTop w:val="0"/>
      <w:marBottom w:val="0"/>
      <w:divBdr>
        <w:top w:val="none" w:sz="0" w:space="0" w:color="auto"/>
        <w:left w:val="none" w:sz="0" w:space="0" w:color="auto"/>
        <w:bottom w:val="none" w:sz="0" w:space="0" w:color="auto"/>
        <w:right w:val="none" w:sz="0" w:space="0" w:color="auto"/>
      </w:divBdr>
    </w:div>
    <w:div w:id="264852300">
      <w:bodyDiv w:val="1"/>
      <w:marLeft w:val="0"/>
      <w:marRight w:val="0"/>
      <w:marTop w:val="0"/>
      <w:marBottom w:val="0"/>
      <w:divBdr>
        <w:top w:val="none" w:sz="0" w:space="0" w:color="auto"/>
        <w:left w:val="none" w:sz="0" w:space="0" w:color="auto"/>
        <w:bottom w:val="none" w:sz="0" w:space="0" w:color="auto"/>
        <w:right w:val="none" w:sz="0" w:space="0" w:color="auto"/>
      </w:divBdr>
    </w:div>
    <w:div w:id="267780531">
      <w:bodyDiv w:val="1"/>
      <w:marLeft w:val="0"/>
      <w:marRight w:val="0"/>
      <w:marTop w:val="0"/>
      <w:marBottom w:val="0"/>
      <w:divBdr>
        <w:top w:val="none" w:sz="0" w:space="0" w:color="auto"/>
        <w:left w:val="none" w:sz="0" w:space="0" w:color="auto"/>
        <w:bottom w:val="none" w:sz="0" w:space="0" w:color="auto"/>
        <w:right w:val="none" w:sz="0" w:space="0" w:color="auto"/>
      </w:divBdr>
    </w:div>
    <w:div w:id="268901897">
      <w:bodyDiv w:val="1"/>
      <w:marLeft w:val="0"/>
      <w:marRight w:val="0"/>
      <w:marTop w:val="0"/>
      <w:marBottom w:val="0"/>
      <w:divBdr>
        <w:top w:val="none" w:sz="0" w:space="0" w:color="auto"/>
        <w:left w:val="none" w:sz="0" w:space="0" w:color="auto"/>
        <w:bottom w:val="none" w:sz="0" w:space="0" w:color="auto"/>
        <w:right w:val="none" w:sz="0" w:space="0" w:color="auto"/>
      </w:divBdr>
    </w:div>
    <w:div w:id="269169084">
      <w:bodyDiv w:val="1"/>
      <w:marLeft w:val="0"/>
      <w:marRight w:val="0"/>
      <w:marTop w:val="0"/>
      <w:marBottom w:val="0"/>
      <w:divBdr>
        <w:top w:val="none" w:sz="0" w:space="0" w:color="auto"/>
        <w:left w:val="none" w:sz="0" w:space="0" w:color="auto"/>
        <w:bottom w:val="none" w:sz="0" w:space="0" w:color="auto"/>
        <w:right w:val="none" w:sz="0" w:space="0" w:color="auto"/>
      </w:divBdr>
    </w:div>
    <w:div w:id="293950872">
      <w:bodyDiv w:val="1"/>
      <w:marLeft w:val="0"/>
      <w:marRight w:val="0"/>
      <w:marTop w:val="0"/>
      <w:marBottom w:val="0"/>
      <w:divBdr>
        <w:top w:val="none" w:sz="0" w:space="0" w:color="auto"/>
        <w:left w:val="none" w:sz="0" w:space="0" w:color="auto"/>
        <w:bottom w:val="none" w:sz="0" w:space="0" w:color="auto"/>
        <w:right w:val="none" w:sz="0" w:space="0" w:color="auto"/>
      </w:divBdr>
    </w:div>
    <w:div w:id="299500767">
      <w:bodyDiv w:val="1"/>
      <w:marLeft w:val="0"/>
      <w:marRight w:val="0"/>
      <w:marTop w:val="0"/>
      <w:marBottom w:val="0"/>
      <w:divBdr>
        <w:top w:val="none" w:sz="0" w:space="0" w:color="auto"/>
        <w:left w:val="none" w:sz="0" w:space="0" w:color="auto"/>
        <w:bottom w:val="none" w:sz="0" w:space="0" w:color="auto"/>
        <w:right w:val="none" w:sz="0" w:space="0" w:color="auto"/>
      </w:divBdr>
    </w:div>
    <w:div w:id="299922822">
      <w:bodyDiv w:val="1"/>
      <w:marLeft w:val="0"/>
      <w:marRight w:val="0"/>
      <w:marTop w:val="0"/>
      <w:marBottom w:val="0"/>
      <w:divBdr>
        <w:top w:val="none" w:sz="0" w:space="0" w:color="auto"/>
        <w:left w:val="none" w:sz="0" w:space="0" w:color="auto"/>
        <w:bottom w:val="none" w:sz="0" w:space="0" w:color="auto"/>
        <w:right w:val="none" w:sz="0" w:space="0" w:color="auto"/>
      </w:divBdr>
    </w:div>
    <w:div w:id="311062054">
      <w:bodyDiv w:val="1"/>
      <w:marLeft w:val="0"/>
      <w:marRight w:val="0"/>
      <w:marTop w:val="0"/>
      <w:marBottom w:val="0"/>
      <w:divBdr>
        <w:top w:val="none" w:sz="0" w:space="0" w:color="auto"/>
        <w:left w:val="none" w:sz="0" w:space="0" w:color="auto"/>
        <w:bottom w:val="none" w:sz="0" w:space="0" w:color="auto"/>
        <w:right w:val="none" w:sz="0" w:space="0" w:color="auto"/>
      </w:divBdr>
    </w:div>
    <w:div w:id="325136961">
      <w:bodyDiv w:val="1"/>
      <w:marLeft w:val="0"/>
      <w:marRight w:val="0"/>
      <w:marTop w:val="0"/>
      <w:marBottom w:val="0"/>
      <w:divBdr>
        <w:top w:val="none" w:sz="0" w:space="0" w:color="auto"/>
        <w:left w:val="none" w:sz="0" w:space="0" w:color="auto"/>
        <w:bottom w:val="none" w:sz="0" w:space="0" w:color="auto"/>
        <w:right w:val="none" w:sz="0" w:space="0" w:color="auto"/>
      </w:divBdr>
    </w:div>
    <w:div w:id="325397226">
      <w:bodyDiv w:val="1"/>
      <w:marLeft w:val="0"/>
      <w:marRight w:val="0"/>
      <w:marTop w:val="0"/>
      <w:marBottom w:val="0"/>
      <w:divBdr>
        <w:top w:val="none" w:sz="0" w:space="0" w:color="auto"/>
        <w:left w:val="none" w:sz="0" w:space="0" w:color="auto"/>
        <w:bottom w:val="none" w:sz="0" w:space="0" w:color="auto"/>
        <w:right w:val="none" w:sz="0" w:space="0" w:color="auto"/>
      </w:divBdr>
    </w:div>
    <w:div w:id="330717620">
      <w:bodyDiv w:val="1"/>
      <w:marLeft w:val="0"/>
      <w:marRight w:val="0"/>
      <w:marTop w:val="0"/>
      <w:marBottom w:val="0"/>
      <w:divBdr>
        <w:top w:val="none" w:sz="0" w:space="0" w:color="auto"/>
        <w:left w:val="none" w:sz="0" w:space="0" w:color="auto"/>
        <w:bottom w:val="none" w:sz="0" w:space="0" w:color="auto"/>
        <w:right w:val="none" w:sz="0" w:space="0" w:color="auto"/>
      </w:divBdr>
    </w:div>
    <w:div w:id="331295634">
      <w:bodyDiv w:val="1"/>
      <w:marLeft w:val="0"/>
      <w:marRight w:val="0"/>
      <w:marTop w:val="0"/>
      <w:marBottom w:val="0"/>
      <w:divBdr>
        <w:top w:val="none" w:sz="0" w:space="0" w:color="auto"/>
        <w:left w:val="none" w:sz="0" w:space="0" w:color="auto"/>
        <w:bottom w:val="none" w:sz="0" w:space="0" w:color="auto"/>
        <w:right w:val="none" w:sz="0" w:space="0" w:color="auto"/>
      </w:divBdr>
    </w:div>
    <w:div w:id="331565259">
      <w:bodyDiv w:val="1"/>
      <w:marLeft w:val="0"/>
      <w:marRight w:val="0"/>
      <w:marTop w:val="0"/>
      <w:marBottom w:val="0"/>
      <w:divBdr>
        <w:top w:val="none" w:sz="0" w:space="0" w:color="auto"/>
        <w:left w:val="none" w:sz="0" w:space="0" w:color="auto"/>
        <w:bottom w:val="none" w:sz="0" w:space="0" w:color="auto"/>
        <w:right w:val="none" w:sz="0" w:space="0" w:color="auto"/>
      </w:divBdr>
    </w:div>
    <w:div w:id="335309135">
      <w:bodyDiv w:val="1"/>
      <w:marLeft w:val="0"/>
      <w:marRight w:val="0"/>
      <w:marTop w:val="0"/>
      <w:marBottom w:val="0"/>
      <w:divBdr>
        <w:top w:val="none" w:sz="0" w:space="0" w:color="auto"/>
        <w:left w:val="none" w:sz="0" w:space="0" w:color="auto"/>
        <w:bottom w:val="none" w:sz="0" w:space="0" w:color="auto"/>
        <w:right w:val="none" w:sz="0" w:space="0" w:color="auto"/>
      </w:divBdr>
    </w:div>
    <w:div w:id="339553028">
      <w:bodyDiv w:val="1"/>
      <w:marLeft w:val="0"/>
      <w:marRight w:val="0"/>
      <w:marTop w:val="0"/>
      <w:marBottom w:val="0"/>
      <w:divBdr>
        <w:top w:val="none" w:sz="0" w:space="0" w:color="auto"/>
        <w:left w:val="none" w:sz="0" w:space="0" w:color="auto"/>
        <w:bottom w:val="none" w:sz="0" w:space="0" w:color="auto"/>
        <w:right w:val="none" w:sz="0" w:space="0" w:color="auto"/>
      </w:divBdr>
    </w:div>
    <w:div w:id="341906272">
      <w:bodyDiv w:val="1"/>
      <w:marLeft w:val="0"/>
      <w:marRight w:val="0"/>
      <w:marTop w:val="0"/>
      <w:marBottom w:val="0"/>
      <w:divBdr>
        <w:top w:val="none" w:sz="0" w:space="0" w:color="auto"/>
        <w:left w:val="none" w:sz="0" w:space="0" w:color="auto"/>
        <w:bottom w:val="none" w:sz="0" w:space="0" w:color="auto"/>
        <w:right w:val="none" w:sz="0" w:space="0" w:color="auto"/>
      </w:divBdr>
    </w:div>
    <w:div w:id="348408352">
      <w:bodyDiv w:val="1"/>
      <w:marLeft w:val="0"/>
      <w:marRight w:val="0"/>
      <w:marTop w:val="0"/>
      <w:marBottom w:val="0"/>
      <w:divBdr>
        <w:top w:val="none" w:sz="0" w:space="0" w:color="auto"/>
        <w:left w:val="none" w:sz="0" w:space="0" w:color="auto"/>
        <w:bottom w:val="none" w:sz="0" w:space="0" w:color="auto"/>
        <w:right w:val="none" w:sz="0" w:space="0" w:color="auto"/>
      </w:divBdr>
    </w:div>
    <w:div w:id="350035267">
      <w:bodyDiv w:val="1"/>
      <w:marLeft w:val="0"/>
      <w:marRight w:val="0"/>
      <w:marTop w:val="0"/>
      <w:marBottom w:val="0"/>
      <w:divBdr>
        <w:top w:val="none" w:sz="0" w:space="0" w:color="auto"/>
        <w:left w:val="none" w:sz="0" w:space="0" w:color="auto"/>
        <w:bottom w:val="none" w:sz="0" w:space="0" w:color="auto"/>
        <w:right w:val="none" w:sz="0" w:space="0" w:color="auto"/>
      </w:divBdr>
    </w:div>
    <w:div w:id="352466272">
      <w:bodyDiv w:val="1"/>
      <w:marLeft w:val="0"/>
      <w:marRight w:val="0"/>
      <w:marTop w:val="0"/>
      <w:marBottom w:val="0"/>
      <w:divBdr>
        <w:top w:val="none" w:sz="0" w:space="0" w:color="auto"/>
        <w:left w:val="none" w:sz="0" w:space="0" w:color="auto"/>
        <w:bottom w:val="none" w:sz="0" w:space="0" w:color="auto"/>
        <w:right w:val="none" w:sz="0" w:space="0" w:color="auto"/>
      </w:divBdr>
    </w:div>
    <w:div w:id="353724550">
      <w:bodyDiv w:val="1"/>
      <w:marLeft w:val="0"/>
      <w:marRight w:val="0"/>
      <w:marTop w:val="0"/>
      <w:marBottom w:val="0"/>
      <w:divBdr>
        <w:top w:val="none" w:sz="0" w:space="0" w:color="auto"/>
        <w:left w:val="none" w:sz="0" w:space="0" w:color="auto"/>
        <w:bottom w:val="none" w:sz="0" w:space="0" w:color="auto"/>
        <w:right w:val="none" w:sz="0" w:space="0" w:color="auto"/>
      </w:divBdr>
    </w:div>
    <w:div w:id="360982411">
      <w:bodyDiv w:val="1"/>
      <w:marLeft w:val="0"/>
      <w:marRight w:val="0"/>
      <w:marTop w:val="0"/>
      <w:marBottom w:val="0"/>
      <w:divBdr>
        <w:top w:val="none" w:sz="0" w:space="0" w:color="auto"/>
        <w:left w:val="none" w:sz="0" w:space="0" w:color="auto"/>
        <w:bottom w:val="none" w:sz="0" w:space="0" w:color="auto"/>
        <w:right w:val="none" w:sz="0" w:space="0" w:color="auto"/>
      </w:divBdr>
    </w:div>
    <w:div w:id="389421028">
      <w:bodyDiv w:val="1"/>
      <w:marLeft w:val="0"/>
      <w:marRight w:val="0"/>
      <w:marTop w:val="0"/>
      <w:marBottom w:val="0"/>
      <w:divBdr>
        <w:top w:val="none" w:sz="0" w:space="0" w:color="auto"/>
        <w:left w:val="none" w:sz="0" w:space="0" w:color="auto"/>
        <w:bottom w:val="none" w:sz="0" w:space="0" w:color="auto"/>
        <w:right w:val="none" w:sz="0" w:space="0" w:color="auto"/>
      </w:divBdr>
    </w:div>
    <w:div w:id="390346592">
      <w:bodyDiv w:val="1"/>
      <w:marLeft w:val="0"/>
      <w:marRight w:val="0"/>
      <w:marTop w:val="0"/>
      <w:marBottom w:val="0"/>
      <w:divBdr>
        <w:top w:val="none" w:sz="0" w:space="0" w:color="auto"/>
        <w:left w:val="none" w:sz="0" w:space="0" w:color="auto"/>
        <w:bottom w:val="none" w:sz="0" w:space="0" w:color="auto"/>
        <w:right w:val="none" w:sz="0" w:space="0" w:color="auto"/>
      </w:divBdr>
    </w:div>
    <w:div w:id="396514816">
      <w:bodyDiv w:val="1"/>
      <w:marLeft w:val="0"/>
      <w:marRight w:val="0"/>
      <w:marTop w:val="0"/>
      <w:marBottom w:val="0"/>
      <w:divBdr>
        <w:top w:val="none" w:sz="0" w:space="0" w:color="auto"/>
        <w:left w:val="none" w:sz="0" w:space="0" w:color="auto"/>
        <w:bottom w:val="none" w:sz="0" w:space="0" w:color="auto"/>
        <w:right w:val="none" w:sz="0" w:space="0" w:color="auto"/>
      </w:divBdr>
    </w:div>
    <w:div w:id="406466846">
      <w:bodyDiv w:val="1"/>
      <w:marLeft w:val="0"/>
      <w:marRight w:val="0"/>
      <w:marTop w:val="0"/>
      <w:marBottom w:val="0"/>
      <w:divBdr>
        <w:top w:val="none" w:sz="0" w:space="0" w:color="auto"/>
        <w:left w:val="none" w:sz="0" w:space="0" w:color="auto"/>
        <w:bottom w:val="none" w:sz="0" w:space="0" w:color="auto"/>
        <w:right w:val="none" w:sz="0" w:space="0" w:color="auto"/>
      </w:divBdr>
    </w:div>
    <w:div w:id="410348708">
      <w:bodyDiv w:val="1"/>
      <w:marLeft w:val="0"/>
      <w:marRight w:val="0"/>
      <w:marTop w:val="0"/>
      <w:marBottom w:val="0"/>
      <w:divBdr>
        <w:top w:val="none" w:sz="0" w:space="0" w:color="auto"/>
        <w:left w:val="none" w:sz="0" w:space="0" w:color="auto"/>
        <w:bottom w:val="none" w:sz="0" w:space="0" w:color="auto"/>
        <w:right w:val="none" w:sz="0" w:space="0" w:color="auto"/>
      </w:divBdr>
    </w:div>
    <w:div w:id="423838410">
      <w:bodyDiv w:val="1"/>
      <w:marLeft w:val="0"/>
      <w:marRight w:val="0"/>
      <w:marTop w:val="0"/>
      <w:marBottom w:val="0"/>
      <w:divBdr>
        <w:top w:val="none" w:sz="0" w:space="0" w:color="auto"/>
        <w:left w:val="none" w:sz="0" w:space="0" w:color="auto"/>
        <w:bottom w:val="none" w:sz="0" w:space="0" w:color="auto"/>
        <w:right w:val="none" w:sz="0" w:space="0" w:color="auto"/>
      </w:divBdr>
    </w:div>
    <w:div w:id="428696689">
      <w:bodyDiv w:val="1"/>
      <w:marLeft w:val="0"/>
      <w:marRight w:val="0"/>
      <w:marTop w:val="0"/>
      <w:marBottom w:val="0"/>
      <w:divBdr>
        <w:top w:val="none" w:sz="0" w:space="0" w:color="auto"/>
        <w:left w:val="none" w:sz="0" w:space="0" w:color="auto"/>
        <w:bottom w:val="none" w:sz="0" w:space="0" w:color="auto"/>
        <w:right w:val="none" w:sz="0" w:space="0" w:color="auto"/>
      </w:divBdr>
    </w:div>
    <w:div w:id="443235676">
      <w:bodyDiv w:val="1"/>
      <w:marLeft w:val="0"/>
      <w:marRight w:val="0"/>
      <w:marTop w:val="0"/>
      <w:marBottom w:val="0"/>
      <w:divBdr>
        <w:top w:val="none" w:sz="0" w:space="0" w:color="auto"/>
        <w:left w:val="none" w:sz="0" w:space="0" w:color="auto"/>
        <w:bottom w:val="none" w:sz="0" w:space="0" w:color="auto"/>
        <w:right w:val="none" w:sz="0" w:space="0" w:color="auto"/>
      </w:divBdr>
    </w:div>
    <w:div w:id="445395729">
      <w:bodyDiv w:val="1"/>
      <w:marLeft w:val="0"/>
      <w:marRight w:val="0"/>
      <w:marTop w:val="0"/>
      <w:marBottom w:val="0"/>
      <w:divBdr>
        <w:top w:val="none" w:sz="0" w:space="0" w:color="auto"/>
        <w:left w:val="none" w:sz="0" w:space="0" w:color="auto"/>
        <w:bottom w:val="none" w:sz="0" w:space="0" w:color="auto"/>
        <w:right w:val="none" w:sz="0" w:space="0" w:color="auto"/>
      </w:divBdr>
    </w:div>
    <w:div w:id="448167182">
      <w:bodyDiv w:val="1"/>
      <w:marLeft w:val="0"/>
      <w:marRight w:val="0"/>
      <w:marTop w:val="0"/>
      <w:marBottom w:val="0"/>
      <w:divBdr>
        <w:top w:val="none" w:sz="0" w:space="0" w:color="auto"/>
        <w:left w:val="none" w:sz="0" w:space="0" w:color="auto"/>
        <w:bottom w:val="none" w:sz="0" w:space="0" w:color="auto"/>
        <w:right w:val="none" w:sz="0" w:space="0" w:color="auto"/>
      </w:divBdr>
    </w:div>
    <w:div w:id="452409546">
      <w:bodyDiv w:val="1"/>
      <w:marLeft w:val="0"/>
      <w:marRight w:val="0"/>
      <w:marTop w:val="0"/>
      <w:marBottom w:val="0"/>
      <w:divBdr>
        <w:top w:val="none" w:sz="0" w:space="0" w:color="auto"/>
        <w:left w:val="none" w:sz="0" w:space="0" w:color="auto"/>
        <w:bottom w:val="none" w:sz="0" w:space="0" w:color="auto"/>
        <w:right w:val="none" w:sz="0" w:space="0" w:color="auto"/>
      </w:divBdr>
    </w:div>
    <w:div w:id="453258733">
      <w:bodyDiv w:val="1"/>
      <w:marLeft w:val="0"/>
      <w:marRight w:val="0"/>
      <w:marTop w:val="0"/>
      <w:marBottom w:val="0"/>
      <w:divBdr>
        <w:top w:val="none" w:sz="0" w:space="0" w:color="auto"/>
        <w:left w:val="none" w:sz="0" w:space="0" w:color="auto"/>
        <w:bottom w:val="none" w:sz="0" w:space="0" w:color="auto"/>
        <w:right w:val="none" w:sz="0" w:space="0" w:color="auto"/>
      </w:divBdr>
    </w:div>
    <w:div w:id="453400898">
      <w:bodyDiv w:val="1"/>
      <w:marLeft w:val="0"/>
      <w:marRight w:val="0"/>
      <w:marTop w:val="0"/>
      <w:marBottom w:val="0"/>
      <w:divBdr>
        <w:top w:val="none" w:sz="0" w:space="0" w:color="auto"/>
        <w:left w:val="none" w:sz="0" w:space="0" w:color="auto"/>
        <w:bottom w:val="none" w:sz="0" w:space="0" w:color="auto"/>
        <w:right w:val="none" w:sz="0" w:space="0" w:color="auto"/>
      </w:divBdr>
    </w:div>
    <w:div w:id="460266603">
      <w:bodyDiv w:val="1"/>
      <w:marLeft w:val="0"/>
      <w:marRight w:val="0"/>
      <w:marTop w:val="0"/>
      <w:marBottom w:val="0"/>
      <w:divBdr>
        <w:top w:val="none" w:sz="0" w:space="0" w:color="auto"/>
        <w:left w:val="none" w:sz="0" w:space="0" w:color="auto"/>
        <w:bottom w:val="none" w:sz="0" w:space="0" w:color="auto"/>
        <w:right w:val="none" w:sz="0" w:space="0" w:color="auto"/>
      </w:divBdr>
    </w:div>
    <w:div w:id="462847957">
      <w:bodyDiv w:val="1"/>
      <w:marLeft w:val="0"/>
      <w:marRight w:val="0"/>
      <w:marTop w:val="0"/>
      <w:marBottom w:val="0"/>
      <w:divBdr>
        <w:top w:val="none" w:sz="0" w:space="0" w:color="auto"/>
        <w:left w:val="none" w:sz="0" w:space="0" w:color="auto"/>
        <w:bottom w:val="none" w:sz="0" w:space="0" w:color="auto"/>
        <w:right w:val="none" w:sz="0" w:space="0" w:color="auto"/>
      </w:divBdr>
    </w:div>
    <w:div w:id="463816655">
      <w:bodyDiv w:val="1"/>
      <w:marLeft w:val="0"/>
      <w:marRight w:val="0"/>
      <w:marTop w:val="0"/>
      <w:marBottom w:val="0"/>
      <w:divBdr>
        <w:top w:val="none" w:sz="0" w:space="0" w:color="auto"/>
        <w:left w:val="none" w:sz="0" w:space="0" w:color="auto"/>
        <w:bottom w:val="none" w:sz="0" w:space="0" w:color="auto"/>
        <w:right w:val="none" w:sz="0" w:space="0" w:color="auto"/>
      </w:divBdr>
    </w:div>
    <w:div w:id="464352104">
      <w:bodyDiv w:val="1"/>
      <w:marLeft w:val="0"/>
      <w:marRight w:val="0"/>
      <w:marTop w:val="0"/>
      <w:marBottom w:val="0"/>
      <w:divBdr>
        <w:top w:val="none" w:sz="0" w:space="0" w:color="auto"/>
        <w:left w:val="none" w:sz="0" w:space="0" w:color="auto"/>
        <w:bottom w:val="none" w:sz="0" w:space="0" w:color="auto"/>
        <w:right w:val="none" w:sz="0" w:space="0" w:color="auto"/>
      </w:divBdr>
    </w:div>
    <w:div w:id="471749840">
      <w:bodyDiv w:val="1"/>
      <w:marLeft w:val="0"/>
      <w:marRight w:val="0"/>
      <w:marTop w:val="0"/>
      <w:marBottom w:val="0"/>
      <w:divBdr>
        <w:top w:val="none" w:sz="0" w:space="0" w:color="auto"/>
        <w:left w:val="none" w:sz="0" w:space="0" w:color="auto"/>
        <w:bottom w:val="none" w:sz="0" w:space="0" w:color="auto"/>
        <w:right w:val="none" w:sz="0" w:space="0" w:color="auto"/>
      </w:divBdr>
    </w:div>
    <w:div w:id="472916444">
      <w:bodyDiv w:val="1"/>
      <w:marLeft w:val="0"/>
      <w:marRight w:val="0"/>
      <w:marTop w:val="0"/>
      <w:marBottom w:val="0"/>
      <w:divBdr>
        <w:top w:val="none" w:sz="0" w:space="0" w:color="auto"/>
        <w:left w:val="none" w:sz="0" w:space="0" w:color="auto"/>
        <w:bottom w:val="none" w:sz="0" w:space="0" w:color="auto"/>
        <w:right w:val="none" w:sz="0" w:space="0" w:color="auto"/>
      </w:divBdr>
    </w:div>
    <w:div w:id="473328730">
      <w:bodyDiv w:val="1"/>
      <w:marLeft w:val="0"/>
      <w:marRight w:val="0"/>
      <w:marTop w:val="0"/>
      <w:marBottom w:val="0"/>
      <w:divBdr>
        <w:top w:val="none" w:sz="0" w:space="0" w:color="auto"/>
        <w:left w:val="none" w:sz="0" w:space="0" w:color="auto"/>
        <w:bottom w:val="none" w:sz="0" w:space="0" w:color="auto"/>
        <w:right w:val="none" w:sz="0" w:space="0" w:color="auto"/>
      </w:divBdr>
    </w:div>
    <w:div w:id="476259776">
      <w:bodyDiv w:val="1"/>
      <w:marLeft w:val="0"/>
      <w:marRight w:val="0"/>
      <w:marTop w:val="0"/>
      <w:marBottom w:val="0"/>
      <w:divBdr>
        <w:top w:val="none" w:sz="0" w:space="0" w:color="auto"/>
        <w:left w:val="none" w:sz="0" w:space="0" w:color="auto"/>
        <w:bottom w:val="none" w:sz="0" w:space="0" w:color="auto"/>
        <w:right w:val="none" w:sz="0" w:space="0" w:color="auto"/>
      </w:divBdr>
    </w:div>
    <w:div w:id="484860837">
      <w:bodyDiv w:val="1"/>
      <w:marLeft w:val="0"/>
      <w:marRight w:val="0"/>
      <w:marTop w:val="0"/>
      <w:marBottom w:val="0"/>
      <w:divBdr>
        <w:top w:val="none" w:sz="0" w:space="0" w:color="auto"/>
        <w:left w:val="none" w:sz="0" w:space="0" w:color="auto"/>
        <w:bottom w:val="none" w:sz="0" w:space="0" w:color="auto"/>
        <w:right w:val="none" w:sz="0" w:space="0" w:color="auto"/>
      </w:divBdr>
    </w:div>
    <w:div w:id="492644826">
      <w:bodyDiv w:val="1"/>
      <w:marLeft w:val="0"/>
      <w:marRight w:val="0"/>
      <w:marTop w:val="0"/>
      <w:marBottom w:val="0"/>
      <w:divBdr>
        <w:top w:val="none" w:sz="0" w:space="0" w:color="auto"/>
        <w:left w:val="none" w:sz="0" w:space="0" w:color="auto"/>
        <w:bottom w:val="none" w:sz="0" w:space="0" w:color="auto"/>
        <w:right w:val="none" w:sz="0" w:space="0" w:color="auto"/>
      </w:divBdr>
    </w:div>
    <w:div w:id="496380609">
      <w:bodyDiv w:val="1"/>
      <w:marLeft w:val="0"/>
      <w:marRight w:val="0"/>
      <w:marTop w:val="0"/>
      <w:marBottom w:val="0"/>
      <w:divBdr>
        <w:top w:val="none" w:sz="0" w:space="0" w:color="auto"/>
        <w:left w:val="none" w:sz="0" w:space="0" w:color="auto"/>
        <w:bottom w:val="none" w:sz="0" w:space="0" w:color="auto"/>
        <w:right w:val="none" w:sz="0" w:space="0" w:color="auto"/>
      </w:divBdr>
    </w:div>
    <w:div w:id="501048406">
      <w:bodyDiv w:val="1"/>
      <w:marLeft w:val="0"/>
      <w:marRight w:val="0"/>
      <w:marTop w:val="0"/>
      <w:marBottom w:val="0"/>
      <w:divBdr>
        <w:top w:val="none" w:sz="0" w:space="0" w:color="auto"/>
        <w:left w:val="none" w:sz="0" w:space="0" w:color="auto"/>
        <w:bottom w:val="none" w:sz="0" w:space="0" w:color="auto"/>
        <w:right w:val="none" w:sz="0" w:space="0" w:color="auto"/>
      </w:divBdr>
    </w:div>
    <w:div w:id="501703154">
      <w:bodyDiv w:val="1"/>
      <w:marLeft w:val="0"/>
      <w:marRight w:val="0"/>
      <w:marTop w:val="0"/>
      <w:marBottom w:val="0"/>
      <w:divBdr>
        <w:top w:val="none" w:sz="0" w:space="0" w:color="auto"/>
        <w:left w:val="none" w:sz="0" w:space="0" w:color="auto"/>
        <w:bottom w:val="none" w:sz="0" w:space="0" w:color="auto"/>
        <w:right w:val="none" w:sz="0" w:space="0" w:color="auto"/>
      </w:divBdr>
    </w:div>
    <w:div w:id="514811801">
      <w:bodyDiv w:val="1"/>
      <w:marLeft w:val="0"/>
      <w:marRight w:val="0"/>
      <w:marTop w:val="0"/>
      <w:marBottom w:val="0"/>
      <w:divBdr>
        <w:top w:val="none" w:sz="0" w:space="0" w:color="auto"/>
        <w:left w:val="none" w:sz="0" w:space="0" w:color="auto"/>
        <w:bottom w:val="none" w:sz="0" w:space="0" w:color="auto"/>
        <w:right w:val="none" w:sz="0" w:space="0" w:color="auto"/>
      </w:divBdr>
    </w:div>
    <w:div w:id="514882090">
      <w:bodyDiv w:val="1"/>
      <w:marLeft w:val="0"/>
      <w:marRight w:val="0"/>
      <w:marTop w:val="0"/>
      <w:marBottom w:val="0"/>
      <w:divBdr>
        <w:top w:val="none" w:sz="0" w:space="0" w:color="auto"/>
        <w:left w:val="none" w:sz="0" w:space="0" w:color="auto"/>
        <w:bottom w:val="none" w:sz="0" w:space="0" w:color="auto"/>
        <w:right w:val="none" w:sz="0" w:space="0" w:color="auto"/>
      </w:divBdr>
    </w:div>
    <w:div w:id="515534025">
      <w:bodyDiv w:val="1"/>
      <w:marLeft w:val="0"/>
      <w:marRight w:val="0"/>
      <w:marTop w:val="0"/>
      <w:marBottom w:val="0"/>
      <w:divBdr>
        <w:top w:val="none" w:sz="0" w:space="0" w:color="auto"/>
        <w:left w:val="none" w:sz="0" w:space="0" w:color="auto"/>
        <w:bottom w:val="none" w:sz="0" w:space="0" w:color="auto"/>
        <w:right w:val="none" w:sz="0" w:space="0" w:color="auto"/>
      </w:divBdr>
    </w:div>
    <w:div w:id="522086049">
      <w:bodyDiv w:val="1"/>
      <w:marLeft w:val="0"/>
      <w:marRight w:val="0"/>
      <w:marTop w:val="0"/>
      <w:marBottom w:val="0"/>
      <w:divBdr>
        <w:top w:val="none" w:sz="0" w:space="0" w:color="auto"/>
        <w:left w:val="none" w:sz="0" w:space="0" w:color="auto"/>
        <w:bottom w:val="none" w:sz="0" w:space="0" w:color="auto"/>
        <w:right w:val="none" w:sz="0" w:space="0" w:color="auto"/>
      </w:divBdr>
    </w:div>
    <w:div w:id="526795115">
      <w:bodyDiv w:val="1"/>
      <w:marLeft w:val="0"/>
      <w:marRight w:val="0"/>
      <w:marTop w:val="0"/>
      <w:marBottom w:val="0"/>
      <w:divBdr>
        <w:top w:val="none" w:sz="0" w:space="0" w:color="auto"/>
        <w:left w:val="none" w:sz="0" w:space="0" w:color="auto"/>
        <w:bottom w:val="none" w:sz="0" w:space="0" w:color="auto"/>
        <w:right w:val="none" w:sz="0" w:space="0" w:color="auto"/>
      </w:divBdr>
    </w:div>
    <w:div w:id="549920457">
      <w:bodyDiv w:val="1"/>
      <w:marLeft w:val="0"/>
      <w:marRight w:val="0"/>
      <w:marTop w:val="0"/>
      <w:marBottom w:val="0"/>
      <w:divBdr>
        <w:top w:val="none" w:sz="0" w:space="0" w:color="auto"/>
        <w:left w:val="none" w:sz="0" w:space="0" w:color="auto"/>
        <w:bottom w:val="none" w:sz="0" w:space="0" w:color="auto"/>
        <w:right w:val="none" w:sz="0" w:space="0" w:color="auto"/>
      </w:divBdr>
    </w:div>
    <w:div w:id="556353943">
      <w:bodyDiv w:val="1"/>
      <w:marLeft w:val="0"/>
      <w:marRight w:val="0"/>
      <w:marTop w:val="0"/>
      <w:marBottom w:val="0"/>
      <w:divBdr>
        <w:top w:val="none" w:sz="0" w:space="0" w:color="auto"/>
        <w:left w:val="none" w:sz="0" w:space="0" w:color="auto"/>
        <w:bottom w:val="none" w:sz="0" w:space="0" w:color="auto"/>
        <w:right w:val="none" w:sz="0" w:space="0" w:color="auto"/>
      </w:divBdr>
    </w:div>
    <w:div w:id="557285113">
      <w:bodyDiv w:val="1"/>
      <w:marLeft w:val="0"/>
      <w:marRight w:val="0"/>
      <w:marTop w:val="0"/>
      <w:marBottom w:val="0"/>
      <w:divBdr>
        <w:top w:val="none" w:sz="0" w:space="0" w:color="auto"/>
        <w:left w:val="none" w:sz="0" w:space="0" w:color="auto"/>
        <w:bottom w:val="none" w:sz="0" w:space="0" w:color="auto"/>
        <w:right w:val="none" w:sz="0" w:space="0" w:color="auto"/>
      </w:divBdr>
    </w:div>
    <w:div w:id="558903634">
      <w:bodyDiv w:val="1"/>
      <w:marLeft w:val="0"/>
      <w:marRight w:val="0"/>
      <w:marTop w:val="0"/>
      <w:marBottom w:val="0"/>
      <w:divBdr>
        <w:top w:val="none" w:sz="0" w:space="0" w:color="auto"/>
        <w:left w:val="none" w:sz="0" w:space="0" w:color="auto"/>
        <w:bottom w:val="none" w:sz="0" w:space="0" w:color="auto"/>
        <w:right w:val="none" w:sz="0" w:space="0" w:color="auto"/>
      </w:divBdr>
    </w:div>
    <w:div w:id="563101611">
      <w:bodyDiv w:val="1"/>
      <w:marLeft w:val="0"/>
      <w:marRight w:val="0"/>
      <w:marTop w:val="0"/>
      <w:marBottom w:val="0"/>
      <w:divBdr>
        <w:top w:val="none" w:sz="0" w:space="0" w:color="auto"/>
        <w:left w:val="none" w:sz="0" w:space="0" w:color="auto"/>
        <w:bottom w:val="none" w:sz="0" w:space="0" w:color="auto"/>
        <w:right w:val="none" w:sz="0" w:space="0" w:color="auto"/>
      </w:divBdr>
    </w:div>
    <w:div w:id="566720173">
      <w:bodyDiv w:val="1"/>
      <w:marLeft w:val="0"/>
      <w:marRight w:val="0"/>
      <w:marTop w:val="0"/>
      <w:marBottom w:val="0"/>
      <w:divBdr>
        <w:top w:val="none" w:sz="0" w:space="0" w:color="auto"/>
        <w:left w:val="none" w:sz="0" w:space="0" w:color="auto"/>
        <w:bottom w:val="none" w:sz="0" w:space="0" w:color="auto"/>
        <w:right w:val="none" w:sz="0" w:space="0" w:color="auto"/>
      </w:divBdr>
    </w:div>
    <w:div w:id="566771355">
      <w:bodyDiv w:val="1"/>
      <w:marLeft w:val="0"/>
      <w:marRight w:val="0"/>
      <w:marTop w:val="0"/>
      <w:marBottom w:val="0"/>
      <w:divBdr>
        <w:top w:val="none" w:sz="0" w:space="0" w:color="auto"/>
        <w:left w:val="none" w:sz="0" w:space="0" w:color="auto"/>
        <w:bottom w:val="none" w:sz="0" w:space="0" w:color="auto"/>
        <w:right w:val="none" w:sz="0" w:space="0" w:color="auto"/>
      </w:divBdr>
    </w:div>
    <w:div w:id="569849292">
      <w:bodyDiv w:val="1"/>
      <w:marLeft w:val="0"/>
      <w:marRight w:val="0"/>
      <w:marTop w:val="0"/>
      <w:marBottom w:val="0"/>
      <w:divBdr>
        <w:top w:val="none" w:sz="0" w:space="0" w:color="auto"/>
        <w:left w:val="none" w:sz="0" w:space="0" w:color="auto"/>
        <w:bottom w:val="none" w:sz="0" w:space="0" w:color="auto"/>
        <w:right w:val="none" w:sz="0" w:space="0" w:color="auto"/>
      </w:divBdr>
    </w:div>
    <w:div w:id="570894739">
      <w:bodyDiv w:val="1"/>
      <w:marLeft w:val="0"/>
      <w:marRight w:val="0"/>
      <w:marTop w:val="0"/>
      <w:marBottom w:val="0"/>
      <w:divBdr>
        <w:top w:val="none" w:sz="0" w:space="0" w:color="auto"/>
        <w:left w:val="none" w:sz="0" w:space="0" w:color="auto"/>
        <w:bottom w:val="none" w:sz="0" w:space="0" w:color="auto"/>
        <w:right w:val="none" w:sz="0" w:space="0" w:color="auto"/>
      </w:divBdr>
    </w:div>
    <w:div w:id="577446575">
      <w:bodyDiv w:val="1"/>
      <w:marLeft w:val="0"/>
      <w:marRight w:val="0"/>
      <w:marTop w:val="0"/>
      <w:marBottom w:val="0"/>
      <w:divBdr>
        <w:top w:val="none" w:sz="0" w:space="0" w:color="auto"/>
        <w:left w:val="none" w:sz="0" w:space="0" w:color="auto"/>
        <w:bottom w:val="none" w:sz="0" w:space="0" w:color="auto"/>
        <w:right w:val="none" w:sz="0" w:space="0" w:color="auto"/>
      </w:divBdr>
    </w:div>
    <w:div w:id="587736374">
      <w:bodyDiv w:val="1"/>
      <w:marLeft w:val="0"/>
      <w:marRight w:val="0"/>
      <w:marTop w:val="0"/>
      <w:marBottom w:val="0"/>
      <w:divBdr>
        <w:top w:val="none" w:sz="0" w:space="0" w:color="auto"/>
        <w:left w:val="none" w:sz="0" w:space="0" w:color="auto"/>
        <w:bottom w:val="none" w:sz="0" w:space="0" w:color="auto"/>
        <w:right w:val="none" w:sz="0" w:space="0" w:color="auto"/>
      </w:divBdr>
    </w:div>
    <w:div w:id="595091294">
      <w:bodyDiv w:val="1"/>
      <w:marLeft w:val="0"/>
      <w:marRight w:val="0"/>
      <w:marTop w:val="0"/>
      <w:marBottom w:val="0"/>
      <w:divBdr>
        <w:top w:val="none" w:sz="0" w:space="0" w:color="auto"/>
        <w:left w:val="none" w:sz="0" w:space="0" w:color="auto"/>
        <w:bottom w:val="none" w:sz="0" w:space="0" w:color="auto"/>
        <w:right w:val="none" w:sz="0" w:space="0" w:color="auto"/>
      </w:divBdr>
    </w:div>
    <w:div w:id="601032794">
      <w:bodyDiv w:val="1"/>
      <w:marLeft w:val="0"/>
      <w:marRight w:val="0"/>
      <w:marTop w:val="0"/>
      <w:marBottom w:val="0"/>
      <w:divBdr>
        <w:top w:val="none" w:sz="0" w:space="0" w:color="auto"/>
        <w:left w:val="none" w:sz="0" w:space="0" w:color="auto"/>
        <w:bottom w:val="none" w:sz="0" w:space="0" w:color="auto"/>
        <w:right w:val="none" w:sz="0" w:space="0" w:color="auto"/>
      </w:divBdr>
    </w:div>
    <w:div w:id="604071860">
      <w:bodyDiv w:val="1"/>
      <w:marLeft w:val="0"/>
      <w:marRight w:val="0"/>
      <w:marTop w:val="0"/>
      <w:marBottom w:val="0"/>
      <w:divBdr>
        <w:top w:val="none" w:sz="0" w:space="0" w:color="auto"/>
        <w:left w:val="none" w:sz="0" w:space="0" w:color="auto"/>
        <w:bottom w:val="none" w:sz="0" w:space="0" w:color="auto"/>
        <w:right w:val="none" w:sz="0" w:space="0" w:color="auto"/>
      </w:divBdr>
    </w:div>
    <w:div w:id="606931918">
      <w:bodyDiv w:val="1"/>
      <w:marLeft w:val="0"/>
      <w:marRight w:val="0"/>
      <w:marTop w:val="0"/>
      <w:marBottom w:val="0"/>
      <w:divBdr>
        <w:top w:val="none" w:sz="0" w:space="0" w:color="auto"/>
        <w:left w:val="none" w:sz="0" w:space="0" w:color="auto"/>
        <w:bottom w:val="none" w:sz="0" w:space="0" w:color="auto"/>
        <w:right w:val="none" w:sz="0" w:space="0" w:color="auto"/>
      </w:divBdr>
    </w:div>
    <w:div w:id="615259901">
      <w:bodyDiv w:val="1"/>
      <w:marLeft w:val="0"/>
      <w:marRight w:val="0"/>
      <w:marTop w:val="0"/>
      <w:marBottom w:val="0"/>
      <w:divBdr>
        <w:top w:val="none" w:sz="0" w:space="0" w:color="auto"/>
        <w:left w:val="none" w:sz="0" w:space="0" w:color="auto"/>
        <w:bottom w:val="none" w:sz="0" w:space="0" w:color="auto"/>
        <w:right w:val="none" w:sz="0" w:space="0" w:color="auto"/>
      </w:divBdr>
    </w:div>
    <w:div w:id="617220733">
      <w:bodyDiv w:val="1"/>
      <w:marLeft w:val="0"/>
      <w:marRight w:val="0"/>
      <w:marTop w:val="0"/>
      <w:marBottom w:val="0"/>
      <w:divBdr>
        <w:top w:val="none" w:sz="0" w:space="0" w:color="auto"/>
        <w:left w:val="none" w:sz="0" w:space="0" w:color="auto"/>
        <w:bottom w:val="none" w:sz="0" w:space="0" w:color="auto"/>
        <w:right w:val="none" w:sz="0" w:space="0" w:color="auto"/>
      </w:divBdr>
    </w:div>
    <w:div w:id="617564601">
      <w:bodyDiv w:val="1"/>
      <w:marLeft w:val="0"/>
      <w:marRight w:val="0"/>
      <w:marTop w:val="0"/>
      <w:marBottom w:val="0"/>
      <w:divBdr>
        <w:top w:val="none" w:sz="0" w:space="0" w:color="auto"/>
        <w:left w:val="none" w:sz="0" w:space="0" w:color="auto"/>
        <w:bottom w:val="none" w:sz="0" w:space="0" w:color="auto"/>
        <w:right w:val="none" w:sz="0" w:space="0" w:color="auto"/>
      </w:divBdr>
    </w:div>
    <w:div w:id="623193644">
      <w:bodyDiv w:val="1"/>
      <w:marLeft w:val="0"/>
      <w:marRight w:val="0"/>
      <w:marTop w:val="0"/>
      <w:marBottom w:val="0"/>
      <w:divBdr>
        <w:top w:val="none" w:sz="0" w:space="0" w:color="auto"/>
        <w:left w:val="none" w:sz="0" w:space="0" w:color="auto"/>
        <w:bottom w:val="none" w:sz="0" w:space="0" w:color="auto"/>
        <w:right w:val="none" w:sz="0" w:space="0" w:color="auto"/>
      </w:divBdr>
    </w:div>
    <w:div w:id="623773496">
      <w:bodyDiv w:val="1"/>
      <w:marLeft w:val="0"/>
      <w:marRight w:val="0"/>
      <w:marTop w:val="0"/>
      <w:marBottom w:val="0"/>
      <w:divBdr>
        <w:top w:val="none" w:sz="0" w:space="0" w:color="auto"/>
        <w:left w:val="none" w:sz="0" w:space="0" w:color="auto"/>
        <w:bottom w:val="none" w:sz="0" w:space="0" w:color="auto"/>
        <w:right w:val="none" w:sz="0" w:space="0" w:color="auto"/>
      </w:divBdr>
    </w:div>
    <w:div w:id="628976881">
      <w:bodyDiv w:val="1"/>
      <w:marLeft w:val="0"/>
      <w:marRight w:val="0"/>
      <w:marTop w:val="0"/>
      <w:marBottom w:val="0"/>
      <w:divBdr>
        <w:top w:val="none" w:sz="0" w:space="0" w:color="auto"/>
        <w:left w:val="none" w:sz="0" w:space="0" w:color="auto"/>
        <w:bottom w:val="none" w:sz="0" w:space="0" w:color="auto"/>
        <w:right w:val="none" w:sz="0" w:space="0" w:color="auto"/>
      </w:divBdr>
    </w:div>
    <w:div w:id="637608224">
      <w:bodyDiv w:val="1"/>
      <w:marLeft w:val="0"/>
      <w:marRight w:val="0"/>
      <w:marTop w:val="0"/>
      <w:marBottom w:val="0"/>
      <w:divBdr>
        <w:top w:val="none" w:sz="0" w:space="0" w:color="auto"/>
        <w:left w:val="none" w:sz="0" w:space="0" w:color="auto"/>
        <w:bottom w:val="none" w:sz="0" w:space="0" w:color="auto"/>
        <w:right w:val="none" w:sz="0" w:space="0" w:color="auto"/>
      </w:divBdr>
    </w:div>
    <w:div w:id="639459237">
      <w:bodyDiv w:val="1"/>
      <w:marLeft w:val="0"/>
      <w:marRight w:val="0"/>
      <w:marTop w:val="0"/>
      <w:marBottom w:val="0"/>
      <w:divBdr>
        <w:top w:val="none" w:sz="0" w:space="0" w:color="auto"/>
        <w:left w:val="none" w:sz="0" w:space="0" w:color="auto"/>
        <w:bottom w:val="none" w:sz="0" w:space="0" w:color="auto"/>
        <w:right w:val="none" w:sz="0" w:space="0" w:color="auto"/>
      </w:divBdr>
    </w:div>
    <w:div w:id="643005289">
      <w:bodyDiv w:val="1"/>
      <w:marLeft w:val="0"/>
      <w:marRight w:val="0"/>
      <w:marTop w:val="0"/>
      <w:marBottom w:val="0"/>
      <w:divBdr>
        <w:top w:val="none" w:sz="0" w:space="0" w:color="auto"/>
        <w:left w:val="none" w:sz="0" w:space="0" w:color="auto"/>
        <w:bottom w:val="none" w:sz="0" w:space="0" w:color="auto"/>
        <w:right w:val="none" w:sz="0" w:space="0" w:color="auto"/>
      </w:divBdr>
    </w:div>
    <w:div w:id="647058272">
      <w:bodyDiv w:val="1"/>
      <w:marLeft w:val="0"/>
      <w:marRight w:val="0"/>
      <w:marTop w:val="0"/>
      <w:marBottom w:val="0"/>
      <w:divBdr>
        <w:top w:val="none" w:sz="0" w:space="0" w:color="auto"/>
        <w:left w:val="none" w:sz="0" w:space="0" w:color="auto"/>
        <w:bottom w:val="none" w:sz="0" w:space="0" w:color="auto"/>
        <w:right w:val="none" w:sz="0" w:space="0" w:color="auto"/>
      </w:divBdr>
    </w:div>
    <w:div w:id="661589672">
      <w:bodyDiv w:val="1"/>
      <w:marLeft w:val="0"/>
      <w:marRight w:val="0"/>
      <w:marTop w:val="0"/>
      <w:marBottom w:val="0"/>
      <w:divBdr>
        <w:top w:val="none" w:sz="0" w:space="0" w:color="auto"/>
        <w:left w:val="none" w:sz="0" w:space="0" w:color="auto"/>
        <w:bottom w:val="none" w:sz="0" w:space="0" w:color="auto"/>
        <w:right w:val="none" w:sz="0" w:space="0" w:color="auto"/>
      </w:divBdr>
    </w:div>
    <w:div w:id="666399267">
      <w:bodyDiv w:val="1"/>
      <w:marLeft w:val="0"/>
      <w:marRight w:val="0"/>
      <w:marTop w:val="0"/>
      <w:marBottom w:val="0"/>
      <w:divBdr>
        <w:top w:val="none" w:sz="0" w:space="0" w:color="auto"/>
        <w:left w:val="none" w:sz="0" w:space="0" w:color="auto"/>
        <w:bottom w:val="none" w:sz="0" w:space="0" w:color="auto"/>
        <w:right w:val="none" w:sz="0" w:space="0" w:color="auto"/>
      </w:divBdr>
    </w:div>
    <w:div w:id="667102102">
      <w:bodyDiv w:val="1"/>
      <w:marLeft w:val="0"/>
      <w:marRight w:val="0"/>
      <w:marTop w:val="0"/>
      <w:marBottom w:val="0"/>
      <w:divBdr>
        <w:top w:val="none" w:sz="0" w:space="0" w:color="auto"/>
        <w:left w:val="none" w:sz="0" w:space="0" w:color="auto"/>
        <w:bottom w:val="none" w:sz="0" w:space="0" w:color="auto"/>
        <w:right w:val="none" w:sz="0" w:space="0" w:color="auto"/>
      </w:divBdr>
    </w:div>
    <w:div w:id="667296542">
      <w:bodyDiv w:val="1"/>
      <w:marLeft w:val="0"/>
      <w:marRight w:val="0"/>
      <w:marTop w:val="0"/>
      <w:marBottom w:val="0"/>
      <w:divBdr>
        <w:top w:val="none" w:sz="0" w:space="0" w:color="auto"/>
        <w:left w:val="none" w:sz="0" w:space="0" w:color="auto"/>
        <w:bottom w:val="none" w:sz="0" w:space="0" w:color="auto"/>
        <w:right w:val="none" w:sz="0" w:space="0" w:color="auto"/>
      </w:divBdr>
    </w:div>
    <w:div w:id="670184987">
      <w:bodyDiv w:val="1"/>
      <w:marLeft w:val="0"/>
      <w:marRight w:val="0"/>
      <w:marTop w:val="0"/>
      <w:marBottom w:val="0"/>
      <w:divBdr>
        <w:top w:val="none" w:sz="0" w:space="0" w:color="auto"/>
        <w:left w:val="none" w:sz="0" w:space="0" w:color="auto"/>
        <w:bottom w:val="none" w:sz="0" w:space="0" w:color="auto"/>
        <w:right w:val="none" w:sz="0" w:space="0" w:color="auto"/>
      </w:divBdr>
    </w:div>
    <w:div w:id="670987189">
      <w:bodyDiv w:val="1"/>
      <w:marLeft w:val="0"/>
      <w:marRight w:val="0"/>
      <w:marTop w:val="0"/>
      <w:marBottom w:val="0"/>
      <w:divBdr>
        <w:top w:val="none" w:sz="0" w:space="0" w:color="auto"/>
        <w:left w:val="none" w:sz="0" w:space="0" w:color="auto"/>
        <w:bottom w:val="none" w:sz="0" w:space="0" w:color="auto"/>
        <w:right w:val="none" w:sz="0" w:space="0" w:color="auto"/>
      </w:divBdr>
    </w:div>
    <w:div w:id="671179612">
      <w:bodyDiv w:val="1"/>
      <w:marLeft w:val="0"/>
      <w:marRight w:val="0"/>
      <w:marTop w:val="0"/>
      <w:marBottom w:val="0"/>
      <w:divBdr>
        <w:top w:val="none" w:sz="0" w:space="0" w:color="auto"/>
        <w:left w:val="none" w:sz="0" w:space="0" w:color="auto"/>
        <w:bottom w:val="none" w:sz="0" w:space="0" w:color="auto"/>
        <w:right w:val="none" w:sz="0" w:space="0" w:color="auto"/>
      </w:divBdr>
    </w:div>
    <w:div w:id="675956531">
      <w:bodyDiv w:val="1"/>
      <w:marLeft w:val="0"/>
      <w:marRight w:val="0"/>
      <w:marTop w:val="0"/>
      <w:marBottom w:val="0"/>
      <w:divBdr>
        <w:top w:val="none" w:sz="0" w:space="0" w:color="auto"/>
        <w:left w:val="none" w:sz="0" w:space="0" w:color="auto"/>
        <w:bottom w:val="none" w:sz="0" w:space="0" w:color="auto"/>
        <w:right w:val="none" w:sz="0" w:space="0" w:color="auto"/>
      </w:divBdr>
    </w:div>
    <w:div w:id="676077537">
      <w:bodyDiv w:val="1"/>
      <w:marLeft w:val="0"/>
      <w:marRight w:val="0"/>
      <w:marTop w:val="0"/>
      <w:marBottom w:val="0"/>
      <w:divBdr>
        <w:top w:val="none" w:sz="0" w:space="0" w:color="auto"/>
        <w:left w:val="none" w:sz="0" w:space="0" w:color="auto"/>
        <w:bottom w:val="none" w:sz="0" w:space="0" w:color="auto"/>
        <w:right w:val="none" w:sz="0" w:space="0" w:color="auto"/>
      </w:divBdr>
    </w:div>
    <w:div w:id="678966167">
      <w:bodyDiv w:val="1"/>
      <w:marLeft w:val="0"/>
      <w:marRight w:val="0"/>
      <w:marTop w:val="0"/>
      <w:marBottom w:val="0"/>
      <w:divBdr>
        <w:top w:val="none" w:sz="0" w:space="0" w:color="auto"/>
        <w:left w:val="none" w:sz="0" w:space="0" w:color="auto"/>
        <w:bottom w:val="none" w:sz="0" w:space="0" w:color="auto"/>
        <w:right w:val="none" w:sz="0" w:space="0" w:color="auto"/>
      </w:divBdr>
    </w:div>
    <w:div w:id="683945574">
      <w:bodyDiv w:val="1"/>
      <w:marLeft w:val="0"/>
      <w:marRight w:val="0"/>
      <w:marTop w:val="0"/>
      <w:marBottom w:val="0"/>
      <w:divBdr>
        <w:top w:val="none" w:sz="0" w:space="0" w:color="auto"/>
        <w:left w:val="none" w:sz="0" w:space="0" w:color="auto"/>
        <w:bottom w:val="none" w:sz="0" w:space="0" w:color="auto"/>
        <w:right w:val="none" w:sz="0" w:space="0" w:color="auto"/>
      </w:divBdr>
    </w:div>
    <w:div w:id="684986624">
      <w:bodyDiv w:val="1"/>
      <w:marLeft w:val="0"/>
      <w:marRight w:val="0"/>
      <w:marTop w:val="0"/>
      <w:marBottom w:val="0"/>
      <w:divBdr>
        <w:top w:val="none" w:sz="0" w:space="0" w:color="auto"/>
        <w:left w:val="none" w:sz="0" w:space="0" w:color="auto"/>
        <w:bottom w:val="none" w:sz="0" w:space="0" w:color="auto"/>
        <w:right w:val="none" w:sz="0" w:space="0" w:color="auto"/>
      </w:divBdr>
    </w:div>
    <w:div w:id="687562118">
      <w:bodyDiv w:val="1"/>
      <w:marLeft w:val="0"/>
      <w:marRight w:val="0"/>
      <w:marTop w:val="0"/>
      <w:marBottom w:val="0"/>
      <w:divBdr>
        <w:top w:val="none" w:sz="0" w:space="0" w:color="auto"/>
        <w:left w:val="none" w:sz="0" w:space="0" w:color="auto"/>
        <w:bottom w:val="none" w:sz="0" w:space="0" w:color="auto"/>
        <w:right w:val="none" w:sz="0" w:space="0" w:color="auto"/>
      </w:divBdr>
    </w:div>
    <w:div w:id="693116394">
      <w:bodyDiv w:val="1"/>
      <w:marLeft w:val="0"/>
      <w:marRight w:val="0"/>
      <w:marTop w:val="0"/>
      <w:marBottom w:val="0"/>
      <w:divBdr>
        <w:top w:val="none" w:sz="0" w:space="0" w:color="auto"/>
        <w:left w:val="none" w:sz="0" w:space="0" w:color="auto"/>
        <w:bottom w:val="none" w:sz="0" w:space="0" w:color="auto"/>
        <w:right w:val="none" w:sz="0" w:space="0" w:color="auto"/>
      </w:divBdr>
    </w:div>
    <w:div w:id="694698864">
      <w:bodyDiv w:val="1"/>
      <w:marLeft w:val="0"/>
      <w:marRight w:val="0"/>
      <w:marTop w:val="0"/>
      <w:marBottom w:val="0"/>
      <w:divBdr>
        <w:top w:val="none" w:sz="0" w:space="0" w:color="auto"/>
        <w:left w:val="none" w:sz="0" w:space="0" w:color="auto"/>
        <w:bottom w:val="none" w:sz="0" w:space="0" w:color="auto"/>
        <w:right w:val="none" w:sz="0" w:space="0" w:color="auto"/>
      </w:divBdr>
    </w:div>
    <w:div w:id="699818382">
      <w:bodyDiv w:val="1"/>
      <w:marLeft w:val="0"/>
      <w:marRight w:val="0"/>
      <w:marTop w:val="0"/>
      <w:marBottom w:val="0"/>
      <w:divBdr>
        <w:top w:val="none" w:sz="0" w:space="0" w:color="auto"/>
        <w:left w:val="none" w:sz="0" w:space="0" w:color="auto"/>
        <w:bottom w:val="none" w:sz="0" w:space="0" w:color="auto"/>
        <w:right w:val="none" w:sz="0" w:space="0" w:color="auto"/>
      </w:divBdr>
    </w:div>
    <w:div w:id="701131076">
      <w:bodyDiv w:val="1"/>
      <w:marLeft w:val="0"/>
      <w:marRight w:val="0"/>
      <w:marTop w:val="0"/>
      <w:marBottom w:val="0"/>
      <w:divBdr>
        <w:top w:val="none" w:sz="0" w:space="0" w:color="auto"/>
        <w:left w:val="none" w:sz="0" w:space="0" w:color="auto"/>
        <w:bottom w:val="none" w:sz="0" w:space="0" w:color="auto"/>
        <w:right w:val="none" w:sz="0" w:space="0" w:color="auto"/>
      </w:divBdr>
    </w:div>
    <w:div w:id="716587754">
      <w:bodyDiv w:val="1"/>
      <w:marLeft w:val="0"/>
      <w:marRight w:val="0"/>
      <w:marTop w:val="0"/>
      <w:marBottom w:val="0"/>
      <w:divBdr>
        <w:top w:val="none" w:sz="0" w:space="0" w:color="auto"/>
        <w:left w:val="none" w:sz="0" w:space="0" w:color="auto"/>
        <w:bottom w:val="none" w:sz="0" w:space="0" w:color="auto"/>
        <w:right w:val="none" w:sz="0" w:space="0" w:color="auto"/>
      </w:divBdr>
    </w:div>
    <w:div w:id="719206044">
      <w:bodyDiv w:val="1"/>
      <w:marLeft w:val="0"/>
      <w:marRight w:val="0"/>
      <w:marTop w:val="0"/>
      <w:marBottom w:val="0"/>
      <w:divBdr>
        <w:top w:val="none" w:sz="0" w:space="0" w:color="auto"/>
        <w:left w:val="none" w:sz="0" w:space="0" w:color="auto"/>
        <w:bottom w:val="none" w:sz="0" w:space="0" w:color="auto"/>
        <w:right w:val="none" w:sz="0" w:space="0" w:color="auto"/>
      </w:divBdr>
    </w:div>
    <w:div w:id="723942078">
      <w:bodyDiv w:val="1"/>
      <w:marLeft w:val="0"/>
      <w:marRight w:val="0"/>
      <w:marTop w:val="0"/>
      <w:marBottom w:val="0"/>
      <w:divBdr>
        <w:top w:val="none" w:sz="0" w:space="0" w:color="auto"/>
        <w:left w:val="none" w:sz="0" w:space="0" w:color="auto"/>
        <w:bottom w:val="none" w:sz="0" w:space="0" w:color="auto"/>
        <w:right w:val="none" w:sz="0" w:space="0" w:color="auto"/>
      </w:divBdr>
    </w:div>
    <w:div w:id="726562658">
      <w:bodyDiv w:val="1"/>
      <w:marLeft w:val="0"/>
      <w:marRight w:val="0"/>
      <w:marTop w:val="0"/>
      <w:marBottom w:val="0"/>
      <w:divBdr>
        <w:top w:val="none" w:sz="0" w:space="0" w:color="auto"/>
        <w:left w:val="none" w:sz="0" w:space="0" w:color="auto"/>
        <w:bottom w:val="none" w:sz="0" w:space="0" w:color="auto"/>
        <w:right w:val="none" w:sz="0" w:space="0" w:color="auto"/>
      </w:divBdr>
    </w:div>
    <w:div w:id="728844196">
      <w:bodyDiv w:val="1"/>
      <w:marLeft w:val="0"/>
      <w:marRight w:val="0"/>
      <w:marTop w:val="0"/>
      <w:marBottom w:val="0"/>
      <w:divBdr>
        <w:top w:val="none" w:sz="0" w:space="0" w:color="auto"/>
        <w:left w:val="none" w:sz="0" w:space="0" w:color="auto"/>
        <w:bottom w:val="none" w:sz="0" w:space="0" w:color="auto"/>
        <w:right w:val="none" w:sz="0" w:space="0" w:color="auto"/>
      </w:divBdr>
    </w:div>
    <w:div w:id="739064246">
      <w:bodyDiv w:val="1"/>
      <w:marLeft w:val="0"/>
      <w:marRight w:val="0"/>
      <w:marTop w:val="0"/>
      <w:marBottom w:val="0"/>
      <w:divBdr>
        <w:top w:val="none" w:sz="0" w:space="0" w:color="auto"/>
        <w:left w:val="none" w:sz="0" w:space="0" w:color="auto"/>
        <w:bottom w:val="none" w:sz="0" w:space="0" w:color="auto"/>
        <w:right w:val="none" w:sz="0" w:space="0" w:color="auto"/>
      </w:divBdr>
    </w:div>
    <w:div w:id="748766443">
      <w:bodyDiv w:val="1"/>
      <w:marLeft w:val="0"/>
      <w:marRight w:val="0"/>
      <w:marTop w:val="0"/>
      <w:marBottom w:val="0"/>
      <w:divBdr>
        <w:top w:val="none" w:sz="0" w:space="0" w:color="auto"/>
        <w:left w:val="none" w:sz="0" w:space="0" w:color="auto"/>
        <w:bottom w:val="none" w:sz="0" w:space="0" w:color="auto"/>
        <w:right w:val="none" w:sz="0" w:space="0" w:color="auto"/>
      </w:divBdr>
    </w:div>
    <w:div w:id="751467192">
      <w:bodyDiv w:val="1"/>
      <w:marLeft w:val="0"/>
      <w:marRight w:val="0"/>
      <w:marTop w:val="0"/>
      <w:marBottom w:val="0"/>
      <w:divBdr>
        <w:top w:val="none" w:sz="0" w:space="0" w:color="auto"/>
        <w:left w:val="none" w:sz="0" w:space="0" w:color="auto"/>
        <w:bottom w:val="none" w:sz="0" w:space="0" w:color="auto"/>
        <w:right w:val="none" w:sz="0" w:space="0" w:color="auto"/>
      </w:divBdr>
    </w:div>
    <w:div w:id="751971027">
      <w:bodyDiv w:val="1"/>
      <w:marLeft w:val="0"/>
      <w:marRight w:val="0"/>
      <w:marTop w:val="0"/>
      <w:marBottom w:val="0"/>
      <w:divBdr>
        <w:top w:val="none" w:sz="0" w:space="0" w:color="auto"/>
        <w:left w:val="none" w:sz="0" w:space="0" w:color="auto"/>
        <w:bottom w:val="none" w:sz="0" w:space="0" w:color="auto"/>
        <w:right w:val="none" w:sz="0" w:space="0" w:color="auto"/>
      </w:divBdr>
    </w:div>
    <w:div w:id="757140451">
      <w:bodyDiv w:val="1"/>
      <w:marLeft w:val="0"/>
      <w:marRight w:val="0"/>
      <w:marTop w:val="0"/>
      <w:marBottom w:val="0"/>
      <w:divBdr>
        <w:top w:val="none" w:sz="0" w:space="0" w:color="auto"/>
        <w:left w:val="none" w:sz="0" w:space="0" w:color="auto"/>
        <w:bottom w:val="none" w:sz="0" w:space="0" w:color="auto"/>
        <w:right w:val="none" w:sz="0" w:space="0" w:color="auto"/>
      </w:divBdr>
    </w:div>
    <w:div w:id="763040434">
      <w:bodyDiv w:val="1"/>
      <w:marLeft w:val="0"/>
      <w:marRight w:val="0"/>
      <w:marTop w:val="0"/>
      <w:marBottom w:val="0"/>
      <w:divBdr>
        <w:top w:val="none" w:sz="0" w:space="0" w:color="auto"/>
        <w:left w:val="none" w:sz="0" w:space="0" w:color="auto"/>
        <w:bottom w:val="none" w:sz="0" w:space="0" w:color="auto"/>
        <w:right w:val="none" w:sz="0" w:space="0" w:color="auto"/>
      </w:divBdr>
    </w:div>
    <w:div w:id="770593236">
      <w:bodyDiv w:val="1"/>
      <w:marLeft w:val="0"/>
      <w:marRight w:val="0"/>
      <w:marTop w:val="0"/>
      <w:marBottom w:val="0"/>
      <w:divBdr>
        <w:top w:val="none" w:sz="0" w:space="0" w:color="auto"/>
        <w:left w:val="none" w:sz="0" w:space="0" w:color="auto"/>
        <w:bottom w:val="none" w:sz="0" w:space="0" w:color="auto"/>
        <w:right w:val="none" w:sz="0" w:space="0" w:color="auto"/>
      </w:divBdr>
    </w:div>
    <w:div w:id="775908684">
      <w:bodyDiv w:val="1"/>
      <w:marLeft w:val="0"/>
      <w:marRight w:val="0"/>
      <w:marTop w:val="0"/>
      <w:marBottom w:val="0"/>
      <w:divBdr>
        <w:top w:val="none" w:sz="0" w:space="0" w:color="auto"/>
        <w:left w:val="none" w:sz="0" w:space="0" w:color="auto"/>
        <w:bottom w:val="none" w:sz="0" w:space="0" w:color="auto"/>
        <w:right w:val="none" w:sz="0" w:space="0" w:color="auto"/>
      </w:divBdr>
    </w:div>
    <w:div w:id="785851382">
      <w:bodyDiv w:val="1"/>
      <w:marLeft w:val="0"/>
      <w:marRight w:val="0"/>
      <w:marTop w:val="0"/>
      <w:marBottom w:val="0"/>
      <w:divBdr>
        <w:top w:val="none" w:sz="0" w:space="0" w:color="auto"/>
        <w:left w:val="none" w:sz="0" w:space="0" w:color="auto"/>
        <w:bottom w:val="none" w:sz="0" w:space="0" w:color="auto"/>
        <w:right w:val="none" w:sz="0" w:space="0" w:color="auto"/>
      </w:divBdr>
    </w:div>
    <w:div w:id="789517914">
      <w:bodyDiv w:val="1"/>
      <w:marLeft w:val="0"/>
      <w:marRight w:val="0"/>
      <w:marTop w:val="0"/>
      <w:marBottom w:val="0"/>
      <w:divBdr>
        <w:top w:val="none" w:sz="0" w:space="0" w:color="auto"/>
        <w:left w:val="none" w:sz="0" w:space="0" w:color="auto"/>
        <w:bottom w:val="none" w:sz="0" w:space="0" w:color="auto"/>
        <w:right w:val="none" w:sz="0" w:space="0" w:color="auto"/>
      </w:divBdr>
    </w:div>
    <w:div w:id="789667750">
      <w:bodyDiv w:val="1"/>
      <w:marLeft w:val="0"/>
      <w:marRight w:val="0"/>
      <w:marTop w:val="0"/>
      <w:marBottom w:val="0"/>
      <w:divBdr>
        <w:top w:val="none" w:sz="0" w:space="0" w:color="auto"/>
        <w:left w:val="none" w:sz="0" w:space="0" w:color="auto"/>
        <w:bottom w:val="none" w:sz="0" w:space="0" w:color="auto"/>
        <w:right w:val="none" w:sz="0" w:space="0" w:color="auto"/>
      </w:divBdr>
    </w:div>
    <w:div w:id="804394177">
      <w:bodyDiv w:val="1"/>
      <w:marLeft w:val="0"/>
      <w:marRight w:val="0"/>
      <w:marTop w:val="0"/>
      <w:marBottom w:val="0"/>
      <w:divBdr>
        <w:top w:val="none" w:sz="0" w:space="0" w:color="auto"/>
        <w:left w:val="none" w:sz="0" w:space="0" w:color="auto"/>
        <w:bottom w:val="none" w:sz="0" w:space="0" w:color="auto"/>
        <w:right w:val="none" w:sz="0" w:space="0" w:color="auto"/>
      </w:divBdr>
    </w:div>
    <w:div w:id="812334045">
      <w:bodyDiv w:val="1"/>
      <w:marLeft w:val="0"/>
      <w:marRight w:val="0"/>
      <w:marTop w:val="0"/>
      <w:marBottom w:val="0"/>
      <w:divBdr>
        <w:top w:val="none" w:sz="0" w:space="0" w:color="auto"/>
        <w:left w:val="none" w:sz="0" w:space="0" w:color="auto"/>
        <w:bottom w:val="none" w:sz="0" w:space="0" w:color="auto"/>
        <w:right w:val="none" w:sz="0" w:space="0" w:color="auto"/>
      </w:divBdr>
    </w:div>
    <w:div w:id="813450832">
      <w:bodyDiv w:val="1"/>
      <w:marLeft w:val="0"/>
      <w:marRight w:val="0"/>
      <w:marTop w:val="0"/>
      <w:marBottom w:val="0"/>
      <w:divBdr>
        <w:top w:val="none" w:sz="0" w:space="0" w:color="auto"/>
        <w:left w:val="none" w:sz="0" w:space="0" w:color="auto"/>
        <w:bottom w:val="none" w:sz="0" w:space="0" w:color="auto"/>
        <w:right w:val="none" w:sz="0" w:space="0" w:color="auto"/>
      </w:divBdr>
    </w:div>
    <w:div w:id="816998997">
      <w:bodyDiv w:val="1"/>
      <w:marLeft w:val="0"/>
      <w:marRight w:val="0"/>
      <w:marTop w:val="0"/>
      <w:marBottom w:val="0"/>
      <w:divBdr>
        <w:top w:val="none" w:sz="0" w:space="0" w:color="auto"/>
        <w:left w:val="none" w:sz="0" w:space="0" w:color="auto"/>
        <w:bottom w:val="none" w:sz="0" w:space="0" w:color="auto"/>
        <w:right w:val="none" w:sz="0" w:space="0" w:color="auto"/>
      </w:divBdr>
    </w:div>
    <w:div w:id="817501743">
      <w:bodyDiv w:val="1"/>
      <w:marLeft w:val="0"/>
      <w:marRight w:val="0"/>
      <w:marTop w:val="0"/>
      <w:marBottom w:val="0"/>
      <w:divBdr>
        <w:top w:val="none" w:sz="0" w:space="0" w:color="auto"/>
        <w:left w:val="none" w:sz="0" w:space="0" w:color="auto"/>
        <w:bottom w:val="none" w:sz="0" w:space="0" w:color="auto"/>
        <w:right w:val="none" w:sz="0" w:space="0" w:color="auto"/>
      </w:divBdr>
    </w:div>
    <w:div w:id="818032555">
      <w:bodyDiv w:val="1"/>
      <w:marLeft w:val="0"/>
      <w:marRight w:val="0"/>
      <w:marTop w:val="0"/>
      <w:marBottom w:val="0"/>
      <w:divBdr>
        <w:top w:val="none" w:sz="0" w:space="0" w:color="auto"/>
        <w:left w:val="none" w:sz="0" w:space="0" w:color="auto"/>
        <w:bottom w:val="none" w:sz="0" w:space="0" w:color="auto"/>
        <w:right w:val="none" w:sz="0" w:space="0" w:color="auto"/>
      </w:divBdr>
    </w:div>
    <w:div w:id="828598087">
      <w:bodyDiv w:val="1"/>
      <w:marLeft w:val="0"/>
      <w:marRight w:val="0"/>
      <w:marTop w:val="0"/>
      <w:marBottom w:val="0"/>
      <w:divBdr>
        <w:top w:val="none" w:sz="0" w:space="0" w:color="auto"/>
        <w:left w:val="none" w:sz="0" w:space="0" w:color="auto"/>
        <w:bottom w:val="none" w:sz="0" w:space="0" w:color="auto"/>
        <w:right w:val="none" w:sz="0" w:space="0" w:color="auto"/>
      </w:divBdr>
    </w:div>
    <w:div w:id="838498918">
      <w:bodyDiv w:val="1"/>
      <w:marLeft w:val="0"/>
      <w:marRight w:val="0"/>
      <w:marTop w:val="0"/>
      <w:marBottom w:val="0"/>
      <w:divBdr>
        <w:top w:val="none" w:sz="0" w:space="0" w:color="auto"/>
        <w:left w:val="none" w:sz="0" w:space="0" w:color="auto"/>
        <w:bottom w:val="none" w:sz="0" w:space="0" w:color="auto"/>
        <w:right w:val="none" w:sz="0" w:space="0" w:color="auto"/>
      </w:divBdr>
    </w:div>
    <w:div w:id="841240284">
      <w:bodyDiv w:val="1"/>
      <w:marLeft w:val="0"/>
      <w:marRight w:val="0"/>
      <w:marTop w:val="0"/>
      <w:marBottom w:val="0"/>
      <w:divBdr>
        <w:top w:val="none" w:sz="0" w:space="0" w:color="auto"/>
        <w:left w:val="none" w:sz="0" w:space="0" w:color="auto"/>
        <w:bottom w:val="none" w:sz="0" w:space="0" w:color="auto"/>
        <w:right w:val="none" w:sz="0" w:space="0" w:color="auto"/>
      </w:divBdr>
    </w:div>
    <w:div w:id="847062829">
      <w:bodyDiv w:val="1"/>
      <w:marLeft w:val="0"/>
      <w:marRight w:val="0"/>
      <w:marTop w:val="0"/>
      <w:marBottom w:val="0"/>
      <w:divBdr>
        <w:top w:val="none" w:sz="0" w:space="0" w:color="auto"/>
        <w:left w:val="none" w:sz="0" w:space="0" w:color="auto"/>
        <w:bottom w:val="none" w:sz="0" w:space="0" w:color="auto"/>
        <w:right w:val="none" w:sz="0" w:space="0" w:color="auto"/>
      </w:divBdr>
    </w:div>
    <w:div w:id="855075102">
      <w:bodyDiv w:val="1"/>
      <w:marLeft w:val="0"/>
      <w:marRight w:val="0"/>
      <w:marTop w:val="0"/>
      <w:marBottom w:val="0"/>
      <w:divBdr>
        <w:top w:val="none" w:sz="0" w:space="0" w:color="auto"/>
        <w:left w:val="none" w:sz="0" w:space="0" w:color="auto"/>
        <w:bottom w:val="none" w:sz="0" w:space="0" w:color="auto"/>
        <w:right w:val="none" w:sz="0" w:space="0" w:color="auto"/>
      </w:divBdr>
    </w:div>
    <w:div w:id="860359583">
      <w:bodyDiv w:val="1"/>
      <w:marLeft w:val="0"/>
      <w:marRight w:val="0"/>
      <w:marTop w:val="0"/>
      <w:marBottom w:val="0"/>
      <w:divBdr>
        <w:top w:val="none" w:sz="0" w:space="0" w:color="auto"/>
        <w:left w:val="none" w:sz="0" w:space="0" w:color="auto"/>
        <w:bottom w:val="none" w:sz="0" w:space="0" w:color="auto"/>
        <w:right w:val="none" w:sz="0" w:space="0" w:color="auto"/>
      </w:divBdr>
    </w:div>
    <w:div w:id="875115790">
      <w:bodyDiv w:val="1"/>
      <w:marLeft w:val="0"/>
      <w:marRight w:val="0"/>
      <w:marTop w:val="0"/>
      <w:marBottom w:val="0"/>
      <w:divBdr>
        <w:top w:val="none" w:sz="0" w:space="0" w:color="auto"/>
        <w:left w:val="none" w:sz="0" w:space="0" w:color="auto"/>
        <w:bottom w:val="none" w:sz="0" w:space="0" w:color="auto"/>
        <w:right w:val="none" w:sz="0" w:space="0" w:color="auto"/>
      </w:divBdr>
    </w:div>
    <w:div w:id="878513803">
      <w:bodyDiv w:val="1"/>
      <w:marLeft w:val="0"/>
      <w:marRight w:val="0"/>
      <w:marTop w:val="0"/>
      <w:marBottom w:val="0"/>
      <w:divBdr>
        <w:top w:val="none" w:sz="0" w:space="0" w:color="auto"/>
        <w:left w:val="none" w:sz="0" w:space="0" w:color="auto"/>
        <w:bottom w:val="none" w:sz="0" w:space="0" w:color="auto"/>
        <w:right w:val="none" w:sz="0" w:space="0" w:color="auto"/>
      </w:divBdr>
    </w:div>
    <w:div w:id="887179131">
      <w:bodyDiv w:val="1"/>
      <w:marLeft w:val="0"/>
      <w:marRight w:val="0"/>
      <w:marTop w:val="0"/>
      <w:marBottom w:val="0"/>
      <w:divBdr>
        <w:top w:val="none" w:sz="0" w:space="0" w:color="auto"/>
        <w:left w:val="none" w:sz="0" w:space="0" w:color="auto"/>
        <w:bottom w:val="none" w:sz="0" w:space="0" w:color="auto"/>
        <w:right w:val="none" w:sz="0" w:space="0" w:color="auto"/>
      </w:divBdr>
    </w:div>
    <w:div w:id="911043900">
      <w:bodyDiv w:val="1"/>
      <w:marLeft w:val="0"/>
      <w:marRight w:val="0"/>
      <w:marTop w:val="0"/>
      <w:marBottom w:val="0"/>
      <w:divBdr>
        <w:top w:val="none" w:sz="0" w:space="0" w:color="auto"/>
        <w:left w:val="none" w:sz="0" w:space="0" w:color="auto"/>
        <w:bottom w:val="none" w:sz="0" w:space="0" w:color="auto"/>
        <w:right w:val="none" w:sz="0" w:space="0" w:color="auto"/>
      </w:divBdr>
    </w:div>
    <w:div w:id="911501953">
      <w:bodyDiv w:val="1"/>
      <w:marLeft w:val="0"/>
      <w:marRight w:val="0"/>
      <w:marTop w:val="0"/>
      <w:marBottom w:val="0"/>
      <w:divBdr>
        <w:top w:val="none" w:sz="0" w:space="0" w:color="auto"/>
        <w:left w:val="none" w:sz="0" w:space="0" w:color="auto"/>
        <w:bottom w:val="none" w:sz="0" w:space="0" w:color="auto"/>
        <w:right w:val="none" w:sz="0" w:space="0" w:color="auto"/>
      </w:divBdr>
    </w:div>
    <w:div w:id="921915776">
      <w:bodyDiv w:val="1"/>
      <w:marLeft w:val="0"/>
      <w:marRight w:val="0"/>
      <w:marTop w:val="0"/>
      <w:marBottom w:val="0"/>
      <w:divBdr>
        <w:top w:val="none" w:sz="0" w:space="0" w:color="auto"/>
        <w:left w:val="none" w:sz="0" w:space="0" w:color="auto"/>
        <w:bottom w:val="none" w:sz="0" w:space="0" w:color="auto"/>
        <w:right w:val="none" w:sz="0" w:space="0" w:color="auto"/>
      </w:divBdr>
    </w:div>
    <w:div w:id="928735008">
      <w:bodyDiv w:val="1"/>
      <w:marLeft w:val="0"/>
      <w:marRight w:val="0"/>
      <w:marTop w:val="0"/>
      <w:marBottom w:val="0"/>
      <w:divBdr>
        <w:top w:val="none" w:sz="0" w:space="0" w:color="auto"/>
        <w:left w:val="none" w:sz="0" w:space="0" w:color="auto"/>
        <w:bottom w:val="none" w:sz="0" w:space="0" w:color="auto"/>
        <w:right w:val="none" w:sz="0" w:space="0" w:color="auto"/>
      </w:divBdr>
    </w:div>
    <w:div w:id="931741620">
      <w:bodyDiv w:val="1"/>
      <w:marLeft w:val="0"/>
      <w:marRight w:val="0"/>
      <w:marTop w:val="0"/>
      <w:marBottom w:val="0"/>
      <w:divBdr>
        <w:top w:val="none" w:sz="0" w:space="0" w:color="auto"/>
        <w:left w:val="none" w:sz="0" w:space="0" w:color="auto"/>
        <w:bottom w:val="none" w:sz="0" w:space="0" w:color="auto"/>
        <w:right w:val="none" w:sz="0" w:space="0" w:color="auto"/>
      </w:divBdr>
    </w:div>
    <w:div w:id="935402979">
      <w:bodyDiv w:val="1"/>
      <w:marLeft w:val="0"/>
      <w:marRight w:val="0"/>
      <w:marTop w:val="0"/>
      <w:marBottom w:val="0"/>
      <w:divBdr>
        <w:top w:val="none" w:sz="0" w:space="0" w:color="auto"/>
        <w:left w:val="none" w:sz="0" w:space="0" w:color="auto"/>
        <w:bottom w:val="none" w:sz="0" w:space="0" w:color="auto"/>
        <w:right w:val="none" w:sz="0" w:space="0" w:color="auto"/>
      </w:divBdr>
    </w:div>
    <w:div w:id="939214620">
      <w:bodyDiv w:val="1"/>
      <w:marLeft w:val="0"/>
      <w:marRight w:val="0"/>
      <w:marTop w:val="0"/>
      <w:marBottom w:val="0"/>
      <w:divBdr>
        <w:top w:val="none" w:sz="0" w:space="0" w:color="auto"/>
        <w:left w:val="none" w:sz="0" w:space="0" w:color="auto"/>
        <w:bottom w:val="none" w:sz="0" w:space="0" w:color="auto"/>
        <w:right w:val="none" w:sz="0" w:space="0" w:color="auto"/>
      </w:divBdr>
    </w:div>
    <w:div w:id="939994180">
      <w:bodyDiv w:val="1"/>
      <w:marLeft w:val="0"/>
      <w:marRight w:val="0"/>
      <w:marTop w:val="0"/>
      <w:marBottom w:val="0"/>
      <w:divBdr>
        <w:top w:val="none" w:sz="0" w:space="0" w:color="auto"/>
        <w:left w:val="none" w:sz="0" w:space="0" w:color="auto"/>
        <w:bottom w:val="none" w:sz="0" w:space="0" w:color="auto"/>
        <w:right w:val="none" w:sz="0" w:space="0" w:color="auto"/>
      </w:divBdr>
    </w:div>
    <w:div w:id="948976958">
      <w:bodyDiv w:val="1"/>
      <w:marLeft w:val="0"/>
      <w:marRight w:val="0"/>
      <w:marTop w:val="0"/>
      <w:marBottom w:val="0"/>
      <w:divBdr>
        <w:top w:val="none" w:sz="0" w:space="0" w:color="auto"/>
        <w:left w:val="none" w:sz="0" w:space="0" w:color="auto"/>
        <w:bottom w:val="none" w:sz="0" w:space="0" w:color="auto"/>
        <w:right w:val="none" w:sz="0" w:space="0" w:color="auto"/>
      </w:divBdr>
    </w:div>
    <w:div w:id="959798622">
      <w:bodyDiv w:val="1"/>
      <w:marLeft w:val="0"/>
      <w:marRight w:val="0"/>
      <w:marTop w:val="0"/>
      <w:marBottom w:val="0"/>
      <w:divBdr>
        <w:top w:val="none" w:sz="0" w:space="0" w:color="auto"/>
        <w:left w:val="none" w:sz="0" w:space="0" w:color="auto"/>
        <w:bottom w:val="none" w:sz="0" w:space="0" w:color="auto"/>
        <w:right w:val="none" w:sz="0" w:space="0" w:color="auto"/>
      </w:divBdr>
    </w:div>
    <w:div w:id="971592417">
      <w:bodyDiv w:val="1"/>
      <w:marLeft w:val="0"/>
      <w:marRight w:val="0"/>
      <w:marTop w:val="0"/>
      <w:marBottom w:val="0"/>
      <w:divBdr>
        <w:top w:val="none" w:sz="0" w:space="0" w:color="auto"/>
        <w:left w:val="none" w:sz="0" w:space="0" w:color="auto"/>
        <w:bottom w:val="none" w:sz="0" w:space="0" w:color="auto"/>
        <w:right w:val="none" w:sz="0" w:space="0" w:color="auto"/>
      </w:divBdr>
    </w:div>
    <w:div w:id="979766341">
      <w:bodyDiv w:val="1"/>
      <w:marLeft w:val="0"/>
      <w:marRight w:val="0"/>
      <w:marTop w:val="0"/>
      <w:marBottom w:val="0"/>
      <w:divBdr>
        <w:top w:val="none" w:sz="0" w:space="0" w:color="auto"/>
        <w:left w:val="none" w:sz="0" w:space="0" w:color="auto"/>
        <w:bottom w:val="none" w:sz="0" w:space="0" w:color="auto"/>
        <w:right w:val="none" w:sz="0" w:space="0" w:color="auto"/>
      </w:divBdr>
    </w:div>
    <w:div w:id="989670225">
      <w:bodyDiv w:val="1"/>
      <w:marLeft w:val="0"/>
      <w:marRight w:val="0"/>
      <w:marTop w:val="0"/>
      <w:marBottom w:val="0"/>
      <w:divBdr>
        <w:top w:val="none" w:sz="0" w:space="0" w:color="auto"/>
        <w:left w:val="none" w:sz="0" w:space="0" w:color="auto"/>
        <w:bottom w:val="none" w:sz="0" w:space="0" w:color="auto"/>
        <w:right w:val="none" w:sz="0" w:space="0" w:color="auto"/>
      </w:divBdr>
    </w:div>
    <w:div w:id="991717749">
      <w:bodyDiv w:val="1"/>
      <w:marLeft w:val="0"/>
      <w:marRight w:val="0"/>
      <w:marTop w:val="0"/>
      <w:marBottom w:val="0"/>
      <w:divBdr>
        <w:top w:val="none" w:sz="0" w:space="0" w:color="auto"/>
        <w:left w:val="none" w:sz="0" w:space="0" w:color="auto"/>
        <w:bottom w:val="none" w:sz="0" w:space="0" w:color="auto"/>
        <w:right w:val="none" w:sz="0" w:space="0" w:color="auto"/>
      </w:divBdr>
    </w:div>
    <w:div w:id="994719981">
      <w:bodyDiv w:val="1"/>
      <w:marLeft w:val="0"/>
      <w:marRight w:val="0"/>
      <w:marTop w:val="0"/>
      <w:marBottom w:val="0"/>
      <w:divBdr>
        <w:top w:val="none" w:sz="0" w:space="0" w:color="auto"/>
        <w:left w:val="none" w:sz="0" w:space="0" w:color="auto"/>
        <w:bottom w:val="none" w:sz="0" w:space="0" w:color="auto"/>
        <w:right w:val="none" w:sz="0" w:space="0" w:color="auto"/>
      </w:divBdr>
    </w:div>
    <w:div w:id="996155663">
      <w:bodyDiv w:val="1"/>
      <w:marLeft w:val="0"/>
      <w:marRight w:val="0"/>
      <w:marTop w:val="0"/>
      <w:marBottom w:val="0"/>
      <w:divBdr>
        <w:top w:val="none" w:sz="0" w:space="0" w:color="auto"/>
        <w:left w:val="none" w:sz="0" w:space="0" w:color="auto"/>
        <w:bottom w:val="none" w:sz="0" w:space="0" w:color="auto"/>
        <w:right w:val="none" w:sz="0" w:space="0" w:color="auto"/>
      </w:divBdr>
    </w:div>
    <w:div w:id="997997620">
      <w:bodyDiv w:val="1"/>
      <w:marLeft w:val="0"/>
      <w:marRight w:val="0"/>
      <w:marTop w:val="0"/>
      <w:marBottom w:val="0"/>
      <w:divBdr>
        <w:top w:val="none" w:sz="0" w:space="0" w:color="auto"/>
        <w:left w:val="none" w:sz="0" w:space="0" w:color="auto"/>
        <w:bottom w:val="none" w:sz="0" w:space="0" w:color="auto"/>
        <w:right w:val="none" w:sz="0" w:space="0" w:color="auto"/>
      </w:divBdr>
    </w:div>
    <w:div w:id="1002046929">
      <w:bodyDiv w:val="1"/>
      <w:marLeft w:val="0"/>
      <w:marRight w:val="0"/>
      <w:marTop w:val="0"/>
      <w:marBottom w:val="0"/>
      <w:divBdr>
        <w:top w:val="none" w:sz="0" w:space="0" w:color="auto"/>
        <w:left w:val="none" w:sz="0" w:space="0" w:color="auto"/>
        <w:bottom w:val="none" w:sz="0" w:space="0" w:color="auto"/>
        <w:right w:val="none" w:sz="0" w:space="0" w:color="auto"/>
      </w:divBdr>
    </w:div>
    <w:div w:id="1002665601">
      <w:bodyDiv w:val="1"/>
      <w:marLeft w:val="0"/>
      <w:marRight w:val="0"/>
      <w:marTop w:val="0"/>
      <w:marBottom w:val="0"/>
      <w:divBdr>
        <w:top w:val="none" w:sz="0" w:space="0" w:color="auto"/>
        <w:left w:val="none" w:sz="0" w:space="0" w:color="auto"/>
        <w:bottom w:val="none" w:sz="0" w:space="0" w:color="auto"/>
        <w:right w:val="none" w:sz="0" w:space="0" w:color="auto"/>
      </w:divBdr>
    </w:div>
    <w:div w:id="1002927165">
      <w:bodyDiv w:val="1"/>
      <w:marLeft w:val="0"/>
      <w:marRight w:val="0"/>
      <w:marTop w:val="0"/>
      <w:marBottom w:val="0"/>
      <w:divBdr>
        <w:top w:val="none" w:sz="0" w:space="0" w:color="auto"/>
        <w:left w:val="none" w:sz="0" w:space="0" w:color="auto"/>
        <w:bottom w:val="none" w:sz="0" w:space="0" w:color="auto"/>
        <w:right w:val="none" w:sz="0" w:space="0" w:color="auto"/>
      </w:divBdr>
    </w:div>
    <w:div w:id="1007752193">
      <w:bodyDiv w:val="1"/>
      <w:marLeft w:val="0"/>
      <w:marRight w:val="0"/>
      <w:marTop w:val="0"/>
      <w:marBottom w:val="0"/>
      <w:divBdr>
        <w:top w:val="none" w:sz="0" w:space="0" w:color="auto"/>
        <w:left w:val="none" w:sz="0" w:space="0" w:color="auto"/>
        <w:bottom w:val="none" w:sz="0" w:space="0" w:color="auto"/>
        <w:right w:val="none" w:sz="0" w:space="0" w:color="auto"/>
      </w:divBdr>
    </w:div>
    <w:div w:id="1009455191">
      <w:bodyDiv w:val="1"/>
      <w:marLeft w:val="0"/>
      <w:marRight w:val="0"/>
      <w:marTop w:val="0"/>
      <w:marBottom w:val="0"/>
      <w:divBdr>
        <w:top w:val="none" w:sz="0" w:space="0" w:color="auto"/>
        <w:left w:val="none" w:sz="0" w:space="0" w:color="auto"/>
        <w:bottom w:val="none" w:sz="0" w:space="0" w:color="auto"/>
        <w:right w:val="none" w:sz="0" w:space="0" w:color="auto"/>
      </w:divBdr>
    </w:div>
    <w:div w:id="1009674389">
      <w:bodyDiv w:val="1"/>
      <w:marLeft w:val="0"/>
      <w:marRight w:val="0"/>
      <w:marTop w:val="0"/>
      <w:marBottom w:val="0"/>
      <w:divBdr>
        <w:top w:val="none" w:sz="0" w:space="0" w:color="auto"/>
        <w:left w:val="none" w:sz="0" w:space="0" w:color="auto"/>
        <w:bottom w:val="none" w:sz="0" w:space="0" w:color="auto"/>
        <w:right w:val="none" w:sz="0" w:space="0" w:color="auto"/>
      </w:divBdr>
    </w:div>
    <w:div w:id="1018459696">
      <w:bodyDiv w:val="1"/>
      <w:marLeft w:val="0"/>
      <w:marRight w:val="0"/>
      <w:marTop w:val="0"/>
      <w:marBottom w:val="0"/>
      <w:divBdr>
        <w:top w:val="none" w:sz="0" w:space="0" w:color="auto"/>
        <w:left w:val="none" w:sz="0" w:space="0" w:color="auto"/>
        <w:bottom w:val="none" w:sz="0" w:space="0" w:color="auto"/>
        <w:right w:val="none" w:sz="0" w:space="0" w:color="auto"/>
      </w:divBdr>
    </w:div>
    <w:div w:id="1023163676">
      <w:bodyDiv w:val="1"/>
      <w:marLeft w:val="0"/>
      <w:marRight w:val="0"/>
      <w:marTop w:val="0"/>
      <w:marBottom w:val="0"/>
      <w:divBdr>
        <w:top w:val="none" w:sz="0" w:space="0" w:color="auto"/>
        <w:left w:val="none" w:sz="0" w:space="0" w:color="auto"/>
        <w:bottom w:val="none" w:sz="0" w:space="0" w:color="auto"/>
        <w:right w:val="none" w:sz="0" w:space="0" w:color="auto"/>
      </w:divBdr>
    </w:div>
    <w:div w:id="1023753082">
      <w:bodyDiv w:val="1"/>
      <w:marLeft w:val="0"/>
      <w:marRight w:val="0"/>
      <w:marTop w:val="0"/>
      <w:marBottom w:val="0"/>
      <w:divBdr>
        <w:top w:val="none" w:sz="0" w:space="0" w:color="auto"/>
        <w:left w:val="none" w:sz="0" w:space="0" w:color="auto"/>
        <w:bottom w:val="none" w:sz="0" w:space="0" w:color="auto"/>
        <w:right w:val="none" w:sz="0" w:space="0" w:color="auto"/>
      </w:divBdr>
    </w:div>
    <w:div w:id="1030447698">
      <w:bodyDiv w:val="1"/>
      <w:marLeft w:val="0"/>
      <w:marRight w:val="0"/>
      <w:marTop w:val="0"/>
      <w:marBottom w:val="0"/>
      <w:divBdr>
        <w:top w:val="none" w:sz="0" w:space="0" w:color="auto"/>
        <w:left w:val="none" w:sz="0" w:space="0" w:color="auto"/>
        <w:bottom w:val="none" w:sz="0" w:space="0" w:color="auto"/>
        <w:right w:val="none" w:sz="0" w:space="0" w:color="auto"/>
      </w:divBdr>
    </w:div>
    <w:div w:id="1033190867">
      <w:bodyDiv w:val="1"/>
      <w:marLeft w:val="0"/>
      <w:marRight w:val="0"/>
      <w:marTop w:val="0"/>
      <w:marBottom w:val="0"/>
      <w:divBdr>
        <w:top w:val="none" w:sz="0" w:space="0" w:color="auto"/>
        <w:left w:val="none" w:sz="0" w:space="0" w:color="auto"/>
        <w:bottom w:val="none" w:sz="0" w:space="0" w:color="auto"/>
        <w:right w:val="none" w:sz="0" w:space="0" w:color="auto"/>
      </w:divBdr>
    </w:div>
    <w:div w:id="1036661801">
      <w:bodyDiv w:val="1"/>
      <w:marLeft w:val="0"/>
      <w:marRight w:val="0"/>
      <w:marTop w:val="0"/>
      <w:marBottom w:val="0"/>
      <w:divBdr>
        <w:top w:val="none" w:sz="0" w:space="0" w:color="auto"/>
        <w:left w:val="none" w:sz="0" w:space="0" w:color="auto"/>
        <w:bottom w:val="none" w:sz="0" w:space="0" w:color="auto"/>
        <w:right w:val="none" w:sz="0" w:space="0" w:color="auto"/>
      </w:divBdr>
    </w:div>
    <w:div w:id="1040127914">
      <w:bodyDiv w:val="1"/>
      <w:marLeft w:val="0"/>
      <w:marRight w:val="0"/>
      <w:marTop w:val="0"/>
      <w:marBottom w:val="0"/>
      <w:divBdr>
        <w:top w:val="none" w:sz="0" w:space="0" w:color="auto"/>
        <w:left w:val="none" w:sz="0" w:space="0" w:color="auto"/>
        <w:bottom w:val="none" w:sz="0" w:space="0" w:color="auto"/>
        <w:right w:val="none" w:sz="0" w:space="0" w:color="auto"/>
      </w:divBdr>
    </w:div>
    <w:div w:id="1041902229">
      <w:bodyDiv w:val="1"/>
      <w:marLeft w:val="0"/>
      <w:marRight w:val="0"/>
      <w:marTop w:val="0"/>
      <w:marBottom w:val="0"/>
      <w:divBdr>
        <w:top w:val="none" w:sz="0" w:space="0" w:color="auto"/>
        <w:left w:val="none" w:sz="0" w:space="0" w:color="auto"/>
        <w:bottom w:val="none" w:sz="0" w:space="0" w:color="auto"/>
        <w:right w:val="none" w:sz="0" w:space="0" w:color="auto"/>
      </w:divBdr>
    </w:div>
    <w:div w:id="1043210936">
      <w:bodyDiv w:val="1"/>
      <w:marLeft w:val="0"/>
      <w:marRight w:val="0"/>
      <w:marTop w:val="0"/>
      <w:marBottom w:val="0"/>
      <w:divBdr>
        <w:top w:val="none" w:sz="0" w:space="0" w:color="auto"/>
        <w:left w:val="none" w:sz="0" w:space="0" w:color="auto"/>
        <w:bottom w:val="none" w:sz="0" w:space="0" w:color="auto"/>
        <w:right w:val="none" w:sz="0" w:space="0" w:color="auto"/>
      </w:divBdr>
    </w:div>
    <w:div w:id="1045060350">
      <w:bodyDiv w:val="1"/>
      <w:marLeft w:val="0"/>
      <w:marRight w:val="0"/>
      <w:marTop w:val="0"/>
      <w:marBottom w:val="0"/>
      <w:divBdr>
        <w:top w:val="none" w:sz="0" w:space="0" w:color="auto"/>
        <w:left w:val="none" w:sz="0" w:space="0" w:color="auto"/>
        <w:bottom w:val="none" w:sz="0" w:space="0" w:color="auto"/>
        <w:right w:val="none" w:sz="0" w:space="0" w:color="auto"/>
      </w:divBdr>
    </w:div>
    <w:div w:id="1053116062">
      <w:bodyDiv w:val="1"/>
      <w:marLeft w:val="0"/>
      <w:marRight w:val="0"/>
      <w:marTop w:val="0"/>
      <w:marBottom w:val="0"/>
      <w:divBdr>
        <w:top w:val="none" w:sz="0" w:space="0" w:color="auto"/>
        <w:left w:val="none" w:sz="0" w:space="0" w:color="auto"/>
        <w:bottom w:val="none" w:sz="0" w:space="0" w:color="auto"/>
        <w:right w:val="none" w:sz="0" w:space="0" w:color="auto"/>
      </w:divBdr>
    </w:div>
    <w:div w:id="1056272115">
      <w:bodyDiv w:val="1"/>
      <w:marLeft w:val="0"/>
      <w:marRight w:val="0"/>
      <w:marTop w:val="0"/>
      <w:marBottom w:val="0"/>
      <w:divBdr>
        <w:top w:val="none" w:sz="0" w:space="0" w:color="auto"/>
        <w:left w:val="none" w:sz="0" w:space="0" w:color="auto"/>
        <w:bottom w:val="none" w:sz="0" w:space="0" w:color="auto"/>
        <w:right w:val="none" w:sz="0" w:space="0" w:color="auto"/>
      </w:divBdr>
    </w:div>
    <w:div w:id="1058213363">
      <w:bodyDiv w:val="1"/>
      <w:marLeft w:val="0"/>
      <w:marRight w:val="0"/>
      <w:marTop w:val="0"/>
      <w:marBottom w:val="0"/>
      <w:divBdr>
        <w:top w:val="none" w:sz="0" w:space="0" w:color="auto"/>
        <w:left w:val="none" w:sz="0" w:space="0" w:color="auto"/>
        <w:bottom w:val="none" w:sz="0" w:space="0" w:color="auto"/>
        <w:right w:val="none" w:sz="0" w:space="0" w:color="auto"/>
      </w:divBdr>
    </w:div>
    <w:div w:id="1059746935">
      <w:bodyDiv w:val="1"/>
      <w:marLeft w:val="0"/>
      <w:marRight w:val="0"/>
      <w:marTop w:val="0"/>
      <w:marBottom w:val="0"/>
      <w:divBdr>
        <w:top w:val="none" w:sz="0" w:space="0" w:color="auto"/>
        <w:left w:val="none" w:sz="0" w:space="0" w:color="auto"/>
        <w:bottom w:val="none" w:sz="0" w:space="0" w:color="auto"/>
        <w:right w:val="none" w:sz="0" w:space="0" w:color="auto"/>
      </w:divBdr>
    </w:div>
    <w:div w:id="1066414593">
      <w:bodyDiv w:val="1"/>
      <w:marLeft w:val="0"/>
      <w:marRight w:val="0"/>
      <w:marTop w:val="0"/>
      <w:marBottom w:val="0"/>
      <w:divBdr>
        <w:top w:val="none" w:sz="0" w:space="0" w:color="auto"/>
        <w:left w:val="none" w:sz="0" w:space="0" w:color="auto"/>
        <w:bottom w:val="none" w:sz="0" w:space="0" w:color="auto"/>
        <w:right w:val="none" w:sz="0" w:space="0" w:color="auto"/>
      </w:divBdr>
    </w:div>
    <w:div w:id="1080327768">
      <w:bodyDiv w:val="1"/>
      <w:marLeft w:val="0"/>
      <w:marRight w:val="0"/>
      <w:marTop w:val="0"/>
      <w:marBottom w:val="0"/>
      <w:divBdr>
        <w:top w:val="none" w:sz="0" w:space="0" w:color="auto"/>
        <w:left w:val="none" w:sz="0" w:space="0" w:color="auto"/>
        <w:bottom w:val="none" w:sz="0" w:space="0" w:color="auto"/>
        <w:right w:val="none" w:sz="0" w:space="0" w:color="auto"/>
      </w:divBdr>
    </w:div>
    <w:div w:id="1084111858">
      <w:bodyDiv w:val="1"/>
      <w:marLeft w:val="0"/>
      <w:marRight w:val="0"/>
      <w:marTop w:val="0"/>
      <w:marBottom w:val="0"/>
      <w:divBdr>
        <w:top w:val="none" w:sz="0" w:space="0" w:color="auto"/>
        <w:left w:val="none" w:sz="0" w:space="0" w:color="auto"/>
        <w:bottom w:val="none" w:sz="0" w:space="0" w:color="auto"/>
        <w:right w:val="none" w:sz="0" w:space="0" w:color="auto"/>
      </w:divBdr>
    </w:div>
    <w:div w:id="1086072539">
      <w:bodyDiv w:val="1"/>
      <w:marLeft w:val="0"/>
      <w:marRight w:val="0"/>
      <w:marTop w:val="0"/>
      <w:marBottom w:val="0"/>
      <w:divBdr>
        <w:top w:val="none" w:sz="0" w:space="0" w:color="auto"/>
        <w:left w:val="none" w:sz="0" w:space="0" w:color="auto"/>
        <w:bottom w:val="none" w:sz="0" w:space="0" w:color="auto"/>
        <w:right w:val="none" w:sz="0" w:space="0" w:color="auto"/>
      </w:divBdr>
    </w:div>
    <w:div w:id="1092169759">
      <w:bodyDiv w:val="1"/>
      <w:marLeft w:val="0"/>
      <w:marRight w:val="0"/>
      <w:marTop w:val="0"/>
      <w:marBottom w:val="0"/>
      <w:divBdr>
        <w:top w:val="none" w:sz="0" w:space="0" w:color="auto"/>
        <w:left w:val="none" w:sz="0" w:space="0" w:color="auto"/>
        <w:bottom w:val="none" w:sz="0" w:space="0" w:color="auto"/>
        <w:right w:val="none" w:sz="0" w:space="0" w:color="auto"/>
      </w:divBdr>
    </w:div>
    <w:div w:id="1095132946">
      <w:bodyDiv w:val="1"/>
      <w:marLeft w:val="0"/>
      <w:marRight w:val="0"/>
      <w:marTop w:val="0"/>
      <w:marBottom w:val="0"/>
      <w:divBdr>
        <w:top w:val="none" w:sz="0" w:space="0" w:color="auto"/>
        <w:left w:val="none" w:sz="0" w:space="0" w:color="auto"/>
        <w:bottom w:val="none" w:sz="0" w:space="0" w:color="auto"/>
        <w:right w:val="none" w:sz="0" w:space="0" w:color="auto"/>
      </w:divBdr>
    </w:div>
    <w:div w:id="1095517124">
      <w:bodyDiv w:val="1"/>
      <w:marLeft w:val="0"/>
      <w:marRight w:val="0"/>
      <w:marTop w:val="0"/>
      <w:marBottom w:val="0"/>
      <w:divBdr>
        <w:top w:val="none" w:sz="0" w:space="0" w:color="auto"/>
        <w:left w:val="none" w:sz="0" w:space="0" w:color="auto"/>
        <w:bottom w:val="none" w:sz="0" w:space="0" w:color="auto"/>
        <w:right w:val="none" w:sz="0" w:space="0" w:color="auto"/>
      </w:divBdr>
    </w:div>
    <w:div w:id="1102840548">
      <w:bodyDiv w:val="1"/>
      <w:marLeft w:val="0"/>
      <w:marRight w:val="0"/>
      <w:marTop w:val="0"/>
      <w:marBottom w:val="0"/>
      <w:divBdr>
        <w:top w:val="none" w:sz="0" w:space="0" w:color="auto"/>
        <w:left w:val="none" w:sz="0" w:space="0" w:color="auto"/>
        <w:bottom w:val="none" w:sz="0" w:space="0" w:color="auto"/>
        <w:right w:val="none" w:sz="0" w:space="0" w:color="auto"/>
      </w:divBdr>
    </w:div>
    <w:div w:id="1103917620">
      <w:bodyDiv w:val="1"/>
      <w:marLeft w:val="0"/>
      <w:marRight w:val="0"/>
      <w:marTop w:val="0"/>
      <w:marBottom w:val="0"/>
      <w:divBdr>
        <w:top w:val="none" w:sz="0" w:space="0" w:color="auto"/>
        <w:left w:val="none" w:sz="0" w:space="0" w:color="auto"/>
        <w:bottom w:val="none" w:sz="0" w:space="0" w:color="auto"/>
        <w:right w:val="none" w:sz="0" w:space="0" w:color="auto"/>
      </w:divBdr>
    </w:div>
    <w:div w:id="1118985298">
      <w:bodyDiv w:val="1"/>
      <w:marLeft w:val="0"/>
      <w:marRight w:val="0"/>
      <w:marTop w:val="0"/>
      <w:marBottom w:val="0"/>
      <w:divBdr>
        <w:top w:val="none" w:sz="0" w:space="0" w:color="auto"/>
        <w:left w:val="none" w:sz="0" w:space="0" w:color="auto"/>
        <w:bottom w:val="none" w:sz="0" w:space="0" w:color="auto"/>
        <w:right w:val="none" w:sz="0" w:space="0" w:color="auto"/>
      </w:divBdr>
    </w:div>
    <w:div w:id="1121147955">
      <w:bodyDiv w:val="1"/>
      <w:marLeft w:val="0"/>
      <w:marRight w:val="0"/>
      <w:marTop w:val="0"/>
      <w:marBottom w:val="0"/>
      <w:divBdr>
        <w:top w:val="none" w:sz="0" w:space="0" w:color="auto"/>
        <w:left w:val="none" w:sz="0" w:space="0" w:color="auto"/>
        <w:bottom w:val="none" w:sz="0" w:space="0" w:color="auto"/>
        <w:right w:val="none" w:sz="0" w:space="0" w:color="auto"/>
      </w:divBdr>
    </w:div>
    <w:div w:id="1123426287">
      <w:bodyDiv w:val="1"/>
      <w:marLeft w:val="0"/>
      <w:marRight w:val="0"/>
      <w:marTop w:val="0"/>
      <w:marBottom w:val="0"/>
      <w:divBdr>
        <w:top w:val="none" w:sz="0" w:space="0" w:color="auto"/>
        <w:left w:val="none" w:sz="0" w:space="0" w:color="auto"/>
        <w:bottom w:val="none" w:sz="0" w:space="0" w:color="auto"/>
        <w:right w:val="none" w:sz="0" w:space="0" w:color="auto"/>
      </w:divBdr>
    </w:div>
    <w:div w:id="1124233531">
      <w:bodyDiv w:val="1"/>
      <w:marLeft w:val="0"/>
      <w:marRight w:val="0"/>
      <w:marTop w:val="0"/>
      <w:marBottom w:val="0"/>
      <w:divBdr>
        <w:top w:val="none" w:sz="0" w:space="0" w:color="auto"/>
        <w:left w:val="none" w:sz="0" w:space="0" w:color="auto"/>
        <w:bottom w:val="none" w:sz="0" w:space="0" w:color="auto"/>
        <w:right w:val="none" w:sz="0" w:space="0" w:color="auto"/>
      </w:divBdr>
    </w:div>
    <w:div w:id="1133866112">
      <w:bodyDiv w:val="1"/>
      <w:marLeft w:val="0"/>
      <w:marRight w:val="0"/>
      <w:marTop w:val="0"/>
      <w:marBottom w:val="0"/>
      <w:divBdr>
        <w:top w:val="none" w:sz="0" w:space="0" w:color="auto"/>
        <w:left w:val="none" w:sz="0" w:space="0" w:color="auto"/>
        <w:bottom w:val="none" w:sz="0" w:space="0" w:color="auto"/>
        <w:right w:val="none" w:sz="0" w:space="0" w:color="auto"/>
      </w:divBdr>
    </w:div>
    <w:div w:id="1137605607">
      <w:bodyDiv w:val="1"/>
      <w:marLeft w:val="0"/>
      <w:marRight w:val="0"/>
      <w:marTop w:val="0"/>
      <w:marBottom w:val="0"/>
      <w:divBdr>
        <w:top w:val="none" w:sz="0" w:space="0" w:color="auto"/>
        <w:left w:val="none" w:sz="0" w:space="0" w:color="auto"/>
        <w:bottom w:val="none" w:sz="0" w:space="0" w:color="auto"/>
        <w:right w:val="none" w:sz="0" w:space="0" w:color="auto"/>
      </w:divBdr>
    </w:div>
    <w:div w:id="1143425364">
      <w:bodyDiv w:val="1"/>
      <w:marLeft w:val="0"/>
      <w:marRight w:val="0"/>
      <w:marTop w:val="0"/>
      <w:marBottom w:val="0"/>
      <w:divBdr>
        <w:top w:val="none" w:sz="0" w:space="0" w:color="auto"/>
        <w:left w:val="none" w:sz="0" w:space="0" w:color="auto"/>
        <w:bottom w:val="none" w:sz="0" w:space="0" w:color="auto"/>
        <w:right w:val="none" w:sz="0" w:space="0" w:color="auto"/>
      </w:divBdr>
    </w:div>
    <w:div w:id="1164129624">
      <w:bodyDiv w:val="1"/>
      <w:marLeft w:val="0"/>
      <w:marRight w:val="0"/>
      <w:marTop w:val="0"/>
      <w:marBottom w:val="0"/>
      <w:divBdr>
        <w:top w:val="none" w:sz="0" w:space="0" w:color="auto"/>
        <w:left w:val="none" w:sz="0" w:space="0" w:color="auto"/>
        <w:bottom w:val="none" w:sz="0" w:space="0" w:color="auto"/>
        <w:right w:val="none" w:sz="0" w:space="0" w:color="auto"/>
      </w:divBdr>
    </w:div>
    <w:div w:id="1165242415">
      <w:bodyDiv w:val="1"/>
      <w:marLeft w:val="0"/>
      <w:marRight w:val="0"/>
      <w:marTop w:val="0"/>
      <w:marBottom w:val="0"/>
      <w:divBdr>
        <w:top w:val="none" w:sz="0" w:space="0" w:color="auto"/>
        <w:left w:val="none" w:sz="0" w:space="0" w:color="auto"/>
        <w:bottom w:val="none" w:sz="0" w:space="0" w:color="auto"/>
        <w:right w:val="none" w:sz="0" w:space="0" w:color="auto"/>
      </w:divBdr>
    </w:div>
    <w:div w:id="1165515338">
      <w:bodyDiv w:val="1"/>
      <w:marLeft w:val="0"/>
      <w:marRight w:val="0"/>
      <w:marTop w:val="0"/>
      <w:marBottom w:val="0"/>
      <w:divBdr>
        <w:top w:val="none" w:sz="0" w:space="0" w:color="auto"/>
        <w:left w:val="none" w:sz="0" w:space="0" w:color="auto"/>
        <w:bottom w:val="none" w:sz="0" w:space="0" w:color="auto"/>
        <w:right w:val="none" w:sz="0" w:space="0" w:color="auto"/>
      </w:divBdr>
    </w:div>
    <w:div w:id="1167750143">
      <w:bodyDiv w:val="1"/>
      <w:marLeft w:val="0"/>
      <w:marRight w:val="0"/>
      <w:marTop w:val="0"/>
      <w:marBottom w:val="0"/>
      <w:divBdr>
        <w:top w:val="none" w:sz="0" w:space="0" w:color="auto"/>
        <w:left w:val="none" w:sz="0" w:space="0" w:color="auto"/>
        <w:bottom w:val="none" w:sz="0" w:space="0" w:color="auto"/>
        <w:right w:val="none" w:sz="0" w:space="0" w:color="auto"/>
      </w:divBdr>
    </w:div>
    <w:div w:id="1170683730">
      <w:bodyDiv w:val="1"/>
      <w:marLeft w:val="0"/>
      <w:marRight w:val="0"/>
      <w:marTop w:val="0"/>
      <w:marBottom w:val="0"/>
      <w:divBdr>
        <w:top w:val="none" w:sz="0" w:space="0" w:color="auto"/>
        <w:left w:val="none" w:sz="0" w:space="0" w:color="auto"/>
        <w:bottom w:val="none" w:sz="0" w:space="0" w:color="auto"/>
        <w:right w:val="none" w:sz="0" w:space="0" w:color="auto"/>
      </w:divBdr>
    </w:div>
    <w:div w:id="1171213791">
      <w:bodyDiv w:val="1"/>
      <w:marLeft w:val="0"/>
      <w:marRight w:val="0"/>
      <w:marTop w:val="0"/>
      <w:marBottom w:val="0"/>
      <w:divBdr>
        <w:top w:val="none" w:sz="0" w:space="0" w:color="auto"/>
        <w:left w:val="none" w:sz="0" w:space="0" w:color="auto"/>
        <w:bottom w:val="none" w:sz="0" w:space="0" w:color="auto"/>
        <w:right w:val="none" w:sz="0" w:space="0" w:color="auto"/>
      </w:divBdr>
    </w:div>
    <w:div w:id="1176655774">
      <w:bodyDiv w:val="1"/>
      <w:marLeft w:val="0"/>
      <w:marRight w:val="0"/>
      <w:marTop w:val="0"/>
      <w:marBottom w:val="0"/>
      <w:divBdr>
        <w:top w:val="none" w:sz="0" w:space="0" w:color="auto"/>
        <w:left w:val="none" w:sz="0" w:space="0" w:color="auto"/>
        <w:bottom w:val="none" w:sz="0" w:space="0" w:color="auto"/>
        <w:right w:val="none" w:sz="0" w:space="0" w:color="auto"/>
      </w:divBdr>
    </w:div>
    <w:div w:id="1178739961">
      <w:bodyDiv w:val="1"/>
      <w:marLeft w:val="0"/>
      <w:marRight w:val="0"/>
      <w:marTop w:val="0"/>
      <w:marBottom w:val="0"/>
      <w:divBdr>
        <w:top w:val="none" w:sz="0" w:space="0" w:color="auto"/>
        <w:left w:val="none" w:sz="0" w:space="0" w:color="auto"/>
        <w:bottom w:val="none" w:sz="0" w:space="0" w:color="auto"/>
        <w:right w:val="none" w:sz="0" w:space="0" w:color="auto"/>
      </w:divBdr>
    </w:div>
    <w:div w:id="1183318892">
      <w:bodyDiv w:val="1"/>
      <w:marLeft w:val="0"/>
      <w:marRight w:val="0"/>
      <w:marTop w:val="0"/>
      <w:marBottom w:val="0"/>
      <w:divBdr>
        <w:top w:val="none" w:sz="0" w:space="0" w:color="auto"/>
        <w:left w:val="none" w:sz="0" w:space="0" w:color="auto"/>
        <w:bottom w:val="none" w:sz="0" w:space="0" w:color="auto"/>
        <w:right w:val="none" w:sz="0" w:space="0" w:color="auto"/>
      </w:divBdr>
    </w:div>
    <w:div w:id="1183544654">
      <w:bodyDiv w:val="1"/>
      <w:marLeft w:val="0"/>
      <w:marRight w:val="0"/>
      <w:marTop w:val="0"/>
      <w:marBottom w:val="0"/>
      <w:divBdr>
        <w:top w:val="none" w:sz="0" w:space="0" w:color="auto"/>
        <w:left w:val="none" w:sz="0" w:space="0" w:color="auto"/>
        <w:bottom w:val="none" w:sz="0" w:space="0" w:color="auto"/>
        <w:right w:val="none" w:sz="0" w:space="0" w:color="auto"/>
      </w:divBdr>
    </w:div>
    <w:div w:id="1185944681">
      <w:bodyDiv w:val="1"/>
      <w:marLeft w:val="0"/>
      <w:marRight w:val="0"/>
      <w:marTop w:val="0"/>
      <w:marBottom w:val="0"/>
      <w:divBdr>
        <w:top w:val="none" w:sz="0" w:space="0" w:color="auto"/>
        <w:left w:val="none" w:sz="0" w:space="0" w:color="auto"/>
        <w:bottom w:val="none" w:sz="0" w:space="0" w:color="auto"/>
        <w:right w:val="none" w:sz="0" w:space="0" w:color="auto"/>
      </w:divBdr>
    </w:div>
    <w:div w:id="1187986122">
      <w:bodyDiv w:val="1"/>
      <w:marLeft w:val="0"/>
      <w:marRight w:val="0"/>
      <w:marTop w:val="0"/>
      <w:marBottom w:val="0"/>
      <w:divBdr>
        <w:top w:val="none" w:sz="0" w:space="0" w:color="auto"/>
        <w:left w:val="none" w:sz="0" w:space="0" w:color="auto"/>
        <w:bottom w:val="none" w:sz="0" w:space="0" w:color="auto"/>
        <w:right w:val="none" w:sz="0" w:space="0" w:color="auto"/>
      </w:divBdr>
    </w:div>
    <w:div w:id="1193804918">
      <w:bodyDiv w:val="1"/>
      <w:marLeft w:val="0"/>
      <w:marRight w:val="0"/>
      <w:marTop w:val="0"/>
      <w:marBottom w:val="0"/>
      <w:divBdr>
        <w:top w:val="none" w:sz="0" w:space="0" w:color="auto"/>
        <w:left w:val="none" w:sz="0" w:space="0" w:color="auto"/>
        <w:bottom w:val="none" w:sz="0" w:space="0" w:color="auto"/>
        <w:right w:val="none" w:sz="0" w:space="0" w:color="auto"/>
      </w:divBdr>
    </w:div>
    <w:div w:id="1195078199">
      <w:bodyDiv w:val="1"/>
      <w:marLeft w:val="0"/>
      <w:marRight w:val="0"/>
      <w:marTop w:val="0"/>
      <w:marBottom w:val="0"/>
      <w:divBdr>
        <w:top w:val="none" w:sz="0" w:space="0" w:color="auto"/>
        <w:left w:val="none" w:sz="0" w:space="0" w:color="auto"/>
        <w:bottom w:val="none" w:sz="0" w:space="0" w:color="auto"/>
        <w:right w:val="none" w:sz="0" w:space="0" w:color="auto"/>
      </w:divBdr>
    </w:div>
    <w:div w:id="1196235569">
      <w:bodyDiv w:val="1"/>
      <w:marLeft w:val="0"/>
      <w:marRight w:val="0"/>
      <w:marTop w:val="0"/>
      <w:marBottom w:val="0"/>
      <w:divBdr>
        <w:top w:val="none" w:sz="0" w:space="0" w:color="auto"/>
        <w:left w:val="none" w:sz="0" w:space="0" w:color="auto"/>
        <w:bottom w:val="none" w:sz="0" w:space="0" w:color="auto"/>
        <w:right w:val="none" w:sz="0" w:space="0" w:color="auto"/>
      </w:divBdr>
    </w:div>
    <w:div w:id="1204291438">
      <w:bodyDiv w:val="1"/>
      <w:marLeft w:val="0"/>
      <w:marRight w:val="0"/>
      <w:marTop w:val="0"/>
      <w:marBottom w:val="0"/>
      <w:divBdr>
        <w:top w:val="none" w:sz="0" w:space="0" w:color="auto"/>
        <w:left w:val="none" w:sz="0" w:space="0" w:color="auto"/>
        <w:bottom w:val="none" w:sz="0" w:space="0" w:color="auto"/>
        <w:right w:val="none" w:sz="0" w:space="0" w:color="auto"/>
      </w:divBdr>
    </w:div>
    <w:div w:id="1206256497">
      <w:bodyDiv w:val="1"/>
      <w:marLeft w:val="0"/>
      <w:marRight w:val="0"/>
      <w:marTop w:val="0"/>
      <w:marBottom w:val="0"/>
      <w:divBdr>
        <w:top w:val="none" w:sz="0" w:space="0" w:color="auto"/>
        <w:left w:val="none" w:sz="0" w:space="0" w:color="auto"/>
        <w:bottom w:val="none" w:sz="0" w:space="0" w:color="auto"/>
        <w:right w:val="none" w:sz="0" w:space="0" w:color="auto"/>
      </w:divBdr>
    </w:div>
    <w:div w:id="1209491168">
      <w:bodyDiv w:val="1"/>
      <w:marLeft w:val="0"/>
      <w:marRight w:val="0"/>
      <w:marTop w:val="0"/>
      <w:marBottom w:val="0"/>
      <w:divBdr>
        <w:top w:val="none" w:sz="0" w:space="0" w:color="auto"/>
        <w:left w:val="none" w:sz="0" w:space="0" w:color="auto"/>
        <w:bottom w:val="none" w:sz="0" w:space="0" w:color="auto"/>
        <w:right w:val="none" w:sz="0" w:space="0" w:color="auto"/>
      </w:divBdr>
    </w:div>
    <w:div w:id="1217399557">
      <w:bodyDiv w:val="1"/>
      <w:marLeft w:val="0"/>
      <w:marRight w:val="0"/>
      <w:marTop w:val="0"/>
      <w:marBottom w:val="0"/>
      <w:divBdr>
        <w:top w:val="none" w:sz="0" w:space="0" w:color="auto"/>
        <w:left w:val="none" w:sz="0" w:space="0" w:color="auto"/>
        <w:bottom w:val="none" w:sz="0" w:space="0" w:color="auto"/>
        <w:right w:val="none" w:sz="0" w:space="0" w:color="auto"/>
      </w:divBdr>
    </w:div>
    <w:div w:id="1219051519">
      <w:bodyDiv w:val="1"/>
      <w:marLeft w:val="0"/>
      <w:marRight w:val="0"/>
      <w:marTop w:val="0"/>
      <w:marBottom w:val="0"/>
      <w:divBdr>
        <w:top w:val="none" w:sz="0" w:space="0" w:color="auto"/>
        <w:left w:val="none" w:sz="0" w:space="0" w:color="auto"/>
        <w:bottom w:val="none" w:sz="0" w:space="0" w:color="auto"/>
        <w:right w:val="none" w:sz="0" w:space="0" w:color="auto"/>
      </w:divBdr>
    </w:div>
    <w:div w:id="1228372648">
      <w:bodyDiv w:val="1"/>
      <w:marLeft w:val="0"/>
      <w:marRight w:val="0"/>
      <w:marTop w:val="0"/>
      <w:marBottom w:val="0"/>
      <w:divBdr>
        <w:top w:val="none" w:sz="0" w:space="0" w:color="auto"/>
        <w:left w:val="none" w:sz="0" w:space="0" w:color="auto"/>
        <w:bottom w:val="none" w:sz="0" w:space="0" w:color="auto"/>
        <w:right w:val="none" w:sz="0" w:space="0" w:color="auto"/>
      </w:divBdr>
    </w:div>
    <w:div w:id="1230461738">
      <w:bodyDiv w:val="1"/>
      <w:marLeft w:val="0"/>
      <w:marRight w:val="0"/>
      <w:marTop w:val="0"/>
      <w:marBottom w:val="0"/>
      <w:divBdr>
        <w:top w:val="none" w:sz="0" w:space="0" w:color="auto"/>
        <w:left w:val="none" w:sz="0" w:space="0" w:color="auto"/>
        <w:bottom w:val="none" w:sz="0" w:space="0" w:color="auto"/>
        <w:right w:val="none" w:sz="0" w:space="0" w:color="auto"/>
      </w:divBdr>
    </w:div>
    <w:div w:id="1236166186">
      <w:bodyDiv w:val="1"/>
      <w:marLeft w:val="0"/>
      <w:marRight w:val="0"/>
      <w:marTop w:val="0"/>
      <w:marBottom w:val="0"/>
      <w:divBdr>
        <w:top w:val="none" w:sz="0" w:space="0" w:color="auto"/>
        <w:left w:val="none" w:sz="0" w:space="0" w:color="auto"/>
        <w:bottom w:val="none" w:sz="0" w:space="0" w:color="auto"/>
        <w:right w:val="none" w:sz="0" w:space="0" w:color="auto"/>
      </w:divBdr>
    </w:div>
    <w:div w:id="1238830538">
      <w:bodyDiv w:val="1"/>
      <w:marLeft w:val="0"/>
      <w:marRight w:val="0"/>
      <w:marTop w:val="0"/>
      <w:marBottom w:val="0"/>
      <w:divBdr>
        <w:top w:val="none" w:sz="0" w:space="0" w:color="auto"/>
        <w:left w:val="none" w:sz="0" w:space="0" w:color="auto"/>
        <w:bottom w:val="none" w:sz="0" w:space="0" w:color="auto"/>
        <w:right w:val="none" w:sz="0" w:space="0" w:color="auto"/>
      </w:divBdr>
    </w:div>
    <w:div w:id="1242830689">
      <w:bodyDiv w:val="1"/>
      <w:marLeft w:val="0"/>
      <w:marRight w:val="0"/>
      <w:marTop w:val="0"/>
      <w:marBottom w:val="0"/>
      <w:divBdr>
        <w:top w:val="none" w:sz="0" w:space="0" w:color="auto"/>
        <w:left w:val="none" w:sz="0" w:space="0" w:color="auto"/>
        <w:bottom w:val="none" w:sz="0" w:space="0" w:color="auto"/>
        <w:right w:val="none" w:sz="0" w:space="0" w:color="auto"/>
      </w:divBdr>
    </w:div>
    <w:div w:id="1246692214">
      <w:bodyDiv w:val="1"/>
      <w:marLeft w:val="0"/>
      <w:marRight w:val="0"/>
      <w:marTop w:val="0"/>
      <w:marBottom w:val="0"/>
      <w:divBdr>
        <w:top w:val="none" w:sz="0" w:space="0" w:color="auto"/>
        <w:left w:val="none" w:sz="0" w:space="0" w:color="auto"/>
        <w:bottom w:val="none" w:sz="0" w:space="0" w:color="auto"/>
        <w:right w:val="none" w:sz="0" w:space="0" w:color="auto"/>
      </w:divBdr>
    </w:div>
    <w:div w:id="1254510114">
      <w:bodyDiv w:val="1"/>
      <w:marLeft w:val="0"/>
      <w:marRight w:val="0"/>
      <w:marTop w:val="0"/>
      <w:marBottom w:val="0"/>
      <w:divBdr>
        <w:top w:val="none" w:sz="0" w:space="0" w:color="auto"/>
        <w:left w:val="none" w:sz="0" w:space="0" w:color="auto"/>
        <w:bottom w:val="none" w:sz="0" w:space="0" w:color="auto"/>
        <w:right w:val="none" w:sz="0" w:space="0" w:color="auto"/>
      </w:divBdr>
    </w:div>
    <w:div w:id="1255016816">
      <w:bodyDiv w:val="1"/>
      <w:marLeft w:val="0"/>
      <w:marRight w:val="0"/>
      <w:marTop w:val="0"/>
      <w:marBottom w:val="0"/>
      <w:divBdr>
        <w:top w:val="none" w:sz="0" w:space="0" w:color="auto"/>
        <w:left w:val="none" w:sz="0" w:space="0" w:color="auto"/>
        <w:bottom w:val="none" w:sz="0" w:space="0" w:color="auto"/>
        <w:right w:val="none" w:sz="0" w:space="0" w:color="auto"/>
      </w:divBdr>
    </w:div>
    <w:div w:id="1255935183">
      <w:bodyDiv w:val="1"/>
      <w:marLeft w:val="0"/>
      <w:marRight w:val="0"/>
      <w:marTop w:val="0"/>
      <w:marBottom w:val="0"/>
      <w:divBdr>
        <w:top w:val="none" w:sz="0" w:space="0" w:color="auto"/>
        <w:left w:val="none" w:sz="0" w:space="0" w:color="auto"/>
        <w:bottom w:val="none" w:sz="0" w:space="0" w:color="auto"/>
        <w:right w:val="none" w:sz="0" w:space="0" w:color="auto"/>
      </w:divBdr>
    </w:div>
    <w:div w:id="1258908346">
      <w:bodyDiv w:val="1"/>
      <w:marLeft w:val="0"/>
      <w:marRight w:val="0"/>
      <w:marTop w:val="0"/>
      <w:marBottom w:val="0"/>
      <w:divBdr>
        <w:top w:val="none" w:sz="0" w:space="0" w:color="auto"/>
        <w:left w:val="none" w:sz="0" w:space="0" w:color="auto"/>
        <w:bottom w:val="none" w:sz="0" w:space="0" w:color="auto"/>
        <w:right w:val="none" w:sz="0" w:space="0" w:color="auto"/>
      </w:divBdr>
    </w:div>
    <w:div w:id="1266353046">
      <w:bodyDiv w:val="1"/>
      <w:marLeft w:val="0"/>
      <w:marRight w:val="0"/>
      <w:marTop w:val="0"/>
      <w:marBottom w:val="0"/>
      <w:divBdr>
        <w:top w:val="none" w:sz="0" w:space="0" w:color="auto"/>
        <w:left w:val="none" w:sz="0" w:space="0" w:color="auto"/>
        <w:bottom w:val="none" w:sz="0" w:space="0" w:color="auto"/>
        <w:right w:val="none" w:sz="0" w:space="0" w:color="auto"/>
      </w:divBdr>
    </w:div>
    <w:div w:id="1269123067">
      <w:bodyDiv w:val="1"/>
      <w:marLeft w:val="0"/>
      <w:marRight w:val="0"/>
      <w:marTop w:val="0"/>
      <w:marBottom w:val="0"/>
      <w:divBdr>
        <w:top w:val="none" w:sz="0" w:space="0" w:color="auto"/>
        <w:left w:val="none" w:sz="0" w:space="0" w:color="auto"/>
        <w:bottom w:val="none" w:sz="0" w:space="0" w:color="auto"/>
        <w:right w:val="none" w:sz="0" w:space="0" w:color="auto"/>
      </w:divBdr>
    </w:div>
    <w:div w:id="1276984523">
      <w:bodyDiv w:val="1"/>
      <w:marLeft w:val="0"/>
      <w:marRight w:val="0"/>
      <w:marTop w:val="0"/>
      <w:marBottom w:val="0"/>
      <w:divBdr>
        <w:top w:val="none" w:sz="0" w:space="0" w:color="auto"/>
        <w:left w:val="none" w:sz="0" w:space="0" w:color="auto"/>
        <w:bottom w:val="none" w:sz="0" w:space="0" w:color="auto"/>
        <w:right w:val="none" w:sz="0" w:space="0" w:color="auto"/>
      </w:divBdr>
    </w:div>
    <w:div w:id="1280259245">
      <w:bodyDiv w:val="1"/>
      <w:marLeft w:val="0"/>
      <w:marRight w:val="0"/>
      <w:marTop w:val="0"/>
      <w:marBottom w:val="0"/>
      <w:divBdr>
        <w:top w:val="none" w:sz="0" w:space="0" w:color="auto"/>
        <w:left w:val="none" w:sz="0" w:space="0" w:color="auto"/>
        <w:bottom w:val="none" w:sz="0" w:space="0" w:color="auto"/>
        <w:right w:val="none" w:sz="0" w:space="0" w:color="auto"/>
      </w:divBdr>
    </w:div>
    <w:div w:id="1299188196">
      <w:bodyDiv w:val="1"/>
      <w:marLeft w:val="0"/>
      <w:marRight w:val="0"/>
      <w:marTop w:val="0"/>
      <w:marBottom w:val="0"/>
      <w:divBdr>
        <w:top w:val="none" w:sz="0" w:space="0" w:color="auto"/>
        <w:left w:val="none" w:sz="0" w:space="0" w:color="auto"/>
        <w:bottom w:val="none" w:sz="0" w:space="0" w:color="auto"/>
        <w:right w:val="none" w:sz="0" w:space="0" w:color="auto"/>
      </w:divBdr>
    </w:div>
    <w:div w:id="1314456689">
      <w:bodyDiv w:val="1"/>
      <w:marLeft w:val="0"/>
      <w:marRight w:val="0"/>
      <w:marTop w:val="0"/>
      <w:marBottom w:val="0"/>
      <w:divBdr>
        <w:top w:val="none" w:sz="0" w:space="0" w:color="auto"/>
        <w:left w:val="none" w:sz="0" w:space="0" w:color="auto"/>
        <w:bottom w:val="none" w:sz="0" w:space="0" w:color="auto"/>
        <w:right w:val="none" w:sz="0" w:space="0" w:color="auto"/>
      </w:divBdr>
    </w:div>
    <w:div w:id="1314486552">
      <w:bodyDiv w:val="1"/>
      <w:marLeft w:val="0"/>
      <w:marRight w:val="0"/>
      <w:marTop w:val="0"/>
      <w:marBottom w:val="0"/>
      <w:divBdr>
        <w:top w:val="none" w:sz="0" w:space="0" w:color="auto"/>
        <w:left w:val="none" w:sz="0" w:space="0" w:color="auto"/>
        <w:bottom w:val="none" w:sz="0" w:space="0" w:color="auto"/>
        <w:right w:val="none" w:sz="0" w:space="0" w:color="auto"/>
      </w:divBdr>
    </w:div>
    <w:div w:id="1316497850">
      <w:bodyDiv w:val="1"/>
      <w:marLeft w:val="0"/>
      <w:marRight w:val="0"/>
      <w:marTop w:val="0"/>
      <w:marBottom w:val="0"/>
      <w:divBdr>
        <w:top w:val="none" w:sz="0" w:space="0" w:color="auto"/>
        <w:left w:val="none" w:sz="0" w:space="0" w:color="auto"/>
        <w:bottom w:val="none" w:sz="0" w:space="0" w:color="auto"/>
        <w:right w:val="none" w:sz="0" w:space="0" w:color="auto"/>
      </w:divBdr>
    </w:div>
    <w:div w:id="1317343522">
      <w:bodyDiv w:val="1"/>
      <w:marLeft w:val="0"/>
      <w:marRight w:val="0"/>
      <w:marTop w:val="0"/>
      <w:marBottom w:val="0"/>
      <w:divBdr>
        <w:top w:val="none" w:sz="0" w:space="0" w:color="auto"/>
        <w:left w:val="none" w:sz="0" w:space="0" w:color="auto"/>
        <w:bottom w:val="none" w:sz="0" w:space="0" w:color="auto"/>
        <w:right w:val="none" w:sz="0" w:space="0" w:color="auto"/>
      </w:divBdr>
    </w:div>
    <w:div w:id="1321033334">
      <w:bodyDiv w:val="1"/>
      <w:marLeft w:val="0"/>
      <w:marRight w:val="0"/>
      <w:marTop w:val="0"/>
      <w:marBottom w:val="0"/>
      <w:divBdr>
        <w:top w:val="none" w:sz="0" w:space="0" w:color="auto"/>
        <w:left w:val="none" w:sz="0" w:space="0" w:color="auto"/>
        <w:bottom w:val="none" w:sz="0" w:space="0" w:color="auto"/>
        <w:right w:val="none" w:sz="0" w:space="0" w:color="auto"/>
      </w:divBdr>
    </w:div>
    <w:div w:id="1321468534">
      <w:bodyDiv w:val="1"/>
      <w:marLeft w:val="0"/>
      <w:marRight w:val="0"/>
      <w:marTop w:val="0"/>
      <w:marBottom w:val="0"/>
      <w:divBdr>
        <w:top w:val="none" w:sz="0" w:space="0" w:color="auto"/>
        <w:left w:val="none" w:sz="0" w:space="0" w:color="auto"/>
        <w:bottom w:val="none" w:sz="0" w:space="0" w:color="auto"/>
        <w:right w:val="none" w:sz="0" w:space="0" w:color="auto"/>
      </w:divBdr>
    </w:div>
    <w:div w:id="1328678453">
      <w:bodyDiv w:val="1"/>
      <w:marLeft w:val="0"/>
      <w:marRight w:val="0"/>
      <w:marTop w:val="0"/>
      <w:marBottom w:val="0"/>
      <w:divBdr>
        <w:top w:val="none" w:sz="0" w:space="0" w:color="auto"/>
        <w:left w:val="none" w:sz="0" w:space="0" w:color="auto"/>
        <w:bottom w:val="none" w:sz="0" w:space="0" w:color="auto"/>
        <w:right w:val="none" w:sz="0" w:space="0" w:color="auto"/>
      </w:divBdr>
    </w:div>
    <w:div w:id="1331567491">
      <w:bodyDiv w:val="1"/>
      <w:marLeft w:val="0"/>
      <w:marRight w:val="0"/>
      <w:marTop w:val="0"/>
      <w:marBottom w:val="0"/>
      <w:divBdr>
        <w:top w:val="none" w:sz="0" w:space="0" w:color="auto"/>
        <w:left w:val="none" w:sz="0" w:space="0" w:color="auto"/>
        <w:bottom w:val="none" w:sz="0" w:space="0" w:color="auto"/>
        <w:right w:val="none" w:sz="0" w:space="0" w:color="auto"/>
      </w:divBdr>
    </w:div>
    <w:div w:id="1332952162">
      <w:bodyDiv w:val="1"/>
      <w:marLeft w:val="0"/>
      <w:marRight w:val="0"/>
      <w:marTop w:val="0"/>
      <w:marBottom w:val="0"/>
      <w:divBdr>
        <w:top w:val="none" w:sz="0" w:space="0" w:color="auto"/>
        <w:left w:val="none" w:sz="0" w:space="0" w:color="auto"/>
        <w:bottom w:val="none" w:sz="0" w:space="0" w:color="auto"/>
        <w:right w:val="none" w:sz="0" w:space="0" w:color="auto"/>
      </w:divBdr>
    </w:div>
    <w:div w:id="1338116125">
      <w:bodyDiv w:val="1"/>
      <w:marLeft w:val="0"/>
      <w:marRight w:val="0"/>
      <w:marTop w:val="0"/>
      <w:marBottom w:val="0"/>
      <w:divBdr>
        <w:top w:val="none" w:sz="0" w:space="0" w:color="auto"/>
        <w:left w:val="none" w:sz="0" w:space="0" w:color="auto"/>
        <w:bottom w:val="none" w:sz="0" w:space="0" w:color="auto"/>
        <w:right w:val="none" w:sz="0" w:space="0" w:color="auto"/>
      </w:divBdr>
    </w:div>
    <w:div w:id="1340543177">
      <w:bodyDiv w:val="1"/>
      <w:marLeft w:val="0"/>
      <w:marRight w:val="0"/>
      <w:marTop w:val="0"/>
      <w:marBottom w:val="0"/>
      <w:divBdr>
        <w:top w:val="none" w:sz="0" w:space="0" w:color="auto"/>
        <w:left w:val="none" w:sz="0" w:space="0" w:color="auto"/>
        <w:bottom w:val="none" w:sz="0" w:space="0" w:color="auto"/>
        <w:right w:val="none" w:sz="0" w:space="0" w:color="auto"/>
      </w:divBdr>
    </w:div>
    <w:div w:id="1340933634">
      <w:bodyDiv w:val="1"/>
      <w:marLeft w:val="0"/>
      <w:marRight w:val="0"/>
      <w:marTop w:val="0"/>
      <w:marBottom w:val="0"/>
      <w:divBdr>
        <w:top w:val="none" w:sz="0" w:space="0" w:color="auto"/>
        <w:left w:val="none" w:sz="0" w:space="0" w:color="auto"/>
        <w:bottom w:val="none" w:sz="0" w:space="0" w:color="auto"/>
        <w:right w:val="none" w:sz="0" w:space="0" w:color="auto"/>
      </w:divBdr>
    </w:div>
    <w:div w:id="1345866836">
      <w:bodyDiv w:val="1"/>
      <w:marLeft w:val="0"/>
      <w:marRight w:val="0"/>
      <w:marTop w:val="0"/>
      <w:marBottom w:val="0"/>
      <w:divBdr>
        <w:top w:val="none" w:sz="0" w:space="0" w:color="auto"/>
        <w:left w:val="none" w:sz="0" w:space="0" w:color="auto"/>
        <w:bottom w:val="none" w:sz="0" w:space="0" w:color="auto"/>
        <w:right w:val="none" w:sz="0" w:space="0" w:color="auto"/>
      </w:divBdr>
    </w:div>
    <w:div w:id="1347443025">
      <w:bodyDiv w:val="1"/>
      <w:marLeft w:val="0"/>
      <w:marRight w:val="0"/>
      <w:marTop w:val="0"/>
      <w:marBottom w:val="0"/>
      <w:divBdr>
        <w:top w:val="none" w:sz="0" w:space="0" w:color="auto"/>
        <w:left w:val="none" w:sz="0" w:space="0" w:color="auto"/>
        <w:bottom w:val="none" w:sz="0" w:space="0" w:color="auto"/>
        <w:right w:val="none" w:sz="0" w:space="0" w:color="auto"/>
      </w:divBdr>
    </w:div>
    <w:div w:id="1348212873">
      <w:bodyDiv w:val="1"/>
      <w:marLeft w:val="0"/>
      <w:marRight w:val="0"/>
      <w:marTop w:val="0"/>
      <w:marBottom w:val="0"/>
      <w:divBdr>
        <w:top w:val="none" w:sz="0" w:space="0" w:color="auto"/>
        <w:left w:val="none" w:sz="0" w:space="0" w:color="auto"/>
        <w:bottom w:val="none" w:sz="0" w:space="0" w:color="auto"/>
        <w:right w:val="none" w:sz="0" w:space="0" w:color="auto"/>
      </w:divBdr>
    </w:div>
    <w:div w:id="1353651568">
      <w:bodyDiv w:val="1"/>
      <w:marLeft w:val="0"/>
      <w:marRight w:val="0"/>
      <w:marTop w:val="0"/>
      <w:marBottom w:val="0"/>
      <w:divBdr>
        <w:top w:val="none" w:sz="0" w:space="0" w:color="auto"/>
        <w:left w:val="none" w:sz="0" w:space="0" w:color="auto"/>
        <w:bottom w:val="none" w:sz="0" w:space="0" w:color="auto"/>
        <w:right w:val="none" w:sz="0" w:space="0" w:color="auto"/>
      </w:divBdr>
    </w:div>
    <w:div w:id="1358191907">
      <w:bodyDiv w:val="1"/>
      <w:marLeft w:val="0"/>
      <w:marRight w:val="0"/>
      <w:marTop w:val="0"/>
      <w:marBottom w:val="0"/>
      <w:divBdr>
        <w:top w:val="none" w:sz="0" w:space="0" w:color="auto"/>
        <w:left w:val="none" w:sz="0" w:space="0" w:color="auto"/>
        <w:bottom w:val="none" w:sz="0" w:space="0" w:color="auto"/>
        <w:right w:val="none" w:sz="0" w:space="0" w:color="auto"/>
      </w:divBdr>
    </w:div>
    <w:div w:id="1359619117">
      <w:bodyDiv w:val="1"/>
      <w:marLeft w:val="0"/>
      <w:marRight w:val="0"/>
      <w:marTop w:val="0"/>
      <w:marBottom w:val="0"/>
      <w:divBdr>
        <w:top w:val="none" w:sz="0" w:space="0" w:color="auto"/>
        <w:left w:val="none" w:sz="0" w:space="0" w:color="auto"/>
        <w:bottom w:val="none" w:sz="0" w:space="0" w:color="auto"/>
        <w:right w:val="none" w:sz="0" w:space="0" w:color="auto"/>
      </w:divBdr>
    </w:div>
    <w:div w:id="1374233184">
      <w:bodyDiv w:val="1"/>
      <w:marLeft w:val="0"/>
      <w:marRight w:val="0"/>
      <w:marTop w:val="0"/>
      <w:marBottom w:val="0"/>
      <w:divBdr>
        <w:top w:val="none" w:sz="0" w:space="0" w:color="auto"/>
        <w:left w:val="none" w:sz="0" w:space="0" w:color="auto"/>
        <w:bottom w:val="none" w:sz="0" w:space="0" w:color="auto"/>
        <w:right w:val="none" w:sz="0" w:space="0" w:color="auto"/>
      </w:divBdr>
    </w:div>
    <w:div w:id="1380981445">
      <w:bodyDiv w:val="1"/>
      <w:marLeft w:val="0"/>
      <w:marRight w:val="0"/>
      <w:marTop w:val="0"/>
      <w:marBottom w:val="0"/>
      <w:divBdr>
        <w:top w:val="none" w:sz="0" w:space="0" w:color="auto"/>
        <w:left w:val="none" w:sz="0" w:space="0" w:color="auto"/>
        <w:bottom w:val="none" w:sz="0" w:space="0" w:color="auto"/>
        <w:right w:val="none" w:sz="0" w:space="0" w:color="auto"/>
      </w:divBdr>
    </w:div>
    <w:div w:id="1381057610">
      <w:bodyDiv w:val="1"/>
      <w:marLeft w:val="0"/>
      <w:marRight w:val="0"/>
      <w:marTop w:val="0"/>
      <w:marBottom w:val="0"/>
      <w:divBdr>
        <w:top w:val="none" w:sz="0" w:space="0" w:color="auto"/>
        <w:left w:val="none" w:sz="0" w:space="0" w:color="auto"/>
        <w:bottom w:val="none" w:sz="0" w:space="0" w:color="auto"/>
        <w:right w:val="none" w:sz="0" w:space="0" w:color="auto"/>
      </w:divBdr>
    </w:div>
    <w:div w:id="1381710497">
      <w:bodyDiv w:val="1"/>
      <w:marLeft w:val="0"/>
      <w:marRight w:val="0"/>
      <w:marTop w:val="0"/>
      <w:marBottom w:val="0"/>
      <w:divBdr>
        <w:top w:val="none" w:sz="0" w:space="0" w:color="auto"/>
        <w:left w:val="none" w:sz="0" w:space="0" w:color="auto"/>
        <w:bottom w:val="none" w:sz="0" w:space="0" w:color="auto"/>
        <w:right w:val="none" w:sz="0" w:space="0" w:color="auto"/>
      </w:divBdr>
    </w:div>
    <w:div w:id="1390805845">
      <w:bodyDiv w:val="1"/>
      <w:marLeft w:val="0"/>
      <w:marRight w:val="0"/>
      <w:marTop w:val="0"/>
      <w:marBottom w:val="0"/>
      <w:divBdr>
        <w:top w:val="none" w:sz="0" w:space="0" w:color="auto"/>
        <w:left w:val="none" w:sz="0" w:space="0" w:color="auto"/>
        <w:bottom w:val="none" w:sz="0" w:space="0" w:color="auto"/>
        <w:right w:val="none" w:sz="0" w:space="0" w:color="auto"/>
      </w:divBdr>
    </w:div>
    <w:div w:id="1405446746">
      <w:bodyDiv w:val="1"/>
      <w:marLeft w:val="0"/>
      <w:marRight w:val="0"/>
      <w:marTop w:val="0"/>
      <w:marBottom w:val="0"/>
      <w:divBdr>
        <w:top w:val="none" w:sz="0" w:space="0" w:color="auto"/>
        <w:left w:val="none" w:sz="0" w:space="0" w:color="auto"/>
        <w:bottom w:val="none" w:sz="0" w:space="0" w:color="auto"/>
        <w:right w:val="none" w:sz="0" w:space="0" w:color="auto"/>
      </w:divBdr>
    </w:div>
    <w:div w:id="1406368929">
      <w:bodyDiv w:val="1"/>
      <w:marLeft w:val="0"/>
      <w:marRight w:val="0"/>
      <w:marTop w:val="0"/>
      <w:marBottom w:val="0"/>
      <w:divBdr>
        <w:top w:val="none" w:sz="0" w:space="0" w:color="auto"/>
        <w:left w:val="none" w:sz="0" w:space="0" w:color="auto"/>
        <w:bottom w:val="none" w:sz="0" w:space="0" w:color="auto"/>
        <w:right w:val="none" w:sz="0" w:space="0" w:color="auto"/>
      </w:divBdr>
    </w:div>
    <w:div w:id="1406755745">
      <w:bodyDiv w:val="1"/>
      <w:marLeft w:val="0"/>
      <w:marRight w:val="0"/>
      <w:marTop w:val="0"/>
      <w:marBottom w:val="0"/>
      <w:divBdr>
        <w:top w:val="none" w:sz="0" w:space="0" w:color="auto"/>
        <w:left w:val="none" w:sz="0" w:space="0" w:color="auto"/>
        <w:bottom w:val="none" w:sz="0" w:space="0" w:color="auto"/>
        <w:right w:val="none" w:sz="0" w:space="0" w:color="auto"/>
      </w:divBdr>
    </w:div>
    <w:div w:id="1411078311">
      <w:bodyDiv w:val="1"/>
      <w:marLeft w:val="0"/>
      <w:marRight w:val="0"/>
      <w:marTop w:val="0"/>
      <w:marBottom w:val="0"/>
      <w:divBdr>
        <w:top w:val="none" w:sz="0" w:space="0" w:color="auto"/>
        <w:left w:val="none" w:sz="0" w:space="0" w:color="auto"/>
        <w:bottom w:val="none" w:sz="0" w:space="0" w:color="auto"/>
        <w:right w:val="none" w:sz="0" w:space="0" w:color="auto"/>
      </w:divBdr>
    </w:div>
    <w:div w:id="1412433688">
      <w:bodyDiv w:val="1"/>
      <w:marLeft w:val="0"/>
      <w:marRight w:val="0"/>
      <w:marTop w:val="0"/>
      <w:marBottom w:val="0"/>
      <w:divBdr>
        <w:top w:val="none" w:sz="0" w:space="0" w:color="auto"/>
        <w:left w:val="none" w:sz="0" w:space="0" w:color="auto"/>
        <w:bottom w:val="none" w:sz="0" w:space="0" w:color="auto"/>
        <w:right w:val="none" w:sz="0" w:space="0" w:color="auto"/>
      </w:divBdr>
    </w:div>
    <w:div w:id="1414082512">
      <w:bodyDiv w:val="1"/>
      <w:marLeft w:val="0"/>
      <w:marRight w:val="0"/>
      <w:marTop w:val="0"/>
      <w:marBottom w:val="0"/>
      <w:divBdr>
        <w:top w:val="none" w:sz="0" w:space="0" w:color="auto"/>
        <w:left w:val="none" w:sz="0" w:space="0" w:color="auto"/>
        <w:bottom w:val="none" w:sz="0" w:space="0" w:color="auto"/>
        <w:right w:val="none" w:sz="0" w:space="0" w:color="auto"/>
      </w:divBdr>
    </w:div>
    <w:div w:id="1417481981">
      <w:bodyDiv w:val="1"/>
      <w:marLeft w:val="0"/>
      <w:marRight w:val="0"/>
      <w:marTop w:val="0"/>
      <w:marBottom w:val="0"/>
      <w:divBdr>
        <w:top w:val="none" w:sz="0" w:space="0" w:color="auto"/>
        <w:left w:val="none" w:sz="0" w:space="0" w:color="auto"/>
        <w:bottom w:val="none" w:sz="0" w:space="0" w:color="auto"/>
        <w:right w:val="none" w:sz="0" w:space="0" w:color="auto"/>
      </w:divBdr>
    </w:div>
    <w:div w:id="1421364392">
      <w:bodyDiv w:val="1"/>
      <w:marLeft w:val="0"/>
      <w:marRight w:val="0"/>
      <w:marTop w:val="0"/>
      <w:marBottom w:val="0"/>
      <w:divBdr>
        <w:top w:val="none" w:sz="0" w:space="0" w:color="auto"/>
        <w:left w:val="none" w:sz="0" w:space="0" w:color="auto"/>
        <w:bottom w:val="none" w:sz="0" w:space="0" w:color="auto"/>
        <w:right w:val="none" w:sz="0" w:space="0" w:color="auto"/>
      </w:divBdr>
    </w:div>
    <w:div w:id="1429234399">
      <w:bodyDiv w:val="1"/>
      <w:marLeft w:val="0"/>
      <w:marRight w:val="0"/>
      <w:marTop w:val="0"/>
      <w:marBottom w:val="0"/>
      <w:divBdr>
        <w:top w:val="none" w:sz="0" w:space="0" w:color="auto"/>
        <w:left w:val="none" w:sz="0" w:space="0" w:color="auto"/>
        <w:bottom w:val="none" w:sz="0" w:space="0" w:color="auto"/>
        <w:right w:val="none" w:sz="0" w:space="0" w:color="auto"/>
      </w:divBdr>
    </w:div>
    <w:div w:id="1434738702">
      <w:bodyDiv w:val="1"/>
      <w:marLeft w:val="0"/>
      <w:marRight w:val="0"/>
      <w:marTop w:val="0"/>
      <w:marBottom w:val="0"/>
      <w:divBdr>
        <w:top w:val="none" w:sz="0" w:space="0" w:color="auto"/>
        <w:left w:val="none" w:sz="0" w:space="0" w:color="auto"/>
        <w:bottom w:val="none" w:sz="0" w:space="0" w:color="auto"/>
        <w:right w:val="none" w:sz="0" w:space="0" w:color="auto"/>
      </w:divBdr>
    </w:div>
    <w:div w:id="1443574408">
      <w:bodyDiv w:val="1"/>
      <w:marLeft w:val="0"/>
      <w:marRight w:val="0"/>
      <w:marTop w:val="0"/>
      <w:marBottom w:val="0"/>
      <w:divBdr>
        <w:top w:val="none" w:sz="0" w:space="0" w:color="auto"/>
        <w:left w:val="none" w:sz="0" w:space="0" w:color="auto"/>
        <w:bottom w:val="none" w:sz="0" w:space="0" w:color="auto"/>
        <w:right w:val="none" w:sz="0" w:space="0" w:color="auto"/>
      </w:divBdr>
    </w:div>
    <w:div w:id="1446340708">
      <w:bodyDiv w:val="1"/>
      <w:marLeft w:val="0"/>
      <w:marRight w:val="0"/>
      <w:marTop w:val="0"/>
      <w:marBottom w:val="0"/>
      <w:divBdr>
        <w:top w:val="none" w:sz="0" w:space="0" w:color="auto"/>
        <w:left w:val="none" w:sz="0" w:space="0" w:color="auto"/>
        <w:bottom w:val="none" w:sz="0" w:space="0" w:color="auto"/>
        <w:right w:val="none" w:sz="0" w:space="0" w:color="auto"/>
      </w:divBdr>
    </w:div>
    <w:div w:id="1446774330">
      <w:bodyDiv w:val="1"/>
      <w:marLeft w:val="0"/>
      <w:marRight w:val="0"/>
      <w:marTop w:val="0"/>
      <w:marBottom w:val="0"/>
      <w:divBdr>
        <w:top w:val="none" w:sz="0" w:space="0" w:color="auto"/>
        <w:left w:val="none" w:sz="0" w:space="0" w:color="auto"/>
        <w:bottom w:val="none" w:sz="0" w:space="0" w:color="auto"/>
        <w:right w:val="none" w:sz="0" w:space="0" w:color="auto"/>
      </w:divBdr>
    </w:div>
    <w:div w:id="1447625540">
      <w:bodyDiv w:val="1"/>
      <w:marLeft w:val="0"/>
      <w:marRight w:val="0"/>
      <w:marTop w:val="0"/>
      <w:marBottom w:val="0"/>
      <w:divBdr>
        <w:top w:val="none" w:sz="0" w:space="0" w:color="auto"/>
        <w:left w:val="none" w:sz="0" w:space="0" w:color="auto"/>
        <w:bottom w:val="none" w:sz="0" w:space="0" w:color="auto"/>
        <w:right w:val="none" w:sz="0" w:space="0" w:color="auto"/>
      </w:divBdr>
    </w:div>
    <w:div w:id="1463039884">
      <w:bodyDiv w:val="1"/>
      <w:marLeft w:val="0"/>
      <w:marRight w:val="0"/>
      <w:marTop w:val="0"/>
      <w:marBottom w:val="0"/>
      <w:divBdr>
        <w:top w:val="none" w:sz="0" w:space="0" w:color="auto"/>
        <w:left w:val="none" w:sz="0" w:space="0" w:color="auto"/>
        <w:bottom w:val="none" w:sz="0" w:space="0" w:color="auto"/>
        <w:right w:val="none" w:sz="0" w:space="0" w:color="auto"/>
      </w:divBdr>
    </w:div>
    <w:div w:id="1463380595">
      <w:bodyDiv w:val="1"/>
      <w:marLeft w:val="0"/>
      <w:marRight w:val="0"/>
      <w:marTop w:val="0"/>
      <w:marBottom w:val="0"/>
      <w:divBdr>
        <w:top w:val="none" w:sz="0" w:space="0" w:color="auto"/>
        <w:left w:val="none" w:sz="0" w:space="0" w:color="auto"/>
        <w:bottom w:val="none" w:sz="0" w:space="0" w:color="auto"/>
        <w:right w:val="none" w:sz="0" w:space="0" w:color="auto"/>
      </w:divBdr>
    </w:div>
    <w:div w:id="1463616407">
      <w:bodyDiv w:val="1"/>
      <w:marLeft w:val="0"/>
      <w:marRight w:val="0"/>
      <w:marTop w:val="0"/>
      <w:marBottom w:val="0"/>
      <w:divBdr>
        <w:top w:val="none" w:sz="0" w:space="0" w:color="auto"/>
        <w:left w:val="none" w:sz="0" w:space="0" w:color="auto"/>
        <w:bottom w:val="none" w:sz="0" w:space="0" w:color="auto"/>
        <w:right w:val="none" w:sz="0" w:space="0" w:color="auto"/>
      </w:divBdr>
    </w:div>
    <w:div w:id="1464083190">
      <w:bodyDiv w:val="1"/>
      <w:marLeft w:val="0"/>
      <w:marRight w:val="0"/>
      <w:marTop w:val="0"/>
      <w:marBottom w:val="0"/>
      <w:divBdr>
        <w:top w:val="none" w:sz="0" w:space="0" w:color="auto"/>
        <w:left w:val="none" w:sz="0" w:space="0" w:color="auto"/>
        <w:bottom w:val="none" w:sz="0" w:space="0" w:color="auto"/>
        <w:right w:val="none" w:sz="0" w:space="0" w:color="auto"/>
      </w:divBdr>
    </w:div>
    <w:div w:id="1464273488">
      <w:bodyDiv w:val="1"/>
      <w:marLeft w:val="0"/>
      <w:marRight w:val="0"/>
      <w:marTop w:val="0"/>
      <w:marBottom w:val="0"/>
      <w:divBdr>
        <w:top w:val="none" w:sz="0" w:space="0" w:color="auto"/>
        <w:left w:val="none" w:sz="0" w:space="0" w:color="auto"/>
        <w:bottom w:val="none" w:sz="0" w:space="0" w:color="auto"/>
        <w:right w:val="none" w:sz="0" w:space="0" w:color="auto"/>
      </w:divBdr>
    </w:div>
    <w:div w:id="1475757613">
      <w:bodyDiv w:val="1"/>
      <w:marLeft w:val="0"/>
      <w:marRight w:val="0"/>
      <w:marTop w:val="0"/>
      <w:marBottom w:val="0"/>
      <w:divBdr>
        <w:top w:val="none" w:sz="0" w:space="0" w:color="auto"/>
        <w:left w:val="none" w:sz="0" w:space="0" w:color="auto"/>
        <w:bottom w:val="none" w:sz="0" w:space="0" w:color="auto"/>
        <w:right w:val="none" w:sz="0" w:space="0" w:color="auto"/>
      </w:divBdr>
    </w:div>
    <w:div w:id="1480995169">
      <w:bodyDiv w:val="1"/>
      <w:marLeft w:val="0"/>
      <w:marRight w:val="0"/>
      <w:marTop w:val="0"/>
      <w:marBottom w:val="0"/>
      <w:divBdr>
        <w:top w:val="none" w:sz="0" w:space="0" w:color="auto"/>
        <w:left w:val="none" w:sz="0" w:space="0" w:color="auto"/>
        <w:bottom w:val="none" w:sz="0" w:space="0" w:color="auto"/>
        <w:right w:val="none" w:sz="0" w:space="0" w:color="auto"/>
      </w:divBdr>
    </w:div>
    <w:div w:id="1491213490">
      <w:bodyDiv w:val="1"/>
      <w:marLeft w:val="0"/>
      <w:marRight w:val="0"/>
      <w:marTop w:val="0"/>
      <w:marBottom w:val="0"/>
      <w:divBdr>
        <w:top w:val="none" w:sz="0" w:space="0" w:color="auto"/>
        <w:left w:val="none" w:sz="0" w:space="0" w:color="auto"/>
        <w:bottom w:val="none" w:sz="0" w:space="0" w:color="auto"/>
        <w:right w:val="none" w:sz="0" w:space="0" w:color="auto"/>
      </w:divBdr>
    </w:div>
    <w:div w:id="1498576432">
      <w:bodyDiv w:val="1"/>
      <w:marLeft w:val="0"/>
      <w:marRight w:val="0"/>
      <w:marTop w:val="0"/>
      <w:marBottom w:val="0"/>
      <w:divBdr>
        <w:top w:val="none" w:sz="0" w:space="0" w:color="auto"/>
        <w:left w:val="none" w:sz="0" w:space="0" w:color="auto"/>
        <w:bottom w:val="none" w:sz="0" w:space="0" w:color="auto"/>
        <w:right w:val="none" w:sz="0" w:space="0" w:color="auto"/>
      </w:divBdr>
    </w:div>
    <w:div w:id="1506553517">
      <w:bodyDiv w:val="1"/>
      <w:marLeft w:val="0"/>
      <w:marRight w:val="0"/>
      <w:marTop w:val="0"/>
      <w:marBottom w:val="0"/>
      <w:divBdr>
        <w:top w:val="none" w:sz="0" w:space="0" w:color="auto"/>
        <w:left w:val="none" w:sz="0" w:space="0" w:color="auto"/>
        <w:bottom w:val="none" w:sz="0" w:space="0" w:color="auto"/>
        <w:right w:val="none" w:sz="0" w:space="0" w:color="auto"/>
      </w:divBdr>
    </w:div>
    <w:div w:id="1516797643">
      <w:bodyDiv w:val="1"/>
      <w:marLeft w:val="0"/>
      <w:marRight w:val="0"/>
      <w:marTop w:val="0"/>
      <w:marBottom w:val="0"/>
      <w:divBdr>
        <w:top w:val="none" w:sz="0" w:space="0" w:color="auto"/>
        <w:left w:val="none" w:sz="0" w:space="0" w:color="auto"/>
        <w:bottom w:val="none" w:sz="0" w:space="0" w:color="auto"/>
        <w:right w:val="none" w:sz="0" w:space="0" w:color="auto"/>
      </w:divBdr>
    </w:div>
    <w:div w:id="1531605116">
      <w:bodyDiv w:val="1"/>
      <w:marLeft w:val="0"/>
      <w:marRight w:val="0"/>
      <w:marTop w:val="0"/>
      <w:marBottom w:val="0"/>
      <w:divBdr>
        <w:top w:val="none" w:sz="0" w:space="0" w:color="auto"/>
        <w:left w:val="none" w:sz="0" w:space="0" w:color="auto"/>
        <w:bottom w:val="none" w:sz="0" w:space="0" w:color="auto"/>
        <w:right w:val="none" w:sz="0" w:space="0" w:color="auto"/>
      </w:divBdr>
    </w:div>
    <w:div w:id="1532184496">
      <w:bodyDiv w:val="1"/>
      <w:marLeft w:val="0"/>
      <w:marRight w:val="0"/>
      <w:marTop w:val="0"/>
      <w:marBottom w:val="0"/>
      <w:divBdr>
        <w:top w:val="none" w:sz="0" w:space="0" w:color="auto"/>
        <w:left w:val="none" w:sz="0" w:space="0" w:color="auto"/>
        <w:bottom w:val="none" w:sz="0" w:space="0" w:color="auto"/>
        <w:right w:val="none" w:sz="0" w:space="0" w:color="auto"/>
      </w:divBdr>
    </w:div>
    <w:div w:id="1532256615">
      <w:bodyDiv w:val="1"/>
      <w:marLeft w:val="0"/>
      <w:marRight w:val="0"/>
      <w:marTop w:val="0"/>
      <w:marBottom w:val="0"/>
      <w:divBdr>
        <w:top w:val="none" w:sz="0" w:space="0" w:color="auto"/>
        <w:left w:val="none" w:sz="0" w:space="0" w:color="auto"/>
        <w:bottom w:val="none" w:sz="0" w:space="0" w:color="auto"/>
        <w:right w:val="none" w:sz="0" w:space="0" w:color="auto"/>
      </w:divBdr>
    </w:div>
    <w:div w:id="1535998017">
      <w:bodyDiv w:val="1"/>
      <w:marLeft w:val="0"/>
      <w:marRight w:val="0"/>
      <w:marTop w:val="0"/>
      <w:marBottom w:val="0"/>
      <w:divBdr>
        <w:top w:val="none" w:sz="0" w:space="0" w:color="auto"/>
        <w:left w:val="none" w:sz="0" w:space="0" w:color="auto"/>
        <w:bottom w:val="none" w:sz="0" w:space="0" w:color="auto"/>
        <w:right w:val="none" w:sz="0" w:space="0" w:color="auto"/>
      </w:divBdr>
    </w:div>
    <w:div w:id="1543324988">
      <w:bodyDiv w:val="1"/>
      <w:marLeft w:val="0"/>
      <w:marRight w:val="0"/>
      <w:marTop w:val="0"/>
      <w:marBottom w:val="0"/>
      <w:divBdr>
        <w:top w:val="none" w:sz="0" w:space="0" w:color="auto"/>
        <w:left w:val="none" w:sz="0" w:space="0" w:color="auto"/>
        <w:bottom w:val="none" w:sz="0" w:space="0" w:color="auto"/>
        <w:right w:val="none" w:sz="0" w:space="0" w:color="auto"/>
      </w:divBdr>
    </w:div>
    <w:div w:id="1545870909">
      <w:bodyDiv w:val="1"/>
      <w:marLeft w:val="0"/>
      <w:marRight w:val="0"/>
      <w:marTop w:val="0"/>
      <w:marBottom w:val="0"/>
      <w:divBdr>
        <w:top w:val="none" w:sz="0" w:space="0" w:color="auto"/>
        <w:left w:val="none" w:sz="0" w:space="0" w:color="auto"/>
        <w:bottom w:val="none" w:sz="0" w:space="0" w:color="auto"/>
        <w:right w:val="none" w:sz="0" w:space="0" w:color="auto"/>
      </w:divBdr>
    </w:div>
    <w:div w:id="1547527581">
      <w:bodyDiv w:val="1"/>
      <w:marLeft w:val="0"/>
      <w:marRight w:val="0"/>
      <w:marTop w:val="0"/>
      <w:marBottom w:val="0"/>
      <w:divBdr>
        <w:top w:val="none" w:sz="0" w:space="0" w:color="auto"/>
        <w:left w:val="none" w:sz="0" w:space="0" w:color="auto"/>
        <w:bottom w:val="none" w:sz="0" w:space="0" w:color="auto"/>
        <w:right w:val="none" w:sz="0" w:space="0" w:color="auto"/>
      </w:divBdr>
    </w:div>
    <w:div w:id="1550603478">
      <w:bodyDiv w:val="1"/>
      <w:marLeft w:val="0"/>
      <w:marRight w:val="0"/>
      <w:marTop w:val="0"/>
      <w:marBottom w:val="0"/>
      <w:divBdr>
        <w:top w:val="none" w:sz="0" w:space="0" w:color="auto"/>
        <w:left w:val="none" w:sz="0" w:space="0" w:color="auto"/>
        <w:bottom w:val="none" w:sz="0" w:space="0" w:color="auto"/>
        <w:right w:val="none" w:sz="0" w:space="0" w:color="auto"/>
      </w:divBdr>
    </w:div>
    <w:div w:id="1551724409">
      <w:bodyDiv w:val="1"/>
      <w:marLeft w:val="0"/>
      <w:marRight w:val="0"/>
      <w:marTop w:val="0"/>
      <w:marBottom w:val="0"/>
      <w:divBdr>
        <w:top w:val="none" w:sz="0" w:space="0" w:color="auto"/>
        <w:left w:val="none" w:sz="0" w:space="0" w:color="auto"/>
        <w:bottom w:val="none" w:sz="0" w:space="0" w:color="auto"/>
        <w:right w:val="none" w:sz="0" w:space="0" w:color="auto"/>
      </w:divBdr>
    </w:div>
    <w:div w:id="1553543008">
      <w:bodyDiv w:val="1"/>
      <w:marLeft w:val="0"/>
      <w:marRight w:val="0"/>
      <w:marTop w:val="0"/>
      <w:marBottom w:val="0"/>
      <w:divBdr>
        <w:top w:val="none" w:sz="0" w:space="0" w:color="auto"/>
        <w:left w:val="none" w:sz="0" w:space="0" w:color="auto"/>
        <w:bottom w:val="none" w:sz="0" w:space="0" w:color="auto"/>
        <w:right w:val="none" w:sz="0" w:space="0" w:color="auto"/>
      </w:divBdr>
    </w:div>
    <w:div w:id="1555696513">
      <w:bodyDiv w:val="1"/>
      <w:marLeft w:val="0"/>
      <w:marRight w:val="0"/>
      <w:marTop w:val="0"/>
      <w:marBottom w:val="0"/>
      <w:divBdr>
        <w:top w:val="none" w:sz="0" w:space="0" w:color="auto"/>
        <w:left w:val="none" w:sz="0" w:space="0" w:color="auto"/>
        <w:bottom w:val="none" w:sz="0" w:space="0" w:color="auto"/>
        <w:right w:val="none" w:sz="0" w:space="0" w:color="auto"/>
      </w:divBdr>
    </w:div>
    <w:div w:id="1563558171">
      <w:bodyDiv w:val="1"/>
      <w:marLeft w:val="0"/>
      <w:marRight w:val="0"/>
      <w:marTop w:val="0"/>
      <w:marBottom w:val="0"/>
      <w:divBdr>
        <w:top w:val="none" w:sz="0" w:space="0" w:color="auto"/>
        <w:left w:val="none" w:sz="0" w:space="0" w:color="auto"/>
        <w:bottom w:val="none" w:sz="0" w:space="0" w:color="auto"/>
        <w:right w:val="none" w:sz="0" w:space="0" w:color="auto"/>
      </w:divBdr>
    </w:div>
    <w:div w:id="1564829554">
      <w:bodyDiv w:val="1"/>
      <w:marLeft w:val="0"/>
      <w:marRight w:val="0"/>
      <w:marTop w:val="0"/>
      <w:marBottom w:val="0"/>
      <w:divBdr>
        <w:top w:val="none" w:sz="0" w:space="0" w:color="auto"/>
        <w:left w:val="none" w:sz="0" w:space="0" w:color="auto"/>
        <w:bottom w:val="none" w:sz="0" w:space="0" w:color="auto"/>
        <w:right w:val="none" w:sz="0" w:space="0" w:color="auto"/>
      </w:divBdr>
    </w:div>
    <w:div w:id="1570461094">
      <w:bodyDiv w:val="1"/>
      <w:marLeft w:val="0"/>
      <w:marRight w:val="0"/>
      <w:marTop w:val="0"/>
      <w:marBottom w:val="0"/>
      <w:divBdr>
        <w:top w:val="none" w:sz="0" w:space="0" w:color="auto"/>
        <w:left w:val="none" w:sz="0" w:space="0" w:color="auto"/>
        <w:bottom w:val="none" w:sz="0" w:space="0" w:color="auto"/>
        <w:right w:val="none" w:sz="0" w:space="0" w:color="auto"/>
      </w:divBdr>
    </w:div>
    <w:div w:id="1574193373">
      <w:bodyDiv w:val="1"/>
      <w:marLeft w:val="0"/>
      <w:marRight w:val="0"/>
      <w:marTop w:val="0"/>
      <w:marBottom w:val="0"/>
      <w:divBdr>
        <w:top w:val="none" w:sz="0" w:space="0" w:color="auto"/>
        <w:left w:val="none" w:sz="0" w:space="0" w:color="auto"/>
        <w:bottom w:val="none" w:sz="0" w:space="0" w:color="auto"/>
        <w:right w:val="none" w:sz="0" w:space="0" w:color="auto"/>
      </w:divBdr>
    </w:div>
    <w:div w:id="1581253792">
      <w:bodyDiv w:val="1"/>
      <w:marLeft w:val="0"/>
      <w:marRight w:val="0"/>
      <w:marTop w:val="0"/>
      <w:marBottom w:val="0"/>
      <w:divBdr>
        <w:top w:val="none" w:sz="0" w:space="0" w:color="auto"/>
        <w:left w:val="none" w:sz="0" w:space="0" w:color="auto"/>
        <w:bottom w:val="none" w:sz="0" w:space="0" w:color="auto"/>
        <w:right w:val="none" w:sz="0" w:space="0" w:color="auto"/>
      </w:divBdr>
    </w:div>
    <w:div w:id="1581981430">
      <w:bodyDiv w:val="1"/>
      <w:marLeft w:val="0"/>
      <w:marRight w:val="0"/>
      <w:marTop w:val="0"/>
      <w:marBottom w:val="0"/>
      <w:divBdr>
        <w:top w:val="none" w:sz="0" w:space="0" w:color="auto"/>
        <w:left w:val="none" w:sz="0" w:space="0" w:color="auto"/>
        <w:bottom w:val="none" w:sz="0" w:space="0" w:color="auto"/>
        <w:right w:val="none" w:sz="0" w:space="0" w:color="auto"/>
      </w:divBdr>
    </w:div>
    <w:div w:id="1583103985">
      <w:bodyDiv w:val="1"/>
      <w:marLeft w:val="0"/>
      <w:marRight w:val="0"/>
      <w:marTop w:val="0"/>
      <w:marBottom w:val="0"/>
      <w:divBdr>
        <w:top w:val="none" w:sz="0" w:space="0" w:color="auto"/>
        <w:left w:val="none" w:sz="0" w:space="0" w:color="auto"/>
        <w:bottom w:val="none" w:sz="0" w:space="0" w:color="auto"/>
        <w:right w:val="none" w:sz="0" w:space="0" w:color="auto"/>
      </w:divBdr>
    </w:div>
    <w:div w:id="1583637133">
      <w:bodyDiv w:val="1"/>
      <w:marLeft w:val="0"/>
      <w:marRight w:val="0"/>
      <w:marTop w:val="0"/>
      <w:marBottom w:val="0"/>
      <w:divBdr>
        <w:top w:val="none" w:sz="0" w:space="0" w:color="auto"/>
        <w:left w:val="none" w:sz="0" w:space="0" w:color="auto"/>
        <w:bottom w:val="none" w:sz="0" w:space="0" w:color="auto"/>
        <w:right w:val="none" w:sz="0" w:space="0" w:color="auto"/>
      </w:divBdr>
    </w:div>
    <w:div w:id="1585064695">
      <w:bodyDiv w:val="1"/>
      <w:marLeft w:val="0"/>
      <w:marRight w:val="0"/>
      <w:marTop w:val="0"/>
      <w:marBottom w:val="0"/>
      <w:divBdr>
        <w:top w:val="none" w:sz="0" w:space="0" w:color="auto"/>
        <w:left w:val="none" w:sz="0" w:space="0" w:color="auto"/>
        <w:bottom w:val="none" w:sz="0" w:space="0" w:color="auto"/>
        <w:right w:val="none" w:sz="0" w:space="0" w:color="auto"/>
      </w:divBdr>
    </w:div>
    <w:div w:id="1586497113">
      <w:bodyDiv w:val="1"/>
      <w:marLeft w:val="0"/>
      <w:marRight w:val="0"/>
      <w:marTop w:val="0"/>
      <w:marBottom w:val="0"/>
      <w:divBdr>
        <w:top w:val="none" w:sz="0" w:space="0" w:color="auto"/>
        <w:left w:val="none" w:sz="0" w:space="0" w:color="auto"/>
        <w:bottom w:val="none" w:sz="0" w:space="0" w:color="auto"/>
        <w:right w:val="none" w:sz="0" w:space="0" w:color="auto"/>
      </w:divBdr>
    </w:div>
    <w:div w:id="1597589944">
      <w:bodyDiv w:val="1"/>
      <w:marLeft w:val="0"/>
      <w:marRight w:val="0"/>
      <w:marTop w:val="0"/>
      <w:marBottom w:val="0"/>
      <w:divBdr>
        <w:top w:val="none" w:sz="0" w:space="0" w:color="auto"/>
        <w:left w:val="none" w:sz="0" w:space="0" w:color="auto"/>
        <w:bottom w:val="none" w:sz="0" w:space="0" w:color="auto"/>
        <w:right w:val="none" w:sz="0" w:space="0" w:color="auto"/>
      </w:divBdr>
    </w:div>
    <w:div w:id="1598517224">
      <w:bodyDiv w:val="1"/>
      <w:marLeft w:val="0"/>
      <w:marRight w:val="0"/>
      <w:marTop w:val="0"/>
      <w:marBottom w:val="0"/>
      <w:divBdr>
        <w:top w:val="none" w:sz="0" w:space="0" w:color="auto"/>
        <w:left w:val="none" w:sz="0" w:space="0" w:color="auto"/>
        <w:bottom w:val="none" w:sz="0" w:space="0" w:color="auto"/>
        <w:right w:val="none" w:sz="0" w:space="0" w:color="auto"/>
      </w:divBdr>
    </w:div>
    <w:div w:id="1603604821">
      <w:bodyDiv w:val="1"/>
      <w:marLeft w:val="0"/>
      <w:marRight w:val="0"/>
      <w:marTop w:val="0"/>
      <w:marBottom w:val="0"/>
      <w:divBdr>
        <w:top w:val="none" w:sz="0" w:space="0" w:color="auto"/>
        <w:left w:val="none" w:sz="0" w:space="0" w:color="auto"/>
        <w:bottom w:val="none" w:sz="0" w:space="0" w:color="auto"/>
        <w:right w:val="none" w:sz="0" w:space="0" w:color="auto"/>
      </w:divBdr>
    </w:div>
    <w:div w:id="1609046702">
      <w:bodyDiv w:val="1"/>
      <w:marLeft w:val="0"/>
      <w:marRight w:val="0"/>
      <w:marTop w:val="0"/>
      <w:marBottom w:val="0"/>
      <w:divBdr>
        <w:top w:val="none" w:sz="0" w:space="0" w:color="auto"/>
        <w:left w:val="none" w:sz="0" w:space="0" w:color="auto"/>
        <w:bottom w:val="none" w:sz="0" w:space="0" w:color="auto"/>
        <w:right w:val="none" w:sz="0" w:space="0" w:color="auto"/>
      </w:divBdr>
    </w:div>
    <w:div w:id="1610313220">
      <w:bodyDiv w:val="1"/>
      <w:marLeft w:val="0"/>
      <w:marRight w:val="0"/>
      <w:marTop w:val="0"/>
      <w:marBottom w:val="0"/>
      <w:divBdr>
        <w:top w:val="none" w:sz="0" w:space="0" w:color="auto"/>
        <w:left w:val="none" w:sz="0" w:space="0" w:color="auto"/>
        <w:bottom w:val="none" w:sz="0" w:space="0" w:color="auto"/>
        <w:right w:val="none" w:sz="0" w:space="0" w:color="auto"/>
      </w:divBdr>
    </w:div>
    <w:div w:id="1622691187">
      <w:bodyDiv w:val="1"/>
      <w:marLeft w:val="0"/>
      <w:marRight w:val="0"/>
      <w:marTop w:val="0"/>
      <w:marBottom w:val="0"/>
      <w:divBdr>
        <w:top w:val="none" w:sz="0" w:space="0" w:color="auto"/>
        <w:left w:val="none" w:sz="0" w:space="0" w:color="auto"/>
        <w:bottom w:val="none" w:sz="0" w:space="0" w:color="auto"/>
        <w:right w:val="none" w:sz="0" w:space="0" w:color="auto"/>
      </w:divBdr>
    </w:div>
    <w:div w:id="1623226903">
      <w:bodyDiv w:val="1"/>
      <w:marLeft w:val="0"/>
      <w:marRight w:val="0"/>
      <w:marTop w:val="0"/>
      <w:marBottom w:val="0"/>
      <w:divBdr>
        <w:top w:val="none" w:sz="0" w:space="0" w:color="auto"/>
        <w:left w:val="none" w:sz="0" w:space="0" w:color="auto"/>
        <w:bottom w:val="none" w:sz="0" w:space="0" w:color="auto"/>
        <w:right w:val="none" w:sz="0" w:space="0" w:color="auto"/>
      </w:divBdr>
    </w:div>
    <w:div w:id="1626882848">
      <w:bodyDiv w:val="1"/>
      <w:marLeft w:val="0"/>
      <w:marRight w:val="0"/>
      <w:marTop w:val="0"/>
      <w:marBottom w:val="0"/>
      <w:divBdr>
        <w:top w:val="none" w:sz="0" w:space="0" w:color="auto"/>
        <w:left w:val="none" w:sz="0" w:space="0" w:color="auto"/>
        <w:bottom w:val="none" w:sz="0" w:space="0" w:color="auto"/>
        <w:right w:val="none" w:sz="0" w:space="0" w:color="auto"/>
      </w:divBdr>
    </w:div>
    <w:div w:id="1628126480">
      <w:bodyDiv w:val="1"/>
      <w:marLeft w:val="0"/>
      <w:marRight w:val="0"/>
      <w:marTop w:val="0"/>
      <w:marBottom w:val="0"/>
      <w:divBdr>
        <w:top w:val="none" w:sz="0" w:space="0" w:color="auto"/>
        <w:left w:val="none" w:sz="0" w:space="0" w:color="auto"/>
        <w:bottom w:val="none" w:sz="0" w:space="0" w:color="auto"/>
        <w:right w:val="none" w:sz="0" w:space="0" w:color="auto"/>
      </w:divBdr>
    </w:div>
    <w:div w:id="1640066114">
      <w:bodyDiv w:val="1"/>
      <w:marLeft w:val="0"/>
      <w:marRight w:val="0"/>
      <w:marTop w:val="0"/>
      <w:marBottom w:val="0"/>
      <w:divBdr>
        <w:top w:val="none" w:sz="0" w:space="0" w:color="auto"/>
        <w:left w:val="none" w:sz="0" w:space="0" w:color="auto"/>
        <w:bottom w:val="none" w:sz="0" w:space="0" w:color="auto"/>
        <w:right w:val="none" w:sz="0" w:space="0" w:color="auto"/>
      </w:divBdr>
    </w:div>
    <w:div w:id="1643805386">
      <w:bodyDiv w:val="1"/>
      <w:marLeft w:val="0"/>
      <w:marRight w:val="0"/>
      <w:marTop w:val="0"/>
      <w:marBottom w:val="0"/>
      <w:divBdr>
        <w:top w:val="none" w:sz="0" w:space="0" w:color="auto"/>
        <w:left w:val="none" w:sz="0" w:space="0" w:color="auto"/>
        <w:bottom w:val="none" w:sz="0" w:space="0" w:color="auto"/>
        <w:right w:val="none" w:sz="0" w:space="0" w:color="auto"/>
      </w:divBdr>
    </w:div>
    <w:div w:id="1645427558">
      <w:bodyDiv w:val="1"/>
      <w:marLeft w:val="0"/>
      <w:marRight w:val="0"/>
      <w:marTop w:val="0"/>
      <w:marBottom w:val="0"/>
      <w:divBdr>
        <w:top w:val="none" w:sz="0" w:space="0" w:color="auto"/>
        <w:left w:val="none" w:sz="0" w:space="0" w:color="auto"/>
        <w:bottom w:val="none" w:sz="0" w:space="0" w:color="auto"/>
        <w:right w:val="none" w:sz="0" w:space="0" w:color="auto"/>
      </w:divBdr>
    </w:div>
    <w:div w:id="1649703080">
      <w:bodyDiv w:val="1"/>
      <w:marLeft w:val="0"/>
      <w:marRight w:val="0"/>
      <w:marTop w:val="0"/>
      <w:marBottom w:val="0"/>
      <w:divBdr>
        <w:top w:val="none" w:sz="0" w:space="0" w:color="auto"/>
        <w:left w:val="none" w:sz="0" w:space="0" w:color="auto"/>
        <w:bottom w:val="none" w:sz="0" w:space="0" w:color="auto"/>
        <w:right w:val="none" w:sz="0" w:space="0" w:color="auto"/>
      </w:divBdr>
    </w:div>
    <w:div w:id="1650205630">
      <w:bodyDiv w:val="1"/>
      <w:marLeft w:val="0"/>
      <w:marRight w:val="0"/>
      <w:marTop w:val="0"/>
      <w:marBottom w:val="0"/>
      <w:divBdr>
        <w:top w:val="none" w:sz="0" w:space="0" w:color="auto"/>
        <w:left w:val="none" w:sz="0" w:space="0" w:color="auto"/>
        <w:bottom w:val="none" w:sz="0" w:space="0" w:color="auto"/>
        <w:right w:val="none" w:sz="0" w:space="0" w:color="auto"/>
      </w:divBdr>
    </w:div>
    <w:div w:id="1655135537">
      <w:bodyDiv w:val="1"/>
      <w:marLeft w:val="0"/>
      <w:marRight w:val="0"/>
      <w:marTop w:val="0"/>
      <w:marBottom w:val="0"/>
      <w:divBdr>
        <w:top w:val="none" w:sz="0" w:space="0" w:color="auto"/>
        <w:left w:val="none" w:sz="0" w:space="0" w:color="auto"/>
        <w:bottom w:val="none" w:sz="0" w:space="0" w:color="auto"/>
        <w:right w:val="none" w:sz="0" w:space="0" w:color="auto"/>
      </w:divBdr>
    </w:div>
    <w:div w:id="1657999309">
      <w:bodyDiv w:val="1"/>
      <w:marLeft w:val="0"/>
      <w:marRight w:val="0"/>
      <w:marTop w:val="0"/>
      <w:marBottom w:val="0"/>
      <w:divBdr>
        <w:top w:val="none" w:sz="0" w:space="0" w:color="auto"/>
        <w:left w:val="none" w:sz="0" w:space="0" w:color="auto"/>
        <w:bottom w:val="none" w:sz="0" w:space="0" w:color="auto"/>
        <w:right w:val="none" w:sz="0" w:space="0" w:color="auto"/>
      </w:divBdr>
    </w:div>
    <w:div w:id="1658922338">
      <w:bodyDiv w:val="1"/>
      <w:marLeft w:val="0"/>
      <w:marRight w:val="0"/>
      <w:marTop w:val="0"/>
      <w:marBottom w:val="0"/>
      <w:divBdr>
        <w:top w:val="none" w:sz="0" w:space="0" w:color="auto"/>
        <w:left w:val="none" w:sz="0" w:space="0" w:color="auto"/>
        <w:bottom w:val="none" w:sz="0" w:space="0" w:color="auto"/>
        <w:right w:val="none" w:sz="0" w:space="0" w:color="auto"/>
      </w:divBdr>
    </w:div>
    <w:div w:id="1663586085">
      <w:bodyDiv w:val="1"/>
      <w:marLeft w:val="0"/>
      <w:marRight w:val="0"/>
      <w:marTop w:val="0"/>
      <w:marBottom w:val="0"/>
      <w:divBdr>
        <w:top w:val="none" w:sz="0" w:space="0" w:color="auto"/>
        <w:left w:val="none" w:sz="0" w:space="0" w:color="auto"/>
        <w:bottom w:val="none" w:sz="0" w:space="0" w:color="auto"/>
        <w:right w:val="none" w:sz="0" w:space="0" w:color="auto"/>
      </w:divBdr>
    </w:div>
    <w:div w:id="1665860791">
      <w:bodyDiv w:val="1"/>
      <w:marLeft w:val="0"/>
      <w:marRight w:val="0"/>
      <w:marTop w:val="0"/>
      <w:marBottom w:val="0"/>
      <w:divBdr>
        <w:top w:val="none" w:sz="0" w:space="0" w:color="auto"/>
        <w:left w:val="none" w:sz="0" w:space="0" w:color="auto"/>
        <w:bottom w:val="none" w:sz="0" w:space="0" w:color="auto"/>
        <w:right w:val="none" w:sz="0" w:space="0" w:color="auto"/>
      </w:divBdr>
    </w:div>
    <w:div w:id="1668022680">
      <w:bodyDiv w:val="1"/>
      <w:marLeft w:val="0"/>
      <w:marRight w:val="0"/>
      <w:marTop w:val="0"/>
      <w:marBottom w:val="0"/>
      <w:divBdr>
        <w:top w:val="none" w:sz="0" w:space="0" w:color="auto"/>
        <w:left w:val="none" w:sz="0" w:space="0" w:color="auto"/>
        <w:bottom w:val="none" w:sz="0" w:space="0" w:color="auto"/>
        <w:right w:val="none" w:sz="0" w:space="0" w:color="auto"/>
      </w:divBdr>
    </w:div>
    <w:div w:id="1668240891">
      <w:bodyDiv w:val="1"/>
      <w:marLeft w:val="0"/>
      <w:marRight w:val="0"/>
      <w:marTop w:val="0"/>
      <w:marBottom w:val="0"/>
      <w:divBdr>
        <w:top w:val="none" w:sz="0" w:space="0" w:color="auto"/>
        <w:left w:val="none" w:sz="0" w:space="0" w:color="auto"/>
        <w:bottom w:val="none" w:sz="0" w:space="0" w:color="auto"/>
        <w:right w:val="none" w:sz="0" w:space="0" w:color="auto"/>
      </w:divBdr>
    </w:div>
    <w:div w:id="1679649152">
      <w:bodyDiv w:val="1"/>
      <w:marLeft w:val="0"/>
      <w:marRight w:val="0"/>
      <w:marTop w:val="0"/>
      <w:marBottom w:val="0"/>
      <w:divBdr>
        <w:top w:val="none" w:sz="0" w:space="0" w:color="auto"/>
        <w:left w:val="none" w:sz="0" w:space="0" w:color="auto"/>
        <w:bottom w:val="none" w:sz="0" w:space="0" w:color="auto"/>
        <w:right w:val="none" w:sz="0" w:space="0" w:color="auto"/>
      </w:divBdr>
    </w:div>
    <w:div w:id="1680690417">
      <w:bodyDiv w:val="1"/>
      <w:marLeft w:val="0"/>
      <w:marRight w:val="0"/>
      <w:marTop w:val="0"/>
      <w:marBottom w:val="0"/>
      <w:divBdr>
        <w:top w:val="none" w:sz="0" w:space="0" w:color="auto"/>
        <w:left w:val="none" w:sz="0" w:space="0" w:color="auto"/>
        <w:bottom w:val="none" w:sz="0" w:space="0" w:color="auto"/>
        <w:right w:val="none" w:sz="0" w:space="0" w:color="auto"/>
      </w:divBdr>
    </w:div>
    <w:div w:id="1682510471">
      <w:bodyDiv w:val="1"/>
      <w:marLeft w:val="0"/>
      <w:marRight w:val="0"/>
      <w:marTop w:val="0"/>
      <w:marBottom w:val="0"/>
      <w:divBdr>
        <w:top w:val="none" w:sz="0" w:space="0" w:color="auto"/>
        <w:left w:val="none" w:sz="0" w:space="0" w:color="auto"/>
        <w:bottom w:val="none" w:sz="0" w:space="0" w:color="auto"/>
        <w:right w:val="none" w:sz="0" w:space="0" w:color="auto"/>
      </w:divBdr>
    </w:div>
    <w:div w:id="1682926255">
      <w:bodyDiv w:val="1"/>
      <w:marLeft w:val="0"/>
      <w:marRight w:val="0"/>
      <w:marTop w:val="0"/>
      <w:marBottom w:val="0"/>
      <w:divBdr>
        <w:top w:val="none" w:sz="0" w:space="0" w:color="auto"/>
        <w:left w:val="none" w:sz="0" w:space="0" w:color="auto"/>
        <w:bottom w:val="none" w:sz="0" w:space="0" w:color="auto"/>
        <w:right w:val="none" w:sz="0" w:space="0" w:color="auto"/>
      </w:divBdr>
    </w:div>
    <w:div w:id="1691494216">
      <w:bodyDiv w:val="1"/>
      <w:marLeft w:val="0"/>
      <w:marRight w:val="0"/>
      <w:marTop w:val="0"/>
      <w:marBottom w:val="0"/>
      <w:divBdr>
        <w:top w:val="none" w:sz="0" w:space="0" w:color="auto"/>
        <w:left w:val="none" w:sz="0" w:space="0" w:color="auto"/>
        <w:bottom w:val="none" w:sz="0" w:space="0" w:color="auto"/>
        <w:right w:val="none" w:sz="0" w:space="0" w:color="auto"/>
      </w:divBdr>
    </w:div>
    <w:div w:id="1691638469">
      <w:bodyDiv w:val="1"/>
      <w:marLeft w:val="0"/>
      <w:marRight w:val="0"/>
      <w:marTop w:val="0"/>
      <w:marBottom w:val="0"/>
      <w:divBdr>
        <w:top w:val="none" w:sz="0" w:space="0" w:color="auto"/>
        <w:left w:val="none" w:sz="0" w:space="0" w:color="auto"/>
        <w:bottom w:val="none" w:sz="0" w:space="0" w:color="auto"/>
        <w:right w:val="none" w:sz="0" w:space="0" w:color="auto"/>
      </w:divBdr>
    </w:div>
    <w:div w:id="1694380911">
      <w:bodyDiv w:val="1"/>
      <w:marLeft w:val="0"/>
      <w:marRight w:val="0"/>
      <w:marTop w:val="0"/>
      <w:marBottom w:val="0"/>
      <w:divBdr>
        <w:top w:val="none" w:sz="0" w:space="0" w:color="auto"/>
        <w:left w:val="none" w:sz="0" w:space="0" w:color="auto"/>
        <w:bottom w:val="none" w:sz="0" w:space="0" w:color="auto"/>
        <w:right w:val="none" w:sz="0" w:space="0" w:color="auto"/>
      </w:divBdr>
    </w:div>
    <w:div w:id="1697148551">
      <w:bodyDiv w:val="1"/>
      <w:marLeft w:val="0"/>
      <w:marRight w:val="0"/>
      <w:marTop w:val="0"/>
      <w:marBottom w:val="0"/>
      <w:divBdr>
        <w:top w:val="none" w:sz="0" w:space="0" w:color="auto"/>
        <w:left w:val="none" w:sz="0" w:space="0" w:color="auto"/>
        <w:bottom w:val="none" w:sz="0" w:space="0" w:color="auto"/>
        <w:right w:val="none" w:sz="0" w:space="0" w:color="auto"/>
      </w:divBdr>
    </w:div>
    <w:div w:id="1703745782">
      <w:bodyDiv w:val="1"/>
      <w:marLeft w:val="0"/>
      <w:marRight w:val="0"/>
      <w:marTop w:val="0"/>
      <w:marBottom w:val="0"/>
      <w:divBdr>
        <w:top w:val="none" w:sz="0" w:space="0" w:color="auto"/>
        <w:left w:val="none" w:sz="0" w:space="0" w:color="auto"/>
        <w:bottom w:val="none" w:sz="0" w:space="0" w:color="auto"/>
        <w:right w:val="none" w:sz="0" w:space="0" w:color="auto"/>
      </w:divBdr>
    </w:div>
    <w:div w:id="1706245853">
      <w:bodyDiv w:val="1"/>
      <w:marLeft w:val="0"/>
      <w:marRight w:val="0"/>
      <w:marTop w:val="0"/>
      <w:marBottom w:val="0"/>
      <w:divBdr>
        <w:top w:val="none" w:sz="0" w:space="0" w:color="auto"/>
        <w:left w:val="none" w:sz="0" w:space="0" w:color="auto"/>
        <w:bottom w:val="none" w:sz="0" w:space="0" w:color="auto"/>
        <w:right w:val="none" w:sz="0" w:space="0" w:color="auto"/>
      </w:divBdr>
    </w:div>
    <w:div w:id="1709644778">
      <w:bodyDiv w:val="1"/>
      <w:marLeft w:val="0"/>
      <w:marRight w:val="0"/>
      <w:marTop w:val="0"/>
      <w:marBottom w:val="0"/>
      <w:divBdr>
        <w:top w:val="none" w:sz="0" w:space="0" w:color="auto"/>
        <w:left w:val="none" w:sz="0" w:space="0" w:color="auto"/>
        <w:bottom w:val="none" w:sz="0" w:space="0" w:color="auto"/>
        <w:right w:val="none" w:sz="0" w:space="0" w:color="auto"/>
      </w:divBdr>
    </w:div>
    <w:div w:id="1711760617">
      <w:bodyDiv w:val="1"/>
      <w:marLeft w:val="0"/>
      <w:marRight w:val="0"/>
      <w:marTop w:val="0"/>
      <w:marBottom w:val="0"/>
      <w:divBdr>
        <w:top w:val="none" w:sz="0" w:space="0" w:color="auto"/>
        <w:left w:val="none" w:sz="0" w:space="0" w:color="auto"/>
        <w:bottom w:val="none" w:sz="0" w:space="0" w:color="auto"/>
        <w:right w:val="none" w:sz="0" w:space="0" w:color="auto"/>
      </w:divBdr>
    </w:div>
    <w:div w:id="1716150618">
      <w:bodyDiv w:val="1"/>
      <w:marLeft w:val="0"/>
      <w:marRight w:val="0"/>
      <w:marTop w:val="0"/>
      <w:marBottom w:val="0"/>
      <w:divBdr>
        <w:top w:val="none" w:sz="0" w:space="0" w:color="auto"/>
        <w:left w:val="none" w:sz="0" w:space="0" w:color="auto"/>
        <w:bottom w:val="none" w:sz="0" w:space="0" w:color="auto"/>
        <w:right w:val="none" w:sz="0" w:space="0" w:color="auto"/>
      </w:divBdr>
    </w:div>
    <w:div w:id="1718820079">
      <w:bodyDiv w:val="1"/>
      <w:marLeft w:val="0"/>
      <w:marRight w:val="0"/>
      <w:marTop w:val="0"/>
      <w:marBottom w:val="0"/>
      <w:divBdr>
        <w:top w:val="none" w:sz="0" w:space="0" w:color="auto"/>
        <w:left w:val="none" w:sz="0" w:space="0" w:color="auto"/>
        <w:bottom w:val="none" w:sz="0" w:space="0" w:color="auto"/>
        <w:right w:val="none" w:sz="0" w:space="0" w:color="auto"/>
      </w:divBdr>
    </w:div>
    <w:div w:id="1718968140">
      <w:bodyDiv w:val="1"/>
      <w:marLeft w:val="0"/>
      <w:marRight w:val="0"/>
      <w:marTop w:val="0"/>
      <w:marBottom w:val="0"/>
      <w:divBdr>
        <w:top w:val="none" w:sz="0" w:space="0" w:color="auto"/>
        <w:left w:val="none" w:sz="0" w:space="0" w:color="auto"/>
        <w:bottom w:val="none" w:sz="0" w:space="0" w:color="auto"/>
        <w:right w:val="none" w:sz="0" w:space="0" w:color="auto"/>
      </w:divBdr>
    </w:div>
    <w:div w:id="1723481538">
      <w:bodyDiv w:val="1"/>
      <w:marLeft w:val="0"/>
      <w:marRight w:val="0"/>
      <w:marTop w:val="0"/>
      <w:marBottom w:val="0"/>
      <w:divBdr>
        <w:top w:val="none" w:sz="0" w:space="0" w:color="auto"/>
        <w:left w:val="none" w:sz="0" w:space="0" w:color="auto"/>
        <w:bottom w:val="none" w:sz="0" w:space="0" w:color="auto"/>
        <w:right w:val="none" w:sz="0" w:space="0" w:color="auto"/>
      </w:divBdr>
    </w:div>
    <w:div w:id="1740323843">
      <w:bodyDiv w:val="1"/>
      <w:marLeft w:val="0"/>
      <w:marRight w:val="0"/>
      <w:marTop w:val="0"/>
      <w:marBottom w:val="0"/>
      <w:divBdr>
        <w:top w:val="none" w:sz="0" w:space="0" w:color="auto"/>
        <w:left w:val="none" w:sz="0" w:space="0" w:color="auto"/>
        <w:bottom w:val="none" w:sz="0" w:space="0" w:color="auto"/>
        <w:right w:val="none" w:sz="0" w:space="0" w:color="auto"/>
      </w:divBdr>
    </w:div>
    <w:div w:id="1741293027">
      <w:bodyDiv w:val="1"/>
      <w:marLeft w:val="0"/>
      <w:marRight w:val="0"/>
      <w:marTop w:val="0"/>
      <w:marBottom w:val="0"/>
      <w:divBdr>
        <w:top w:val="none" w:sz="0" w:space="0" w:color="auto"/>
        <w:left w:val="none" w:sz="0" w:space="0" w:color="auto"/>
        <w:bottom w:val="none" w:sz="0" w:space="0" w:color="auto"/>
        <w:right w:val="none" w:sz="0" w:space="0" w:color="auto"/>
      </w:divBdr>
    </w:div>
    <w:div w:id="1745910678">
      <w:bodyDiv w:val="1"/>
      <w:marLeft w:val="0"/>
      <w:marRight w:val="0"/>
      <w:marTop w:val="0"/>
      <w:marBottom w:val="0"/>
      <w:divBdr>
        <w:top w:val="none" w:sz="0" w:space="0" w:color="auto"/>
        <w:left w:val="none" w:sz="0" w:space="0" w:color="auto"/>
        <w:bottom w:val="none" w:sz="0" w:space="0" w:color="auto"/>
        <w:right w:val="none" w:sz="0" w:space="0" w:color="auto"/>
      </w:divBdr>
    </w:div>
    <w:div w:id="1749384413">
      <w:bodyDiv w:val="1"/>
      <w:marLeft w:val="0"/>
      <w:marRight w:val="0"/>
      <w:marTop w:val="0"/>
      <w:marBottom w:val="0"/>
      <w:divBdr>
        <w:top w:val="none" w:sz="0" w:space="0" w:color="auto"/>
        <w:left w:val="none" w:sz="0" w:space="0" w:color="auto"/>
        <w:bottom w:val="none" w:sz="0" w:space="0" w:color="auto"/>
        <w:right w:val="none" w:sz="0" w:space="0" w:color="auto"/>
      </w:divBdr>
    </w:div>
    <w:div w:id="1751778516">
      <w:bodyDiv w:val="1"/>
      <w:marLeft w:val="0"/>
      <w:marRight w:val="0"/>
      <w:marTop w:val="0"/>
      <w:marBottom w:val="0"/>
      <w:divBdr>
        <w:top w:val="none" w:sz="0" w:space="0" w:color="auto"/>
        <w:left w:val="none" w:sz="0" w:space="0" w:color="auto"/>
        <w:bottom w:val="none" w:sz="0" w:space="0" w:color="auto"/>
        <w:right w:val="none" w:sz="0" w:space="0" w:color="auto"/>
      </w:divBdr>
    </w:div>
    <w:div w:id="1757356891">
      <w:bodyDiv w:val="1"/>
      <w:marLeft w:val="0"/>
      <w:marRight w:val="0"/>
      <w:marTop w:val="0"/>
      <w:marBottom w:val="0"/>
      <w:divBdr>
        <w:top w:val="none" w:sz="0" w:space="0" w:color="auto"/>
        <w:left w:val="none" w:sz="0" w:space="0" w:color="auto"/>
        <w:bottom w:val="none" w:sz="0" w:space="0" w:color="auto"/>
        <w:right w:val="none" w:sz="0" w:space="0" w:color="auto"/>
      </w:divBdr>
    </w:div>
    <w:div w:id="1770271404">
      <w:bodyDiv w:val="1"/>
      <w:marLeft w:val="0"/>
      <w:marRight w:val="0"/>
      <w:marTop w:val="0"/>
      <w:marBottom w:val="0"/>
      <w:divBdr>
        <w:top w:val="none" w:sz="0" w:space="0" w:color="auto"/>
        <w:left w:val="none" w:sz="0" w:space="0" w:color="auto"/>
        <w:bottom w:val="none" w:sz="0" w:space="0" w:color="auto"/>
        <w:right w:val="none" w:sz="0" w:space="0" w:color="auto"/>
      </w:divBdr>
    </w:div>
    <w:div w:id="1776637409">
      <w:bodyDiv w:val="1"/>
      <w:marLeft w:val="0"/>
      <w:marRight w:val="0"/>
      <w:marTop w:val="0"/>
      <w:marBottom w:val="0"/>
      <w:divBdr>
        <w:top w:val="none" w:sz="0" w:space="0" w:color="auto"/>
        <w:left w:val="none" w:sz="0" w:space="0" w:color="auto"/>
        <w:bottom w:val="none" w:sz="0" w:space="0" w:color="auto"/>
        <w:right w:val="none" w:sz="0" w:space="0" w:color="auto"/>
      </w:divBdr>
    </w:div>
    <w:div w:id="1784420108">
      <w:bodyDiv w:val="1"/>
      <w:marLeft w:val="0"/>
      <w:marRight w:val="0"/>
      <w:marTop w:val="0"/>
      <w:marBottom w:val="0"/>
      <w:divBdr>
        <w:top w:val="none" w:sz="0" w:space="0" w:color="auto"/>
        <w:left w:val="none" w:sz="0" w:space="0" w:color="auto"/>
        <w:bottom w:val="none" w:sz="0" w:space="0" w:color="auto"/>
        <w:right w:val="none" w:sz="0" w:space="0" w:color="auto"/>
      </w:divBdr>
    </w:div>
    <w:div w:id="1786079864">
      <w:bodyDiv w:val="1"/>
      <w:marLeft w:val="0"/>
      <w:marRight w:val="0"/>
      <w:marTop w:val="0"/>
      <w:marBottom w:val="0"/>
      <w:divBdr>
        <w:top w:val="none" w:sz="0" w:space="0" w:color="auto"/>
        <w:left w:val="none" w:sz="0" w:space="0" w:color="auto"/>
        <w:bottom w:val="none" w:sz="0" w:space="0" w:color="auto"/>
        <w:right w:val="none" w:sz="0" w:space="0" w:color="auto"/>
      </w:divBdr>
    </w:div>
    <w:div w:id="1792741365">
      <w:bodyDiv w:val="1"/>
      <w:marLeft w:val="0"/>
      <w:marRight w:val="0"/>
      <w:marTop w:val="0"/>
      <w:marBottom w:val="0"/>
      <w:divBdr>
        <w:top w:val="none" w:sz="0" w:space="0" w:color="auto"/>
        <w:left w:val="none" w:sz="0" w:space="0" w:color="auto"/>
        <w:bottom w:val="none" w:sz="0" w:space="0" w:color="auto"/>
        <w:right w:val="none" w:sz="0" w:space="0" w:color="auto"/>
      </w:divBdr>
    </w:div>
    <w:div w:id="1798832291">
      <w:bodyDiv w:val="1"/>
      <w:marLeft w:val="0"/>
      <w:marRight w:val="0"/>
      <w:marTop w:val="0"/>
      <w:marBottom w:val="0"/>
      <w:divBdr>
        <w:top w:val="none" w:sz="0" w:space="0" w:color="auto"/>
        <w:left w:val="none" w:sz="0" w:space="0" w:color="auto"/>
        <w:bottom w:val="none" w:sz="0" w:space="0" w:color="auto"/>
        <w:right w:val="none" w:sz="0" w:space="0" w:color="auto"/>
      </w:divBdr>
    </w:div>
    <w:div w:id="1804152536">
      <w:bodyDiv w:val="1"/>
      <w:marLeft w:val="0"/>
      <w:marRight w:val="0"/>
      <w:marTop w:val="0"/>
      <w:marBottom w:val="0"/>
      <w:divBdr>
        <w:top w:val="none" w:sz="0" w:space="0" w:color="auto"/>
        <w:left w:val="none" w:sz="0" w:space="0" w:color="auto"/>
        <w:bottom w:val="none" w:sz="0" w:space="0" w:color="auto"/>
        <w:right w:val="none" w:sz="0" w:space="0" w:color="auto"/>
      </w:divBdr>
    </w:div>
    <w:div w:id="1815246285">
      <w:bodyDiv w:val="1"/>
      <w:marLeft w:val="0"/>
      <w:marRight w:val="0"/>
      <w:marTop w:val="0"/>
      <w:marBottom w:val="0"/>
      <w:divBdr>
        <w:top w:val="none" w:sz="0" w:space="0" w:color="auto"/>
        <w:left w:val="none" w:sz="0" w:space="0" w:color="auto"/>
        <w:bottom w:val="none" w:sz="0" w:space="0" w:color="auto"/>
        <w:right w:val="none" w:sz="0" w:space="0" w:color="auto"/>
      </w:divBdr>
    </w:div>
    <w:div w:id="1820271004">
      <w:bodyDiv w:val="1"/>
      <w:marLeft w:val="0"/>
      <w:marRight w:val="0"/>
      <w:marTop w:val="0"/>
      <w:marBottom w:val="0"/>
      <w:divBdr>
        <w:top w:val="none" w:sz="0" w:space="0" w:color="auto"/>
        <w:left w:val="none" w:sz="0" w:space="0" w:color="auto"/>
        <w:bottom w:val="none" w:sz="0" w:space="0" w:color="auto"/>
        <w:right w:val="none" w:sz="0" w:space="0" w:color="auto"/>
      </w:divBdr>
    </w:div>
    <w:div w:id="1838688658">
      <w:bodyDiv w:val="1"/>
      <w:marLeft w:val="0"/>
      <w:marRight w:val="0"/>
      <w:marTop w:val="0"/>
      <w:marBottom w:val="0"/>
      <w:divBdr>
        <w:top w:val="none" w:sz="0" w:space="0" w:color="auto"/>
        <w:left w:val="none" w:sz="0" w:space="0" w:color="auto"/>
        <w:bottom w:val="none" w:sz="0" w:space="0" w:color="auto"/>
        <w:right w:val="none" w:sz="0" w:space="0" w:color="auto"/>
      </w:divBdr>
    </w:div>
    <w:div w:id="1844052543">
      <w:bodyDiv w:val="1"/>
      <w:marLeft w:val="0"/>
      <w:marRight w:val="0"/>
      <w:marTop w:val="0"/>
      <w:marBottom w:val="0"/>
      <w:divBdr>
        <w:top w:val="none" w:sz="0" w:space="0" w:color="auto"/>
        <w:left w:val="none" w:sz="0" w:space="0" w:color="auto"/>
        <w:bottom w:val="none" w:sz="0" w:space="0" w:color="auto"/>
        <w:right w:val="none" w:sz="0" w:space="0" w:color="auto"/>
      </w:divBdr>
    </w:div>
    <w:div w:id="1844585119">
      <w:bodyDiv w:val="1"/>
      <w:marLeft w:val="0"/>
      <w:marRight w:val="0"/>
      <w:marTop w:val="0"/>
      <w:marBottom w:val="0"/>
      <w:divBdr>
        <w:top w:val="none" w:sz="0" w:space="0" w:color="auto"/>
        <w:left w:val="none" w:sz="0" w:space="0" w:color="auto"/>
        <w:bottom w:val="none" w:sz="0" w:space="0" w:color="auto"/>
        <w:right w:val="none" w:sz="0" w:space="0" w:color="auto"/>
      </w:divBdr>
    </w:div>
    <w:div w:id="1845121623">
      <w:bodyDiv w:val="1"/>
      <w:marLeft w:val="0"/>
      <w:marRight w:val="0"/>
      <w:marTop w:val="0"/>
      <w:marBottom w:val="0"/>
      <w:divBdr>
        <w:top w:val="none" w:sz="0" w:space="0" w:color="auto"/>
        <w:left w:val="none" w:sz="0" w:space="0" w:color="auto"/>
        <w:bottom w:val="none" w:sz="0" w:space="0" w:color="auto"/>
        <w:right w:val="none" w:sz="0" w:space="0" w:color="auto"/>
      </w:divBdr>
    </w:div>
    <w:div w:id="1853181845">
      <w:bodyDiv w:val="1"/>
      <w:marLeft w:val="0"/>
      <w:marRight w:val="0"/>
      <w:marTop w:val="0"/>
      <w:marBottom w:val="0"/>
      <w:divBdr>
        <w:top w:val="none" w:sz="0" w:space="0" w:color="auto"/>
        <w:left w:val="none" w:sz="0" w:space="0" w:color="auto"/>
        <w:bottom w:val="none" w:sz="0" w:space="0" w:color="auto"/>
        <w:right w:val="none" w:sz="0" w:space="0" w:color="auto"/>
      </w:divBdr>
    </w:div>
    <w:div w:id="1855726117">
      <w:bodyDiv w:val="1"/>
      <w:marLeft w:val="0"/>
      <w:marRight w:val="0"/>
      <w:marTop w:val="0"/>
      <w:marBottom w:val="0"/>
      <w:divBdr>
        <w:top w:val="none" w:sz="0" w:space="0" w:color="auto"/>
        <w:left w:val="none" w:sz="0" w:space="0" w:color="auto"/>
        <w:bottom w:val="none" w:sz="0" w:space="0" w:color="auto"/>
        <w:right w:val="none" w:sz="0" w:space="0" w:color="auto"/>
      </w:divBdr>
    </w:div>
    <w:div w:id="1862434513">
      <w:bodyDiv w:val="1"/>
      <w:marLeft w:val="0"/>
      <w:marRight w:val="0"/>
      <w:marTop w:val="0"/>
      <w:marBottom w:val="0"/>
      <w:divBdr>
        <w:top w:val="none" w:sz="0" w:space="0" w:color="auto"/>
        <w:left w:val="none" w:sz="0" w:space="0" w:color="auto"/>
        <w:bottom w:val="none" w:sz="0" w:space="0" w:color="auto"/>
        <w:right w:val="none" w:sz="0" w:space="0" w:color="auto"/>
      </w:divBdr>
    </w:div>
    <w:div w:id="1869443812">
      <w:bodyDiv w:val="1"/>
      <w:marLeft w:val="0"/>
      <w:marRight w:val="0"/>
      <w:marTop w:val="0"/>
      <w:marBottom w:val="0"/>
      <w:divBdr>
        <w:top w:val="none" w:sz="0" w:space="0" w:color="auto"/>
        <w:left w:val="none" w:sz="0" w:space="0" w:color="auto"/>
        <w:bottom w:val="none" w:sz="0" w:space="0" w:color="auto"/>
        <w:right w:val="none" w:sz="0" w:space="0" w:color="auto"/>
      </w:divBdr>
    </w:div>
    <w:div w:id="1870028262">
      <w:bodyDiv w:val="1"/>
      <w:marLeft w:val="0"/>
      <w:marRight w:val="0"/>
      <w:marTop w:val="0"/>
      <w:marBottom w:val="0"/>
      <w:divBdr>
        <w:top w:val="none" w:sz="0" w:space="0" w:color="auto"/>
        <w:left w:val="none" w:sz="0" w:space="0" w:color="auto"/>
        <w:bottom w:val="none" w:sz="0" w:space="0" w:color="auto"/>
        <w:right w:val="none" w:sz="0" w:space="0" w:color="auto"/>
      </w:divBdr>
    </w:div>
    <w:div w:id="1870487351">
      <w:bodyDiv w:val="1"/>
      <w:marLeft w:val="0"/>
      <w:marRight w:val="0"/>
      <w:marTop w:val="0"/>
      <w:marBottom w:val="0"/>
      <w:divBdr>
        <w:top w:val="none" w:sz="0" w:space="0" w:color="auto"/>
        <w:left w:val="none" w:sz="0" w:space="0" w:color="auto"/>
        <w:bottom w:val="none" w:sz="0" w:space="0" w:color="auto"/>
        <w:right w:val="none" w:sz="0" w:space="0" w:color="auto"/>
      </w:divBdr>
    </w:div>
    <w:div w:id="1870950379">
      <w:bodyDiv w:val="1"/>
      <w:marLeft w:val="0"/>
      <w:marRight w:val="0"/>
      <w:marTop w:val="0"/>
      <w:marBottom w:val="0"/>
      <w:divBdr>
        <w:top w:val="none" w:sz="0" w:space="0" w:color="auto"/>
        <w:left w:val="none" w:sz="0" w:space="0" w:color="auto"/>
        <w:bottom w:val="none" w:sz="0" w:space="0" w:color="auto"/>
        <w:right w:val="none" w:sz="0" w:space="0" w:color="auto"/>
      </w:divBdr>
    </w:div>
    <w:div w:id="1877035722">
      <w:bodyDiv w:val="1"/>
      <w:marLeft w:val="0"/>
      <w:marRight w:val="0"/>
      <w:marTop w:val="0"/>
      <w:marBottom w:val="0"/>
      <w:divBdr>
        <w:top w:val="none" w:sz="0" w:space="0" w:color="auto"/>
        <w:left w:val="none" w:sz="0" w:space="0" w:color="auto"/>
        <w:bottom w:val="none" w:sz="0" w:space="0" w:color="auto"/>
        <w:right w:val="none" w:sz="0" w:space="0" w:color="auto"/>
      </w:divBdr>
    </w:div>
    <w:div w:id="1877542537">
      <w:bodyDiv w:val="1"/>
      <w:marLeft w:val="0"/>
      <w:marRight w:val="0"/>
      <w:marTop w:val="0"/>
      <w:marBottom w:val="0"/>
      <w:divBdr>
        <w:top w:val="none" w:sz="0" w:space="0" w:color="auto"/>
        <w:left w:val="none" w:sz="0" w:space="0" w:color="auto"/>
        <w:bottom w:val="none" w:sz="0" w:space="0" w:color="auto"/>
        <w:right w:val="none" w:sz="0" w:space="0" w:color="auto"/>
      </w:divBdr>
    </w:div>
    <w:div w:id="1880121756">
      <w:bodyDiv w:val="1"/>
      <w:marLeft w:val="0"/>
      <w:marRight w:val="0"/>
      <w:marTop w:val="0"/>
      <w:marBottom w:val="0"/>
      <w:divBdr>
        <w:top w:val="none" w:sz="0" w:space="0" w:color="auto"/>
        <w:left w:val="none" w:sz="0" w:space="0" w:color="auto"/>
        <w:bottom w:val="none" w:sz="0" w:space="0" w:color="auto"/>
        <w:right w:val="none" w:sz="0" w:space="0" w:color="auto"/>
      </w:divBdr>
    </w:div>
    <w:div w:id="1884707153">
      <w:bodyDiv w:val="1"/>
      <w:marLeft w:val="0"/>
      <w:marRight w:val="0"/>
      <w:marTop w:val="0"/>
      <w:marBottom w:val="0"/>
      <w:divBdr>
        <w:top w:val="none" w:sz="0" w:space="0" w:color="auto"/>
        <w:left w:val="none" w:sz="0" w:space="0" w:color="auto"/>
        <w:bottom w:val="none" w:sz="0" w:space="0" w:color="auto"/>
        <w:right w:val="none" w:sz="0" w:space="0" w:color="auto"/>
      </w:divBdr>
    </w:div>
    <w:div w:id="1907253070">
      <w:bodyDiv w:val="1"/>
      <w:marLeft w:val="0"/>
      <w:marRight w:val="0"/>
      <w:marTop w:val="0"/>
      <w:marBottom w:val="0"/>
      <w:divBdr>
        <w:top w:val="none" w:sz="0" w:space="0" w:color="auto"/>
        <w:left w:val="none" w:sz="0" w:space="0" w:color="auto"/>
        <w:bottom w:val="none" w:sz="0" w:space="0" w:color="auto"/>
        <w:right w:val="none" w:sz="0" w:space="0" w:color="auto"/>
      </w:divBdr>
    </w:div>
    <w:div w:id="1908757836">
      <w:bodyDiv w:val="1"/>
      <w:marLeft w:val="0"/>
      <w:marRight w:val="0"/>
      <w:marTop w:val="0"/>
      <w:marBottom w:val="0"/>
      <w:divBdr>
        <w:top w:val="none" w:sz="0" w:space="0" w:color="auto"/>
        <w:left w:val="none" w:sz="0" w:space="0" w:color="auto"/>
        <w:bottom w:val="none" w:sz="0" w:space="0" w:color="auto"/>
        <w:right w:val="none" w:sz="0" w:space="0" w:color="auto"/>
      </w:divBdr>
    </w:div>
    <w:div w:id="1918514368">
      <w:bodyDiv w:val="1"/>
      <w:marLeft w:val="0"/>
      <w:marRight w:val="0"/>
      <w:marTop w:val="0"/>
      <w:marBottom w:val="0"/>
      <w:divBdr>
        <w:top w:val="none" w:sz="0" w:space="0" w:color="auto"/>
        <w:left w:val="none" w:sz="0" w:space="0" w:color="auto"/>
        <w:bottom w:val="none" w:sz="0" w:space="0" w:color="auto"/>
        <w:right w:val="none" w:sz="0" w:space="0" w:color="auto"/>
      </w:divBdr>
    </w:div>
    <w:div w:id="1921713927">
      <w:bodyDiv w:val="1"/>
      <w:marLeft w:val="0"/>
      <w:marRight w:val="0"/>
      <w:marTop w:val="0"/>
      <w:marBottom w:val="0"/>
      <w:divBdr>
        <w:top w:val="none" w:sz="0" w:space="0" w:color="auto"/>
        <w:left w:val="none" w:sz="0" w:space="0" w:color="auto"/>
        <w:bottom w:val="none" w:sz="0" w:space="0" w:color="auto"/>
        <w:right w:val="none" w:sz="0" w:space="0" w:color="auto"/>
      </w:divBdr>
    </w:div>
    <w:div w:id="1948392401">
      <w:bodyDiv w:val="1"/>
      <w:marLeft w:val="0"/>
      <w:marRight w:val="0"/>
      <w:marTop w:val="0"/>
      <w:marBottom w:val="0"/>
      <w:divBdr>
        <w:top w:val="none" w:sz="0" w:space="0" w:color="auto"/>
        <w:left w:val="none" w:sz="0" w:space="0" w:color="auto"/>
        <w:bottom w:val="none" w:sz="0" w:space="0" w:color="auto"/>
        <w:right w:val="none" w:sz="0" w:space="0" w:color="auto"/>
      </w:divBdr>
    </w:div>
    <w:div w:id="1962346466">
      <w:bodyDiv w:val="1"/>
      <w:marLeft w:val="0"/>
      <w:marRight w:val="0"/>
      <w:marTop w:val="0"/>
      <w:marBottom w:val="0"/>
      <w:divBdr>
        <w:top w:val="none" w:sz="0" w:space="0" w:color="auto"/>
        <w:left w:val="none" w:sz="0" w:space="0" w:color="auto"/>
        <w:bottom w:val="none" w:sz="0" w:space="0" w:color="auto"/>
        <w:right w:val="none" w:sz="0" w:space="0" w:color="auto"/>
      </w:divBdr>
    </w:div>
    <w:div w:id="1962959872">
      <w:bodyDiv w:val="1"/>
      <w:marLeft w:val="0"/>
      <w:marRight w:val="0"/>
      <w:marTop w:val="0"/>
      <w:marBottom w:val="0"/>
      <w:divBdr>
        <w:top w:val="none" w:sz="0" w:space="0" w:color="auto"/>
        <w:left w:val="none" w:sz="0" w:space="0" w:color="auto"/>
        <w:bottom w:val="none" w:sz="0" w:space="0" w:color="auto"/>
        <w:right w:val="none" w:sz="0" w:space="0" w:color="auto"/>
      </w:divBdr>
    </w:div>
    <w:div w:id="1967395736">
      <w:bodyDiv w:val="1"/>
      <w:marLeft w:val="0"/>
      <w:marRight w:val="0"/>
      <w:marTop w:val="0"/>
      <w:marBottom w:val="0"/>
      <w:divBdr>
        <w:top w:val="none" w:sz="0" w:space="0" w:color="auto"/>
        <w:left w:val="none" w:sz="0" w:space="0" w:color="auto"/>
        <w:bottom w:val="none" w:sz="0" w:space="0" w:color="auto"/>
        <w:right w:val="none" w:sz="0" w:space="0" w:color="auto"/>
      </w:divBdr>
    </w:div>
    <w:div w:id="1968004854">
      <w:bodyDiv w:val="1"/>
      <w:marLeft w:val="0"/>
      <w:marRight w:val="0"/>
      <w:marTop w:val="0"/>
      <w:marBottom w:val="0"/>
      <w:divBdr>
        <w:top w:val="none" w:sz="0" w:space="0" w:color="auto"/>
        <w:left w:val="none" w:sz="0" w:space="0" w:color="auto"/>
        <w:bottom w:val="none" w:sz="0" w:space="0" w:color="auto"/>
        <w:right w:val="none" w:sz="0" w:space="0" w:color="auto"/>
      </w:divBdr>
    </w:div>
    <w:div w:id="1977371859">
      <w:bodyDiv w:val="1"/>
      <w:marLeft w:val="0"/>
      <w:marRight w:val="0"/>
      <w:marTop w:val="0"/>
      <w:marBottom w:val="0"/>
      <w:divBdr>
        <w:top w:val="none" w:sz="0" w:space="0" w:color="auto"/>
        <w:left w:val="none" w:sz="0" w:space="0" w:color="auto"/>
        <w:bottom w:val="none" w:sz="0" w:space="0" w:color="auto"/>
        <w:right w:val="none" w:sz="0" w:space="0" w:color="auto"/>
      </w:divBdr>
    </w:div>
    <w:div w:id="1982077019">
      <w:bodyDiv w:val="1"/>
      <w:marLeft w:val="0"/>
      <w:marRight w:val="0"/>
      <w:marTop w:val="0"/>
      <w:marBottom w:val="0"/>
      <w:divBdr>
        <w:top w:val="none" w:sz="0" w:space="0" w:color="auto"/>
        <w:left w:val="none" w:sz="0" w:space="0" w:color="auto"/>
        <w:bottom w:val="none" w:sz="0" w:space="0" w:color="auto"/>
        <w:right w:val="none" w:sz="0" w:space="0" w:color="auto"/>
      </w:divBdr>
    </w:div>
    <w:div w:id="1983928074">
      <w:bodyDiv w:val="1"/>
      <w:marLeft w:val="0"/>
      <w:marRight w:val="0"/>
      <w:marTop w:val="0"/>
      <w:marBottom w:val="0"/>
      <w:divBdr>
        <w:top w:val="none" w:sz="0" w:space="0" w:color="auto"/>
        <w:left w:val="none" w:sz="0" w:space="0" w:color="auto"/>
        <w:bottom w:val="none" w:sz="0" w:space="0" w:color="auto"/>
        <w:right w:val="none" w:sz="0" w:space="0" w:color="auto"/>
      </w:divBdr>
    </w:div>
    <w:div w:id="1989629453">
      <w:bodyDiv w:val="1"/>
      <w:marLeft w:val="0"/>
      <w:marRight w:val="0"/>
      <w:marTop w:val="0"/>
      <w:marBottom w:val="0"/>
      <w:divBdr>
        <w:top w:val="none" w:sz="0" w:space="0" w:color="auto"/>
        <w:left w:val="none" w:sz="0" w:space="0" w:color="auto"/>
        <w:bottom w:val="none" w:sz="0" w:space="0" w:color="auto"/>
        <w:right w:val="none" w:sz="0" w:space="0" w:color="auto"/>
      </w:divBdr>
    </w:div>
    <w:div w:id="2000427111">
      <w:bodyDiv w:val="1"/>
      <w:marLeft w:val="0"/>
      <w:marRight w:val="0"/>
      <w:marTop w:val="0"/>
      <w:marBottom w:val="0"/>
      <w:divBdr>
        <w:top w:val="none" w:sz="0" w:space="0" w:color="auto"/>
        <w:left w:val="none" w:sz="0" w:space="0" w:color="auto"/>
        <w:bottom w:val="none" w:sz="0" w:space="0" w:color="auto"/>
        <w:right w:val="none" w:sz="0" w:space="0" w:color="auto"/>
      </w:divBdr>
    </w:div>
    <w:div w:id="2008089705">
      <w:bodyDiv w:val="1"/>
      <w:marLeft w:val="0"/>
      <w:marRight w:val="0"/>
      <w:marTop w:val="0"/>
      <w:marBottom w:val="0"/>
      <w:divBdr>
        <w:top w:val="none" w:sz="0" w:space="0" w:color="auto"/>
        <w:left w:val="none" w:sz="0" w:space="0" w:color="auto"/>
        <w:bottom w:val="none" w:sz="0" w:space="0" w:color="auto"/>
        <w:right w:val="none" w:sz="0" w:space="0" w:color="auto"/>
      </w:divBdr>
    </w:div>
    <w:div w:id="2008091286">
      <w:bodyDiv w:val="1"/>
      <w:marLeft w:val="0"/>
      <w:marRight w:val="0"/>
      <w:marTop w:val="0"/>
      <w:marBottom w:val="0"/>
      <w:divBdr>
        <w:top w:val="none" w:sz="0" w:space="0" w:color="auto"/>
        <w:left w:val="none" w:sz="0" w:space="0" w:color="auto"/>
        <w:bottom w:val="none" w:sz="0" w:space="0" w:color="auto"/>
        <w:right w:val="none" w:sz="0" w:space="0" w:color="auto"/>
      </w:divBdr>
    </w:div>
    <w:div w:id="2013529530">
      <w:bodyDiv w:val="1"/>
      <w:marLeft w:val="0"/>
      <w:marRight w:val="0"/>
      <w:marTop w:val="0"/>
      <w:marBottom w:val="0"/>
      <w:divBdr>
        <w:top w:val="none" w:sz="0" w:space="0" w:color="auto"/>
        <w:left w:val="none" w:sz="0" w:space="0" w:color="auto"/>
        <w:bottom w:val="none" w:sz="0" w:space="0" w:color="auto"/>
        <w:right w:val="none" w:sz="0" w:space="0" w:color="auto"/>
      </w:divBdr>
    </w:div>
    <w:div w:id="2015378613">
      <w:bodyDiv w:val="1"/>
      <w:marLeft w:val="0"/>
      <w:marRight w:val="0"/>
      <w:marTop w:val="0"/>
      <w:marBottom w:val="0"/>
      <w:divBdr>
        <w:top w:val="none" w:sz="0" w:space="0" w:color="auto"/>
        <w:left w:val="none" w:sz="0" w:space="0" w:color="auto"/>
        <w:bottom w:val="none" w:sz="0" w:space="0" w:color="auto"/>
        <w:right w:val="none" w:sz="0" w:space="0" w:color="auto"/>
      </w:divBdr>
    </w:div>
    <w:div w:id="2015764358">
      <w:bodyDiv w:val="1"/>
      <w:marLeft w:val="0"/>
      <w:marRight w:val="0"/>
      <w:marTop w:val="0"/>
      <w:marBottom w:val="0"/>
      <w:divBdr>
        <w:top w:val="none" w:sz="0" w:space="0" w:color="auto"/>
        <w:left w:val="none" w:sz="0" w:space="0" w:color="auto"/>
        <w:bottom w:val="none" w:sz="0" w:space="0" w:color="auto"/>
        <w:right w:val="none" w:sz="0" w:space="0" w:color="auto"/>
      </w:divBdr>
    </w:div>
    <w:div w:id="2018849132">
      <w:bodyDiv w:val="1"/>
      <w:marLeft w:val="0"/>
      <w:marRight w:val="0"/>
      <w:marTop w:val="0"/>
      <w:marBottom w:val="0"/>
      <w:divBdr>
        <w:top w:val="none" w:sz="0" w:space="0" w:color="auto"/>
        <w:left w:val="none" w:sz="0" w:space="0" w:color="auto"/>
        <w:bottom w:val="none" w:sz="0" w:space="0" w:color="auto"/>
        <w:right w:val="none" w:sz="0" w:space="0" w:color="auto"/>
      </w:divBdr>
    </w:div>
    <w:div w:id="2021080487">
      <w:bodyDiv w:val="1"/>
      <w:marLeft w:val="0"/>
      <w:marRight w:val="0"/>
      <w:marTop w:val="0"/>
      <w:marBottom w:val="0"/>
      <w:divBdr>
        <w:top w:val="none" w:sz="0" w:space="0" w:color="auto"/>
        <w:left w:val="none" w:sz="0" w:space="0" w:color="auto"/>
        <w:bottom w:val="none" w:sz="0" w:space="0" w:color="auto"/>
        <w:right w:val="none" w:sz="0" w:space="0" w:color="auto"/>
      </w:divBdr>
    </w:div>
    <w:div w:id="2022320752">
      <w:bodyDiv w:val="1"/>
      <w:marLeft w:val="0"/>
      <w:marRight w:val="0"/>
      <w:marTop w:val="0"/>
      <w:marBottom w:val="0"/>
      <w:divBdr>
        <w:top w:val="none" w:sz="0" w:space="0" w:color="auto"/>
        <w:left w:val="none" w:sz="0" w:space="0" w:color="auto"/>
        <w:bottom w:val="none" w:sz="0" w:space="0" w:color="auto"/>
        <w:right w:val="none" w:sz="0" w:space="0" w:color="auto"/>
      </w:divBdr>
    </w:div>
    <w:div w:id="2023819254">
      <w:bodyDiv w:val="1"/>
      <w:marLeft w:val="0"/>
      <w:marRight w:val="0"/>
      <w:marTop w:val="0"/>
      <w:marBottom w:val="0"/>
      <w:divBdr>
        <w:top w:val="none" w:sz="0" w:space="0" w:color="auto"/>
        <w:left w:val="none" w:sz="0" w:space="0" w:color="auto"/>
        <w:bottom w:val="none" w:sz="0" w:space="0" w:color="auto"/>
        <w:right w:val="none" w:sz="0" w:space="0" w:color="auto"/>
      </w:divBdr>
    </w:div>
    <w:div w:id="2036031973">
      <w:bodyDiv w:val="1"/>
      <w:marLeft w:val="0"/>
      <w:marRight w:val="0"/>
      <w:marTop w:val="0"/>
      <w:marBottom w:val="0"/>
      <w:divBdr>
        <w:top w:val="none" w:sz="0" w:space="0" w:color="auto"/>
        <w:left w:val="none" w:sz="0" w:space="0" w:color="auto"/>
        <w:bottom w:val="none" w:sz="0" w:space="0" w:color="auto"/>
        <w:right w:val="none" w:sz="0" w:space="0" w:color="auto"/>
      </w:divBdr>
    </w:div>
    <w:div w:id="2038119028">
      <w:bodyDiv w:val="1"/>
      <w:marLeft w:val="0"/>
      <w:marRight w:val="0"/>
      <w:marTop w:val="0"/>
      <w:marBottom w:val="0"/>
      <w:divBdr>
        <w:top w:val="none" w:sz="0" w:space="0" w:color="auto"/>
        <w:left w:val="none" w:sz="0" w:space="0" w:color="auto"/>
        <w:bottom w:val="none" w:sz="0" w:space="0" w:color="auto"/>
        <w:right w:val="none" w:sz="0" w:space="0" w:color="auto"/>
      </w:divBdr>
    </w:div>
    <w:div w:id="2041277477">
      <w:bodyDiv w:val="1"/>
      <w:marLeft w:val="0"/>
      <w:marRight w:val="0"/>
      <w:marTop w:val="0"/>
      <w:marBottom w:val="0"/>
      <w:divBdr>
        <w:top w:val="none" w:sz="0" w:space="0" w:color="auto"/>
        <w:left w:val="none" w:sz="0" w:space="0" w:color="auto"/>
        <w:bottom w:val="none" w:sz="0" w:space="0" w:color="auto"/>
        <w:right w:val="none" w:sz="0" w:space="0" w:color="auto"/>
      </w:divBdr>
    </w:div>
    <w:div w:id="2042320323">
      <w:bodyDiv w:val="1"/>
      <w:marLeft w:val="0"/>
      <w:marRight w:val="0"/>
      <w:marTop w:val="0"/>
      <w:marBottom w:val="0"/>
      <w:divBdr>
        <w:top w:val="none" w:sz="0" w:space="0" w:color="auto"/>
        <w:left w:val="none" w:sz="0" w:space="0" w:color="auto"/>
        <w:bottom w:val="none" w:sz="0" w:space="0" w:color="auto"/>
        <w:right w:val="none" w:sz="0" w:space="0" w:color="auto"/>
      </w:divBdr>
    </w:div>
    <w:div w:id="2045864722">
      <w:bodyDiv w:val="1"/>
      <w:marLeft w:val="0"/>
      <w:marRight w:val="0"/>
      <w:marTop w:val="0"/>
      <w:marBottom w:val="0"/>
      <w:divBdr>
        <w:top w:val="none" w:sz="0" w:space="0" w:color="auto"/>
        <w:left w:val="none" w:sz="0" w:space="0" w:color="auto"/>
        <w:bottom w:val="none" w:sz="0" w:space="0" w:color="auto"/>
        <w:right w:val="none" w:sz="0" w:space="0" w:color="auto"/>
      </w:divBdr>
    </w:div>
    <w:div w:id="2048677660">
      <w:bodyDiv w:val="1"/>
      <w:marLeft w:val="0"/>
      <w:marRight w:val="0"/>
      <w:marTop w:val="0"/>
      <w:marBottom w:val="0"/>
      <w:divBdr>
        <w:top w:val="none" w:sz="0" w:space="0" w:color="auto"/>
        <w:left w:val="none" w:sz="0" w:space="0" w:color="auto"/>
        <w:bottom w:val="none" w:sz="0" w:space="0" w:color="auto"/>
        <w:right w:val="none" w:sz="0" w:space="0" w:color="auto"/>
      </w:divBdr>
    </w:div>
    <w:div w:id="2053534325">
      <w:bodyDiv w:val="1"/>
      <w:marLeft w:val="0"/>
      <w:marRight w:val="0"/>
      <w:marTop w:val="0"/>
      <w:marBottom w:val="0"/>
      <w:divBdr>
        <w:top w:val="none" w:sz="0" w:space="0" w:color="auto"/>
        <w:left w:val="none" w:sz="0" w:space="0" w:color="auto"/>
        <w:bottom w:val="none" w:sz="0" w:space="0" w:color="auto"/>
        <w:right w:val="none" w:sz="0" w:space="0" w:color="auto"/>
      </w:divBdr>
    </w:div>
    <w:div w:id="2054890413">
      <w:bodyDiv w:val="1"/>
      <w:marLeft w:val="0"/>
      <w:marRight w:val="0"/>
      <w:marTop w:val="0"/>
      <w:marBottom w:val="0"/>
      <w:divBdr>
        <w:top w:val="none" w:sz="0" w:space="0" w:color="auto"/>
        <w:left w:val="none" w:sz="0" w:space="0" w:color="auto"/>
        <w:bottom w:val="none" w:sz="0" w:space="0" w:color="auto"/>
        <w:right w:val="none" w:sz="0" w:space="0" w:color="auto"/>
      </w:divBdr>
    </w:div>
    <w:div w:id="2058429745">
      <w:bodyDiv w:val="1"/>
      <w:marLeft w:val="0"/>
      <w:marRight w:val="0"/>
      <w:marTop w:val="0"/>
      <w:marBottom w:val="0"/>
      <w:divBdr>
        <w:top w:val="none" w:sz="0" w:space="0" w:color="auto"/>
        <w:left w:val="none" w:sz="0" w:space="0" w:color="auto"/>
        <w:bottom w:val="none" w:sz="0" w:space="0" w:color="auto"/>
        <w:right w:val="none" w:sz="0" w:space="0" w:color="auto"/>
      </w:divBdr>
    </w:div>
    <w:div w:id="2061782025">
      <w:bodyDiv w:val="1"/>
      <w:marLeft w:val="0"/>
      <w:marRight w:val="0"/>
      <w:marTop w:val="0"/>
      <w:marBottom w:val="0"/>
      <w:divBdr>
        <w:top w:val="none" w:sz="0" w:space="0" w:color="auto"/>
        <w:left w:val="none" w:sz="0" w:space="0" w:color="auto"/>
        <w:bottom w:val="none" w:sz="0" w:space="0" w:color="auto"/>
        <w:right w:val="none" w:sz="0" w:space="0" w:color="auto"/>
      </w:divBdr>
    </w:div>
    <w:div w:id="2065592614">
      <w:bodyDiv w:val="1"/>
      <w:marLeft w:val="0"/>
      <w:marRight w:val="0"/>
      <w:marTop w:val="0"/>
      <w:marBottom w:val="0"/>
      <w:divBdr>
        <w:top w:val="none" w:sz="0" w:space="0" w:color="auto"/>
        <w:left w:val="none" w:sz="0" w:space="0" w:color="auto"/>
        <w:bottom w:val="none" w:sz="0" w:space="0" w:color="auto"/>
        <w:right w:val="none" w:sz="0" w:space="0" w:color="auto"/>
      </w:divBdr>
    </w:div>
    <w:div w:id="2066560848">
      <w:bodyDiv w:val="1"/>
      <w:marLeft w:val="0"/>
      <w:marRight w:val="0"/>
      <w:marTop w:val="0"/>
      <w:marBottom w:val="0"/>
      <w:divBdr>
        <w:top w:val="none" w:sz="0" w:space="0" w:color="auto"/>
        <w:left w:val="none" w:sz="0" w:space="0" w:color="auto"/>
        <w:bottom w:val="none" w:sz="0" w:space="0" w:color="auto"/>
        <w:right w:val="none" w:sz="0" w:space="0" w:color="auto"/>
      </w:divBdr>
    </w:div>
    <w:div w:id="2067991689">
      <w:bodyDiv w:val="1"/>
      <w:marLeft w:val="0"/>
      <w:marRight w:val="0"/>
      <w:marTop w:val="0"/>
      <w:marBottom w:val="0"/>
      <w:divBdr>
        <w:top w:val="none" w:sz="0" w:space="0" w:color="auto"/>
        <w:left w:val="none" w:sz="0" w:space="0" w:color="auto"/>
        <w:bottom w:val="none" w:sz="0" w:space="0" w:color="auto"/>
        <w:right w:val="none" w:sz="0" w:space="0" w:color="auto"/>
      </w:divBdr>
    </w:div>
    <w:div w:id="2073648911">
      <w:bodyDiv w:val="1"/>
      <w:marLeft w:val="0"/>
      <w:marRight w:val="0"/>
      <w:marTop w:val="0"/>
      <w:marBottom w:val="0"/>
      <w:divBdr>
        <w:top w:val="none" w:sz="0" w:space="0" w:color="auto"/>
        <w:left w:val="none" w:sz="0" w:space="0" w:color="auto"/>
        <w:bottom w:val="none" w:sz="0" w:space="0" w:color="auto"/>
        <w:right w:val="none" w:sz="0" w:space="0" w:color="auto"/>
      </w:divBdr>
    </w:div>
    <w:div w:id="2076660291">
      <w:bodyDiv w:val="1"/>
      <w:marLeft w:val="0"/>
      <w:marRight w:val="0"/>
      <w:marTop w:val="0"/>
      <w:marBottom w:val="0"/>
      <w:divBdr>
        <w:top w:val="none" w:sz="0" w:space="0" w:color="auto"/>
        <w:left w:val="none" w:sz="0" w:space="0" w:color="auto"/>
        <w:bottom w:val="none" w:sz="0" w:space="0" w:color="auto"/>
        <w:right w:val="none" w:sz="0" w:space="0" w:color="auto"/>
      </w:divBdr>
    </w:div>
    <w:div w:id="2077119240">
      <w:bodyDiv w:val="1"/>
      <w:marLeft w:val="0"/>
      <w:marRight w:val="0"/>
      <w:marTop w:val="0"/>
      <w:marBottom w:val="0"/>
      <w:divBdr>
        <w:top w:val="none" w:sz="0" w:space="0" w:color="auto"/>
        <w:left w:val="none" w:sz="0" w:space="0" w:color="auto"/>
        <w:bottom w:val="none" w:sz="0" w:space="0" w:color="auto"/>
        <w:right w:val="none" w:sz="0" w:space="0" w:color="auto"/>
      </w:divBdr>
    </w:div>
    <w:div w:id="2077706747">
      <w:bodyDiv w:val="1"/>
      <w:marLeft w:val="0"/>
      <w:marRight w:val="0"/>
      <w:marTop w:val="0"/>
      <w:marBottom w:val="0"/>
      <w:divBdr>
        <w:top w:val="none" w:sz="0" w:space="0" w:color="auto"/>
        <w:left w:val="none" w:sz="0" w:space="0" w:color="auto"/>
        <w:bottom w:val="none" w:sz="0" w:space="0" w:color="auto"/>
        <w:right w:val="none" w:sz="0" w:space="0" w:color="auto"/>
      </w:divBdr>
    </w:div>
    <w:div w:id="2079400014">
      <w:bodyDiv w:val="1"/>
      <w:marLeft w:val="0"/>
      <w:marRight w:val="0"/>
      <w:marTop w:val="0"/>
      <w:marBottom w:val="0"/>
      <w:divBdr>
        <w:top w:val="none" w:sz="0" w:space="0" w:color="auto"/>
        <w:left w:val="none" w:sz="0" w:space="0" w:color="auto"/>
        <w:bottom w:val="none" w:sz="0" w:space="0" w:color="auto"/>
        <w:right w:val="none" w:sz="0" w:space="0" w:color="auto"/>
      </w:divBdr>
    </w:div>
    <w:div w:id="2086107535">
      <w:bodyDiv w:val="1"/>
      <w:marLeft w:val="0"/>
      <w:marRight w:val="0"/>
      <w:marTop w:val="0"/>
      <w:marBottom w:val="0"/>
      <w:divBdr>
        <w:top w:val="none" w:sz="0" w:space="0" w:color="auto"/>
        <w:left w:val="none" w:sz="0" w:space="0" w:color="auto"/>
        <w:bottom w:val="none" w:sz="0" w:space="0" w:color="auto"/>
        <w:right w:val="none" w:sz="0" w:space="0" w:color="auto"/>
      </w:divBdr>
    </w:div>
    <w:div w:id="2091193180">
      <w:bodyDiv w:val="1"/>
      <w:marLeft w:val="0"/>
      <w:marRight w:val="0"/>
      <w:marTop w:val="0"/>
      <w:marBottom w:val="0"/>
      <w:divBdr>
        <w:top w:val="none" w:sz="0" w:space="0" w:color="auto"/>
        <w:left w:val="none" w:sz="0" w:space="0" w:color="auto"/>
        <w:bottom w:val="none" w:sz="0" w:space="0" w:color="auto"/>
        <w:right w:val="none" w:sz="0" w:space="0" w:color="auto"/>
      </w:divBdr>
    </w:div>
    <w:div w:id="2092582537">
      <w:bodyDiv w:val="1"/>
      <w:marLeft w:val="0"/>
      <w:marRight w:val="0"/>
      <w:marTop w:val="0"/>
      <w:marBottom w:val="0"/>
      <w:divBdr>
        <w:top w:val="none" w:sz="0" w:space="0" w:color="auto"/>
        <w:left w:val="none" w:sz="0" w:space="0" w:color="auto"/>
        <w:bottom w:val="none" w:sz="0" w:space="0" w:color="auto"/>
        <w:right w:val="none" w:sz="0" w:space="0" w:color="auto"/>
      </w:divBdr>
    </w:div>
    <w:div w:id="2094085014">
      <w:bodyDiv w:val="1"/>
      <w:marLeft w:val="0"/>
      <w:marRight w:val="0"/>
      <w:marTop w:val="0"/>
      <w:marBottom w:val="0"/>
      <w:divBdr>
        <w:top w:val="none" w:sz="0" w:space="0" w:color="auto"/>
        <w:left w:val="none" w:sz="0" w:space="0" w:color="auto"/>
        <w:bottom w:val="none" w:sz="0" w:space="0" w:color="auto"/>
        <w:right w:val="none" w:sz="0" w:space="0" w:color="auto"/>
      </w:divBdr>
    </w:div>
    <w:div w:id="2099447266">
      <w:bodyDiv w:val="1"/>
      <w:marLeft w:val="0"/>
      <w:marRight w:val="0"/>
      <w:marTop w:val="0"/>
      <w:marBottom w:val="0"/>
      <w:divBdr>
        <w:top w:val="none" w:sz="0" w:space="0" w:color="auto"/>
        <w:left w:val="none" w:sz="0" w:space="0" w:color="auto"/>
        <w:bottom w:val="none" w:sz="0" w:space="0" w:color="auto"/>
        <w:right w:val="none" w:sz="0" w:space="0" w:color="auto"/>
      </w:divBdr>
    </w:div>
    <w:div w:id="2101639892">
      <w:bodyDiv w:val="1"/>
      <w:marLeft w:val="0"/>
      <w:marRight w:val="0"/>
      <w:marTop w:val="0"/>
      <w:marBottom w:val="0"/>
      <w:divBdr>
        <w:top w:val="none" w:sz="0" w:space="0" w:color="auto"/>
        <w:left w:val="none" w:sz="0" w:space="0" w:color="auto"/>
        <w:bottom w:val="none" w:sz="0" w:space="0" w:color="auto"/>
        <w:right w:val="none" w:sz="0" w:space="0" w:color="auto"/>
      </w:divBdr>
    </w:div>
    <w:div w:id="2103261350">
      <w:bodyDiv w:val="1"/>
      <w:marLeft w:val="0"/>
      <w:marRight w:val="0"/>
      <w:marTop w:val="0"/>
      <w:marBottom w:val="0"/>
      <w:divBdr>
        <w:top w:val="none" w:sz="0" w:space="0" w:color="auto"/>
        <w:left w:val="none" w:sz="0" w:space="0" w:color="auto"/>
        <w:bottom w:val="none" w:sz="0" w:space="0" w:color="auto"/>
        <w:right w:val="none" w:sz="0" w:space="0" w:color="auto"/>
      </w:divBdr>
    </w:div>
    <w:div w:id="2106605817">
      <w:bodyDiv w:val="1"/>
      <w:marLeft w:val="0"/>
      <w:marRight w:val="0"/>
      <w:marTop w:val="0"/>
      <w:marBottom w:val="0"/>
      <w:divBdr>
        <w:top w:val="none" w:sz="0" w:space="0" w:color="auto"/>
        <w:left w:val="none" w:sz="0" w:space="0" w:color="auto"/>
        <w:bottom w:val="none" w:sz="0" w:space="0" w:color="auto"/>
        <w:right w:val="none" w:sz="0" w:space="0" w:color="auto"/>
      </w:divBdr>
    </w:div>
    <w:div w:id="2106917233">
      <w:bodyDiv w:val="1"/>
      <w:marLeft w:val="0"/>
      <w:marRight w:val="0"/>
      <w:marTop w:val="0"/>
      <w:marBottom w:val="0"/>
      <w:divBdr>
        <w:top w:val="none" w:sz="0" w:space="0" w:color="auto"/>
        <w:left w:val="none" w:sz="0" w:space="0" w:color="auto"/>
        <w:bottom w:val="none" w:sz="0" w:space="0" w:color="auto"/>
        <w:right w:val="none" w:sz="0" w:space="0" w:color="auto"/>
      </w:divBdr>
    </w:div>
    <w:div w:id="2122606319">
      <w:bodyDiv w:val="1"/>
      <w:marLeft w:val="0"/>
      <w:marRight w:val="0"/>
      <w:marTop w:val="0"/>
      <w:marBottom w:val="0"/>
      <w:divBdr>
        <w:top w:val="none" w:sz="0" w:space="0" w:color="auto"/>
        <w:left w:val="none" w:sz="0" w:space="0" w:color="auto"/>
        <w:bottom w:val="none" w:sz="0" w:space="0" w:color="auto"/>
        <w:right w:val="none" w:sz="0" w:space="0" w:color="auto"/>
      </w:divBdr>
    </w:div>
    <w:div w:id="2122874253">
      <w:bodyDiv w:val="1"/>
      <w:marLeft w:val="0"/>
      <w:marRight w:val="0"/>
      <w:marTop w:val="0"/>
      <w:marBottom w:val="0"/>
      <w:divBdr>
        <w:top w:val="none" w:sz="0" w:space="0" w:color="auto"/>
        <w:left w:val="none" w:sz="0" w:space="0" w:color="auto"/>
        <w:bottom w:val="none" w:sz="0" w:space="0" w:color="auto"/>
        <w:right w:val="none" w:sz="0" w:space="0" w:color="auto"/>
      </w:divBdr>
    </w:div>
    <w:div w:id="2131240691">
      <w:bodyDiv w:val="1"/>
      <w:marLeft w:val="0"/>
      <w:marRight w:val="0"/>
      <w:marTop w:val="0"/>
      <w:marBottom w:val="0"/>
      <w:divBdr>
        <w:top w:val="none" w:sz="0" w:space="0" w:color="auto"/>
        <w:left w:val="none" w:sz="0" w:space="0" w:color="auto"/>
        <w:bottom w:val="none" w:sz="0" w:space="0" w:color="auto"/>
        <w:right w:val="none" w:sz="0" w:space="0" w:color="auto"/>
      </w:divBdr>
    </w:div>
    <w:div w:id="2132819707">
      <w:bodyDiv w:val="1"/>
      <w:marLeft w:val="0"/>
      <w:marRight w:val="0"/>
      <w:marTop w:val="0"/>
      <w:marBottom w:val="0"/>
      <w:divBdr>
        <w:top w:val="none" w:sz="0" w:space="0" w:color="auto"/>
        <w:left w:val="none" w:sz="0" w:space="0" w:color="auto"/>
        <w:bottom w:val="none" w:sz="0" w:space="0" w:color="auto"/>
        <w:right w:val="none" w:sz="0" w:space="0" w:color="auto"/>
      </w:divBdr>
    </w:div>
    <w:div w:id="2132896815">
      <w:bodyDiv w:val="1"/>
      <w:marLeft w:val="0"/>
      <w:marRight w:val="0"/>
      <w:marTop w:val="0"/>
      <w:marBottom w:val="0"/>
      <w:divBdr>
        <w:top w:val="none" w:sz="0" w:space="0" w:color="auto"/>
        <w:left w:val="none" w:sz="0" w:space="0" w:color="auto"/>
        <w:bottom w:val="none" w:sz="0" w:space="0" w:color="auto"/>
        <w:right w:val="none" w:sz="0" w:space="0" w:color="auto"/>
      </w:divBdr>
    </w:div>
    <w:div w:id="2133356576">
      <w:bodyDiv w:val="1"/>
      <w:marLeft w:val="0"/>
      <w:marRight w:val="0"/>
      <w:marTop w:val="0"/>
      <w:marBottom w:val="0"/>
      <w:divBdr>
        <w:top w:val="none" w:sz="0" w:space="0" w:color="auto"/>
        <w:left w:val="none" w:sz="0" w:space="0" w:color="auto"/>
        <w:bottom w:val="none" w:sz="0" w:space="0" w:color="auto"/>
        <w:right w:val="none" w:sz="0" w:space="0" w:color="auto"/>
      </w:divBdr>
    </w:div>
    <w:div w:id="2133360434">
      <w:bodyDiv w:val="1"/>
      <w:marLeft w:val="0"/>
      <w:marRight w:val="0"/>
      <w:marTop w:val="0"/>
      <w:marBottom w:val="0"/>
      <w:divBdr>
        <w:top w:val="none" w:sz="0" w:space="0" w:color="auto"/>
        <w:left w:val="none" w:sz="0" w:space="0" w:color="auto"/>
        <w:bottom w:val="none" w:sz="0" w:space="0" w:color="auto"/>
        <w:right w:val="none" w:sz="0" w:space="0" w:color="auto"/>
      </w:divBdr>
    </w:div>
    <w:div w:id="2137024302">
      <w:bodyDiv w:val="1"/>
      <w:marLeft w:val="0"/>
      <w:marRight w:val="0"/>
      <w:marTop w:val="0"/>
      <w:marBottom w:val="0"/>
      <w:divBdr>
        <w:top w:val="none" w:sz="0" w:space="0" w:color="auto"/>
        <w:left w:val="none" w:sz="0" w:space="0" w:color="auto"/>
        <w:bottom w:val="none" w:sz="0" w:space="0" w:color="auto"/>
        <w:right w:val="none" w:sz="0" w:space="0" w:color="auto"/>
      </w:divBdr>
    </w:div>
    <w:div w:id="2141805243">
      <w:bodyDiv w:val="1"/>
      <w:marLeft w:val="0"/>
      <w:marRight w:val="0"/>
      <w:marTop w:val="0"/>
      <w:marBottom w:val="0"/>
      <w:divBdr>
        <w:top w:val="none" w:sz="0" w:space="0" w:color="auto"/>
        <w:left w:val="none" w:sz="0" w:space="0" w:color="auto"/>
        <w:bottom w:val="none" w:sz="0" w:space="0" w:color="auto"/>
        <w:right w:val="none" w:sz="0" w:space="0" w:color="auto"/>
      </w:divBdr>
    </w:div>
    <w:div w:id="2145730289">
      <w:bodyDiv w:val="1"/>
      <w:marLeft w:val="0"/>
      <w:marRight w:val="0"/>
      <w:marTop w:val="0"/>
      <w:marBottom w:val="0"/>
      <w:divBdr>
        <w:top w:val="none" w:sz="0" w:space="0" w:color="auto"/>
        <w:left w:val="none" w:sz="0" w:space="0" w:color="auto"/>
        <w:bottom w:val="none" w:sz="0" w:space="0" w:color="auto"/>
        <w:right w:val="none" w:sz="0" w:space="0" w:color="auto"/>
      </w:divBdr>
    </w:div>
    <w:div w:id="2145805761">
      <w:bodyDiv w:val="1"/>
      <w:marLeft w:val="0"/>
      <w:marRight w:val="0"/>
      <w:marTop w:val="0"/>
      <w:marBottom w:val="0"/>
      <w:divBdr>
        <w:top w:val="none" w:sz="0" w:space="0" w:color="auto"/>
        <w:left w:val="none" w:sz="0" w:space="0" w:color="auto"/>
        <w:bottom w:val="none" w:sz="0" w:space="0" w:color="auto"/>
        <w:right w:val="none" w:sz="0" w:space="0" w:color="auto"/>
      </w:divBdr>
    </w:div>
    <w:div w:id="2146316365">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openxmlformats.org/officeDocument/2006/relationships/hyperlink" Target="https://en.wikipedia.org/wiki/Dollar_Shave_Club" TargetMode="External"/><Relationship Id="rId18" Type="http://schemas.openxmlformats.org/officeDocument/2006/relationships/footer" Target="footer1.xml"/><Relationship Id="rId3" Type="http://schemas.openxmlformats.org/officeDocument/2006/relationships/numbering" Target="numbering.xml"/><Relationship Id="rId21" Type="http://schemas.openxmlformats.org/officeDocument/2006/relationships/theme" Target="theme/theme1.xml"/><Relationship Id="rId7" Type="http://schemas.openxmlformats.org/officeDocument/2006/relationships/footnotes" Target="footnotes.xml"/><Relationship Id="rId12" Type="http://schemas.openxmlformats.org/officeDocument/2006/relationships/hyperlink" Target="https://en.wikipedia.org/wiki/Grom_(company)" TargetMode="External"/><Relationship Id="rId17" Type="http://schemas.openxmlformats.org/officeDocument/2006/relationships/hyperlink" Target="https://www.bizjournals.com/cincinnati/news/2018/02/06/p-g-acquires-international-competitor.html" TargetMode="External"/><Relationship Id="rId2" Type="http://schemas.openxmlformats.org/officeDocument/2006/relationships/customXml" Target="../customXml/item2.xml"/><Relationship Id="rId16" Type="http://schemas.openxmlformats.org/officeDocument/2006/relationships/hyperlink" Target="https://en.wikipedia.org/wiki/Schmidt%E2%80%99s_Deodorant" TargetMode="External"/><Relationship Id="rId20" Type="http://schemas.openxmlformats.org/officeDocument/2006/relationships/glossaryDocument" Target="glossary/document.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hyperlink" Target="https://en.wikipedia.org/wiki/Slim-Fast" TargetMode="External"/><Relationship Id="rId5" Type="http://schemas.openxmlformats.org/officeDocument/2006/relationships/settings" Target="settings.xml"/><Relationship Id="rId15" Type="http://schemas.openxmlformats.org/officeDocument/2006/relationships/hyperlink" Target="https://en.wikipedia.org/wiki/Starbucks" TargetMode="External"/><Relationship Id="rId10" Type="http://schemas.openxmlformats.org/officeDocument/2006/relationships/hyperlink" Target="https://en.wikipedia.org/wiki/Jack_Link%27s_Beef_Jerky" TargetMode="External"/><Relationship Id="rId19" Type="http://schemas.openxmlformats.org/officeDocument/2006/relationships/fontTable" Target="fontTable.xml"/><Relationship Id="rId4" Type="http://schemas.openxmlformats.org/officeDocument/2006/relationships/styles" Target="styles.xml"/><Relationship Id="rId9" Type="http://schemas.openxmlformats.org/officeDocument/2006/relationships/image" Target="media/image1.png"/><Relationship Id="rId14" Type="http://schemas.openxmlformats.org/officeDocument/2006/relationships/hyperlink" Target="https://en.wikipedia.org/wiki/KKR" TargetMode="Externa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p14">
  <w:docParts>
    <w:docPart>
      <w:docPartPr>
        <w:name w:val="1C81E7F465D74B06B8E607FA309A8F26"/>
        <w:category>
          <w:name w:val="General"/>
          <w:gallery w:val="placeholder"/>
        </w:category>
        <w:types>
          <w:type w:val="bbPlcHdr"/>
        </w:types>
        <w:behaviors>
          <w:behavior w:val="content"/>
        </w:behaviors>
        <w:guid w:val="{2A006563-BE37-4E9C-B1EB-01DB0577F977}"/>
      </w:docPartPr>
      <w:docPartBody>
        <w:p w:rsidR="002F6A6C" w:rsidRDefault="001E1925" w:rsidP="001E1925">
          <w:pPr>
            <w:pStyle w:val="1C81E7F465D74B06B8E607FA309A8F26"/>
          </w:pPr>
          <w:r>
            <w:rPr>
              <w:color w:val="2E74B5" w:themeColor="accent1" w:themeShade="BF"/>
              <w:sz w:val="24"/>
              <w:szCs w:val="24"/>
            </w:rPr>
            <w:t>[Company name]</w:t>
          </w:r>
        </w:p>
      </w:docPartBody>
    </w:docPart>
    <w:docPart>
      <w:docPartPr>
        <w:name w:val="758529DA3FA94E69973EE47D9E26526B"/>
        <w:category>
          <w:name w:val="General"/>
          <w:gallery w:val="placeholder"/>
        </w:category>
        <w:types>
          <w:type w:val="bbPlcHdr"/>
        </w:types>
        <w:behaviors>
          <w:behavior w:val="content"/>
        </w:behaviors>
        <w:guid w:val="{19A4D2F9-FB83-43FE-9959-73299E0137BD}"/>
      </w:docPartPr>
      <w:docPartBody>
        <w:p w:rsidR="002F6A6C" w:rsidRDefault="001E1925" w:rsidP="001E1925">
          <w:pPr>
            <w:pStyle w:val="758529DA3FA94E69973EE47D9E26526B"/>
          </w:pPr>
          <w:r>
            <w:rPr>
              <w:rFonts w:asciiTheme="majorHAnsi" w:eastAsiaTheme="majorEastAsia" w:hAnsiTheme="majorHAnsi" w:cstheme="majorBidi"/>
              <w:color w:val="5B9BD5" w:themeColor="accent1"/>
              <w:sz w:val="88"/>
              <w:szCs w:val="88"/>
            </w:rPr>
            <w:t>[Document title]</w:t>
          </w:r>
        </w:p>
      </w:docPartBody>
    </w:docPart>
    <w:docPart>
      <w:docPartPr>
        <w:name w:val="BE34F65612A74983A8B574A1BA1AA032"/>
        <w:category>
          <w:name w:val="General"/>
          <w:gallery w:val="placeholder"/>
        </w:category>
        <w:types>
          <w:type w:val="bbPlcHdr"/>
        </w:types>
        <w:behaviors>
          <w:behavior w:val="content"/>
        </w:behaviors>
        <w:guid w:val="{B475DC83-25CC-4A90-9B28-B8A46660F8F7}"/>
      </w:docPartPr>
      <w:docPartBody>
        <w:p w:rsidR="002F6A6C" w:rsidRDefault="001E1925" w:rsidP="001E1925">
          <w:pPr>
            <w:pStyle w:val="BE34F65612A74983A8B574A1BA1AA032"/>
          </w:pPr>
          <w:r>
            <w:rPr>
              <w:color w:val="2E74B5" w:themeColor="accent1" w:themeShade="BF"/>
              <w:sz w:val="24"/>
              <w:szCs w:val="24"/>
            </w:rPr>
            <w:t>[Document subtitle]</w:t>
          </w:r>
        </w:p>
      </w:docPartBody>
    </w:docPart>
    <w:docPart>
      <w:docPartPr>
        <w:name w:val="AD72AB98C2154CF983ABB0ECD435EC55"/>
        <w:category>
          <w:name w:val="General"/>
          <w:gallery w:val="placeholder"/>
        </w:category>
        <w:types>
          <w:type w:val="bbPlcHdr"/>
        </w:types>
        <w:behaviors>
          <w:behavior w:val="content"/>
        </w:behaviors>
        <w:guid w:val="{6532B736-C2FD-4A9E-80B9-05AD3C0370A1}"/>
      </w:docPartPr>
      <w:docPartBody>
        <w:p w:rsidR="00000000" w:rsidRDefault="002F6A6C" w:rsidP="002F6A6C">
          <w:pPr>
            <w:pStyle w:val="AD72AB98C2154CF983ABB0ECD435EC55"/>
          </w:pPr>
          <w:r>
            <w:rPr>
              <w:color w:val="5B9BD5" w:themeColor="accent1"/>
              <w:sz w:val="28"/>
              <w:szCs w:val="28"/>
            </w:rPr>
            <w:t>[Author name]</w:t>
          </w:r>
        </w:p>
      </w:docPartBody>
    </w:docPart>
    <w:docPart>
      <w:docPartPr>
        <w:name w:val="2A0082F34915495C875DC2CD47BFCEDD"/>
        <w:category>
          <w:name w:val="General"/>
          <w:gallery w:val="placeholder"/>
        </w:category>
        <w:types>
          <w:type w:val="bbPlcHdr"/>
        </w:types>
        <w:behaviors>
          <w:behavior w:val="content"/>
        </w:behaviors>
        <w:guid w:val="{3B583616-95E5-4A01-A5BC-C298A42DB822}"/>
      </w:docPartPr>
      <w:docPartBody>
        <w:p w:rsidR="00000000" w:rsidRDefault="002F6A6C" w:rsidP="002F6A6C">
          <w:pPr>
            <w:pStyle w:val="2A0082F34915495C875DC2CD47BFCEDD"/>
          </w:pPr>
          <w:r>
            <w:rPr>
              <w:color w:val="5B9BD5" w:themeColor="accent1"/>
              <w:sz w:val="28"/>
              <w:szCs w:val="28"/>
            </w:rPr>
            <w:t>[Date]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se="http://schemas.microsoft.com/office/word/2015/wordml/symex" xmlns:sl="http://schemas.openxmlformats.org/schemaLibrary/2006/main" mc:Ignorable="w14 w15 w16se">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6C6F4B"/>
    <w:rsid w:val="001E1925"/>
    <w:rsid w:val="002F6A6C"/>
    <w:rsid w:val="006C6F4B"/>
    <w:rsid w:val="00922041"/>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docDefaults>
    <w:rPrDefault>
      <w:rPr>
        <w:rFonts w:asciiTheme="minorHAnsi" w:eastAsiaTheme="minorEastAsia" w:hAnsiTheme="minorHAnsi" w:cstheme="minorBidi"/>
        <w:sz w:val="22"/>
        <w:szCs w:val="22"/>
        <w:lang w:val="en-GB" w:eastAsia="en-GB"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PlaceholderText">
    <w:name w:val="Placeholder Text"/>
    <w:basedOn w:val="DefaultParagraphFont"/>
    <w:uiPriority w:val="99"/>
    <w:semiHidden/>
    <w:rsid w:val="006C6F4B"/>
    <w:rPr>
      <w:color w:val="808080"/>
    </w:rPr>
  </w:style>
  <w:style w:type="paragraph" w:customStyle="1" w:styleId="1C81E7F465D74B06B8E607FA309A8F26">
    <w:name w:val="1C81E7F465D74B06B8E607FA309A8F26"/>
    <w:rsid w:val="001E1925"/>
  </w:style>
  <w:style w:type="paragraph" w:customStyle="1" w:styleId="758529DA3FA94E69973EE47D9E26526B">
    <w:name w:val="758529DA3FA94E69973EE47D9E26526B"/>
    <w:rsid w:val="001E1925"/>
  </w:style>
  <w:style w:type="paragraph" w:customStyle="1" w:styleId="BE34F65612A74983A8B574A1BA1AA032">
    <w:name w:val="BE34F65612A74983A8B574A1BA1AA032"/>
    <w:rsid w:val="001E1925"/>
  </w:style>
  <w:style w:type="paragraph" w:customStyle="1" w:styleId="6C758DB4021B487DAF0A46DB86090B50">
    <w:name w:val="6C758DB4021B487DAF0A46DB86090B50"/>
    <w:rsid w:val="001E1925"/>
  </w:style>
  <w:style w:type="paragraph" w:customStyle="1" w:styleId="231011AF9A5944EA8D7163AAFA53D5B1">
    <w:name w:val="231011AF9A5944EA8D7163AAFA53D5B1"/>
    <w:rsid w:val="001E1925"/>
  </w:style>
  <w:style w:type="paragraph" w:customStyle="1" w:styleId="D0B768FBC4EE499DA44934B60D1BBFC5">
    <w:name w:val="D0B768FBC4EE499DA44934B60D1BBFC5"/>
    <w:rsid w:val="001E1925"/>
  </w:style>
  <w:style w:type="paragraph" w:customStyle="1" w:styleId="C33BC1465F79408FB6851A7AC5C711AD">
    <w:name w:val="C33BC1465F79408FB6851A7AC5C711AD"/>
    <w:rsid w:val="001E1925"/>
  </w:style>
  <w:style w:type="paragraph" w:customStyle="1" w:styleId="4D0605B7FF664203B4593B3283398DB5">
    <w:name w:val="4D0605B7FF664203B4593B3283398DB5"/>
    <w:rsid w:val="001E1925"/>
  </w:style>
  <w:style w:type="paragraph" w:customStyle="1" w:styleId="F60F430E167341B094F8FF68F9FC7CE1">
    <w:name w:val="F60F430E167341B094F8FF68F9FC7CE1"/>
    <w:rsid w:val="001E1925"/>
  </w:style>
  <w:style w:type="paragraph" w:customStyle="1" w:styleId="B611EE0ABB504F01804ACCA6AE4DEBD3">
    <w:name w:val="B611EE0ABB504F01804ACCA6AE4DEBD3"/>
    <w:rsid w:val="001E1925"/>
  </w:style>
  <w:style w:type="paragraph" w:customStyle="1" w:styleId="3461662D6DA34B96B88977149FA05EF8">
    <w:name w:val="3461662D6DA34B96B88977149FA05EF8"/>
    <w:rsid w:val="001E1925"/>
  </w:style>
  <w:style w:type="paragraph" w:customStyle="1" w:styleId="CF2B99D29096417E91E771DCE29BC2D0">
    <w:name w:val="CF2B99D29096417E91E771DCE29BC2D0"/>
    <w:rsid w:val="001E1925"/>
  </w:style>
  <w:style w:type="paragraph" w:customStyle="1" w:styleId="579D0FB19F68443990FE0C5D19EAD6E4">
    <w:name w:val="579D0FB19F68443990FE0C5D19EAD6E4"/>
    <w:rsid w:val="001E1925"/>
  </w:style>
  <w:style w:type="paragraph" w:customStyle="1" w:styleId="AD72AB98C2154CF983ABB0ECD435EC55">
    <w:name w:val="AD72AB98C2154CF983ABB0ECD435EC55"/>
    <w:rsid w:val="002F6A6C"/>
  </w:style>
  <w:style w:type="paragraph" w:customStyle="1" w:styleId="2A0082F34915495C875DC2CD47BFCEDD">
    <w:name w:val="2A0082F34915495C875DC2CD47BFCEDD"/>
    <w:rsid w:val="002F6A6C"/>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mc:Ignorable="w14 w15 w16se">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5B9BD5"/>
      </a:accent1>
      <a:accent2>
        <a:srgbClr val="ED7D31"/>
      </a:accent2>
      <a:accent3>
        <a:srgbClr val="A5A5A5"/>
      </a:accent3>
      <a:accent4>
        <a:srgbClr val="FFC000"/>
      </a:accent4>
      <a:accent5>
        <a:srgbClr val="4472C4"/>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item1.xml><?xml version="1.0" encoding="utf-8"?>
<CoverPageProperties xmlns="http://schemas.microsoft.com/office/2006/coverPageProps">
  <PublishDate>2020-01-17T00:00:00</PublishDate>
  <Abstract/>
  <CompanyAddress/>
  <CompanyPhone/>
  <CompanyFax/>
  <CompanyEmail/>
</CoverPageProperties>
</file>

<file path=customXml/item2.xml><?xml version="1.0" encoding="utf-8"?>
<b:Sources xmlns:b="http://schemas.openxmlformats.org/officeDocument/2006/bibliography" xmlns="http://schemas.openxmlformats.org/officeDocument/2006/bibliography" SelectedStyle="\HarvardAnglia2008OfficeOnline.xsl" StyleName="Harvard - Anglia" Version="2008">
  <b:Source>
    <b:Tag>Uni19</b:Tag>
    <b:SourceType>InternetSite</b:SourceType>
    <b:Guid>{23E87C61-BA48-4A31-BF40-923A6477C1ED}</b:Guid>
    <b:Title>Who we are</b:Title>
    <b:Year>2019</b:Year>
    <b:Author>
      <b:Author>
        <b:Corporate>Unilever</b:Corporate>
      </b:Author>
    </b:Author>
    <b:YearAccessed>2020</b:YearAccessed>
    <b:MonthAccessed>January</b:MonthAccessed>
    <b:DayAccessed>11</b:DayAccessed>
    <b:URL>https://www.unilever.com/about/who-we-are/our-history/1920-1929.html</b:URL>
    <b:RefOrder>2</b:RefOrder>
  </b:Source>
  <b:Source>
    <b:Tag>Por08</b:Tag>
    <b:SourceType>ElectronicSource</b:SourceType>
    <b:Guid>{0AE4063F-780B-4419-93C0-44C7F1486711}</b:Guid>
    <b:Title>The Five Competitive Forces that Shape Strategy</b:Title>
    <b:Year>2008</b:Year>
    <b:City>Harvard</b:City>
    <b:Publisher>Harvard Business School Publishing Corporation</b:Publisher>
    <b:Author>
      <b:Author>
        <b:NameList>
          <b:Person>
            <b:Last>Porter</b:Last>
            <b:First>Michael</b:First>
            <b:Middle>E.</b:Middle>
          </b:Person>
        </b:NameList>
      </b:Author>
    </b:Author>
    <b:RefOrder>3</b:RefOrder>
  </b:Source>
  <b:Source>
    <b:Tag>You17</b:Tag>
    <b:SourceType>DocumentFromInternetSite</b:SourceType>
    <b:Guid>{3B462C9D-FDCD-420B-B464-BF3E75B705E5}</b:Guid>
    <b:Author>
      <b:Author>
        <b:NameList>
          <b:Person>
            <b:Last>Young</b:Last>
            <b:First>Justin</b:First>
          </b:Person>
        </b:NameList>
      </b:Author>
    </b:Author>
    <b:Title>Unilever’s Generic Strategy &amp; Intensive Growth Strategies</b:Title>
    <b:Year>2017</b:Year>
    <b:YearAccessed>2020</b:YearAccessed>
    <b:MonthAccessed>January</b:MonthAccessed>
    <b:DayAccessed>11</b:DayAccessed>
    <b:URL>http://panmore.com/unilever-generic-strategy-intensive-growth-strategies</b:URL>
    <b:Month>February</b:Month>
    <b:Day>21</b:Day>
    <b:RefOrder>4</b:RefOrder>
  </b:Source>
  <b:Source>
    <b:Tag>Sta191</b:Tag>
    <b:SourceType>DocumentFromInternetSite</b:SourceType>
    <b:Guid>{5317A803-EC23-408E-9947-569A8B698C37}</b:Guid>
    <b:Author>
      <b:Author>
        <b:NameList>
          <b:Person>
            <b:Last>Statista</b:Last>
          </b:Person>
        </b:NameList>
      </b:Author>
    </b:Author>
    <b:Title>Top FMCG companies worldwide 2018, by net sales</b:Title>
    <b:Year>2019</b:Year>
    <b:Month>August</b:Month>
    <b:Day>30</b:Day>
    <b:YearAccessed>2020</b:YearAccessed>
    <b:MonthAccessed>January</b:MonthAccessed>
    <b:DayAccessed>11</b:DayAccessed>
    <b:URL>https://www.statista.com/statistics/260963/leading-fmcg-companies-worldwide-based-on-sales/</b:URL>
    <b:RefOrder>1</b:RefOrder>
  </b:Source>
  <b:Source>
    <b:Tag>Cra19</b:Tag>
    <b:SourceType>InternetSite</b:SourceType>
    <b:Guid>{6A369349-0564-4F9F-ACBF-2B783303051C}</b:Guid>
    <b:Title>Unilever competitors</b:Title>
    <b:Year>2019</b:Year>
    <b:YearAccessed>2020</b:YearAccessed>
    <b:MonthAccessed>January</b:MonthAccessed>
    <b:DayAccessed>11</b:DayAccessed>
    <b:URL>https://craft.co/unilever/competitors</b:URL>
    <b:Author>
      <b:Author>
        <b:NameList>
          <b:Person>
            <b:Last>Craft</b:Last>
          </b:Person>
        </b:NameList>
      </b:Author>
    </b:Author>
    <b:RefOrder>5</b:RefOrder>
  </b:Source>
  <b:Source>
    <b:Tag>Sta192</b:Tag>
    <b:SourceType>DocumentFromInternetSite</b:SourceType>
    <b:Guid>{9186A261-32B7-4683-A652-E4AFD60B2BD6}</b:Guid>
    <b:Title>Unilever's brand value worldwide from 2012 to 2019</b:Title>
    <b:Year>2019</b:Year>
    <b:YearAccessed>2020</b:YearAccessed>
    <b:MonthAccessed>January</b:MonthAccessed>
    <b:DayAccessed>11</b:DayAccessed>
    <b:URL>https://www.statista.com/statistics/984317/brand-value-of-unilever-worldwide/</b:URL>
    <b:Author>
      <b:Author>
        <b:NameList>
          <b:Person>
            <b:Last>Statista</b:Last>
          </b:Person>
        </b:NameList>
      </b:Author>
    </b:Author>
    <b:Month>November</b:Month>
    <b:Day>28</b:Day>
    <b:RefOrder>6</b:RefOrder>
  </b:Source>
  <b:Source>
    <b:Tag>Ken19</b:Tag>
    <b:SourceType>InternetSite</b:SourceType>
    <b:Guid>{A003B903-AAB6-46D7-A990-75C42AE2AFB3}</b:Guid>
    <b:Title>Investopedia</b:Title>
    <b:Year>2019</b:Year>
    <b:YearAccessed>2019</b:YearAccessed>
    <b:MonthAccessed>November</b:MonthAccessed>
    <b:DayAccessed>20</b:DayAccessed>
    <b:URL>https://www.investopedia.com/terms/h/humanresources.asp</b:URL>
    <b:Author>
      <b:Author>
        <b:NameList>
          <b:Person>
            <b:Last>Kenton</b:Last>
            <b:First>Will</b:First>
          </b:Person>
        </b:NameList>
      </b:Author>
    </b:Author>
    <b:RefOrder>28</b:RefOrder>
  </b:Source>
  <b:Source>
    <b:Tag>kEN19</b:Tag>
    <b:SourceType>InternetSite</b:SourceType>
    <b:Guid>{077998EB-58E3-40A8-81BB-CED137611389}</b:Guid>
    <b:Title>Investopedia</b:Title>
    <b:Year>2019</b:Year>
    <b:Author>
      <b:Author>
        <b:NameList>
          <b:Person>
            <b:Last>Kenton</b:Last>
            <b:First>Will</b:First>
          </b:Person>
        </b:NameList>
      </b:Author>
    </b:Author>
    <b:InternetSiteTitle>Investopedia</b:InternetSiteTitle>
    <b:Month>April</b:Month>
    <b:Day>24</b:Day>
    <b:URL>https://www.investopedia.com/terms/p/profitabilityratios.asp</b:URL>
    <b:YearAccessed>2020</b:YearAccessed>
    <b:MonthAccessed>January</b:MonthAccessed>
    <b:DayAccessed>12</b:DayAccessed>
    <b:RefOrder>9</b:RefOrder>
  </b:Source>
  <b:Source>
    <b:Tag>Placeholder1</b:Tag>
    <b:SourceType>InternetSite</b:SourceType>
    <b:Guid>{253D3249-7F53-46B6-8A25-CE5734F24945}</b:Guid>
    <b:Author>
      <b:Author>
        <b:NameList>
          <b:Person>
            <b:Last>Kenton</b:Last>
            <b:First>Will</b:First>
          </b:Person>
        </b:NameList>
      </b:Author>
    </b:Author>
    <b:Title>Investopedia</b:Title>
    <b:Year>2019</b:Year>
    <b:YearAccessed>2020</b:YearAccessed>
    <b:MonthAccessed>January</b:MonthAccessed>
    <b:DayAccessed>12</b:DayAccessed>
    <b:URL>https://www.investopedia.com/terms/e/efficiencyratio.asp</b:URL>
    <b:RefOrder>29</b:RefOrder>
  </b:Source>
  <b:Source>
    <b:Tag>efi191</b:Tag>
    <b:SourceType>InternetSite</b:SourceType>
    <b:Guid>{64A68AF5-6DCE-45F4-9F6B-9876F41511D8}</b:Guid>
    <b:Author>
      <b:Author>
        <b:NameList>
          <b:Person>
            <b:Last>efinancemanagement</b:Last>
          </b:Person>
        </b:NameList>
      </b:Author>
    </b:Author>
    <b:Title>How to Analyze and Improve Current Ratio?</b:Title>
    <b:Year>2019</b:Year>
    <b:YearAccessed>2020</b:YearAccessed>
    <b:MonthAccessed>January</b:MonthAccessed>
    <b:DayAccessed>12</b:DayAccessed>
    <b:URL>https://efinancemanagement.com/financial-analysis/how-to-analyze-and-improve-current-ratio</b:URL>
    <b:RefOrder>20</b:RefOrder>
  </b:Source>
  <b:Source>
    <b:Tag>efi19</b:Tag>
    <b:SourceType>InternetSite</b:SourceType>
    <b:Guid>{2860B448-B6A3-4824-B46D-13BF874B6AD4}</b:Guid>
    <b:Author>
      <b:Author>
        <b:NameList>
          <b:Person>
            <b:Last>efinancemanagement</b:Last>
          </b:Person>
        </b:NameList>
      </b:Author>
    </b:Author>
    <b:Title>Efficiency Ratios</b:Title>
    <b:Year>2019</b:Year>
    <b:YearAccessed>2020</b:YearAccessed>
    <b:MonthAccessed>January</b:MonthAccessed>
    <b:DayAccessed>12</b:DayAccessed>
    <b:URL>https://efinancemanagement.com/financial-analysis/efficiency-ratios#Fixed_Assets_Turnover</b:URL>
    <b:RefOrder>16</b:RefOrder>
  </b:Source>
  <b:Source>
    <b:Tag>fin19</b:Tag>
    <b:SourceType>InternetSite</b:SourceType>
    <b:Guid>{F88F3D2A-209B-4FD8-AE24-854152B4FD6B}</b:Guid>
    <b:Author>
      <b:Author>
        <b:NameList>
          <b:Person>
            <b:Last>financemanagement</b:Last>
          </b:Person>
        </b:NameList>
      </b:Author>
    </b:Author>
    <b:Title>How to Analyze (Interpret) and Improve Quick Ratio?</b:Title>
    <b:Year>2019</b:Year>
    <b:YearAccessed>2020</b:YearAccessed>
    <b:MonthAccessed>January</b:MonthAccessed>
    <b:DayAccessed>12</b:DayAccessed>
    <b:URL>https://efinancemanagement.com/financial-analysis/how-to-analyze-interpret-and-improve-quick-ratio</b:URL>
    <b:RefOrder>21</b:RefOrder>
  </b:Source>
  <b:Source>
    <b:Tag>efi192</b:Tag>
    <b:SourceType>InternetSite</b:SourceType>
    <b:Guid>{1AB42E72-BBCD-48F7-B2BA-E8B04C835033}</b:Guid>
    <b:Author>
      <b:Author>
        <b:NameList>
          <b:Person>
            <b:Last>efinancemanagement</b:Last>
          </b:Person>
        </b:NameList>
      </b:Author>
    </b:Author>
    <b:Title>Cash Ratio</b:Title>
    <b:Year>2019</b:Year>
    <b:YearAccessed>2020</b:YearAccessed>
    <b:MonthAccessed>January</b:MonthAccessed>
    <b:DayAccessed>12</b:DayAccessed>
    <b:URL>https://efinancemanagement.com/financial-analysis/cash-ratio</b:URL>
    <b:RefOrder>22</b:RefOrder>
  </b:Source>
  <b:Source>
    <b:Tag>efi193</b:Tag>
    <b:SourceType>InternetSite</b:SourceType>
    <b:Guid>{4EB710D5-D83A-4D0E-B3D8-81C1D8CD9F41}</b:Guid>
    <b:Author>
      <b:Author>
        <b:NameList>
          <b:Person>
            <b:Last>efinancemanagement</b:Last>
          </b:Person>
        </b:NameList>
      </b:Author>
    </b:Author>
    <b:Title>Leverage Ratios</b:Title>
    <b:Year>2019</b:Year>
    <b:YearAccessed>2020</b:YearAccessed>
    <b:MonthAccessed>January</b:MonthAccessed>
    <b:DayAccessed>12</b:DayAccessed>
    <b:URL>https://efinancemanagement.com/investment-decisions/leverage-ratios#Debt-to-Capital</b:URL>
    <b:RefOrder>30</b:RefOrder>
  </b:Source>
  <b:Source>
    <b:Tag>Dig19</b:Tag>
    <b:SourceType>DocumentFromInternetSite</b:SourceType>
    <b:Guid>{3498B05A-7605-47A2-A537-809AC2CDE944}</b:Guid>
    <b:Author>
      <b:Author>
        <b:NameList>
          <b:Person>
            <b:Last>Digiday</b:Last>
          </b:Person>
        </b:NameList>
      </b:Author>
    </b:Author>
    <b:Title> P&amp;G is looking to add more DTC brands to its roster</b:Title>
    <b:Year>2019</b:Year>
    <b:Month>May</b:Month>
    <b:Day>1</b:Day>
    <b:YearAccessed>2020</b:YearAccessed>
    <b:MonthAccessed>January</b:MonthAccessed>
    <b:DayAccessed>14</b:DayAccessed>
    <b:URL>https://digiday.com/marketing/procter-gamble-looking-add-direct-consumer-brands-roster/</b:URL>
    <b:RefOrder>8</b:RefOrder>
  </b:Source>
  <b:Source>
    <b:Tag>For19</b:Tag>
    <b:SourceType>DocumentFromInternetSite</b:SourceType>
    <b:Guid>{161A42A9-F65F-4304-ADB7-F0C784B807CC}</b:Guid>
    <b:Author>
      <b:Author>
        <b:NameList>
          <b:Person>
            <b:Last>Forbes</b:Last>
          </b:Person>
        </b:NameList>
      </b:Author>
    </b:Author>
    <b:Title>Unilever continues expansion</b:Title>
    <b:Year>2019</b:Year>
    <b:Month>March</b:Month>
    <b:Day>4</b:Day>
    <b:YearAccessed>2020</b:YearAccessed>
    <b:MonthAccessed>January</b:MonthAccessed>
    <b:DayAccessed>14</b:DayAccessed>
    <b:URL>https://www.forbes.com/sites/greatspeculations/2015/03/04/unilever-continues-expansion</b:URL>
    <b:RefOrder>7</b:RefOrder>
  </b:Source>
  <b:Source>
    <b:Tag>Uni15</b:Tag>
    <b:SourceType>Report</b:SourceType>
    <b:Guid>{D0BF1881-D3F7-4C98-A976-F84275BA9626}</b:Guid>
    <b:Title>Unilever Annual Report and Accounts 2014</b:Title>
    <b:Year>2015</b:Year>
    <b:Author>
      <b:Author>
        <b:Corporate>Unilever Group</b:Corporate>
      </b:Author>
    </b:Author>
    <b:Publisher>Unilever Group</b:Publisher>
    <b:City>London</b:City>
    <b:RefOrder>10</b:RefOrder>
  </b:Source>
  <b:Source>
    <b:Tag>Uni17</b:Tag>
    <b:SourceType>Report</b:SourceType>
    <b:Guid>{CF283080-61A6-41D0-86E9-6DCA932AC198}</b:Guid>
    <b:Author>
      <b:Author>
        <b:Corporate>Unilever Group</b:Corporate>
      </b:Author>
    </b:Author>
    <b:Title> Unilever Annual Report and Accounts 2016</b:Title>
    <b:Year>2017</b:Year>
    <b:Publisher>Unilever Group</b:Publisher>
    <b:City>London</b:City>
    <b:RefOrder>11</b:RefOrder>
  </b:Source>
  <b:Source>
    <b:Tag>Uni191</b:Tag>
    <b:SourceType>Report</b:SourceType>
    <b:Guid>{A8E5F6E4-C043-411B-A472-DEE8CDECEC3F}</b:Guid>
    <b:Author>
      <b:Author>
        <b:Corporate>Unilever Group</b:Corporate>
      </b:Author>
    </b:Author>
    <b:Title> Unilever Annual Report and Accounts 2018</b:Title>
    <b:Year>2019</b:Year>
    <b:Publisher>Unilever Group</b:Publisher>
    <b:City>London</b:City>
    <b:RefOrder>12</b:RefOrder>
  </b:Source>
  <b:Source>
    <b:Tag>Pro19</b:Tag>
    <b:SourceType>Report</b:SourceType>
    <b:Guid>{4B62B45C-FCF1-4C1B-9D0C-FCD64FBA5536}</b:Guid>
    <b:Author>
      <b:Author>
        <b:Corporate>Procter &amp; Gamble</b:Corporate>
      </b:Author>
    </b:Author>
    <b:Title>P&amp;G Annual Report 2018</b:Title>
    <b:Year>2019</b:Year>
    <b:Publisher>Procter &amp; Gamble</b:Publisher>
    <b:City>Cincinnati</b:City>
    <b:RefOrder>13</b:RefOrder>
  </b:Source>
  <b:Source>
    <b:Tag>Ych19</b:Tag>
    <b:SourceType>InternetSite</b:SourceType>
    <b:Guid>{96CBC22F-0748-4A5E-A610-9879F6F1614E}</b:Guid>
    <b:Title>Nationwide Corporate Finance</b:Title>
    <b:Year>2019</b:Year>
    <b:Author>
      <b:Author>
        <b:NameList>
          <b:Person>
            <b:Last>Ycharts</b:Last>
          </b:Person>
        </b:NameList>
      </b:Author>
    </b:Author>
    <b:YearAccessed>2020</b:YearAccessed>
    <b:MonthAccessed>January</b:MonthAccessed>
    <b:DayAccessed>14</b:DayAccessed>
    <b:URL>https://ycharts.com/companies/UL/profit_margin</b:URL>
    <b:RefOrder>14</b:RefOrder>
  </b:Source>
  <b:Source>
    <b:Tag>mya19</b:Tag>
    <b:SourceType>InternetSite</b:SourceType>
    <b:Guid>{7EB525FF-5379-43DF-AF77-C64A4DBA7496}</b:Guid>
    <b:Author>
      <b:Author>
        <b:NameList>
          <b:Person>
            <b:Last>myaccountingcourse</b:Last>
          </b:Person>
        </b:NameList>
      </b:Author>
    </b:Author>
    <b:Title>Fixed Asset Turnover Ratio</b:Title>
    <b:Year>2019</b:Year>
    <b:YearAccessed>2020</b:YearAccessed>
    <b:MonthAccessed>January</b:MonthAccessed>
    <b:DayAccessed>14</b:DayAccessed>
    <b:URL>https://www.myaccountingcourse.com/financial-ratios/fixed-asset-turnover</b:URL>
    <b:RefOrder>15</b:RefOrder>
  </b:Source>
  <b:Source>
    <b:Tag>mya191</b:Tag>
    <b:SourceType>InternetSite</b:SourceType>
    <b:Guid>{4D4B09E6-DC70-4B69-9921-6B0C9B15AC92}</b:Guid>
    <b:Author>
      <b:Author>
        <b:NameList>
          <b:Person>
            <b:Last>myaccountingcourse</b:Last>
          </b:Person>
        </b:NameList>
      </b:Author>
    </b:Author>
    <b:Title>Liquidity Ratios</b:Title>
    <b:Year>2019</b:Year>
    <b:YearAccessed>2020</b:YearAccessed>
    <b:MonthAccessed>January</b:MonthAccessed>
    <b:DayAccessed>15</b:DayAccessed>
    <b:URL>https://www.myaccountingcourse.com/financial-ratios/liquidity-ratios</b:URL>
    <b:RefOrder>18</b:RefOrder>
  </b:Source>
  <b:Source>
    <b:Tag>mya192</b:Tag>
    <b:SourceType>InternetSite</b:SourceType>
    <b:Guid>{FE30E3C2-92BC-495B-B6BE-BDEF328BEEB4}</b:Guid>
    <b:Author>
      <b:Author>
        <b:NameList>
          <b:Person>
            <b:Last>myaccountingcourse</b:Last>
          </b:Person>
        </b:NameList>
      </b:Author>
    </b:Author>
    <b:Title>Current Ratio</b:Title>
    <b:Year>2019</b:Year>
    <b:YearAccessed>2020</b:YearAccessed>
    <b:MonthAccessed>January</b:MonthAccessed>
    <b:DayAccessed>15</b:DayAccessed>
    <b:URL>https://www.myaccountingcourse.com/financial-ratios/current-ratio</b:URL>
    <b:RefOrder>19</b:RefOrder>
  </b:Source>
  <b:Source>
    <b:Tag>Had14</b:Tag>
    <b:SourceType>JournalArticle</b:SourceType>
    <b:Guid>{FB635F73-FC13-41CC-89EF-7BD5986AE4E6}</b:Guid>
    <b:Title>ASPECTS CONCERNING THE DETERMINATION OF BANKRUPTCY RISK BY SOLVENCY AND LIQUIDITY RATIOS IN THE COMPANIES LISTED ON THE BUCHAREST STOCK EXCHANGE </b:Title>
    <b:Year>2014</b:Year>
    <b:Author>
      <b:Author>
        <b:NameList>
          <b:Person>
            <b:Last>Hada</b:Last>
            <b:First>Teodor</b:First>
          </b:Person>
          <b:Person>
            <b:Last>Avram</b:Last>
            <b:First>Teodora</b:First>
            <b:Middle>Maria</b:Middle>
          </b:Person>
        </b:NameList>
      </b:Author>
    </b:Author>
    <b:JournalName>Annals of the University of Oradea: Economic Science</b:JournalName>
    <b:Pages>634-635</b:Pages>
    <b:Volume>23</b:Volume>
    <b:Issue>1</b:Issue>
    <b:RefOrder>17</b:RefOrder>
  </b:Source>
  <b:Source>
    <b:Tag>Oxf10</b:Tag>
    <b:SourceType>Book</b:SourceType>
    <b:Guid>{4226741C-0A62-4240-82C1-228276767D75}</b:Guid>
    <b:Title>A Dictionary of Accounting</b:Title>
    <b:Year>2010</b:Year>
    <b:Author>
      <b:Author>
        <b:Corporate>Oxford University</b:Corporate>
      </b:Author>
    </b:Author>
    <b:City>Oxford</b:City>
    <b:Publisher>Oxford University Press</b:Publisher>
    <b:Edition>4th</b:Edition>
    <b:RefOrder>23</b:RefOrder>
  </b:Source>
  <b:Source>
    <b:Tag>Far10</b:Tag>
    <b:SourceType>Book</b:SourceType>
    <b:Guid>{7DEC70C7-8C9C-45D8-97F7-D5A2A4964A5E}</b:Guid>
    <b:Author>
      <b:Author>
        <b:NameList>
          <b:Person>
            <b:Last>Farris</b:Last>
            <b:First>Paul</b:First>
            <b:Middle>W.</b:Middle>
          </b:Person>
          <b:Person>
            <b:Last>Bendle</b:Last>
            <b:First>Neil</b:First>
            <b:Middle>T.</b:Middle>
          </b:Person>
          <b:Person>
            <b:Last>Pfeifer</b:Last>
            <b:First>Philip</b:First>
            <b:Middle>E.</b:Middle>
          </b:Person>
          <b:Person>
            <b:Last>Reibstein</b:Last>
            <b:First>David</b:First>
            <b:Middle>J.</b:Middle>
          </b:Person>
        </b:NameList>
      </b:Author>
    </b:Author>
    <b:Title>Marketing Metrics: The Definitive Guide to Measuring Marketing Performance</b:Title>
    <b:Year>2010</b:Year>
    <b:City>New Jersey</b:City>
    <b:Publisher>Pearson Education</b:Publisher>
    <b:Edition>2nd</b:Edition>
    <b:RefOrder>26</b:RefOrder>
  </b:Source>
  <b:Source>
    <b:Tag>Gle13</b:Tag>
    <b:SourceType>Book</b:SourceType>
    <b:Guid>{0DEA05C7-9774-4176-9837-0FCDFEE2CEA5}</b:Guid>
    <b:Author>
      <b:Author>
        <b:NameList>
          <b:Person>
            <b:Last>Glen</b:Last>
            <b:First>Arnold</b:First>
          </b:Person>
        </b:NameList>
      </b:Author>
    </b:Author>
    <b:Title>Corporate Financial Management</b:Title>
    <b:Year>2013</b:Year>
    <b:City>London</b:City>
    <b:Publisher>Pearson</b:Publisher>
    <b:Edition>5th</b:Edition>
    <b:RefOrder>25</b:RefOrder>
  </b:Source>
  <b:Source>
    <b:Tag>Pog04</b:Tag>
    <b:SourceType>JournalArticle</b:SourceType>
    <b:Guid>{CA2522FD-D577-4008-BA71-58A7D28C95FB}</b:Guid>
    <b:Title>Investment appraisal: A new approach</b:Title>
    <b:Year>2004</b:Year>
    <b:Author>
      <b:Author>
        <b:NameList>
          <b:Person>
            <b:Last>Pogue</b:Last>
            <b:First>Michael</b:First>
          </b:Person>
        </b:NameList>
      </b:Author>
    </b:Author>
    <b:JournalName>Managerial Auditing Journal</b:JournalName>
    <b:Pages>565-569</b:Pages>
    <b:Volume>19</b:Volume>
    <b:Issue>4</b:Issue>
    <b:RefOrder>27</b:RefOrder>
  </b:Source>
  <b:Source>
    <b:Tag>Mor17</b:Tag>
    <b:SourceType>ArticleInAPeriodical</b:SourceType>
    <b:Guid>{4221EFF0-A56C-401D-9FB8-6D7243BCF82C}</b:Guid>
    <b:Author>
      <b:Author>
        <b:NameList>
          <b:Person>
            <b:Last>Morrell</b:Last>
            <b:First>Gareth</b:First>
          </b:Person>
        </b:NameList>
      </b:Author>
    </b:Author>
    <b:Title>Globalisation, transnationalism and diaspora</b:Title>
    <b:Year>2017</b:Year>
    <b:Publisher>Icar</b:Publisher>
    <b:PeriodicalTitle>Icar</b:PeriodicalTitle>
    <b:Month>July</b:Month>
    <b:Day>1</b:Day>
    <b:RefOrder>24</b:RefOrder>
  </b:Source>
</b:Sourc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3F613643-000D-4664-AE67-4AFCE896E13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TotalTime>
  <Pages>1</Pages>
  <Words>7698</Words>
  <Characters>43881</Characters>
  <Application>Microsoft Office Word</Application>
  <DocSecurity>0</DocSecurity>
  <Lines>365</Lines>
  <Paragraphs>102</Paragraphs>
  <ScaleCrop>false</ScaleCrop>
  <HeadingPairs>
    <vt:vector size="2" baseType="variant">
      <vt:variant>
        <vt:lpstr>Title</vt:lpstr>
      </vt:variant>
      <vt:variant>
        <vt:i4>1</vt:i4>
      </vt:variant>
    </vt:vector>
  </HeadingPairs>
  <TitlesOfParts>
    <vt:vector size="1" baseType="lpstr">
      <vt:lpstr>FINANCIAL MANAGEMENT ASSIGNMENT</vt:lpstr>
    </vt:vector>
  </TitlesOfParts>
  <Company>University of Wales Trinity Saint David</Company>
  <LinksUpToDate>false</LinksUpToDate>
  <CharactersWithSpaces>51477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FINANCIAL MANAGEMENT ASSIGNMENT</dc:title>
  <dc:subject>2014 – 2018 Financial Ratios Analysis of Unilever Group</dc:subject>
  <dc:creator>Student:               Laurentiu Grigoras</dc:creator>
  <cp:keywords/>
  <dc:description/>
  <cp:lastModifiedBy>Laurentiu Grigoras</cp:lastModifiedBy>
  <cp:revision>4</cp:revision>
  <dcterms:created xsi:type="dcterms:W3CDTF">2020-01-17T11:15:00Z</dcterms:created>
  <dcterms:modified xsi:type="dcterms:W3CDTF">2020-01-17T11:23:00Z</dcterms:modified>
</cp:coreProperties>
</file>