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16870" w14:textId="117D8C9C" w:rsidR="004A5F0B" w:rsidRPr="002E71CB" w:rsidRDefault="004A5F0B" w:rsidP="002E71CB">
      <w:pPr>
        <w:spacing w:line="360" w:lineRule="auto"/>
        <w:rPr>
          <w:rFonts w:ascii="Arial" w:hAnsi="Arial" w:cs="Arial"/>
          <w:sz w:val="24"/>
          <w:szCs w:val="24"/>
        </w:rPr>
      </w:pPr>
      <w:r w:rsidRPr="002E71CB">
        <w:rPr>
          <w:rFonts w:ascii="Arial" w:hAnsi="Arial" w:cs="Arial"/>
          <w:sz w:val="24"/>
          <w:szCs w:val="24"/>
        </w:rPr>
        <w:t>This assignment examines the impacts of poverty, not only on the early years but also on its longer</w:t>
      </w:r>
      <w:r w:rsidRPr="002E71CB">
        <w:rPr>
          <w:rFonts w:ascii="Arial" w:hAnsi="Arial" w:cs="Arial"/>
          <w:sz w:val="24"/>
          <w:szCs w:val="24"/>
        </w:rPr>
        <w:noBreakHyphen/>
        <w:t>term effects.</w:t>
      </w:r>
    </w:p>
    <w:p w14:paraId="3F2067AE" w14:textId="77777777" w:rsidR="004A5F0B" w:rsidRPr="002E71CB" w:rsidRDefault="004A5F0B" w:rsidP="002E71CB">
      <w:pPr>
        <w:spacing w:line="360" w:lineRule="auto"/>
        <w:rPr>
          <w:rFonts w:ascii="Arial" w:hAnsi="Arial" w:cs="Arial"/>
          <w:sz w:val="24"/>
          <w:szCs w:val="24"/>
        </w:rPr>
      </w:pPr>
      <w:r w:rsidRPr="002E71CB">
        <w:rPr>
          <w:rFonts w:ascii="Arial" w:hAnsi="Arial" w:cs="Arial"/>
          <w:sz w:val="24"/>
          <w:szCs w:val="24"/>
        </w:rPr>
        <w:t>What do we mean by poverty?</w:t>
      </w:r>
    </w:p>
    <w:p w14:paraId="593653A1" w14:textId="687F778E" w:rsidR="004A5F0B" w:rsidRPr="002E71CB" w:rsidRDefault="004A5F0B" w:rsidP="002E71CB">
      <w:pPr>
        <w:spacing w:line="360" w:lineRule="auto"/>
        <w:rPr>
          <w:rFonts w:ascii="Arial" w:hAnsi="Arial" w:cs="Arial"/>
          <w:sz w:val="24"/>
          <w:szCs w:val="24"/>
        </w:rPr>
      </w:pPr>
      <w:r w:rsidRPr="002E71CB">
        <w:rPr>
          <w:rFonts w:ascii="Arial" w:hAnsi="Arial" w:cs="Arial"/>
          <w:sz w:val="24"/>
          <w:szCs w:val="24"/>
        </w:rPr>
        <w:t xml:space="preserve">According to </w:t>
      </w:r>
      <w:r w:rsidR="00F46A96" w:rsidRPr="002E71CB">
        <w:rPr>
          <w:rFonts w:ascii="Arial" w:hAnsi="Arial" w:cs="Arial"/>
          <w:sz w:val="24"/>
          <w:szCs w:val="24"/>
        </w:rPr>
        <w:t>House of Commons Library. (2023)</w:t>
      </w:r>
      <w:r w:rsidRPr="002E71CB">
        <w:rPr>
          <w:rFonts w:ascii="Arial" w:hAnsi="Arial" w:cs="Arial"/>
          <w:sz w:val="24"/>
          <w:szCs w:val="24"/>
        </w:rPr>
        <w:t>,</w:t>
      </w:r>
      <w:r w:rsidR="00260A57">
        <w:rPr>
          <w:rFonts w:ascii="Arial" w:hAnsi="Arial" w:cs="Arial"/>
          <w:sz w:val="24"/>
          <w:szCs w:val="24"/>
        </w:rPr>
        <w:t xml:space="preserve"> </w:t>
      </w:r>
      <w:r w:rsidR="00C0545E">
        <w:rPr>
          <w:rFonts w:ascii="Arial" w:hAnsi="Arial" w:cs="Arial"/>
          <w:sz w:val="24"/>
          <w:szCs w:val="24"/>
        </w:rPr>
        <w:t xml:space="preserve">and </w:t>
      </w:r>
      <w:r w:rsidR="00C0545E" w:rsidRPr="00C0545E">
        <w:rPr>
          <w:rFonts w:ascii="Arial" w:hAnsi="Arial" w:cs="Arial"/>
          <w:sz w:val="24"/>
          <w:szCs w:val="24"/>
        </w:rPr>
        <w:t xml:space="preserve">Lee </w:t>
      </w:r>
      <w:r w:rsidR="00260A57">
        <w:rPr>
          <w:rFonts w:ascii="Arial" w:hAnsi="Arial" w:cs="Arial"/>
          <w:sz w:val="24"/>
          <w:szCs w:val="24"/>
        </w:rPr>
        <w:t xml:space="preserve">and </w:t>
      </w:r>
      <w:r w:rsidR="00260A57" w:rsidRPr="00260A57">
        <w:rPr>
          <w:rFonts w:ascii="Arial" w:hAnsi="Arial" w:cs="Arial"/>
          <w:sz w:val="24"/>
          <w:szCs w:val="24"/>
        </w:rPr>
        <w:t>Kingdon (2023) note that, the term poverty can be defined in a variety of ways</w:t>
      </w:r>
      <w:r w:rsidR="00260A57">
        <w:rPr>
          <w:rFonts w:ascii="Arial" w:hAnsi="Arial" w:cs="Arial"/>
          <w:sz w:val="24"/>
          <w:szCs w:val="24"/>
        </w:rPr>
        <w:t>.</w:t>
      </w:r>
      <w:r w:rsidRPr="002E71CB">
        <w:rPr>
          <w:rFonts w:ascii="Arial" w:hAnsi="Arial" w:cs="Arial"/>
          <w:sz w:val="24"/>
          <w:szCs w:val="24"/>
        </w:rPr>
        <w:t xml:space="preserve"> </w:t>
      </w:r>
      <w:r w:rsidR="00EE66E7">
        <w:rPr>
          <w:rFonts w:ascii="Arial" w:hAnsi="Arial" w:cs="Arial"/>
          <w:sz w:val="24"/>
          <w:szCs w:val="24"/>
        </w:rPr>
        <w:t xml:space="preserve">House of commons library </w:t>
      </w:r>
      <w:r w:rsidR="002506C4">
        <w:rPr>
          <w:rFonts w:ascii="Arial" w:hAnsi="Arial" w:cs="Arial"/>
          <w:sz w:val="24"/>
          <w:szCs w:val="24"/>
        </w:rPr>
        <w:t>states that</w:t>
      </w:r>
      <w:r w:rsidRPr="002E71CB">
        <w:rPr>
          <w:rFonts w:ascii="Arial" w:hAnsi="Arial" w:cs="Arial"/>
          <w:sz w:val="24"/>
          <w:szCs w:val="24"/>
        </w:rPr>
        <w:t xml:space="preserve"> </w:t>
      </w:r>
      <w:r w:rsidR="002506C4">
        <w:rPr>
          <w:rFonts w:ascii="Arial" w:hAnsi="Arial" w:cs="Arial"/>
          <w:sz w:val="24"/>
          <w:szCs w:val="24"/>
        </w:rPr>
        <w:t>t</w:t>
      </w:r>
      <w:r w:rsidRPr="002E71CB">
        <w:rPr>
          <w:rFonts w:ascii="Arial" w:hAnsi="Arial" w:cs="Arial"/>
          <w:sz w:val="24"/>
          <w:szCs w:val="24"/>
        </w:rPr>
        <w:t xml:space="preserve">he general concept of poverty is based on household income. Relative poverty refers to individuals who live in households with incomes below 60% of the median income for that year. Absolute poverty refers to individuals who live in households with incomes below 60% of the median income of a base year. </w:t>
      </w:r>
      <w:r w:rsidR="0079105D">
        <w:rPr>
          <w:rFonts w:ascii="Arial" w:hAnsi="Arial" w:cs="Arial"/>
          <w:sz w:val="24"/>
          <w:szCs w:val="24"/>
        </w:rPr>
        <w:t>(</w:t>
      </w:r>
      <w:r w:rsidR="00091106">
        <w:rPr>
          <w:rFonts w:ascii="Arial" w:hAnsi="Arial" w:cs="Arial"/>
          <w:sz w:val="24"/>
          <w:szCs w:val="24"/>
        </w:rPr>
        <w:t xml:space="preserve">The starting point of time in data). </w:t>
      </w:r>
      <w:r w:rsidRPr="002E71CB">
        <w:rPr>
          <w:rFonts w:ascii="Arial" w:hAnsi="Arial" w:cs="Arial"/>
          <w:sz w:val="24"/>
          <w:szCs w:val="24"/>
        </w:rPr>
        <w:t>While the description given by the UK Parliament is detailed and specific, other sources define poverty as individuals or households that do not have the resources to maintain an acceptable standard of living.</w:t>
      </w:r>
      <w:r w:rsidR="0086792C">
        <w:rPr>
          <w:rFonts w:ascii="Arial" w:hAnsi="Arial" w:cs="Arial"/>
          <w:sz w:val="24"/>
          <w:szCs w:val="24"/>
        </w:rPr>
        <w:t xml:space="preserve"> </w:t>
      </w:r>
      <w:r w:rsidR="00352BFC">
        <w:rPr>
          <w:rFonts w:ascii="Arial" w:hAnsi="Arial" w:cs="Arial"/>
          <w:sz w:val="24"/>
          <w:szCs w:val="24"/>
        </w:rPr>
        <w:t>Lee and Kingdon (2023).</w:t>
      </w:r>
      <w:r w:rsidRPr="002E71CB">
        <w:rPr>
          <w:rFonts w:ascii="Arial" w:hAnsi="Arial" w:cs="Arial"/>
          <w:sz w:val="24"/>
          <w:szCs w:val="24"/>
        </w:rPr>
        <w:t xml:space="preserve"> </w:t>
      </w:r>
    </w:p>
    <w:p w14:paraId="0E7E5F63" w14:textId="77777777" w:rsidR="00096772" w:rsidRPr="002E71CB" w:rsidRDefault="00096772" w:rsidP="002E71CB">
      <w:pPr>
        <w:spacing w:line="360" w:lineRule="auto"/>
        <w:rPr>
          <w:rFonts w:ascii="Arial" w:hAnsi="Arial" w:cs="Arial"/>
          <w:sz w:val="24"/>
          <w:szCs w:val="24"/>
        </w:rPr>
      </w:pPr>
      <w:r w:rsidRPr="002E71CB">
        <w:rPr>
          <w:rFonts w:ascii="Arial" w:hAnsi="Arial" w:cs="Arial"/>
          <w:sz w:val="24"/>
          <w:szCs w:val="24"/>
        </w:rPr>
        <w:t>What do we know about how it affects the behaviours and health of young children?</w:t>
      </w:r>
    </w:p>
    <w:p w14:paraId="211E222C" w14:textId="77777777" w:rsidR="00096772" w:rsidRPr="002E71CB" w:rsidRDefault="00096772" w:rsidP="002E71CB">
      <w:pPr>
        <w:spacing w:line="360" w:lineRule="auto"/>
        <w:rPr>
          <w:rFonts w:ascii="Arial" w:hAnsi="Arial" w:cs="Arial"/>
          <w:sz w:val="24"/>
          <w:szCs w:val="24"/>
        </w:rPr>
      </w:pPr>
      <w:r w:rsidRPr="002E71CB">
        <w:rPr>
          <w:rFonts w:ascii="Arial" w:hAnsi="Arial" w:cs="Arial"/>
          <w:sz w:val="24"/>
          <w:szCs w:val="24"/>
        </w:rPr>
        <w:t>Poverty affects a child’s life in every aspect, including economic circumstances, social relationships, well</w:t>
      </w:r>
      <w:r w:rsidRPr="002E71CB">
        <w:rPr>
          <w:rFonts w:ascii="Arial" w:hAnsi="Arial" w:cs="Arial"/>
          <w:sz w:val="24"/>
          <w:szCs w:val="24"/>
        </w:rPr>
        <w:noBreakHyphen/>
        <w:t>being, family life, and material resources. Solvason and Webb (2023) make this point. Bandyopadhyay, Tingay et al. (2020) add that children in economically disadvantaged areas are more likely to be injured or to have additional learning needs, for example attention</w:t>
      </w:r>
      <w:r w:rsidRPr="002E71CB">
        <w:rPr>
          <w:rFonts w:ascii="Arial" w:hAnsi="Arial" w:cs="Arial"/>
          <w:sz w:val="24"/>
          <w:szCs w:val="24"/>
        </w:rPr>
        <w:noBreakHyphen/>
        <w:t>deficit hyperactivity disorder (ADHD). Lyndon (2022), citing ONS (2014) and the Social Mobility Commission (2017b), reports that children living in disadvantaged areas face poorer survival and long</w:t>
      </w:r>
      <w:r w:rsidRPr="002E71CB">
        <w:rPr>
          <w:rFonts w:ascii="Arial" w:hAnsi="Arial" w:cs="Arial"/>
          <w:sz w:val="24"/>
          <w:szCs w:val="24"/>
        </w:rPr>
        <w:noBreakHyphen/>
        <w:t>term health prospects.</w:t>
      </w:r>
    </w:p>
    <w:p w14:paraId="7870BDC1" w14:textId="7A2BA3E1" w:rsidR="00096772" w:rsidRDefault="00096772" w:rsidP="002E71CB">
      <w:pPr>
        <w:spacing w:line="360" w:lineRule="auto"/>
        <w:rPr>
          <w:rFonts w:ascii="Arial" w:hAnsi="Arial" w:cs="Arial"/>
          <w:sz w:val="24"/>
          <w:szCs w:val="24"/>
        </w:rPr>
      </w:pPr>
      <w:r w:rsidRPr="002E71CB">
        <w:rPr>
          <w:rFonts w:ascii="Arial" w:hAnsi="Arial" w:cs="Arial"/>
          <w:sz w:val="24"/>
          <w:szCs w:val="24"/>
        </w:rPr>
        <w:t>Solvason and Webb (2023) also describe behavioural consequences, explaining that teachers may overlook a child’s fear of being identified as poor, which can harm mental health and contribute to anxiety and depression. Moore, Littlecott et al. (2017) highlight long</w:t>
      </w:r>
      <w:r w:rsidRPr="002E71CB">
        <w:rPr>
          <w:rFonts w:ascii="Arial" w:hAnsi="Arial" w:cs="Arial"/>
          <w:sz w:val="24"/>
          <w:szCs w:val="24"/>
        </w:rPr>
        <w:noBreakHyphen/>
        <w:t>lasting behavioural patterns in Welsh secondary school data, showing that pupils from lower socioeconomic backgrounds were more likely to smoke and to be less physically active than peers from higher socioeconomic groups. Lee and Kingdon et al. (2023) state that one in twelve children who died had one or more factors related to deprivation. Children from more deprived areas are more likely to use emergency services and are at higher risk of chronic illness than those from less deprived areas.</w:t>
      </w:r>
    </w:p>
    <w:p w14:paraId="42048162" w14:textId="77777777" w:rsidR="003D5BCE" w:rsidRDefault="003D5BCE" w:rsidP="002E71CB">
      <w:pPr>
        <w:spacing w:line="360" w:lineRule="auto"/>
        <w:rPr>
          <w:rFonts w:ascii="Arial" w:hAnsi="Arial" w:cs="Arial"/>
          <w:sz w:val="24"/>
          <w:szCs w:val="24"/>
        </w:rPr>
      </w:pPr>
    </w:p>
    <w:p w14:paraId="63AEB097" w14:textId="77777777" w:rsidR="00CE12F5" w:rsidRPr="002E71CB" w:rsidRDefault="00CE12F5" w:rsidP="002E71CB">
      <w:pPr>
        <w:spacing w:line="360" w:lineRule="auto"/>
        <w:rPr>
          <w:rFonts w:ascii="Arial" w:hAnsi="Arial" w:cs="Arial"/>
          <w:sz w:val="24"/>
          <w:szCs w:val="24"/>
        </w:rPr>
      </w:pPr>
      <w:r w:rsidRPr="002E71CB">
        <w:rPr>
          <w:rFonts w:ascii="Arial" w:hAnsi="Arial" w:cs="Arial"/>
          <w:sz w:val="24"/>
          <w:szCs w:val="24"/>
        </w:rPr>
        <w:t>What do we know about how it affects the school performance of young children?</w:t>
      </w:r>
    </w:p>
    <w:p w14:paraId="3FB97735" w14:textId="63A44746" w:rsidR="00CE12F5" w:rsidRPr="002E71CB" w:rsidRDefault="00CE12F5" w:rsidP="002E71CB">
      <w:pPr>
        <w:spacing w:line="360" w:lineRule="auto"/>
        <w:rPr>
          <w:rFonts w:ascii="Arial" w:hAnsi="Arial" w:cs="Arial"/>
          <w:sz w:val="24"/>
          <w:szCs w:val="24"/>
        </w:rPr>
      </w:pPr>
      <w:r w:rsidRPr="002E71CB">
        <w:rPr>
          <w:rFonts w:ascii="Arial" w:hAnsi="Arial" w:cs="Arial"/>
          <w:sz w:val="24"/>
          <w:szCs w:val="24"/>
        </w:rPr>
        <w:t xml:space="preserve">Evidence </w:t>
      </w:r>
      <w:r w:rsidR="00BF4531" w:rsidRPr="002E71CB">
        <w:rPr>
          <w:rFonts w:ascii="Arial" w:hAnsi="Arial" w:cs="Arial"/>
          <w:sz w:val="24"/>
          <w:szCs w:val="24"/>
        </w:rPr>
        <w:t>shows</w:t>
      </w:r>
      <w:r w:rsidRPr="002E71CB">
        <w:rPr>
          <w:rFonts w:ascii="Arial" w:hAnsi="Arial" w:cs="Arial"/>
          <w:sz w:val="24"/>
          <w:szCs w:val="24"/>
        </w:rPr>
        <w:t xml:space="preserve"> that children in more advantaged areas perform better at school than those in deprived areas. Ridge (2011) cites Cooper and Stewart’s argument that poverty heavily affects children’s education and health. Moore, Littlecott et al. (2017) present a more nuanced finding: pupils who attended schools in affluent areas did not always perform well if they lived in poorer </w:t>
      </w:r>
      <w:r w:rsidR="0009205A" w:rsidRPr="002E71CB">
        <w:rPr>
          <w:rFonts w:ascii="Arial" w:hAnsi="Arial" w:cs="Arial"/>
          <w:sz w:val="24"/>
          <w:szCs w:val="24"/>
        </w:rPr>
        <w:t>areas</w:t>
      </w:r>
      <w:r w:rsidRPr="002E71CB">
        <w:rPr>
          <w:rFonts w:ascii="Arial" w:hAnsi="Arial" w:cs="Arial"/>
          <w:sz w:val="24"/>
          <w:szCs w:val="24"/>
        </w:rPr>
        <w:t>, compared with peers who both lived and attended school in higher</w:t>
      </w:r>
      <w:r w:rsidRPr="002E71CB">
        <w:rPr>
          <w:rFonts w:ascii="Arial" w:hAnsi="Arial" w:cs="Arial"/>
          <w:sz w:val="24"/>
          <w:szCs w:val="24"/>
        </w:rPr>
        <w:noBreakHyphen/>
        <w:t>income areas, suggesting that neighbourhood context rather than school context may drive some differences in attainment.</w:t>
      </w:r>
    </w:p>
    <w:p w14:paraId="491F0ABD" w14:textId="0ACC96E7" w:rsidR="00CE12F5" w:rsidRPr="002E71CB" w:rsidRDefault="00CE12F5" w:rsidP="002E71CB">
      <w:pPr>
        <w:spacing w:line="360" w:lineRule="auto"/>
        <w:rPr>
          <w:rFonts w:ascii="Arial" w:hAnsi="Arial" w:cs="Arial"/>
          <w:sz w:val="24"/>
          <w:szCs w:val="24"/>
        </w:rPr>
      </w:pPr>
      <w:r w:rsidRPr="002E71CB">
        <w:rPr>
          <w:rFonts w:ascii="Arial" w:hAnsi="Arial" w:cs="Arial"/>
          <w:sz w:val="24"/>
          <w:szCs w:val="24"/>
        </w:rPr>
        <w:t>Power, Rhys et al. (2019) investigate the disadvantages faced by children in poverty and argue that Bernstein’s pedagogical requirements for child</w:t>
      </w:r>
      <w:r w:rsidRPr="002E71CB">
        <w:rPr>
          <w:rFonts w:ascii="Arial" w:hAnsi="Arial" w:cs="Arial"/>
          <w:sz w:val="24"/>
          <w:szCs w:val="24"/>
        </w:rPr>
        <w:noBreakHyphen/>
        <w:t>centred learning—adequate classroom space, outdoor space, learning resources, and teacher capacity—may be harder to meet in high</w:t>
      </w:r>
      <w:r w:rsidRPr="002E71CB">
        <w:rPr>
          <w:rFonts w:ascii="Arial" w:hAnsi="Arial" w:cs="Arial"/>
          <w:sz w:val="24"/>
          <w:szCs w:val="24"/>
        </w:rPr>
        <w:noBreakHyphen/>
        <w:t xml:space="preserve">poverty areas. However, Welsh foundation policy data indicate only </w:t>
      </w:r>
      <w:r w:rsidR="00BF4531" w:rsidRPr="002E71CB">
        <w:rPr>
          <w:rFonts w:ascii="Arial" w:hAnsi="Arial" w:cs="Arial"/>
          <w:sz w:val="24"/>
          <w:szCs w:val="24"/>
        </w:rPr>
        <w:t>slight differences</w:t>
      </w:r>
      <w:r w:rsidRPr="002E71CB">
        <w:rPr>
          <w:rFonts w:ascii="Arial" w:hAnsi="Arial" w:cs="Arial"/>
          <w:sz w:val="24"/>
          <w:szCs w:val="24"/>
        </w:rPr>
        <w:t xml:space="preserve"> in child</w:t>
      </w:r>
      <w:r w:rsidRPr="002E71CB">
        <w:rPr>
          <w:rFonts w:ascii="Arial" w:hAnsi="Arial" w:cs="Arial"/>
          <w:sz w:val="24"/>
          <w:szCs w:val="24"/>
        </w:rPr>
        <w:noBreakHyphen/>
        <w:t>centred learning between more and less deprived areas, which may reflect policy interventions.</w:t>
      </w:r>
    </w:p>
    <w:p w14:paraId="21146EB5" w14:textId="687C04B7" w:rsidR="00540731" w:rsidRDefault="00CE12F5" w:rsidP="002E71CB">
      <w:pPr>
        <w:spacing w:line="360" w:lineRule="auto"/>
        <w:rPr>
          <w:rFonts w:ascii="Arial" w:hAnsi="Arial" w:cs="Arial"/>
          <w:sz w:val="24"/>
          <w:szCs w:val="24"/>
        </w:rPr>
      </w:pPr>
      <w:r w:rsidRPr="002E71CB">
        <w:rPr>
          <w:rFonts w:ascii="Arial" w:hAnsi="Arial" w:cs="Arial"/>
          <w:sz w:val="24"/>
          <w:szCs w:val="24"/>
        </w:rPr>
        <w:t>Fabrizi and Ponsolle</w:t>
      </w:r>
      <w:r w:rsidRPr="002E71CB">
        <w:rPr>
          <w:rFonts w:ascii="Arial" w:hAnsi="Arial" w:cs="Arial"/>
          <w:sz w:val="24"/>
          <w:szCs w:val="24"/>
        </w:rPr>
        <w:noBreakHyphen/>
        <w:t>Mays (2018) report that children in severely deprived areas are less likely to benefit from play, extracurricular activities, and social learning because of limited access to sport and leisure opportunities. The government has introduced support measures aimed at reducing these gaps, such as targeted family support, early years programmes in deprived areas, and free school meals, which may help explain some of the smaller observed differences in child</w:t>
      </w:r>
      <w:r w:rsidRPr="002E71CB">
        <w:rPr>
          <w:rFonts w:ascii="Arial" w:hAnsi="Arial" w:cs="Arial"/>
          <w:sz w:val="24"/>
          <w:szCs w:val="24"/>
        </w:rPr>
        <w:noBreakHyphen/>
        <w:t>centred learning outcomes. Gibson</w:t>
      </w:r>
      <w:r w:rsidRPr="002E71CB">
        <w:rPr>
          <w:rFonts w:ascii="Arial" w:hAnsi="Arial" w:cs="Arial"/>
          <w:sz w:val="24"/>
          <w:szCs w:val="24"/>
        </w:rPr>
        <w:noBreakHyphen/>
        <w:t>Davis, Keister et al. (2022) show that children experiencing income poverty or net</w:t>
      </w:r>
      <w:r w:rsidRPr="002E71CB">
        <w:rPr>
          <w:rFonts w:ascii="Arial" w:hAnsi="Arial" w:cs="Arial"/>
          <w:sz w:val="24"/>
          <w:szCs w:val="24"/>
        </w:rPr>
        <w:noBreakHyphen/>
        <w:t>worth poverty score lower on reading and problem</w:t>
      </w:r>
      <w:r w:rsidRPr="002E71CB">
        <w:rPr>
          <w:rFonts w:ascii="Arial" w:hAnsi="Arial" w:cs="Arial"/>
          <w:sz w:val="24"/>
          <w:szCs w:val="24"/>
        </w:rPr>
        <w:noBreakHyphen/>
        <w:t>solving assessments, with the largest deficits among children experiencing both types of poverty.</w:t>
      </w:r>
    </w:p>
    <w:p w14:paraId="7D180848" w14:textId="6EEEDBAA" w:rsidR="00571D14" w:rsidRDefault="00AA77B4" w:rsidP="00AA77B4">
      <w:pPr>
        <w:spacing w:line="360" w:lineRule="auto"/>
        <w:rPr>
          <w:rFonts w:ascii="Arial" w:hAnsi="Arial" w:cs="Arial"/>
          <w:sz w:val="24"/>
          <w:szCs w:val="24"/>
        </w:rPr>
      </w:pPr>
      <w:r w:rsidRPr="00AA77B4">
        <w:rPr>
          <w:rFonts w:ascii="Arial" w:hAnsi="Arial" w:cs="Arial"/>
          <w:sz w:val="24"/>
          <w:szCs w:val="24"/>
        </w:rPr>
        <w:t>McFarland, M.J</w:t>
      </w:r>
      <w:r w:rsidRPr="00AA77B4">
        <w:rPr>
          <w:rFonts w:ascii="Arial" w:hAnsi="Arial" w:cs="Arial"/>
          <w:b/>
          <w:bCs/>
          <w:sz w:val="24"/>
          <w:szCs w:val="24"/>
        </w:rPr>
        <w:t>.</w:t>
      </w:r>
      <w:r w:rsidRPr="00AA77B4">
        <w:rPr>
          <w:rFonts w:ascii="Arial" w:hAnsi="Arial" w:cs="Arial"/>
          <w:sz w:val="24"/>
          <w:szCs w:val="24"/>
        </w:rPr>
        <w:t xml:space="preserve"> (2017)</w:t>
      </w:r>
      <w:r>
        <w:rPr>
          <w:rFonts w:ascii="Arial" w:hAnsi="Arial" w:cs="Arial"/>
          <w:sz w:val="24"/>
          <w:szCs w:val="24"/>
        </w:rPr>
        <w:t xml:space="preserve"> </w:t>
      </w:r>
      <w:r w:rsidR="00B07F2A">
        <w:rPr>
          <w:rFonts w:ascii="Arial" w:hAnsi="Arial" w:cs="Arial"/>
          <w:sz w:val="24"/>
          <w:szCs w:val="24"/>
        </w:rPr>
        <w:t xml:space="preserve">displays the impact poverty has on behaviour doing the early years through stating </w:t>
      </w:r>
      <w:r w:rsidR="003220AE">
        <w:rPr>
          <w:rFonts w:ascii="Arial" w:hAnsi="Arial" w:cs="Arial"/>
          <w:sz w:val="24"/>
          <w:szCs w:val="24"/>
        </w:rPr>
        <w:t xml:space="preserve">that poverty from adolescence </w:t>
      </w:r>
      <w:r w:rsidR="00D41C03">
        <w:rPr>
          <w:rFonts w:ascii="Arial" w:hAnsi="Arial" w:cs="Arial"/>
          <w:sz w:val="24"/>
          <w:szCs w:val="24"/>
        </w:rPr>
        <w:t xml:space="preserve">creates a </w:t>
      </w:r>
      <w:r w:rsidR="00BF4531">
        <w:rPr>
          <w:rFonts w:ascii="Arial" w:hAnsi="Arial" w:cs="Arial"/>
          <w:sz w:val="24"/>
          <w:szCs w:val="24"/>
        </w:rPr>
        <w:t>result</w:t>
      </w:r>
      <w:r w:rsidR="00D41C03">
        <w:rPr>
          <w:rFonts w:ascii="Arial" w:hAnsi="Arial" w:cs="Arial"/>
          <w:sz w:val="24"/>
          <w:szCs w:val="24"/>
        </w:rPr>
        <w:t xml:space="preserve"> of problem behaviours during early childhood, late childhood and even adolescence. </w:t>
      </w:r>
    </w:p>
    <w:p w14:paraId="6C4A544D" w14:textId="00967B87" w:rsidR="00964AEA" w:rsidRPr="00AA77B4" w:rsidRDefault="00964AEA" w:rsidP="00AA77B4">
      <w:pPr>
        <w:spacing w:line="360" w:lineRule="auto"/>
        <w:rPr>
          <w:rFonts w:ascii="Arial" w:hAnsi="Arial" w:cs="Arial"/>
          <w:sz w:val="24"/>
          <w:szCs w:val="24"/>
        </w:rPr>
      </w:pPr>
      <w:r>
        <w:rPr>
          <w:rFonts w:ascii="Arial" w:hAnsi="Arial" w:cs="Arial"/>
          <w:sz w:val="24"/>
          <w:szCs w:val="24"/>
        </w:rPr>
        <w:t xml:space="preserve">While there </w:t>
      </w:r>
      <w:r w:rsidR="00010F89">
        <w:rPr>
          <w:rFonts w:ascii="Arial" w:hAnsi="Arial" w:cs="Arial"/>
          <w:sz w:val="24"/>
          <w:szCs w:val="24"/>
        </w:rPr>
        <w:t>is no evidence of causation on poverty impacting behavioural issues during the early years, there is a distinc</w:t>
      </w:r>
      <w:r w:rsidR="00C21E3E">
        <w:rPr>
          <w:rFonts w:ascii="Arial" w:hAnsi="Arial" w:cs="Arial"/>
          <w:sz w:val="24"/>
          <w:szCs w:val="24"/>
        </w:rPr>
        <w:t xml:space="preserve">t correlation between how children behave and their social </w:t>
      </w:r>
      <w:r w:rsidR="00D61ABB">
        <w:rPr>
          <w:rFonts w:ascii="Arial" w:hAnsi="Arial" w:cs="Arial"/>
          <w:sz w:val="24"/>
          <w:szCs w:val="24"/>
        </w:rPr>
        <w:t>economic</w:t>
      </w:r>
      <w:r w:rsidR="00C21E3E">
        <w:rPr>
          <w:rFonts w:ascii="Arial" w:hAnsi="Arial" w:cs="Arial"/>
          <w:sz w:val="24"/>
          <w:szCs w:val="24"/>
        </w:rPr>
        <w:t xml:space="preserve"> status, varying from how they </w:t>
      </w:r>
      <w:r w:rsidR="003A00F6">
        <w:rPr>
          <w:rFonts w:ascii="Arial" w:hAnsi="Arial" w:cs="Arial"/>
          <w:sz w:val="24"/>
          <w:szCs w:val="24"/>
        </w:rPr>
        <w:t>can</w:t>
      </w:r>
      <w:r w:rsidR="00C21E3E">
        <w:rPr>
          <w:rFonts w:ascii="Arial" w:hAnsi="Arial" w:cs="Arial"/>
          <w:sz w:val="24"/>
          <w:szCs w:val="24"/>
        </w:rPr>
        <w:t xml:space="preserve"> perform in class and </w:t>
      </w:r>
      <w:r w:rsidR="003A00F6">
        <w:rPr>
          <w:rFonts w:ascii="Arial" w:hAnsi="Arial" w:cs="Arial"/>
          <w:sz w:val="24"/>
          <w:szCs w:val="24"/>
        </w:rPr>
        <w:t>possible additional learning needs. (ADHD etc.)</w:t>
      </w:r>
    </w:p>
    <w:p w14:paraId="64BA7323" w14:textId="41F0C3D1" w:rsidR="00C3070F" w:rsidRPr="002E71CB" w:rsidRDefault="00C3070F" w:rsidP="002E71CB">
      <w:pPr>
        <w:spacing w:line="360" w:lineRule="auto"/>
        <w:rPr>
          <w:rFonts w:ascii="Arial" w:hAnsi="Arial" w:cs="Arial"/>
          <w:sz w:val="24"/>
          <w:szCs w:val="24"/>
        </w:rPr>
      </w:pPr>
      <w:r w:rsidRPr="002E71CB">
        <w:rPr>
          <w:rFonts w:ascii="Arial" w:hAnsi="Arial" w:cs="Arial"/>
          <w:sz w:val="24"/>
          <w:szCs w:val="24"/>
        </w:rPr>
        <w:lastRenderedPageBreak/>
        <w:t>What support is in place?</w:t>
      </w:r>
    </w:p>
    <w:p w14:paraId="78E1FFD4" w14:textId="038300BE" w:rsidR="00C3070F" w:rsidRPr="002E71CB" w:rsidRDefault="00C3070F" w:rsidP="002E71CB">
      <w:pPr>
        <w:spacing w:line="360" w:lineRule="auto"/>
        <w:rPr>
          <w:rFonts w:ascii="Arial" w:hAnsi="Arial" w:cs="Arial"/>
          <w:sz w:val="24"/>
          <w:szCs w:val="24"/>
        </w:rPr>
      </w:pPr>
      <w:r w:rsidRPr="002E71CB">
        <w:rPr>
          <w:rFonts w:ascii="Arial" w:hAnsi="Arial" w:cs="Arial"/>
          <w:sz w:val="24"/>
          <w:szCs w:val="24"/>
        </w:rPr>
        <w:t>Since COVID</w:t>
      </w:r>
      <w:r w:rsidRPr="002E71CB">
        <w:rPr>
          <w:rFonts w:ascii="Arial" w:hAnsi="Arial" w:cs="Arial"/>
          <w:sz w:val="24"/>
          <w:szCs w:val="24"/>
        </w:rPr>
        <w:noBreakHyphen/>
        <w:t xml:space="preserve">19 and Brexit, support has </w:t>
      </w:r>
      <w:r w:rsidR="00BF4531" w:rsidRPr="002E71CB">
        <w:rPr>
          <w:rFonts w:ascii="Arial" w:hAnsi="Arial" w:cs="Arial"/>
          <w:sz w:val="24"/>
          <w:szCs w:val="24"/>
        </w:rPr>
        <w:t>decreased</w:t>
      </w:r>
      <w:r w:rsidRPr="002E71CB">
        <w:rPr>
          <w:rFonts w:ascii="Arial" w:hAnsi="Arial" w:cs="Arial"/>
          <w:sz w:val="24"/>
          <w:szCs w:val="24"/>
        </w:rPr>
        <w:t>, contributing to rising poverty rates. Solvason and Webb (2023) report that 31% of children are living in relative poverty and note increased foodbank use, citing DWP figures from 2021. The same authors describe a 2010 government funding change that allocated resources equally across areas, leaving deprived communities without extra targeted support. Moore and Littlecott et al. (2017) report that children perceive differences in the support they receive from teachers depending on their family’s socioeconomic position.</w:t>
      </w:r>
    </w:p>
    <w:p w14:paraId="26233C32" w14:textId="77777777" w:rsidR="00B13CCC" w:rsidRDefault="00C3070F" w:rsidP="002E71CB">
      <w:pPr>
        <w:spacing w:line="360" w:lineRule="auto"/>
        <w:rPr>
          <w:rFonts w:ascii="Arial" w:hAnsi="Arial" w:cs="Arial"/>
          <w:b/>
          <w:bCs/>
          <w:i/>
          <w:iCs/>
          <w:sz w:val="24"/>
          <w:szCs w:val="24"/>
          <w:u w:val="single"/>
        </w:rPr>
      </w:pPr>
      <w:r w:rsidRPr="002E71CB">
        <w:rPr>
          <w:rFonts w:ascii="Arial" w:hAnsi="Arial" w:cs="Arial"/>
          <w:sz w:val="24"/>
          <w:szCs w:val="24"/>
        </w:rPr>
        <w:t>The government has implemented measures to support low</w:t>
      </w:r>
      <w:r w:rsidRPr="002E71CB">
        <w:rPr>
          <w:rFonts w:ascii="Arial" w:hAnsi="Arial" w:cs="Arial"/>
          <w:sz w:val="24"/>
          <w:szCs w:val="24"/>
        </w:rPr>
        <w:noBreakHyphen/>
        <w:t>income families, including free school meals and targeted early</w:t>
      </w:r>
      <w:r w:rsidRPr="002E71CB">
        <w:rPr>
          <w:rFonts w:ascii="Arial" w:hAnsi="Arial" w:cs="Arial"/>
          <w:sz w:val="24"/>
          <w:szCs w:val="24"/>
        </w:rPr>
        <w:noBreakHyphen/>
        <w:t>years programmes such as Flying Start. The government continues to update school policy and objectives aimed at reducing child poverty and its impacts.</w:t>
      </w:r>
      <w:r w:rsidR="005943C3" w:rsidRPr="002E71CB">
        <w:rPr>
          <w:rFonts w:ascii="Arial" w:hAnsi="Arial" w:cs="Arial"/>
          <w:sz w:val="24"/>
          <w:szCs w:val="24"/>
        </w:rPr>
        <w:t xml:space="preserve"> Cabinet office and department for work and pensions</w:t>
      </w:r>
      <w:r w:rsidR="007971FC" w:rsidRPr="002E71CB">
        <w:rPr>
          <w:rFonts w:ascii="Arial" w:hAnsi="Arial" w:cs="Arial"/>
          <w:sz w:val="24"/>
          <w:szCs w:val="24"/>
        </w:rPr>
        <w:t xml:space="preserve"> act (2025) makes a promise to support children in poverty</w:t>
      </w:r>
      <w:r w:rsidR="00EA661A" w:rsidRPr="002E71CB">
        <w:rPr>
          <w:rFonts w:ascii="Arial" w:hAnsi="Arial" w:cs="Arial"/>
          <w:sz w:val="24"/>
          <w:szCs w:val="24"/>
        </w:rPr>
        <w:t xml:space="preserve"> by encouraging partnerships</w:t>
      </w:r>
      <w:r w:rsidR="001147A5" w:rsidRPr="002E71CB">
        <w:rPr>
          <w:rFonts w:ascii="Arial" w:hAnsi="Arial" w:cs="Arial"/>
          <w:sz w:val="24"/>
          <w:szCs w:val="24"/>
        </w:rPr>
        <w:t xml:space="preserve"> with businesses and listening to children and families when finding solutions for supporting </w:t>
      </w:r>
      <w:r w:rsidR="008C15D2" w:rsidRPr="002E71CB">
        <w:rPr>
          <w:rFonts w:ascii="Arial" w:hAnsi="Arial" w:cs="Arial"/>
          <w:sz w:val="24"/>
          <w:szCs w:val="24"/>
        </w:rPr>
        <w:t xml:space="preserve">people living in poverty. Some solutions that have been found from this are </w:t>
      </w:r>
      <w:r w:rsidR="001B41CA" w:rsidRPr="002E71CB">
        <w:rPr>
          <w:rFonts w:ascii="Arial" w:hAnsi="Arial" w:cs="Arial"/>
          <w:sz w:val="24"/>
          <w:szCs w:val="24"/>
        </w:rPr>
        <w:t xml:space="preserve">increasing access to affordable childcare, improving housing affordability </w:t>
      </w:r>
      <w:r w:rsidR="006A29A0" w:rsidRPr="002E71CB">
        <w:rPr>
          <w:rFonts w:ascii="Arial" w:hAnsi="Arial" w:cs="Arial"/>
          <w:sz w:val="24"/>
          <w:szCs w:val="24"/>
        </w:rPr>
        <w:t xml:space="preserve">and targeting areas that support child poverty </w:t>
      </w:r>
      <w:r w:rsidR="001A5877" w:rsidRPr="002E71CB">
        <w:rPr>
          <w:rFonts w:ascii="Arial" w:hAnsi="Arial" w:cs="Arial"/>
          <w:sz w:val="24"/>
          <w:szCs w:val="24"/>
        </w:rPr>
        <w:t>and family support</w:t>
      </w:r>
      <w:r w:rsidR="00B13CCC">
        <w:rPr>
          <w:rFonts w:ascii="Arial" w:hAnsi="Arial" w:cs="Arial"/>
          <w:sz w:val="24"/>
          <w:szCs w:val="24"/>
        </w:rPr>
        <w:t xml:space="preserve"> </w:t>
      </w:r>
      <w:r w:rsidR="001A5877" w:rsidRPr="002E71CB">
        <w:rPr>
          <w:rFonts w:ascii="Arial" w:hAnsi="Arial" w:cs="Arial"/>
          <w:sz w:val="24"/>
          <w:szCs w:val="24"/>
        </w:rPr>
        <w:t>services</w:t>
      </w:r>
      <w:r w:rsidR="006C68FC" w:rsidRPr="002E71CB">
        <w:rPr>
          <w:rFonts w:ascii="Arial" w:hAnsi="Arial" w:cs="Arial"/>
          <w:sz w:val="24"/>
          <w:szCs w:val="24"/>
        </w:rPr>
        <w:t>.</w:t>
      </w:r>
      <w:r w:rsidR="00B13CCC">
        <w:rPr>
          <w:rFonts w:ascii="Arial" w:hAnsi="Arial" w:cs="Arial"/>
          <w:b/>
          <w:bCs/>
          <w:i/>
          <w:iCs/>
          <w:sz w:val="24"/>
          <w:szCs w:val="24"/>
          <w:u w:val="single"/>
        </w:rPr>
        <w:t xml:space="preserve"> </w:t>
      </w:r>
    </w:p>
    <w:p w14:paraId="70BF11ED" w14:textId="1FD7DF9E" w:rsidR="003736E5" w:rsidRDefault="002563A6" w:rsidP="002E71CB">
      <w:pPr>
        <w:spacing w:line="360" w:lineRule="auto"/>
        <w:rPr>
          <w:rFonts w:ascii="Arial" w:hAnsi="Arial" w:cs="Arial"/>
          <w:sz w:val="24"/>
          <w:szCs w:val="24"/>
        </w:rPr>
      </w:pPr>
      <w:r w:rsidRPr="002563A6">
        <w:rPr>
          <w:rFonts w:ascii="Arial" w:hAnsi="Arial" w:cs="Arial"/>
          <w:sz w:val="24"/>
          <w:szCs w:val="24"/>
        </w:rPr>
        <w:t>Although many studies cannot establish a causal link between poverty and childhood development, a strong correlation exists between living in deprived areas and delays in physical and cognitive growth. Government policies aimed at supporting children in low-income settings further highlight the recognized impact of poverty on developmental outcomes</w:t>
      </w:r>
      <w:r>
        <w:rPr>
          <w:rFonts w:ascii="Arial" w:hAnsi="Arial" w:cs="Arial"/>
          <w:sz w:val="24"/>
          <w:szCs w:val="24"/>
        </w:rPr>
        <w:t xml:space="preserve">. </w:t>
      </w:r>
    </w:p>
    <w:p w14:paraId="73F8A7AF" w14:textId="77777777" w:rsidR="003736E5" w:rsidRDefault="003736E5" w:rsidP="002E71CB">
      <w:pPr>
        <w:spacing w:line="360" w:lineRule="auto"/>
        <w:rPr>
          <w:rFonts w:ascii="Arial" w:hAnsi="Arial" w:cs="Arial"/>
          <w:sz w:val="24"/>
          <w:szCs w:val="24"/>
        </w:rPr>
      </w:pPr>
    </w:p>
    <w:p w14:paraId="0172A591" w14:textId="77777777" w:rsidR="003736E5" w:rsidRDefault="003736E5" w:rsidP="002E71CB">
      <w:pPr>
        <w:spacing w:line="360" w:lineRule="auto"/>
        <w:rPr>
          <w:rFonts w:ascii="Arial" w:hAnsi="Arial" w:cs="Arial"/>
          <w:sz w:val="24"/>
          <w:szCs w:val="24"/>
        </w:rPr>
      </w:pPr>
    </w:p>
    <w:p w14:paraId="74A34E01" w14:textId="77777777" w:rsidR="003736E5" w:rsidRDefault="003736E5" w:rsidP="002E71CB">
      <w:pPr>
        <w:spacing w:line="360" w:lineRule="auto"/>
        <w:rPr>
          <w:rFonts w:ascii="Arial" w:hAnsi="Arial" w:cs="Arial"/>
          <w:sz w:val="24"/>
          <w:szCs w:val="24"/>
        </w:rPr>
      </w:pPr>
    </w:p>
    <w:p w14:paraId="3512F9B9" w14:textId="77777777" w:rsidR="003736E5" w:rsidRDefault="003736E5" w:rsidP="002E71CB">
      <w:pPr>
        <w:spacing w:line="360" w:lineRule="auto"/>
        <w:rPr>
          <w:rFonts w:ascii="Arial" w:hAnsi="Arial" w:cs="Arial"/>
          <w:sz w:val="24"/>
          <w:szCs w:val="24"/>
        </w:rPr>
      </w:pPr>
    </w:p>
    <w:p w14:paraId="73B1A205" w14:textId="77777777" w:rsidR="003736E5" w:rsidRDefault="003736E5" w:rsidP="002E71CB">
      <w:pPr>
        <w:spacing w:line="360" w:lineRule="auto"/>
        <w:rPr>
          <w:rFonts w:ascii="Arial" w:hAnsi="Arial" w:cs="Arial"/>
          <w:sz w:val="24"/>
          <w:szCs w:val="24"/>
        </w:rPr>
      </w:pPr>
    </w:p>
    <w:p w14:paraId="722D9FB8" w14:textId="77777777" w:rsidR="00C56B0A" w:rsidRDefault="00C56B0A" w:rsidP="002516D7">
      <w:pPr>
        <w:spacing w:line="360" w:lineRule="auto"/>
        <w:rPr>
          <w:rFonts w:ascii="Arial" w:hAnsi="Arial" w:cs="Arial"/>
          <w:sz w:val="24"/>
          <w:szCs w:val="24"/>
        </w:rPr>
      </w:pPr>
    </w:p>
    <w:p w14:paraId="02027D5D" w14:textId="5682C788" w:rsidR="00731B8E" w:rsidRDefault="001B6043" w:rsidP="002516D7">
      <w:pPr>
        <w:spacing w:line="360" w:lineRule="auto"/>
        <w:rPr>
          <w:rFonts w:ascii="Arial" w:hAnsi="Arial" w:cs="Arial"/>
          <w:sz w:val="24"/>
          <w:szCs w:val="24"/>
        </w:rPr>
      </w:pPr>
      <w:r w:rsidRPr="002516D7">
        <w:rPr>
          <w:rFonts w:ascii="Arial" w:hAnsi="Arial" w:cs="Arial"/>
          <w:sz w:val="24"/>
          <w:szCs w:val="24"/>
        </w:rPr>
        <w:lastRenderedPageBreak/>
        <w:t>Why research?</w:t>
      </w:r>
    </w:p>
    <w:p w14:paraId="0F03EE35" w14:textId="51A79AEC" w:rsidR="00A974E8" w:rsidRDefault="00A974E8" w:rsidP="00A974E8">
      <w:pPr>
        <w:spacing w:line="360" w:lineRule="auto"/>
        <w:rPr>
          <w:rFonts w:ascii="Arial" w:hAnsi="Arial" w:cs="Arial"/>
          <w:sz w:val="24"/>
          <w:szCs w:val="24"/>
        </w:rPr>
      </w:pPr>
      <w:r w:rsidRPr="00A974E8">
        <w:rPr>
          <w:rFonts w:ascii="Arial" w:hAnsi="Arial" w:cs="Arial"/>
          <w:sz w:val="24"/>
          <w:szCs w:val="24"/>
        </w:rPr>
        <w:t xml:space="preserve">Nolan, </w:t>
      </w:r>
      <w:r w:rsidR="006C68FC" w:rsidRPr="00A974E8">
        <w:rPr>
          <w:rFonts w:ascii="Arial" w:hAnsi="Arial" w:cs="Arial"/>
          <w:sz w:val="24"/>
          <w:szCs w:val="24"/>
        </w:rPr>
        <w:t>Macfarlane,</w:t>
      </w:r>
      <w:r w:rsidRPr="00A974E8">
        <w:rPr>
          <w:rFonts w:ascii="Arial" w:hAnsi="Arial" w:cs="Arial"/>
          <w:sz w:val="24"/>
          <w:szCs w:val="24"/>
        </w:rPr>
        <w:t xml:space="preserve"> and Cartmel (2013) emphasise that research is not only a requirement for meeting professional criteria—such as compliance with regulations—but also a means for individuals to develop a genuine passion for topics that intrigue them. The importance of research is further underlined by the government’s introduction of the statutory Child Development Assessment Profile in 2011 (Thomas and Lewis, 2016).</w:t>
      </w:r>
    </w:p>
    <w:p w14:paraId="57385F18" w14:textId="77777777" w:rsidR="00416589" w:rsidRDefault="00416589" w:rsidP="00A974E8">
      <w:pPr>
        <w:spacing w:line="360" w:lineRule="auto"/>
        <w:rPr>
          <w:rFonts w:ascii="Arial" w:hAnsi="Arial" w:cs="Arial"/>
          <w:sz w:val="24"/>
          <w:szCs w:val="24"/>
        </w:rPr>
      </w:pPr>
      <w:r w:rsidRPr="00416589">
        <w:rPr>
          <w:rFonts w:ascii="Arial" w:hAnsi="Arial" w:cs="Arial"/>
          <w:sz w:val="24"/>
          <w:szCs w:val="24"/>
        </w:rPr>
        <w:t>Prada-Ramallal et al. (2018) define primary data as information gathered directly by a researcher, whereas secondary data refers to information that has already been collected for related studies. While the first section of this study used secondary data, the following section will focus on primary data collection, allowing for a comparison between these data types.</w:t>
      </w:r>
      <w:r>
        <w:rPr>
          <w:rFonts w:ascii="Arial" w:hAnsi="Arial" w:cs="Arial"/>
          <w:sz w:val="24"/>
          <w:szCs w:val="24"/>
        </w:rPr>
        <w:t xml:space="preserve"> </w:t>
      </w:r>
    </w:p>
    <w:p w14:paraId="46A3B465" w14:textId="5B3529BD" w:rsidR="00A974E8" w:rsidRPr="00A974E8" w:rsidRDefault="00416589" w:rsidP="00A974E8">
      <w:pPr>
        <w:spacing w:line="360" w:lineRule="auto"/>
        <w:rPr>
          <w:rFonts w:ascii="Arial" w:hAnsi="Arial" w:cs="Arial"/>
          <w:sz w:val="24"/>
          <w:szCs w:val="24"/>
        </w:rPr>
      </w:pPr>
      <w:r>
        <w:rPr>
          <w:rFonts w:ascii="Arial" w:hAnsi="Arial" w:cs="Arial"/>
          <w:sz w:val="24"/>
          <w:szCs w:val="24"/>
        </w:rPr>
        <w:t>To</w:t>
      </w:r>
      <w:r w:rsidR="00975663">
        <w:rPr>
          <w:rFonts w:ascii="Arial" w:hAnsi="Arial" w:cs="Arial"/>
          <w:sz w:val="24"/>
          <w:szCs w:val="24"/>
        </w:rPr>
        <w:t xml:space="preserve"> obtain primary data, many </w:t>
      </w:r>
      <w:r w:rsidR="00A974E8" w:rsidRPr="00A974E8">
        <w:rPr>
          <w:rFonts w:ascii="Arial" w:hAnsi="Arial" w:cs="Arial"/>
          <w:sz w:val="24"/>
          <w:szCs w:val="24"/>
        </w:rPr>
        <w:t>research methods</w:t>
      </w:r>
      <w:r w:rsidR="00975663">
        <w:rPr>
          <w:rFonts w:ascii="Arial" w:hAnsi="Arial" w:cs="Arial"/>
          <w:sz w:val="24"/>
          <w:szCs w:val="24"/>
        </w:rPr>
        <w:t xml:space="preserve"> were considered</w:t>
      </w:r>
      <w:r w:rsidR="00A974E8" w:rsidRPr="00A974E8">
        <w:rPr>
          <w:rFonts w:ascii="Arial" w:hAnsi="Arial" w:cs="Arial"/>
          <w:sz w:val="24"/>
          <w:szCs w:val="24"/>
        </w:rPr>
        <w:t xml:space="preserve">, including interviews, </w:t>
      </w:r>
      <w:r w:rsidR="006C68FC" w:rsidRPr="00A974E8">
        <w:rPr>
          <w:rFonts w:ascii="Arial" w:hAnsi="Arial" w:cs="Arial"/>
          <w:sz w:val="24"/>
          <w:szCs w:val="24"/>
        </w:rPr>
        <w:t>observations,</w:t>
      </w:r>
      <w:r w:rsidR="00A974E8" w:rsidRPr="00A974E8">
        <w:rPr>
          <w:rFonts w:ascii="Arial" w:hAnsi="Arial" w:cs="Arial"/>
          <w:sz w:val="24"/>
          <w:szCs w:val="24"/>
        </w:rPr>
        <w:t xml:space="preserve"> and surveys. Its benefits include the ability to focus on personal and social development and wellbeing, as well as on language, </w:t>
      </w:r>
      <w:r w:rsidR="006C68FC" w:rsidRPr="00A974E8">
        <w:rPr>
          <w:rFonts w:ascii="Arial" w:hAnsi="Arial" w:cs="Arial"/>
          <w:sz w:val="24"/>
          <w:szCs w:val="24"/>
        </w:rPr>
        <w:t>literacy,</w:t>
      </w:r>
      <w:r w:rsidR="00A974E8" w:rsidRPr="00A974E8">
        <w:rPr>
          <w:rFonts w:ascii="Arial" w:hAnsi="Arial" w:cs="Arial"/>
          <w:sz w:val="24"/>
          <w:szCs w:val="24"/>
        </w:rPr>
        <w:t xml:space="preserve"> and communication skills (Thomas and Lewis, 2016). Brown and Knight (1994) argue that such assessments help to shape children’s development.</w:t>
      </w:r>
      <w:r w:rsidR="00C63966">
        <w:rPr>
          <w:rFonts w:ascii="Arial" w:hAnsi="Arial" w:cs="Arial"/>
          <w:sz w:val="24"/>
          <w:szCs w:val="24"/>
        </w:rPr>
        <w:t xml:space="preserve"> </w:t>
      </w:r>
      <w:r w:rsidR="00A974E8" w:rsidRPr="00A974E8">
        <w:rPr>
          <w:rFonts w:ascii="Arial" w:hAnsi="Arial" w:cs="Arial"/>
          <w:sz w:val="24"/>
          <w:szCs w:val="24"/>
        </w:rPr>
        <w:t xml:space="preserve">Another key concept within this source is Assessment for Learning (AFL), a continuous process throughout the early years. A common graphical model illustrates how planning leads to observations, which inform assessments and </w:t>
      </w:r>
      <w:r w:rsidR="006C68FC" w:rsidRPr="00A974E8">
        <w:rPr>
          <w:rFonts w:ascii="Arial" w:hAnsi="Arial" w:cs="Arial"/>
          <w:sz w:val="24"/>
          <w:szCs w:val="24"/>
        </w:rPr>
        <w:t>guide</w:t>
      </w:r>
      <w:r w:rsidR="00A974E8" w:rsidRPr="00A974E8">
        <w:rPr>
          <w:rFonts w:ascii="Arial" w:hAnsi="Arial" w:cs="Arial"/>
          <w:sz w:val="24"/>
          <w:szCs w:val="24"/>
        </w:rPr>
        <w:t xml:space="preserve"> evaluation.</w:t>
      </w:r>
    </w:p>
    <w:p w14:paraId="1F26E6CE" w14:textId="7D56CC45" w:rsidR="004D5B00" w:rsidRPr="004D5B00" w:rsidRDefault="004D5B00" w:rsidP="004D5B00">
      <w:pPr>
        <w:spacing w:line="360" w:lineRule="auto"/>
        <w:rPr>
          <w:rFonts w:ascii="Arial" w:hAnsi="Arial" w:cs="Arial"/>
          <w:sz w:val="24"/>
          <w:szCs w:val="24"/>
        </w:rPr>
      </w:pPr>
      <w:r w:rsidRPr="004D5B00">
        <w:rPr>
          <w:rFonts w:ascii="Arial" w:hAnsi="Arial" w:cs="Arial"/>
          <w:sz w:val="24"/>
          <w:szCs w:val="24"/>
        </w:rPr>
        <w:t xml:space="preserve">Similarly, Cohen, Manion and Morrison (2017) identify several core functions of research: identifying key themes, summarising findings, discovering patterns and validating theoretical propositions. Research often provides the empirical evidence that underpins theory development. In early childhood education specifically, government bodies routinely gather research evidence to shape and inform policy decisions. </w:t>
      </w:r>
      <w:r w:rsidR="00BF4531" w:rsidRPr="004D5B00">
        <w:rPr>
          <w:rFonts w:ascii="Arial" w:hAnsi="Arial" w:cs="Arial"/>
          <w:sz w:val="24"/>
          <w:szCs w:val="24"/>
        </w:rPr>
        <w:t>Research</w:t>
      </w:r>
      <w:r w:rsidRPr="004D5B00">
        <w:rPr>
          <w:rFonts w:ascii="Arial" w:hAnsi="Arial" w:cs="Arial"/>
          <w:sz w:val="24"/>
          <w:szCs w:val="24"/>
        </w:rPr>
        <w:t xml:space="preserve"> deepens our understanding of complex topics and theories within educational studies.</w:t>
      </w:r>
    </w:p>
    <w:p w14:paraId="7B8FBE05" w14:textId="528B8919" w:rsidR="00FF0C6C" w:rsidRPr="00A83707" w:rsidRDefault="00D04D5E" w:rsidP="002516D7">
      <w:pPr>
        <w:spacing w:line="360" w:lineRule="auto"/>
        <w:rPr>
          <w:rFonts w:ascii="Arial" w:hAnsi="Arial" w:cs="Arial"/>
          <w:sz w:val="24"/>
          <w:szCs w:val="24"/>
        </w:rPr>
      </w:pPr>
      <w:r w:rsidRPr="00A83707">
        <w:rPr>
          <w:rFonts w:ascii="Arial" w:hAnsi="Arial" w:cs="Arial"/>
          <w:sz w:val="24"/>
          <w:szCs w:val="24"/>
        </w:rPr>
        <w:t xml:space="preserve">How is the research going to be conducted? </w:t>
      </w:r>
    </w:p>
    <w:p w14:paraId="219252E4" w14:textId="1EC1AC2E" w:rsidR="0055684A" w:rsidRPr="0055684A" w:rsidRDefault="0055684A" w:rsidP="0055684A">
      <w:pPr>
        <w:spacing w:line="360" w:lineRule="auto"/>
        <w:rPr>
          <w:rFonts w:ascii="Arial" w:hAnsi="Arial" w:cs="Arial"/>
          <w:sz w:val="24"/>
          <w:szCs w:val="24"/>
        </w:rPr>
      </w:pPr>
      <w:r w:rsidRPr="0055684A">
        <w:rPr>
          <w:rFonts w:ascii="Arial" w:hAnsi="Arial" w:cs="Arial"/>
          <w:sz w:val="24"/>
          <w:szCs w:val="24"/>
        </w:rPr>
        <w:t xml:space="preserve">This research will be conducted in a socioeconomically deprived area of Swansea and comprises two methods: observations of </w:t>
      </w:r>
      <w:r w:rsidR="00CF5C1E">
        <w:rPr>
          <w:rFonts w:ascii="Arial" w:hAnsi="Arial" w:cs="Arial"/>
          <w:sz w:val="24"/>
          <w:szCs w:val="24"/>
        </w:rPr>
        <w:t>ten</w:t>
      </w:r>
      <w:r w:rsidRPr="0055684A">
        <w:rPr>
          <w:rFonts w:ascii="Arial" w:hAnsi="Arial" w:cs="Arial"/>
          <w:sz w:val="24"/>
          <w:szCs w:val="24"/>
        </w:rPr>
        <w:t xml:space="preserve"> children in early years settings and interviews with </w:t>
      </w:r>
      <w:r w:rsidR="00CF5C1E">
        <w:rPr>
          <w:rFonts w:ascii="Arial" w:hAnsi="Arial" w:cs="Arial"/>
          <w:sz w:val="24"/>
          <w:szCs w:val="24"/>
        </w:rPr>
        <w:t>twenty</w:t>
      </w:r>
      <w:r w:rsidRPr="0055684A">
        <w:rPr>
          <w:rFonts w:ascii="Arial" w:hAnsi="Arial" w:cs="Arial"/>
          <w:sz w:val="24"/>
          <w:szCs w:val="24"/>
        </w:rPr>
        <w:t xml:space="preserve"> parents and five teachers. Parents will discuss home-life </w:t>
      </w:r>
      <w:r w:rsidRPr="0055684A">
        <w:rPr>
          <w:rFonts w:ascii="Arial" w:hAnsi="Arial" w:cs="Arial"/>
          <w:sz w:val="24"/>
          <w:szCs w:val="24"/>
        </w:rPr>
        <w:lastRenderedPageBreak/>
        <w:t>challenges, while teachers will reflect on how poverty shapes childhood development</w:t>
      </w:r>
      <w:r w:rsidR="00B6328B">
        <w:rPr>
          <w:rFonts w:ascii="Arial" w:hAnsi="Arial" w:cs="Arial"/>
          <w:sz w:val="24"/>
          <w:szCs w:val="24"/>
        </w:rPr>
        <w:t xml:space="preserve"> within </w:t>
      </w:r>
      <w:r w:rsidR="00507040">
        <w:rPr>
          <w:rFonts w:ascii="Arial" w:hAnsi="Arial" w:cs="Arial"/>
          <w:sz w:val="24"/>
          <w:szCs w:val="24"/>
        </w:rPr>
        <w:t>a school setting</w:t>
      </w:r>
      <w:r w:rsidRPr="0055684A">
        <w:rPr>
          <w:rFonts w:ascii="Arial" w:hAnsi="Arial" w:cs="Arial"/>
          <w:sz w:val="24"/>
          <w:szCs w:val="24"/>
        </w:rPr>
        <w:t>.</w:t>
      </w:r>
    </w:p>
    <w:p w14:paraId="0582CBF9" w14:textId="5B554496" w:rsidR="0055684A" w:rsidRPr="0055684A" w:rsidRDefault="0055684A" w:rsidP="0055684A">
      <w:pPr>
        <w:spacing w:line="360" w:lineRule="auto"/>
        <w:rPr>
          <w:rFonts w:ascii="Arial" w:hAnsi="Arial" w:cs="Arial"/>
          <w:b/>
          <w:bCs/>
          <w:sz w:val="24"/>
          <w:szCs w:val="24"/>
          <w:u w:val="single"/>
        </w:rPr>
      </w:pPr>
      <w:r w:rsidRPr="0055684A">
        <w:rPr>
          <w:rFonts w:ascii="Arial" w:hAnsi="Arial" w:cs="Arial"/>
          <w:sz w:val="24"/>
          <w:szCs w:val="24"/>
        </w:rPr>
        <w:t>A smaller interview</w:t>
      </w:r>
      <w:r w:rsidR="00507040">
        <w:rPr>
          <w:rFonts w:ascii="Arial" w:hAnsi="Arial" w:cs="Arial"/>
          <w:sz w:val="24"/>
          <w:szCs w:val="24"/>
        </w:rPr>
        <w:t xml:space="preserve"> and observation</w:t>
      </w:r>
      <w:r w:rsidRPr="0055684A">
        <w:rPr>
          <w:rFonts w:ascii="Arial" w:hAnsi="Arial" w:cs="Arial"/>
          <w:sz w:val="24"/>
          <w:szCs w:val="24"/>
        </w:rPr>
        <w:t xml:space="preserve"> sample was chosen because qualitative interviews yield deeper, more nuanced insights than larger-scale methods. Triangulation—as defined by Hammond and Wellington (2020) and supported by Jain (2021)—involves gathering data through multiple methods (in this case, observations and interviews) to compare findings across theoretical perspectives. This approach will enable </w:t>
      </w:r>
      <w:r w:rsidR="00A41D45">
        <w:rPr>
          <w:rFonts w:ascii="Arial" w:hAnsi="Arial" w:cs="Arial"/>
          <w:sz w:val="24"/>
          <w:szCs w:val="24"/>
        </w:rPr>
        <w:t>strengthened</w:t>
      </w:r>
      <w:r w:rsidRPr="0055684A">
        <w:rPr>
          <w:rFonts w:ascii="Arial" w:hAnsi="Arial" w:cs="Arial"/>
          <w:sz w:val="24"/>
          <w:szCs w:val="24"/>
        </w:rPr>
        <w:t xml:space="preserve"> conclusions about the impact of poverty on child behaviour.</w:t>
      </w:r>
      <w:r w:rsidR="006D5518">
        <w:rPr>
          <w:rFonts w:ascii="Arial" w:hAnsi="Arial" w:cs="Arial"/>
          <w:sz w:val="24"/>
          <w:szCs w:val="24"/>
        </w:rPr>
        <w:t xml:space="preserve"> </w:t>
      </w:r>
    </w:p>
    <w:p w14:paraId="74C2A04A" w14:textId="1A6B7987" w:rsidR="00E158E9" w:rsidRPr="002516D7" w:rsidRDefault="000C78FD" w:rsidP="002516D7">
      <w:pPr>
        <w:spacing w:line="360" w:lineRule="auto"/>
        <w:rPr>
          <w:rFonts w:ascii="Arial" w:hAnsi="Arial" w:cs="Arial"/>
          <w:sz w:val="24"/>
          <w:szCs w:val="24"/>
        </w:rPr>
      </w:pPr>
      <w:r w:rsidRPr="002516D7">
        <w:rPr>
          <w:rFonts w:ascii="Arial" w:hAnsi="Arial" w:cs="Arial"/>
          <w:sz w:val="24"/>
          <w:szCs w:val="24"/>
        </w:rPr>
        <w:t>Observations</w:t>
      </w:r>
    </w:p>
    <w:p w14:paraId="7FA4E278" w14:textId="526C4F68" w:rsidR="00974642" w:rsidRPr="00974642" w:rsidRDefault="00974642" w:rsidP="00974642">
      <w:pPr>
        <w:spacing w:line="360" w:lineRule="auto"/>
        <w:rPr>
          <w:rFonts w:ascii="Arial" w:hAnsi="Arial" w:cs="Arial"/>
          <w:sz w:val="24"/>
          <w:szCs w:val="24"/>
        </w:rPr>
      </w:pPr>
      <w:r w:rsidRPr="00974642">
        <w:rPr>
          <w:rFonts w:ascii="Arial" w:hAnsi="Arial" w:cs="Arial"/>
          <w:sz w:val="24"/>
          <w:szCs w:val="24"/>
        </w:rPr>
        <w:t xml:space="preserve">Lambert (2019) describes observations as real-life events and scenarios occurring around an individual, resulting in the recording of data. Observations yield qualitative data, reflecting individuals’ understandings and beliefs about the world. Additionally, Louis (2022) draws on the Froebelian approach, viewing observation </w:t>
      </w:r>
      <w:r w:rsidR="009E5761" w:rsidRPr="00974642">
        <w:rPr>
          <w:rFonts w:ascii="Arial" w:hAnsi="Arial" w:cs="Arial"/>
          <w:sz w:val="24"/>
          <w:szCs w:val="24"/>
        </w:rPr>
        <w:t>not as</w:t>
      </w:r>
      <w:r w:rsidRPr="00974642">
        <w:rPr>
          <w:rFonts w:ascii="Arial" w:hAnsi="Arial" w:cs="Arial"/>
          <w:sz w:val="24"/>
          <w:szCs w:val="24"/>
        </w:rPr>
        <w:t xml:space="preserve"> a description of a child’s actions but as an exploration of the meaning behind those actions—what the observer sees, hears and how these experiences contribute to the child’s holistic development.</w:t>
      </w:r>
    </w:p>
    <w:p w14:paraId="73910D07" w14:textId="187B7D75" w:rsidR="00974642" w:rsidRPr="00974642" w:rsidRDefault="00974642" w:rsidP="00974642">
      <w:pPr>
        <w:spacing w:line="360" w:lineRule="auto"/>
        <w:rPr>
          <w:rFonts w:ascii="Arial" w:hAnsi="Arial" w:cs="Arial"/>
          <w:sz w:val="24"/>
          <w:szCs w:val="24"/>
        </w:rPr>
      </w:pPr>
      <w:r w:rsidRPr="00974642">
        <w:rPr>
          <w:rFonts w:ascii="Arial" w:hAnsi="Arial" w:cs="Arial"/>
          <w:sz w:val="24"/>
          <w:szCs w:val="24"/>
        </w:rPr>
        <w:t>Peterson and Elam (2020) differentiate between objective and subjective forms of observation. Objective observation relies on the direct use of the senses to collect data, whereas subjective observation is shaped by the observer’s prior experiences and interpretations. This study will consider both perspectives but will primarily employ objective observations to ensure immediate, firsthand data capture</w:t>
      </w:r>
      <w:r w:rsidR="00671B36">
        <w:rPr>
          <w:rFonts w:ascii="Arial" w:hAnsi="Arial" w:cs="Arial"/>
          <w:sz w:val="24"/>
          <w:szCs w:val="24"/>
        </w:rPr>
        <w:t>.</w:t>
      </w:r>
      <w:r w:rsidR="00D14800">
        <w:rPr>
          <w:rFonts w:ascii="Arial" w:hAnsi="Arial" w:cs="Arial"/>
          <w:sz w:val="24"/>
          <w:szCs w:val="24"/>
        </w:rPr>
        <w:t xml:space="preserve"> One source by </w:t>
      </w:r>
      <w:r w:rsidR="00F92357" w:rsidRPr="00F92357">
        <w:rPr>
          <w:rFonts w:ascii="Arial" w:hAnsi="Arial" w:cs="Arial"/>
          <w:sz w:val="24"/>
          <w:szCs w:val="24"/>
        </w:rPr>
        <w:t>McLachlan, C., Fleer, M. and Edwards, S. (2018</w:t>
      </w:r>
      <w:r w:rsidR="00376242">
        <w:rPr>
          <w:rFonts w:ascii="Arial" w:hAnsi="Arial" w:cs="Arial"/>
          <w:sz w:val="24"/>
          <w:szCs w:val="24"/>
        </w:rPr>
        <w:t xml:space="preserve"> suggests that observations can involve </w:t>
      </w:r>
      <w:r w:rsidR="00135792">
        <w:rPr>
          <w:rFonts w:ascii="Arial" w:hAnsi="Arial" w:cs="Arial"/>
          <w:sz w:val="24"/>
          <w:szCs w:val="24"/>
        </w:rPr>
        <w:t xml:space="preserve">qualitative and quantitative </w:t>
      </w:r>
      <w:r w:rsidR="00A960F9">
        <w:rPr>
          <w:rFonts w:ascii="Arial" w:hAnsi="Arial" w:cs="Arial"/>
          <w:sz w:val="24"/>
          <w:szCs w:val="24"/>
        </w:rPr>
        <w:t>collection</w:t>
      </w:r>
      <w:r w:rsidR="000E4184">
        <w:rPr>
          <w:rFonts w:ascii="Arial" w:hAnsi="Arial" w:cs="Arial"/>
          <w:sz w:val="24"/>
          <w:szCs w:val="24"/>
        </w:rPr>
        <w:t xml:space="preserve">. Qualitative data would be collected through systematic observation, meaning </w:t>
      </w:r>
      <w:r w:rsidR="000A2BB0">
        <w:rPr>
          <w:rFonts w:ascii="Arial" w:hAnsi="Arial" w:cs="Arial"/>
          <w:sz w:val="24"/>
          <w:szCs w:val="24"/>
        </w:rPr>
        <w:t>it would be more structured and objective, whereas qual</w:t>
      </w:r>
      <w:r w:rsidR="00BC041C">
        <w:rPr>
          <w:rFonts w:ascii="Arial" w:hAnsi="Arial" w:cs="Arial"/>
          <w:sz w:val="24"/>
          <w:szCs w:val="24"/>
        </w:rPr>
        <w:t xml:space="preserve">itative data would </w:t>
      </w:r>
      <w:r w:rsidR="00F92357">
        <w:rPr>
          <w:rFonts w:ascii="Arial" w:hAnsi="Arial" w:cs="Arial"/>
          <w:sz w:val="24"/>
          <w:szCs w:val="24"/>
        </w:rPr>
        <w:t>involve</w:t>
      </w:r>
      <w:r w:rsidR="00BC041C">
        <w:rPr>
          <w:rFonts w:ascii="Arial" w:hAnsi="Arial" w:cs="Arial"/>
          <w:sz w:val="24"/>
          <w:szCs w:val="24"/>
        </w:rPr>
        <w:t xml:space="preserve"> the observer involving themselves within the observation to collect a more personal perspective. </w:t>
      </w:r>
    </w:p>
    <w:p w14:paraId="1484CCAE" w14:textId="3E7CBD91" w:rsidR="000909FD" w:rsidRPr="00571AAD" w:rsidRDefault="000909FD" w:rsidP="002516D7">
      <w:pPr>
        <w:spacing w:line="360" w:lineRule="auto"/>
        <w:rPr>
          <w:rFonts w:ascii="Arial" w:hAnsi="Arial" w:cs="Arial"/>
          <w:sz w:val="24"/>
          <w:szCs w:val="24"/>
        </w:rPr>
      </w:pPr>
      <w:r w:rsidRPr="00571AAD">
        <w:rPr>
          <w:rFonts w:ascii="Arial" w:hAnsi="Arial" w:cs="Arial"/>
          <w:sz w:val="24"/>
          <w:szCs w:val="24"/>
        </w:rPr>
        <w:t>Problems with observations</w:t>
      </w:r>
    </w:p>
    <w:p w14:paraId="01AD5749" w14:textId="4A76D107" w:rsidR="00C048DE" w:rsidRPr="00464C74" w:rsidRDefault="00C048DE" w:rsidP="00C048DE">
      <w:pPr>
        <w:spacing w:line="360" w:lineRule="auto"/>
        <w:rPr>
          <w:rFonts w:ascii="Arial" w:hAnsi="Arial" w:cs="Arial"/>
          <w:sz w:val="24"/>
          <w:szCs w:val="24"/>
        </w:rPr>
      </w:pPr>
      <w:r w:rsidRPr="00464C74">
        <w:rPr>
          <w:rFonts w:ascii="Arial" w:hAnsi="Arial" w:cs="Arial"/>
          <w:sz w:val="24"/>
          <w:szCs w:val="24"/>
        </w:rPr>
        <w:t xml:space="preserve">Observations can become overly objective, reducing a child’s experience to checklist items and overlooking their feelings and motivations. Observers may also introduce bias based on their own expectations or past experiences, which can </w:t>
      </w:r>
      <w:r w:rsidRPr="00311F1E">
        <w:rPr>
          <w:rFonts w:ascii="Arial" w:hAnsi="Arial" w:cs="Arial"/>
          <w:sz w:val="24"/>
          <w:szCs w:val="24"/>
        </w:rPr>
        <w:t>change</w:t>
      </w:r>
      <w:r w:rsidRPr="00464C74">
        <w:rPr>
          <w:rFonts w:ascii="Arial" w:hAnsi="Arial" w:cs="Arial"/>
          <w:sz w:val="24"/>
          <w:szCs w:val="24"/>
        </w:rPr>
        <w:t xml:space="preserve"> results</w:t>
      </w:r>
      <w:r w:rsidRPr="00311F1E">
        <w:rPr>
          <w:rFonts w:ascii="Arial" w:hAnsi="Arial" w:cs="Arial"/>
          <w:sz w:val="24"/>
          <w:szCs w:val="24"/>
        </w:rPr>
        <w:t xml:space="preserve"> </w:t>
      </w:r>
      <w:r w:rsidRPr="00311F1E">
        <w:rPr>
          <w:rFonts w:ascii="Arial" w:hAnsi="Arial" w:cs="Arial"/>
          <w:sz w:val="24"/>
          <w:szCs w:val="24"/>
        </w:rPr>
        <w:lastRenderedPageBreak/>
        <w:t>for example, a child’s attitude may differ depending on who is observing them, the observer could also assist the child in ways that others may not</w:t>
      </w:r>
      <w:r w:rsidRPr="00464C74">
        <w:rPr>
          <w:rFonts w:ascii="Arial" w:hAnsi="Arial" w:cs="Arial"/>
          <w:sz w:val="24"/>
          <w:szCs w:val="24"/>
        </w:rPr>
        <w:t>.</w:t>
      </w:r>
      <w:r w:rsidRPr="00311F1E">
        <w:rPr>
          <w:rFonts w:ascii="Arial" w:hAnsi="Arial" w:cs="Arial"/>
          <w:sz w:val="24"/>
          <w:szCs w:val="24"/>
        </w:rPr>
        <w:t xml:space="preserve"> (The </w:t>
      </w:r>
      <w:r w:rsidR="005B3D98">
        <w:rPr>
          <w:rFonts w:ascii="Arial" w:hAnsi="Arial" w:cs="Arial"/>
          <w:sz w:val="24"/>
          <w:szCs w:val="24"/>
        </w:rPr>
        <w:t>H</w:t>
      </w:r>
      <w:r w:rsidRPr="00311F1E">
        <w:rPr>
          <w:rFonts w:ascii="Arial" w:hAnsi="Arial" w:cs="Arial"/>
          <w:sz w:val="24"/>
          <w:szCs w:val="24"/>
        </w:rPr>
        <w:t>awthorn effect should not be forgotten here.)</w:t>
      </w:r>
      <w:r w:rsidRPr="00464C74">
        <w:rPr>
          <w:rFonts w:ascii="Arial" w:hAnsi="Arial" w:cs="Arial"/>
          <w:sz w:val="24"/>
          <w:szCs w:val="24"/>
        </w:rPr>
        <w:t xml:space="preserve"> Nolan, </w:t>
      </w:r>
      <w:r w:rsidR="00BF4531" w:rsidRPr="00464C74">
        <w:rPr>
          <w:rFonts w:ascii="Arial" w:hAnsi="Arial" w:cs="Arial"/>
          <w:sz w:val="24"/>
          <w:szCs w:val="24"/>
        </w:rPr>
        <w:t>Macfarlane,</w:t>
      </w:r>
      <w:r w:rsidRPr="00464C74">
        <w:rPr>
          <w:rFonts w:ascii="Arial" w:hAnsi="Arial" w:cs="Arial"/>
          <w:sz w:val="24"/>
          <w:szCs w:val="24"/>
        </w:rPr>
        <w:t xml:space="preserve"> and Cartmel (2013) highlight the fine line between treating children as research objects and involving them as active participants—factors such as physical space, the observer’s presence, and perceived audience all influence how observation unfolds in childcare settings.</w:t>
      </w:r>
    </w:p>
    <w:p w14:paraId="7F88CE4B" w14:textId="409242A4" w:rsidR="00464C74" w:rsidRPr="00311F1E" w:rsidRDefault="00C048DE" w:rsidP="002516D7">
      <w:pPr>
        <w:spacing w:line="360" w:lineRule="auto"/>
        <w:rPr>
          <w:rFonts w:ascii="Arial" w:hAnsi="Arial" w:cs="Arial"/>
          <w:sz w:val="24"/>
          <w:szCs w:val="24"/>
        </w:rPr>
      </w:pPr>
      <w:r w:rsidRPr="00464C74">
        <w:rPr>
          <w:rFonts w:ascii="Arial" w:hAnsi="Arial" w:cs="Arial"/>
          <w:sz w:val="24"/>
          <w:szCs w:val="24"/>
        </w:rPr>
        <w:t xml:space="preserve">Newby (2014) distinguishes participatory observation, where </w:t>
      </w:r>
      <w:r w:rsidRPr="00311F1E">
        <w:rPr>
          <w:rFonts w:ascii="Arial" w:hAnsi="Arial" w:cs="Arial"/>
          <w:sz w:val="24"/>
          <w:szCs w:val="24"/>
        </w:rPr>
        <w:t>children</w:t>
      </w:r>
      <w:r w:rsidRPr="00464C74">
        <w:rPr>
          <w:rFonts w:ascii="Arial" w:hAnsi="Arial" w:cs="Arial"/>
          <w:sz w:val="24"/>
          <w:szCs w:val="24"/>
        </w:rPr>
        <w:t xml:space="preserve"> are aware of and engage with the observer, from non-participatory observation, where they remain unaware and uninvolved. Lambert argues that children often alter their behaviour when observed—typically improving performance—which can lead to false evaluations (the Hawthorne effect). McCambridge et al. (2014) document this phenomenon in early years settings, underscoring the need for researchers to account for these reactivity </w:t>
      </w:r>
      <w:r w:rsidR="008148FF" w:rsidRPr="00464C74">
        <w:rPr>
          <w:rFonts w:ascii="Arial" w:hAnsi="Arial" w:cs="Arial"/>
          <w:sz w:val="24"/>
          <w:szCs w:val="24"/>
        </w:rPr>
        <w:t>effects.</w:t>
      </w:r>
    </w:p>
    <w:p w14:paraId="56BE10BA" w14:textId="55ED6D4F" w:rsidR="00E158E9" w:rsidRPr="00571AAD" w:rsidRDefault="00571AAD" w:rsidP="002516D7">
      <w:pPr>
        <w:spacing w:line="360" w:lineRule="auto"/>
        <w:rPr>
          <w:rFonts w:ascii="Arial" w:hAnsi="Arial" w:cs="Arial"/>
          <w:sz w:val="24"/>
          <w:szCs w:val="24"/>
        </w:rPr>
      </w:pPr>
      <w:r>
        <w:rPr>
          <w:rFonts w:ascii="Arial" w:hAnsi="Arial" w:cs="Arial"/>
          <w:sz w:val="24"/>
          <w:szCs w:val="24"/>
        </w:rPr>
        <w:t>Benefits of</w:t>
      </w:r>
      <w:r w:rsidR="00E158E9" w:rsidRPr="00571AAD">
        <w:rPr>
          <w:rFonts w:ascii="Arial" w:hAnsi="Arial" w:cs="Arial"/>
          <w:sz w:val="24"/>
          <w:szCs w:val="24"/>
        </w:rPr>
        <w:t xml:space="preserve"> observation</w:t>
      </w:r>
    </w:p>
    <w:p w14:paraId="1A1F99A0" w14:textId="4E7B3DB0" w:rsidR="00E658B9" w:rsidRDefault="00335866" w:rsidP="002516D7">
      <w:pPr>
        <w:spacing w:line="360" w:lineRule="auto"/>
        <w:rPr>
          <w:rFonts w:ascii="Arial" w:hAnsi="Arial" w:cs="Arial"/>
          <w:sz w:val="24"/>
          <w:szCs w:val="24"/>
        </w:rPr>
      </w:pPr>
      <w:r w:rsidRPr="00335866">
        <w:rPr>
          <w:rFonts w:ascii="Arial" w:hAnsi="Arial" w:cs="Arial"/>
          <w:sz w:val="24"/>
          <w:szCs w:val="24"/>
        </w:rPr>
        <w:t xml:space="preserve">Peterson and Elam (2020) identify multiple observation methods—including photographs, video recordings, time- and event-sampling, </w:t>
      </w:r>
      <w:r w:rsidR="008148FF" w:rsidRPr="00335866">
        <w:rPr>
          <w:rFonts w:ascii="Arial" w:hAnsi="Arial" w:cs="Arial"/>
          <w:sz w:val="24"/>
          <w:szCs w:val="24"/>
        </w:rPr>
        <w:t>checklists,</w:t>
      </w:r>
      <w:r w:rsidRPr="00335866">
        <w:rPr>
          <w:rFonts w:ascii="Arial" w:hAnsi="Arial" w:cs="Arial"/>
          <w:sz w:val="24"/>
          <w:szCs w:val="24"/>
        </w:rPr>
        <w:t xml:space="preserve"> and field notes—which allow observers to remain fully present and enable spontaneous data collection</w:t>
      </w:r>
      <w:r w:rsidR="000B4C6A">
        <w:rPr>
          <w:rFonts w:ascii="Arial" w:hAnsi="Arial" w:cs="Arial"/>
          <w:sz w:val="24"/>
          <w:szCs w:val="24"/>
        </w:rPr>
        <w:t xml:space="preserve"> as well as </w:t>
      </w:r>
      <w:r w:rsidR="00670D28">
        <w:rPr>
          <w:rFonts w:ascii="Arial" w:hAnsi="Arial" w:cs="Arial"/>
          <w:sz w:val="24"/>
          <w:szCs w:val="24"/>
        </w:rPr>
        <w:t>efficient evidence gathering during the observation process</w:t>
      </w:r>
      <w:r w:rsidRPr="00335866">
        <w:rPr>
          <w:rFonts w:ascii="Arial" w:hAnsi="Arial" w:cs="Arial"/>
          <w:sz w:val="24"/>
          <w:szCs w:val="24"/>
        </w:rPr>
        <w:t>.</w:t>
      </w:r>
      <w:r w:rsidR="000B4C6A">
        <w:rPr>
          <w:rFonts w:ascii="Arial" w:hAnsi="Arial" w:cs="Arial"/>
          <w:sz w:val="24"/>
          <w:szCs w:val="24"/>
        </w:rPr>
        <w:t xml:space="preserve"> </w:t>
      </w:r>
      <w:r w:rsidRPr="00335866">
        <w:rPr>
          <w:rFonts w:ascii="Arial" w:hAnsi="Arial" w:cs="Arial"/>
          <w:sz w:val="24"/>
          <w:szCs w:val="24"/>
        </w:rPr>
        <w:t xml:space="preserve">Inönü et al. (2024) further highlight the benefits of observation for organising classroom management, understanding individual children’s behaviours and identifying their next developmental milestones. The use of visual media and checklists also </w:t>
      </w:r>
      <w:r w:rsidR="00903DB3">
        <w:rPr>
          <w:rFonts w:ascii="Arial" w:hAnsi="Arial" w:cs="Arial"/>
          <w:sz w:val="24"/>
          <w:szCs w:val="24"/>
        </w:rPr>
        <w:t>allows for</w:t>
      </w:r>
      <w:r w:rsidRPr="00335866">
        <w:rPr>
          <w:rFonts w:ascii="Arial" w:hAnsi="Arial" w:cs="Arial"/>
          <w:sz w:val="24"/>
          <w:szCs w:val="24"/>
        </w:rPr>
        <w:t xml:space="preserve"> efficient documentation of environments and behaviours, which </w:t>
      </w:r>
      <w:r w:rsidR="00903DB3">
        <w:rPr>
          <w:rFonts w:ascii="Arial" w:hAnsi="Arial" w:cs="Arial"/>
          <w:sz w:val="24"/>
          <w:szCs w:val="24"/>
        </w:rPr>
        <w:t>highli</w:t>
      </w:r>
      <w:r w:rsidR="009E5761">
        <w:rPr>
          <w:rFonts w:ascii="Arial" w:hAnsi="Arial" w:cs="Arial"/>
          <w:sz w:val="24"/>
          <w:szCs w:val="24"/>
        </w:rPr>
        <w:t>ghts</w:t>
      </w:r>
      <w:r w:rsidRPr="00335866">
        <w:rPr>
          <w:rFonts w:ascii="Arial" w:hAnsi="Arial" w:cs="Arial"/>
          <w:sz w:val="24"/>
          <w:szCs w:val="24"/>
        </w:rPr>
        <w:t xml:space="preserve"> the </w:t>
      </w:r>
      <w:r w:rsidR="009E5761">
        <w:rPr>
          <w:rFonts w:ascii="Arial" w:hAnsi="Arial" w:cs="Arial"/>
          <w:sz w:val="24"/>
          <w:szCs w:val="24"/>
        </w:rPr>
        <w:t>importance</w:t>
      </w:r>
      <w:r w:rsidRPr="00335866">
        <w:rPr>
          <w:rFonts w:ascii="Arial" w:hAnsi="Arial" w:cs="Arial"/>
          <w:sz w:val="24"/>
          <w:szCs w:val="24"/>
        </w:rPr>
        <w:t xml:space="preserve"> of observation in early childhood research.</w:t>
      </w:r>
      <w:r w:rsidR="006D5518">
        <w:rPr>
          <w:rFonts w:ascii="Arial" w:hAnsi="Arial" w:cs="Arial"/>
          <w:sz w:val="24"/>
          <w:szCs w:val="24"/>
        </w:rPr>
        <w:t xml:space="preserve"> </w:t>
      </w:r>
    </w:p>
    <w:p w14:paraId="3167B82F" w14:textId="643E1D1F" w:rsidR="00073223" w:rsidRDefault="00073223" w:rsidP="002516D7">
      <w:pPr>
        <w:spacing w:line="360" w:lineRule="auto"/>
        <w:rPr>
          <w:rFonts w:ascii="Arial" w:hAnsi="Arial" w:cs="Arial"/>
          <w:sz w:val="24"/>
          <w:szCs w:val="24"/>
        </w:rPr>
      </w:pPr>
      <w:r w:rsidRPr="00073223">
        <w:rPr>
          <w:rFonts w:ascii="Arial" w:hAnsi="Arial" w:cs="Arial"/>
          <w:sz w:val="24"/>
          <w:szCs w:val="24"/>
        </w:rPr>
        <w:t>Observation is an effective method for gathering data on children’s behaviours within a childcare setting. Collecting evidence in the child’s home may intensify the Hawthorne effect and limit opportunities to observe genuine social interactions. Home visits also tend to be more time-consuming than observing a child in a play-rich school environment. Moreover, a home setting might lack sufficient space, toys, and other resources needed to capture comprehensive data.</w:t>
      </w:r>
    </w:p>
    <w:p w14:paraId="08E86170" w14:textId="77777777" w:rsidR="00073223" w:rsidRDefault="00073223" w:rsidP="002516D7">
      <w:pPr>
        <w:spacing w:line="360" w:lineRule="auto"/>
        <w:rPr>
          <w:rFonts w:ascii="Arial" w:hAnsi="Arial" w:cs="Arial"/>
          <w:sz w:val="24"/>
          <w:szCs w:val="24"/>
        </w:rPr>
      </w:pPr>
    </w:p>
    <w:p w14:paraId="030E3176" w14:textId="77777777" w:rsidR="001F0DEE" w:rsidRDefault="001F0DEE" w:rsidP="002516D7">
      <w:pPr>
        <w:spacing w:line="360" w:lineRule="auto"/>
        <w:rPr>
          <w:rFonts w:ascii="Arial" w:hAnsi="Arial" w:cs="Arial"/>
          <w:b/>
          <w:bCs/>
          <w:i/>
          <w:iCs/>
          <w:sz w:val="24"/>
          <w:szCs w:val="24"/>
          <w:u w:val="single"/>
        </w:rPr>
      </w:pPr>
    </w:p>
    <w:p w14:paraId="1C01DEB9" w14:textId="3DE1307E" w:rsidR="007E7EAC" w:rsidRPr="001F0DEE" w:rsidRDefault="007E7EAC" w:rsidP="002516D7">
      <w:pPr>
        <w:spacing w:line="360" w:lineRule="auto"/>
        <w:rPr>
          <w:rFonts w:ascii="Arial" w:hAnsi="Arial" w:cs="Arial"/>
          <w:i/>
          <w:iCs/>
          <w:sz w:val="24"/>
          <w:szCs w:val="24"/>
        </w:rPr>
      </w:pPr>
      <w:r w:rsidRPr="001F0DEE">
        <w:rPr>
          <w:rFonts w:ascii="Arial" w:hAnsi="Arial" w:cs="Arial"/>
          <w:i/>
          <w:iCs/>
          <w:sz w:val="24"/>
          <w:szCs w:val="24"/>
        </w:rPr>
        <w:lastRenderedPageBreak/>
        <w:t>Interviews</w:t>
      </w:r>
    </w:p>
    <w:p w14:paraId="74141682" w14:textId="77777777" w:rsidR="006338EB" w:rsidRPr="006338EB" w:rsidRDefault="006338EB" w:rsidP="006338EB">
      <w:pPr>
        <w:tabs>
          <w:tab w:val="left" w:pos="1733"/>
        </w:tabs>
        <w:spacing w:line="360" w:lineRule="auto"/>
        <w:rPr>
          <w:rFonts w:ascii="Arial" w:hAnsi="Arial" w:cs="Arial"/>
          <w:sz w:val="24"/>
          <w:szCs w:val="24"/>
        </w:rPr>
      </w:pPr>
      <w:r w:rsidRPr="006338EB">
        <w:rPr>
          <w:rFonts w:ascii="Arial" w:hAnsi="Arial" w:cs="Arial"/>
          <w:sz w:val="24"/>
          <w:szCs w:val="24"/>
        </w:rPr>
        <w:t>Interviews are a versatile data collection method that can include both open and closed questions, and they can be conducted face to face, by phone, or via video call. This flexibility enhances accessibility while allowing for greater personal rapport in in-person settings. Interviews are particularly appropriate for small groups, which suits qualitative research designs.</w:t>
      </w:r>
    </w:p>
    <w:p w14:paraId="41B06DD1" w14:textId="3B5225E9" w:rsidR="006338EB" w:rsidRPr="006338EB" w:rsidRDefault="006338EB" w:rsidP="006338EB">
      <w:pPr>
        <w:tabs>
          <w:tab w:val="left" w:pos="1733"/>
        </w:tabs>
        <w:spacing w:line="360" w:lineRule="auto"/>
        <w:rPr>
          <w:rFonts w:ascii="Arial" w:hAnsi="Arial" w:cs="Arial"/>
          <w:sz w:val="24"/>
          <w:szCs w:val="24"/>
        </w:rPr>
      </w:pPr>
      <w:r w:rsidRPr="006338EB">
        <w:rPr>
          <w:rFonts w:ascii="Arial" w:hAnsi="Arial" w:cs="Arial"/>
          <w:sz w:val="24"/>
          <w:szCs w:val="24"/>
        </w:rPr>
        <w:t xml:space="preserve">Hodgkins et al. (2024) highlight that interviews enable participants to express strong or difficult emotions—an advantage when working with individuals in deprived areas. Mamat et al. (2018) identify three main interview formats: individual (one-to-one) interviews, focus groups (e.g., parents or guardians), and group interviews with experts or supervisors. Although focus groups can save time, individual interviews may be more suitable for exploring sensitive topics such as financial struggles or home </w:t>
      </w:r>
      <w:r w:rsidR="00BF4531" w:rsidRPr="006338EB">
        <w:rPr>
          <w:rFonts w:ascii="Arial" w:hAnsi="Arial" w:cs="Arial"/>
          <w:sz w:val="24"/>
          <w:szCs w:val="24"/>
        </w:rPr>
        <w:t>environments.</w:t>
      </w:r>
    </w:p>
    <w:p w14:paraId="2C091BBA" w14:textId="6D154694" w:rsidR="00167758" w:rsidRDefault="007D4310" w:rsidP="002516D7">
      <w:pPr>
        <w:tabs>
          <w:tab w:val="left" w:pos="1733"/>
        </w:tabs>
        <w:spacing w:line="360" w:lineRule="auto"/>
        <w:rPr>
          <w:rFonts w:ascii="Arial" w:hAnsi="Arial" w:cs="Arial"/>
          <w:i/>
          <w:iCs/>
          <w:sz w:val="24"/>
          <w:szCs w:val="24"/>
        </w:rPr>
      </w:pPr>
      <w:r>
        <w:rPr>
          <w:rFonts w:ascii="Arial" w:hAnsi="Arial" w:cs="Arial"/>
          <w:sz w:val="24"/>
          <w:szCs w:val="24"/>
        </w:rPr>
        <w:t>Benefits</w:t>
      </w:r>
      <w:r>
        <w:rPr>
          <w:rFonts w:ascii="Arial" w:hAnsi="Arial" w:cs="Arial"/>
          <w:sz w:val="24"/>
          <w:szCs w:val="24"/>
        </w:rPr>
        <w:br/>
      </w:r>
      <w:r w:rsidR="00C7104A" w:rsidRPr="00C7104A">
        <w:rPr>
          <w:rFonts w:ascii="Arial" w:hAnsi="Arial" w:cs="Arial"/>
          <w:sz w:val="24"/>
          <w:szCs w:val="24"/>
        </w:rPr>
        <w:t>Nolan (2013) argues that interviews foster trust and comfort between participants and researchers. Lambert (2019) notes their versatility and accessibility, pointing out that the mix of open and closed questions can yield either broad qualitative insights or precise quantitative data.</w:t>
      </w:r>
      <w:r w:rsidR="002D0A0B">
        <w:rPr>
          <w:rFonts w:ascii="Arial" w:hAnsi="Arial" w:cs="Arial"/>
          <w:sz w:val="24"/>
          <w:szCs w:val="24"/>
        </w:rPr>
        <w:t xml:space="preserve"> </w:t>
      </w:r>
      <w:r w:rsidR="003C4E95" w:rsidRPr="003C4E95">
        <w:rPr>
          <w:rFonts w:ascii="Arial" w:hAnsi="Arial" w:cs="Arial"/>
          <w:sz w:val="24"/>
          <w:szCs w:val="24"/>
        </w:rPr>
        <w:t>Like observations, adaptability is a key advantage of interviews. As Bell (2024) notes, an experienced interviewer can pursue follow-up questions based on participants’ responses. Interviews also allow researchers to observe nonverbal cues—such as facial expressions and hesitations—that surveys cannot capture, since survey responses must be taken at face value.</w:t>
      </w:r>
    </w:p>
    <w:p w14:paraId="38F15FF6" w14:textId="74798A21" w:rsidR="004A7E5D" w:rsidRDefault="004A7E5D" w:rsidP="002516D7">
      <w:pPr>
        <w:tabs>
          <w:tab w:val="left" w:pos="1733"/>
        </w:tabs>
        <w:spacing w:line="360" w:lineRule="auto"/>
        <w:rPr>
          <w:rFonts w:ascii="Arial" w:hAnsi="Arial" w:cs="Arial"/>
          <w:sz w:val="24"/>
          <w:szCs w:val="24"/>
        </w:rPr>
      </w:pPr>
      <w:r>
        <w:rPr>
          <w:rFonts w:ascii="Arial" w:hAnsi="Arial" w:cs="Arial"/>
          <w:sz w:val="24"/>
          <w:szCs w:val="24"/>
        </w:rPr>
        <w:t xml:space="preserve">Limitations. </w:t>
      </w:r>
    </w:p>
    <w:p w14:paraId="0F36B787" w14:textId="77777777" w:rsidR="00E73735" w:rsidRDefault="00E73735" w:rsidP="008B5971">
      <w:pPr>
        <w:tabs>
          <w:tab w:val="left" w:pos="1733"/>
        </w:tabs>
        <w:spacing w:line="360" w:lineRule="auto"/>
        <w:rPr>
          <w:rFonts w:ascii="Arial" w:hAnsi="Arial" w:cs="Arial"/>
          <w:sz w:val="24"/>
          <w:szCs w:val="24"/>
        </w:rPr>
      </w:pPr>
      <w:r w:rsidRPr="00E73735">
        <w:rPr>
          <w:rFonts w:ascii="Arial" w:hAnsi="Arial" w:cs="Arial"/>
          <w:sz w:val="24"/>
          <w:szCs w:val="24"/>
        </w:rPr>
        <w:t xml:space="preserve">Miller and Crabtree (2004, cited in Nolan, 2013) outline a structured interview process—naturalising, assigning competence, activating narrative, eliciting details, probing deeply, toning down, and closing—that underscores the complexity and care required, particularly with vulnerable populations. Although this source is dated, Bell (2024) supports its relevance by reporting that preparing and conducting even small-group interviews typically demands around 100 hours, further emphasising the substantial investment interviews require. Cohen (2018) cautions against interviewer bias, including leading questions, confirmation bias, and misinterpretations. </w:t>
      </w:r>
      <w:r w:rsidRPr="00E73735">
        <w:rPr>
          <w:rFonts w:ascii="Arial" w:hAnsi="Arial" w:cs="Arial"/>
          <w:sz w:val="24"/>
          <w:szCs w:val="24"/>
        </w:rPr>
        <w:lastRenderedPageBreak/>
        <w:t>Moreover, the halo effect—where interviewees’ perceptions of the interviewer influence their responses—can further distort findings (Gabrieli et al., 2021)</w:t>
      </w:r>
      <w:r>
        <w:rPr>
          <w:rFonts w:ascii="Arial" w:hAnsi="Arial" w:cs="Arial"/>
          <w:sz w:val="24"/>
          <w:szCs w:val="24"/>
        </w:rPr>
        <w:t>.</w:t>
      </w:r>
    </w:p>
    <w:p w14:paraId="615A44B8" w14:textId="77777777" w:rsidR="002330E5" w:rsidRPr="002330E5" w:rsidRDefault="002330E5" w:rsidP="002330E5">
      <w:pPr>
        <w:tabs>
          <w:tab w:val="left" w:pos="1733"/>
        </w:tabs>
        <w:spacing w:line="360" w:lineRule="auto"/>
        <w:rPr>
          <w:rFonts w:ascii="Arial" w:hAnsi="Arial" w:cs="Arial"/>
          <w:sz w:val="24"/>
          <w:szCs w:val="24"/>
        </w:rPr>
      </w:pPr>
      <w:r w:rsidRPr="002330E5">
        <w:rPr>
          <w:rFonts w:ascii="Arial" w:hAnsi="Arial" w:cs="Arial"/>
          <w:sz w:val="24"/>
          <w:szCs w:val="24"/>
        </w:rPr>
        <w:t>While questionnaires can complement case studies, they tend to capture participants’ opinions rather than their day-to-day experiences. Although interviews could adopt a questionnaire format, this study rejects that approach to obtain richer qualitative insights. Bell (2024) discusses Likert scales—a familiar numeric rating system—where respondents indicate how they feel about a topic (the pain scale is a common example). Bell notes that when participants feel rushed or uncertain, they often choose a midpoint option (e.g., 3, 4 or 5), and some researchers therefore use even-numbered scales to avoid this bias. However, even that adjustment cannot reveal the full complexity of how someone experiences poverty in the way a conversational interview can. Powney and Watts (1987) argue that interviews extract the main points of a questionnaire while permitting far greater depth than a case study. Accordingly, all interviews will be conducted with compassion and respect and kept concise to avoid encroaching on participants’ daily routines.</w:t>
      </w:r>
    </w:p>
    <w:p w14:paraId="4E47BA20" w14:textId="10BDEDD8" w:rsidR="005F7757" w:rsidRPr="008B5971" w:rsidRDefault="007D4310" w:rsidP="008B5971">
      <w:pPr>
        <w:tabs>
          <w:tab w:val="left" w:pos="1733"/>
        </w:tabs>
        <w:spacing w:line="360" w:lineRule="auto"/>
        <w:rPr>
          <w:rFonts w:ascii="Arial" w:hAnsi="Arial" w:cs="Arial"/>
          <w:i/>
          <w:iCs/>
          <w:sz w:val="24"/>
          <w:szCs w:val="24"/>
        </w:rPr>
      </w:pPr>
      <w:r>
        <w:rPr>
          <w:rFonts w:ascii="Arial" w:hAnsi="Arial" w:cs="Arial"/>
          <w:sz w:val="24"/>
          <w:szCs w:val="24"/>
        </w:rPr>
        <w:br/>
      </w:r>
      <w:r w:rsidR="009837F9" w:rsidRPr="000A764D">
        <w:rPr>
          <w:rFonts w:ascii="Arial" w:hAnsi="Arial" w:cs="Arial"/>
          <w:b/>
          <w:bCs/>
          <w:i/>
          <w:iCs/>
          <w:sz w:val="24"/>
          <w:szCs w:val="24"/>
        </w:rPr>
        <w:br/>
      </w:r>
    </w:p>
    <w:p w14:paraId="4140CF8A" w14:textId="77777777" w:rsidR="005F7757" w:rsidRDefault="005F7757" w:rsidP="00A16DCF">
      <w:pPr>
        <w:rPr>
          <w:rFonts w:ascii="Arial" w:hAnsi="Arial" w:cs="Arial"/>
          <w:b/>
          <w:bCs/>
          <w:i/>
          <w:iCs/>
          <w:sz w:val="24"/>
          <w:szCs w:val="24"/>
        </w:rPr>
      </w:pPr>
    </w:p>
    <w:p w14:paraId="7498C5B7" w14:textId="77777777" w:rsidR="005F7757" w:rsidRDefault="005F7757" w:rsidP="00A16DCF">
      <w:pPr>
        <w:rPr>
          <w:rFonts w:ascii="Arial" w:hAnsi="Arial" w:cs="Arial"/>
          <w:b/>
          <w:bCs/>
          <w:i/>
          <w:iCs/>
          <w:sz w:val="24"/>
          <w:szCs w:val="24"/>
        </w:rPr>
      </w:pPr>
    </w:p>
    <w:p w14:paraId="46F78EB4" w14:textId="77777777" w:rsidR="005F7757" w:rsidRDefault="005F7757" w:rsidP="00A16DCF">
      <w:pPr>
        <w:rPr>
          <w:rFonts w:ascii="Arial" w:hAnsi="Arial" w:cs="Arial"/>
          <w:b/>
          <w:bCs/>
          <w:i/>
          <w:iCs/>
          <w:sz w:val="24"/>
          <w:szCs w:val="24"/>
        </w:rPr>
      </w:pPr>
    </w:p>
    <w:p w14:paraId="508F688B" w14:textId="77777777" w:rsidR="005F7757" w:rsidRDefault="005F7757" w:rsidP="00A16DCF">
      <w:pPr>
        <w:rPr>
          <w:rFonts w:ascii="Arial" w:hAnsi="Arial" w:cs="Arial"/>
          <w:b/>
          <w:bCs/>
          <w:i/>
          <w:iCs/>
          <w:sz w:val="24"/>
          <w:szCs w:val="24"/>
        </w:rPr>
      </w:pPr>
    </w:p>
    <w:p w14:paraId="30A9DA79" w14:textId="77777777" w:rsidR="005F7757" w:rsidRDefault="005F7757" w:rsidP="00A16DCF">
      <w:pPr>
        <w:rPr>
          <w:rFonts w:ascii="Arial" w:hAnsi="Arial" w:cs="Arial"/>
          <w:b/>
          <w:bCs/>
          <w:i/>
          <w:iCs/>
          <w:sz w:val="24"/>
          <w:szCs w:val="24"/>
        </w:rPr>
      </w:pPr>
    </w:p>
    <w:p w14:paraId="4E2DF19A" w14:textId="77777777" w:rsidR="005F7757" w:rsidRDefault="005F7757" w:rsidP="00A16DCF">
      <w:pPr>
        <w:rPr>
          <w:rFonts w:ascii="Arial" w:hAnsi="Arial" w:cs="Arial"/>
          <w:b/>
          <w:bCs/>
          <w:i/>
          <w:iCs/>
          <w:sz w:val="24"/>
          <w:szCs w:val="24"/>
        </w:rPr>
      </w:pPr>
    </w:p>
    <w:p w14:paraId="6A08EFCF" w14:textId="77777777" w:rsidR="005F7757" w:rsidRDefault="005F7757" w:rsidP="00A16DCF">
      <w:pPr>
        <w:rPr>
          <w:rFonts w:ascii="Arial" w:hAnsi="Arial" w:cs="Arial"/>
          <w:b/>
          <w:bCs/>
          <w:i/>
          <w:iCs/>
          <w:sz w:val="24"/>
          <w:szCs w:val="24"/>
        </w:rPr>
      </w:pPr>
    </w:p>
    <w:p w14:paraId="294F6722" w14:textId="77777777" w:rsidR="005F7757" w:rsidRDefault="005F7757" w:rsidP="00A16DCF">
      <w:pPr>
        <w:rPr>
          <w:rFonts w:ascii="Arial" w:hAnsi="Arial" w:cs="Arial"/>
          <w:b/>
          <w:bCs/>
          <w:i/>
          <w:iCs/>
          <w:sz w:val="24"/>
          <w:szCs w:val="24"/>
        </w:rPr>
      </w:pPr>
    </w:p>
    <w:p w14:paraId="7D81252A" w14:textId="77777777" w:rsidR="005F7757" w:rsidRDefault="005F7757" w:rsidP="00A16DCF">
      <w:pPr>
        <w:rPr>
          <w:rFonts w:ascii="Arial" w:hAnsi="Arial" w:cs="Arial"/>
          <w:b/>
          <w:bCs/>
          <w:i/>
          <w:iCs/>
          <w:sz w:val="24"/>
          <w:szCs w:val="24"/>
        </w:rPr>
      </w:pPr>
    </w:p>
    <w:p w14:paraId="4C898626" w14:textId="77777777" w:rsidR="005F7757" w:rsidRDefault="005F7757" w:rsidP="00A16DCF">
      <w:pPr>
        <w:rPr>
          <w:rFonts w:ascii="Arial" w:hAnsi="Arial" w:cs="Arial"/>
          <w:b/>
          <w:bCs/>
          <w:i/>
          <w:iCs/>
          <w:sz w:val="24"/>
          <w:szCs w:val="24"/>
        </w:rPr>
      </w:pPr>
    </w:p>
    <w:p w14:paraId="3334956A" w14:textId="77777777" w:rsidR="005F7757" w:rsidRDefault="005F7757" w:rsidP="00A16DCF">
      <w:pPr>
        <w:rPr>
          <w:rFonts w:ascii="Arial" w:hAnsi="Arial" w:cs="Arial"/>
          <w:b/>
          <w:bCs/>
          <w:i/>
          <w:iCs/>
          <w:sz w:val="24"/>
          <w:szCs w:val="24"/>
        </w:rPr>
      </w:pPr>
    </w:p>
    <w:p w14:paraId="2F47B93A" w14:textId="77777777" w:rsidR="00CD7BBF" w:rsidRDefault="00CD7BBF" w:rsidP="00A16DCF">
      <w:pPr>
        <w:rPr>
          <w:rFonts w:ascii="Arial" w:hAnsi="Arial" w:cs="Arial"/>
          <w:b/>
          <w:bCs/>
          <w:i/>
          <w:iCs/>
          <w:sz w:val="24"/>
          <w:szCs w:val="24"/>
        </w:rPr>
      </w:pPr>
    </w:p>
    <w:p w14:paraId="33A70EFD" w14:textId="77777777" w:rsidR="005F7757" w:rsidRDefault="005F7757" w:rsidP="00A16DCF">
      <w:pPr>
        <w:rPr>
          <w:rFonts w:ascii="Arial" w:hAnsi="Arial" w:cs="Arial"/>
          <w:b/>
          <w:bCs/>
          <w:i/>
          <w:iCs/>
          <w:sz w:val="24"/>
          <w:szCs w:val="24"/>
        </w:rPr>
      </w:pPr>
    </w:p>
    <w:p w14:paraId="4A442DEF" w14:textId="018DBEE2" w:rsidR="005F7757" w:rsidRPr="005F7757" w:rsidRDefault="005F7757" w:rsidP="00A16DCF">
      <w:pPr>
        <w:rPr>
          <w:rFonts w:ascii="Arial" w:hAnsi="Arial" w:cs="Arial"/>
          <w:sz w:val="24"/>
          <w:szCs w:val="24"/>
          <w:u w:val="single"/>
        </w:rPr>
      </w:pPr>
      <w:r>
        <w:rPr>
          <w:rFonts w:ascii="Arial" w:hAnsi="Arial" w:cs="Arial"/>
          <w:sz w:val="24"/>
          <w:szCs w:val="24"/>
          <w:u w:val="single"/>
        </w:rPr>
        <w:lastRenderedPageBreak/>
        <w:t>Section 3</w:t>
      </w:r>
    </w:p>
    <w:p w14:paraId="0F1FBAB5" w14:textId="52EC31ED" w:rsidR="000D021C" w:rsidRPr="000A764D" w:rsidRDefault="009837F9" w:rsidP="00A16DCF">
      <w:pPr>
        <w:rPr>
          <w:rFonts w:ascii="Arial" w:hAnsi="Arial" w:cs="Arial"/>
          <w:b/>
          <w:bCs/>
          <w:i/>
          <w:iCs/>
          <w:sz w:val="24"/>
          <w:szCs w:val="24"/>
        </w:rPr>
      </w:pPr>
      <w:r w:rsidRPr="000A764D">
        <w:rPr>
          <w:rFonts w:ascii="Arial" w:hAnsi="Arial" w:cs="Arial"/>
          <w:b/>
          <w:bCs/>
          <w:i/>
          <w:iCs/>
          <w:sz w:val="24"/>
          <w:szCs w:val="24"/>
        </w:rPr>
        <w:t>what are the limitations?</w:t>
      </w:r>
    </w:p>
    <w:p w14:paraId="4BA090DC" w14:textId="0CAC3F6F" w:rsidR="00A16DCF" w:rsidRPr="000A764D" w:rsidRDefault="000D021C" w:rsidP="00A16DCF">
      <w:r w:rsidRPr="006830F3">
        <w:rPr>
          <w:highlight w:val="yellow"/>
        </w:rPr>
        <w:t xml:space="preserve">Andrea Nolan, Kym </w:t>
      </w:r>
      <w:r w:rsidR="006C68FC" w:rsidRPr="006830F3">
        <w:rPr>
          <w:highlight w:val="yellow"/>
        </w:rPr>
        <w:t>Macfarlane,</w:t>
      </w:r>
      <w:r w:rsidRPr="006830F3">
        <w:rPr>
          <w:highlight w:val="yellow"/>
        </w:rPr>
        <w:t xml:space="preserve"> and Jennifer Cartmel (2013) </w:t>
      </w:r>
      <w:r w:rsidRPr="006830F3">
        <w:rPr>
          <w:i/>
          <w:iCs/>
          <w:highlight w:val="yellow"/>
        </w:rPr>
        <w:t>Research in Early Childhood</w:t>
      </w:r>
      <w:r w:rsidRPr="006830F3">
        <w:rPr>
          <w:highlight w:val="yellow"/>
        </w:rPr>
        <w:t>. [N.p.]: SAGE Publications Ltd. Available at: https://research-ebsco-com.ezproxy.uwtsd.ac.uk/linkprocessor/plink?id=1b6df3da-2c40-31cc-92d2-ff0be65c849b (Accessed: 9 October 2025).</w:t>
      </w:r>
    </w:p>
    <w:p w14:paraId="544E21ED" w14:textId="77777777" w:rsidR="00F7234D" w:rsidRPr="000A764D" w:rsidRDefault="00A16DCF" w:rsidP="00F7234D">
      <w:r w:rsidRPr="000A764D">
        <w:t xml:space="preserve">While children’s participation within research is considered highly valuable, and can give consent, it could be that some children may misunderstand what they are giving consent to, others may be non-verbal or infant resulting in the child being unable to give consent. In this case, body language needs to be understood to see if a child is okay with research being conducted with them. </w:t>
      </w:r>
    </w:p>
    <w:p w14:paraId="686E895A" w14:textId="77777777" w:rsidR="0032496F" w:rsidRPr="000A764D" w:rsidRDefault="0032496F" w:rsidP="0032496F">
      <w:r w:rsidRPr="006830F3">
        <w:rPr>
          <w:highlight w:val="yellow"/>
        </w:rPr>
        <w:t xml:space="preserve">Lambert, M. (Ed.). (2019). Practical Research Methods in Education: An Early Researcher's Critical Guide (1st ed.). Routledge. </w:t>
      </w:r>
      <w:hyperlink r:id="rId11" w:history="1">
        <w:r w:rsidRPr="006830F3">
          <w:rPr>
            <w:rStyle w:val="Hyperlink"/>
            <w:highlight w:val="yellow"/>
          </w:rPr>
          <w:t>https://doi.org/10.4324/9781351188395</w:t>
        </w:r>
      </w:hyperlink>
    </w:p>
    <w:p w14:paraId="6CFBA205" w14:textId="7423D4BE" w:rsidR="001B4637" w:rsidRPr="000A764D" w:rsidRDefault="000508AD" w:rsidP="001B4637">
      <w:r w:rsidRPr="000A764D">
        <w:t>Li, Consent</w:t>
      </w:r>
      <w:r w:rsidR="001B4637" w:rsidRPr="000A764D">
        <w:t xml:space="preserve"> is an issue within research in the early years. Anonymity and confidentiality </w:t>
      </w:r>
      <w:r w:rsidRPr="000A764D">
        <w:t>were</w:t>
      </w:r>
      <w:r w:rsidR="001B4637" w:rsidRPr="000A764D">
        <w:t xml:space="preserve"> also mentioned.</w:t>
      </w:r>
    </w:p>
    <w:p w14:paraId="6464D350" w14:textId="77777777" w:rsidR="006C26E9" w:rsidRPr="000A764D" w:rsidRDefault="006C26E9" w:rsidP="001B4637"/>
    <w:p w14:paraId="29620E0F" w14:textId="20AC20B3" w:rsidR="00F7234D" w:rsidRPr="000A764D" w:rsidRDefault="006C26E9" w:rsidP="00F7234D">
      <w:r w:rsidRPr="006830F3">
        <w:rPr>
          <w:highlight w:val="yellow"/>
        </w:rPr>
        <w:t xml:space="preserve">Rosie Walker and Carla Solvason (2014) </w:t>
      </w:r>
      <w:r w:rsidRPr="006830F3">
        <w:rPr>
          <w:i/>
          <w:iCs/>
          <w:highlight w:val="yellow"/>
        </w:rPr>
        <w:t>Success with Your Early Years Research Project</w:t>
      </w:r>
      <w:r w:rsidRPr="006830F3">
        <w:rPr>
          <w:highlight w:val="yellow"/>
        </w:rPr>
        <w:t>. London: SAGE Publications Ltd. Available at: https://research-ebsco-com.ezproxy.uwtsd.ac.uk/linkprocessor/plink?id=040643b1-ba49-31ed-b59f-45fc751f1201 (Accessed: 11 October 2025).</w:t>
      </w:r>
    </w:p>
    <w:p w14:paraId="75EAB03D" w14:textId="77777777" w:rsidR="00DD4E9C" w:rsidRPr="000A764D" w:rsidRDefault="00DD4E9C" w:rsidP="00F7234D"/>
    <w:p w14:paraId="55FF31C7" w14:textId="71903B58" w:rsidR="00DD4E9C" w:rsidRPr="000A764D" w:rsidRDefault="00DD4E9C" w:rsidP="00DD4E9C">
      <w:r w:rsidRPr="000A764D">
        <w:t xml:space="preserve">When conducting </w:t>
      </w:r>
      <w:r w:rsidR="000508AD" w:rsidRPr="000A764D">
        <w:t>research,</w:t>
      </w:r>
      <w:r w:rsidRPr="000A764D">
        <w:t xml:space="preserve"> it is important to consider if it is ethical or will privacy be invaded? </w:t>
      </w:r>
      <w:r w:rsidRPr="000A764D">
        <w:br/>
        <w:t>Is there purpose to the information that is being gathered</w:t>
      </w:r>
      <w:r w:rsidR="006C68FC" w:rsidRPr="000A764D">
        <w:t xml:space="preserve">? </w:t>
      </w:r>
      <w:r w:rsidRPr="000A764D">
        <w:t>Can the question asked be answered?</w:t>
      </w:r>
    </w:p>
    <w:p w14:paraId="3A2572B0" w14:textId="77777777" w:rsidR="00DD4E9C" w:rsidRPr="000A764D" w:rsidRDefault="00DD4E9C" w:rsidP="00DD4E9C">
      <w:r w:rsidRPr="000A764D">
        <w:t xml:space="preserve">Sometimes questions being asked can cause offense to a person or can seem to be intrusive. </w:t>
      </w:r>
    </w:p>
    <w:p w14:paraId="628CFE28" w14:textId="77777777" w:rsidR="00DD4E9C" w:rsidRPr="000A764D" w:rsidRDefault="00DD4E9C" w:rsidP="00F7234D"/>
    <w:p w14:paraId="0CCE3B65" w14:textId="77777777" w:rsidR="00471730" w:rsidRPr="00E76CD2" w:rsidRDefault="00471730" w:rsidP="00471730">
      <w:r w:rsidRPr="006830F3">
        <w:rPr>
          <w:b/>
          <w:bCs/>
          <w:highlight w:val="yellow"/>
        </w:rPr>
        <w:t>Bos, J.</w:t>
      </w:r>
      <w:r w:rsidRPr="006830F3">
        <w:rPr>
          <w:highlight w:val="yellow"/>
        </w:rPr>
        <w:t xml:space="preserve"> (2020) </w:t>
      </w:r>
      <w:r w:rsidRPr="006830F3">
        <w:rPr>
          <w:i/>
          <w:iCs/>
          <w:highlight w:val="yellow"/>
        </w:rPr>
        <w:t>Research ethics for students in the social sciences</w:t>
      </w:r>
      <w:r w:rsidRPr="006830F3">
        <w:rPr>
          <w:highlight w:val="yellow"/>
        </w:rPr>
        <w:t xml:space="preserve">. Springer Nature. Available at: </w:t>
      </w:r>
      <w:hyperlink r:id="rId12" w:history="1">
        <w:r w:rsidRPr="006830F3">
          <w:rPr>
            <w:rStyle w:val="Hyperlink"/>
            <w:highlight w:val="yellow"/>
          </w:rPr>
          <w:t>https://library.oapen.org/handle/20.500.12657/42569</w:t>
        </w:r>
      </w:hyperlink>
      <w:r w:rsidRPr="006830F3">
        <w:rPr>
          <w:highlight w:val="yellow"/>
        </w:rPr>
        <w:t xml:space="preserve"> (Accessed: 11 October 2025).</w:t>
      </w:r>
    </w:p>
    <w:p w14:paraId="79242533" w14:textId="32813B0A" w:rsidR="008B5971" w:rsidRDefault="004A4573" w:rsidP="007F262F">
      <w:r w:rsidRPr="000A764D">
        <w:t>This source talks in depth about the importance of preventing conflict of interest, not invading privacy, consent and making sure rules and regulations are stuck to when doing research especially involving children.</w:t>
      </w:r>
      <w:r>
        <w:t xml:space="preserve"> </w:t>
      </w:r>
    </w:p>
    <w:p w14:paraId="40EA6C1A" w14:textId="77777777" w:rsidR="00167758" w:rsidRDefault="00167758" w:rsidP="007F262F"/>
    <w:p w14:paraId="09749B27" w14:textId="77777777" w:rsidR="00167758" w:rsidRDefault="00167758" w:rsidP="007F262F"/>
    <w:p w14:paraId="1E99B4D6" w14:textId="77777777" w:rsidR="001F0DEE" w:rsidRDefault="001F0DEE" w:rsidP="007F262F"/>
    <w:p w14:paraId="70FA4388" w14:textId="77777777" w:rsidR="001F0DEE" w:rsidRDefault="001F0DEE" w:rsidP="007F262F"/>
    <w:p w14:paraId="5F1330D4" w14:textId="77777777" w:rsidR="001F0DEE" w:rsidRDefault="001F0DEE" w:rsidP="007F262F"/>
    <w:p w14:paraId="5B01EC48" w14:textId="77777777" w:rsidR="00167758" w:rsidRPr="007F262F" w:rsidRDefault="00167758" w:rsidP="007F262F"/>
    <w:p w14:paraId="67E2963B" w14:textId="72B2F936" w:rsidR="00961D98" w:rsidRDefault="009A0179" w:rsidP="00B8376E">
      <w:pPr>
        <w:spacing w:line="360" w:lineRule="auto"/>
        <w:rPr>
          <w:rFonts w:ascii="Arial" w:hAnsi="Arial" w:cs="Arial"/>
          <w:sz w:val="24"/>
          <w:szCs w:val="24"/>
        </w:rPr>
      </w:pPr>
      <w:r w:rsidRPr="00B8376E">
        <w:rPr>
          <w:rFonts w:ascii="Arial" w:hAnsi="Arial" w:cs="Arial"/>
          <w:sz w:val="24"/>
          <w:szCs w:val="24"/>
        </w:rPr>
        <w:lastRenderedPageBreak/>
        <w:t>Reference list</w:t>
      </w:r>
    </w:p>
    <w:p w14:paraId="6C2363FE" w14:textId="6D17AF64" w:rsidR="00167758" w:rsidRDefault="00167758" w:rsidP="00B8376E">
      <w:pPr>
        <w:spacing w:line="360" w:lineRule="auto"/>
        <w:rPr>
          <w:rFonts w:ascii="Arial" w:hAnsi="Arial" w:cs="Arial"/>
          <w:sz w:val="24"/>
          <w:szCs w:val="24"/>
        </w:rPr>
      </w:pPr>
      <w:r w:rsidRPr="00167758">
        <w:rPr>
          <w:rFonts w:ascii="Arial" w:hAnsi="Arial" w:cs="Arial"/>
          <w:sz w:val="24"/>
          <w:szCs w:val="24"/>
        </w:rPr>
        <w:t>Bell, J. (2024) </w:t>
      </w:r>
      <w:r w:rsidRPr="00167758">
        <w:rPr>
          <w:rFonts w:ascii="Arial" w:hAnsi="Arial" w:cs="Arial"/>
          <w:i/>
          <w:iCs/>
          <w:sz w:val="24"/>
          <w:szCs w:val="24"/>
        </w:rPr>
        <w:t>Doing your research project: a guide for first-time researchers /</w:t>
      </w:r>
      <w:r w:rsidRPr="00167758">
        <w:rPr>
          <w:rFonts w:ascii="Arial" w:hAnsi="Arial" w:cs="Arial"/>
          <w:sz w:val="24"/>
          <w:szCs w:val="24"/>
        </w:rPr>
        <w:t xml:space="preserve">. Eighth edition. </w:t>
      </w:r>
      <w:proofErr w:type="gramStart"/>
      <w:r w:rsidRPr="00167758">
        <w:rPr>
          <w:rFonts w:ascii="Arial" w:hAnsi="Arial" w:cs="Arial"/>
          <w:sz w:val="24"/>
          <w:szCs w:val="24"/>
        </w:rPr>
        <w:t>Maidenhead :</w:t>
      </w:r>
      <w:proofErr w:type="gramEnd"/>
      <w:r w:rsidRPr="00167758">
        <w:rPr>
          <w:rFonts w:ascii="Arial" w:hAnsi="Arial" w:cs="Arial"/>
          <w:sz w:val="24"/>
          <w:szCs w:val="24"/>
        </w:rPr>
        <w:t xml:space="preserve">, Open University </w:t>
      </w:r>
      <w:proofErr w:type="gramStart"/>
      <w:r w:rsidRPr="00167758">
        <w:rPr>
          <w:rFonts w:ascii="Arial" w:hAnsi="Arial" w:cs="Arial"/>
          <w:sz w:val="24"/>
          <w:szCs w:val="24"/>
        </w:rPr>
        <w:t>Press,.</w:t>
      </w:r>
      <w:proofErr w:type="gramEnd"/>
    </w:p>
    <w:p w14:paraId="21758AF7" w14:textId="3560E4E5" w:rsidR="007F262F" w:rsidRDefault="007F262F" w:rsidP="00B8376E">
      <w:pPr>
        <w:spacing w:line="360" w:lineRule="auto"/>
        <w:rPr>
          <w:rFonts w:ascii="Arial" w:hAnsi="Arial" w:cs="Arial"/>
          <w:sz w:val="24"/>
          <w:szCs w:val="24"/>
        </w:rPr>
      </w:pPr>
      <w:r w:rsidRPr="007F262F">
        <w:rPr>
          <w:rFonts w:ascii="Arial" w:hAnsi="Arial" w:cs="Arial"/>
          <w:sz w:val="24"/>
          <w:szCs w:val="24"/>
        </w:rPr>
        <w:t>Powney, J., &amp; Watts, M. (1987). Interviewing in Educational Research (1st ed.).</w:t>
      </w:r>
    </w:p>
    <w:p w14:paraId="587CBA99" w14:textId="77777777" w:rsidR="004C628D" w:rsidRDefault="004C628D" w:rsidP="00B8376E">
      <w:pPr>
        <w:spacing w:line="360" w:lineRule="auto"/>
        <w:rPr>
          <w:rFonts w:ascii="Arial" w:hAnsi="Arial" w:cs="Arial"/>
          <w:sz w:val="24"/>
          <w:szCs w:val="24"/>
        </w:rPr>
      </w:pPr>
      <w:r w:rsidRPr="004C628D">
        <w:rPr>
          <w:rFonts w:ascii="Arial" w:hAnsi="Arial" w:cs="Arial"/>
          <w:sz w:val="24"/>
          <w:szCs w:val="24"/>
        </w:rPr>
        <w:t>Gabrieli, G., Lee, A., Setoh, P. and Esposito, G. (2021) ‘An Analysis of the Generalizability and Stability of the Halo Effect During the COVID-19 Pandemic Outbreak’, Frontiers in Psychology, 12, Article 631871. doi:10.3389/fpsyg.2021.631871.</w:t>
      </w:r>
    </w:p>
    <w:p w14:paraId="478D327E" w14:textId="39266BA2" w:rsidR="00431D8D" w:rsidRDefault="00431D8D" w:rsidP="00B8376E">
      <w:pPr>
        <w:spacing w:line="360" w:lineRule="auto"/>
        <w:rPr>
          <w:rFonts w:ascii="Arial" w:hAnsi="Arial" w:cs="Arial"/>
          <w:sz w:val="24"/>
          <w:szCs w:val="24"/>
        </w:rPr>
      </w:pPr>
      <w:r w:rsidRPr="00B8376E">
        <w:rPr>
          <w:rFonts w:ascii="Arial" w:hAnsi="Arial" w:cs="Arial"/>
          <w:sz w:val="24"/>
          <w:szCs w:val="24"/>
        </w:rPr>
        <w:t xml:space="preserve">Andrea Nolan, Kym </w:t>
      </w:r>
      <w:r w:rsidR="006C68FC" w:rsidRPr="00B8376E">
        <w:rPr>
          <w:rFonts w:ascii="Arial" w:hAnsi="Arial" w:cs="Arial"/>
          <w:sz w:val="24"/>
          <w:szCs w:val="24"/>
        </w:rPr>
        <w:t>Macfarlane,</w:t>
      </w:r>
      <w:r w:rsidRPr="00B8376E">
        <w:rPr>
          <w:rFonts w:ascii="Arial" w:hAnsi="Arial" w:cs="Arial"/>
          <w:sz w:val="24"/>
          <w:szCs w:val="24"/>
        </w:rPr>
        <w:t xml:space="preserve"> and Jennifer Cartmel (2013) </w:t>
      </w:r>
      <w:r w:rsidRPr="00B8376E">
        <w:rPr>
          <w:rFonts w:ascii="Arial" w:hAnsi="Arial" w:cs="Arial"/>
          <w:i/>
          <w:iCs/>
          <w:sz w:val="24"/>
          <w:szCs w:val="24"/>
        </w:rPr>
        <w:t>Research in Early Childhood</w:t>
      </w:r>
      <w:r w:rsidRPr="00B8376E">
        <w:rPr>
          <w:rFonts w:ascii="Arial" w:hAnsi="Arial" w:cs="Arial"/>
          <w:sz w:val="24"/>
          <w:szCs w:val="24"/>
        </w:rPr>
        <w:t>. SAGE Publications Ltd. Available at: https://research-ebsco-com.ezproxy.uwtsd.ac.uk/linkprocessor/plink?id=1b6df3da-2c40-31cc-92d2-ff0be65c849b (Accessed: 9 October 2025).</w:t>
      </w:r>
    </w:p>
    <w:p w14:paraId="0ED6D80E"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Bandyopadhyay, A., Tingay, K., Akbari, A., Griffiths, L., Bedford, H., Cortina-Borja, M., Walton, S., Dezateux, C., Lyons, R. A., &amp; Brophy, S. (2020). Behavioural difficulties in early childhood and risk of adolescent injury. </w:t>
      </w:r>
      <w:r w:rsidRPr="00B8376E">
        <w:rPr>
          <w:rFonts w:ascii="Arial" w:hAnsi="Arial" w:cs="Arial"/>
          <w:i/>
          <w:iCs/>
          <w:sz w:val="24"/>
          <w:szCs w:val="24"/>
        </w:rPr>
        <w:t>Archives of Disease in Childhood</w:t>
      </w:r>
      <w:r w:rsidRPr="00B8376E">
        <w:rPr>
          <w:rFonts w:ascii="Arial" w:hAnsi="Arial" w:cs="Arial"/>
          <w:sz w:val="24"/>
          <w:szCs w:val="24"/>
        </w:rPr>
        <w:t xml:space="preserve">, </w:t>
      </w:r>
      <w:r w:rsidRPr="00B8376E">
        <w:rPr>
          <w:rFonts w:ascii="Arial" w:hAnsi="Arial" w:cs="Arial"/>
          <w:i/>
          <w:iCs/>
          <w:sz w:val="24"/>
          <w:szCs w:val="24"/>
        </w:rPr>
        <w:t>105</w:t>
      </w:r>
      <w:r w:rsidRPr="00B8376E">
        <w:rPr>
          <w:rFonts w:ascii="Arial" w:hAnsi="Arial" w:cs="Arial"/>
          <w:sz w:val="24"/>
          <w:szCs w:val="24"/>
        </w:rPr>
        <w:t>(3), 282–287. https://doi.org/10.1136/archdischild-2019-317271</w:t>
      </w:r>
    </w:p>
    <w:p w14:paraId="632B411D"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Bos, J. (2020) </w:t>
      </w:r>
      <w:r w:rsidRPr="00B8376E">
        <w:rPr>
          <w:rFonts w:ascii="Arial" w:hAnsi="Arial" w:cs="Arial"/>
          <w:i/>
          <w:iCs/>
          <w:sz w:val="24"/>
          <w:szCs w:val="24"/>
        </w:rPr>
        <w:t>Research ethics for students in the social sciences</w:t>
      </w:r>
      <w:r w:rsidRPr="00B8376E">
        <w:rPr>
          <w:rFonts w:ascii="Arial" w:hAnsi="Arial" w:cs="Arial"/>
          <w:sz w:val="24"/>
          <w:szCs w:val="24"/>
        </w:rPr>
        <w:t xml:space="preserve">. Springer Nature. Available at: </w:t>
      </w:r>
      <w:hyperlink r:id="rId13" w:history="1">
        <w:r w:rsidRPr="00B8376E">
          <w:rPr>
            <w:rStyle w:val="Hyperlink"/>
            <w:rFonts w:ascii="Arial" w:hAnsi="Arial" w:cs="Arial"/>
            <w:sz w:val="24"/>
            <w:szCs w:val="24"/>
          </w:rPr>
          <w:t>https://library.oapen.org/handle/20.500.12657/42569</w:t>
        </w:r>
      </w:hyperlink>
      <w:r w:rsidRPr="00B8376E">
        <w:rPr>
          <w:rFonts w:ascii="Arial" w:hAnsi="Arial" w:cs="Arial"/>
          <w:sz w:val="24"/>
          <w:szCs w:val="24"/>
        </w:rPr>
        <w:t xml:space="preserve"> (Accessed: 11 October 2025).</w:t>
      </w:r>
    </w:p>
    <w:p w14:paraId="0D6DDFF0"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Cabinet Office and Department for Work and Pensions. (2025) </w:t>
      </w:r>
      <w:r w:rsidRPr="00B8376E">
        <w:rPr>
          <w:rFonts w:ascii="Arial" w:hAnsi="Arial" w:cs="Arial"/>
          <w:i/>
          <w:iCs/>
          <w:sz w:val="24"/>
          <w:szCs w:val="24"/>
        </w:rPr>
        <w:t>Tackling Child Poverty: Developing Our Strategy</w:t>
      </w:r>
      <w:r w:rsidRPr="00B8376E">
        <w:rPr>
          <w:rFonts w:ascii="Arial" w:hAnsi="Arial" w:cs="Arial"/>
          <w:sz w:val="24"/>
          <w:szCs w:val="24"/>
        </w:rPr>
        <w:t xml:space="preserve">. Available at: </w:t>
      </w:r>
      <w:hyperlink r:id="rId14" w:history="1">
        <w:r w:rsidRPr="00B8376E">
          <w:rPr>
            <w:rStyle w:val="Hyperlink"/>
            <w:rFonts w:ascii="Arial" w:hAnsi="Arial" w:cs="Arial"/>
            <w:sz w:val="24"/>
            <w:szCs w:val="24"/>
          </w:rPr>
          <w:t>https://www.gov.uk/government/publications/tackling-child-poverty-developing-our-strategy/tackling-child-poverty-developing-our-strategy-html</w:t>
        </w:r>
      </w:hyperlink>
      <w:r w:rsidRPr="00B8376E">
        <w:rPr>
          <w:rFonts w:ascii="Arial" w:hAnsi="Arial" w:cs="Arial"/>
          <w:sz w:val="24"/>
          <w:szCs w:val="24"/>
        </w:rPr>
        <w:t xml:space="preserve"> (Accessed: 5 October 2025).</w:t>
      </w:r>
    </w:p>
    <w:p w14:paraId="4B34AAF7" w14:textId="0AEAF57A" w:rsidR="00431D8D" w:rsidRDefault="00431D8D" w:rsidP="00B8376E">
      <w:pPr>
        <w:spacing w:line="360" w:lineRule="auto"/>
        <w:rPr>
          <w:rFonts w:ascii="Arial" w:hAnsi="Arial" w:cs="Arial"/>
          <w:sz w:val="24"/>
          <w:szCs w:val="24"/>
        </w:rPr>
      </w:pPr>
      <w:r w:rsidRPr="0084255A">
        <w:rPr>
          <w:rFonts w:ascii="Arial" w:hAnsi="Arial" w:cs="Arial"/>
          <w:sz w:val="24"/>
          <w:szCs w:val="24"/>
        </w:rPr>
        <w:t>Cohen, L. (2018) </w:t>
      </w:r>
      <w:r w:rsidRPr="0084255A">
        <w:rPr>
          <w:rFonts w:ascii="Arial" w:hAnsi="Arial" w:cs="Arial"/>
          <w:i/>
          <w:iCs/>
          <w:sz w:val="24"/>
          <w:szCs w:val="24"/>
        </w:rPr>
        <w:t xml:space="preserve">Research methods in </w:t>
      </w:r>
      <w:r w:rsidR="00646BCD" w:rsidRPr="0084255A">
        <w:rPr>
          <w:rFonts w:ascii="Arial" w:hAnsi="Arial" w:cs="Arial"/>
          <w:i/>
          <w:iCs/>
          <w:sz w:val="24"/>
          <w:szCs w:val="24"/>
        </w:rPr>
        <w:t>education.</w:t>
      </w:r>
      <w:r w:rsidRPr="0084255A">
        <w:rPr>
          <w:rFonts w:ascii="Arial" w:hAnsi="Arial" w:cs="Arial"/>
          <w:sz w:val="24"/>
          <w:szCs w:val="24"/>
        </w:rPr>
        <w:t xml:space="preserve"> Eighth edition. </w:t>
      </w:r>
      <w:r w:rsidR="00646BCD" w:rsidRPr="0084255A">
        <w:rPr>
          <w:rFonts w:ascii="Arial" w:hAnsi="Arial" w:cs="Arial"/>
          <w:sz w:val="24"/>
          <w:szCs w:val="24"/>
        </w:rPr>
        <w:t>London;</w:t>
      </w:r>
      <w:r w:rsidRPr="0084255A">
        <w:rPr>
          <w:rFonts w:ascii="Arial" w:hAnsi="Arial" w:cs="Arial"/>
          <w:sz w:val="24"/>
          <w:szCs w:val="24"/>
        </w:rPr>
        <w:t xml:space="preserve"> New </w:t>
      </w:r>
      <w:r w:rsidR="00646BCD" w:rsidRPr="0084255A">
        <w:rPr>
          <w:rFonts w:ascii="Arial" w:hAnsi="Arial" w:cs="Arial"/>
          <w:sz w:val="24"/>
          <w:szCs w:val="24"/>
        </w:rPr>
        <w:t>York:</w:t>
      </w:r>
      <w:r w:rsidRPr="0084255A">
        <w:rPr>
          <w:rFonts w:ascii="Arial" w:hAnsi="Arial" w:cs="Arial"/>
          <w:sz w:val="24"/>
          <w:szCs w:val="24"/>
        </w:rPr>
        <w:t xml:space="preserve"> </w:t>
      </w:r>
      <w:r w:rsidR="00646BCD" w:rsidRPr="0084255A">
        <w:rPr>
          <w:rFonts w:ascii="Arial" w:hAnsi="Arial" w:cs="Arial"/>
          <w:sz w:val="24"/>
          <w:szCs w:val="24"/>
        </w:rPr>
        <w:t>London;</w:t>
      </w:r>
      <w:r w:rsidRPr="0084255A">
        <w:rPr>
          <w:rFonts w:ascii="Arial" w:hAnsi="Arial" w:cs="Arial"/>
          <w:sz w:val="24"/>
          <w:szCs w:val="24"/>
        </w:rPr>
        <w:t xml:space="preserve"> New </w:t>
      </w:r>
      <w:r w:rsidR="00646BCD" w:rsidRPr="0084255A">
        <w:rPr>
          <w:rFonts w:ascii="Arial" w:hAnsi="Arial" w:cs="Arial"/>
          <w:sz w:val="24"/>
          <w:szCs w:val="24"/>
        </w:rPr>
        <w:t>York:</w:t>
      </w:r>
      <w:r w:rsidRPr="0084255A">
        <w:rPr>
          <w:rFonts w:ascii="Arial" w:hAnsi="Arial" w:cs="Arial"/>
          <w:sz w:val="24"/>
          <w:szCs w:val="24"/>
        </w:rPr>
        <w:t xml:space="preserve"> Routledge.</w:t>
      </w:r>
    </w:p>
    <w:p w14:paraId="2856854A"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Fabrizi, S., &amp; Ponsolle-Mays, M. (2018). Enriching Kids’ Lives: Addressing the Effects of Poverty on the Health and Well-Being of School-Aged Children and Their Families. </w:t>
      </w:r>
      <w:r w:rsidRPr="00B8376E">
        <w:rPr>
          <w:rFonts w:ascii="Arial" w:hAnsi="Arial" w:cs="Arial"/>
          <w:i/>
          <w:iCs/>
          <w:sz w:val="24"/>
          <w:szCs w:val="24"/>
        </w:rPr>
        <w:t>OT Practice</w:t>
      </w:r>
      <w:r w:rsidRPr="00B8376E">
        <w:rPr>
          <w:rFonts w:ascii="Arial" w:hAnsi="Arial" w:cs="Arial"/>
          <w:sz w:val="24"/>
          <w:szCs w:val="24"/>
        </w:rPr>
        <w:t xml:space="preserve">, </w:t>
      </w:r>
      <w:r w:rsidRPr="00B8376E">
        <w:rPr>
          <w:rFonts w:ascii="Arial" w:hAnsi="Arial" w:cs="Arial"/>
          <w:i/>
          <w:iCs/>
          <w:sz w:val="24"/>
          <w:szCs w:val="24"/>
        </w:rPr>
        <w:t>23</w:t>
      </w:r>
      <w:r w:rsidRPr="00B8376E">
        <w:rPr>
          <w:rFonts w:ascii="Arial" w:hAnsi="Arial" w:cs="Arial"/>
          <w:sz w:val="24"/>
          <w:szCs w:val="24"/>
        </w:rPr>
        <w:t>(9), 8–12. https://doi.org/10.7138/otp.2018.2309.f1</w:t>
      </w:r>
    </w:p>
    <w:p w14:paraId="1A4428A0"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lastRenderedPageBreak/>
        <w:t xml:space="preserve">Gibson-Davis, C., Keister, L. A., Gennetian, L. A., &amp; Lowell, W. (2022). Net Worth Poverty and Child Development. </w:t>
      </w:r>
      <w:r w:rsidRPr="00B8376E">
        <w:rPr>
          <w:rFonts w:ascii="Arial" w:hAnsi="Arial" w:cs="Arial"/>
          <w:i/>
          <w:iCs/>
          <w:sz w:val="24"/>
          <w:szCs w:val="24"/>
        </w:rPr>
        <w:t>Socius : Sociological Research for a Dynamic World</w:t>
      </w:r>
      <w:r w:rsidRPr="00B8376E">
        <w:rPr>
          <w:rFonts w:ascii="Arial" w:hAnsi="Arial" w:cs="Arial"/>
          <w:sz w:val="24"/>
          <w:szCs w:val="24"/>
        </w:rPr>
        <w:t xml:space="preserve">, </w:t>
      </w:r>
      <w:r w:rsidRPr="00B8376E">
        <w:rPr>
          <w:rFonts w:ascii="Arial" w:hAnsi="Arial" w:cs="Arial"/>
          <w:i/>
          <w:iCs/>
          <w:sz w:val="24"/>
          <w:szCs w:val="24"/>
        </w:rPr>
        <w:t>8</w:t>
      </w:r>
      <w:r w:rsidRPr="00B8376E">
        <w:rPr>
          <w:rFonts w:ascii="Arial" w:hAnsi="Arial" w:cs="Arial"/>
          <w:sz w:val="24"/>
          <w:szCs w:val="24"/>
        </w:rPr>
        <w:t xml:space="preserve">. </w:t>
      </w:r>
      <w:hyperlink r:id="rId15" w:history="1">
        <w:r w:rsidRPr="00B8376E">
          <w:rPr>
            <w:rStyle w:val="Hyperlink"/>
            <w:rFonts w:ascii="Arial" w:hAnsi="Arial" w:cs="Arial"/>
            <w:sz w:val="24"/>
            <w:szCs w:val="24"/>
          </w:rPr>
          <w:t>https://doi.org/10.1177/23780231221111672</w:t>
        </w:r>
      </w:hyperlink>
    </w:p>
    <w:p w14:paraId="43D73334"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Hammond, M., &amp; Wellington, J. (2020). Research Methods: The Key Concepts (2nd ed.). Routledge. </w:t>
      </w:r>
      <w:hyperlink r:id="rId16" w:history="1">
        <w:r w:rsidRPr="00B8376E">
          <w:rPr>
            <w:rStyle w:val="Hyperlink"/>
            <w:rFonts w:ascii="Arial" w:hAnsi="Arial" w:cs="Arial"/>
            <w:sz w:val="24"/>
            <w:szCs w:val="24"/>
          </w:rPr>
          <w:t>https://doi.org/10.4324/9780429058165</w:t>
        </w:r>
      </w:hyperlink>
    </w:p>
    <w:p w14:paraId="31D42AC2" w14:textId="77777777" w:rsidR="00431D8D" w:rsidRPr="006C5ADA" w:rsidRDefault="00431D8D" w:rsidP="006C5ADA">
      <w:pPr>
        <w:spacing w:line="360" w:lineRule="auto"/>
        <w:rPr>
          <w:rFonts w:ascii="Arial" w:hAnsi="Arial" w:cs="Arial"/>
          <w:sz w:val="24"/>
          <w:szCs w:val="24"/>
        </w:rPr>
      </w:pPr>
      <w:r w:rsidRPr="006C5ADA">
        <w:rPr>
          <w:rFonts w:ascii="Arial" w:hAnsi="Arial" w:cs="Arial"/>
          <w:sz w:val="24"/>
          <w:szCs w:val="24"/>
        </w:rPr>
        <w:t xml:space="preserve">Hodgkins, A., Gossman, P., Paige, R., &amp; Woolley, R. (2024). “We cry together every day” - expressing complex emotion in research with early childhood practitioners. </w:t>
      </w:r>
      <w:r w:rsidRPr="006C5ADA">
        <w:rPr>
          <w:rFonts w:ascii="Arial" w:hAnsi="Arial" w:cs="Arial"/>
          <w:i/>
          <w:iCs/>
          <w:sz w:val="24"/>
          <w:szCs w:val="24"/>
        </w:rPr>
        <w:t>Early Years (London, England)</w:t>
      </w:r>
      <w:r w:rsidRPr="006C5ADA">
        <w:rPr>
          <w:rFonts w:ascii="Arial" w:hAnsi="Arial" w:cs="Arial"/>
          <w:sz w:val="24"/>
          <w:szCs w:val="24"/>
        </w:rPr>
        <w:t xml:space="preserve">, </w:t>
      </w:r>
      <w:r w:rsidRPr="006C5ADA">
        <w:rPr>
          <w:rFonts w:ascii="Arial" w:hAnsi="Arial" w:cs="Arial"/>
          <w:i/>
          <w:iCs/>
          <w:sz w:val="24"/>
          <w:szCs w:val="24"/>
        </w:rPr>
        <w:t>44</w:t>
      </w:r>
      <w:r w:rsidRPr="006C5ADA">
        <w:rPr>
          <w:rFonts w:ascii="Arial" w:hAnsi="Arial" w:cs="Arial"/>
          <w:sz w:val="24"/>
          <w:szCs w:val="24"/>
        </w:rPr>
        <w:t>(3–4), 903–917. https://doi.org/10.1080/09575146.2023.2266587</w:t>
      </w:r>
    </w:p>
    <w:p w14:paraId="3379184A"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House of Commons Library. (2023) </w:t>
      </w:r>
      <w:r w:rsidRPr="00B8376E">
        <w:rPr>
          <w:rFonts w:ascii="Arial" w:hAnsi="Arial" w:cs="Arial"/>
          <w:i/>
          <w:iCs/>
          <w:sz w:val="24"/>
          <w:szCs w:val="24"/>
        </w:rPr>
        <w:t>Poverty in the UK: statistics</w:t>
      </w:r>
      <w:r w:rsidRPr="00B8376E">
        <w:rPr>
          <w:rFonts w:ascii="Arial" w:hAnsi="Arial" w:cs="Arial"/>
          <w:sz w:val="24"/>
          <w:szCs w:val="24"/>
        </w:rPr>
        <w:t xml:space="preserve">. [Online] Available at: </w:t>
      </w:r>
      <w:hyperlink r:id="rId17" w:history="1">
        <w:r w:rsidRPr="00B8376E">
          <w:rPr>
            <w:rStyle w:val="Hyperlink"/>
            <w:rFonts w:ascii="Arial" w:hAnsi="Arial" w:cs="Arial"/>
            <w:sz w:val="24"/>
            <w:szCs w:val="24"/>
          </w:rPr>
          <w:t>https://commonslibrary.parliament.uk/research-briefings/sn07096</w:t>
        </w:r>
      </w:hyperlink>
      <w:r w:rsidRPr="00B8376E">
        <w:rPr>
          <w:rFonts w:ascii="Arial" w:hAnsi="Arial" w:cs="Arial"/>
          <w:sz w:val="24"/>
          <w:szCs w:val="24"/>
        </w:rPr>
        <w:t xml:space="preserve"> [Accessed 5 Oct. 2025].</w:t>
      </w:r>
    </w:p>
    <w:p w14:paraId="47A5911F" w14:textId="77777777" w:rsidR="00431D8D" w:rsidRDefault="00431D8D" w:rsidP="00B8376E">
      <w:pPr>
        <w:spacing w:line="360" w:lineRule="auto"/>
        <w:rPr>
          <w:rFonts w:ascii="Arial" w:hAnsi="Arial" w:cs="Arial"/>
          <w:sz w:val="24"/>
          <w:szCs w:val="24"/>
        </w:rPr>
      </w:pPr>
      <w:r w:rsidRPr="00FB4AA0">
        <w:rPr>
          <w:rFonts w:ascii="Arial" w:hAnsi="Arial" w:cs="Arial"/>
          <w:sz w:val="24"/>
          <w:szCs w:val="24"/>
        </w:rPr>
        <w:t xml:space="preserve">İnönü, G.N., Koç, S., &amp; Yıldız, D. (2024) ‘Observation as a professional tool for early childhood teachers’ inquiry habit of mind: an interpretative phenomenological study’, </w:t>
      </w:r>
      <w:r w:rsidRPr="00FB4AA0">
        <w:rPr>
          <w:rFonts w:ascii="Arial" w:hAnsi="Arial" w:cs="Arial"/>
          <w:i/>
          <w:iCs/>
          <w:sz w:val="24"/>
          <w:szCs w:val="24"/>
        </w:rPr>
        <w:t>European Early Childhood Education Research Journal</w:t>
      </w:r>
      <w:r w:rsidRPr="00FB4AA0">
        <w:rPr>
          <w:rFonts w:ascii="Arial" w:hAnsi="Arial" w:cs="Arial"/>
          <w:sz w:val="24"/>
          <w:szCs w:val="24"/>
        </w:rPr>
        <w:t xml:space="preserve">, 33(1), pp. 159–172. </w:t>
      </w:r>
      <w:hyperlink r:id="rId18" w:history="1">
        <w:r w:rsidRPr="00FB4AA0">
          <w:rPr>
            <w:rStyle w:val="Hyperlink"/>
            <w:rFonts w:ascii="Arial" w:hAnsi="Arial" w:cs="Arial"/>
            <w:sz w:val="24"/>
            <w:szCs w:val="24"/>
          </w:rPr>
          <w:t>https://doi.org/10.1080/1350293X.2024.2349639</w:t>
        </w:r>
      </w:hyperlink>
    </w:p>
    <w:p w14:paraId="35BD1B9E"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Jain, N. (2021) ‘Survey versus interviews: Comparing data collection tools for exploratory research’, </w:t>
      </w:r>
      <w:r w:rsidRPr="00B8376E">
        <w:rPr>
          <w:rFonts w:ascii="Arial" w:hAnsi="Arial" w:cs="Arial"/>
          <w:i/>
          <w:iCs/>
          <w:sz w:val="24"/>
          <w:szCs w:val="24"/>
        </w:rPr>
        <w:t>The Qualitative Report</w:t>
      </w:r>
      <w:r w:rsidRPr="00B8376E">
        <w:rPr>
          <w:rFonts w:ascii="Arial" w:hAnsi="Arial" w:cs="Arial"/>
          <w:sz w:val="24"/>
          <w:szCs w:val="24"/>
        </w:rPr>
        <w:t>, 26(2), pp. 541–554.</w:t>
      </w:r>
    </w:p>
    <w:p w14:paraId="32D94F92"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Lambert, M. (Ed.). (2019). Practical Research Methods in Education: An Early Researcher's Critical Guide (1st ed.). Routledge. </w:t>
      </w:r>
      <w:hyperlink r:id="rId19" w:history="1">
        <w:r w:rsidRPr="00B8376E">
          <w:rPr>
            <w:rStyle w:val="Hyperlink"/>
            <w:rFonts w:ascii="Arial" w:hAnsi="Arial" w:cs="Arial"/>
            <w:sz w:val="24"/>
            <w:szCs w:val="24"/>
          </w:rPr>
          <w:t>https://doi.org/10.4324/9781351188395</w:t>
        </w:r>
      </w:hyperlink>
    </w:p>
    <w:p w14:paraId="55CE5F57"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Lee, A. R., Kingdon, C. C., Davie, M., Hawcutt, D., &amp; Sinha, I. P. (2023). Child poverty and health inequalities in the UK: a guide for paediatricians. </w:t>
      </w:r>
      <w:r w:rsidRPr="00B8376E">
        <w:rPr>
          <w:rFonts w:ascii="Arial" w:hAnsi="Arial" w:cs="Arial"/>
          <w:i/>
          <w:iCs/>
          <w:sz w:val="24"/>
          <w:szCs w:val="24"/>
        </w:rPr>
        <w:t>Archives of Disease in Childhood</w:t>
      </w:r>
      <w:r w:rsidRPr="00B8376E">
        <w:rPr>
          <w:rFonts w:ascii="Arial" w:hAnsi="Arial" w:cs="Arial"/>
          <w:sz w:val="24"/>
          <w:szCs w:val="24"/>
        </w:rPr>
        <w:t xml:space="preserve">, </w:t>
      </w:r>
      <w:r w:rsidRPr="00B8376E">
        <w:rPr>
          <w:rFonts w:ascii="Arial" w:hAnsi="Arial" w:cs="Arial"/>
          <w:i/>
          <w:iCs/>
          <w:sz w:val="24"/>
          <w:szCs w:val="24"/>
        </w:rPr>
        <w:t>108</w:t>
      </w:r>
      <w:r w:rsidRPr="00B8376E">
        <w:rPr>
          <w:rFonts w:ascii="Arial" w:hAnsi="Arial" w:cs="Arial"/>
          <w:sz w:val="24"/>
          <w:szCs w:val="24"/>
        </w:rPr>
        <w:t>(2), 94–101. https://doi.org/10.1136/archdischild-2021-323671</w:t>
      </w:r>
    </w:p>
    <w:p w14:paraId="692C7B7F" w14:textId="77777777" w:rsidR="00431D8D" w:rsidRDefault="00431D8D" w:rsidP="00B8376E">
      <w:pPr>
        <w:spacing w:line="360" w:lineRule="auto"/>
        <w:rPr>
          <w:rFonts w:ascii="Arial" w:hAnsi="Arial" w:cs="Arial"/>
          <w:sz w:val="24"/>
          <w:szCs w:val="24"/>
        </w:rPr>
      </w:pPr>
      <w:r w:rsidRPr="00624DAE">
        <w:rPr>
          <w:rFonts w:ascii="Arial" w:hAnsi="Arial" w:cs="Arial"/>
          <w:sz w:val="24"/>
          <w:szCs w:val="24"/>
        </w:rPr>
        <w:t xml:space="preserve">Louis, S. (2022) </w:t>
      </w:r>
      <w:r w:rsidRPr="00624DAE">
        <w:rPr>
          <w:rFonts w:ascii="Arial" w:hAnsi="Arial" w:cs="Arial"/>
          <w:i/>
          <w:iCs/>
          <w:sz w:val="24"/>
          <w:szCs w:val="24"/>
        </w:rPr>
        <w:t>Observing young children: A Froebelian approach</w:t>
      </w:r>
      <w:r w:rsidRPr="00624DAE">
        <w:rPr>
          <w:rFonts w:ascii="Arial" w:hAnsi="Arial" w:cs="Arial"/>
          <w:sz w:val="24"/>
          <w:szCs w:val="24"/>
        </w:rPr>
        <w:t xml:space="preserve">. London: Froebel Trust. Available at: </w:t>
      </w:r>
      <w:hyperlink r:id="rId20" w:history="1">
        <w:r w:rsidRPr="00624DAE">
          <w:rPr>
            <w:rStyle w:val="Hyperlink"/>
            <w:rFonts w:ascii="Arial" w:hAnsi="Arial" w:cs="Arial"/>
            <w:sz w:val="24"/>
            <w:szCs w:val="24"/>
          </w:rPr>
          <w:t>https://www.froebel.org.uk/uploads/documents/FT_Observing-young-children_Pamphlet_INTERACTIVE_REV-2.pdf</w:t>
        </w:r>
      </w:hyperlink>
      <w:r w:rsidRPr="00624DAE">
        <w:rPr>
          <w:rFonts w:ascii="Arial" w:hAnsi="Arial" w:cs="Arial"/>
          <w:sz w:val="24"/>
          <w:szCs w:val="24"/>
        </w:rPr>
        <w:t xml:space="preserve"> (Accessed: 16 October 2025).</w:t>
      </w:r>
    </w:p>
    <w:p w14:paraId="6A8AB0BE"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lastRenderedPageBreak/>
        <w:t xml:space="preserve">Lyndon, S. (2022). Early years practitioners’ personal and professional narratives of poverty. </w:t>
      </w:r>
      <w:r w:rsidRPr="00B8376E">
        <w:rPr>
          <w:rFonts w:ascii="Arial" w:hAnsi="Arial" w:cs="Arial"/>
          <w:i/>
          <w:iCs/>
          <w:sz w:val="24"/>
          <w:szCs w:val="24"/>
        </w:rPr>
        <w:t>International Journal of Early Years Education</w:t>
      </w:r>
      <w:r w:rsidRPr="00B8376E">
        <w:rPr>
          <w:rFonts w:ascii="Arial" w:hAnsi="Arial" w:cs="Arial"/>
          <w:sz w:val="24"/>
          <w:szCs w:val="24"/>
        </w:rPr>
        <w:t xml:space="preserve">, </w:t>
      </w:r>
      <w:r w:rsidRPr="00B8376E">
        <w:rPr>
          <w:rFonts w:ascii="Arial" w:hAnsi="Arial" w:cs="Arial"/>
          <w:i/>
          <w:iCs/>
          <w:sz w:val="24"/>
          <w:szCs w:val="24"/>
        </w:rPr>
        <w:t>30</w:t>
      </w:r>
      <w:r w:rsidRPr="00B8376E">
        <w:rPr>
          <w:rFonts w:ascii="Arial" w:hAnsi="Arial" w:cs="Arial"/>
          <w:sz w:val="24"/>
          <w:szCs w:val="24"/>
        </w:rPr>
        <w:t xml:space="preserve">(2), 235–248. </w:t>
      </w:r>
      <w:hyperlink r:id="rId21" w:history="1">
        <w:r w:rsidRPr="00B8376E">
          <w:rPr>
            <w:rStyle w:val="Hyperlink"/>
            <w:rFonts w:ascii="Arial" w:hAnsi="Arial" w:cs="Arial"/>
            <w:sz w:val="24"/>
            <w:szCs w:val="24"/>
          </w:rPr>
          <w:t>https://doi.org/10.1080/09669760.2020.1782175</w:t>
        </w:r>
      </w:hyperlink>
    </w:p>
    <w:p w14:paraId="65AB61A8" w14:textId="77777777" w:rsidR="00431D8D" w:rsidRDefault="00431D8D" w:rsidP="00B8376E">
      <w:pPr>
        <w:spacing w:line="360" w:lineRule="auto"/>
        <w:rPr>
          <w:rFonts w:ascii="Arial" w:hAnsi="Arial" w:cs="Arial"/>
          <w:sz w:val="24"/>
          <w:szCs w:val="24"/>
        </w:rPr>
      </w:pPr>
      <w:r w:rsidRPr="00531FA3">
        <w:rPr>
          <w:rFonts w:ascii="Arial" w:hAnsi="Arial" w:cs="Arial"/>
          <w:sz w:val="24"/>
          <w:szCs w:val="24"/>
        </w:rPr>
        <w:t xml:space="preserve">Mamat, N., Luen, L.C., Radzi, N.M.M., Yassin, S.M. &amp; Yusoff, S.I.M. (2018) ‘Reliability, validity and fairness of interviews for teaching and learning project in quality early childhood care and education: preliminary study’, International Journal of Academic Research in Business and Social Sciences, 8(6), pp. 1283–1292. Available at: </w:t>
      </w:r>
      <w:hyperlink r:id="rId22" w:history="1">
        <w:r w:rsidRPr="00531FA3">
          <w:rPr>
            <w:rStyle w:val="Hyperlink"/>
            <w:rFonts w:ascii="Arial" w:hAnsi="Arial" w:cs="Arial"/>
            <w:sz w:val="24"/>
            <w:szCs w:val="24"/>
          </w:rPr>
          <w:t>http://dx.doi.org/10.6007/IJARBSS/v8-i6/4516</w:t>
        </w:r>
      </w:hyperlink>
      <w:r w:rsidRPr="00531FA3">
        <w:rPr>
          <w:rFonts w:ascii="Arial" w:hAnsi="Arial" w:cs="Arial"/>
          <w:sz w:val="24"/>
          <w:szCs w:val="24"/>
        </w:rPr>
        <w:t xml:space="preserve"> (Accessed: 16 October 2025).</w:t>
      </w:r>
    </w:p>
    <w:p w14:paraId="7ACE54CD"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McFarland, M.J</w:t>
      </w:r>
      <w:r w:rsidRPr="00B8376E">
        <w:rPr>
          <w:rFonts w:ascii="Arial" w:hAnsi="Arial" w:cs="Arial"/>
          <w:b/>
          <w:bCs/>
          <w:sz w:val="24"/>
          <w:szCs w:val="24"/>
        </w:rPr>
        <w:t>.</w:t>
      </w:r>
      <w:r w:rsidRPr="00B8376E">
        <w:rPr>
          <w:rFonts w:ascii="Arial" w:hAnsi="Arial" w:cs="Arial"/>
          <w:sz w:val="24"/>
          <w:szCs w:val="24"/>
        </w:rPr>
        <w:t xml:space="preserve"> (2017) ‘Poverty and problem behaviours across the early life course: The role of sensitive period exposure’, </w:t>
      </w:r>
      <w:r w:rsidRPr="00B8376E">
        <w:rPr>
          <w:rFonts w:ascii="Arial" w:hAnsi="Arial" w:cs="Arial"/>
          <w:i/>
          <w:iCs/>
          <w:sz w:val="24"/>
          <w:szCs w:val="24"/>
        </w:rPr>
        <w:t>Population Research and Policy Review</w:t>
      </w:r>
      <w:r w:rsidRPr="00B8376E">
        <w:rPr>
          <w:rFonts w:ascii="Arial" w:hAnsi="Arial" w:cs="Arial"/>
          <w:sz w:val="24"/>
          <w:szCs w:val="24"/>
        </w:rPr>
        <w:t xml:space="preserve">, 36(5), pp. 739–760. Available at: </w:t>
      </w:r>
      <w:hyperlink r:id="rId23" w:history="1">
        <w:r w:rsidRPr="00B8376E">
          <w:rPr>
            <w:rStyle w:val="Hyperlink"/>
            <w:rFonts w:ascii="Arial" w:hAnsi="Arial" w:cs="Arial"/>
            <w:sz w:val="24"/>
            <w:szCs w:val="24"/>
          </w:rPr>
          <w:t>https://doi.org/10.1007/s11113-017-9442-4</w:t>
        </w:r>
      </w:hyperlink>
      <w:r w:rsidRPr="00B8376E">
        <w:rPr>
          <w:rFonts w:ascii="Arial" w:hAnsi="Arial" w:cs="Arial"/>
          <w:sz w:val="24"/>
          <w:szCs w:val="24"/>
        </w:rPr>
        <w:t xml:space="preserve"> [Accessed 12 Oct. 2025].</w:t>
      </w:r>
    </w:p>
    <w:p w14:paraId="58983674" w14:textId="2C54AF88" w:rsidR="00431D8D" w:rsidRDefault="00431D8D" w:rsidP="00B8376E">
      <w:pPr>
        <w:spacing w:line="360" w:lineRule="auto"/>
        <w:rPr>
          <w:rFonts w:ascii="Arial" w:hAnsi="Arial" w:cs="Arial"/>
          <w:sz w:val="24"/>
          <w:szCs w:val="24"/>
        </w:rPr>
      </w:pPr>
      <w:r w:rsidRPr="00F92357">
        <w:rPr>
          <w:rFonts w:ascii="Arial" w:hAnsi="Arial" w:cs="Arial"/>
          <w:sz w:val="24"/>
          <w:szCs w:val="24"/>
        </w:rPr>
        <w:t xml:space="preserve">McLachlan, C., Fleer, </w:t>
      </w:r>
      <w:r w:rsidR="006C68FC" w:rsidRPr="00F92357">
        <w:rPr>
          <w:rFonts w:ascii="Arial" w:hAnsi="Arial" w:cs="Arial"/>
          <w:sz w:val="24"/>
          <w:szCs w:val="24"/>
        </w:rPr>
        <w:t>M.,</w:t>
      </w:r>
      <w:r w:rsidRPr="00F92357">
        <w:rPr>
          <w:rFonts w:ascii="Arial" w:hAnsi="Arial" w:cs="Arial"/>
          <w:sz w:val="24"/>
          <w:szCs w:val="24"/>
        </w:rPr>
        <w:t xml:space="preserve"> and Edwards, S. (2018) Early childhood curriculum: planning, </w:t>
      </w:r>
      <w:r w:rsidR="006C68FC" w:rsidRPr="00F92357">
        <w:rPr>
          <w:rFonts w:ascii="Arial" w:hAnsi="Arial" w:cs="Arial"/>
          <w:sz w:val="24"/>
          <w:szCs w:val="24"/>
        </w:rPr>
        <w:t>assessment,</w:t>
      </w:r>
      <w:r w:rsidRPr="00F92357">
        <w:rPr>
          <w:rFonts w:ascii="Arial" w:hAnsi="Arial" w:cs="Arial"/>
          <w:sz w:val="24"/>
          <w:szCs w:val="24"/>
        </w:rPr>
        <w:t xml:space="preserve"> and implementation. 3rd edn. Cambridge: Cambridge University Press.</w:t>
      </w:r>
    </w:p>
    <w:p w14:paraId="626DF540" w14:textId="2CCA223F"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Moore, G. F., Littlecott, H. J., Evans, R., Murphy, S., Hewitt, G., &amp; Fletcher, A. (2017). School composition, school </w:t>
      </w:r>
      <w:r w:rsidR="006C68FC" w:rsidRPr="00B8376E">
        <w:rPr>
          <w:rFonts w:ascii="Arial" w:hAnsi="Arial" w:cs="Arial"/>
          <w:sz w:val="24"/>
          <w:szCs w:val="24"/>
        </w:rPr>
        <w:t>culture,</w:t>
      </w:r>
      <w:r w:rsidRPr="00B8376E">
        <w:rPr>
          <w:rFonts w:ascii="Arial" w:hAnsi="Arial" w:cs="Arial"/>
          <w:sz w:val="24"/>
          <w:szCs w:val="24"/>
        </w:rPr>
        <w:t xml:space="preserve"> and socioeconomic inequalities in young people’s health: Multi-level analysis of the Health Behaviour in School-aged Children (HBSC) survey in Wales. </w:t>
      </w:r>
      <w:r w:rsidRPr="00B8376E">
        <w:rPr>
          <w:rFonts w:ascii="Arial" w:hAnsi="Arial" w:cs="Arial"/>
          <w:i/>
          <w:iCs/>
          <w:sz w:val="24"/>
          <w:szCs w:val="24"/>
        </w:rPr>
        <w:t>British Educational Research Journal</w:t>
      </w:r>
      <w:r w:rsidRPr="00B8376E">
        <w:rPr>
          <w:rFonts w:ascii="Arial" w:hAnsi="Arial" w:cs="Arial"/>
          <w:sz w:val="24"/>
          <w:szCs w:val="24"/>
        </w:rPr>
        <w:t xml:space="preserve">, </w:t>
      </w:r>
      <w:r w:rsidRPr="00B8376E">
        <w:rPr>
          <w:rFonts w:ascii="Arial" w:hAnsi="Arial" w:cs="Arial"/>
          <w:i/>
          <w:iCs/>
          <w:sz w:val="24"/>
          <w:szCs w:val="24"/>
        </w:rPr>
        <w:t>43</w:t>
      </w:r>
      <w:r w:rsidRPr="00B8376E">
        <w:rPr>
          <w:rFonts w:ascii="Arial" w:hAnsi="Arial" w:cs="Arial"/>
          <w:sz w:val="24"/>
          <w:szCs w:val="24"/>
        </w:rPr>
        <w:t>(2), 310–329. https://doi.org/10.1002/berj.3265</w:t>
      </w:r>
    </w:p>
    <w:p w14:paraId="2F6694C8" w14:textId="77777777" w:rsidR="00431D8D" w:rsidRDefault="00431D8D" w:rsidP="00B8376E">
      <w:pPr>
        <w:spacing w:line="360" w:lineRule="auto"/>
        <w:rPr>
          <w:rFonts w:ascii="Arial" w:hAnsi="Arial" w:cs="Arial"/>
          <w:sz w:val="24"/>
          <w:szCs w:val="24"/>
        </w:rPr>
      </w:pPr>
      <w:r w:rsidRPr="002634B3">
        <w:rPr>
          <w:rFonts w:ascii="Arial" w:hAnsi="Arial" w:cs="Arial"/>
          <w:sz w:val="24"/>
          <w:szCs w:val="24"/>
        </w:rPr>
        <w:t>Newby, P 2014, Research Methods for Education, Second Edition, Taylor &amp; Francis Group, Oxford. Available from: ProQuest Ebook Central. [15 October 2025].</w:t>
      </w:r>
    </w:p>
    <w:p w14:paraId="0D669227" w14:textId="77777777" w:rsidR="00431D8D" w:rsidRDefault="00431D8D" w:rsidP="00B8376E">
      <w:pPr>
        <w:spacing w:line="360" w:lineRule="auto"/>
        <w:rPr>
          <w:rFonts w:ascii="Arial" w:hAnsi="Arial" w:cs="Arial"/>
          <w:sz w:val="24"/>
          <w:szCs w:val="24"/>
        </w:rPr>
      </w:pPr>
      <w:r w:rsidRPr="003E6F01">
        <w:rPr>
          <w:rFonts w:ascii="Arial" w:hAnsi="Arial" w:cs="Arial"/>
          <w:sz w:val="24"/>
          <w:szCs w:val="24"/>
        </w:rPr>
        <w:t>Nolan, A. (2013) Research in Early Childhood. Los Angeles, Calif.: SAGE.</w:t>
      </w:r>
    </w:p>
    <w:p w14:paraId="33019F50"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Peterson, G. and Elam, E. (2020) </w:t>
      </w:r>
      <w:r w:rsidRPr="00B8376E">
        <w:rPr>
          <w:rFonts w:ascii="Arial" w:hAnsi="Arial" w:cs="Arial"/>
          <w:i/>
          <w:iCs/>
          <w:sz w:val="24"/>
          <w:szCs w:val="24"/>
        </w:rPr>
        <w:t>Observation and assessment in early childhood education</w:t>
      </w:r>
      <w:r w:rsidRPr="00B8376E">
        <w:rPr>
          <w:rFonts w:ascii="Arial" w:hAnsi="Arial" w:cs="Arial"/>
          <w:sz w:val="24"/>
          <w:szCs w:val="24"/>
        </w:rPr>
        <w:t>. Zero Textbook Cost. College of the Canyons. Availa</w:t>
      </w:r>
    </w:p>
    <w:p w14:paraId="60497BEE"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Power, S., Rhys, M., Taylor, C., &amp; Waldron, S. (2019). How child</w:t>
      </w:r>
      <w:r w:rsidRPr="00B8376E">
        <w:rPr>
          <w:rFonts w:ascii="Cambria Math" w:hAnsi="Cambria Math" w:cs="Cambria Math"/>
          <w:sz w:val="24"/>
          <w:szCs w:val="24"/>
        </w:rPr>
        <w:t>‐</w:t>
      </w:r>
      <w:r w:rsidRPr="00B8376E">
        <w:rPr>
          <w:rFonts w:ascii="Arial" w:hAnsi="Arial" w:cs="Arial"/>
          <w:sz w:val="24"/>
          <w:szCs w:val="24"/>
        </w:rPr>
        <w:t xml:space="preserve">centred education favours some learners more than others. </w:t>
      </w:r>
      <w:r w:rsidRPr="00B8376E">
        <w:rPr>
          <w:rFonts w:ascii="Arial" w:hAnsi="Arial" w:cs="Arial"/>
          <w:i/>
          <w:iCs/>
          <w:sz w:val="24"/>
          <w:szCs w:val="24"/>
        </w:rPr>
        <w:t>Review of Education (Oxford)</w:t>
      </w:r>
      <w:r w:rsidRPr="00B8376E">
        <w:rPr>
          <w:rFonts w:ascii="Arial" w:hAnsi="Arial" w:cs="Arial"/>
          <w:sz w:val="24"/>
          <w:szCs w:val="24"/>
        </w:rPr>
        <w:t xml:space="preserve">, </w:t>
      </w:r>
      <w:r w:rsidRPr="00B8376E">
        <w:rPr>
          <w:rFonts w:ascii="Arial" w:hAnsi="Arial" w:cs="Arial"/>
          <w:i/>
          <w:iCs/>
          <w:sz w:val="24"/>
          <w:szCs w:val="24"/>
        </w:rPr>
        <w:t>7</w:t>
      </w:r>
      <w:r w:rsidRPr="00B8376E">
        <w:rPr>
          <w:rFonts w:ascii="Arial" w:hAnsi="Arial" w:cs="Arial"/>
          <w:sz w:val="24"/>
          <w:szCs w:val="24"/>
        </w:rPr>
        <w:t xml:space="preserve">(3), 570–592. </w:t>
      </w:r>
      <w:hyperlink r:id="rId24" w:history="1">
        <w:r w:rsidRPr="00B8376E">
          <w:rPr>
            <w:rStyle w:val="Hyperlink"/>
            <w:rFonts w:ascii="Arial" w:hAnsi="Arial" w:cs="Arial"/>
            <w:sz w:val="24"/>
            <w:szCs w:val="24"/>
          </w:rPr>
          <w:t>https://doi.org/10.1002/rev3.3137</w:t>
        </w:r>
      </w:hyperlink>
      <w:r w:rsidRPr="00B8376E">
        <w:rPr>
          <w:rFonts w:ascii="Arial" w:hAnsi="Arial" w:cs="Arial"/>
          <w:sz w:val="24"/>
          <w:szCs w:val="24"/>
        </w:rPr>
        <w:t xml:space="preserve">  </w:t>
      </w:r>
    </w:p>
    <w:p w14:paraId="7E243851" w14:textId="77777777" w:rsidR="00431D8D" w:rsidRDefault="00431D8D" w:rsidP="00B8376E">
      <w:pPr>
        <w:spacing w:line="360" w:lineRule="auto"/>
        <w:rPr>
          <w:rFonts w:ascii="Arial" w:hAnsi="Arial" w:cs="Arial"/>
          <w:sz w:val="24"/>
          <w:szCs w:val="24"/>
        </w:rPr>
      </w:pPr>
      <w:r w:rsidRPr="003869E1">
        <w:rPr>
          <w:rFonts w:ascii="Arial" w:hAnsi="Arial" w:cs="Arial"/>
          <w:sz w:val="24"/>
          <w:szCs w:val="24"/>
        </w:rPr>
        <w:lastRenderedPageBreak/>
        <w:t>Prada-Ramallal, G., Roque, F., Herdeiro, M.T. and Figueiras, A. (2018) ‘Primary versus secondary source of data in observational studies and heterogeneity in meta-analyses of drug effects: a survey of major medical journals’, BMC Medical Research Methodology, 18(1), Article 97. doi:10.1186/s12874-018-0561-3</w:t>
      </w:r>
    </w:p>
    <w:p w14:paraId="4E9179FB" w14:textId="77777777" w:rsidR="00431D8D" w:rsidRDefault="00431D8D" w:rsidP="00B8376E">
      <w:pPr>
        <w:spacing w:line="360" w:lineRule="auto"/>
        <w:rPr>
          <w:rFonts w:ascii="Arial" w:hAnsi="Arial" w:cs="Arial"/>
          <w:sz w:val="24"/>
          <w:szCs w:val="24"/>
        </w:rPr>
      </w:pPr>
      <w:r w:rsidRPr="00B8376E">
        <w:rPr>
          <w:rFonts w:ascii="Arial" w:hAnsi="Arial" w:cs="Arial"/>
          <w:sz w:val="24"/>
          <w:szCs w:val="24"/>
        </w:rPr>
        <w:t xml:space="preserve">Rosie Walker and Carla Solvason (2014) </w:t>
      </w:r>
      <w:r w:rsidRPr="00B8376E">
        <w:rPr>
          <w:rFonts w:ascii="Arial" w:hAnsi="Arial" w:cs="Arial"/>
          <w:i/>
          <w:iCs/>
          <w:sz w:val="24"/>
          <w:szCs w:val="24"/>
        </w:rPr>
        <w:t>Success with Your Early Years Research Project</w:t>
      </w:r>
      <w:r w:rsidRPr="00B8376E">
        <w:rPr>
          <w:rFonts w:ascii="Arial" w:hAnsi="Arial" w:cs="Arial"/>
          <w:sz w:val="24"/>
          <w:szCs w:val="24"/>
        </w:rPr>
        <w:t>. London: SAGE Publications Ltd. Available at: https://research-ebsco-com.ezproxy.uwtsd.ac.uk/linkprocessor/plink?id=040643b1-ba49-31ed-b59f-45fc751f1201 (Accessed: 11 October 2025).</w:t>
      </w:r>
    </w:p>
    <w:p w14:paraId="3E016415" w14:textId="07E7C666"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Solvason, C. &amp; Webb, R. (Eds.). (2023) </w:t>
      </w:r>
      <w:r w:rsidRPr="00B8376E">
        <w:rPr>
          <w:rFonts w:ascii="Arial" w:hAnsi="Arial" w:cs="Arial"/>
          <w:i/>
          <w:iCs/>
          <w:sz w:val="24"/>
          <w:szCs w:val="24"/>
        </w:rPr>
        <w:t xml:space="preserve">Exploring and celebrating the early childhood practitioner: an interrogation of pedagogy, </w:t>
      </w:r>
      <w:r w:rsidR="006C68FC" w:rsidRPr="00B8376E">
        <w:rPr>
          <w:rFonts w:ascii="Arial" w:hAnsi="Arial" w:cs="Arial"/>
          <w:i/>
          <w:iCs/>
          <w:sz w:val="24"/>
          <w:szCs w:val="24"/>
        </w:rPr>
        <w:t>professionalism,</w:t>
      </w:r>
      <w:r w:rsidRPr="00B8376E">
        <w:rPr>
          <w:rFonts w:ascii="Arial" w:hAnsi="Arial" w:cs="Arial"/>
          <w:i/>
          <w:iCs/>
          <w:sz w:val="24"/>
          <w:szCs w:val="24"/>
        </w:rPr>
        <w:t xml:space="preserve"> and practice</w:t>
      </w:r>
      <w:r w:rsidRPr="00B8376E">
        <w:rPr>
          <w:rFonts w:ascii="Arial" w:hAnsi="Arial" w:cs="Arial"/>
          <w:sz w:val="24"/>
          <w:szCs w:val="24"/>
        </w:rPr>
        <w:t>. London: Routledge.</w:t>
      </w:r>
    </w:p>
    <w:p w14:paraId="5669418F" w14:textId="67B79C06" w:rsidR="00431D8D" w:rsidRDefault="00431D8D" w:rsidP="00B8376E">
      <w:pPr>
        <w:spacing w:line="360" w:lineRule="auto"/>
        <w:rPr>
          <w:rFonts w:ascii="Arial" w:hAnsi="Arial" w:cs="Arial"/>
          <w:sz w:val="24"/>
          <w:szCs w:val="24"/>
        </w:rPr>
      </w:pPr>
      <w:r w:rsidRPr="00231E27">
        <w:rPr>
          <w:rFonts w:ascii="Arial" w:hAnsi="Arial" w:cs="Arial"/>
          <w:sz w:val="24"/>
          <w:szCs w:val="24"/>
        </w:rPr>
        <w:t xml:space="preserve">Thomas, </w:t>
      </w:r>
      <w:r w:rsidR="006C68FC" w:rsidRPr="00231E27">
        <w:rPr>
          <w:rFonts w:ascii="Arial" w:hAnsi="Arial" w:cs="Arial"/>
          <w:sz w:val="24"/>
          <w:szCs w:val="24"/>
        </w:rPr>
        <w:t>A.,</w:t>
      </w:r>
      <w:r w:rsidRPr="00231E27">
        <w:rPr>
          <w:rFonts w:ascii="Arial" w:hAnsi="Arial" w:cs="Arial"/>
          <w:sz w:val="24"/>
          <w:szCs w:val="24"/>
        </w:rPr>
        <w:t xml:space="preserve"> and Lewis, A. (2016) ‘Methods of assessment’, in </w:t>
      </w:r>
      <w:r w:rsidR="00646BCD" w:rsidRPr="00231E27">
        <w:rPr>
          <w:rFonts w:ascii="Arial" w:hAnsi="Arial" w:cs="Arial"/>
          <w:sz w:val="24"/>
          <w:szCs w:val="24"/>
        </w:rPr>
        <w:t>an</w:t>
      </w:r>
      <w:r w:rsidRPr="00231E27">
        <w:rPr>
          <w:rFonts w:ascii="Arial" w:hAnsi="Arial" w:cs="Arial"/>
          <w:sz w:val="24"/>
          <w:szCs w:val="24"/>
        </w:rPr>
        <w:t xml:space="preserve"> introduction to the Foundation Phase: Early Years Curriculum in Wales. London: Bloomsbury Academic, pp. 115–138. Available at: http://dx.doi.org/10.5040/9781474264310.ch-006 (Accessed: 16 October 2025).</w:t>
      </w:r>
    </w:p>
    <w:p w14:paraId="1F04F32D" w14:textId="77777777" w:rsidR="00431D8D" w:rsidRPr="00B8376E" w:rsidRDefault="00431D8D" w:rsidP="00B8376E">
      <w:pPr>
        <w:spacing w:line="360" w:lineRule="auto"/>
        <w:rPr>
          <w:rFonts w:ascii="Arial" w:hAnsi="Arial" w:cs="Arial"/>
          <w:sz w:val="24"/>
          <w:szCs w:val="24"/>
        </w:rPr>
      </w:pPr>
      <w:r w:rsidRPr="00B8376E">
        <w:rPr>
          <w:rFonts w:ascii="Arial" w:hAnsi="Arial" w:cs="Arial"/>
          <w:sz w:val="24"/>
          <w:szCs w:val="24"/>
        </w:rPr>
        <w:t xml:space="preserve">UK Government. (2010) </w:t>
      </w:r>
      <w:r w:rsidRPr="00B8376E">
        <w:rPr>
          <w:rFonts w:ascii="Arial" w:hAnsi="Arial" w:cs="Arial"/>
          <w:i/>
          <w:iCs/>
          <w:sz w:val="24"/>
          <w:szCs w:val="24"/>
        </w:rPr>
        <w:t>Equality Act 2010</w:t>
      </w:r>
      <w:r w:rsidRPr="00B8376E">
        <w:rPr>
          <w:rFonts w:ascii="Arial" w:hAnsi="Arial" w:cs="Arial"/>
          <w:sz w:val="24"/>
          <w:szCs w:val="24"/>
        </w:rPr>
        <w:t xml:space="preserve">. [Online] Available at: </w:t>
      </w:r>
      <w:hyperlink r:id="rId25" w:history="1">
        <w:r w:rsidRPr="00B8376E">
          <w:rPr>
            <w:rStyle w:val="Hyperlink"/>
            <w:rFonts w:ascii="Arial" w:hAnsi="Arial" w:cs="Arial"/>
            <w:sz w:val="24"/>
            <w:szCs w:val="24"/>
          </w:rPr>
          <w:t>https://www.legislation.gov.uk/ukpga/2010/9/contents</w:t>
        </w:r>
      </w:hyperlink>
      <w:r w:rsidRPr="00B8376E">
        <w:rPr>
          <w:rFonts w:ascii="Arial" w:hAnsi="Arial" w:cs="Arial"/>
          <w:sz w:val="24"/>
          <w:szCs w:val="24"/>
        </w:rPr>
        <w:t xml:space="preserve"> [Accessed 5 Oct. 2025].</w:t>
      </w:r>
    </w:p>
    <w:p w14:paraId="0A11877A" w14:textId="77777777" w:rsidR="002F1038" w:rsidRDefault="002F1038"/>
    <w:p w14:paraId="1F8CD840" w14:textId="4289320C" w:rsidR="002F1038" w:rsidRDefault="002E71CB">
      <w:r>
        <w:t>Font 12</w:t>
      </w:r>
      <w:r>
        <w:br/>
        <w:t xml:space="preserve">1.5 line spacing </w:t>
      </w:r>
      <w:r>
        <w:br/>
        <w:t>ariel</w:t>
      </w:r>
      <w:r>
        <w:br/>
      </w:r>
      <w:r>
        <w:br/>
      </w:r>
      <w:r>
        <w:br/>
      </w:r>
      <w:r>
        <w:br/>
      </w:r>
    </w:p>
    <w:sectPr w:rsidR="002F1038">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E954A" w14:textId="77777777" w:rsidR="00B71252" w:rsidRDefault="00B71252" w:rsidP="007C04D5">
      <w:pPr>
        <w:spacing w:after="0" w:line="240" w:lineRule="auto"/>
      </w:pPr>
      <w:r>
        <w:separator/>
      </w:r>
    </w:p>
  </w:endnote>
  <w:endnote w:type="continuationSeparator" w:id="0">
    <w:p w14:paraId="1C22AFCB" w14:textId="77777777" w:rsidR="00B71252" w:rsidRDefault="00B71252" w:rsidP="007C0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636B2" w14:textId="77777777" w:rsidR="00B71252" w:rsidRDefault="00B71252" w:rsidP="007C04D5">
      <w:pPr>
        <w:spacing w:after="0" w:line="240" w:lineRule="auto"/>
      </w:pPr>
      <w:r>
        <w:separator/>
      </w:r>
    </w:p>
  </w:footnote>
  <w:footnote w:type="continuationSeparator" w:id="0">
    <w:p w14:paraId="22C522F3" w14:textId="77777777" w:rsidR="00B71252" w:rsidRDefault="00B71252" w:rsidP="007C0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FDEF" w14:textId="045EAD4A" w:rsidR="007C04D5" w:rsidRDefault="001B62B1">
    <w:pPr>
      <w:pStyle w:val="Header"/>
    </w:pPr>
    <w:r>
      <w:t>Course</w:t>
    </w:r>
    <w:r w:rsidR="009B0413">
      <w:t xml:space="preserve">: </w:t>
    </w:r>
    <w:r w:rsidR="007C04D5">
      <w:t>ECEY5010</w:t>
    </w:r>
    <w:r w:rsidR="007C04D5">
      <w:tab/>
    </w:r>
    <w:r>
      <w:t>Student number: 2004479</w:t>
    </w:r>
    <w: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30656"/>
    <w:multiLevelType w:val="hybridMultilevel"/>
    <w:tmpl w:val="2AA2E296"/>
    <w:lvl w:ilvl="0" w:tplc="98EE8B0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6A75A5"/>
    <w:multiLevelType w:val="multilevel"/>
    <w:tmpl w:val="32AE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E744EE"/>
    <w:multiLevelType w:val="hybridMultilevel"/>
    <w:tmpl w:val="80746A7C"/>
    <w:lvl w:ilvl="0" w:tplc="6CE4F1A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868613">
    <w:abstractNumId w:val="2"/>
  </w:num>
  <w:num w:numId="2" w16cid:durableId="30880205">
    <w:abstractNumId w:val="0"/>
  </w:num>
  <w:num w:numId="3" w16cid:durableId="462044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328"/>
    <w:rsid w:val="00000138"/>
    <w:rsid w:val="00000661"/>
    <w:rsid w:val="00002786"/>
    <w:rsid w:val="000034C1"/>
    <w:rsid w:val="000077C6"/>
    <w:rsid w:val="000101B2"/>
    <w:rsid w:val="0001091F"/>
    <w:rsid w:val="00010F89"/>
    <w:rsid w:val="000178E7"/>
    <w:rsid w:val="00023163"/>
    <w:rsid w:val="00023B9D"/>
    <w:rsid w:val="00034577"/>
    <w:rsid w:val="00040E34"/>
    <w:rsid w:val="00043070"/>
    <w:rsid w:val="000508AD"/>
    <w:rsid w:val="000543F0"/>
    <w:rsid w:val="000549BE"/>
    <w:rsid w:val="00055B7E"/>
    <w:rsid w:val="00055D3A"/>
    <w:rsid w:val="00063A13"/>
    <w:rsid w:val="0006722B"/>
    <w:rsid w:val="00073223"/>
    <w:rsid w:val="00074867"/>
    <w:rsid w:val="00074A6B"/>
    <w:rsid w:val="000862F2"/>
    <w:rsid w:val="000909FD"/>
    <w:rsid w:val="00091106"/>
    <w:rsid w:val="00091AC9"/>
    <w:rsid w:val="0009205A"/>
    <w:rsid w:val="00092DD4"/>
    <w:rsid w:val="00093D3D"/>
    <w:rsid w:val="00095366"/>
    <w:rsid w:val="00096772"/>
    <w:rsid w:val="000A2BB0"/>
    <w:rsid w:val="000A6AD9"/>
    <w:rsid w:val="000A764D"/>
    <w:rsid w:val="000B38A2"/>
    <w:rsid w:val="000B4C6A"/>
    <w:rsid w:val="000B5328"/>
    <w:rsid w:val="000B55AB"/>
    <w:rsid w:val="000C229F"/>
    <w:rsid w:val="000C2BCC"/>
    <w:rsid w:val="000C47C7"/>
    <w:rsid w:val="000C76BB"/>
    <w:rsid w:val="000C78FD"/>
    <w:rsid w:val="000D021C"/>
    <w:rsid w:val="000D0B83"/>
    <w:rsid w:val="000D580C"/>
    <w:rsid w:val="000D711B"/>
    <w:rsid w:val="000E0B4A"/>
    <w:rsid w:val="000E1E89"/>
    <w:rsid w:val="000E27AE"/>
    <w:rsid w:val="000E4184"/>
    <w:rsid w:val="000E53B0"/>
    <w:rsid w:val="000E6105"/>
    <w:rsid w:val="000E6C6B"/>
    <w:rsid w:val="000F2C85"/>
    <w:rsid w:val="000F649D"/>
    <w:rsid w:val="00100496"/>
    <w:rsid w:val="00101ABF"/>
    <w:rsid w:val="0010351A"/>
    <w:rsid w:val="00104A2A"/>
    <w:rsid w:val="00104B2E"/>
    <w:rsid w:val="00105DDF"/>
    <w:rsid w:val="00110449"/>
    <w:rsid w:val="001147A5"/>
    <w:rsid w:val="001173A7"/>
    <w:rsid w:val="00123491"/>
    <w:rsid w:val="00124488"/>
    <w:rsid w:val="00135792"/>
    <w:rsid w:val="00141800"/>
    <w:rsid w:val="00141D7F"/>
    <w:rsid w:val="00141F61"/>
    <w:rsid w:val="001503A4"/>
    <w:rsid w:val="00156640"/>
    <w:rsid w:val="001604CC"/>
    <w:rsid w:val="0016290A"/>
    <w:rsid w:val="00165ABD"/>
    <w:rsid w:val="00167758"/>
    <w:rsid w:val="001679D2"/>
    <w:rsid w:val="0017056F"/>
    <w:rsid w:val="00172B15"/>
    <w:rsid w:val="00174F3C"/>
    <w:rsid w:val="00180961"/>
    <w:rsid w:val="00180A2C"/>
    <w:rsid w:val="001813AD"/>
    <w:rsid w:val="00181999"/>
    <w:rsid w:val="00183962"/>
    <w:rsid w:val="0018495A"/>
    <w:rsid w:val="00186944"/>
    <w:rsid w:val="001A5877"/>
    <w:rsid w:val="001A6ED9"/>
    <w:rsid w:val="001A7451"/>
    <w:rsid w:val="001B2411"/>
    <w:rsid w:val="001B41CA"/>
    <w:rsid w:val="001B4637"/>
    <w:rsid w:val="001B4EB5"/>
    <w:rsid w:val="001B5652"/>
    <w:rsid w:val="001B6043"/>
    <w:rsid w:val="001B62B1"/>
    <w:rsid w:val="001B6731"/>
    <w:rsid w:val="001C2BD1"/>
    <w:rsid w:val="001C3AE2"/>
    <w:rsid w:val="001C4811"/>
    <w:rsid w:val="001C693D"/>
    <w:rsid w:val="001D04A9"/>
    <w:rsid w:val="001D085B"/>
    <w:rsid w:val="001D0D67"/>
    <w:rsid w:val="001D2225"/>
    <w:rsid w:val="001D29F5"/>
    <w:rsid w:val="001D576A"/>
    <w:rsid w:val="001D62F7"/>
    <w:rsid w:val="001D73C9"/>
    <w:rsid w:val="001E0B93"/>
    <w:rsid w:val="001E1B3D"/>
    <w:rsid w:val="001E40CC"/>
    <w:rsid w:val="001E45AF"/>
    <w:rsid w:val="001F0DEE"/>
    <w:rsid w:val="001F38FF"/>
    <w:rsid w:val="001F683F"/>
    <w:rsid w:val="001F7112"/>
    <w:rsid w:val="002022EE"/>
    <w:rsid w:val="00202451"/>
    <w:rsid w:val="00204E45"/>
    <w:rsid w:val="00213293"/>
    <w:rsid w:val="00213720"/>
    <w:rsid w:val="0021634A"/>
    <w:rsid w:val="00216472"/>
    <w:rsid w:val="00221B01"/>
    <w:rsid w:val="00222D24"/>
    <w:rsid w:val="002230EB"/>
    <w:rsid w:val="00224E68"/>
    <w:rsid w:val="00227D11"/>
    <w:rsid w:val="00227D99"/>
    <w:rsid w:val="00230948"/>
    <w:rsid w:val="002318F7"/>
    <w:rsid w:val="00231E27"/>
    <w:rsid w:val="002330E5"/>
    <w:rsid w:val="0023648B"/>
    <w:rsid w:val="00237B94"/>
    <w:rsid w:val="0024045B"/>
    <w:rsid w:val="00240A12"/>
    <w:rsid w:val="002432DC"/>
    <w:rsid w:val="00244C09"/>
    <w:rsid w:val="00246544"/>
    <w:rsid w:val="002506C4"/>
    <w:rsid w:val="002516D7"/>
    <w:rsid w:val="002532BA"/>
    <w:rsid w:val="002563A6"/>
    <w:rsid w:val="00260A57"/>
    <w:rsid w:val="002634B3"/>
    <w:rsid w:val="00270493"/>
    <w:rsid w:val="0027100A"/>
    <w:rsid w:val="00271348"/>
    <w:rsid w:val="00271748"/>
    <w:rsid w:val="00273A97"/>
    <w:rsid w:val="002748CB"/>
    <w:rsid w:val="0027569D"/>
    <w:rsid w:val="00275A9D"/>
    <w:rsid w:val="002762C3"/>
    <w:rsid w:val="00276815"/>
    <w:rsid w:val="0027681B"/>
    <w:rsid w:val="00283F63"/>
    <w:rsid w:val="00291FED"/>
    <w:rsid w:val="00294900"/>
    <w:rsid w:val="002970DD"/>
    <w:rsid w:val="002A172D"/>
    <w:rsid w:val="002A2F79"/>
    <w:rsid w:val="002B793A"/>
    <w:rsid w:val="002C0479"/>
    <w:rsid w:val="002C6714"/>
    <w:rsid w:val="002C765E"/>
    <w:rsid w:val="002D0A0B"/>
    <w:rsid w:val="002D1BFA"/>
    <w:rsid w:val="002D68D4"/>
    <w:rsid w:val="002D77E0"/>
    <w:rsid w:val="002E69B3"/>
    <w:rsid w:val="002E6E08"/>
    <w:rsid w:val="002E71CB"/>
    <w:rsid w:val="002F1038"/>
    <w:rsid w:val="002F2D57"/>
    <w:rsid w:val="002F344F"/>
    <w:rsid w:val="002F519F"/>
    <w:rsid w:val="002F5EDF"/>
    <w:rsid w:val="00301153"/>
    <w:rsid w:val="003012B3"/>
    <w:rsid w:val="00303AFE"/>
    <w:rsid w:val="0030501F"/>
    <w:rsid w:val="00305FFB"/>
    <w:rsid w:val="003072B4"/>
    <w:rsid w:val="00311DB5"/>
    <w:rsid w:val="00311F1E"/>
    <w:rsid w:val="0031202B"/>
    <w:rsid w:val="003139C9"/>
    <w:rsid w:val="003162B2"/>
    <w:rsid w:val="003220AE"/>
    <w:rsid w:val="0032496F"/>
    <w:rsid w:val="00327987"/>
    <w:rsid w:val="00331549"/>
    <w:rsid w:val="00331C45"/>
    <w:rsid w:val="00332EA9"/>
    <w:rsid w:val="0033374E"/>
    <w:rsid w:val="00335866"/>
    <w:rsid w:val="00335D73"/>
    <w:rsid w:val="00337634"/>
    <w:rsid w:val="003449EF"/>
    <w:rsid w:val="00344D46"/>
    <w:rsid w:val="0034739D"/>
    <w:rsid w:val="00351BE5"/>
    <w:rsid w:val="00352BFC"/>
    <w:rsid w:val="00352EAE"/>
    <w:rsid w:val="00353357"/>
    <w:rsid w:val="00354EFA"/>
    <w:rsid w:val="003575D9"/>
    <w:rsid w:val="003668AA"/>
    <w:rsid w:val="003736E5"/>
    <w:rsid w:val="00375ECD"/>
    <w:rsid w:val="00376242"/>
    <w:rsid w:val="00376700"/>
    <w:rsid w:val="00376C75"/>
    <w:rsid w:val="00382C39"/>
    <w:rsid w:val="00385549"/>
    <w:rsid w:val="00385675"/>
    <w:rsid w:val="003869E1"/>
    <w:rsid w:val="00387D85"/>
    <w:rsid w:val="00393515"/>
    <w:rsid w:val="00393E2A"/>
    <w:rsid w:val="00393FD4"/>
    <w:rsid w:val="00394DF8"/>
    <w:rsid w:val="0039708D"/>
    <w:rsid w:val="003A00F6"/>
    <w:rsid w:val="003A1A5F"/>
    <w:rsid w:val="003A201B"/>
    <w:rsid w:val="003A338F"/>
    <w:rsid w:val="003A4B63"/>
    <w:rsid w:val="003A78D8"/>
    <w:rsid w:val="003B115E"/>
    <w:rsid w:val="003B1BA2"/>
    <w:rsid w:val="003B1F30"/>
    <w:rsid w:val="003B6091"/>
    <w:rsid w:val="003B6D30"/>
    <w:rsid w:val="003C236C"/>
    <w:rsid w:val="003C2559"/>
    <w:rsid w:val="003C47C1"/>
    <w:rsid w:val="003C4E95"/>
    <w:rsid w:val="003D04DA"/>
    <w:rsid w:val="003D3E99"/>
    <w:rsid w:val="003D4339"/>
    <w:rsid w:val="003D5BCE"/>
    <w:rsid w:val="003D5C69"/>
    <w:rsid w:val="003E0001"/>
    <w:rsid w:val="003E26BB"/>
    <w:rsid w:val="003E311D"/>
    <w:rsid w:val="003E5F5E"/>
    <w:rsid w:val="003E64A9"/>
    <w:rsid w:val="003E6BB6"/>
    <w:rsid w:val="003E6F01"/>
    <w:rsid w:val="003F0D56"/>
    <w:rsid w:val="003F191D"/>
    <w:rsid w:val="003F3756"/>
    <w:rsid w:val="003F5937"/>
    <w:rsid w:val="00402EC4"/>
    <w:rsid w:val="00403BAB"/>
    <w:rsid w:val="00414628"/>
    <w:rsid w:val="00416589"/>
    <w:rsid w:val="004177CC"/>
    <w:rsid w:val="00420FF5"/>
    <w:rsid w:val="00431D8D"/>
    <w:rsid w:val="00431E85"/>
    <w:rsid w:val="00432376"/>
    <w:rsid w:val="00432B69"/>
    <w:rsid w:val="00436783"/>
    <w:rsid w:val="004409BD"/>
    <w:rsid w:val="004443B9"/>
    <w:rsid w:val="0044680C"/>
    <w:rsid w:val="00451674"/>
    <w:rsid w:val="00453774"/>
    <w:rsid w:val="00453A07"/>
    <w:rsid w:val="00454BB4"/>
    <w:rsid w:val="004550E5"/>
    <w:rsid w:val="00457DBB"/>
    <w:rsid w:val="00464C74"/>
    <w:rsid w:val="00466825"/>
    <w:rsid w:val="00467825"/>
    <w:rsid w:val="00470444"/>
    <w:rsid w:val="0047078F"/>
    <w:rsid w:val="00470927"/>
    <w:rsid w:val="00471730"/>
    <w:rsid w:val="00472F04"/>
    <w:rsid w:val="00474DC9"/>
    <w:rsid w:val="004863C9"/>
    <w:rsid w:val="00487F6E"/>
    <w:rsid w:val="00492EC1"/>
    <w:rsid w:val="00496FA3"/>
    <w:rsid w:val="004A1350"/>
    <w:rsid w:val="004A3636"/>
    <w:rsid w:val="004A3CD7"/>
    <w:rsid w:val="004A4391"/>
    <w:rsid w:val="004A4573"/>
    <w:rsid w:val="004A5F0B"/>
    <w:rsid w:val="004A711E"/>
    <w:rsid w:val="004A7BB9"/>
    <w:rsid w:val="004A7E5D"/>
    <w:rsid w:val="004B225F"/>
    <w:rsid w:val="004B69B1"/>
    <w:rsid w:val="004B6CFD"/>
    <w:rsid w:val="004C4C8F"/>
    <w:rsid w:val="004C628D"/>
    <w:rsid w:val="004D16F6"/>
    <w:rsid w:val="004D1D59"/>
    <w:rsid w:val="004D34BA"/>
    <w:rsid w:val="004D4754"/>
    <w:rsid w:val="004D597A"/>
    <w:rsid w:val="004D5B00"/>
    <w:rsid w:val="004E2A50"/>
    <w:rsid w:val="004F14F5"/>
    <w:rsid w:val="004F1C2D"/>
    <w:rsid w:val="004F3EDD"/>
    <w:rsid w:val="004F5518"/>
    <w:rsid w:val="004F694E"/>
    <w:rsid w:val="00502614"/>
    <w:rsid w:val="005042AA"/>
    <w:rsid w:val="00507040"/>
    <w:rsid w:val="005079F3"/>
    <w:rsid w:val="00510BBA"/>
    <w:rsid w:val="00511996"/>
    <w:rsid w:val="005124E6"/>
    <w:rsid w:val="00513FA1"/>
    <w:rsid w:val="0051459E"/>
    <w:rsid w:val="00515DE8"/>
    <w:rsid w:val="00522146"/>
    <w:rsid w:val="00523CFB"/>
    <w:rsid w:val="00524C23"/>
    <w:rsid w:val="00524C45"/>
    <w:rsid w:val="005262E0"/>
    <w:rsid w:val="00531FA3"/>
    <w:rsid w:val="0053612B"/>
    <w:rsid w:val="00540731"/>
    <w:rsid w:val="005418D1"/>
    <w:rsid w:val="005419F5"/>
    <w:rsid w:val="0054421E"/>
    <w:rsid w:val="00544430"/>
    <w:rsid w:val="00545932"/>
    <w:rsid w:val="0055025F"/>
    <w:rsid w:val="005552A3"/>
    <w:rsid w:val="00555DDF"/>
    <w:rsid w:val="0055684A"/>
    <w:rsid w:val="00560421"/>
    <w:rsid w:val="005619F2"/>
    <w:rsid w:val="005646F7"/>
    <w:rsid w:val="00566A34"/>
    <w:rsid w:val="00571AAD"/>
    <w:rsid w:val="00571D14"/>
    <w:rsid w:val="005758EE"/>
    <w:rsid w:val="00575A91"/>
    <w:rsid w:val="0058014F"/>
    <w:rsid w:val="00582D62"/>
    <w:rsid w:val="00587256"/>
    <w:rsid w:val="005909A6"/>
    <w:rsid w:val="00591A1E"/>
    <w:rsid w:val="00591FCC"/>
    <w:rsid w:val="005943C3"/>
    <w:rsid w:val="00594B4E"/>
    <w:rsid w:val="0059556E"/>
    <w:rsid w:val="005960FA"/>
    <w:rsid w:val="005A0FF5"/>
    <w:rsid w:val="005A2FFB"/>
    <w:rsid w:val="005A410C"/>
    <w:rsid w:val="005A4487"/>
    <w:rsid w:val="005A4D9E"/>
    <w:rsid w:val="005A749C"/>
    <w:rsid w:val="005B094D"/>
    <w:rsid w:val="005B12A8"/>
    <w:rsid w:val="005B219B"/>
    <w:rsid w:val="005B3D98"/>
    <w:rsid w:val="005B415B"/>
    <w:rsid w:val="005B5907"/>
    <w:rsid w:val="005B61C8"/>
    <w:rsid w:val="005C7C48"/>
    <w:rsid w:val="005D6D76"/>
    <w:rsid w:val="005E1829"/>
    <w:rsid w:val="005E2BD9"/>
    <w:rsid w:val="005E3397"/>
    <w:rsid w:val="005E4D5F"/>
    <w:rsid w:val="005E6C75"/>
    <w:rsid w:val="005F0D94"/>
    <w:rsid w:val="005F212F"/>
    <w:rsid w:val="005F42DE"/>
    <w:rsid w:val="005F476B"/>
    <w:rsid w:val="005F7085"/>
    <w:rsid w:val="005F7582"/>
    <w:rsid w:val="005F7757"/>
    <w:rsid w:val="00603392"/>
    <w:rsid w:val="006105FB"/>
    <w:rsid w:val="006112F5"/>
    <w:rsid w:val="00614EA2"/>
    <w:rsid w:val="00615B4B"/>
    <w:rsid w:val="00616099"/>
    <w:rsid w:val="006179A3"/>
    <w:rsid w:val="0062046B"/>
    <w:rsid w:val="006221C0"/>
    <w:rsid w:val="006229D7"/>
    <w:rsid w:val="00623942"/>
    <w:rsid w:val="00624DAE"/>
    <w:rsid w:val="00625DB0"/>
    <w:rsid w:val="006269A8"/>
    <w:rsid w:val="00630755"/>
    <w:rsid w:val="00630C50"/>
    <w:rsid w:val="006318D0"/>
    <w:rsid w:val="00631F69"/>
    <w:rsid w:val="00632084"/>
    <w:rsid w:val="00632329"/>
    <w:rsid w:val="006338EB"/>
    <w:rsid w:val="0064042C"/>
    <w:rsid w:val="00646BCD"/>
    <w:rsid w:val="00647731"/>
    <w:rsid w:val="00654BAC"/>
    <w:rsid w:val="00655EA3"/>
    <w:rsid w:val="00662931"/>
    <w:rsid w:val="00663BDA"/>
    <w:rsid w:val="00664745"/>
    <w:rsid w:val="0067023B"/>
    <w:rsid w:val="00670D28"/>
    <w:rsid w:val="00671B36"/>
    <w:rsid w:val="00671F07"/>
    <w:rsid w:val="0067578B"/>
    <w:rsid w:val="00677F3B"/>
    <w:rsid w:val="006830F3"/>
    <w:rsid w:val="006872B9"/>
    <w:rsid w:val="00691169"/>
    <w:rsid w:val="00691EBF"/>
    <w:rsid w:val="00692D8B"/>
    <w:rsid w:val="0069411D"/>
    <w:rsid w:val="00697F42"/>
    <w:rsid w:val="00697F81"/>
    <w:rsid w:val="006A29A0"/>
    <w:rsid w:val="006A3170"/>
    <w:rsid w:val="006A3872"/>
    <w:rsid w:val="006B14EB"/>
    <w:rsid w:val="006B321C"/>
    <w:rsid w:val="006B375E"/>
    <w:rsid w:val="006B71C2"/>
    <w:rsid w:val="006C02F3"/>
    <w:rsid w:val="006C1013"/>
    <w:rsid w:val="006C1A98"/>
    <w:rsid w:val="006C26E9"/>
    <w:rsid w:val="006C2D3C"/>
    <w:rsid w:val="006C3392"/>
    <w:rsid w:val="006C5ADA"/>
    <w:rsid w:val="006C60DC"/>
    <w:rsid w:val="006C68FC"/>
    <w:rsid w:val="006C6CAF"/>
    <w:rsid w:val="006C7E88"/>
    <w:rsid w:val="006D1586"/>
    <w:rsid w:val="006D279C"/>
    <w:rsid w:val="006D3C5B"/>
    <w:rsid w:val="006D3FE9"/>
    <w:rsid w:val="006D5518"/>
    <w:rsid w:val="006D7ED9"/>
    <w:rsid w:val="006E083D"/>
    <w:rsid w:val="006E3B2D"/>
    <w:rsid w:val="006E4706"/>
    <w:rsid w:val="006F1C6A"/>
    <w:rsid w:val="006F5DF1"/>
    <w:rsid w:val="006F657A"/>
    <w:rsid w:val="0070232B"/>
    <w:rsid w:val="0070289D"/>
    <w:rsid w:val="00704D83"/>
    <w:rsid w:val="007148FF"/>
    <w:rsid w:val="00720FB2"/>
    <w:rsid w:val="00723BDE"/>
    <w:rsid w:val="00730499"/>
    <w:rsid w:val="007304FC"/>
    <w:rsid w:val="00730D27"/>
    <w:rsid w:val="00731B8E"/>
    <w:rsid w:val="007327BB"/>
    <w:rsid w:val="00734C2F"/>
    <w:rsid w:val="00735035"/>
    <w:rsid w:val="00737A97"/>
    <w:rsid w:val="0074045B"/>
    <w:rsid w:val="0074373C"/>
    <w:rsid w:val="0074598C"/>
    <w:rsid w:val="00745FF4"/>
    <w:rsid w:val="0074776A"/>
    <w:rsid w:val="00747955"/>
    <w:rsid w:val="007529BC"/>
    <w:rsid w:val="0075554B"/>
    <w:rsid w:val="00756B82"/>
    <w:rsid w:val="00756DE1"/>
    <w:rsid w:val="00760A4A"/>
    <w:rsid w:val="007636BA"/>
    <w:rsid w:val="00764124"/>
    <w:rsid w:val="00764BF5"/>
    <w:rsid w:val="00765768"/>
    <w:rsid w:val="007657F6"/>
    <w:rsid w:val="00765871"/>
    <w:rsid w:val="0077674D"/>
    <w:rsid w:val="00787903"/>
    <w:rsid w:val="00790A85"/>
    <w:rsid w:val="0079105D"/>
    <w:rsid w:val="00791F7C"/>
    <w:rsid w:val="00792357"/>
    <w:rsid w:val="00795AF8"/>
    <w:rsid w:val="007971FC"/>
    <w:rsid w:val="007974F6"/>
    <w:rsid w:val="007A1005"/>
    <w:rsid w:val="007A3239"/>
    <w:rsid w:val="007A3E69"/>
    <w:rsid w:val="007A7C0D"/>
    <w:rsid w:val="007B306F"/>
    <w:rsid w:val="007B387E"/>
    <w:rsid w:val="007B442A"/>
    <w:rsid w:val="007B7D31"/>
    <w:rsid w:val="007B7F1E"/>
    <w:rsid w:val="007C04D5"/>
    <w:rsid w:val="007C5EAE"/>
    <w:rsid w:val="007C63FB"/>
    <w:rsid w:val="007D0E99"/>
    <w:rsid w:val="007D1264"/>
    <w:rsid w:val="007D4310"/>
    <w:rsid w:val="007D6898"/>
    <w:rsid w:val="007E0DB2"/>
    <w:rsid w:val="007E105B"/>
    <w:rsid w:val="007E18E8"/>
    <w:rsid w:val="007E3305"/>
    <w:rsid w:val="007E7EAC"/>
    <w:rsid w:val="007F02D0"/>
    <w:rsid w:val="007F14ED"/>
    <w:rsid w:val="007F2431"/>
    <w:rsid w:val="007F262F"/>
    <w:rsid w:val="007F34A2"/>
    <w:rsid w:val="007F5D64"/>
    <w:rsid w:val="007F60B4"/>
    <w:rsid w:val="008046A5"/>
    <w:rsid w:val="00805E74"/>
    <w:rsid w:val="00807A07"/>
    <w:rsid w:val="00812E1B"/>
    <w:rsid w:val="008148FF"/>
    <w:rsid w:val="00816CA5"/>
    <w:rsid w:val="008174D5"/>
    <w:rsid w:val="008232E5"/>
    <w:rsid w:val="00824881"/>
    <w:rsid w:val="008308E9"/>
    <w:rsid w:val="0083254D"/>
    <w:rsid w:val="00832853"/>
    <w:rsid w:val="00833987"/>
    <w:rsid w:val="00837690"/>
    <w:rsid w:val="0084255A"/>
    <w:rsid w:val="00855AE6"/>
    <w:rsid w:val="00855DD0"/>
    <w:rsid w:val="00856231"/>
    <w:rsid w:val="008611D8"/>
    <w:rsid w:val="008670BD"/>
    <w:rsid w:val="0086792C"/>
    <w:rsid w:val="008704A0"/>
    <w:rsid w:val="00870DBF"/>
    <w:rsid w:val="008735AE"/>
    <w:rsid w:val="008777AD"/>
    <w:rsid w:val="008777D4"/>
    <w:rsid w:val="008851AB"/>
    <w:rsid w:val="00890018"/>
    <w:rsid w:val="00892CEB"/>
    <w:rsid w:val="008A1E66"/>
    <w:rsid w:val="008A3602"/>
    <w:rsid w:val="008A6A16"/>
    <w:rsid w:val="008A6DBD"/>
    <w:rsid w:val="008A7C48"/>
    <w:rsid w:val="008B0169"/>
    <w:rsid w:val="008B2170"/>
    <w:rsid w:val="008B5971"/>
    <w:rsid w:val="008B6098"/>
    <w:rsid w:val="008B7155"/>
    <w:rsid w:val="008C0B0E"/>
    <w:rsid w:val="008C15D2"/>
    <w:rsid w:val="008C1982"/>
    <w:rsid w:val="008D3637"/>
    <w:rsid w:val="008D687C"/>
    <w:rsid w:val="008D7FB7"/>
    <w:rsid w:val="008E4140"/>
    <w:rsid w:val="008E535F"/>
    <w:rsid w:val="008E5AE3"/>
    <w:rsid w:val="008E7256"/>
    <w:rsid w:val="008F358C"/>
    <w:rsid w:val="00903D27"/>
    <w:rsid w:val="00903DB3"/>
    <w:rsid w:val="00907C7D"/>
    <w:rsid w:val="0091502B"/>
    <w:rsid w:val="00922C6C"/>
    <w:rsid w:val="00931630"/>
    <w:rsid w:val="00932602"/>
    <w:rsid w:val="009336EB"/>
    <w:rsid w:val="00935471"/>
    <w:rsid w:val="00935AD6"/>
    <w:rsid w:val="00936310"/>
    <w:rsid w:val="00936C45"/>
    <w:rsid w:val="0094554B"/>
    <w:rsid w:val="009463F9"/>
    <w:rsid w:val="00946DD8"/>
    <w:rsid w:val="00947CE2"/>
    <w:rsid w:val="009515EB"/>
    <w:rsid w:val="009545B3"/>
    <w:rsid w:val="00961D98"/>
    <w:rsid w:val="0096291E"/>
    <w:rsid w:val="00964AEA"/>
    <w:rsid w:val="00966E8B"/>
    <w:rsid w:val="00974642"/>
    <w:rsid w:val="009749D5"/>
    <w:rsid w:val="00975663"/>
    <w:rsid w:val="00976F49"/>
    <w:rsid w:val="009809B3"/>
    <w:rsid w:val="00981EC6"/>
    <w:rsid w:val="009837F9"/>
    <w:rsid w:val="00985DCD"/>
    <w:rsid w:val="00990149"/>
    <w:rsid w:val="00992D3F"/>
    <w:rsid w:val="009940D9"/>
    <w:rsid w:val="009A0179"/>
    <w:rsid w:val="009A18D4"/>
    <w:rsid w:val="009A1CD3"/>
    <w:rsid w:val="009A276D"/>
    <w:rsid w:val="009A3A95"/>
    <w:rsid w:val="009A4E92"/>
    <w:rsid w:val="009B0413"/>
    <w:rsid w:val="009B1C8E"/>
    <w:rsid w:val="009B25CD"/>
    <w:rsid w:val="009B2998"/>
    <w:rsid w:val="009B6DA3"/>
    <w:rsid w:val="009C525A"/>
    <w:rsid w:val="009D1ACA"/>
    <w:rsid w:val="009D295B"/>
    <w:rsid w:val="009D3D8A"/>
    <w:rsid w:val="009D4B37"/>
    <w:rsid w:val="009D59FD"/>
    <w:rsid w:val="009D7B3A"/>
    <w:rsid w:val="009E1EE1"/>
    <w:rsid w:val="009E5761"/>
    <w:rsid w:val="009F06C5"/>
    <w:rsid w:val="009F18DF"/>
    <w:rsid w:val="009F1D6B"/>
    <w:rsid w:val="009F4770"/>
    <w:rsid w:val="009F5696"/>
    <w:rsid w:val="009F7D02"/>
    <w:rsid w:val="00A0182F"/>
    <w:rsid w:val="00A059EA"/>
    <w:rsid w:val="00A05C3D"/>
    <w:rsid w:val="00A0723D"/>
    <w:rsid w:val="00A07765"/>
    <w:rsid w:val="00A07B77"/>
    <w:rsid w:val="00A11D70"/>
    <w:rsid w:val="00A13727"/>
    <w:rsid w:val="00A14564"/>
    <w:rsid w:val="00A14880"/>
    <w:rsid w:val="00A16DCF"/>
    <w:rsid w:val="00A26637"/>
    <w:rsid w:val="00A30B3D"/>
    <w:rsid w:val="00A31CE6"/>
    <w:rsid w:val="00A347E3"/>
    <w:rsid w:val="00A35AAC"/>
    <w:rsid w:val="00A41D45"/>
    <w:rsid w:val="00A4540F"/>
    <w:rsid w:val="00A46E17"/>
    <w:rsid w:val="00A515A2"/>
    <w:rsid w:val="00A54138"/>
    <w:rsid w:val="00A5437B"/>
    <w:rsid w:val="00A54BBB"/>
    <w:rsid w:val="00A57723"/>
    <w:rsid w:val="00A60F43"/>
    <w:rsid w:val="00A61649"/>
    <w:rsid w:val="00A66C14"/>
    <w:rsid w:val="00A70C83"/>
    <w:rsid w:val="00A712B4"/>
    <w:rsid w:val="00A73A91"/>
    <w:rsid w:val="00A75245"/>
    <w:rsid w:val="00A768ED"/>
    <w:rsid w:val="00A8146F"/>
    <w:rsid w:val="00A83707"/>
    <w:rsid w:val="00A90D57"/>
    <w:rsid w:val="00A960F9"/>
    <w:rsid w:val="00A96234"/>
    <w:rsid w:val="00A974E8"/>
    <w:rsid w:val="00A97F66"/>
    <w:rsid w:val="00AA1AFA"/>
    <w:rsid w:val="00AA286A"/>
    <w:rsid w:val="00AA3A06"/>
    <w:rsid w:val="00AA3DC6"/>
    <w:rsid w:val="00AA5BE4"/>
    <w:rsid w:val="00AA77B4"/>
    <w:rsid w:val="00AB1E3E"/>
    <w:rsid w:val="00AB6E64"/>
    <w:rsid w:val="00AC3BDA"/>
    <w:rsid w:val="00AC5BB9"/>
    <w:rsid w:val="00AC5D27"/>
    <w:rsid w:val="00AD0667"/>
    <w:rsid w:val="00AD377A"/>
    <w:rsid w:val="00AD46FA"/>
    <w:rsid w:val="00AD5028"/>
    <w:rsid w:val="00AD740C"/>
    <w:rsid w:val="00AE08C1"/>
    <w:rsid w:val="00AE1E44"/>
    <w:rsid w:val="00AE4BC2"/>
    <w:rsid w:val="00AE5011"/>
    <w:rsid w:val="00AE5812"/>
    <w:rsid w:val="00AF00CB"/>
    <w:rsid w:val="00AF2872"/>
    <w:rsid w:val="00AF3AC0"/>
    <w:rsid w:val="00AF3FA9"/>
    <w:rsid w:val="00AF5874"/>
    <w:rsid w:val="00B01053"/>
    <w:rsid w:val="00B02959"/>
    <w:rsid w:val="00B03330"/>
    <w:rsid w:val="00B0509F"/>
    <w:rsid w:val="00B0655D"/>
    <w:rsid w:val="00B07F2A"/>
    <w:rsid w:val="00B10747"/>
    <w:rsid w:val="00B10B3F"/>
    <w:rsid w:val="00B1253F"/>
    <w:rsid w:val="00B13270"/>
    <w:rsid w:val="00B13CCC"/>
    <w:rsid w:val="00B1416D"/>
    <w:rsid w:val="00B16B69"/>
    <w:rsid w:val="00B16C9E"/>
    <w:rsid w:val="00B17BB4"/>
    <w:rsid w:val="00B23F48"/>
    <w:rsid w:val="00B25A8E"/>
    <w:rsid w:val="00B35365"/>
    <w:rsid w:val="00B37235"/>
    <w:rsid w:val="00B403D0"/>
    <w:rsid w:val="00B4318A"/>
    <w:rsid w:val="00B4360D"/>
    <w:rsid w:val="00B46958"/>
    <w:rsid w:val="00B472A4"/>
    <w:rsid w:val="00B51E52"/>
    <w:rsid w:val="00B5436E"/>
    <w:rsid w:val="00B55A6E"/>
    <w:rsid w:val="00B60DE9"/>
    <w:rsid w:val="00B621AC"/>
    <w:rsid w:val="00B6328B"/>
    <w:rsid w:val="00B64538"/>
    <w:rsid w:val="00B64E4C"/>
    <w:rsid w:val="00B71252"/>
    <w:rsid w:val="00B7332C"/>
    <w:rsid w:val="00B73B43"/>
    <w:rsid w:val="00B73EA8"/>
    <w:rsid w:val="00B769B4"/>
    <w:rsid w:val="00B832D3"/>
    <w:rsid w:val="00B8376E"/>
    <w:rsid w:val="00B840EA"/>
    <w:rsid w:val="00B924D0"/>
    <w:rsid w:val="00B944D1"/>
    <w:rsid w:val="00B970BC"/>
    <w:rsid w:val="00BA1D2E"/>
    <w:rsid w:val="00BA3F20"/>
    <w:rsid w:val="00BB0DF3"/>
    <w:rsid w:val="00BB2F44"/>
    <w:rsid w:val="00BB326E"/>
    <w:rsid w:val="00BB4919"/>
    <w:rsid w:val="00BB63E4"/>
    <w:rsid w:val="00BC041C"/>
    <w:rsid w:val="00BC0DB1"/>
    <w:rsid w:val="00BC323B"/>
    <w:rsid w:val="00BC574C"/>
    <w:rsid w:val="00BD355E"/>
    <w:rsid w:val="00BD51CB"/>
    <w:rsid w:val="00BE1E1D"/>
    <w:rsid w:val="00BE54E5"/>
    <w:rsid w:val="00BE7A96"/>
    <w:rsid w:val="00BF2CD5"/>
    <w:rsid w:val="00BF4531"/>
    <w:rsid w:val="00C0041D"/>
    <w:rsid w:val="00C01988"/>
    <w:rsid w:val="00C048DE"/>
    <w:rsid w:val="00C04F62"/>
    <w:rsid w:val="00C0545E"/>
    <w:rsid w:val="00C06F0A"/>
    <w:rsid w:val="00C15D77"/>
    <w:rsid w:val="00C16BB0"/>
    <w:rsid w:val="00C17E7C"/>
    <w:rsid w:val="00C21E3E"/>
    <w:rsid w:val="00C3070F"/>
    <w:rsid w:val="00C308EC"/>
    <w:rsid w:val="00C31146"/>
    <w:rsid w:val="00C31B57"/>
    <w:rsid w:val="00C32A0E"/>
    <w:rsid w:val="00C3346E"/>
    <w:rsid w:val="00C3448D"/>
    <w:rsid w:val="00C34EB2"/>
    <w:rsid w:val="00C36928"/>
    <w:rsid w:val="00C40D26"/>
    <w:rsid w:val="00C44291"/>
    <w:rsid w:val="00C44D9A"/>
    <w:rsid w:val="00C46582"/>
    <w:rsid w:val="00C47654"/>
    <w:rsid w:val="00C53EE8"/>
    <w:rsid w:val="00C56096"/>
    <w:rsid w:val="00C56B0A"/>
    <w:rsid w:val="00C56E41"/>
    <w:rsid w:val="00C56E69"/>
    <w:rsid w:val="00C6308A"/>
    <w:rsid w:val="00C63966"/>
    <w:rsid w:val="00C67FB3"/>
    <w:rsid w:val="00C70C2F"/>
    <w:rsid w:val="00C7104A"/>
    <w:rsid w:val="00C74F5F"/>
    <w:rsid w:val="00C76630"/>
    <w:rsid w:val="00C96DAD"/>
    <w:rsid w:val="00C97210"/>
    <w:rsid w:val="00CA6EC5"/>
    <w:rsid w:val="00CB06EF"/>
    <w:rsid w:val="00CB210E"/>
    <w:rsid w:val="00CB2115"/>
    <w:rsid w:val="00CB3057"/>
    <w:rsid w:val="00CC2400"/>
    <w:rsid w:val="00CC3FE0"/>
    <w:rsid w:val="00CC4A1A"/>
    <w:rsid w:val="00CC6A00"/>
    <w:rsid w:val="00CD0B52"/>
    <w:rsid w:val="00CD1BB8"/>
    <w:rsid w:val="00CD2289"/>
    <w:rsid w:val="00CD4D8F"/>
    <w:rsid w:val="00CD6466"/>
    <w:rsid w:val="00CD7BBF"/>
    <w:rsid w:val="00CE12F5"/>
    <w:rsid w:val="00CE26D2"/>
    <w:rsid w:val="00CE3352"/>
    <w:rsid w:val="00CE4490"/>
    <w:rsid w:val="00CE4F1B"/>
    <w:rsid w:val="00CE4FF0"/>
    <w:rsid w:val="00CF0346"/>
    <w:rsid w:val="00CF3155"/>
    <w:rsid w:val="00CF3718"/>
    <w:rsid w:val="00CF5C1E"/>
    <w:rsid w:val="00D00813"/>
    <w:rsid w:val="00D02B24"/>
    <w:rsid w:val="00D0458A"/>
    <w:rsid w:val="00D04D5E"/>
    <w:rsid w:val="00D057D9"/>
    <w:rsid w:val="00D07108"/>
    <w:rsid w:val="00D13FD3"/>
    <w:rsid w:val="00D14800"/>
    <w:rsid w:val="00D16173"/>
    <w:rsid w:val="00D2301A"/>
    <w:rsid w:val="00D23F91"/>
    <w:rsid w:val="00D26844"/>
    <w:rsid w:val="00D33EF4"/>
    <w:rsid w:val="00D35B22"/>
    <w:rsid w:val="00D35C91"/>
    <w:rsid w:val="00D36C02"/>
    <w:rsid w:val="00D3779E"/>
    <w:rsid w:val="00D40A78"/>
    <w:rsid w:val="00D41C03"/>
    <w:rsid w:val="00D444FC"/>
    <w:rsid w:val="00D44DDB"/>
    <w:rsid w:val="00D54336"/>
    <w:rsid w:val="00D565A7"/>
    <w:rsid w:val="00D5777F"/>
    <w:rsid w:val="00D60925"/>
    <w:rsid w:val="00D61ABB"/>
    <w:rsid w:val="00D67BDF"/>
    <w:rsid w:val="00D70244"/>
    <w:rsid w:val="00D72AE6"/>
    <w:rsid w:val="00D75299"/>
    <w:rsid w:val="00D77491"/>
    <w:rsid w:val="00D82B47"/>
    <w:rsid w:val="00D841C2"/>
    <w:rsid w:val="00D86212"/>
    <w:rsid w:val="00D94C47"/>
    <w:rsid w:val="00DA3076"/>
    <w:rsid w:val="00DA5286"/>
    <w:rsid w:val="00DA6BB3"/>
    <w:rsid w:val="00DA71AC"/>
    <w:rsid w:val="00DA7C7C"/>
    <w:rsid w:val="00DB180F"/>
    <w:rsid w:val="00DB629E"/>
    <w:rsid w:val="00DC54C8"/>
    <w:rsid w:val="00DC6219"/>
    <w:rsid w:val="00DD09D1"/>
    <w:rsid w:val="00DD0D4B"/>
    <w:rsid w:val="00DD3510"/>
    <w:rsid w:val="00DD4E9C"/>
    <w:rsid w:val="00DE5184"/>
    <w:rsid w:val="00DE75FC"/>
    <w:rsid w:val="00DF053F"/>
    <w:rsid w:val="00DF3380"/>
    <w:rsid w:val="00DF3574"/>
    <w:rsid w:val="00DF3927"/>
    <w:rsid w:val="00DF3930"/>
    <w:rsid w:val="00DF6A20"/>
    <w:rsid w:val="00DF6EDA"/>
    <w:rsid w:val="00E030AB"/>
    <w:rsid w:val="00E0701C"/>
    <w:rsid w:val="00E10ABA"/>
    <w:rsid w:val="00E158E9"/>
    <w:rsid w:val="00E1755C"/>
    <w:rsid w:val="00E22ABB"/>
    <w:rsid w:val="00E23DFF"/>
    <w:rsid w:val="00E2506D"/>
    <w:rsid w:val="00E32184"/>
    <w:rsid w:val="00E376BA"/>
    <w:rsid w:val="00E4453A"/>
    <w:rsid w:val="00E46FBD"/>
    <w:rsid w:val="00E5086B"/>
    <w:rsid w:val="00E50FAA"/>
    <w:rsid w:val="00E512D8"/>
    <w:rsid w:val="00E574C7"/>
    <w:rsid w:val="00E61CE8"/>
    <w:rsid w:val="00E64D9C"/>
    <w:rsid w:val="00E658B9"/>
    <w:rsid w:val="00E66F19"/>
    <w:rsid w:val="00E67C84"/>
    <w:rsid w:val="00E704A3"/>
    <w:rsid w:val="00E72C7E"/>
    <w:rsid w:val="00E73593"/>
    <w:rsid w:val="00E73735"/>
    <w:rsid w:val="00E75AB9"/>
    <w:rsid w:val="00E858E8"/>
    <w:rsid w:val="00E9385F"/>
    <w:rsid w:val="00E939E6"/>
    <w:rsid w:val="00E93E0D"/>
    <w:rsid w:val="00E95FE6"/>
    <w:rsid w:val="00E96BFA"/>
    <w:rsid w:val="00E96C6D"/>
    <w:rsid w:val="00EA6257"/>
    <w:rsid w:val="00EA661A"/>
    <w:rsid w:val="00EA67AE"/>
    <w:rsid w:val="00EA7CEE"/>
    <w:rsid w:val="00EB2A1C"/>
    <w:rsid w:val="00EB2B46"/>
    <w:rsid w:val="00EB313F"/>
    <w:rsid w:val="00EB385C"/>
    <w:rsid w:val="00EC3072"/>
    <w:rsid w:val="00EC4CA6"/>
    <w:rsid w:val="00EC5B83"/>
    <w:rsid w:val="00ED0547"/>
    <w:rsid w:val="00ED160A"/>
    <w:rsid w:val="00ED3A09"/>
    <w:rsid w:val="00ED55E5"/>
    <w:rsid w:val="00EE09D2"/>
    <w:rsid w:val="00EE66E7"/>
    <w:rsid w:val="00EE6D2A"/>
    <w:rsid w:val="00EF0C1C"/>
    <w:rsid w:val="00EF3DCC"/>
    <w:rsid w:val="00EF49A9"/>
    <w:rsid w:val="00EF60BF"/>
    <w:rsid w:val="00EF6CBA"/>
    <w:rsid w:val="00EF7419"/>
    <w:rsid w:val="00F040B5"/>
    <w:rsid w:val="00F06F42"/>
    <w:rsid w:val="00F12A55"/>
    <w:rsid w:val="00F1426B"/>
    <w:rsid w:val="00F14428"/>
    <w:rsid w:val="00F14698"/>
    <w:rsid w:val="00F14A06"/>
    <w:rsid w:val="00F14B8B"/>
    <w:rsid w:val="00F15DED"/>
    <w:rsid w:val="00F174B6"/>
    <w:rsid w:val="00F21C4F"/>
    <w:rsid w:val="00F225F7"/>
    <w:rsid w:val="00F228F0"/>
    <w:rsid w:val="00F23DCC"/>
    <w:rsid w:val="00F247AC"/>
    <w:rsid w:val="00F36CD6"/>
    <w:rsid w:val="00F376CB"/>
    <w:rsid w:val="00F42417"/>
    <w:rsid w:val="00F46A96"/>
    <w:rsid w:val="00F50AEF"/>
    <w:rsid w:val="00F50B53"/>
    <w:rsid w:val="00F51613"/>
    <w:rsid w:val="00F52CE0"/>
    <w:rsid w:val="00F54341"/>
    <w:rsid w:val="00F5570F"/>
    <w:rsid w:val="00F57711"/>
    <w:rsid w:val="00F6535F"/>
    <w:rsid w:val="00F665E9"/>
    <w:rsid w:val="00F71E48"/>
    <w:rsid w:val="00F7234D"/>
    <w:rsid w:val="00F7642B"/>
    <w:rsid w:val="00F7756B"/>
    <w:rsid w:val="00F85027"/>
    <w:rsid w:val="00F864C4"/>
    <w:rsid w:val="00F92357"/>
    <w:rsid w:val="00FA366D"/>
    <w:rsid w:val="00FA560A"/>
    <w:rsid w:val="00FB04AF"/>
    <w:rsid w:val="00FB4AA0"/>
    <w:rsid w:val="00FB4EA6"/>
    <w:rsid w:val="00FB52A2"/>
    <w:rsid w:val="00FB7AC3"/>
    <w:rsid w:val="00FC1097"/>
    <w:rsid w:val="00FC68B8"/>
    <w:rsid w:val="00FC7BFC"/>
    <w:rsid w:val="00FE007E"/>
    <w:rsid w:val="00FE1217"/>
    <w:rsid w:val="00FE4EAC"/>
    <w:rsid w:val="00FE75D8"/>
    <w:rsid w:val="00FF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BCD35"/>
  <w15:chartTrackingRefBased/>
  <w15:docId w15:val="{EBE26D93-CBD8-4F71-BD00-0E5D7BBC5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3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3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3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3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3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3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3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3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3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328"/>
    <w:rPr>
      <w:rFonts w:eastAsiaTheme="majorEastAsia" w:cstheme="majorBidi"/>
      <w:color w:val="272727" w:themeColor="text1" w:themeTint="D8"/>
    </w:rPr>
  </w:style>
  <w:style w:type="paragraph" w:styleId="Title">
    <w:name w:val="Title"/>
    <w:basedOn w:val="Normal"/>
    <w:next w:val="Normal"/>
    <w:link w:val="TitleChar"/>
    <w:uiPriority w:val="10"/>
    <w:qFormat/>
    <w:rsid w:val="000B5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328"/>
    <w:pPr>
      <w:spacing w:before="160"/>
      <w:jc w:val="center"/>
    </w:pPr>
    <w:rPr>
      <w:i/>
      <w:iCs/>
      <w:color w:val="404040" w:themeColor="text1" w:themeTint="BF"/>
    </w:rPr>
  </w:style>
  <w:style w:type="character" w:customStyle="1" w:styleId="QuoteChar">
    <w:name w:val="Quote Char"/>
    <w:basedOn w:val="DefaultParagraphFont"/>
    <w:link w:val="Quote"/>
    <w:uiPriority w:val="29"/>
    <w:rsid w:val="000B5328"/>
    <w:rPr>
      <w:i/>
      <w:iCs/>
      <w:color w:val="404040" w:themeColor="text1" w:themeTint="BF"/>
    </w:rPr>
  </w:style>
  <w:style w:type="paragraph" w:styleId="ListParagraph">
    <w:name w:val="List Paragraph"/>
    <w:basedOn w:val="Normal"/>
    <w:uiPriority w:val="34"/>
    <w:qFormat/>
    <w:rsid w:val="000B5328"/>
    <w:pPr>
      <w:ind w:left="720"/>
      <w:contextualSpacing/>
    </w:pPr>
  </w:style>
  <w:style w:type="character" w:styleId="IntenseEmphasis">
    <w:name w:val="Intense Emphasis"/>
    <w:basedOn w:val="DefaultParagraphFont"/>
    <w:uiPriority w:val="21"/>
    <w:qFormat/>
    <w:rsid w:val="000B5328"/>
    <w:rPr>
      <w:i/>
      <w:iCs/>
      <w:color w:val="0F4761" w:themeColor="accent1" w:themeShade="BF"/>
    </w:rPr>
  </w:style>
  <w:style w:type="paragraph" w:styleId="IntenseQuote">
    <w:name w:val="Intense Quote"/>
    <w:basedOn w:val="Normal"/>
    <w:next w:val="Normal"/>
    <w:link w:val="IntenseQuoteChar"/>
    <w:uiPriority w:val="30"/>
    <w:qFormat/>
    <w:rsid w:val="000B5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328"/>
    <w:rPr>
      <w:i/>
      <w:iCs/>
      <w:color w:val="0F4761" w:themeColor="accent1" w:themeShade="BF"/>
    </w:rPr>
  </w:style>
  <w:style w:type="character" w:styleId="IntenseReference">
    <w:name w:val="Intense Reference"/>
    <w:basedOn w:val="DefaultParagraphFont"/>
    <w:uiPriority w:val="32"/>
    <w:qFormat/>
    <w:rsid w:val="000B5328"/>
    <w:rPr>
      <w:b/>
      <w:bCs/>
      <w:smallCaps/>
      <w:color w:val="0F4761" w:themeColor="accent1" w:themeShade="BF"/>
      <w:spacing w:val="5"/>
    </w:rPr>
  </w:style>
  <w:style w:type="paragraph" w:styleId="Header">
    <w:name w:val="header"/>
    <w:basedOn w:val="Normal"/>
    <w:link w:val="HeaderChar"/>
    <w:uiPriority w:val="99"/>
    <w:unhideWhenUsed/>
    <w:rsid w:val="007C0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4D5"/>
  </w:style>
  <w:style w:type="paragraph" w:styleId="Footer">
    <w:name w:val="footer"/>
    <w:basedOn w:val="Normal"/>
    <w:link w:val="FooterChar"/>
    <w:uiPriority w:val="99"/>
    <w:unhideWhenUsed/>
    <w:rsid w:val="007C0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4D5"/>
  </w:style>
  <w:style w:type="character" w:styleId="Hyperlink">
    <w:name w:val="Hyperlink"/>
    <w:basedOn w:val="DefaultParagraphFont"/>
    <w:uiPriority w:val="99"/>
    <w:unhideWhenUsed/>
    <w:rsid w:val="00237B94"/>
    <w:rPr>
      <w:color w:val="467886" w:themeColor="hyperlink"/>
      <w:u w:val="single"/>
    </w:rPr>
  </w:style>
  <w:style w:type="character" w:styleId="UnresolvedMention">
    <w:name w:val="Unresolved Mention"/>
    <w:basedOn w:val="DefaultParagraphFont"/>
    <w:uiPriority w:val="99"/>
    <w:semiHidden/>
    <w:unhideWhenUsed/>
    <w:rsid w:val="00237B94"/>
    <w:rPr>
      <w:color w:val="605E5C"/>
      <w:shd w:val="clear" w:color="auto" w:fill="E1DFDD"/>
    </w:rPr>
  </w:style>
  <w:style w:type="paragraph" w:styleId="NormalWeb">
    <w:name w:val="Normal (Web)"/>
    <w:basedOn w:val="Normal"/>
    <w:uiPriority w:val="99"/>
    <w:semiHidden/>
    <w:unhideWhenUsed/>
    <w:rsid w:val="00B16C9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260A5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brary.oapen.org/handle/20.500.12657/42569" TargetMode="External"/><Relationship Id="rId18" Type="http://schemas.openxmlformats.org/officeDocument/2006/relationships/hyperlink" Target="https://doi.org/10.1080/1350293X.2024.2349639"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i.org/10.1080/09669760.2020.1782175" TargetMode="External"/><Relationship Id="rId7" Type="http://schemas.openxmlformats.org/officeDocument/2006/relationships/settings" Target="settings.xml"/><Relationship Id="rId12" Type="http://schemas.openxmlformats.org/officeDocument/2006/relationships/hyperlink" Target="https://library.oapen.org/handle/20.500.12657/42569" TargetMode="External"/><Relationship Id="rId17" Type="http://schemas.openxmlformats.org/officeDocument/2006/relationships/hyperlink" Target="https://commonslibrary.parliament.uk/research-briefings/sn07096" TargetMode="External"/><Relationship Id="rId25" Type="http://schemas.openxmlformats.org/officeDocument/2006/relationships/hyperlink" Target="https://www.legislation.gov.uk/ukpga/2010/9/contents" TargetMode="External"/><Relationship Id="rId2" Type="http://schemas.openxmlformats.org/officeDocument/2006/relationships/customXml" Target="../customXml/item2.xml"/><Relationship Id="rId16" Type="http://schemas.openxmlformats.org/officeDocument/2006/relationships/hyperlink" Target="https://doi.org/10.4324/9780429058165" TargetMode="External"/><Relationship Id="rId20" Type="http://schemas.openxmlformats.org/officeDocument/2006/relationships/hyperlink" Target="https://www.froebel.org.uk/uploads/documents/FT_Observing-young-children_Pamphlet_INTERACTIVE_REV-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4324/9781351188395" TargetMode="External"/><Relationship Id="rId24" Type="http://schemas.openxmlformats.org/officeDocument/2006/relationships/hyperlink" Target="https://doi.org/10.1002/rev3.3137" TargetMode="External"/><Relationship Id="rId5" Type="http://schemas.openxmlformats.org/officeDocument/2006/relationships/numbering" Target="numbering.xml"/><Relationship Id="rId15" Type="http://schemas.openxmlformats.org/officeDocument/2006/relationships/hyperlink" Target="https://doi.org/10.1177/23780231221111672" TargetMode="External"/><Relationship Id="rId23" Type="http://schemas.openxmlformats.org/officeDocument/2006/relationships/hyperlink" Target="https://doi.org/10.1007/s11113-017-9442-4"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4324/978135118839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ackling-child-poverty-developing-our-strategy/tackling-child-poverty-developing-our-strategy-html" TargetMode="External"/><Relationship Id="rId22" Type="http://schemas.openxmlformats.org/officeDocument/2006/relationships/hyperlink" Target="https://dx.doi.org/10.6007/IJARBSS/v8-i6/451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d8f18621d4cac840496414631d84cf4">
  <xsd:schema xmlns:xsd="http://www.w3.org/2001/XMLSchema" xmlns:xs="http://www.w3.org/2001/XMLSchema" xmlns:p="http://schemas.microsoft.com/office/2006/metadata/properties" xmlns:ns3="0085e1a2-9cbf-4b92-866b-21f3c89040b6" targetNamespace="http://schemas.microsoft.com/office/2006/metadata/properties" ma:root="true" ma:fieldsID="495c79dcff0c662445c34fce62cd4be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1EF77B3-88CF-4307-8C9C-8CBDF90374C9}">
  <ds:schemaRefs>
    <ds:schemaRef ds:uri="http://schemas.openxmlformats.org/officeDocument/2006/bibliography"/>
  </ds:schemaRefs>
</ds:datastoreItem>
</file>

<file path=customXml/itemProps2.xml><?xml version="1.0" encoding="utf-8"?>
<ds:datastoreItem xmlns:ds="http://schemas.openxmlformats.org/officeDocument/2006/customXml" ds:itemID="{714020D0-72D4-4187-88F0-45156856A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41991-2E57-4851-A448-DEE3911483C5}">
  <ds:schemaRefs>
    <ds:schemaRef ds:uri="http://schemas.microsoft.com/sharepoint/v3/contenttype/forms"/>
  </ds:schemaRefs>
</ds:datastoreItem>
</file>

<file path=customXml/itemProps4.xml><?xml version="1.0" encoding="utf-8"?>
<ds:datastoreItem xmlns:ds="http://schemas.openxmlformats.org/officeDocument/2006/customXml" ds:itemID="{EE706C8F-FA68-4918-A669-21A8826DEA03}">
  <ds:schemaRefs>
    <ds:schemaRef ds:uri="0085e1a2-9cbf-4b92-866b-21f3c89040b6"/>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3946</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Grosvenor</dc:creator>
  <cp:keywords/>
  <dc:description/>
  <cp:lastModifiedBy>katrina Grosvenor</cp:lastModifiedBy>
  <cp:revision>2</cp:revision>
  <dcterms:created xsi:type="dcterms:W3CDTF">2025-10-19T07:41:00Z</dcterms:created>
  <dcterms:modified xsi:type="dcterms:W3CDTF">2025-10-19T07:41:00Z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