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51FC3B" w14:textId="77777777" w:rsidR="00CC0D48" w:rsidRDefault="00CC0D48" w:rsidP="00CC0D48">
      <w:pPr>
        <w:rPr>
          <w:rFonts w:ascii="Times New Roman" w:hAnsi="Times New Roman" w:cs="Times New Roman"/>
          <w:b/>
          <w:bCs/>
          <w:sz w:val="24"/>
          <w:szCs w:val="24"/>
        </w:rPr>
      </w:pPr>
      <w:r w:rsidRPr="006A2C08">
        <w:rPr>
          <w:rFonts w:ascii="Times New Roman" w:hAnsi="Times New Roman" w:cs="Times New Roman"/>
          <w:b/>
          <w:bCs/>
          <w:sz w:val="24"/>
          <w:szCs w:val="24"/>
        </w:rPr>
        <w:t>Section 1</w:t>
      </w:r>
    </w:p>
    <w:p w14:paraId="1AB51E24" w14:textId="38ADA79E" w:rsidR="00CC0D48" w:rsidRPr="00F26C09" w:rsidRDefault="00CC0D48" w:rsidP="005F6D8B">
      <w:pPr>
        <w:rPr>
          <w:rFonts w:ascii="Times New Roman" w:hAnsi="Times New Roman" w:cs="Times New Roman"/>
          <w:b/>
          <w:bCs/>
          <w:sz w:val="24"/>
          <w:szCs w:val="24"/>
        </w:rPr>
      </w:pPr>
      <w:r w:rsidRPr="00F26C09">
        <w:rPr>
          <w:rFonts w:ascii="Times New Roman" w:hAnsi="Times New Roman" w:cs="Times New Roman"/>
          <w:b/>
          <w:bCs/>
          <w:color w:val="1D2125"/>
          <w:sz w:val="24"/>
          <w:szCs w:val="24"/>
          <w:shd w:val="clear" w:color="auto" w:fill="FFFFFF"/>
        </w:rPr>
        <w:t xml:space="preserve">(ii) With reference to one of the four canonical gospels, consider the extent to which narrative criticism can shed greater light than titular </w:t>
      </w:r>
      <w:proofErr w:type="spellStart"/>
      <w:r w:rsidRPr="00F26C09">
        <w:rPr>
          <w:rFonts w:ascii="Times New Roman" w:hAnsi="Times New Roman" w:cs="Times New Roman"/>
          <w:b/>
          <w:bCs/>
          <w:color w:val="1D2125"/>
          <w:sz w:val="24"/>
          <w:szCs w:val="24"/>
          <w:shd w:val="clear" w:color="auto" w:fill="FFFFFF"/>
        </w:rPr>
        <w:t>christology</w:t>
      </w:r>
      <w:proofErr w:type="spellEnd"/>
      <w:r w:rsidRPr="00F26C09">
        <w:rPr>
          <w:rFonts w:ascii="Times New Roman" w:hAnsi="Times New Roman" w:cs="Times New Roman"/>
          <w:b/>
          <w:bCs/>
          <w:color w:val="1D2125"/>
          <w:sz w:val="24"/>
          <w:szCs w:val="24"/>
          <w:shd w:val="clear" w:color="auto" w:fill="FFFFFF"/>
        </w:rPr>
        <w:t xml:space="preserve"> (a study of </w:t>
      </w:r>
      <w:proofErr w:type="spellStart"/>
      <w:r w:rsidRPr="00F26C09">
        <w:rPr>
          <w:rFonts w:ascii="Times New Roman" w:hAnsi="Times New Roman" w:cs="Times New Roman"/>
          <w:b/>
          <w:bCs/>
          <w:color w:val="1D2125"/>
          <w:sz w:val="24"/>
          <w:szCs w:val="24"/>
          <w:shd w:val="clear" w:color="auto" w:fill="FFFFFF"/>
        </w:rPr>
        <w:t>christological</w:t>
      </w:r>
      <w:proofErr w:type="spellEnd"/>
      <w:r w:rsidRPr="00F26C09">
        <w:rPr>
          <w:rFonts w:ascii="Times New Roman" w:hAnsi="Times New Roman" w:cs="Times New Roman"/>
          <w:b/>
          <w:bCs/>
          <w:color w:val="1D2125"/>
          <w:sz w:val="24"/>
          <w:szCs w:val="24"/>
          <w:shd w:val="clear" w:color="auto" w:fill="FFFFFF"/>
        </w:rPr>
        <w:t xml:space="preserve"> titles) on the presentation of the identity and significance of Jesus.</w:t>
      </w:r>
    </w:p>
    <w:p w14:paraId="56F880A8" w14:textId="5092618C" w:rsidR="00A31959" w:rsidRDefault="00A31959" w:rsidP="00A31959">
      <w:pPr>
        <w:pStyle w:val="NormalWeb"/>
      </w:pPr>
      <w:r>
        <w:t xml:space="preserve">Proving the existence of Jesus whether historically or through faith traditions is obscure yet excavational. Titular Christology supports oral eyewitness interpretations in the gospels yet pre-empted in the Old Testament. Judaic foundation of Hebrew scriptures prophetically complements the conical gospels through events and the life of Jesus.  For whatever was written in former days was written for our instructions…that we may have hope (Rom. 15:4). Jesus himself testified as the </w:t>
      </w:r>
      <w:proofErr w:type="spellStart"/>
      <w:r>
        <w:t>fulfillment</w:t>
      </w:r>
      <w:proofErr w:type="spellEnd"/>
      <w:r>
        <w:t xml:space="preserve"> of scripture in (Math. 5:17-20) ``Think not that I came to destroy the law, or the prophet’s but to </w:t>
      </w:r>
      <w:proofErr w:type="spellStart"/>
      <w:r>
        <w:t>fulfill</w:t>
      </w:r>
      <w:proofErr w:type="spellEnd"/>
      <w:r>
        <w:t>’’. Incidentally, the authors of the canonical gospels requoted Old Testament scriptures to verify the revelation of the life of Jesus as he existed. The Old Testament was the New Testament concealed and the New Testament was the Old Testament revealed. Adjectively these are depicted in the conical gospels yet emphasising four different approaches in terms of style, connotations, and the author's relations to the identity and significance of Jesus. Coincidingly narrative criticism transpired during and after the early church period debating Christian doctrines and the deity of Jesus Christ. The omittance of certain books as the Apocrypha, jubilees, and the book of Thomas incompetently verify the compilation of the canonised bible evidencing narrative criticism in terms of authenticity and nonce to Holy Scriptures. However narrative criticism enforces a theological testing mechanism that proves the validity of the conical gospels and more importantly the study of Christological titles. To a secular audience, narrative criticism would appeal to the disapproval of the gospels but to a believer the opposition of faith in the tradition of Christianity. This essay will focus on the Gospel of John discussing the seven metaphorical ``I am’’ statements of Jesus while counteracting narrative criticism of biblical scholars and sources.</w:t>
      </w:r>
    </w:p>
    <w:p w14:paraId="166C99AE" w14:textId="77777777" w:rsidR="00A31959" w:rsidRDefault="00A31959" w:rsidP="00A31959">
      <w:pPr>
        <w:pStyle w:val="NormalWeb"/>
      </w:pPr>
      <w:r>
        <w:t>The fact that Jesus referred to himself as `I am’ mentions Moses referring to the manna that fed the children of Israel during the exodus. Jesus studied and quoted the Old Testament as a Jew fulfilling the ` I am’ statement (John. 6:32). The same terminology is applied to Moses when he questioned God's name to deliver the children of Israel out of Egypt (Exod. 3: 13-14). Jesus was the embodiment of the word that was with God. The typification of manna sent by God to the Israelites was a foreshadowing of the true bread of Jesus that came from heaven (John. 6:35). The same analogy is mentioned during the Last Supper where Jesus presents the bread as the body of Christ amongst the disciples (Luke. 22:19). Jesus commemorated the act in the remembrance of him. It embeds Christian traditions, a religious sacrament in modern-day Catholicism, Presbyterian, and orthodox Churches however discredited by various Protestant sects. The bread resembles Jesus's body eventually given up as human sacrifice by his death on the cross for all men. The celebration of Passover and the unleavened bread signifies the purity of the body of Christ which is depicted as one of the sacrificial materials in the tabernacle. However, conflicts arose in the teaching and doctrines of Christ in the early church as well as into the 18th century revolting against church authority</w:t>
      </w:r>
      <w:r>
        <w:rPr>
          <w:rStyle w:val="Strong"/>
          <w:rFonts w:eastAsiaTheme="majorEastAsia"/>
        </w:rPr>
        <w:t> </w:t>
      </w:r>
      <w:r>
        <w:t>(Reed 2018). In terms of narrative criticism, the breaking of bread was an early church practice amongst the believers (Acts. 2:46). However, the customisation between Jews, gentiles, circumcised and the uncircumcised caused commotions amongst early Christians. Paul reemphasised these issues in his New Testament epistles.  Many of Paul's community were divided about important matters of Christian belief and conduct (Tuckett 2001).</w:t>
      </w:r>
      <w:r>
        <w:rPr>
          <w:rStyle w:val="Strong"/>
          <w:rFonts w:eastAsiaTheme="majorEastAsia"/>
        </w:rPr>
        <w:t> </w:t>
      </w:r>
      <w:r>
        <w:t xml:space="preserve">The 18th-century scientific revolution and the rise of irrationalism raised questions </w:t>
      </w:r>
      <w:r>
        <w:lastRenderedPageBreak/>
        <w:t xml:space="preserve">about transubstantiation (Reed 2018). These critical issues triggered the reformation and division of churches in perceiving the deity of Jesus Christ. Ultimately the 3rd quest for the historical Jesus inaugurated by Geza Vermes in 1973 Jesus the Jew confirms Jesus the apocalyptic figure, with apologetics proving the continuity between Jesus and the early church. The fact that the sacrilegious practice still exists today confirms its originality and truth despite theological disagreements. Albert Schwitzer clarifies the earliest claim that truth was a matter of objectivity and facts…` The true lives of Jesus mirrored the respective author's perception or reconstruction of life rather than objective facts of life of the past (Kathy </w:t>
      </w:r>
      <w:proofErr w:type="spellStart"/>
      <w:r>
        <w:t>Ehrensperger</w:t>
      </w:r>
      <w:proofErr w:type="spellEnd"/>
      <w:r>
        <w:t>).</w:t>
      </w:r>
    </w:p>
    <w:p w14:paraId="5F506A39" w14:textId="77777777" w:rsidR="00A31959" w:rsidRDefault="00A31959" w:rsidP="00A31959">
      <w:pPr>
        <w:pStyle w:val="NormalWeb"/>
      </w:pPr>
      <w:r>
        <w:t xml:space="preserve">The notion of the existence between good and evil, light and darkness </w:t>
      </w:r>
      <w:proofErr w:type="gramStart"/>
      <w:r>
        <w:t>is</w:t>
      </w:r>
      <w:proofErr w:type="gramEnd"/>
      <w:r>
        <w:t xml:space="preserve"> indicative of a soulish survival. A continual battle of the soul in a tangible reality. Jesus referred to himself as the light of the world and anyone who followed him would not walk in darkness (John. 8: 12). The fact that these statements were mentioned in the public treasury confirms the presence of an eyewitness worthy of a true actual account of John's writings. However, arguably according to the second quest of the historical Jesus, Schwitzer stresses that the life biography of Jesus could not be retrieved from the gospels. </w:t>
      </w:r>
      <w:proofErr w:type="spellStart"/>
      <w:r>
        <w:t>Kasmann</w:t>
      </w:r>
      <w:proofErr w:type="spellEnd"/>
      <w:r>
        <w:t xml:space="preserve"> initiated a new second quest viewing the life of Jesus before death and resurrection were inherent in the gospel message rather than focusing on the life of Jesus (Kathy </w:t>
      </w:r>
      <w:proofErr w:type="spellStart"/>
      <w:r>
        <w:t>Ehrensperger</w:t>
      </w:r>
      <w:proofErr w:type="spellEnd"/>
      <w:r>
        <w:t xml:space="preserve">). Arguably the gospel of Mark refutes these assumptions because he was the earliest of New Testament writers to write about what Jesus did. Jesus places the same emphasis on believers that partake in his light likened to a city on a hill (Math. 5: 14-16). Paul emphasises this translational privilege from the kingdom of darkness to the kingdom of light in his </w:t>
      </w:r>
      <w:proofErr w:type="gramStart"/>
      <w:r>
        <w:t>Colossal</w:t>
      </w:r>
      <w:proofErr w:type="gramEnd"/>
      <w:r>
        <w:t xml:space="preserve"> writings (Col. 1:13). However, many religions identify with the significance of light through religious festivals. The use of candles in most temples for prayers is typical of global significance. Of all the religious deities in the world, Jesus personally refers to himself as the light of the world. The same connotation is referred to in the book of Genesis when God separates light from darkness (Gen. 1: 3-5). He emphasises the importance of this terminology reiterated in John 9: 5 where Jesus works in the light of day.</w:t>
      </w:r>
    </w:p>
    <w:p w14:paraId="2B07E786" w14:textId="77777777" w:rsidR="00A31959" w:rsidRDefault="00A31959" w:rsidP="00A31959">
      <w:pPr>
        <w:pStyle w:val="NormalWeb"/>
      </w:pPr>
      <w:r>
        <w:t xml:space="preserve">According to John, Jesus spoke in parables </w:t>
      </w:r>
      <w:proofErr w:type="gramStart"/>
      <w:r>
        <w:t>as a means to</w:t>
      </w:r>
      <w:proofErr w:type="gramEnd"/>
      <w:r>
        <w:t xml:space="preserve"> capture the secrets of the kingdom of God. Jesus referred to himself as the good Shepard and the door in which we are saved (John. 10: 9-11). Jesus speaks about his sincerity and how he would give up his life for the sheep idiomatically anticipating the crucifixion that was ahead. He </w:t>
      </w:r>
      <w:proofErr w:type="spellStart"/>
      <w:r>
        <w:t>willfully</w:t>
      </w:r>
      <w:proofErr w:type="spellEnd"/>
      <w:r>
        <w:t xml:space="preserve"> laid down his life in obedience to the Father and took it up again predicting the resurrection (John. 10:15). The political climate and social construct of the Greco governors affected the livelihoods of the Hebrews in Jesus's time and would not understand the parables of Jesus. He distinguished himself from the hirelings that would flee when confronted by a wolf and </w:t>
      </w:r>
      <w:proofErr w:type="spellStart"/>
      <w:r>
        <w:t>scattereth</w:t>
      </w:r>
      <w:proofErr w:type="spellEnd"/>
      <w:r>
        <w:t xml:space="preserve"> the sheep (John. 10: 12-13). These teachings may have confounded his audiences however implying a prophetic narrative of a saving hope (Evans 2006). Jesus was a Jew of Galilean type who looked forward to the hope held at the time and who believed that hope would be fulfilled in himself (Greiger 1810-74). However, sources such as Dom Crossan and Burton Mack stress a cynic idiom to Jesus and his earliest followers, and iconoclastic and counter-cultural not affirming Israel's heritage and eschatological aspirations Mack remarks: ``Jesus was a cynic teacher than a messiah with a program to reform second temple Jewish society and religion.  Cynic hypothesis other than archaeological evidence is not strong enough to discredit Jesus's parabolic declarations of the Good Shepard and the faith of a believer in Jesus.</w:t>
      </w:r>
    </w:p>
    <w:p w14:paraId="6949B8D9" w14:textId="77777777" w:rsidR="00A31959" w:rsidRDefault="00A31959" w:rsidP="00A31959">
      <w:pPr>
        <w:pStyle w:val="NormalWeb"/>
      </w:pPr>
      <w:r>
        <w:t xml:space="preserve">The Jews believed in the apocalyptic resurrection according to the Torah. They were not aware of Jesus's resurrection power in bodily form. John states Jesus declared to Martha the brother of Lazarus `I am the resurrection and the life’ (John. 11:25). It is ironic that Jesus proclaimed this statement before his death and resurrection. The fact that Lazarus was raised from the dead instilled belief amongst the people in Jesus's name even informing the Pharisees of what happened. Since miracles were a supernatural phenomenon, they drew large crowds of eyewitnesses which is probably a good reason the gospels gave an accurate account of Jesus's miracles and healings. During Jesus's time, it is believed according to anthropological history one-quarter of the population was ill, injured, or in need of medical attention on any given day (Evans 2006). This gives grim possibility to the gospels notice of crowds attracted to Jesus because he was known as a healer (Mark. 3:10; 4:1; 5:27-28). </w:t>
      </w:r>
      <w:proofErr w:type="spellStart"/>
      <w:r>
        <w:t>Contradictivly</w:t>
      </w:r>
      <w:proofErr w:type="spellEnd"/>
      <w:r>
        <w:t xml:space="preserve"> according to synoptic traditions, the leading representatives of the gospel tradition were illiterate (Acts. 4:13). It was their association with Jesus and the power of the holy spirit that they were able to preach and write the gospels according to John. Timothy supports this analogy ``that all scriptures are given by inspiration of God, and is profitable for doctrine, for reproof, for correction, for instruction in righteousness (2 Tim. 3:16). </w:t>
      </w:r>
      <w:proofErr w:type="spellStart"/>
      <w:r>
        <w:t>Bauckham's</w:t>
      </w:r>
      <w:proofErr w:type="spellEnd"/>
      <w:r>
        <w:t xml:space="preserve"> thesis appropriates the period between the `historical’ Jesus and the Gospels was spanned, not by anonymous community transmission, but by the continuing presence and testimony of eyewitnesses, who remained the authoritative sources traditionally until their deaths (Dunn 2008). Lazarus rising from the dead was a preliminary to Jesus's resurrection, which finally convinced more believe in his name after his death than when he was alive. </w:t>
      </w:r>
    </w:p>
    <w:p w14:paraId="4C454D60" w14:textId="77777777" w:rsidR="00A31959" w:rsidRDefault="00A31959" w:rsidP="00A31959">
      <w:pPr>
        <w:pStyle w:val="NormalWeb"/>
      </w:pPr>
      <w:r>
        <w:t xml:space="preserve">In (John. 14:6) compared to other Christological titles Jesus defines three ultimate components that lead to the Father. Instead of ``I am’’ for a singular connotation as in the previous discussion, he identifies as the `way, truth, and the life’. In theological terms, these are what every human being is seeking for </w:t>
      </w:r>
      <w:proofErr w:type="spellStart"/>
      <w:r>
        <w:t>fulfillment</w:t>
      </w:r>
      <w:proofErr w:type="spellEnd"/>
      <w:r>
        <w:t xml:space="preserve"> that is only brought out through Jesus to get to the Father. The prelude to the chapter identifies Jesus with the Father where he goes to prepare a place and return to receive the believers unto himself. This was an apocalyptic interpretation of the </w:t>
      </w:r>
      <w:proofErr w:type="gramStart"/>
      <w:r>
        <w:t>resurrection</w:t>
      </w:r>
      <w:proofErr w:type="gramEnd"/>
      <w:r>
        <w:t xml:space="preserve"> or the rapture of the church Thomas enquired about the way. (John. 1:14) And the word was made flesh and dwelt among us, and we beheld his glory, the only begotten of the father, full of grace and truth. John in his gospels always referred to himself as the disciple Jesus loved. He was one of the inner core disciples of Jesus including Peter and James. According to (Dunn </w:t>
      </w:r>
      <w:proofErr w:type="gramStart"/>
      <w:r>
        <w:t>2008)the</w:t>
      </w:r>
      <w:proofErr w:type="gramEnd"/>
      <w:r>
        <w:t xml:space="preserve"> synoptic tradition of Jesus's mission provides a remarkably consistent and coherent portrayal of Jesus…Jesus was a figure whose mission in character and teaching made a considerable impact on his immediate followers. The disciple’s stories about Jesus and his teachings were integral to the disciple’s own identity as disciples even when preaching before and after the resurrection. New believers after accepting the name of Jesus naturally wanted to know about Jesus by whose name they were identified (Dunn 2008). These narrative criticisms positively validate the authenticity of the Gospel of John concerning his identity and intimate relationship with the Lord Jesus. Jesus's relationship with John was so trustworthy that he even assigned the care of his mother Mary to John instead of his half-brothers after the crucifixion. Jesus claiming to be one with God (John. 10:30) is fully in line with the monotheistic teaching of Judaism (Tuckett 2001)</w:t>
      </w:r>
    </w:p>
    <w:p w14:paraId="200C4230" w14:textId="77777777" w:rsidR="00A05400" w:rsidRDefault="00A05400" w:rsidP="00A31959">
      <w:pPr>
        <w:pStyle w:val="NormalWeb"/>
      </w:pPr>
    </w:p>
    <w:p w14:paraId="5C560941" w14:textId="77777777" w:rsidR="00A05400" w:rsidRDefault="00A05400" w:rsidP="00A31959">
      <w:pPr>
        <w:pStyle w:val="NormalWeb"/>
      </w:pPr>
    </w:p>
    <w:p w14:paraId="07458772" w14:textId="77777777" w:rsidR="00A05400" w:rsidRDefault="00A05400" w:rsidP="00A31959">
      <w:pPr>
        <w:pStyle w:val="NormalWeb"/>
      </w:pPr>
    </w:p>
    <w:p w14:paraId="19B62EF9" w14:textId="6BADD807" w:rsidR="00A31959" w:rsidRDefault="00A31959" w:rsidP="00A31959">
      <w:pPr>
        <w:pStyle w:val="NormalWeb"/>
      </w:pPr>
      <w:r>
        <w:t xml:space="preserve">In John's final idiomatic term, Jesus refers to himself as the true vine (John. 15:1). Since he created all things in Genesis (John. 1: 1-3), he represented the tree of life in whom God forbid Adam lest he ate of it and lived forever (Gen. 3: 22). However, John emphasis about abiding in Jesus and him in us as a branch connected to the vine to bear fruit (John. 15: 5-7). The same connotation is referred to Adam and Eve in Genesis when they refused to abide in God’s word ultimately leading to their banishment out of the Garden of Eden (Gen. 3: 23-24). Irenaeus </w:t>
      </w:r>
      <w:proofErr w:type="gramStart"/>
      <w:r>
        <w:t>wrote;</w:t>
      </w:r>
      <w:proofErr w:type="gramEnd"/>
      <w:r>
        <w:t xml:space="preserve"> that no other being had the power of revealing to us the things of the Father, except his proper word (</w:t>
      </w:r>
      <w:proofErr w:type="spellStart"/>
      <w:r>
        <w:t>Adversus</w:t>
      </w:r>
      <w:proofErr w:type="spellEnd"/>
      <w:r>
        <w:t> </w:t>
      </w:r>
      <w:proofErr w:type="spellStart"/>
      <w:r>
        <w:t>haereses</w:t>
      </w:r>
      <w:proofErr w:type="spellEnd"/>
      <w:r>
        <w:t xml:space="preserve">, 5.1.1). Narratively John's gospel in terms of theological interpretations may have encountered philosophical interventions in the 4th and 5th centuries. ``It was a struggle to interpret rightly the scriptural testimony </w:t>
      </w:r>
      <w:proofErr w:type="gramStart"/>
      <w:r>
        <w:t>in light of</w:t>
      </w:r>
      <w:proofErr w:type="gramEnd"/>
      <w:r>
        <w:t xml:space="preserve"> the church's living traditions and present experience…philosophy played a role in clarifying and interpreting biblical texts and Christian beliefs… However, at the development of the second order, philosophical language remained at the service of that central authority of the biblical text (</w:t>
      </w:r>
      <w:proofErr w:type="spellStart"/>
      <w:r>
        <w:t>O’Collins</w:t>
      </w:r>
      <w:proofErr w:type="spellEnd"/>
      <w:r>
        <w:t xml:space="preserve"> 2009). The fact Jesus identified himself with nature as the true vine conjures philosophical inquiries however as John described Jesus as the word (John. 1:1), reverting to the Old Testament would validate narrative interpretations of bible text ``scripture interpreting scripture’’. The roots of John's gospel belong firmly to the traditions of Judaism with its primary aim of interpreting the relationship of Jesus to Jewish beliefs and practices (Williams 2021). However, cultures not familiar with </w:t>
      </w:r>
      <w:proofErr w:type="spellStart"/>
      <w:r>
        <w:t>Judaistic</w:t>
      </w:r>
      <w:proofErr w:type="spellEnd"/>
      <w:r>
        <w:t xml:space="preserve"> roots in which Christianity expanded in the 2nd century encountered expositions and arguments. Justin Martyr clarifies the struggle to interpret the message of Christ to a culture affected by middle Platonic, as well as by Stoic thought bringing us to the language of Christological interpretation (O’ Collins 2009).</w:t>
      </w:r>
    </w:p>
    <w:p w14:paraId="7D34CACA" w14:textId="77777777" w:rsidR="00A31959" w:rsidRDefault="00A31959" w:rsidP="00A31959">
      <w:pPr>
        <w:pStyle w:val="NormalWeb"/>
      </w:pPr>
      <w:r>
        <w:t xml:space="preserve">Conclusively according to the gospel of John, narrative criticism validates or nullifies the Christological titles of Jesus Christ in terms of the Christian faith. After examining the seven metaphorical ``I am’’ statements, it is more scripturally authentic to a believer than to an unbeliever yet complemented with Old Testament scripture. Jesus depicting himself as the Bread of Life is prophetically portrayed in the Old Testament. I agree with the gospel of John as a believer that Jesus represented the bread and body of Christ that would be sacrificed for all. However, I agree respectively with Reed and Tuckett arguable that the doctrines of the fellowship of the bread &amp; wine conflicted in the early church whom Paul addressed in his epistles. John confirms Jesus as the light is indicative of followers who are taken away from darkness. A similar allegory is mentioned in Genesis in the separation of light from darkness. However, I disagree with the narrative of Schwitzer and </w:t>
      </w:r>
      <w:proofErr w:type="spellStart"/>
      <w:r>
        <w:t>Kasmann</w:t>
      </w:r>
      <w:proofErr w:type="spellEnd"/>
      <w:r>
        <w:t xml:space="preserve"> in the irretrievable biography of Jesus's life from the gospels. Jesus is depicted as the shepherd who lays his life </w:t>
      </w:r>
      <w:proofErr w:type="spellStart"/>
      <w:r>
        <w:t>willfully</w:t>
      </w:r>
      <w:proofErr w:type="spellEnd"/>
      <w:r>
        <w:t xml:space="preserve"> for the sheep. However, I disagree with Dom Crossan and Burton Mack's narrative interpretation of Jesus as a cynic teacher because he died on the cross to </w:t>
      </w:r>
      <w:proofErr w:type="spellStart"/>
      <w:r>
        <w:t>fulfill</w:t>
      </w:r>
      <w:proofErr w:type="spellEnd"/>
      <w:r>
        <w:t xml:space="preserve"> what he prophetically declared to his disciples whilst alive. Jesus pre-empted the resurrection by raising Lazurus in John’s gospel. Supportively I agree with the narratives of Dunn 2008 on the continuous testimony of eyewitnesses as authoritative sources of Christian tradition supporting the faith. I am the way, the truth, and life summarise Jesus's conclusiveness to the Father. I agree with Tucket that Jesus fulfilled the monotheistic teaching of Judaism. Finally, John's interpretation of Jesus portrayed as the true vine prophetically resembles the tree of life in Eden. However, I agree with Collins that philosophical interpretations baffled the early church not accustomed to the initial </w:t>
      </w:r>
      <w:proofErr w:type="spellStart"/>
      <w:r>
        <w:t>Judaistic</w:t>
      </w:r>
      <w:proofErr w:type="spellEnd"/>
      <w:r>
        <w:t xml:space="preserve"> roots of Christianity.</w:t>
      </w:r>
    </w:p>
    <w:p w14:paraId="313A105A" w14:textId="77777777" w:rsidR="002E12AE" w:rsidRDefault="002E12AE" w:rsidP="00DC5B7B">
      <w:pPr>
        <w:rPr>
          <w:rFonts w:ascii="Times New Roman" w:hAnsi="Times New Roman" w:cs="Times New Roman"/>
          <w:sz w:val="24"/>
          <w:szCs w:val="24"/>
        </w:rPr>
      </w:pPr>
    </w:p>
    <w:p w14:paraId="613F6049" w14:textId="77777777" w:rsidR="00A05400" w:rsidRDefault="00A05400" w:rsidP="00F16477">
      <w:pPr>
        <w:rPr>
          <w:rFonts w:ascii="Times New Roman" w:hAnsi="Times New Roman" w:cs="Times New Roman"/>
          <w:sz w:val="24"/>
          <w:szCs w:val="24"/>
        </w:rPr>
      </w:pPr>
    </w:p>
    <w:p w14:paraId="3A87783B" w14:textId="76316D6A" w:rsidR="00F16477" w:rsidRPr="00B242EA" w:rsidRDefault="00F16477" w:rsidP="00F16477">
      <w:pPr>
        <w:rPr>
          <w:rFonts w:ascii="Times New Roman" w:hAnsi="Times New Roman" w:cs="Times New Roman"/>
          <w:b/>
          <w:bCs/>
          <w:sz w:val="24"/>
          <w:szCs w:val="24"/>
        </w:rPr>
      </w:pPr>
      <w:r w:rsidRPr="00B242EA">
        <w:rPr>
          <w:rFonts w:ascii="Times New Roman" w:hAnsi="Times New Roman" w:cs="Times New Roman"/>
          <w:b/>
          <w:bCs/>
          <w:sz w:val="24"/>
          <w:szCs w:val="24"/>
        </w:rPr>
        <w:t>Bibliography</w:t>
      </w:r>
    </w:p>
    <w:p w14:paraId="7A1C44EC" w14:textId="77777777" w:rsidR="00F16477" w:rsidRDefault="00F16477" w:rsidP="00F16477">
      <w:pPr>
        <w:spacing w:after="0" w:line="240" w:lineRule="auto"/>
        <w:rPr>
          <w:rFonts w:ascii="Times New Roman" w:eastAsia="Times New Roman" w:hAnsi="Times New Roman" w:cs="Times New Roman"/>
          <w:kern w:val="0"/>
          <w:sz w:val="24"/>
          <w:szCs w:val="24"/>
          <w:lang w:eastAsia="en-GB"/>
          <w14:ligatures w14:val="none"/>
        </w:rPr>
      </w:pPr>
      <w:r w:rsidRPr="00761EFB">
        <w:rPr>
          <w:rFonts w:ascii="Times New Roman" w:eastAsia="Times New Roman" w:hAnsi="Times New Roman" w:cs="Times New Roman"/>
          <w:kern w:val="0"/>
          <w:sz w:val="24"/>
          <w:szCs w:val="24"/>
          <w:lang w:eastAsia="en-GB"/>
          <w14:ligatures w14:val="none"/>
        </w:rPr>
        <w:t xml:space="preserve">Dunn, J. (2008) ‘Eyewitnesses and the Oral Jesus Tradition’, </w:t>
      </w:r>
      <w:r w:rsidRPr="00761EFB">
        <w:rPr>
          <w:rFonts w:ascii="Times New Roman" w:eastAsia="Times New Roman" w:hAnsi="Times New Roman" w:cs="Times New Roman"/>
          <w:i/>
          <w:iCs/>
          <w:kern w:val="0"/>
          <w:sz w:val="24"/>
          <w:szCs w:val="24"/>
          <w:lang w:eastAsia="en-GB"/>
          <w14:ligatures w14:val="none"/>
        </w:rPr>
        <w:t>Journal for the Study of the Historical Jesus</w:t>
      </w:r>
      <w:r w:rsidRPr="00761EFB">
        <w:rPr>
          <w:rFonts w:ascii="Times New Roman" w:eastAsia="Times New Roman" w:hAnsi="Times New Roman" w:cs="Times New Roman"/>
          <w:kern w:val="0"/>
          <w:sz w:val="24"/>
          <w:szCs w:val="24"/>
          <w:lang w:eastAsia="en-GB"/>
          <w14:ligatures w14:val="none"/>
        </w:rPr>
        <w:t xml:space="preserve">, 6(1), pp. 85–105. Available at: </w:t>
      </w:r>
      <w:hyperlink r:id="rId5" w:history="1">
        <w:r w:rsidRPr="00761EFB">
          <w:rPr>
            <w:rStyle w:val="Hyperlink"/>
            <w:rFonts w:ascii="Times New Roman" w:eastAsia="Times New Roman" w:hAnsi="Times New Roman" w:cs="Times New Roman"/>
            <w:kern w:val="0"/>
            <w:sz w:val="24"/>
            <w:szCs w:val="24"/>
            <w:lang w:eastAsia="en-GB"/>
            <w14:ligatures w14:val="none"/>
          </w:rPr>
          <w:t>https://doi.org/10.1163/174551908X266042</w:t>
        </w:r>
      </w:hyperlink>
      <w:r w:rsidRPr="00761EFB">
        <w:rPr>
          <w:rFonts w:ascii="Times New Roman" w:eastAsia="Times New Roman" w:hAnsi="Times New Roman" w:cs="Times New Roman"/>
          <w:kern w:val="0"/>
          <w:sz w:val="24"/>
          <w:szCs w:val="24"/>
          <w:lang w:eastAsia="en-GB"/>
          <w14:ligatures w14:val="none"/>
        </w:rPr>
        <w:t>.</w:t>
      </w:r>
    </w:p>
    <w:p w14:paraId="298D1B9B" w14:textId="77777777" w:rsidR="00F16477" w:rsidRPr="00B242EA" w:rsidRDefault="00F16477" w:rsidP="00F16477">
      <w:pPr>
        <w:spacing w:after="0" w:line="240" w:lineRule="auto"/>
        <w:rPr>
          <w:rFonts w:ascii="Times New Roman" w:eastAsia="Times New Roman" w:hAnsi="Times New Roman" w:cs="Times New Roman"/>
          <w:kern w:val="0"/>
          <w:sz w:val="24"/>
          <w:szCs w:val="24"/>
          <w:lang w:eastAsia="en-GB"/>
          <w14:ligatures w14:val="none"/>
        </w:rPr>
      </w:pPr>
    </w:p>
    <w:p w14:paraId="2568C52E" w14:textId="77777777" w:rsidR="00F16477" w:rsidRDefault="00F16477" w:rsidP="00F16477">
      <w:pPr>
        <w:rPr>
          <w:rFonts w:ascii="Times New Roman" w:hAnsi="Times New Roman" w:cs="Times New Roman"/>
          <w:sz w:val="24"/>
          <w:szCs w:val="24"/>
        </w:rPr>
      </w:pPr>
      <w:proofErr w:type="spellStart"/>
      <w:r>
        <w:rPr>
          <w:rFonts w:ascii="Times New Roman" w:hAnsi="Times New Roman" w:cs="Times New Roman"/>
          <w:sz w:val="24"/>
          <w:szCs w:val="24"/>
        </w:rPr>
        <w:t>Ehrensperger</w:t>
      </w:r>
      <w:proofErr w:type="spellEnd"/>
      <w:r>
        <w:rPr>
          <w:rFonts w:ascii="Times New Roman" w:hAnsi="Times New Roman" w:cs="Times New Roman"/>
          <w:sz w:val="24"/>
          <w:szCs w:val="24"/>
        </w:rPr>
        <w:t>, K. Paul: The First Personal Witness to Jesus. University of Wales, Trinity Saint David. [ Accessed from the Moodle Page `Jesus through Faith and Culture’]</w:t>
      </w:r>
    </w:p>
    <w:p w14:paraId="3F612E35" w14:textId="77777777" w:rsidR="00F16477" w:rsidRDefault="00F16477" w:rsidP="00F16477">
      <w:pPr>
        <w:spacing w:after="0" w:line="240" w:lineRule="auto"/>
        <w:rPr>
          <w:rFonts w:ascii="Times New Roman" w:eastAsia="Times New Roman" w:hAnsi="Times New Roman" w:cs="Times New Roman"/>
          <w:kern w:val="0"/>
          <w:sz w:val="24"/>
          <w:szCs w:val="24"/>
          <w:lang w:eastAsia="en-GB"/>
          <w14:ligatures w14:val="none"/>
        </w:rPr>
      </w:pPr>
      <w:r w:rsidRPr="00B74D3F">
        <w:rPr>
          <w:rFonts w:ascii="Times New Roman" w:eastAsia="Times New Roman" w:hAnsi="Times New Roman" w:cs="Times New Roman"/>
          <w:kern w:val="0"/>
          <w:sz w:val="24"/>
          <w:szCs w:val="24"/>
          <w:lang w:eastAsia="en-GB"/>
          <w14:ligatures w14:val="none"/>
        </w:rPr>
        <w:t xml:space="preserve">Evans, C. (2006) ‘Assessing Progress in the Third Quest of the Historical Jesus’, </w:t>
      </w:r>
      <w:r w:rsidRPr="00B74D3F">
        <w:rPr>
          <w:rFonts w:ascii="Times New Roman" w:eastAsia="Times New Roman" w:hAnsi="Times New Roman" w:cs="Times New Roman"/>
          <w:i/>
          <w:iCs/>
          <w:kern w:val="0"/>
          <w:sz w:val="24"/>
          <w:szCs w:val="24"/>
          <w:lang w:eastAsia="en-GB"/>
          <w14:ligatures w14:val="none"/>
        </w:rPr>
        <w:t>Journal for the Study of the Historical Jesus</w:t>
      </w:r>
      <w:r w:rsidRPr="00B74D3F">
        <w:rPr>
          <w:rFonts w:ascii="Times New Roman" w:eastAsia="Times New Roman" w:hAnsi="Times New Roman" w:cs="Times New Roman"/>
          <w:kern w:val="0"/>
          <w:sz w:val="24"/>
          <w:szCs w:val="24"/>
          <w:lang w:eastAsia="en-GB"/>
          <w14:ligatures w14:val="none"/>
        </w:rPr>
        <w:t xml:space="preserve">, 4(1), pp. 35–54. Available at: </w:t>
      </w:r>
      <w:hyperlink r:id="rId6" w:history="1">
        <w:r w:rsidRPr="00B74D3F">
          <w:rPr>
            <w:rStyle w:val="Hyperlink"/>
            <w:rFonts w:ascii="Times New Roman" w:eastAsia="Times New Roman" w:hAnsi="Times New Roman" w:cs="Times New Roman"/>
            <w:kern w:val="0"/>
            <w:sz w:val="24"/>
            <w:szCs w:val="24"/>
            <w:lang w:eastAsia="en-GB"/>
            <w14:ligatures w14:val="none"/>
          </w:rPr>
          <w:t>https://doi.org/10.1177/1476869006061777</w:t>
        </w:r>
      </w:hyperlink>
      <w:r w:rsidRPr="00B74D3F">
        <w:rPr>
          <w:rFonts w:ascii="Times New Roman" w:eastAsia="Times New Roman" w:hAnsi="Times New Roman" w:cs="Times New Roman"/>
          <w:kern w:val="0"/>
          <w:sz w:val="24"/>
          <w:szCs w:val="24"/>
          <w:lang w:eastAsia="en-GB"/>
          <w14:ligatures w14:val="none"/>
        </w:rPr>
        <w:t>.</w:t>
      </w:r>
    </w:p>
    <w:p w14:paraId="0E367F73" w14:textId="77777777" w:rsidR="00F16477" w:rsidRDefault="00F16477" w:rsidP="00F16477">
      <w:pPr>
        <w:spacing w:after="0" w:line="240" w:lineRule="auto"/>
        <w:rPr>
          <w:rFonts w:ascii="Times New Roman" w:eastAsia="Times New Roman" w:hAnsi="Times New Roman" w:cs="Times New Roman"/>
          <w:kern w:val="0"/>
          <w:sz w:val="24"/>
          <w:szCs w:val="24"/>
          <w:lang w:eastAsia="en-GB"/>
          <w14:ligatures w14:val="none"/>
        </w:rPr>
      </w:pPr>
    </w:p>
    <w:p w14:paraId="5BC40A3C" w14:textId="77777777" w:rsidR="00F16477" w:rsidRDefault="00F16477" w:rsidP="00F16477">
      <w:pPr>
        <w:spacing w:after="0" w:line="240" w:lineRule="auto"/>
        <w:rPr>
          <w:rFonts w:ascii="Times New Roman" w:eastAsia="Times New Roman" w:hAnsi="Times New Roman" w:cs="Times New Roman"/>
          <w:kern w:val="0"/>
          <w:sz w:val="24"/>
          <w:szCs w:val="24"/>
          <w:lang w:eastAsia="en-GB"/>
          <w14:ligatures w14:val="none"/>
        </w:rPr>
      </w:pPr>
      <w:proofErr w:type="spellStart"/>
      <w:r w:rsidRPr="00AC2646">
        <w:rPr>
          <w:rFonts w:ascii="Times New Roman" w:eastAsia="Times New Roman" w:hAnsi="Times New Roman" w:cs="Times New Roman"/>
          <w:kern w:val="0"/>
          <w:sz w:val="24"/>
          <w:szCs w:val="24"/>
          <w:lang w:eastAsia="en-GB"/>
          <w14:ligatures w14:val="none"/>
        </w:rPr>
        <w:t>O’Collins</w:t>
      </w:r>
      <w:proofErr w:type="spellEnd"/>
      <w:r w:rsidRPr="00AC2646">
        <w:rPr>
          <w:rFonts w:ascii="Times New Roman" w:eastAsia="Times New Roman" w:hAnsi="Times New Roman" w:cs="Times New Roman"/>
          <w:kern w:val="0"/>
          <w:sz w:val="24"/>
          <w:szCs w:val="24"/>
          <w:lang w:eastAsia="en-GB"/>
          <w14:ligatures w14:val="none"/>
        </w:rPr>
        <w:t xml:space="preserve">, G. (2009) </w:t>
      </w:r>
      <w:proofErr w:type="gramStart"/>
      <w:r w:rsidRPr="00AC2646">
        <w:rPr>
          <w:rFonts w:ascii="Times New Roman" w:eastAsia="Times New Roman" w:hAnsi="Times New Roman" w:cs="Times New Roman"/>
          <w:i/>
          <w:iCs/>
          <w:kern w:val="0"/>
          <w:sz w:val="24"/>
          <w:szCs w:val="24"/>
          <w:lang w:eastAsia="en-GB"/>
          <w14:ligatures w14:val="none"/>
        </w:rPr>
        <w:t>Christology</w:t>
      </w:r>
      <w:r w:rsidRPr="00AC2646">
        <w:rPr>
          <w:rFonts w:ascii="Arial" w:eastAsia="Times New Roman" w:hAnsi="Arial" w:cs="Arial"/>
          <w:i/>
          <w:iCs/>
          <w:kern w:val="0"/>
          <w:sz w:val="24"/>
          <w:szCs w:val="24"/>
          <w:lang w:eastAsia="en-GB"/>
          <w14:ligatures w14:val="none"/>
        </w:rPr>
        <w:t> </w:t>
      </w:r>
      <w:r w:rsidRPr="00AC2646">
        <w:rPr>
          <w:rFonts w:ascii="Times New Roman" w:eastAsia="Times New Roman" w:hAnsi="Times New Roman" w:cs="Times New Roman"/>
          <w:i/>
          <w:iCs/>
          <w:kern w:val="0"/>
          <w:sz w:val="24"/>
          <w:szCs w:val="24"/>
          <w:lang w:eastAsia="en-GB"/>
          <w14:ligatures w14:val="none"/>
        </w:rPr>
        <w:t>:</w:t>
      </w:r>
      <w:proofErr w:type="gramEnd"/>
      <w:r w:rsidRPr="00AC2646">
        <w:rPr>
          <w:rFonts w:ascii="Times New Roman" w:eastAsia="Times New Roman" w:hAnsi="Times New Roman" w:cs="Times New Roman"/>
          <w:i/>
          <w:iCs/>
          <w:kern w:val="0"/>
          <w:sz w:val="24"/>
          <w:szCs w:val="24"/>
          <w:lang w:eastAsia="en-GB"/>
          <w14:ligatures w14:val="none"/>
        </w:rPr>
        <w:t xml:space="preserve"> a biblical, historical, and systematic study of Jesus</w:t>
      </w:r>
      <w:r w:rsidRPr="00AC2646">
        <w:rPr>
          <w:rFonts w:ascii="Times New Roman" w:eastAsia="Times New Roman" w:hAnsi="Times New Roman" w:cs="Times New Roman"/>
          <w:kern w:val="0"/>
          <w:sz w:val="24"/>
          <w:szCs w:val="24"/>
          <w:lang w:eastAsia="en-GB"/>
          <w14:ligatures w14:val="none"/>
        </w:rPr>
        <w:t>. 2nd ed. Oxford: Oxford University Press.</w:t>
      </w:r>
    </w:p>
    <w:p w14:paraId="0AC98720" w14:textId="77777777" w:rsidR="00F16477" w:rsidRPr="00AC2646" w:rsidRDefault="00F16477" w:rsidP="00F16477">
      <w:pPr>
        <w:spacing w:after="0" w:line="240" w:lineRule="auto"/>
        <w:rPr>
          <w:rFonts w:ascii="Times New Roman" w:eastAsia="Times New Roman" w:hAnsi="Times New Roman" w:cs="Times New Roman"/>
          <w:kern w:val="0"/>
          <w:sz w:val="24"/>
          <w:szCs w:val="24"/>
          <w:lang w:eastAsia="en-GB"/>
          <w14:ligatures w14:val="none"/>
        </w:rPr>
      </w:pPr>
    </w:p>
    <w:p w14:paraId="70519C9B" w14:textId="77777777" w:rsidR="00F16477" w:rsidRDefault="00F16477" w:rsidP="00F16477">
      <w:pPr>
        <w:rPr>
          <w:rFonts w:ascii="Times New Roman" w:hAnsi="Times New Roman" w:cs="Times New Roman"/>
          <w:sz w:val="24"/>
          <w:szCs w:val="24"/>
        </w:rPr>
      </w:pPr>
      <w:r w:rsidRPr="00B85B41">
        <w:rPr>
          <w:rFonts w:ascii="Times New Roman" w:hAnsi="Times New Roman" w:cs="Times New Roman"/>
        </w:rPr>
        <w:t xml:space="preserve">Reeb, D. W. 2018. </w:t>
      </w:r>
      <w:hyperlink r:id="rId7" w:history="1">
        <w:r w:rsidRPr="00B85B41">
          <w:rPr>
            <w:rStyle w:val="Hyperlink"/>
            <w:rFonts w:ascii="Times New Roman" w:hAnsi="Times New Roman" w:cs="Times New Roman"/>
          </w:rPr>
          <w:t>Historical Jesus Lecture (youtube.com)</w:t>
        </w:r>
      </w:hyperlink>
    </w:p>
    <w:p w14:paraId="05F1D92D" w14:textId="77777777" w:rsidR="00F16477" w:rsidRDefault="00F16477" w:rsidP="00F16477">
      <w:pPr>
        <w:pStyle w:val="NormalWeb"/>
        <w:spacing w:before="200" w:beforeAutospacing="0" w:after="0" w:afterAutospacing="0" w:line="216" w:lineRule="auto"/>
        <w:rPr>
          <w:rFonts w:eastAsia="Aptos"/>
          <w:color w:val="000000" w:themeColor="text1"/>
          <w:kern w:val="2"/>
        </w:rPr>
      </w:pPr>
      <w:r w:rsidRPr="00F40515">
        <w:rPr>
          <w:rFonts w:eastAsia="Aptos"/>
          <w:color w:val="000000" w:themeColor="text1"/>
          <w:kern w:val="2"/>
        </w:rPr>
        <w:t>The Holy Bible. 2021: England: Trinitarian Bible Society.</w:t>
      </w:r>
    </w:p>
    <w:p w14:paraId="2A25585C" w14:textId="77777777" w:rsidR="00F16477" w:rsidRDefault="00F16477" w:rsidP="00F16477">
      <w:pPr>
        <w:pStyle w:val="NormalWeb"/>
        <w:spacing w:before="200" w:beforeAutospacing="0" w:after="0" w:afterAutospacing="0" w:line="216" w:lineRule="auto"/>
        <w:rPr>
          <w:rFonts w:eastAsia="Aptos"/>
          <w:color w:val="000000" w:themeColor="text1"/>
          <w:kern w:val="2"/>
        </w:rPr>
      </w:pPr>
    </w:p>
    <w:p w14:paraId="75BB800F" w14:textId="77777777" w:rsidR="00F16477" w:rsidRDefault="00F16477" w:rsidP="00F16477">
      <w:pPr>
        <w:rPr>
          <w:rFonts w:ascii="Times New Roman" w:hAnsi="Times New Roman" w:cs="Times New Roman"/>
          <w:sz w:val="24"/>
          <w:szCs w:val="24"/>
        </w:rPr>
      </w:pPr>
      <w:r>
        <w:rPr>
          <w:rFonts w:ascii="Times New Roman" w:hAnsi="Times New Roman" w:cs="Times New Roman"/>
          <w:sz w:val="24"/>
          <w:szCs w:val="24"/>
        </w:rPr>
        <w:t xml:space="preserve">Tuckett, C. 2001. Introduction and Background, </w:t>
      </w:r>
      <w:proofErr w:type="gramStart"/>
      <w:r>
        <w:rPr>
          <w:rFonts w:ascii="Times New Roman" w:hAnsi="Times New Roman" w:cs="Times New Roman"/>
          <w:sz w:val="24"/>
          <w:szCs w:val="24"/>
        </w:rPr>
        <w:t>Christology</w:t>
      </w:r>
      <w:proofErr w:type="gramEnd"/>
      <w:r>
        <w:rPr>
          <w:rFonts w:ascii="Times New Roman" w:hAnsi="Times New Roman" w:cs="Times New Roman"/>
          <w:sz w:val="24"/>
          <w:szCs w:val="24"/>
        </w:rPr>
        <w:t xml:space="preserve"> and the New Testament: Jesus and his Earliest Followers. Edinburgh: Edinburgh University Press.</w:t>
      </w:r>
    </w:p>
    <w:p w14:paraId="352CB9F5" w14:textId="77777777" w:rsidR="00F16477" w:rsidRPr="00F40515" w:rsidRDefault="00F16477" w:rsidP="00F16477">
      <w:pPr>
        <w:pStyle w:val="NormalWeb"/>
        <w:spacing w:before="200" w:beforeAutospacing="0" w:after="0" w:afterAutospacing="0" w:line="216" w:lineRule="auto"/>
      </w:pPr>
    </w:p>
    <w:p w14:paraId="0FE6C53F" w14:textId="77777777" w:rsidR="00F16477" w:rsidRPr="00AC2646" w:rsidRDefault="00F16477" w:rsidP="00F16477">
      <w:pPr>
        <w:rPr>
          <w:rFonts w:ascii="Times New Roman" w:hAnsi="Times New Roman" w:cs="Times New Roman"/>
          <w:i/>
          <w:iCs/>
          <w:sz w:val="24"/>
          <w:szCs w:val="24"/>
        </w:rPr>
      </w:pPr>
      <w:r>
        <w:rPr>
          <w:rFonts w:ascii="Times New Roman" w:hAnsi="Times New Roman" w:cs="Times New Roman"/>
          <w:sz w:val="24"/>
          <w:szCs w:val="24"/>
        </w:rPr>
        <w:t xml:space="preserve">Williams, H. C. 2021. New Testament Christology. </w:t>
      </w:r>
      <w:r w:rsidRPr="0002360C">
        <w:rPr>
          <w:rFonts w:ascii="Times New Roman" w:hAnsi="Times New Roman" w:cs="Times New Roman"/>
          <w:i/>
          <w:iCs/>
          <w:sz w:val="24"/>
          <w:szCs w:val="24"/>
        </w:rPr>
        <w:t>Interpretations of the identity and role of Jesus</w:t>
      </w:r>
    </w:p>
    <w:p w14:paraId="2329C22D" w14:textId="77777777" w:rsidR="00F16477" w:rsidRDefault="00F16477" w:rsidP="00F16477">
      <w:pPr>
        <w:rPr>
          <w:rFonts w:ascii="Times New Roman" w:hAnsi="Times New Roman" w:cs="Times New Roman"/>
          <w:sz w:val="24"/>
          <w:szCs w:val="24"/>
        </w:rPr>
      </w:pPr>
    </w:p>
    <w:p w14:paraId="7B2AF860" w14:textId="77777777" w:rsidR="00F16477" w:rsidRPr="006A2C08" w:rsidRDefault="00F16477" w:rsidP="00DC5B7B">
      <w:pPr>
        <w:rPr>
          <w:rFonts w:ascii="Times New Roman" w:hAnsi="Times New Roman" w:cs="Times New Roman"/>
          <w:sz w:val="24"/>
          <w:szCs w:val="24"/>
        </w:rPr>
      </w:pPr>
    </w:p>
    <w:sectPr w:rsidR="00F16477" w:rsidRPr="006A2C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E8243B3"/>
    <w:multiLevelType w:val="hybridMultilevel"/>
    <w:tmpl w:val="26CCE5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7578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B7B"/>
    <w:rsid w:val="00040E85"/>
    <w:rsid w:val="0006552F"/>
    <w:rsid w:val="00087C80"/>
    <w:rsid w:val="000A06E5"/>
    <w:rsid w:val="000B495E"/>
    <w:rsid w:val="000C3D4E"/>
    <w:rsid w:val="000D057E"/>
    <w:rsid w:val="000D664C"/>
    <w:rsid w:val="00107BAD"/>
    <w:rsid w:val="00143F26"/>
    <w:rsid w:val="00145040"/>
    <w:rsid w:val="001563C5"/>
    <w:rsid w:val="001E4A40"/>
    <w:rsid w:val="0022412D"/>
    <w:rsid w:val="00225913"/>
    <w:rsid w:val="002313C3"/>
    <w:rsid w:val="00252017"/>
    <w:rsid w:val="0026207C"/>
    <w:rsid w:val="002B6C4E"/>
    <w:rsid w:val="002D64D4"/>
    <w:rsid w:val="002E12AE"/>
    <w:rsid w:val="002E7FB3"/>
    <w:rsid w:val="002F5DDC"/>
    <w:rsid w:val="00314C72"/>
    <w:rsid w:val="003504DA"/>
    <w:rsid w:val="00353C04"/>
    <w:rsid w:val="0036485E"/>
    <w:rsid w:val="00383302"/>
    <w:rsid w:val="003A2041"/>
    <w:rsid w:val="003A557E"/>
    <w:rsid w:val="003E5A60"/>
    <w:rsid w:val="003E63FE"/>
    <w:rsid w:val="003F2811"/>
    <w:rsid w:val="00405DF7"/>
    <w:rsid w:val="004476DD"/>
    <w:rsid w:val="00450893"/>
    <w:rsid w:val="004539E9"/>
    <w:rsid w:val="00471AB5"/>
    <w:rsid w:val="00473399"/>
    <w:rsid w:val="004952B8"/>
    <w:rsid w:val="004D4657"/>
    <w:rsid w:val="004E528C"/>
    <w:rsid w:val="005765D4"/>
    <w:rsid w:val="005E17D0"/>
    <w:rsid w:val="005F6D8B"/>
    <w:rsid w:val="006265E8"/>
    <w:rsid w:val="00636596"/>
    <w:rsid w:val="00637DBE"/>
    <w:rsid w:val="00642794"/>
    <w:rsid w:val="006527DA"/>
    <w:rsid w:val="006A2C08"/>
    <w:rsid w:val="006B3173"/>
    <w:rsid w:val="006D43DD"/>
    <w:rsid w:val="006D583C"/>
    <w:rsid w:val="007142BE"/>
    <w:rsid w:val="00715D22"/>
    <w:rsid w:val="007302D0"/>
    <w:rsid w:val="0074662F"/>
    <w:rsid w:val="00794282"/>
    <w:rsid w:val="007A2EBD"/>
    <w:rsid w:val="007B1921"/>
    <w:rsid w:val="007B734D"/>
    <w:rsid w:val="007D5027"/>
    <w:rsid w:val="00820809"/>
    <w:rsid w:val="00835A7C"/>
    <w:rsid w:val="00861338"/>
    <w:rsid w:val="00870C74"/>
    <w:rsid w:val="0088216A"/>
    <w:rsid w:val="00895EFA"/>
    <w:rsid w:val="008C2CAD"/>
    <w:rsid w:val="008D52BB"/>
    <w:rsid w:val="009659E7"/>
    <w:rsid w:val="009708F7"/>
    <w:rsid w:val="009777FD"/>
    <w:rsid w:val="00996D12"/>
    <w:rsid w:val="009B0709"/>
    <w:rsid w:val="009D458A"/>
    <w:rsid w:val="00A0365E"/>
    <w:rsid w:val="00A05400"/>
    <w:rsid w:val="00A31959"/>
    <w:rsid w:val="00A348A6"/>
    <w:rsid w:val="00A46397"/>
    <w:rsid w:val="00A62348"/>
    <w:rsid w:val="00AD7758"/>
    <w:rsid w:val="00B01801"/>
    <w:rsid w:val="00B45C34"/>
    <w:rsid w:val="00B54F76"/>
    <w:rsid w:val="00B7087A"/>
    <w:rsid w:val="00BB31F6"/>
    <w:rsid w:val="00BE0352"/>
    <w:rsid w:val="00C16711"/>
    <w:rsid w:val="00CC0D48"/>
    <w:rsid w:val="00CD2F73"/>
    <w:rsid w:val="00D04512"/>
    <w:rsid w:val="00D125D5"/>
    <w:rsid w:val="00D60DEF"/>
    <w:rsid w:val="00D86C2B"/>
    <w:rsid w:val="00D92225"/>
    <w:rsid w:val="00DA44C9"/>
    <w:rsid w:val="00DB4B19"/>
    <w:rsid w:val="00DC5B7B"/>
    <w:rsid w:val="00DD5AB8"/>
    <w:rsid w:val="00E00C21"/>
    <w:rsid w:val="00E01FA0"/>
    <w:rsid w:val="00E52FD4"/>
    <w:rsid w:val="00E8695D"/>
    <w:rsid w:val="00EC3D96"/>
    <w:rsid w:val="00F05ACC"/>
    <w:rsid w:val="00F12406"/>
    <w:rsid w:val="00F16477"/>
    <w:rsid w:val="00F26C09"/>
    <w:rsid w:val="00F459E9"/>
    <w:rsid w:val="00F969B2"/>
    <w:rsid w:val="00FB0F06"/>
    <w:rsid w:val="00FB4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6A24E"/>
  <w15:chartTrackingRefBased/>
  <w15:docId w15:val="{FEDE2814-C909-47F0-B18D-9C452182F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5B7B"/>
  </w:style>
  <w:style w:type="paragraph" w:styleId="Heading1">
    <w:name w:val="heading 1"/>
    <w:basedOn w:val="Normal"/>
    <w:next w:val="Normal"/>
    <w:link w:val="Heading1Char"/>
    <w:uiPriority w:val="9"/>
    <w:qFormat/>
    <w:rsid w:val="00DC5B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5B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5B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5B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5B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5B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5B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5B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5B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5B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5B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5B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5B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5B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5B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5B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5B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5B7B"/>
    <w:rPr>
      <w:rFonts w:eastAsiaTheme="majorEastAsia" w:cstheme="majorBidi"/>
      <w:color w:val="272727" w:themeColor="text1" w:themeTint="D8"/>
    </w:rPr>
  </w:style>
  <w:style w:type="paragraph" w:styleId="Title">
    <w:name w:val="Title"/>
    <w:basedOn w:val="Normal"/>
    <w:next w:val="Normal"/>
    <w:link w:val="TitleChar"/>
    <w:uiPriority w:val="10"/>
    <w:qFormat/>
    <w:rsid w:val="00DC5B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5B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5B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5B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5B7B"/>
    <w:pPr>
      <w:spacing w:before="160"/>
      <w:jc w:val="center"/>
    </w:pPr>
    <w:rPr>
      <w:i/>
      <w:iCs/>
      <w:color w:val="404040" w:themeColor="text1" w:themeTint="BF"/>
    </w:rPr>
  </w:style>
  <w:style w:type="character" w:customStyle="1" w:styleId="QuoteChar">
    <w:name w:val="Quote Char"/>
    <w:basedOn w:val="DefaultParagraphFont"/>
    <w:link w:val="Quote"/>
    <w:uiPriority w:val="29"/>
    <w:rsid w:val="00DC5B7B"/>
    <w:rPr>
      <w:i/>
      <w:iCs/>
      <w:color w:val="404040" w:themeColor="text1" w:themeTint="BF"/>
    </w:rPr>
  </w:style>
  <w:style w:type="paragraph" w:styleId="ListParagraph">
    <w:name w:val="List Paragraph"/>
    <w:basedOn w:val="Normal"/>
    <w:uiPriority w:val="34"/>
    <w:qFormat/>
    <w:rsid w:val="00DC5B7B"/>
    <w:pPr>
      <w:ind w:left="720"/>
      <w:contextualSpacing/>
    </w:pPr>
  </w:style>
  <w:style w:type="character" w:styleId="IntenseEmphasis">
    <w:name w:val="Intense Emphasis"/>
    <w:basedOn w:val="DefaultParagraphFont"/>
    <w:uiPriority w:val="21"/>
    <w:qFormat/>
    <w:rsid w:val="00DC5B7B"/>
    <w:rPr>
      <w:i/>
      <w:iCs/>
      <w:color w:val="0F4761" w:themeColor="accent1" w:themeShade="BF"/>
    </w:rPr>
  </w:style>
  <w:style w:type="paragraph" w:styleId="IntenseQuote">
    <w:name w:val="Intense Quote"/>
    <w:basedOn w:val="Normal"/>
    <w:next w:val="Normal"/>
    <w:link w:val="IntenseQuoteChar"/>
    <w:uiPriority w:val="30"/>
    <w:qFormat/>
    <w:rsid w:val="00DC5B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5B7B"/>
    <w:rPr>
      <w:i/>
      <w:iCs/>
      <w:color w:val="0F4761" w:themeColor="accent1" w:themeShade="BF"/>
    </w:rPr>
  </w:style>
  <w:style w:type="character" w:styleId="IntenseReference">
    <w:name w:val="Intense Reference"/>
    <w:basedOn w:val="DefaultParagraphFont"/>
    <w:uiPriority w:val="32"/>
    <w:qFormat/>
    <w:rsid w:val="00DC5B7B"/>
    <w:rPr>
      <w:b/>
      <w:bCs/>
      <w:smallCaps/>
      <w:color w:val="0F4761" w:themeColor="accent1" w:themeShade="BF"/>
      <w:spacing w:val="5"/>
    </w:rPr>
  </w:style>
  <w:style w:type="paragraph" w:styleId="NoSpacing">
    <w:name w:val="No Spacing"/>
    <w:uiPriority w:val="1"/>
    <w:qFormat/>
    <w:rsid w:val="00DC5B7B"/>
    <w:pPr>
      <w:spacing w:after="0" w:line="240" w:lineRule="auto"/>
    </w:pPr>
  </w:style>
  <w:style w:type="paragraph" w:styleId="NormalWeb">
    <w:name w:val="Normal (Web)"/>
    <w:basedOn w:val="Normal"/>
    <w:uiPriority w:val="99"/>
    <w:semiHidden/>
    <w:unhideWhenUsed/>
    <w:rsid w:val="002E12A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2E12AE"/>
    <w:rPr>
      <w:b/>
      <w:bCs/>
    </w:rPr>
  </w:style>
  <w:style w:type="character" w:styleId="Hyperlink">
    <w:name w:val="Hyperlink"/>
    <w:basedOn w:val="DefaultParagraphFont"/>
    <w:uiPriority w:val="99"/>
    <w:unhideWhenUsed/>
    <w:rsid w:val="00F1647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7209145">
      <w:bodyDiv w:val="1"/>
      <w:marLeft w:val="0"/>
      <w:marRight w:val="0"/>
      <w:marTop w:val="0"/>
      <w:marBottom w:val="0"/>
      <w:divBdr>
        <w:top w:val="none" w:sz="0" w:space="0" w:color="auto"/>
        <w:left w:val="none" w:sz="0" w:space="0" w:color="auto"/>
        <w:bottom w:val="none" w:sz="0" w:space="0" w:color="auto"/>
        <w:right w:val="none" w:sz="0" w:space="0" w:color="auto"/>
      </w:divBdr>
    </w:div>
    <w:div w:id="596132105">
      <w:bodyDiv w:val="1"/>
      <w:marLeft w:val="0"/>
      <w:marRight w:val="0"/>
      <w:marTop w:val="0"/>
      <w:marBottom w:val="0"/>
      <w:divBdr>
        <w:top w:val="none" w:sz="0" w:space="0" w:color="auto"/>
        <w:left w:val="none" w:sz="0" w:space="0" w:color="auto"/>
        <w:bottom w:val="none" w:sz="0" w:space="0" w:color="auto"/>
        <w:right w:val="none" w:sz="0" w:space="0" w:color="auto"/>
      </w:divBdr>
    </w:div>
    <w:div w:id="1247035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uk6uJ0kj8w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1476869006061777" TargetMode="External"/><Relationship Id="rId5" Type="http://schemas.openxmlformats.org/officeDocument/2006/relationships/hyperlink" Target="https://doi.org/10.1163/174551908X26604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2577</Words>
  <Characters>14695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Philitoga</dc:creator>
  <cp:keywords/>
  <dc:description/>
  <cp:lastModifiedBy>Daniel Philitoga</cp:lastModifiedBy>
  <cp:revision>4</cp:revision>
  <dcterms:created xsi:type="dcterms:W3CDTF">2024-05-20T12:32:00Z</dcterms:created>
  <dcterms:modified xsi:type="dcterms:W3CDTF">2024-05-20T12:44:00Z</dcterms:modified>
</cp:coreProperties>
</file>