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20" w:line="360" w:lineRule="auto"/>
        <w:jc w:val="both"/>
        <w:rPr>
          <w:rFonts w:ascii="Times New Roman" w:hAnsi="Times New Roman" w:cs="Times New Roman"/>
          <w:b/>
          <w:sz w:val="24"/>
          <w:szCs w:val="24"/>
        </w:rPr>
      </w:pPr>
    </w:p>
    <w:p>
      <w:pPr>
        <w:spacing w:after="120" w:line="360" w:lineRule="auto"/>
        <w:jc w:val="center"/>
        <w:rPr>
          <w:rFonts w:ascii="Times New Roman" w:hAnsi="Times New Roman" w:cs="Times New Roman"/>
          <w:b/>
          <w:sz w:val="24"/>
          <w:szCs w:val="24"/>
        </w:rPr>
      </w:pPr>
    </w:p>
    <w:p>
      <w:pPr>
        <w:spacing w:after="120" w:line="360" w:lineRule="auto"/>
        <w:jc w:val="center"/>
        <w:rPr>
          <w:rFonts w:ascii="Times New Roman" w:hAnsi="Times New Roman" w:cs="Times New Roman"/>
          <w:b/>
          <w:sz w:val="32"/>
          <w:szCs w:val="32"/>
        </w:rPr>
      </w:pPr>
      <w:r>
        <w:rPr>
          <w:rFonts w:ascii="Times New Roman" w:hAnsi="Times New Roman" w:cs="Times New Roman"/>
          <w:b/>
          <w:sz w:val="32"/>
          <w:szCs w:val="32"/>
        </w:rPr>
        <w:t>A detailed environmental analysis and development of an outline marketing plan: The case of Coca-Cola Company in the UK market</w:t>
      </w:r>
      <w:bookmarkStart w:id="43" w:name="_GoBack"/>
      <w:bookmarkEnd w:id="43"/>
    </w:p>
    <w:p>
      <w:pPr>
        <w:spacing w:after="120" w:line="360" w:lineRule="auto"/>
        <w:jc w:val="both"/>
        <w:rPr>
          <w:rFonts w:ascii="Times New Roman" w:hAnsi="Times New Roman" w:cs="Times New Roman"/>
          <w:b/>
          <w:sz w:val="24"/>
          <w:szCs w:val="24"/>
        </w:rPr>
      </w:pP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Name:</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MingFei Xie</w:t>
      </w:r>
    </w:p>
    <w:p>
      <w:pPr>
        <w:keepNext w:val="0"/>
        <w:keepLines w:val="0"/>
        <w:widowControl/>
        <w:suppressLineNumbers w:val="0"/>
        <w:ind w:firstLine="3213" w:firstLineChars="1000"/>
        <w:jc w:val="left"/>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Student</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 xml:space="preserve"> </w:t>
      </w: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ID:</w:t>
      </w:r>
      <w:r>
        <w:rPr>
          <w:rFonts w:hint="default" w:ascii="Times New Roman" w:hAnsi="Times New Roman" w:cs="Times New Roman"/>
          <w:b/>
          <w:bCs/>
          <w:i w:val="0"/>
          <w:smallCaps w:val="0"/>
          <w:strike w:val="0"/>
          <w:color w:val="000000"/>
          <w:kern w:val="0"/>
          <w:sz w:val="32"/>
          <w:szCs w:val="32"/>
          <w:u w:val="none"/>
          <w:vertAlign w:val="baseline"/>
          <w:lang w:val="en-US" w:eastAsia="zh-CN" w:bidi="ar"/>
        </w:rPr>
        <w:t>1903731</w:t>
      </w:r>
    </w:p>
    <w:p>
      <w:pPr>
        <w:keepNext w:val="0"/>
        <w:keepLines w:val="0"/>
        <w:widowControl/>
        <w:suppressLineNumbers w:val="0"/>
        <w:ind w:firstLine="3534" w:firstLineChars="1100"/>
        <w:jc w:val="left"/>
        <w:rPr>
          <w:rFonts w:hint="default" w:ascii="Times New Roman" w:hAnsi="Times New Roman" w:eastAsia="Times New Roman" w:cs="Times New Roman"/>
          <w:b/>
          <w:color w:val="auto"/>
          <w:sz w:val="32"/>
          <w:szCs w:val="32"/>
          <w:rtl w:val="0"/>
          <w:lang w:val="en-US"/>
        </w:rPr>
      </w:pPr>
      <w:r>
        <w:rPr>
          <w:rFonts w:hint="default" w:ascii="Times New Roman" w:hAnsi="Times New Roman" w:eastAsia="宋体" w:cs="Times New Roman"/>
          <w:b/>
          <w:bCs/>
          <w:i w:val="0"/>
          <w:smallCaps w:val="0"/>
          <w:strike w:val="0"/>
          <w:color w:val="000000"/>
          <w:kern w:val="0"/>
          <w:sz w:val="32"/>
          <w:szCs w:val="32"/>
          <w:u w:val="none"/>
          <w:vertAlign w:val="baseline"/>
          <w:lang w:val="en-US" w:eastAsia="zh-CN" w:bidi="ar"/>
        </w:rPr>
        <w:t>Time:</w:t>
      </w:r>
      <w:r>
        <w:rPr>
          <w:rFonts w:hint="eastAsia" w:ascii="Times New Roman" w:hAnsi="Times New Roman" w:cs="Times New Roman"/>
          <w:b/>
          <w:bCs/>
          <w:i w:val="0"/>
          <w:smallCaps w:val="0"/>
          <w:strike w:val="0"/>
          <w:color w:val="000000"/>
          <w:kern w:val="0"/>
          <w:sz w:val="32"/>
          <w:szCs w:val="32"/>
          <w:u w:val="none"/>
          <w:vertAlign w:val="baseline"/>
          <w:lang w:val="en-US" w:eastAsia="zh-CN" w:bidi="ar"/>
        </w:rPr>
        <w:t>13</w:t>
      </w:r>
      <w:r>
        <w:rPr>
          <w:rFonts w:hint="eastAsia" w:ascii="Times New Roman" w:hAnsi="Times New Roman" w:eastAsia="宋体" w:cs="Times New Roman"/>
          <w:b/>
          <w:bCs/>
          <w:i w:val="0"/>
          <w:smallCaps w:val="0"/>
          <w:strike w:val="0"/>
          <w:color w:val="000000"/>
          <w:kern w:val="0"/>
          <w:sz w:val="32"/>
          <w:szCs w:val="32"/>
          <w:u w:val="none"/>
          <w:vertAlign w:val="baseline"/>
          <w:lang w:val="en-US" w:eastAsia="zh-CN" w:bidi="ar"/>
        </w:rPr>
        <w:t>/5/2020</w:t>
      </w:r>
    </w:p>
    <w:p>
      <w:pPr>
        <w:spacing w:after="120" w:line="360" w:lineRule="auto"/>
        <w:jc w:val="both"/>
        <w:rPr>
          <w:rFonts w:ascii="Times New Roman" w:hAnsi="Times New Roman" w:cs="Times New Roman"/>
          <w:b/>
          <w:sz w:val="24"/>
          <w:szCs w:val="24"/>
        </w:rPr>
        <w:sectPr>
          <w:pgSz w:w="11906" w:h="16838"/>
          <w:pgMar w:top="1440" w:right="1440" w:bottom="1440" w:left="1440" w:header="720" w:footer="720" w:gutter="0"/>
          <w:cols w:space="720" w:num="1"/>
          <w:docGrid w:linePitch="360" w:charSpace="0"/>
        </w:sectPr>
      </w:pPr>
    </w:p>
    <w:p>
      <w:pPr>
        <w:spacing w:after="120" w:line="360" w:lineRule="auto"/>
        <w:jc w:val="both"/>
        <w:rPr>
          <w:rFonts w:ascii="Times New Roman" w:hAnsi="Times New Roman" w:cs="Times New Roman"/>
          <w:b/>
          <w:sz w:val="24"/>
          <w:szCs w:val="24"/>
        </w:rPr>
      </w:pPr>
      <w:r>
        <w:rPr>
          <w:rFonts w:ascii="Times New Roman" w:hAnsi="Times New Roman" w:cs="Times New Roman"/>
          <w:b/>
          <w:sz w:val="24"/>
          <w:szCs w:val="24"/>
        </w:rPr>
        <w:t>Executive Summary</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aim of this report is to conduct a detailed environmental analysis and a marketing plan of Coca-Cola Company using SOSTAC model. Coca Cola Company is an American multinational firm that manufacturers, retails and markets non-alcoholic beverages and syrups including fruit sodas, drinking water, sports drinks and soft drinks among others. The situational analysis reveal that some of the opportunities available for Coca-Cola in the UK market are stable political environment, foreign direct investment support from the UK government, drop in inflation rate, stable population growth and technological development and innovations. However, some of the threats include increased taxation on sugar products, decline in GDP growth and health concerns among UK citizens towards consumption of healthy beverages. Additionally, the marketing plan has outline SMART objectives that will enable the company achieve its goals in the UK market. Moreover, from the STP analysis, the report reveals that Coca-Cola should segment its market demographically based on age and income, behaviourally based on benefits sought and pyschographically based on lifestyle. Further, the report finds that Coca-Cola should target young generation mainly between the ages of 17-35 years and health conscious customers with low calorie beverages. Equally, the company should position itself as marketing consistent and high quality products at affordable prices.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Equally, the report has outlined the 7P’s marketing mix that Coca-Cola should adopt in UK. Finally, the report has presented the action plan and control mechanisms where some of the key performance indicators include increase market share, website traffic, increase in unit sales and increase in online orders among others. To this end, it is recommended that Coca-Cola should review the needs and preferences of customers in UK and design its products based on these needs, increase promotion and advertising of its products and leverage on the presence of social media to boost its sales.</w:t>
      </w:r>
    </w:p>
    <w:p>
      <w:pPr>
        <w:spacing w:after="120" w:line="360" w:lineRule="auto"/>
        <w:jc w:val="both"/>
        <w:rPr>
          <w:rFonts w:ascii="Times New Roman" w:hAnsi="Times New Roman" w:cs="Times New Roman"/>
          <w:sz w:val="24"/>
          <w:szCs w:val="24"/>
        </w:rPr>
      </w:pPr>
    </w:p>
    <w:p>
      <w:pPr>
        <w:spacing w:after="120" w:line="360" w:lineRule="auto"/>
        <w:jc w:val="both"/>
        <w:rPr>
          <w:rFonts w:ascii="Times New Roman" w:hAnsi="Times New Roman" w:cs="Times New Roman"/>
          <w:sz w:val="24"/>
          <w:szCs w:val="24"/>
        </w:rPr>
        <w:sectPr>
          <w:pgSz w:w="11906" w:h="16838"/>
          <w:pgMar w:top="1440" w:right="1440" w:bottom="1440" w:left="1440" w:header="720" w:footer="720" w:gutter="0"/>
          <w:cols w:space="720" w:num="1"/>
          <w:docGrid w:linePitch="360" w:charSpace="0"/>
        </w:sectPr>
      </w:pPr>
    </w:p>
    <w:p>
      <w:pPr>
        <w:spacing w:after="120" w:line="360" w:lineRule="auto"/>
        <w:jc w:val="both"/>
        <w:rPr>
          <w:rFonts w:ascii="Times New Roman" w:hAnsi="Times New Roman" w:cs="Times New Roman"/>
          <w:b/>
          <w:sz w:val="24"/>
          <w:szCs w:val="24"/>
        </w:rPr>
      </w:pPr>
    </w:p>
    <w:sdt>
      <w:sdtPr>
        <w:rPr>
          <w:rFonts w:ascii="Times New Roman" w:hAnsi="Times New Roman" w:cs="Times New Roman" w:eastAsiaTheme="minorHAnsi"/>
          <w:b w:val="0"/>
          <w:bCs w:val="0"/>
          <w:color w:val="auto"/>
          <w:sz w:val="24"/>
          <w:szCs w:val="24"/>
          <w:lang w:val="en-GB" w:eastAsia="en-US"/>
        </w:rPr>
        <w:id w:val="-825130852"/>
        <w:docPartObj>
          <w:docPartGallery w:val="Table of Contents"/>
          <w:docPartUnique/>
        </w:docPartObj>
      </w:sdtPr>
      <w:sdtEndPr>
        <w:rPr>
          <w:rFonts w:ascii="Times New Roman" w:hAnsi="Times New Roman" w:eastAsia="宋体" w:cs="Times New Roman"/>
          <w:b w:val="0"/>
          <w:bCs w:val="0"/>
          <w:color w:val="auto"/>
          <w:sz w:val="24"/>
          <w:szCs w:val="24"/>
          <w:lang w:val="en-GB" w:eastAsia="en-US"/>
        </w:rPr>
      </w:sdtEndPr>
      <w:sdtContent>
        <w:p>
          <w:pPr>
            <w:pStyle w:val="22"/>
            <w:spacing w:before="0" w:after="120" w:line="360" w:lineRule="auto"/>
            <w:jc w:val="both"/>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Contents</w:t>
          </w:r>
        </w:p>
        <w:p>
          <w:pPr>
            <w:pStyle w:val="8"/>
            <w:tabs>
              <w:tab w:val="right" w:leader="dot" w:pos="9016"/>
            </w:tabs>
            <w:rPr>
              <w:rFonts w:ascii="Times New Roman" w:hAnsi="Times New Roman" w:cs="Times New Roman" w:eastAsiaTheme="minorEastAsia"/>
              <w:lang w:eastAsia="zh-C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"_Toc40046925" </w:instrText>
          </w:r>
          <w:r>
            <w:fldChar w:fldCharType="separate"/>
          </w:r>
          <w:r>
            <w:rPr>
              <w:rStyle w:val="16"/>
              <w:rFonts w:ascii="Times New Roman" w:hAnsi="Times New Roman" w:cs="Times New Roman"/>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_Toc40046925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"_Toc40046926" </w:instrText>
          </w:r>
          <w:r>
            <w:fldChar w:fldCharType="separate"/>
          </w:r>
          <w:r>
            <w:rPr>
              <w:rStyle w:val="16"/>
              <w:rFonts w:ascii="Times New Roman" w:hAnsi="Times New Roman" w:cs="Times New Roman"/>
            </w:rPr>
            <w:t>1.1 Introduction SOSTAC</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_Toc40046926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"_Toc40046927" </w:instrText>
          </w:r>
          <w:r>
            <w:fldChar w:fldCharType="separate"/>
          </w:r>
          <w:r>
            <w:rPr>
              <w:rStyle w:val="16"/>
              <w:rFonts w:ascii="Times New Roman" w:hAnsi="Times New Roman" w:cs="Times New Roman"/>
            </w:rPr>
            <w:t>1.2 Background of Coco-cola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_Toc40046927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"_Toc40046928" </w:instrText>
          </w:r>
          <w:r>
            <w:fldChar w:fldCharType="separate"/>
          </w:r>
          <w:r>
            <w:rPr>
              <w:rStyle w:val="16"/>
              <w:rFonts w:ascii="Times New Roman" w:hAnsi="Times New Roman" w:cs="Times New Roman"/>
            </w:rPr>
            <w:t>2. Situational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_Toc40046928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"_Toc40046929" </w:instrText>
          </w:r>
          <w:r>
            <w:fldChar w:fldCharType="separate"/>
          </w:r>
          <w:r>
            <w:rPr>
              <w:rStyle w:val="16"/>
              <w:rFonts w:ascii="Times New Roman" w:hAnsi="Times New Roman" w:cs="Times New Roman"/>
            </w:rPr>
            <w:t>2.1 PEST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_Toc40046929 \h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"_Toc40046930" </w:instrText>
          </w:r>
          <w:r>
            <w:fldChar w:fldCharType="separate"/>
          </w:r>
          <w:r>
            <w:rPr>
              <w:rStyle w:val="16"/>
              <w:rFonts w:ascii="Times New Roman" w:hAnsi="Times New Roman" w:cs="Times New Roman"/>
            </w:rPr>
            <w:t>2.2 SWOT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_Toc40046930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"_Toc40046931" </w:instrText>
          </w:r>
          <w:r>
            <w:fldChar w:fldCharType="separate"/>
          </w:r>
          <w:r>
            <w:rPr>
              <w:rStyle w:val="16"/>
              <w:rFonts w:ascii="Times New Roman" w:hAnsi="Times New Roman" w:cs="Times New Roman"/>
            </w:rPr>
            <w:t>2.3 Customer insights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_Toc40046931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"_Toc40046932" </w:instrText>
          </w:r>
          <w:r>
            <w:fldChar w:fldCharType="separate"/>
          </w:r>
          <w:r>
            <w:rPr>
              <w:rStyle w:val="16"/>
              <w:rFonts w:ascii="Times New Roman" w:hAnsi="Times New Roman" w:cs="Times New Roman"/>
            </w:rPr>
            <w:t>3.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_Toc40046932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"_Toc40046933" </w:instrText>
          </w:r>
          <w:r>
            <w:fldChar w:fldCharType="separate"/>
          </w:r>
          <w:r>
            <w:rPr>
              <w:rStyle w:val="16"/>
              <w:rFonts w:ascii="Times New Roman" w:hAnsi="Times New Roman" w:cs="Times New Roman"/>
            </w:rPr>
            <w:t>3.1 Sell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_Toc40046933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"_Toc40046934" </w:instrText>
          </w:r>
          <w:r>
            <w:fldChar w:fldCharType="separate"/>
          </w:r>
          <w:r>
            <w:rPr>
              <w:rStyle w:val="16"/>
              <w:rFonts w:ascii="Times New Roman" w:hAnsi="Times New Roman" w:cs="Times New Roman"/>
            </w:rPr>
            <w:t>3.2 Serve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_Toc40046934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"_Toc40046935" </w:instrText>
          </w:r>
          <w:r>
            <w:fldChar w:fldCharType="separate"/>
          </w:r>
          <w:r>
            <w:rPr>
              <w:rStyle w:val="16"/>
              <w:rFonts w:ascii="Times New Roman" w:hAnsi="Times New Roman" w:cs="Times New Roman"/>
            </w:rPr>
            <w:t>3.3 Sizzle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_Toc40046935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"_Toc40046936" </w:instrText>
          </w:r>
          <w:r>
            <w:fldChar w:fldCharType="separate"/>
          </w:r>
          <w:r>
            <w:rPr>
              <w:rStyle w:val="16"/>
              <w:rFonts w:ascii="Times New Roman" w:hAnsi="Times New Roman" w:cs="Times New Roman"/>
            </w:rPr>
            <w:t>3.4 Speak</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_Toc40046936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"_Toc40046937" </w:instrText>
          </w:r>
          <w:r>
            <w:fldChar w:fldCharType="separate"/>
          </w:r>
          <w:r>
            <w:rPr>
              <w:rStyle w:val="16"/>
              <w:rFonts w:ascii="Times New Roman" w:hAnsi="Times New Roman" w:cs="Times New Roman"/>
            </w:rPr>
            <w:t>3.5 Save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_Toc40046937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"_Toc40046938" </w:instrText>
          </w:r>
          <w:r>
            <w:fldChar w:fldCharType="separate"/>
          </w:r>
          <w:r>
            <w:rPr>
              <w:rStyle w:val="16"/>
              <w:rFonts w:ascii="Times New Roman" w:hAnsi="Times New Roman" w:cs="Times New Roman"/>
            </w:rPr>
            <w:t>4.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_Toc40046938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"_Toc40046939" </w:instrText>
          </w:r>
          <w:r>
            <w:fldChar w:fldCharType="separate"/>
          </w:r>
          <w:r>
            <w:rPr>
              <w:rStyle w:val="16"/>
              <w:rFonts w:ascii="Times New Roman" w:hAnsi="Times New Roman" w:cs="Times New Roman"/>
            </w:rPr>
            <w:t>4.1 Segments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_Toc40046939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"_Toc40046940" </w:instrText>
          </w:r>
          <w:r>
            <w:fldChar w:fldCharType="separate"/>
          </w:r>
          <w:r>
            <w:rPr>
              <w:rStyle w:val="16"/>
              <w:rFonts w:ascii="Times New Roman" w:hAnsi="Times New Roman" w:cs="Times New Roman"/>
            </w:rPr>
            <w:t>4.2 Target markets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_Toc40046940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"_Toc40046941" </w:instrText>
          </w:r>
          <w:r>
            <w:fldChar w:fldCharType="separate"/>
          </w:r>
          <w:r>
            <w:rPr>
              <w:rStyle w:val="16"/>
              <w:rFonts w:ascii="Times New Roman" w:hAnsi="Times New Roman" w:cs="Times New Roman"/>
            </w:rPr>
            <w:t>4.3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_Toc40046941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"_Toc40046942" </w:instrText>
          </w:r>
          <w:r>
            <w:fldChar w:fldCharType="separate"/>
          </w:r>
          <w:r>
            <w:rPr>
              <w:rStyle w:val="16"/>
              <w:rFonts w:ascii="Times New Roman" w:hAnsi="Times New Roman" w:cs="Times New Roman"/>
            </w:rPr>
            <w:t>4.4 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_Toc40046942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"_Toc40046943" </w:instrText>
          </w:r>
          <w:r>
            <w:fldChar w:fldCharType="separate"/>
          </w:r>
          <w:r>
            <w:rPr>
              <w:rStyle w:val="16"/>
              <w:rFonts w:ascii="Times New Roman" w:hAnsi="Times New Roman" w:cs="Times New Roman"/>
            </w:rPr>
            <w:t>5. Tactics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_Toc40046943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"_Toc40046944" </w:instrText>
          </w:r>
          <w:r>
            <w:fldChar w:fldCharType="separate"/>
          </w:r>
          <w:r>
            <w:rPr>
              <w:rStyle w:val="16"/>
              <w:rFonts w:ascii="Times New Roman" w:hAnsi="Times New Roman" w:cs="Times New Roman"/>
            </w:rPr>
            <w:t>5.1 Marketing mix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_Toc40046944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"_Toc40046945" </w:instrText>
          </w:r>
          <w:r>
            <w:fldChar w:fldCharType="separate"/>
          </w:r>
          <w:r>
            <w:rPr>
              <w:rStyle w:val="16"/>
              <w:rFonts w:ascii="Times New Roman" w:hAnsi="Times New Roman" w:cs="Times New Roman"/>
            </w:rPr>
            <w:t>5.2 Content/Contact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_Toc40046945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"_Toc40046946" </w:instrText>
          </w:r>
          <w:r>
            <w:fldChar w:fldCharType="separate"/>
          </w:r>
          <w:r>
            <w:rPr>
              <w:rStyle w:val="16"/>
              <w:rFonts w:ascii="Times New Roman" w:hAnsi="Times New Roman" w:cs="Times New Roman"/>
            </w:rPr>
            <w:t>6. Actions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_Toc40046946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"_Toc40046947" </w:instrText>
          </w:r>
          <w:r>
            <w:fldChar w:fldCharType="separate"/>
          </w:r>
          <w:r>
            <w:rPr>
              <w:rStyle w:val="16"/>
              <w:rFonts w:ascii="Times New Roman" w:hAnsi="Times New Roman" w:cs="Times New Roman"/>
            </w:rPr>
            <w:t>6.1 Responsibilities and structures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_Toc40046947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"_Toc40046948" </w:instrText>
          </w:r>
          <w:r>
            <w:fldChar w:fldCharType="separate"/>
          </w:r>
          <w:r>
            <w:rPr>
              <w:rStyle w:val="16"/>
              <w:rFonts w:ascii="Times New Roman" w:hAnsi="Times New Roman" w:cs="Times New Roman"/>
            </w:rPr>
            <w:t>6.2 Processes and systems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_Toc40046948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"_Toc40046949" </w:instrText>
          </w:r>
          <w:r>
            <w:fldChar w:fldCharType="separate"/>
          </w:r>
          <w:r>
            <w:rPr>
              <w:rStyle w:val="16"/>
              <w:rFonts w:ascii="Times New Roman" w:hAnsi="Times New Roman" w:cs="Times New Roman"/>
            </w:rPr>
            <w:t>6.3 Internal resources and skills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_Toc40046949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"_Toc40046950" </w:instrText>
          </w:r>
          <w:r>
            <w:fldChar w:fldCharType="separate"/>
          </w:r>
          <w:r>
            <w:rPr>
              <w:rStyle w:val="16"/>
              <w:rFonts w:ascii="Times New Roman" w:hAnsi="Times New Roman" w:cs="Times New Roman"/>
            </w:rPr>
            <w:t>6.4 External agencies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_Toc40046950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"_Toc40046951" </w:instrText>
          </w:r>
          <w:r>
            <w:fldChar w:fldCharType="separate"/>
          </w:r>
          <w:r>
            <w:rPr>
              <w:rStyle w:val="16"/>
              <w:rFonts w:ascii="Times New Roman" w:hAnsi="Times New Roman" w:cs="Times New Roman"/>
            </w:rPr>
            <w:t>7. Control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_Toc40046951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"_Toc40046952" </w:instrText>
          </w:r>
          <w:r>
            <w:fldChar w:fldCharType="separate"/>
          </w:r>
          <w:r>
            <w:rPr>
              <w:rStyle w:val="16"/>
              <w:rFonts w:ascii="Times New Roman" w:hAnsi="Times New Roman" w:cs="Times New Roman"/>
            </w:rPr>
            <w:t>7.1 KPIs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_Toc40046952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"_Toc40046953" </w:instrText>
          </w:r>
          <w:r>
            <w:fldChar w:fldCharType="separate"/>
          </w:r>
          <w:r>
            <w:rPr>
              <w:rStyle w:val="16"/>
              <w:rFonts w:ascii="Times New Roman" w:hAnsi="Times New Roman" w:cs="Times New Roman"/>
            </w:rPr>
            <w:t>7.2 Web analytics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_Toc40046953 \h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"_Toc40046954" </w:instrText>
          </w:r>
          <w:r>
            <w:fldChar w:fldCharType="separate"/>
          </w:r>
          <w:r>
            <w:rPr>
              <w:rStyle w:val="16"/>
              <w:rFonts w:ascii="Times New Roman" w:hAnsi="Times New Roman" w:cs="Times New Roman"/>
            </w:rPr>
            <w:t>7.3 User experience reviews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_Toc40046954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"_Toc40046955" </w:instrText>
          </w:r>
          <w:r>
            <w:fldChar w:fldCharType="separate"/>
          </w:r>
          <w:r>
            <w:rPr>
              <w:rStyle w:val="16"/>
              <w:rFonts w:ascii="Times New Roman" w:hAnsi="Times New Roman" w:cs="Times New Roman"/>
            </w:rPr>
            <w:t>7.4 Conversion rates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_Toc40046955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pPr>
            <w:pStyle w:val="10"/>
            <w:tabs>
              <w:tab w:val="right" w:leader="dot" w:pos="9016"/>
            </w:tabs>
            <w:rPr>
              <w:rFonts w:ascii="Times New Roman" w:hAnsi="Times New Roman" w:cs="Times New Roman" w:eastAsiaTheme="minorEastAsia"/>
              <w:lang w:eastAsia="zh-CN"/>
            </w:rPr>
          </w:pPr>
          <w:r>
            <w:fldChar w:fldCharType="begin"/>
          </w:r>
          <w:r>
            <w:instrText xml:space="preserve"> HYPERLINK \l "_Toc40046956" </w:instrText>
          </w:r>
          <w:r>
            <w:fldChar w:fldCharType="separate"/>
          </w:r>
          <w:r>
            <w:rPr>
              <w:rStyle w:val="16"/>
              <w:rFonts w:ascii="Times New Roman" w:hAnsi="Times New Roman" w:cs="Times New Roman"/>
            </w:rPr>
            <w:t>7.5 Reporting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_Toc40046956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"_Toc40046957" </w:instrText>
          </w:r>
          <w:r>
            <w:fldChar w:fldCharType="separate"/>
          </w:r>
          <w:r>
            <w:rPr>
              <w:rStyle w:val="16"/>
              <w:rFonts w:ascii="Times New Roman" w:hAnsi="Times New Roman" w:cs="Times New Roman"/>
            </w:rPr>
            <w:t>8.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_Toc40046957 \h </w:instrText>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"_Toc40046958" </w:instrText>
          </w:r>
          <w:r>
            <w:fldChar w:fldCharType="separate"/>
          </w:r>
          <w:r>
            <w:rPr>
              <w:rStyle w:val="16"/>
              <w:rFonts w:ascii="Times New Roman" w:hAnsi="Times New Roman" w:cs="Times New Roman"/>
            </w:rPr>
            <w:t>9. 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_Toc40046958 \h </w:instrText>
          </w:r>
          <w:r>
            <w:rPr>
              <w:rFonts w:ascii="Times New Roman" w:hAnsi="Times New Roman" w:cs="Times New Roman"/>
            </w:rPr>
            <w:fldChar w:fldCharType="separate"/>
          </w:r>
          <w:r>
            <w:rPr>
              <w:rFonts w:ascii="Times New Roman" w:hAnsi="Times New Roman" w:cs="Times New Roman"/>
            </w:rPr>
            <w:t>17</w:t>
          </w:r>
          <w:r>
            <w:rPr>
              <w:rFonts w:ascii="Times New Roman" w:hAnsi="Times New Roman" w:cs="Times New Roman"/>
            </w:rPr>
            <w:fldChar w:fldCharType="end"/>
          </w:r>
          <w:r>
            <w:rPr>
              <w:rFonts w:ascii="Times New Roman" w:hAnsi="Times New Roman" w:cs="Times New Roman"/>
            </w:rPr>
            <w:fldChar w:fldCharType="end"/>
          </w:r>
        </w:p>
        <w:p>
          <w:pPr>
            <w:pStyle w:val="8"/>
            <w:tabs>
              <w:tab w:val="right" w:leader="dot" w:pos="9016"/>
            </w:tabs>
            <w:rPr>
              <w:rFonts w:ascii="Times New Roman" w:hAnsi="Times New Roman" w:cs="Times New Roman" w:eastAsiaTheme="minorEastAsia"/>
              <w:lang w:eastAsia="zh-CN"/>
            </w:rPr>
          </w:pPr>
          <w:r>
            <w:fldChar w:fldCharType="begin"/>
          </w:r>
          <w:r>
            <w:instrText xml:space="preserve"> HYPERLINK \l "_Toc40046959" </w:instrText>
          </w:r>
          <w:r>
            <w:fldChar w:fldCharType="separate"/>
          </w:r>
          <w:r>
            <w:rPr>
              <w:rStyle w:val="16"/>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_Toc40046959 \h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r>
            <w:rPr>
              <w:rFonts w:ascii="Times New Roman" w:hAnsi="Times New Roman" w:cs="Times New Roman"/>
            </w:rPr>
            <w:fldChar w:fldCharType="end"/>
          </w:r>
        </w:p>
        <w:p>
          <w:pPr>
            <w:spacing w:after="120"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after="120" w:line="360" w:lineRule="auto"/>
        <w:jc w:val="both"/>
        <w:rPr>
          <w:rFonts w:ascii="Times New Roman" w:hAnsi="Times New Roman" w:cs="Times New Roman"/>
          <w:sz w:val="24"/>
          <w:szCs w:val="24"/>
        </w:rPr>
        <w:sectPr>
          <w:footerReference r:id="rId3" w:type="default"/>
          <w:pgSz w:w="11906" w:h="16838"/>
          <w:pgMar w:top="1440" w:right="1440" w:bottom="1440" w:left="1440" w:header="720" w:footer="720" w:gutter="0"/>
          <w:pgNumType w:start="1"/>
          <w:cols w:space="720" w:num="1"/>
          <w:docGrid w:linePitch="360" w:charSpace="0"/>
        </w:sectPr>
      </w:pPr>
    </w:p>
    <w:p>
      <w:pPr>
        <w:pStyle w:val="2"/>
        <w:spacing w:before="0" w:beforeAutospacing="0" w:after="120" w:afterAutospacing="0" w:line="360" w:lineRule="auto"/>
        <w:jc w:val="both"/>
        <w:rPr>
          <w:sz w:val="24"/>
          <w:szCs w:val="24"/>
          <w:lang w:val="en-GB"/>
        </w:rPr>
      </w:pPr>
      <w:bookmarkStart w:id="0" w:name="_Toc40046925"/>
      <w:r>
        <w:rPr>
          <w:sz w:val="24"/>
          <w:szCs w:val="24"/>
          <w:lang w:val="en-GB"/>
        </w:rPr>
        <w:t>1. Introduction</w:t>
      </w:r>
      <w:bookmarkEnd w:id="0"/>
    </w:p>
    <w:p>
      <w:pPr>
        <w:pStyle w:val="3"/>
        <w:spacing w:before="0" w:after="120" w:line="360" w:lineRule="auto"/>
        <w:jc w:val="both"/>
        <w:rPr>
          <w:rFonts w:ascii="Times New Roman" w:hAnsi="Times New Roman" w:cs="Times New Roman"/>
          <w:color w:val="auto"/>
          <w:sz w:val="24"/>
          <w:szCs w:val="24"/>
        </w:rPr>
      </w:pPr>
      <w:bookmarkStart w:id="1" w:name="_Toc40046926"/>
      <w:r>
        <w:rPr>
          <w:rFonts w:ascii="Times New Roman" w:hAnsi="Times New Roman" w:cs="Times New Roman"/>
          <w:color w:val="auto"/>
          <w:sz w:val="24"/>
          <w:szCs w:val="24"/>
        </w:rPr>
        <w:t>1.1 Introduction SOSTAC</w:t>
      </w:r>
      <w:bookmarkEnd w:id="1"/>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Developed by PR Smith, SOSTAC is a widely and popular used model for business and marketing planning. It contains general strategy of marketing which can be applied to different commercial situations and has an acronym for six fundamental marketing facets including situation, objectives, strategy, tactics, action as well as control (</w:t>
      </w:r>
      <w:r>
        <w:rPr>
          <w:rFonts w:ascii="Times New Roman" w:hAnsi="Times New Roman" w:cs="Times New Roman"/>
          <w:sz w:val="24"/>
          <w:szCs w:val="24"/>
          <w:shd w:val="clear" w:color="auto" w:fill="FFFFFF"/>
        </w:rPr>
        <w:t>Chaffey &amp; Smith, 2017)</w:t>
      </w:r>
      <w:r>
        <w:rPr>
          <w:rFonts w:ascii="Times New Roman" w:hAnsi="Times New Roman" w:cs="Times New Roman"/>
          <w:sz w:val="24"/>
          <w:szCs w:val="24"/>
        </w:rPr>
        <w:t xml:space="preserve">. It entails an examination of the external environment and developing strategies to exploit opportunities and overcome challenges that might exist </w:t>
      </w:r>
    </w:p>
    <w:p>
      <w:pPr>
        <w:pStyle w:val="3"/>
        <w:spacing w:before="0" w:after="120" w:line="360" w:lineRule="auto"/>
        <w:jc w:val="both"/>
        <w:rPr>
          <w:rFonts w:ascii="Times New Roman" w:hAnsi="Times New Roman" w:cs="Times New Roman"/>
          <w:color w:val="auto"/>
          <w:sz w:val="24"/>
          <w:szCs w:val="24"/>
        </w:rPr>
      </w:pPr>
      <w:bookmarkStart w:id="2" w:name="_Toc40046927"/>
      <w:r>
        <w:rPr>
          <w:rFonts w:ascii="Times New Roman" w:hAnsi="Times New Roman" w:cs="Times New Roman"/>
          <w:color w:val="auto"/>
          <w:sz w:val="24"/>
          <w:szCs w:val="24"/>
        </w:rPr>
        <w:t>1.2 Background of Coco-cola</w:t>
      </w:r>
      <w:bookmarkEnd w:id="2"/>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Headquartered in Atlanta, Georgia, Coca Cola Company is an American multinational firm that manufacturers, retails and markets non-alcoholic beverages and syrups including fruit sodas, drinking water, sports drinks and soft drinks among others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Coca-Cola is the world largest beverage company selling over 2,800 products in over 200 countries, employing approximately 700,000 system employees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Notably, the company continues to expand upward and in exciting and new ways hence the need to conduct environmental analysis to identify the opportunities and threats available for the non-alcoholic beverage company.</w:t>
      </w:r>
    </w:p>
    <w:p>
      <w:pPr>
        <w:pStyle w:val="2"/>
        <w:spacing w:before="0" w:beforeAutospacing="0" w:after="120" w:afterAutospacing="0" w:line="360" w:lineRule="auto"/>
        <w:jc w:val="both"/>
        <w:rPr>
          <w:sz w:val="24"/>
          <w:szCs w:val="24"/>
          <w:lang w:val="en-GB"/>
        </w:rPr>
      </w:pPr>
      <w:bookmarkStart w:id="3" w:name="_Toc40046928"/>
      <w:r>
        <w:rPr>
          <w:sz w:val="24"/>
          <w:szCs w:val="24"/>
          <w:lang w:val="en-GB"/>
        </w:rPr>
        <w:t>2. Situational analysis</w:t>
      </w:r>
      <w:bookmarkEnd w:id="3"/>
    </w:p>
    <w:p>
      <w:pPr>
        <w:pStyle w:val="3"/>
        <w:spacing w:before="0" w:after="120" w:line="360" w:lineRule="auto"/>
        <w:jc w:val="both"/>
        <w:rPr>
          <w:rFonts w:ascii="Times New Roman" w:hAnsi="Times New Roman" w:cs="Times New Roman"/>
          <w:color w:val="auto"/>
          <w:sz w:val="24"/>
          <w:szCs w:val="24"/>
        </w:rPr>
      </w:pPr>
      <w:bookmarkStart w:id="4" w:name="_Toc40046929"/>
      <w:r>
        <w:rPr>
          <w:rFonts w:ascii="Times New Roman" w:hAnsi="Times New Roman" w:cs="Times New Roman"/>
          <w:color w:val="auto"/>
          <w:sz w:val="24"/>
          <w:szCs w:val="24"/>
        </w:rPr>
        <w:t>2.1 PEST analysis</w:t>
      </w:r>
      <w:bookmarkEnd w:id="4"/>
    </w:p>
    <w:p>
      <w:pPr>
        <w:tabs>
          <w:tab w:val="left" w:pos="3996"/>
        </w:tabs>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Political environment</w:t>
      </w:r>
      <w:r>
        <w:rPr>
          <w:rFonts w:ascii="Times New Roman" w:hAnsi="Times New Roman" w:cs="Times New Roman"/>
          <w:b/>
          <w:i/>
          <w:sz w:val="24"/>
          <w:szCs w:val="24"/>
        </w:rPr>
        <w:tab/>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Accordingly, the UK enjoys a stable political environment more so after the post-recession period (</w:t>
      </w:r>
      <w:r>
        <w:rPr>
          <w:rFonts w:ascii="Times New Roman" w:hAnsi="Times New Roman" w:cs="Times New Roman"/>
          <w:sz w:val="24"/>
          <w:szCs w:val="24"/>
          <w:shd w:val="clear" w:color="auto" w:fill="FFFFFF"/>
        </w:rPr>
        <w:t>Falkner, 2017)</w:t>
      </w:r>
      <w:r>
        <w:rPr>
          <w:rFonts w:ascii="Times New Roman" w:hAnsi="Times New Roman" w:cs="Times New Roman"/>
          <w:sz w:val="24"/>
          <w:szCs w:val="24"/>
        </w:rPr>
        <w:t>. This political stability in the region indicates that there is low risk of business operations in the region; hence this market is favourable for MNCs to make long term investments. Additionally, the UK government supports foreign direct investments in a bid to create employment opportunities (</w:t>
      </w:r>
      <w:r>
        <w:rPr>
          <w:rFonts w:ascii="Times New Roman" w:hAnsi="Times New Roman" w:cs="Times New Roman"/>
          <w:sz w:val="24"/>
          <w:szCs w:val="24"/>
          <w:shd w:val="clear" w:color="auto" w:fill="FFFFFF"/>
        </w:rPr>
        <w:t>Amann &amp; Virmani, 2015)</w:t>
      </w:r>
      <w:r>
        <w:rPr>
          <w:rFonts w:ascii="Times New Roman" w:hAnsi="Times New Roman" w:cs="Times New Roman"/>
          <w:sz w:val="24"/>
          <w:szCs w:val="24"/>
        </w:rPr>
        <w:t>. This is can be seen from the 20% corporate tax which the UK governments consider to be the lowest among the G20 economies (</w:t>
      </w:r>
      <w:r>
        <w:rPr>
          <w:rFonts w:ascii="Times New Roman" w:hAnsi="Times New Roman" w:cs="Times New Roman"/>
          <w:sz w:val="24"/>
          <w:szCs w:val="24"/>
          <w:shd w:val="clear" w:color="auto" w:fill="FFFFFF"/>
        </w:rPr>
        <w:t>Dhingra et al., 2016)</w:t>
      </w:r>
      <w:r>
        <w:rPr>
          <w:rFonts w:ascii="Times New Roman" w:hAnsi="Times New Roman" w:cs="Times New Roman"/>
          <w:sz w:val="24"/>
          <w:szCs w:val="24"/>
        </w:rPr>
        <w:t>. Contrastingly, the UK government has increased taxes in sugar production which is a threat to Coca-Cola survival in UK market (</w:t>
      </w:r>
      <w:r>
        <w:rPr>
          <w:rFonts w:ascii="Times New Roman" w:hAnsi="Times New Roman" w:cs="Times New Roman"/>
          <w:sz w:val="24"/>
          <w:szCs w:val="24"/>
          <w:shd w:val="clear" w:color="auto" w:fill="FFFFFF"/>
        </w:rPr>
        <w:t>Jones, 2016)</w:t>
      </w:r>
      <w:r>
        <w:rPr>
          <w:rFonts w:ascii="Times New Roman" w:hAnsi="Times New Roman" w:cs="Times New Roman"/>
          <w:sz w:val="24"/>
          <w:szCs w:val="24"/>
        </w:rPr>
        <w:t>. Notably, the increase in VAT leads to higher prices of goods and services which in turn affect the profitability and revenue of businesses negatively.</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Economic environment</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UK economic environment is favourable for businesses as a result of the inflation rate which has registered a considerably improvement over the last few years (</w:t>
      </w:r>
      <w:r>
        <w:rPr>
          <w:rFonts w:ascii="Times New Roman" w:hAnsi="Times New Roman" w:cs="Times New Roman"/>
          <w:sz w:val="24"/>
          <w:szCs w:val="24"/>
          <w:shd w:val="clear" w:color="auto" w:fill="FFFFFF"/>
        </w:rPr>
        <w:t>Manopimoke, 2018)</w:t>
      </w:r>
      <w:r>
        <w:rPr>
          <w:rFonts w:ascii="Times New Roman" w:hAnsi="Times New Roman" w:cs="Times New Roman"/>
          <w:sz w:val="24"/>
          <w:szCs w:val="24"/>
        </w:rPr>
        <w:t>. As indicated in figure 1 below, the UK inflation rate dropped to reach a mark of 1.7 as at September 2019 (</w:t>
      </w:r>
      <w:r>
        <w:rPr>
          <w:rFonts w:ascii="Times New Roman" w:hAnsi="Times New Roman" w:cs="Times New Roman"/>
          <w:sz w:val="24"/>
          <w:szCs w:val="24"/>
          <w:shd w:val="clear" w:color="auto" w:fill="FFFFFF"/>
        </w:rPr>
        <w:t>Aparicio &amp; Bertolotto, 2020)</w:t>
      </w:r>
      <w:r>
        <w:rPr>
          <w:rFonts w:ascii="Times New Roman" w:hAnsi="Times New Roman" w:cs="Times New Roman"/>
          <w:sz w:val="24"/>
          <w:szCs w:val="24"/>
        </w:rPr>
        <w:t xml:space="preserve">. This offers opportunity for Coca-Cola to increase its production at relatively lower costs thereby translating to profitability.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39790" cy="364109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939790" cy="3641090"/>
                    </a:xfrm>
                    <a:prstGeom prst="rect">
                      <a:avLst/>
                    </a:prstGeom>
                    <a:noFill/>
                    <a:ln>
                      <a:noFill/>
                    </a:ln>
                  </pic:spPr>
                </pic:pic>
              </a:graphicData>
            </a:graphic>
          </wp:inline>
        </w:drawing>
      </w:r>
    </w:p>
    <w:p>
      <w:pPr>
        <w:tabs>
          <w:tab w:val="center" w:pos="4680"/>
        </w:tabs>
        <w:spacing w:after="120" w:line="360" w:lineRule="auto"/>
        <w:jc w:val="both"/>
        <w:rPr>
          <w:rFonts w:ascii="Times New Roman" w:hAnsi="Times New Roman" w:cs="Times New Roman"/>
          <w:sz w:val="24"/>
          <w:szCs w:val="24"/>
        </w:rPr>
      </w:pPr>
      <w:r>
        <w:rPr>
          <w:rFonts w:ascii="Times New Roman" w:hAnsi="Times New Roman" w:cs="Times New Roman"/>
          <w:sz w:val="24"/>
          <w:szCs w:val="24"/>
        </w:rPr>
        <w:t>Fig 1: Inflation trend in UK</w:t>
      </w:r>
      <w:r>
        <w:rPr>
          <w:rFonts w:ascii="Times New Roman" w:hAnsi="Times New Roman" w:cs="Times New Roman"/>
          <w:sz w:val="24"/>
          <w:szCs w:val="24"/>
        </w:rPr>
        <w:tab/>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shd w:val="clear" w:color="auto" w:fill="FFFFFF"/>
        </w:rPr>
        <w:t>Aparicio &amp; Bertolotto (2020)</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On the other hand, the UK GDP has been sluggish over the past few years to reach a mark of 0.2 in January 2019 (See figure 2 below) (</w:t>
      </w:r>
      <w:r>
        <w:rPr>
          <w:rFonts w:ascii="Times New Roman" w:hAnsi="Times New Roman" w:cs="Times New Roman"/>
          <w:sz w:val="24"/>
          <w:szCs w:val="24"/>
          <w:shd w:val="clear" w:color="auto" w:fill="FFFFFF"/>
        </w:rPr>
        <w:t>BBC, 2020)</w:t>
      </w:r>
      <w:r>
        <w:rPr>
          <w:rFonts w:ascii="Times New Roman" w:hAnsi="Times New Roman" w:cs="Times New Roman"/>
          <w:sz w:val="24"/>
          <w:szCs w:val="24"/>
        </w:rPr>
        <w:t>. This has been linked to Brexit issues (</w:t>
      </w:r>
      <w:r>
        <w:rPr>
          <w:rFonts w:ascii="Times New Roman" w:hAnsi="Times New Roman" w:cs="Times New Roman"/>
          <w:sz w:val="24"/>
          <w:szCs w:val="24"/>
          <w:shd w:val="clear" w:color="auto" w:fill="FFFFFF"/>
        </w:rPr>
        <w:t>Dhingra et al., 2016)</w:t>
      </w:r>
      <w:r>
        <w:rPr>
          <w:rFonts w:ascii="Times New Roman" w:hAnsi="Times New Roman" w:cs="Times New Roman"/>
          <w:sz w:val="24"/>
          <w:szCs w:val="24"/>
        </w:rPr>
        <w:t>. This indicates that most of the nation’s sectors do not perform well including the beverage sector. The GDP decline also indicates that the disposable income of most people is low; hence they may not have enough funds to purchase Coca-Cola products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43600" cy="44532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stretch>
                      <a:fillRect/>
                    </a:stretch>
                  </pic:blipFill>
                  <pic:spPr>
                    <a:xfrm>
                      <a:off x="0" y="0"/>
                      <a:ext cx="5943600" cy="4453255"/>
                    </a:xfrm>
                    <a:prstGeom prst="rect">
                      <a:avLst/>
                    </a:prstGeom>
                  </pic:spPr>
                </pic:pic>
              </a:graphicData>
            </a:graphic>
          </wp:inline>
        </w:drawing>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Fig 2: GDP trends in UK</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shd w:val="clear" w:color="auto" w:fill="FFFFFF"/>
        </w:rPr>
        <w:t>BBC (2020)</w:t>
      </w:r>
    </w:p>
    <w:p>
      <w:pPr>
        <w:spacing w:after="120" w:line="360" w:lineRule="auto"/>
        <w:jc w:val="both"/>
        <w:rPr>
          <w:rFonts w:ascii="Times New Roman" w:hAnsi="Times New Roman" w:cs="Times New Roman"/>
          <w:b/>
          <w:bCs/>
          <w:i/>
          <w:sz w:val="24"/>
          <w:szCs w:val="24"/>
        </w:rPr>
      </w:pPr>
      <w:r>
        <w:rPr>
          <w:rFonts w:ascii="Times New Roman" w:hAnsi="Times New Roman" w:cs="Times New Roman"/>
          <w:b/>
          <w:bCs/>
          <w:i/>
          <w:sz w:val="24"/>
          <w:szCs w:val="24"/>
        </w:rPr>
        <w:t>Social factors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One of the notable social opportunities that present itself for Coca-Cola Company in the UK market is the continued growth in population (</w:t>
      </w:r>
      <w:r>
        <w:rPr>
          <w:rFonts w:ascii="Times New Roman" w:hAnsi="Times New Roman" w:cs="Times New Roman"/>
          <w:sz w:val="24"/>
          <w:szCs w:val="24"/>
          <w:shd w:val="clear" w:color="auto" w:fill="FFFFFF"/>
        </w:rPr>
        <w:t>Rees et al., 2017)</w:t>
      </w:r>
      <w:r>
        <w:rPr>
          <w:rFonts w:ascii="Times New Roman" w:hAnsi="Times New Roman" w:cs="Times New Roman"/>
          <w:sz w:val="24"/>
          <w:szCs w:val="24"/>
        </w:rPr>
        <w:t>. The sustained growth in population as seen in figure 3 below has led to increased consumption of beverages in the country.</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753100" cy="3762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753100" cy="3762375"/>
                    </a:xfrm>
                    <a:prstGeom prst="rect">
                      <a:avLst/>
                    </a:prstGeom>
                  </pic:spPr>
                </pic:pic>
              </a:graphicData>
            </a:graphic>
          </wp:inline>
        </w:drawing>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Fig 3: Projected population in UK by 2039</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shd w:val="clear" w:color="auto" w:fill="FFFFFF"/>
        </w:rPr>
        <w:t>Rees et al. (2017)</w:t>
      </w:r>
      <w:r>
        <w:rPr>
          <w:rFonts w:ascii="Times New Roman" w:hAnsi="Times New Roman" w:cs="Times New Roman"/>
          <w:sz w:val="24"/>
          <w:szCs w:val="24"/>
        </w:rPr>
        <w:t xml:space="preserve">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However, the biggest social threat to Coca-Cola in the UK market is the increased health concerns of UK citizens towards healthy consumption. Notably, the mentality of Generation X and millennial consumers has shifted to energy drinks and healthy beverages as opposed to carbonated drinks due to the health concerns brought about by the latter (</w:t>
      </w:r>
      <w:r>
        <w:rPr>
          <w:rFonts w:ascii="Times New Roman" w:hAnsi="Times New Roman" w:cs="Times New Roman"/>
          <w:sz w:val="24"/>
          <w:szCs w:val="24"/>
          <w:shd w:val="clear" w:color="auto" w:fill="FFFFFF"/>
        </w:rPr>
        <w:t>Borges et al., 2017)</w:t>
      </w:r>
      <w:r>
        <w:rPr>
          <w:rFonts w:ascii="Times New Roman" w:hAnsi="Times New Roman" w:cs="Times New Roman"/>
          <w:sz w:val="24"/>
          <w:szCs w:val="24"/>
        </w:rPr>
        <w:t xml:space="preserve">. Accordingly, diseases like obesity have been linked to long term Coca-Cola consumption and these issues have been brought to the limelight in the recent times. </w:t>
      </w:r>
      <w:r>
        <w:rPr>
          <w:rFonts w:ascii="Times New Roman" w:hAnsi="Times New Roman" w:cs="Times New Roman"/>
          <w:sz w:val="24"/>
          <w:szCs w:val="24"/>
          <w:shd w:val="clear" w:color="auto" w:fill="FFFFFF"/>
        </w:rPr>
        <w:t>Briggs et al.</w:t>
      </w:r>
      <w:r>
        <w:rPr>
          <w:rFonts w:ascii="Times New Roman" w:hAnsi="Times New Roman" w:cs="Times New Roman"/>
          <w:sz w:val="24"/>
          <w:szCs w:val="24"/>
        </w:rPr>
        <w:t xml:space="preserve"> (2017) hold that the mind-set of the UK’s general population has been turned towards living healthy lives and in this case, Coca-Cola products may not be beneficial. </w:t>
      </w:r>
    </w:p>
    <w:p>
      <w:pPr>
        <w:spacing w:after="120" w:line="360" w:lineRule="auto"/>
        <w:jc w:val="both"/>
        <w:rPr>
          <w:rFonts w:ascii="Times New Roman" w:hAnsi="Times New Roman" w:cs="Times New Roman"/>
          <w:b/>
          <w:bCs/>
          <w:i/>
          <w:sz w:val="24"/>
          <w:szCs w:val="24"/>
        </w:rPr>
      </w:pPr>
      <w:r>
        <w:rPr>
          <w:rFonts w:ascii="Times New Roman" w:hAnsi="Times New Roman" w:cs="Times New Roman"/>
          <w:b/>
          <w:bCs/>
          <w:i/>
          <w:sz w:val="24"/>
          <w:szCs w:val="24"/>
        </w:rPr>
        <w:t>Technological factors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Technological developments and innovations in UK provide opportunities for Coca-Cola to support the growth of its business in the region. Arguably, technological developments such as bid data operations and AI bases have enabled the brand to decide on market trends as well as the processes of service chain management (</w:t>
      </w:r>
      <w:r>
        <w:rPr>
          <w:rFonts w:ascii="Times New Roman" w:hAnsi="Times New Roman" w:cs="Times New Roman"/>
          <w:sz w:val="24"/>
          <w:szCs w:val="24"/>
          <w:shd w:val="clear" w:color="auto" w:fill="FFFFFF"/>
        </w:rPr>
        <w:t>Sigala, 2017)</w:t>
      </w:r>
      <w:r>
        <w:rPr>
          <w:rFonts w:ascii="Times New Roman" w:hAnsi="Times New Roman" w:cs="Times New Roman"/>
          <w:sz w:val="24"/>
          <w:szCs w:val="24"/>
        </w:rPr>
        <w:t>. These technological innovations have enabled Coca-Cola to increase its production base as well as target markets. Other technological innovations that Coca-Cola Company uses include smart water harvesting processes and farming methods. These technological innovations are crucial for the brand to maintain low material prices and to ensure that water crisis does not occur due to high water demand (</w:t>
      </w:r>
      <w:r>
        <w:rPr>
          <w:rFonts w:ascii="Times New Roman" w:hAnsi="Times New Roman" w:cs="Times New Roman"/>
          <w:sz w:val="24"/>
          <w:szCs w:val="24"/>
          <w:shd w:val="clear" w:color="auto" w:fill="FFFFFF"/>
        </w:rPr>
        <w:t>Srai et al., 2016)</w:t>
      </w:r>
      <w:r>
        <w:rPr>
          <w:rFonts w:ascii="Times New Roman" w:hAnsi="Times New Roman" w:cs="Times New Roman"/>
          <w:sz w:val="24"/>
          <w:szCs w:val="24"/>
        </w:rPr>
        <w:t>.</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Equally, the ICT and E-commerce industry in UK offers numerous opportunities in terms of digital marketing for the beverage brand. The beverage company can capitalise on online marketing and showcase its various products online as well as introduce deliveries of products to different locations online (</w:t>
      </w:r>
      <w:r>
        <w:rPr>
          <w:rFonts w:ascii="Times New Roman" w:hAnsi="Times New Roman" w:cs="Times New Roman"/>
          <w:sz w:val="24"/>
          <w:szCs w:val="24"/>
          <w:shd w:val="clear" w:color="auto" w:fill="FFFFFF"/>
        </w:rPr>
        <w:t>Sigala, 2017)</w:t>
      </w:r>
      <w:r>
        <w:rPr>
          <w:rFonts w:ascii="Times New Roman" w:hAnsi="Times New Roman" w:cs="Times New Roman"/>
          <w:sz w:val="24"/>
          <w:szCs w:val="24"/>
        </w:rPr>
        <w:t xml:space="preserve">.   </w:t>
      </w:r>
    </w:p>
    <w:p>
      <w:pPr>
        <w:pStyle w:val="3"/>
        <w:spacing w:before="0" w:after="120" w:line="360" w:lineRule="auto"/>
        <w:jc w:val="both"/>
        <w:rPr>
          <w:rFonts w:ascii="Times New Roman" w:hAnsi="Times New Roman" w:cs="Times New Roman"/>
          <w:color w:val="auto"/>
          <w:sz w:val="24"/>
          <w:szCs w:val="24"/>
        </w:rPr>
      </w:pPr>
      <w:bookmarkStart w:id="5" w:name="_Toc40046930"/>
      <w:r>
        <w:rPr>
          <w:rFonts w:ascii="Times New Roman" w:hAnsi="Times New Roman" w:cs="Times New Roman"/>
          <w:color w:val="auto"/>
          <w:sz w:val="24"/>
          <w:szCs w:val="24"/>
        </w:rPr>
        <w:t>2.2 SWOT analysis</w:t>
      </w:r>
      <w:bookmarkEnd w:id="5"/>
      <w:r>
        <w:rPr>
          <w:rFonts w:ascii="Times New Roman" w:hAnsi="Times New Roman" w:cs="Times New Roman"/>
          <w:color w:val="auto"/>
          <w:sz w:val="24"/>
          <w:szCs w:val="24"/>
        </w:rPr>
        <w:t xml:space="preserve"> </w:t>
      </w:r>
    </w:p>
    <w:p>
      <w:pPr>
        <w:spacing w:after="120" w:line="360" w:lineRule="auto"/>
        <w:jc w:val="both"/>
        <w:rPr>
          <w:rFonts w:ascii="Times New Roman" w:hAnsi="Times New Roman" w:cs="Times New Roman"/>
          <w:b/>
          <w:sz w:val="24"/>
          <w:szCs w:val="24"/>
        </w:rPr>
      </w:pPr>
      <w:r>
        <w:rPr>
          <w:rFonts w:ascii="Times New Roman" w:hAnsi="Times New Roman" w:cs="Times New Roman"/>
          <w:b/>
          <w:sz w:val="24"/>
          <w:szCs w:val="24"/>
        </w:rPr>
        <w:t>Strengths</w:t>
      </w:r>
    </w:p>
    <w:p>
      <w:pPr>
        <w:pStyle w:val="18"/>
        <w:numPr>
          <w:ilvl w:val="0"/>
          <w:numId w:val="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Strong brand status and identity. Coca-Cola Company is one of the highly popular brands with a unique identity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Notably, the brands soft drinks are the ones which have been mostly sold in history</w:t>
      </w:r>
    </w:p>
    <w:p>
      <w:pPr>
        <w:pStyle w:val="18"/>
        <w:numPr>
          <w:ilvl w:val="0"/>
          <w:numId w:val="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Extended worldwide reach. The company operates in over 200 countries a serving over 9 billion person daily with it’s over 2,800 products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Its products are known to touch every demography and lifestyle.</w:t>
      </w:r>
    </w:p>
    <w:p>
      <w:pPr>
        <w:pStyle w:val="18"/>
        <w:numPr>
          <w:ilvl w:val="0"/>
          <w:numId w:val="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Huge brand association as well as customer loyalty. Notably, the brand is regarded as one which connects people emotionally. The brand is linked with ‘happiness’ and commands huge customer loyalty. This is because customers can easily recognise their particular taste and they cannot easily find a substitute for them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Besides, Fanta and Coca-Cola have the greatest fan following than any other beverage name in the industry.</w:t>
      </w:r>
    </w:p>
    <w:p>
      <w:pPr>
        <w:pStyle w:val="18"/>
        <w:numPr>
          <w:ilvl w:val="0"/>
          <w:numId w:val="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Unparalleled system of distribution. The company has the most extensive and efficient network of distribution in the whole world since it has close to 250 bottling partners worldwide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w:t>
      </w:r>
    </w:p>
    <w:p>
      <w:pPr>
        <w:spacing w:after="120" w:line="360" w:lineRule="auto"/>
        <w:jc w:val="both"/>
        <w:rPr>
          <w:rFonts w:ascii="Times New Roman" w:hAnsi="Times New Roman" w:cs="Times New Roman"/>
          <w:b/>
          <w:sz w:val="24"/>
          <w:szCs w:val="24"/>
        </w:rPr>
      </w:pPr>
      <w:r>
        <w:rPr>
          <w:rFonts w:ascii="Times New Roman" w:hAnsi="Times New Roman" w:cs="Times New Roman"/>
          <w:b/>
          <w:sz w:val="24"/>
          <w:szCs w:val="24"/>
        </w:rPr>
        <w:t>Weaknesses</w:t>
      </w:r>
    </w:p>
    <w:p>
      <w:pPr>
        <w:pStyle w:val="18"/>
        <w:numPr>
          <w:ilvl w:val="0"/>
          <w:numId w:val="2"/>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Lack of product diversification. The company has low product diversification unlike its major rival Pepsi which also has snack brands</w:t>
      </w:r>
    </w:p>
    <w:p>
      <w:pPr>
        <w:pStyle w:val="18"/>
        <w:numPr>
          <w:ilvl w:val="0"/>
          <w:numId w:val="2"/>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Insensitivity towards management of water. Coca-Cola has been blamed for vast water consumption even in scarce areas as well as clearing contaminants through mixing pesticides in water (</w:t>
      </w:r>
      <w:r>
        <w:rPr>
          <w:rFonts w:ascii="Times New Roman" w:hAnsi="Times New Roman" w:cs="Times New Roman"/>
          <w:sz w:val="24"/>
          <w:szCs w:val="24"/>
          <w:shd w:val="clear" w:color="auto" w:fill="FFFFFF"/>
        </w:rPr>
        <w:t>Abbasi, 2017)</w:t>
      </w:r>
      <w:r>
        <w:rPr>
          <w:rFonts w:ascii="Times New Roman" w:hAnsi="Times New Roman" w:cs="Times New Roman"/>
          <w:sz w:val="24"/>
          <w:szCs w:val="24"/>
        </w:rPr>
        <w:t xml:space="preserve">. </w:t>
      </w:r>
    </w:p>
    <w:p>
      <w:pPr>
        <w:pStyle w:val="18"/>
        <w:numPr>
          <w:ilvl w:val="0"/>
          <w:numId w:val="2"/>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Failure to devise health solution or alternative for the health concern issues linked with its carbonated drinks (</w:t>
      </w:r>
      <w:r>
        <w:rPr>
          <w:rFonts w:ascii="Times New Roman" w:hAnsi="Times New Roman" w:cs="Times New Roman"/>
          <w:sz w:val="24"/>
          <w:szCs w:val="24"/>
          <w:shd w:val="clear" w:color="auto" w:fill="FFFFFF"/>
        </w:rPr>
        <w:t>Abbasi, 2017)</w:t>
      </w:r>
      <w:r>
        <w:rPr>
          <w:rFonts w:ascii="Times New Roman" w:hAnsi="Times New Roman" w:cs="Times New Roman"/>
          <w:sz w:val="24"/>
          <w:szCs w:val="24"/>
        </w:rPr>
        <w:t>.</w:t>
      </w:r>
    </w:p>
    <w:p>
      <w:pPr>
        <w:spacing w:after="120" w:line="360" w:lineRule="auto"/>
        <w:jc w:val="both"/>
        <w:rPr>
          <w:rFonts w:ascii="Times New Roman" w:hAnsi="Times New Roman" w:cs="Times New Roman"/>
          <w:b/>
          <w:sz w:val="24"/>
          <w:szCs w:val="24"/>
        </w:rPr>
      </w:pPr>
      <w:r>
        <w:rPr>
          <w:rFonts w:ascii="Times New Roman" w:hAnsi="Times New Roman" w:cs="Times New Roman"/>
          <w:b/>
          <w:sz w:val="24"/>
          <w:szCs w:val="24"/>
        </w:rPr>
        <w:t>Opportunities</w:t>
      </w:r>
    </w:p>
    <w:p>
      <w:pPr>
        <w:pStyle w:val="18"/>
        <w:numPr>
          <w:ilvl w:val="0"/>
          <w:numId w:val="3"/>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Stable political environment in UK (</w:t>
      </w:r>
      <w:r>
        <w:rPr>
          <w:rFonts w:ascii="Times New Roman" w:hAnsi="Times New Roman" w:cs="Times New Roman"/>
          <w:sz w:val="24"/>
          <w:szCs w:val="24"/>
          <w:shd w:val="clear" w:color="auto" w:fill="FFFFFF"/>
        </w:rPr>
        <w:t>Falkner, 2017)</w:t>
      </w:r>
    </w:p>
    <w:p>
      <w:pPr>
        <w:pStyle w:val="18"/>
        <w:numPr>
          <w:ilvl w:val="0"/>
          <w:numId w:val="3"/>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Foreign direct investment support from the UK government (</w:t>
      </w:r>
      <w:r>
        <w:rPr>
          <w:rFonts w:ascii="Times New Roman" w:hAnsi="Times New Roman" w:cs="Times New Roman"/>
          <w:sz w:val="24"/>
          <w:szCs w:val="24"/>
          <w:shd w:val="clear" w:color="auto" w:fill="FFFFFF"/>
        </w:rPr>
        <w:t>Amann &amp; Virmani, 2015)</w:t>
      </w:r>
    </w:p>
    <w:p>
      <w:pPr>
        <w:pStyle w:val="18"/>
        <w:numPr>
          <w:ilvl w:val="0"/>
          <w:numId w:val="3"/>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Drop in inflation rate in UK (</w:t>
      </w:r>
      <w:r>
        <w:rPr>
          <w:rFonts w:ascii="Times New Roman" w:hAnsi="Times New Roman" w:cs="Times New Roman"/>
          <w:sz w:val="24"/>
          <w:szCs w:val="24"/>
          <w:shd w:val="clear" w:color="auto" w:fill="FFFFFF"/>
        </w:rPr>
        <w:t>Manopimoke, 2018)</w:t>
      </w:r>
    </w:p>
    <w:p>
      <w:pPr>
        <w:pStyle w:val="18"/>
        <w:numPr>
          <w:ilvl w:val="0"/>
          <w:numId w:val="3"/>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Stable population growth (</w:t>
      </w:r>
      <w:r>
        <w:rPr>
          <w:rFonts w:ascii="Times New Roman" w:hAnsi="Times New Roman" w:cs="Times New Roman"/>
          <w:sz w:val="24"/>
          <w:szCs w:val="24"/>
          <w:shd w:val="clear" w:color="auto" w:fill="FFFFFF"/>
        </w:rPr>
        <w:t>Rees et al., 2017)</w:t>
      </w:r>
    </w:p>
    <w:p>
      <w:pPr>
        <w:pStyle w:val="18"/>
        <w:numPr>
          <w:ilvl w:val="0"/>
          <w:numId w:val="3"/>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Technological development and innovations</w:t>
      </w:r>
    </w:p>
    <w:p>
      <w:pPr>
        <w:spacing w:after="120" w:line="360" w:lineRule="auto"/>
        <w:jc w:val="both"/>
        <w:rPr>
          <w:rFonts w:ascii="Times New Roman" w:hAnsi="Times New Roman" w:cs="Times New Roman"/>
          <w:b/>
          <w:sz w:val="24"/>
          <w:szCs w:val="24"/>
        </w:rPr>
      </w:pPr>
      <w:r>
        <w:rPr>
          <w:rFonts w:ascii="Times New Roman" w:hAnsi="Times New Roman" w:cs="Times New Roman"/>
          <w:b/>
          <w:sz w:val="24"/>
          <w:szCs w:val="24"/>
        </w:rPr>
        <w:t>Threats</w:t>
      </w:r>
    </w:p>
    <w:p>
      <w:pPr>
        <w:pStyle w:val="18"/>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Increased taxation on sugar products (</w:t>
      </w:r>
      <w:r>
        <w:rPr>
          <w:rFonts w:ascii="Times New Roman" w:hAnsi="Times New Roman" w:cs="Times New Roman"/>
          <w:sz w:val="24"/>
          <w:szCs w:val="24"/>
          <w:shd w:val="clear" w:color="auto" w:fill="FFFFFF"/>
        </w:rPr>
        <w:t>Jones, 2016)</w:t>
      </w:r>
    </w:p>
    <w:p>
      <w:pPr>
        <w:pStyle w:val="18"/>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Decline in GDP growth (BBC, 2020)</w:t>
      </w:r>
    </w:p>
    <w:p>
      <w:pPr>
        <w:pStyle w:val="18"/>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Health concerns among UK citizens towards consumption of healthy beverages (</w:t>
      </w:r>
      <w:r>
        <w:rPr>
          <w:rFonts w:ascii="Times New Roman" w:hAnsi="Times New Roman" w:cs="Times New Roman"/>
          <w:sz w:val="24"/>
          <w:szCs w:val="24"/>
          <w:shd w:val="clear" w:color="auto" w:fill="FFFFFF"/>
        </w:rPr>
        <w:t>Borges et al., 2017)</w:t>
      </w:r>
    </w:p>
    <w:p>
      <w:pPr>
        <w:pStyle w:val="3"/>
        <w:spacing w:before="0" w:after="120" w:line="360" w:lineRule="auto"/>
        <w:jc w:val="both"/>
        <w:rPr>
          <w:rFonts w:ascii="Times New Roman" w:hAnsi="Times New Roman" w:cs="Times New Roman"/>
          <w:color w:val="auto"/>
          <w:sz w:val="24"/>
          <w:szCs w:val="24"/>
        </w:rPr>
      </w:pPr>
      <w:bookmarkStart w:id="6" w:name="_Toc40046931"/>
      <w:r>
        <w:rPr>
          <w:rFonts w:ascii="Times New Roman" w:hAnsi="Times New Roman" w:cs="Times New Roman"/>
          <w:color w:val="auto"/>
          <w:sz w:val="24"/>
          <w:szCs w:val="24"/>
        </w:rPr>
        <w:t>2.3 Customer insights</w:t>
      </w:r>
      <w:bookmarkEnd w:id="6"/>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Arguably, UK citizens have forced a change in the products sold by brands, hence shifting away their tastes and preferences from sugary drinks and foods towards more organic and natural products (</w:t>
      </w:r>
      <w:r>
        <w:rPr>
          <w:rFonts w:ascii="Times New Roman" w:hAnsi="Times New Roman" w:cs="Times New Roman"/>
          <w:sz w:val="24"/>
          <w:szCs w:val="24"/>
          <w:shd w:val="clear" w:color="auto" w:fill="FFFFFF"/>
        </w:rPr>
        <w:t>Briggs et al., 2017)</w:t>
      </w:r>
      <w:r>
        <w:rPr>
          <w:rFonts w:ascii="Times New Roman" w:hAnsi="Times New Roman" w:cs="Times New Roman"/>
          <w:sz w:val="24"/>
          <w:szCs w:val="24"/>
        </w:rPr>
        <w:t>. Therefore, these health concerns will force Coca-Cola to move towards healthy offerings.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Additionally, Coca-Cola does sustainability projects worldwide and UK in particular. Notably customers do not want to hear organisations talk about themselves. As such, Coca-Cola has launched a sustainability project called ‘Every Bottle Has A Story’ to engage with customers leading sustainability measures in their communities (</w:t>
      </w:r>
      <w:r>
        <w:rPr>
          <w:rFonts w:ascii="Times New Roman" w:hAnsi="Times New Roman" w:cs="Times New Roman"/>
          <w:sz w:val="24"/>
          <w:szCs w:val="24"/>
          <w:shd w:val="clear" w:color="auto" w:fill="FFFFFF"/>
        </w:rPr>
        <w:t>The Coca-Cola Company, 2020a)</w:t>
      </w:r>
      <w:r>
        <w:rPr>
          <w:rFonts w:ascii="Times New Roman" w:hAnsi="Times New Roman" w:cs="Times New Roman"/>
          <w:sz w:val="24"/>
          <w:szCs w:val="24"/>
        </w:rPr>
        <w:t xml:space="preserve">. This project provided an opportunity for customers to give a story about how Coca-Cola’s initiatives towards sustainability make a difference in their neighbourhoods. This is a significant example of how customers want to be inspired and hear from other customers and this concept has been largely embraced by Coca-Cola.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Furthermore, the conversation around a campaign or a brand by UK customers helps Coca-Cola to identify what its audiences hate or love about their products. Therefore, through analysis of the conversation volume, the company is able to identify the popular consumption moments amongst its consumers. For instance, Coca-Cola served with food was a common topic among UK citizens and made a significant percentage of all conversations. This shows that a coke beverage is popular at any time of the day when paired with a meal (</w:t>
      </w:r>
      <w:r>
        <w:rPr>
          <w:rFonts w:ascii="Times New Roman" w:hAnsi="Times New Roman" w:cs="Times New Roman"/>
          <w:sz w:val="24"/>
          <w:szCs w:val="24"/>
          <w:shd w:val="clear" w:color="auto" w:fill="FFFFFF"/>
        </w:rPr>
        <w:t>The Coca-Cola Company, 2020)</w:t>
      </w:r>
      <w:r>
        <w:rPr>
          <w:rFonts w:ascii="Times New Roman" w:hAnsi="Times New Roman" w:cs="Times New Roman"/>
          <w:sz w:val="24"/>
          <w:szCs w:val="24"/>
        </w:rPr>
        <w:t xml:space="preserve">.    </w:t>
      </w:r>
    </w:p>
    <w:p>
      <w:pPr>
        <w:pStyle w:val="2"/>
        <w:spacing w:before="0" w:beforeAutospacing="0" w:after="120" w:afterAutospacing="0" w:line="360" w:lineRule="auto"/>
        <w:jc w:val="both"/>
        <w:rPr>
          <w:sz w:val="24"/>
          <w:szCs w:val="24"/>
          <w:lang w:val="en-GB"/>
        </w:rPr>
      </w:pPr>
      <w:bookmarkStart w:id="7" w:name="_Toc40046932"/>
      <w:r>
        <w:rPr>
          <w:sz w:val="24"/>
          <w:szCs w:val="24"/>
          <w:lang w:val="en-GB"/>
        </w:rPr>
        <w:t>3. Objectives</w:t>
      </w:r>
      <w:bookmarkEnd w:id="7"/>
    </w:p>
    <w:p>
      <w:pPr>
        <w:pStyle w:val="3"/>
        <w:spacing w:before="0" w:after="120" w:line="360" w:lineRule="auto"/>
        <w:jc w:val="both"/>
        <w:rPr>
          <w:rFonts w:ascii="Times New Roman" w:hAnsi="Times New Roman" w:cs="Times New Roman"/>
          <w:color w:val="auto"/>
          <w:sz w:val="24"/>
          <w:szCs w:val="24"/>
        </w:rPr>
      </w:pPr>
      <w:bookmarkStart w:id="8" w:name="_Toc40046933"/>
      <w:r>
        <w:rPr>
          <w:rFonts w:ascii="Times New Roman" w:hAnsi="Times New Roman" w:cs="Times New Roman"/>
          <w:color w:val="auto"/>
          <w:sz w:val="24"/>
          <w:szCs w:val="24"/>
        </w:rPr>
        <w:t>3.1 Sell</w:t>
      </w:r>
      <w:bookmarkEnd w:id="8"/>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attract additional 30% of customers in the UK market by December 2020 through strengthening the company and product image</w:t>
      </w:r>
    </w:p>
    <w:p>
      <w:pPr>
        <w:pStyle w:val="3"/>
        <w:spacing w:before="0" w:after="120" w:line="360" w:lineRule="auto"/>
        <w:jc w:val="both"/>
        <w:rPr>
          <w:rFonts w:ascii="Times New Roman" w:hAnsi="Times New Roman" w:cs="Times New Roman"/>
          <w:color w:val="auto"/>
          <w:sz w:val="24"/>
          <w:szCs w:val="24"/>
        </w:rPr>
      </w:pPr>
      <w:bookmarkStart w:id="9" w:name="_Toc40046934"/>
      <w:r>
        <w:rPr>
          <w:rFonts w:ascii="Times New Roman" w:hAnsi="Times New Roman" w:cs="Times New Roman"/>
          <w:color w:val="auto"/>
          <w:sz w:val="24"/>
          <w:szCs w:val="24"/>
        </w:rPr>
        <w:t>3.2 Serve</w:t>
      </w:r>
      <w:bookmarkEnd w:id="9"/>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customer satisfaction by 20% by ensuring their safety and health through investing more on natural sweeteners by December 2021  </w:t>
      </w:r>
    </w:p>
    <w:p>
      <w:pPr>
        <w:pStyle w:val="3"/>
        <w:spacing w:before="0" w:after="120" w:line="360" w:lineRule="auto"/>
        <w:jc w:val="both"/>
        <w:rPr>
          <w:rFonts w:ascii="Times New Roman" w:hAnsi="Times New Roman" w:cs="Times New Roman"/>
          <w:color w:val="auto"/>
          <w:sz w:val="24"/>
          <w:szCs w:val="24"/>
        </w:rPr>
      </w:pPr>
      <w:bookmarkStart w:id="10" w:name="_Toc40046935"/>
      <w:r>
        <w:rPr>
          <w:rFonts w:ascii="Times New Roman" w:hAnsi="Times New Roman" w:cs="Times New Roman"/>
          <w:color w:val="auto"/>
          <w:sz w:val="24"/>
          <w:szCs w:val="24"/>
        </w:rPr>
        <w:t>3.3 Sizzle</w:t>
      </w:r>
      <w:bookmarkEnd w:id="10"/>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build effective trust and relationships with its UK customers by investing in social media marketing by 70% in the next one year</w:t>
      </w:r>
    </w:p>
    <w:p>
      <w:pPr>
        <w:pStyle w:val="3"/>
        <w:spacing w:before="0" w:after="120" w:line="360" w:lineRule="auto"/>
        <w:jc w:val="both"/>
        <w:rPr>
          <w:rFonts w:ascii="Times New Roman" w:hAnsi="Times New Roman" w:cs="Times New Roman"/>
          <w:color w:val="auto"/>
          <w:sz w:val="24"/>
          <w:szCs w:val="24"/>
        </w:rPr>
      </w:pPr>
      <w:bookmarkStart w:id="11" w:name="_Toc40046936"/>
      <w:r>
        <w:rPr>
          <w:rFonts w:ascii="Times New Roman" w:hAnsi="Times New Roman" w:cs="Times New Roman"/>
          <w:color w:val="auto"/>
          <w:sz w:val="24"/>
          <w:szCs w:val="24"/>
        </w:rPr>
        <w:t>3.4 Speak</w:t>
      </w:r>
      <w:bookmarkEnd w:id="11"/>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improve customer engagement in social media by 70% in the next one year through investing in relationship marketing, social media and IMC</w:t>
      </w:r>
    </w:p>
    <w:p>
      <w:pPr>
        <w:pStyle w:val="3"/>
        <w:spacing w:before="0" w:after="120" w:line="360" w:lineRule="auto"/>
        <w:jc w:val="both"/>
        <w:rPr>
          <w:rFonts w:ascii="Times New Roman" w:hAnsi="Times New Roman" w:cs="Times New Roman"/>
          <w:color w:val="auto"/>
          <w:sz w:val="24"/>
          <w:szCs w:val="24"/>
        </w:rPr>
      </w:pPr>
      <w:bookmarkStart w:id="12" w:name="_Toc40046937"/>
      <w:r>
        <w:rPr>
          <w:rFonts w:ascii="Times New Roman" w:hAnsi="Times New Roman" w:cs="Times New Roman"/>
          <w:color w:val="auto"/>
          <w:sz w:val="24"/>
          <w:szCs w:val="24"/>
        </w:rPr>
        <w:t>3.5 Save</w:t>
      </w:r>
      <w:bookmarkEnd w:id="12"/>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minimise operational costs by 15% by December 2020 through investing in digital marketing platforms</w:t>
      </w:r>
    </w:p>
    <w:p>
      <w:pPr>
        <w:pStyle w:val="2"/>
        <w:spacing w:before="0" w:beforeAutospacing="0" w:after="120" w:afterAutospacing="0" w:line="360" w:lineRule="auto"/>
        <w:jc w:val="both"/>
        <w:rPr>
          <w:sz w:val="24"/>
          <w:szCs w:val="24"/>
          <w:lang w:val="en-GB"/>
        </w:rPr>
      </w:pPr>
      <w:bookmarkStart w:id="13" w:name="_Toc40046938"/>
      <w:r>
        <w:rPr>
          <w:sz w:val="24"/>
          <w:szCs w:val="24"/>
          <w:lang w:val="en-GB"/>
        </w:rPr>
        <w:t>4. Strategy</w:t>
      </w:r>
      <w:bookmarkEnd w:id="13"/>
    </w:p>
    <w:p>
      <w:pPr>
        <w:pStyle w:val="3"/>
        <w:spacing w:before="0" w:after="120" w:line="360" w:lineRule="auto"/>
        <w:jc w:val="both"/>
        <w:rPr>
          <w:rFonts w:ascii="Times New Roman" w:hAnsi="Times New Roman" w:cs="Times New Roman"/>
          <w:color w:val="auto"/>
          <w:sz w:val="24"/>
          <w:szCs w:val="24"/>
        </w:rPr>
      </w:pPr>
      <w:bookmarkStart w:id="14" w:name="_Toc40046939"/>
      <w:r>
        <w:rPr>
          <w:rFonts w:ascii="Times New Roman" w:hAnsi="Times New Roman" w:cs="Times New Roman"/>
          <w:color w:val="auto"/>
          <w:sz w:val="24"/>
          <w:szCs w:val="24"/>
        </w:rPr>
        <w:t>4.1 Segments</w:t>
      </w:r>
      <w:bookmarkEnd w:id="14"/>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segmentation is the process used by companies to sub-divide target market into smaller sections and segments with common needs and similar characteristics in order to optimise advertising, sales and marketing efforts (Kotler &amp; Armstrong, 2013).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Coca-Cola can segment the UK market based on the variables indicated in the figure 4 below</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43600" cy="2827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943600" cy="2827020"/>
                    </a:xfrm>
                    <a:prstGeom prst="rect">
                      <a:avLst/>
                    </a:prstGeom>
                  </pic:spPr>
                </pic:pic>
              </a:graphicData>
            </a:graphic>
          </wp:inline>
        </w:drawing>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Fig 4: Segmentation pillars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Kotler &amp; Armstrong (2013)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Coco-Cola should sub-divide the UK market on demographic features and group customers in terms of age brackets of young customer base such as 10-35 and older segment such as 40 years and above. The company should then use well-known pop stars to market their products to the younger generation and also manufacture products that addresses the older segment considering those with diabetic. The company can also subdivide the market demographically in UK based on income by offering its products in many different packages and sizes at different price levels to make it affordable to families, students, middle class people etc.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Besides, Coca-Cola can also sub divide the market behaviourally mainly based on benefits sought. For instance, manufacturing health beverages with low calories which can be used by customers to lose weight and lead a healthier lifestyle. Furthermore, Coca-Cola can segment the market pyschographically based on lifestyle through presenting products that are appropriate for modern, busy lifestyle and mobile generation  </w:t>
      </w:r>
    </w:p>
    <w:p>
      <w:pPr>
        <w:pStyle w:val="3"/>
        <w:spacing w:before="0" w:after="120" w:line="360" w:lineRule="auto"/>
        <w:jc w:val="both"/>
        <w:rPr>
          <w:rFonts w:ascii="Times New Roman" w:hAnsi="Times New Roman" w:cs="Times New Roman"/>
          <w:color w:val="auto"/>
          <w:sz w:val="24"/>
          <w:szCs w:val="24"/>
        </w:rPr>
      </w:pPr>
      <w:bookmarkStart w:id="15" w:name="_Toc40046940"/>
      <w:r>
        <w:rPr>
          <w:rFonts w:ascii="Times New Roman" w:hAnsi="Times New Roman" w:cs="Times New Roman"/>
          <w:color w:val="auto"/>
          <w:sz w:val="24"/>
          <w:szCs w:val="24"/>
        </w:rPr>
        <w:t>4.2 Target markets</w:t>
      </w:r>
      <w:bookmarkEnd w:id="15"/>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 line with the aforementioned demographic features, Coca-Cola should target young generation mainly between the ages of 17-35 years. Essentially, people in this age bracket prefer taking beverages with a feeling of great taste and strong flavour, hence Coca-Cola should target these young generation with products full of youth and energy. Besides, people in this age bracket are in gainful employment; hence they can easily afford to purchase Coca-Cola products. Secondly, Coca-Cola can also target health conscious customers. The company can achieve this by designing a beverage that has low calories and could help customers in losing weight.</w:t>
      </w:r>
    </w:p>
    <w:p>
      <w:pPr>
        <w:pStyle w:val="3"/>
        <w:spacing w:before="0" w:after="120" w:line="360" w:lineRule="auto"/>
        <w:jc w:val="both"/>
        <w:rPr>
          <w:rFonts w:ascii="Times New Roman" w:hAnsi="Times New Roman" w:cs="Times New Roman"/>
          <w:color w:val="auto"/>
          <w:sz w:val="24"/>
          <w:szCs w:val="24"/>
        </w:rPr>
      </w:pPr>
      <w:bookmarkStart w:id="16" w:name="_Toc40046941"/>
      <w:r>
        <w:rPr>
          <w:rFonts w:ascii="Times New Roman" w:hAnsi="Times New Roman" w:cs="Times New Roman"/>
          <w:color w:val="auto"/>
          <w:sz w:val="24"/>
          <w:szCs w:val="24"/>
        </w:rPr>
        <w:t>4.3 Objectives</w:t>
      </w:r>
      <w:bookmarkEnd w:id="16"/>
      <w:r>
        <w:rPr>
          <w:rFonts w:ascii="Times New Roman" w:hAnsi="Times New Roman" w:cs="Times New Roman"/>
          <w:color w:val="auto"/>
          <w:sz w:val="24"/>
          <w:szCs w:val="24"/>
        </w:rPr>
        <w:t> </w:t>
      </w:r>
    </w:p>
    <w:p>
      <w:pPr>
        <w:pStyle w:val="18"/>
        <w:numPr>
          <w:ilvl w:val="0"/>
          <w:numId w:val="5"/>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gain 70% of the market share for soft drink industry in UK by December 2020</w:t>
      </w:r>
    </w:p>
    <w:p>
      <w:pPr>
        <w:pStyle w:val="18"/>
        <w:numPr>
          <w:ilvl w:val="0"/>
          <w:numId w:val="5"/>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existing customers online engagement and purchases in the UK market by 60% by the end of the year </w:t>
      </w:r>
    </w:p>
    <w:p>
      <w:pPr>
        <w:pStyle w:val="18"/>
        <w:numPr>
          <w:ilvl w:val="0"/>
          <w:numId w:val="5"/>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Introduce healthy and cheaper beverages in the UK market to target low income earners by June 2021</w:t>
      </w:r>
    </w:p>
    <w:p>
      <w:pPr>
        <w:pStyle w:val="18"/>
        <w:numPr>
          <w:ilvl w:val="0"/>
          <w:numId w:val="5"/>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increase sales volume in UK market by 40% within the next one year through online and offline strategies of marketing</w:t>
      </w:r>
    </w:p>
    <w:p>
      <w:pPr>
        <w:pStyle w:val="18"/>
        <w:numPr>
          <w:ilvl w:val="0"/>
          <w:numId w:val="5"/>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To increase customer awareness of Nike’s products by 80% through digital and IMC marketing strategies</w:t>
      </w:r>
    </w:p>
    <w:p>
      <w:pPr>
        <w:pStyle w:val="3"/>
        <w:spacing w:before="0" w:after="120" w:line="360" w:lineRule="auto"/>
        <w:jc w:val="both"/>
        <w:rPr>
          <w:rFonts w:ascii="Times New Roman" w:hAnsi="Times New Roman" w:cs="Times New Roman"/>
          <w:color w:val="auto"/>
          <w:sz w:val="24"/>
          <w:szCs w:val="24"/>
        </w:rPr>
      </w:pPr>
      <w:bookmarkStart w:id="17" w:name="_Toc40046942"/>
      <w:r>
        <w:rPr>
          <w:rFonts w:ascii="Times New Roman" w:hAnsi="Times New Roman" w:cs="Times New Roman"/>
          <w:color w:val="auto"/>
          <w:sz w:val="24"/>
          <w:szCs w:val="24"/>
        </w:rPr>
        <w:t>4.4 Positioning</w:t>
      </w:r>
      <w:bookmarkEnd w:id="17"/>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for Coca-Cola Company to enhance satisfaction of customers in UK, The Company should position itself accordingly to appeal to its target segments. In this regard, Coca-Cola should position its products as thirst quenching and refreshing. The products should be linked to having good times with family and friends as well as enjoying every day’s life. The products therefore should be marketed as consistent and of high quality and charge affordable prices in order to appeal to target segments. The positioning strategy of Coca-Cola in light of its competitors is shown in figure 5 below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5943600" cy="42024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tretch>
                      <a:fillRect/>
                    </a:stretch>
                  </pic:blipFill>
                  <pic:spPr>
                    <a:xfrm>
                      <a:off x="0" y="0"/>
                      <a:ext cx="5943600" cy="4202430"/>
                    </a:xfrm>
                    <a:prstGeom prst="rect">
                      <a:avLst/>
                    </a:prstGeom>
                  </pic:spPr>
                </pic:pic>
              </a:graphicData>
            </a:graphic>
          </wp:inline>
        </w:drawing>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Fig 5: Positioning map of Coca-Cola in light of its major competitors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Source: Author</w:t>
      </w:r>
    </w:p>
    <w:p>
      <w:pPr>
        <w:pStyle w:val="2"/>
        <w:spacing w:before="0" w:beforeAutospacing="0" w:after="120" w:afterAutospacing="0" w:line="360" w:lineRule="auto"/>
        <w:jc w:val="both"/>
        <w:rPr>
          <w:sz w:val="24"/>
          <w:szCs w:val="24"/>
          <w:lang w:val="en-GB"/>
        </w:rPr>
      </w:pPr>
      <w:bookmarkStart w:id="18" w:name="_Toc40046943"/>
      <w:r>
        <w:rPr>
          <w:sz w:val="24"/>
          <w:szCs w:val="24"/>
          <w:lang w:val="en-GB"/>
        </w:rPr>
        <w:t>5. Tactics</w:t>
      </w:r>
      <w:bookmarkEnd w:id="18"/>
    </w:p>
    <w:p>
      <w:pPr>
        <w:pStyle w:val="3"/>
        <w:spacing w:before="0" w:after="120" w:line="360" w:lineRule="auto"/>
        <w:jc w:val="both"/>
        <w:rPr>
          <w:rFonts w:ascii="Times New Roman" w:hAnsi="Times New Roman" w:cs="Times New Roman"/>
          <w:color w:val="auto"/>
          <w:sz w:val="24"/>
          <w:szCs w:val="24"/>
        </w:rPr>
      </w:pPr>
      <w:bookmarkStart w:id="19" w:name="_Toc40046944"/>
      <w:r>
        <w:rPr>
          <w:rFonts w:ascii="Times New Roman" w:hAnsi="Times New Roman" w:cs="Times New Roman"/>
          <w:color w:val="auto"/>
          <w:sz w:val="24"/>
          <w:szCs w:val="24"/>
        </w:rPr>
        <w:t>5.1 Marketing mix</w:t>
      </w:r>
      <w:bookmarkEnd w:id="19"/>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Product</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As regards to product offering, Coca-Cola should concentrate on maintaining high standards and high quality products to meet the needs of its target audiences and bring joy to customers. The company can achieve this through heavy investments in R&amp;D to ensure that refreshing and high quality beverages are provided to customers (</w:t>
      </w:r>
      <w:r>
        <w:rPr>
          <w:rFonts w:ascii="Times New Roman" w:hAnsi="Times New Roman" w:cs="Times New Roman"/>
          <w:sz w:val="24"/>
          <w:szCs w:val="24"/>
          <w:shd w:val="clear" w:color="auto" w:fill="FFFFFF"/>
        </w:rPr>
        <w:t>Lambertini, 2018)</w:t>
      </w:r>
      <w:r>
        <w:rPr>
          <w:rFonts w:ascii="Times New Roman" w:hAnsi="Times New Roman" w:cs="Times New Roman"/>
          <w:sz w:val="24"/>
          <w:szCs w:val="24"/>
        </w:rPr>
        <w:t xml:space="preserve">. Besides, Coca-Cola can take note of customer’s preferences and design its products according to these preferences as opposed to taking an internal approach. This will be essential for the company to survive in the UK market and change the portfolio of products according to the requirements of customers.   </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Place</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should use both direct and indirect selling to distribute its products in UK. Concerning direct selling, the company should supply its products to various retailers including retail stores, cinema halls, restaurants etc. Concerning indirect selling, Coca-Cola can partner with different distribution agencies. It can supply its products to these distributors who will then make the products available to retailers. Moreover, Coca-Cola can capitalise on advancements of technology in UK and advertise variety of its products online and through mobile apps to ensure wider reach (Kotler et al., 2012). This is likely to boost sales because most youths in UK have largely embraced e-commerce platforms. Coca-Cola can also engage their customer through the online platforms directly and receive feedback which the organisation can use to make necessary product adjustments. </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Price</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As noted by Kotler &amp; Armstrong (2013), price forms a significant positioning factor that organisations should consider before offering their products to the market. Therefore, Coca-Cola should follow cost based pricing strategy in UK. This strategy will enable Coca-Cola to counterbalance the costs involved in producing the products and to realise profitability (</w:t>
      </w:r>
      <w:r>
        <w:rPr>
          <w:rFonts w:ascii="Times New Roman" w:hAnsi="Times New Roman" w:cs="Times New Roman"/>
          <w:sz w:val="24"/>
          <w:szCs w:val="24"/>
          <w:shd w:val="clear" w:color="auto" w:fill="FFFFFF"/>
        </w:rPr>
        <w:t>De Toni et al., 2017)</w:t>
      </w:r>
      <w:r>
        <w:rPr>
          <w:rFonts w:ascii="Times New Roman" w:hAnsi="Times New Roman" w:cs="Times New Roman"/>
          <w:sz w:val="24"/>
          <w:szCs w:val="24"/>
        </w:rPr>
        <w:t xml:space="preserve">. However, this strategy should be implemented according to the value that customers get from the products in order to enhance retention. Equally, Coca-Cola can charge different prices in different seasons by changing the prices of products according to seasons. For instance, charging higher prices during summer and reducing prices during winter in order to maintain profits and sales. </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Promotion</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Company can promote the products by getting or purchasing shelves in big departmental stores and then display their products on the shelves in a style that is more clear and attractive to the customers. The company can also do sponsorships with different schools cafes, universities and colleges and sponsor their events as well as other extra curriculum activities in order to increase market share. Moreover, Coca-Cola can also advertise in traditional mediums such as TVs, billboards, posters, radios etc. Equally, the company can use renowned celebrities and artists so as to endorse the brand. Notably, celebrities appeal to most people, more so the youthful population (Kotler et al., 2012). Therefore, these people will be enticed and lured to purchase Coca-Cola products in order to associate themselves with the artists or celebrities. </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Physical evidence</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physical evidence is that appears in the minds of the customers when they interact with the product (Kotler et al., 2012). Accordingly, Coca-Cola should consider very attractive packaging on all its products so as to attract generation of people. The company should also ensure that its shelves in departmental stores are artistically and aesthetically in customers eyes to create a calm and tranquil link with its varieties of products. </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People</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Coca-Cola Company can enhance delivery of services through skilled and qualified workers. On this note, Coca-Cola should provide its workers with the necessary training so that they can develop skills of handling different magnitudes of requirements of customers. Tokens of appreciation should also be provided to employees who register exemplary performances and quarterly and annual incentives provided for achievement of goals. Moreover, staff should also be provided with non-financial incentives such as recognition, praise and promotions. This is likely to motivate workers to be more engaged at their work (Kotler &amp; Armstrong, 2013).</w:t>
      </w:r>
    </w:p>
    <w:p>
      <w:pPr>
        <w:spacing w:after="120" w:line="360" w:lineRule="auto"/>
        <w:jc w:val="both"/>
        <w:rPr>
          <w:rFonts w:ascii="Times New Roman" w:hAnsi="Times New Roman" w:cs="Times New Roman"/>
          <w:b/>
          <w:i/>
          <w:sz w:val="24"/>
          <w:szCs w:val="24"/>
        </w:rPr>
      </w:pPr>
      <w:r>
        <w:rPr>
          <w:rFonts w:ascii="Times New Roman" w:hAnsi="Times New Roman" w:cs="Times New Roman"/>
          <w:b/>
          <w:i/>
          <w:sz w:val="24"/>
          <w:szCs w:val="24"/>
        </w:rPr>
        <w:t>Process</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 order to attract many customers and increase retention rates, Coca-Cola should facilitate its products by infrastructure including providing retailers with freezers, display racks and shells for bottles. The company should also be open to the opinions, feelings and sentiments of customers about their products and incorporate this feedback to make necessary adjustments to its products. Coca-Cola should also ensure that its website is user friendly and offer customers with up-to-date, accurate and timely information regarding its products in the website to increase satisfaction (Kotler &amp; Armstrong, 2013).</w:t>
      </w:r>
    </w:p>
    <w:p>
      <w:pPr>
        <w:pStyle w:val="3"/>
        <w:spacing w:before="0" w:after="120" w:line="360" w:lineRule="auto"/>
        <w:jc w:val="both"/>
        <w:rPr>
          <w:rFonts w:ascii="Times New Roman" w:hAnsi="Times New Roman" w:cs="Times New Roman"/>
          <w:color w:val="auto"/>
          <w:sz w:val="24"/>
          <w:szCs w:val="24"/>
        </w:rPr>
      </w:pPr>
      <w:bookmarkStart w:id="20" w:name="_Toc40046945"/>
      <w:bookmarkStart w:id="21" w:name="OLE_LINK1"/>
      <w:r>
        <w:rPr>
          <w:rFonts w:ascii="Times New Roman" w:hAnsi="Times New Roman" w:cs="Times New Roman"/>
          <w:color w:val="auto"/>
          <w:sz w:val="24"/>
          <w:szCs w:val="24"/>
        </w:rPr>
        <w:t>5.2 Content/Contact plan</w:t>
      </w:r>
      <w:bookmarkEnd w:id="20"/>
      <w:r>
        <w:rPr>
          <w:rFonts w:ascii="Times New Roman" w:hAnsi="Times New Roman" w:cs="Times New Roman"/>
          <w:color w:val="auto"/>
          <w:sz w:val="24"/>
          <w:szCs w:val="24"/>
        </w:rPr>
        <w:t> </w:t>
      </w:r>
    </w:p>
    <w:p>
      <w:pPr>
        <w:pStyle w:val="11"/>
        <w:widowControl/>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Contact plan is a process used by organisations to build and draw a plan used to deliver marketing messages to customers, marshal information and resources to execute the plan effectively (</w:t>
      </w:r>
      <w:r>
        <w:rPr>
          <w:rFonts w:ascii="Times New Roman" w:hAnsi="Times New Roman"/>
          <w:lang w:val="en-GB"/>
        </w:rPr>
        <w:t>Kotler &amp; Armstrong, 2013)</w:t>
      </w:r>
      <w:r>
        <w:rPr>
          <w:rFonts w:ascii="Times New Roman" w:hAnsi="Times New Roman" w:eastAsia="Segoe UI"/>
          <w:shd w:val="clear" w:color="auto" w:fill="FFFFFF"/>
          <w:lang w:val="en-GB"/>
        </w:rPr>
        <w:t xml:space="preserve">. In order for Coca-Cola to increase awareness of its brand in the UK market, the company can use digital channels to increase awareness, CRM to engage with customers and IMC marketing strategies to communicate to customers consistently. Additionally, Coca-Cola can increase its interactions with customers in the social media through posting its products regularly, employing a paid social media distribution for its products and hiring more personnel in the social media. Furthermore, Coca-Cola can enhance satisfaction of customers through heavy investment in R&amp;D to manufacture trendy and high quality products as well as engagement in product development.   </w:t>
      </w:r>
    </w:p>
    <w:bookmarkEnd w:id="21"/>
    <w:p>
      <w:pPr>
        <w:pStyle w:val="2"/>
        <w:spacing w:before="0" w:beforeAutospacing="0" w:after="120" w:afterAutospacing="0" w:line="360" w:lineRule="auto"/>
        <w:jc w:val="both"/>
        <w:rPr>
          <w:sz w:val="24"/>
          <w:szCs w:val="24"/>
          <w:lang w:val="en-GB"/>
        </w:rPr>
      </w:pPr>
      <w:bookmarkStart w:id="22" w:name="_Toc40046946"/>
      <w:r>
        <w:rPr>
          <w:sz w:val="24"/>
          <w:szCs w:val="24"/>
          <w:lang w:val="en-GB"/>
        </w:rPr>
        <w:t>6. Actions</w:t>
      </w:r>
      <w:bookmarkEnd w:id="22"/>
    </w:p>
    <w:p>
      <w:pPr>
        <w:pStyle w:val="3"/>
        <w:spacing w:before="0" w:after="120" w:line="360" w:lineRule="auto"/>
        <w:jc w:val="both"/>
        <w:rPr>
          <w:rFonts w:ascii="Times New Roman" w:hAnsi="Times New Roman" w:cs="Times New Roman"/>
          <w:color w:val="auto"/>
          <w:sz w:val="24"/>
          <w:szCs w:val="24"/>
        </w:rPr>
      </w:pPr>
      <w:bookmarkStart w:id="23" w:name="_Toc40046947"/>
      <w:r>
        <w:rPr>
          <w:rFonts w:ascii="Times New Roman" w:hAnsi="Times New Roman" w:cs="Times New Roman"/>
          <w:color w:val="auto"/>
          <w:sz w:val="24"/>
          <w:szCs w:val="24"/>
        </w:rPr>
        <w:t>6.1 Responsibilities and structures</w:t>
      </w:r>
      <w:bookmarkEnd w:id="23"/>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Coca-Cola should institute a clear structure where responsibilities and tasks of employees are clear. Also, there should be clear guidelines for target setting and planning processes and thus style should be applied consistently (Kotler &amp; Armstrong, 2013). This will enable each and every employee to understand where their roles contribute to overall organisational performance. As such, the whole workforce will work together to realise the company’s objectives and aims. On this account, managers should work closely with other managers to promote various benefits including improving accuracy, continuous process improvement, minimising repetitive work and driving up efficiency each and every year (Kotler et al., 2018). On the other hand, supervisors should also work with managers to ensure that consistent practices and procedures are applied in production process. This entails the use of best practices to create value added services in the company (Kotler &amp; Armstrong, 2013).    </w:t>
      </w:r>
    </w:p>
    <w:p>
      <w:pPr>
        <w:pStyle w:val="3"/>
        <w:spacing w:before="0" w:after="120" w:line="360" w:lineRule="auto"/>
        <w:jc w:val="both"/>
        <w:rPr>
          <w:rFonts w:ascii="Times New Roman" w:hAnsi="Times New Roman" w:cs="Times New Roman"/>
          <w:color w:val="auto"/>
          <w:sz w:val="24"/>
          <w:szCs w:val="24"/>
        </w:rPr>
      </w:pPr>
      <w:bookmarkStart w:id="24" w:name="_Toc40046948"/>
      <w:r>
        <w:rPr>
          <w:rFonts w:ascii="Times New Roman" w:hAnsi="Times New Roman" w:cs="Times New Roman"/>
          <w:color w:val="auto"/>
          <w:sz w:val="24"/>
          <w:szCs w:val="24"/>
        </w:rPr>
        <w:t>6.2 Processes and systems</w:t>
      </w:r>
      <w:bookmarkEnd w:id="24"/>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Notably, as regards to processes and systems, Coca-Cola should research more on how to deliver low calorie beverages to the market. This is because currently most people in UK are more concerned about their health, hence would prefer beverages that would help them to lose weight (</w:t>
      </w:r>
      <w:r>
        <w:rPr>
          <w:rFonts w:ascii="Times New Roman" w:hAnsi="Times New Roman" w:cs="Times New Roman"/>
          <w:sz w:val="24"/>
          <w:szCs w:val="24"/>
          <w:shd w:val="clear" w:color="auto" w:fill="FFFFFF"/>
        </w:rPr>
        <w:t>Briggs et al., 2017)</w:t>
      </w:r>
      <w:r>
        <w:rPr>
          <w:rFonts w:ascii="Times New Roman" w:hAnsi="Times New Roman" w:cs="Times New Roman"/>
          <w:sz w:val="24"/>
          <w:szCs w:val="24"/>
        </w:rPr>
        <w:t>. The organisation should also listen to customer’s opinion and views and consider incorporating these sentiments and opinions of customers regarding their products and make necessary improvements. A user friendly website should also be created and customers provided with accurate, timely and up-to-date information about Coca-Cola products in the website (</w:t>
      </w:r>
      <w:r>
        <w:rPr>
          <w:rFonts w:ascii="Times New Roman" w:hAnsi="Times New Roman" w:cs="Times New Roman"/>
          <w:sz w:val="24"/>
          <w:szCs w:val="24"/>
          <w:shd w:val="clear" w:color="auto" w:fill="FFFFFF"/>
        </w:rPr>
        <w:t>Appiah-Adu &amp; Amoako, 2016)</w:t>
      </w:r>
      <w:r>
        <w:rPr>
          <w:rFonts w:ascii="Times New Roman" w:hAnsi="Times New Roman" w:cs="Times New Roman"/>
          <w:sz w:val="24"/>
          <w:szCs w:val="24"/>
        </w:rPr>
        <w:t xml:space="preserve">. </w:t>
      </w:r>
    </w:p>
    <w:p>
      <w:pPr>
        <w:pStyle w:val="3"/>
        <w:spacing w:before="0" w:after="120" w:line="360" w:lineRule="auto"/>
        <w:jc w:val="both"/>
        <w:rPr>
          <w:rFonts w:ascii="Times New Roman" w:hAnsi="Times New Roman" w:cs="Times New Roman"/>
          <w:color w:val="auto"/>
          <w:sz w:val="24"/>
          <w:szCs w:val="24"/>
        </w:rPr>
      </w:pPr>
      <w:bookmarkStart w:id="25" w:name="_Toc40046949"/>
      <w:r>
        <w:rPr>
          <w:rFonts w:ascii="Times New Roman" w:hAnsi="Times New Roman" w:cs="Times New Roman"/>
          <w:color w:val="auto"/>
          <w:sz w:val="24"/>
          <w:szCs w:val="24"/>
        </w:rPr>
        <w:t>6.3 Internal resources and skills</w:t>
      </w:r>
      <w:bookmarkEnd w:id="25"/>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Firstly, Coca-Cola should use its unparalleled system of distribution to ensure that its products are extensively distributed to its various outlets and retailers efficiently. Coca-Cola can also use its strong brand status and identity to promote its products in UK. For instance, Coca-Cola should involve itself in development of community projects in UK including running successful charities as well as other development activities. This is likely to create a positive image for the organisation (</w:t>
      </w:r>
      <w:r>
        <w:rPr>
          <w:rFonts w:ascii="Times New Roman" w:hAnsi="Times New Roman" w:cs="Times New Roman"/>
          <w:sz w:val="24"/>
          <w:szCs w:val="24"/>
          <w:shd w:val="clear" w:color="auto" w:fill="FFFFFF"/>
        </w:rPr>
        <w:t>Appiah-Adu &amp; Amoako, 2016)</w:t>
      </w:r>
      <w:r>
        <w:rPr>
          <w:rFonts w:ascii="Times New Roman" w:hAnsi="Times New Roman" w:cs="Times New Roman"/>
          <w:sz w:val="24"/>
          <w:szCs w:val="24"/>
        </w:rPr>
        <w:t>. As such, many people would want to associate themselves with Coca-Cola as a way of thanking them for the activities that they involve in in the community. This will act as a form of advertising to the company and forms a formidable bond with customers (Kotler &amp; Armstrong, 2013). Moreover, Coca-Cola should also use its financial muscle or strength to run its operations in UK effectively. For example, more funds can be channelled to sales promotions and advertising to reach wider audiences. This will bring favourable results as a far as market diversification and sales is concerned (</w:t>
      </w:r>
      <w:r>
        <w:rPr>
          <w:rFonts w:ascii="Times New Roman" w:hAnsi="Times New Roman" w:cs="Times New Roman"/>
          <w:sz w:val="24"/>
          <w:szCs w:val="24"/>
          <w:shd w:val="clear" w:color="auto" w:fill="FFFFFF"/>
        </w:rPr>
        <w:t>Kotler et al., 2018)</w:t>
      </w:r>
      <w:r>
        <w:rPr>
          <w:rFonts w:ascii="Times New Roman" w:hAnsi="Times New Roman" w:cs="Times New Roman"/>
          <w:sz w:val="24"/>
          <w:szCs w:val="24"/>
        </w:rPr>
        <w:t xml:space="preserve">. Coca-Cola can also ensure that their staffs are properly trained so that they can acquire the necessary skills to handle various magnitudes of consumer complaints and issues.   </w:t>
      </w:r>
    </w:p>
    <w:p>
      <w:pPr>
        <w:pStyle w:val="3"/>
        <w:spacing w:before="0" w:after="120" w:line="360" w:lineRule="auto"/>
        <w:jc w:val="both"/>
        <w:rPr>
          <w:rFonts w:ascii="Times New Roman" w:hAnsi="Times New Roman" w:cs="Times New Roman"/>
          <w:color w:val="auto"/>
          <w:sz w:val="24"/>
          <w:szCs w:val="24"/>
        </w:rPr>
      </w:pPr>
      <w:bookmarkStart w:id="26" w:name="_Toc40046950"/>
      <w:r>
        <w:rPr>
          <w:rFonts w:ascii="Times New Roman" w:hAnsi="Times New Roman" w:cs="Times New Roman"/>
          <w:color w:val="auto"/>
          <w:sz w:val="24"/>
          <w:szCs w:val="24"/>
        </w:rPr>
        <w:t>6.4 External agencies</w:t>
      </w:r>
      <w:bookmarkEnd w:id="26"/>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Coca-Cola can also utilise its external agents to enhance business growth in UK market. For instance, Coca-Cola can turn to an online community to crowd source for ideas to make product improvements. Through using co-creation, the company will be in a position to generate numerous ideas from online community of creative individuals (</w:t>
      </w:r>
      <w:r>
        <w:rPr>
          <w:rFonts w:ascii="Times New Roman" w:hAnsi="Times New Roman" w:cs="Times New Roman"/>
          <w:sz w:val="24"/>
          <w:szCs w:val="24"/>
          <w:shd w:val="clear" w:color="auto" w:fill="FFFFFF"/>
        </w:rPr>
        <w:t>Kotler et al., 2018)</w:t>
      </w:r>
      <w:r>
        <w:rPr>
          <w:rFonts w:ascii="Times New Roman" w:hAnsi="Times New Roman" w:cs="Times New Roman"/>
          <w:sz w:val="24"/>
          <w:szCs w:val="24"/>
        </w:rPr>
        <w:t xml:space="preserve">. This will provide the organisation with a lot of ideas and content to inspire marketing activities. Additionally, Coca-Cola should ensure that its system partners and suppliers embrace responsible practices at the workplace and uphold Human Rights Policy principles. For example, Coco-Cola’ should ensure that its suppliers and partners provide healthy and safe workplace to employees, prohibit abuse of labour and forced labour and protect the environment among others (Kotler &amp; Armstrong, 2013). </w:t>
      </w:r>
    </w:p>
    <w:p>
      <w:pPr>
        <w:pStyle w:val="2"/>
        <w:spacing w:before="0" w:beforeAutospacing="0" w:after="120" w:afterAutospacing="0" w:line="360" w:lineRule="auto"/>
        <w:jc w:val="both"/>
        <w:rPr>
          <w:sz w:val="24"/>
          <w:szCs w:val="24"/>
          <w:lang w:val="en-GB"/>
        </w:rPr>
      </w:pPr>
      <w:bookmarkStart w:id="27" w:name="_Toc40046951"/>
      <w:r>
        <w:rPr>
          <w:sz w:val="24"/>
          <w:szCs w:val="24"/>
          <w:lang w:val="en-GB"/>
        </w:rPr>
        <w:t>7. Control</w:t>
      </w:r>
      <w:bookmarkEnd w:id="27"/>
    </w:p>
    <w:p>
      <w:pPr>
        <w:pStyle w:val="3"/>
        <w:spacing w:before="0" w:after="120" w:line="360" w:lineRule="auto"/>
        <w:jc w:val="both"/>
        <w:rPr>
          <w:rFonts w:ascii="Times New Roman" w:hAnsi="Times New Roman" w:cs="Times New Roman"/>
          <w:color w:val="auto"/>
          <w:sz w:val="24"/>
          <w:szCs w:val="24"/>
        </w:rPr>
      </w:pPr>
      <w:bookmarkStart w:id="28" w:name="_Toc40046952"/>
      <w:r>
        <w:rPr>
          <w:rFonts w:ascii="Times New Roman" w:hAnsi="Times New Roman" w:cs="Times New Roman"/>
          <w:color w:val="auto"/>
          <w:sz w:val="24"/>
          <w:szCs w:val="24"/>
        </w:rPr>
        <w:t>7.1 KPIs</w:t>
      </w:r>
      <w:bookmarkEnd w:id="28"/>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process of control aims at measuring and monitoring the performance of the implementation or action plan as it proceeds to ensure that adequate adjustments actions are taken as per the plan. The key performance indicators that Coca-Cola could use to measure the proposed marketing plan’s effectiveness are shown in table 1 below</w:t>
      </w:r>
    </w:p>
    <w:p>
      <w:pPr>
        <w:spacing w:after="120" w:line="360" w:lineRule="auto"/>
        <w:jc w:val="both"/>
        <w:rPr>
          <w:rFonts w:ascii="Times New Roman" w:hAnsi="Times New Roman" w:cs="Times New Roman"/>
          <w:sz w:val="24"/>
          <w:szCs w:val="24"/>
        </w:rPr>
      </w:pPr>
      <w:r>
        <w:rPr>
          <w:rFonts w:ascii="Times New Roman" w:hAnsi="Times New Roman" w:cs="Times New Roman"/>
        </w:rPr>
        <w:drawing>
          <wp:inline distT="0" distB="0" distL="0" distR="0">
            <wp:extent cx="5504180" cy="5532755"/>
            <wp:effectExtent l="0" t="0" r="127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1"/>
                    <a:stretch>
                      <a:fillRect/>
                    </a:stretch>
                  </pic:blipFill>
                  <pic:spPr>
                    <a:xfrm>
                      <a:off x="0" y="0"/>
                      <a:ext cx="5504762" cy="5533333"/>
                    </a:xfrm>
                    <a:prstGeom prst="rect">
                      <a:avLst/>
                    </a:prstGeom>
                  </pic:spPr>
                </pic:pic>
              </a:graphicData>
            </a:graphic>
          </wp:inline>
        </w:drawing>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Table 1: KPIs to measure the proposed action plan’s performance</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Source: Author</w:t>
      </w:r>
    </w:p>
    <w:p>
      <w:pPr>
        <w:pStyle w:val="3"/>
        <w:spacing w:before="0" w:after="120" w:line="360" w:lineRule="auto"/>
        <w:jc w:val="both"/>
        <w:rPr>
          <w:rFonts w:ascii="Times New Roman" w:hAnsi="Times New Roman" w:cs="Times New Roman"/>
          <w:color w:val="auto"/>
          <w:sz w:val="24"/>
          <w:szCs w:val="24"/>
        </w:rPr>
      </w:pPr>
      <w:bookmarkStart w:id="29" w:name="_Toc40046953"/>
      <w:r>
        <w:rPr>
          <w:rFonts w:ascii="Times New Roman" w:hAnsi="Times New Roman" w:cs="Times New Roman"/>
          <w:color w:val="auto"/>
          <w:sz w:val="24"/>
          <w:szCs w:val="24"/>
        </w:rPr>
        <w:t>7.2 Web analytics</w:t>
      </w:r>
      <w:bookmarkEnd w:id="29"/>
      <w:r>
        <w:rPr>
          <w:rFonts w:ascii="Times New Roman" w:hAnsi="Times New Roman" w:cs="Times New Roman"/>
          <w:color w:val="auto"/>
          <w:sz w:val="24"/>
          <w:szCs w:val="24"/>
        </w:rPr>
        <w:t>  </w:t>
      </w:r>
    </w:p>
    <w:p>
      <w:pPr>
        <w:pStyle w:val="11"/>
        <w:widowControl/>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Web analytics involves the process used by organisations to measure, analyse and report data from web sources so as to optimize and understand the usage of the web (</w:t>
      </w:r>
      <w:r>
        <w:rPr>
          <w:rFonts w:ascii="Times New Roman" w:hAnsi="Times New Roman"/>
          <w:shd w:val="clear" w:color="auto" w:fill="FFFFFF"/>
          <w:lang w:val="en-GB"/>
        </w:rPr>
        <w:t>Tandoc, 2015)</w:t>
      </w:r>
      <w:r>
        <w:rPr>
          <w:rFonts w:ascii="Times New Roman" w:hAnsi="Times New Roman" w:eastAsia="Segoe UI"/>
          <w:shd w:val="clear" w:color="auto" w:fill="FFFFFF"/>
          <w:lang w:val="en-GB"/>
        </w:rPr>
        <w:t xml:space="preserve">. Google analytics is the main analytic tool that should be adopted by Coca Cola Company. This tool should be applied by Coca-Cola in tracking and driving traffic to its website. However, Coca Cola can also employ the use of other tools such as User Testing and Woopra to analyse and drive traffic to its website.  </w:t>
      </w:r>
    </w:p>
    <w:p>
      <w:pPr>
        <w:pStyle w:val="3"/>
        <w:spacing w:before="0" w:after="120" w:line="360" w:lineRule="auto"/>
        <w:jc w:val="both"/>
        <w:rPr>
          <w:rFonts w:ascii="Times New Roman" w:hAnsi="Times New Roman" w:cs="Times New Roman"/>
          <w:color w:val="auto"/>
          <w:sz w:val="24"/>
          <w:szCs w:val="24"/>
        </w:rPr>
      </w:pPr>
      <w:bookmarkStart w:id="30" w:name="_Toc40046954"/>
      <w:r>
        <w:rPr>
          <w:rFonts w:ascii="Times New Roman" w:hAnsi="Times New Roman" w:cs="Times New Roman"/>
          <w:color w:val="auto"/>
          <w:sz w:val="24"/>
          <w:szCs w:val="24"/>
        </w:rPr>
        <w:t>7.3 User experience reviews</w:t>
      </w:r>
      <w:bookmarkEnd w:id="30"/>
      <w:r>
        <w:rPr>
          <w:rFonts w:ascii="Times New Roman" w:hAnsi="Times New Roman" w:cs="Times New Roman"/>
          <w:color w:val="auto"/>
          <w:sz w:val="24"/>
          <w:szCs w:val="24"/>
        </w:rPr>
        <w:t>  </w:t>
      </w:r>
    </w:p>
    <w:p>
      <w:pPr>
        <w:pStyle w:val="11"/>
        <w:widowControl/>
        <w:spacing w:after="120" w:line="360" w:lineRule="auto"/>
        <w:textAlignment w:val="baseline"/>
        <w:rPr>
          <w:rFonts w:ascii="Times New Roman" w:hAnsi="Times New Roman" w:eastAsia="Segoe UI"/>
          <w:b/>
          <w:shd w:val="clear" w:color="auto" w:fill="FFFFFF"/>
          <w:lang w:val="en-GB"/>
        </w:rPr>
      </w:pPr>
      <w:r>
        <w:rPr>
          <w:rFonts w:ascii="Times New Roman" w:hAnsi="Times New Roman" w:eastAsia="Segoe UI"/>
          <w:iCs/>
          <w:shd w:val="clear" w:color="auto" w:fill="FFFFFF"/>
          <w:lang w:val="en-GB"/>
        </w:rPr>
        <w:t>User experience reviews entails conducting a comprehensive analysis based on usability research methods and select user experience (</w:t>
      </w:r>
      <w:r>
        <w:rPr>
          <w:rFonts w:ascii="Times New Roman" w:hAnsi="Times New Roman"/>
          <w:shd w:val="clear" w:color="auto" w:fill="FFFFFF"/>
          <w:lang w:val="en-GB"/>
        </w:rPr>
        <w:t>Tandoc, 2015)</w:t>
      </w:r>
      <w:r>
        <w:rPr>
          <w:rFonts w:ascii="Times New Roman" w:hAnsi="Times New Roman" w:eastAsia="Segoe UI"/>
          <w:iCs/>
          <w:shd w:val="clear" w:color="auto" w:fill="FFFFFF"/>
          <w:lang w:val="en-GB"/>
        </w:rPr>
        <w:t xml:space="preserve">. It is conducted in order to determine issues within the product or app that might create a range of problems. As such, qualified and experienced practitioners should be engaged by Coca-Cola to enhance the experiences of users in the Coca-Cola’s website. Coca-Cola should also be assisted by the practitioners to offer personalised information regarding web contents. The web should also be easy to use and access. </w:t>
      </w:r>
    </w:p>
    <w:p>
      <w:pPr>
        <w:pStyle w:val="3"/>
        <w:spacing w:before="0" w:after="120" w:line="360" w:lineRule="auto"/>
        <w:jc w:val="both"/>
        <w:rPr>
          <w:rFonts w:ascii="Times New Roman" w:hAnsi="Times New Roman" w:cs="Times New Roman"/>
          <w:color w:val="auto"/>
          <w:sz w:val="24"/>
          <w:szCs w:val="24"/>
        </w:rPr>
      </w:pPr>
      <w:bookmarkStart w:id="31" w:name="_Toc40046955"/>
      <w:r>
        <w:rPr>
          <w:rFonts w:ascii="Times New Roman" w:hAnsi="Times New Roman" w:cs="Times New Roman"/>
          <w:color w:val="auto"/>
          <w:sz w:val="24"/>
          <w:szCs w:val="24"/>
        </w:rPr>
        <w:t>7.4 Conversion rates</w:t>
      </w:r>
      <w:bookmarkEnd w:id="31"/>
      <w:r>
        <w:rPr>
          <w:rFonts w:ascii="Times New Roman" w:hAnsi="Times New Roman" w:cs="Times New Roman"/>
          <w:color w:val="auto"/>
          <w:sz w:val="24"/>
          <w:szCs w:val="24"/>
        </w:rPr>
        <w:t> </w:t>
      </w:r>
    </w:p>
    <w:p>
      <w:pPr>
        <w:pStyle w:val="11"/>
        <w:widowControl/>
        <w:tabs>
          <w:tab w:val="left" w:pos="7635"/>
        </w:tabs>
        <w:spacing w:after="120" w:line="360" w:lineRule="auto"/>
        <w:textAlignment w:val="baseline"/>
        <w:rPr>
          <w:rFonts w:ascii="Times New Roman" w:hAnsi="Times New Roman" w:eastAsia="Segoe UI"/>
          <w:shd w:val="clear" w:color="auto" w:fill="FFFFFF"/>
          <w:lang w:val="en-GB"/>
        </w:rPr>
      </w:pPr>
      <w:r>
        <w:rPr>
          <w:rFonts w:ascii="Times New Roman" w:hAnsi="Times New Roman" w:eastAsia="Segoe UI"/>
          <w:shd w:val="clear" w:color="auto" w:fill="FFFFFF"/>
          <w:lang w:val="en-GB"/>
        </w:rPr>
        <w:t xml:space="preserve">According to </w:t>
      </w:r>
      <w:r>
        <w:rPr>
          <w:rFonts w:ascii="Times New Roman" w:hAnsi="Times New Roman"/>
          <w:shd w:val="clear" w:color="auto" w:fill="FFFFFF"/>
          <w:lang w:val="en-GB"/>
        </w:rPr>
        <w:t>Kotler et al.</w:t>
      </w:r>
      <w:r>
        <w:rPr>
          <w:rFonts w:ascii="Times New Roman" w:hAnsi="Times New Roman" w:eastAsia="Segoe UI"/>
          <w:shd w:val="clear" w:color="auto" w:fill="FFFFFF"/>
          <w:lang w:val="en-GB"/>
        </w:rPr>
        <w:t xml:space="preserve"> (2018) conversion rate is the percentage of visitors that visits a company’s website that completes a specific goal out of the total number of visitors. Notably, a high rate of conversion indicates a successful marketing and web design. Notably, Coca-Cola should measure the rate of conversion in its website in order to determine its marketing strategies effectiveness as well as its web design. In order to enhance the conversion rate, Coca-Cola should offer a website with high informativeness, ease of use and access and enhance security of its website.</w:t>
      </w:r>
    </w:p>
    <w:p>
      <w:pPr>
        <w:pStyle w:val="3"/>
        <w:spacing w:before="0" w:after="120" w:line="360" w:lineRule="auto"/>
        <w:jc w:val="both"/>
        <w:rPr>
          <w:rFonts w:ascii="Times New Roman" w:hAnsi="Times New Roman" w:cs="Times New Roman"/>
          <w:color w:val="auto"/>
          <w:sz w:val="24"/>
          <w:szCs w:val="24"/>
        </w:rPr>
      </w:pPr>
      <w:bookmarkStart w:id="32" w:name="_Toc40046956"/>
      <w:r>
        <w:rPr>
          <w:rFonts w:ascii="Times New Roman" w:hAnsi="Times New Roman" w:cs="Times New Roman"/>
          <w:color w:val="auto"/>
          <w:sz w:val="24"/>
          <w:szCs w:val="24"/>
        </w:rPr>
        <w:t>7.5 Reporting</w:t>
      </w:r>
      <w:bookmarkEnd w:id="32"/>
      <w:r>
        <w:rPr>
          <w:rFonts w:ascii="Times New Roman" w:hAnsi="Times New Roman" w:cs="Times New Roman"/>
          <w:color w:val="auto"/>
          <w:sz w:val="24"/>
          <w:szCs w:val="24"/>
        </w:rPr>
        <w:t>  </w:t>
      </w:r>
    </w:p>
    <w:p>
      <w:pPr>
        <w:pStyle w:val="11"/>
        <w:widowControl/>
        <w:spacing w:after="120" w:line="360" w:lineRule="auto"/>
        <w:textAlignment w:val="baseline"/>
        <w:rPr>
          <w:rFonts w:ascii="Times New Roman" w:hAnsi="Times New Roman"/>
          <w:lang w:val="en-GB"/>
        </w:rPr>
      </w:pPr>
      <w:r>
        <w:rPr>
          <w:rFonts w:ascii="Times New Roman" w:hAnsi="Times New Roman"/>
          <w:lang w:val="en-GB"/>
        </w:rPr>
        <w:t>All workers involved in the implementation and execution of the marketing plan will report to Coca-Cola’s marketing manager in UK through the established channels. The manager will then assemble all these information and make a detailed report to the top management of Coca-Cola Company in UK. Reporting will take place through various channels including Teleconferencing, Skype, Zoom and emails among others.</w:t>
      </w:r>
    </w:p>
    <w:p>
      <w:pPr>
        <w:pStyle w:val="2"/>
        <w:spacing w:before="0" w:beforeAutospacing="0" w:after="120" w:afterAutospacing="0" w:line="360" w:lineRule="auto"/>
        <w:jc w:val="both"/>
        <w:rPr>
          <w:sz w:val="24"/>
          <w:szCs w:val="24"/>
          <w:lang w:val="en-GB"/>
        </w:rPr>
      </w:pPr>
      <w:bookmarkStart w:id="33" w:name="_Toc40046957"/>
      <w:r>
        <w:rPr>
          <w:sz w:val="24"/>
          <w:szCs w:val="24"/>
          <w:lang w:val="en-GB"/>
        </w:rPr>
        <w:t>8. Conclusion</w:t>
      </w:r>
      <w:bookmarkEnd w:id="33"/>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marketing plan development for Coca-Cola follows the SOSTAC model of marketing planning.  The situational analysis reveals that some of the opportunities available for Coca-Cola in the UK market are stable political environment in UK, foreign direct investment support from the UK government, drop in inflation rate in UK, stable population growth and technological development and innovations. However, some of the threats include increased taxation on sugar products, decline in GDP growth and health concerns among UK citizens towards consumption of healthy beverages. Further, the plan has outline SMART objectives that will enable the company achieve its goals in the UK market. Moreover, the plan reveals that Coca-Cola should segment its market demographically based on age and income, behaviourally based on benefits sought and pyschographically based on lifestyle. Coca-Cola should also target young generation mainly between the ages of 17-35 years and health conscious customers with low calorie beverages. Equally, the company should position itself as marketing consistent and high quality products at affordable prices. Additionally, the marketing plan has outline the 7P’s marketing mix that Coca-Cola should adopt in UK. Finally, plan has presented the action plan and control mechanisms where some of the key performance indicators include increase market share, website traffic, increase in unit sales and increase in online orders among others</w:t>
      </w:r>
    </w:p>
    <w:p>
      <w:pPr>
        <w:pStyle w:val="2"/>
        <w:spacing w:before="0" w:beforeAutospacing="0" w:after="120" w:afterAutospacing="0" w:line="360" w:lineRule="auto"/>
        <w:jc w:val="both"/>
        <w:rPr>
          <w:sz w:val="24"/>
          <w:szCs w:val="24"/>
          <w:lang w:val="en-GB"/>
        </w:rPr>
      </w:pPr>
      <w:bookmarkStart w:id="34" w:name="_Toc40046958"/>
      <w:r>
        <w:rPr>
          <w:sz w:val="24"/>
          <w:szCs w:val="24"/>
          <w:lang w:val="en-GB"/>
        </w:rPr>
        <w:t>9. Recommendations</w:t>
      </w:r>
      <w:bookmarkEnd w:id="34"/>
      <w:r>
        <w:rPr>
          <w:sz w:val="24"/>
          <w:szCs w:val="24"/>
          <w:lang w:val="en-GB"/>
        </w:rPr>
        <w:tab/>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 order to optimise its operations in the UK market, Coca-Cola should firstly review the preferences and needs of its customers in the UK market and develop its products according to these tastes and needs. For instance, the company can boost the supply of healthy beverages through introducing drinks with low calories in order to meet the needs of the health conscious customers (Kotler et al., 2018).</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Coca-Cola should increase the promotional activities of its products in order to create more awareness. The company can achieve this by channelling a lot of funds to the marketing department to enable them conduct a lot of sales promotions and advertising activities to increase awareness about its products especially among the rural people. </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Coca- Cola should leverage on the presence of social media to boost its sales. According to </w:t>
      </w:r>
      <w:r>
        <w:rPr>
          <w:rFonts w:ascii="Times New Roman" w:hAnsi="Times New Roman" w:cs="Times New Roman"/>
          <w:sz w:val="24"/>
          <w:szCs w:val="24"/>
          <w:shd w:val="clear" w:color="auto" w:fill="FFFFFF"/>
        </w:rPr>
        <w:t>Appiah-Adu &amp; Amoako</w:t>
      </w:r>
      <w:r>
        <w:rPr>
          <w:rFonts w:ascii="Times New Roman" w:hAnsi="Times New Roman" w:cs="Times New Roman"/>
          <w:sz w:val="24"/>
          <w:szCs w:val="24"/>
        </w:rPr>
        <w:t xml:space="preserve"> (2016), social media has been ranked the most popular platform for advertising among the youths in UK. Therefore, Coca Cola can take advantage of social media presence to reach out to the community and its customers. Social media marketing will enable Coca-Cola to be a strong community member thus enabling customers to celebrate the brand manifestations (Kotler &amp; Armstrong, 2013). The company can achieve this by conducting advertisements in various social media sites such as Twitter, Facebook, Instagram and You Tube. </w:t>
      </w:r>
    </w:p>
    <w:p>
      <w:pPr>
        <w:spacing w:after="120" w:line="360" w:lineRule="auto"/>
        <w:jc w:val="both"/>
        <w:rPr>
          <w:rFonts w:ascii="Times New Roman" w:hAnsi="Times New Roman" w:cs="Times New Roman"/>
          <w:b/>
          <w:sz w:val="24"/>
          <w:szCs w:val="24"/>
        </w:rPr>
      </w:pPr>
    </w:p>
    <w:p>
      <w:pPr>
        <w:pStyle w:val="2"/>
        <w:spacing w:before="0" w:beforeAutospacing="0" w:after="120" w:afterAutospacing="0" w:line="360" w:lineRule="auto"/>
        <w:jc w:val="both"/>
        <w:rPr>
          <w:sz w:val="24"/>
          <w:szCs w:val="24"/>
          <w:lang w:val="en-GB"/>
        </w:rPr>
        <w:sectPr>
          <w:footerReference r:id="rId4" w:type="default"/>
          <w:pgSz w:w="11906" w:h="16838"/>
          <w:pgMar w:top="1440" w:right="1440" w:bottom="1440" w:left="1440" w:header="720" w:footer="720" w:gutter="0"/>
          <w:pgNumType w:start="1"/>
          <w:cols w:space="720" w:num="1"/>
          <w:docGrid w:linePitch="360" w:charSpace="0"/>
        </w:sectPr>
      </w:pPr>
    </w:p>
    <w:p>
      <w:pPr>
        <w:pStyle w:val="2"/>
        <w:spacing w:before="0" w:beforeAutospacing="0" w:after="120" w:afterAutospacing="0" w:line="360" w:lineRule="auto"/>
        <w:jc w:val="both"/>
        <w:rPr>
          <w:sz w:val="24"/>
          <w:szCs w:val="24"/>
          <w:lang w:val="en-GB"/>
        </w:rPr>
      </w:pPr>
      <w:bookmarkStart w:id="35" w:name="_Toc40046959"/>
      <w:r>
        <w:rPr>
          <w:sz w:val="24"/>
          <w:szCs w:val="24"/>
          <w:lang w:val="en-GB"/>
        </w:rPr>
        <w:t>References</w:t>
      </w:r>
      <w:bookmarkEnd w:id="35"/>
    </w:p>
    <w:p>
      <w:pPr>
        <w:spacing w:after="120" w:line="360" w:lineRule="auto"/>
        <w:jc w:val="both"/>
        <w:rPr>
          <w:rFonts w:ascii="Times New Roman" w:hAnsi="Times New Roman" w:cs="Times New Roman"/>
          <w:sz w:val="24"/>
          <w:szCs w:val="24"/>
        </w:rPr>
      </w:pPr>
      <w:bookmarkStart w:id="36" w:name="_Toc38899658"/>
      <w:r>
        <w:rPr>
          <w:rFonts w:ascii="Times New Roman" w:hAnsi="Times New Roman" w:cs="Times New Roman"/>
          <w:sz w:val="24"/>
          <w:szCs w:val="24"/>
        </w:rPr>
        <w:t xml:space="preserve">Abbasi, H. (2017) ‘Marketing Strategies Of Coke: An Overview’, Kaav International Journal of Economics, </w:t>
      </w:r>
      <w:r>
        <w:rPr>
          <w:rFonts w:ascii="Times New Roman" w:hAnsi="Times New Roman" w:cs="Times New Roman"/>
          <w:i/>
          <w:iCs/>
          <w:sz w:val="24"/>
          <w:szCs w:val="24"/>
        </w:rPr>
        <w:t>Commerce &amp; Business Management</w:t>
      </w:r>
      <w:r>
        <w:rPr>
          <w:rFonts w:ascii="Times New Roman" w:hAnsi="Times New Roman" w:cs="Times New Roman"/>
          <w:sz w:val="24"/>
          <w:szCs w:val="24"/>
        </w:rPr>
        <w:t>, 4, pp. 194-199.</w:t>
      </w:r>
      <w:bookmarkEnd w:id="36"/>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Amann, E. &amp; Virmani, S. (2015) ‘Foreign direct investment and reverse technology spillovers’, </w:t>
      </w:r>
      <w:r>
        <w:rPr>
          <w:rFonts w:ascii="Times New Roman" w:hAnsi="Times New Roman" w:cs="Times New Roman"/>
          <w:i/>
          <w:iCs/>
          <w:sz w:val="24"/>
          <w:szCs w:val="24"/>
          <w:shd w:val="clear" w:color="auto" w:fill="FFFFFF"/>
        </w:rPr>
        <w:t>OECD Journal: Economic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2014</w:t>
      </w:r>
      <w:r>
        <w:rPr>
          <w:rFonts w:ascii="Times New Roman" w:hAnsi="Times New Roman" w:cs="Times New Roman"/>
          <w:sz w:val="24"/>
          <w:szCs w:val="24"/>
          <w:shd w:val="clear" w:color="auto" w:fill="FFFFFF"/>
        </w:rPr>
        <w:t>(1), pp. 129-153.</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Aparicio, D. &amp; Bertolotto, M. I. (2020) ‘Forecasting inflation with online prices’, </w:t>
      </w:r>
      <w:r>
        <w:rPr>
          <w:rFonts w:ascii="Times New Roman" w:hAnsi="Times New Roman" w:cs="Times New Roman"/>
          <w:i/>
          <w:iCs/>
          <w:sz w:val="24"/>
          <w:szCs w:val="24"/>
          <w:shd w:val="clear" w:color="auto" w:fill="FFFFFF"/>
        </w:rPr>
        <w:t>International Journal of Forecasting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36</w:t>
      </w:r>
      <w:r>
        <w:rPr>
          <w:rFonts w:ascii="Times New Roman" w:hAnsi="Times New Roman" w:cs="Times New Roman"/>
          <w:sz w:val="24"/>
          <w:szCs w:val="24"/>
          <w:shd w:val="clear" w:color="auto" w:fill="FFFFFF"/>
        </w:rPr>
        <w:t>(2), pp. 232-247.</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Appiah-Adu, K. &amp; Amoako, G. K. (2016) ‘The execution of marketing strategies in a developing economy’, </w:t>
      </w:r>
      <w:r>
        <w:rPr>
          <w:rFonts w:ascii="Times New Roman" w:hAnsi="Times New Roman" w:cs="Times New Roman"/>
          <w:i/>
          <w:iCs/>
          <w:sz w:val="24"/>
          <w:szCs w:val="24"/>
          <w:shd w:val="clear" w:color="auto" w:fill="FFFFFF"/>
        </w:rPr>
        <w:t>African Journal of Economic and Management Studies</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12</w:t>
      </w:r>
      <w:r>
        <w:rPr>
          <w:rFonts w:ascii="Times New Roman" w:hAnsi="Times New Roman" w:cs="Times New Roman"/>
          <w:sz w:val="24"/>
          <w:szCs w:val="24"/>
          <w:shd w:val="clear" w:color="auto" w:fill="FFFFFF"/>
        </w:rPr>
        <w:t>(3), pp. 46-67</w:t>
      </w:r>
    </w:p>
    <w:p>
      <w:pPr>
        <w:spacing w:after="120" w:line="360" w:lineRule="auto"/>
        <w:jc w:val="both"/>
        <w:rPr>
          <w:rFonts w:ascii="Times New Roman" w:hAnsi="Times New Roman" w:cs="Times New Roman"/>
          <w:sz w:val="24"/>
          <w:szCs w:val="24"/>
        </w:rPr>
      </w:pPr>
      <w:bookmarkStart w:id="37" w:name="_Toc38899659"/>
      <w:r>
        <w:rPr>
          <w:rFonts w:ascii="Times New Roman" w:hAnsi="Times New Roman" w:cs="Times New Roman"/>
          <w:sz w:val="24"/>
          <w:szCs w:val="24"/>
        </w:rPr>
        <w:t xml:space="preserve">BBC (2020) </w:t>
      </w:r>
      <w:r>
        <w:rPr>
          <w:rFonts w:ascii="Times New Roman" w:hAnsi="Times New Roman" w:cs="Times New Roman"/>
          <w:i/>
          <w:iCs/>
          <w:sz w:val="24"/>
          <w:szCs w:val="24"/>
        </w:rPr>
        <w:t>UK economy stalls despite strong January</w:t>
      </w:r>
      <w:r>
        <w:rPr>
          <w:rFonts w:ascii="Times New Roman" w:hAnsi="Times New Roman" w:cs="Times New Roman"/>
          <w:sz w:val="24"/>
          <w:szCs w:val="24"/>
        </w:rPr>
        <w:t xml:space="preserve">. Available at: </w:t>
      </w:r>
      <w:r>
        <w:fldChar w:fldCharType="begin"/>
      </w:r>
      <w:r>
        <w:instrText xml:space="preserve"> HYPERLINK "https://www.bbc.com/news/business-47535182" </w:instrText>
      </w:r>
      <w:r>
        <w:fldChar w:fldCharType="separate"/>
      </w:r>
      <w:r>
        <w:rPr>
          <w:rStyle w:val="16"/>
          <w:rFonts w:ascii="Times New Roman" w:hAnsi="Times New Roman" w:cs="Times New Roman"/>
          <w:sz w:val="24"/>
          <w:szCs w:val="24"/>
        </w:rPr>
        <w:t>https://www.bbc.com/news/business-47535182</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(Accessed: April 27 2020)</w:t>
      </w:r>
      <w:bookmarkEnd w:id="37"/>
      <w:r>
        <w:rPr>
          <w:rFonts w:ascii="Times New Roman" w:hAnsi="Times New Roman" w:cs="Times New Roman"/>
          <w:sz w:val="24"/>
          <w:szCs w:val="24"/>
        </w:rPr>
        <w:t xml:space="preserve"> </w:t>
      </w:r>
    </w:p>
    <w:p>
      <w:pPr>
        <w:spacing w:after="120" w:line="360" w:lineRule="auto"/>
        <w:jc w:val="both"/>
        <w:rPr>
          <w:rFonts w:ascii="Times New Roman" w:hAnsi="Times New Roman" w:cs="Times New Roman"/>
          <w:sz w:val="24"/>
          <w:szCs w:val="24"/>
        </w:rPr>
      </w:pPr>
      <w:bookmarkStart w:id="38" w:name="_Toc38899660"/>
      <w:r>
        <w:rPr>
          <w:rFonts w:ascii="Times New Roman" w:hAnsi="Times New Roman" w:cs="Times New Roman"/>
          <w:sz w:val="24"/>
          <w:szCs w:val="24"/>
        </w:rPr>
        <w:t>Borges, M. C., Louzada, M. L., de Sá, T. H., Laverty, A. A., Parra, D. C., Garzillo, J. M. F. &amp; Millett, C. (2017) ‘Artificially sweetened beverages and the response to the global obesity crisis’, </w:t>
      </w:r>
      <w:r>
        <w:rPr>
          <w:rFonts w:ascii="Times New Roman" w:hAnsi="Times New Roman" w:cs="Times New Roman"/>
          <w:i/>
          <w:iCs/>
          <w:sz w:val="24"/>
          <w:szCs w:val="24"/>
        </w:rPr>
        <w:t>PLoS medicine,</w:t>
      </w:r>
      <w:r>
        <w:rPr>
          <w:rFonts w:ascii="Times New Roman" w:hAnsi="Times New Roman" w:cs="Times New Roman"/>
          <w:sz w:val="24"/>
          <w:szCs w:val="24"/>
        </w:rPr>
        <w:t> 14(1), pp. 49-59</w:t>
      </w:r>
      <w:bookmarkEnd w:id="38"/>
    </w:p>
    <w:p>
      <w:pPr>
        <w:spacing w:after="120" w:line="360" w:lineRule="auto"/>
        <w:jc w:val="both"/>
        <w:rPr>
          <w:rFonts w:ascii="Times New Roman" w:hAnsi="Times New Roman" w:cs="Times New Roman"/>
          <w:sz w:val="24"/>
          <w:szCs w:val="24"/>
        </w:rPr>
      </w:pPr>
      <w:bookmarkStart w:id="39" w:name="_Toc38899661"/>
      <w:r>
        <w:rPr>
          <w:rFonts w:ascii="Times New Roman" w:hAnsi="Times New Roman" w:cs="Times New Roman"/>
          <w:sz w:val="24"/>
          <w:szCs w:val="24"/>
        </w:rPr>
        <w:t>Briggs, A. D., Mytton, O. T., Kehlbacher, A., Tiffin, R., Elhussein, A., Rayner, M. &amp; Scarborough, P. (2017) ‘Health impact assessment of the UK soft drinks industry levy: a comparative risk assessment modelling study’, </w:t>
      </w:r>
      <w:r>
        <w:rPr>
          <w:rFonts w:ascii="Times New Roman" w:hAnsi="Times New Roman" w:cs="Times New Roman"/>
          <w:i/>
          <w:iCs/>
          <w:sz w:val="24"/>
          <w:szCs w:val="24"/>
        </w:rPr>
        <w:t>The Lancet Public Health, 2</w:t>
      </w:r>
      <w:r>
        <w:rPr>
          <w:rFonts w:ascii="Times New Roman" w:hAnsi="Times New Roman" w:cs="Times New Roman"/>
          <w:sz w:val="24"/>
          <w:szCs w:val="24"/>
        </w:rPr>
        <w:t>(1), pp.15-22.</w:t>
      </w:r>
      <w:bookmarkEnd w:id="39"/>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Chaffey, D. &amp; Smith, P. R. (2017) </w:t>
      </w:r>
      <w:r>
        <w:rPr>
          <w:rFonts w:ascii="Times New Roman" w:hAnsi="Times New Roman" w:cs="Times New Roman"/>
          <w:i/>
          <w:iCs/>
          <w:sz w:val="24"/>
          <w:szCs w:val="24"/>
          <w:shd w:val="clear" w:color="auto" w:fill="FFFFFF"/>
        </w:rPr>
        <w:t>Digital marketing excellence: planning, optimizing and integrating online marketing</w:t>
      </w:r>
      <w:r>
        <w:rPr>
          <w:rFonts w:ascii="Times New Roman" w:hAnsi="Times New Roman" w:cs="Times New Roman"/>
          <w:sz w:val="24"/>
          <w:szCs w:val="24"/>
          <w:shd w:val="clear" w:color="auto" w:fill="FFFFFF"/>
        </w:rPr>
        <w:t>. London: Taylor &amp; Francis.</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 Toni, D., Milan, G. S., Saciloto, E. B. &amp; Larentis, F. (2017) ‘Pricing strategies and levels and their impact on corporate profitability’, </w:t>
      </w:r>
      <w:r>
        <w:rPr>
          <w:rFonts w:ascii="Times New Roman" w:hAnsi="Times New Roman" w:cs="Times New Roman"/>
          <w:i/>
          <w:iCs/>
          <w:sz w:val="24"/>
          <w:szCs w:val="24"/>
          <w:shd w:val="clear" w:color="auto" w:fill="FFFFFF"/>
        </w:rPr>
        <w:t>Revista de Administração (São Paulo)</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52</w:t>
      </w:r>
      <w:r>
        <w:rPr>
          <w:rFonts w:ascii="Times New Roman" w:hAnsi="Times New Roman" w:cs="Times New Roman"/>
          <w:sz w:val="24"/>
          <w:szCs w:val="24"/>
          <w:shd w:val="clear" w:color="auto" w:fill="FFFFFF"/>
        </w:rPr>
        <w:t>(2), pp. 120-133.</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Dhingra, S., Ottaviano, G., Sampson, T. &amp; Van Reenen, J. (2016) ‘The impact of Brexit on foreign investment in the UK.’, </w:t>
      </w:r>
      <w:r>
        <w:rPr>
          <w:rFonts w:ascii="Times New Roman" w:hAnsi="Times New Roman" w:cs="Times New Roman"/>
          <w:i/>
          <w:iCs/>
          <w:sz w:val="24"/>
          <w:szCs w:val="24"/>
          <w:shd w:val="clear" w:color="auto" w:fill="FFFFFF"/>
        </w:rPr>
        <w:t>BREXIT 2016</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24</w:t>
      </w:r>
      <w:r>
        <w:rPr>
          <w:rFonts w:ascii="Times New Roman" w:hAnsi="Times New Roman" w:cs="Times New Roman"/>
          <w:sz w:val="24"/>
          <w:szCs w:val="24"/>
          <w:shd w:val="clear" w:color="auto" w:fill="FFFFFF"/>
        </w:rPr>
        <w:t>(2).</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Falkner, R. (2017) </w:t>
      </w:r>
      <w:r>
        <w:rPr>
          <w:rFonts w:ascii="Times New Roman" w:hAnsi="Times New Roman" w:cs="Times New Roman"/>
          <w:i/>
          <w:iCs/>
          <w:sz w:val="24"/>
          <w:szCs w:val="24"/>
          <w:shd w:val="clear" w:color="auto" w:fill="FFFFFF"/>
        </w:rPr>
        <w:t>Business power and conflict in international environmental politics</w:t>
      </w:r>
      <w:r>
        <w:rPr>
          <w:rFonts w:ascii="Times New Roman" w:hAnsi="Times New Roman" w:cs="Times New Roman"/>
          <w:sz w:val="24"/>
          <w:szCs w:val="24"/>
          <w:shd w:val="clear" w:color="auto" w:fill="FFFFFF"/>
        </w:rPr>
        <w:t>. London: Springer.</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Jones, C. M. (2016) ‘The UK sugar tax–a healthy start’, </w:t>
      </w:r>
      <w:r>
        <w:rPr>
          <w:rFonts w:ascii="Times New Roman" w:hAnsi="Times New Roman" w:cs="Times New Roman"/>
          <w:i/>
          <w:iCs/>
          <w:sz w:val="24"/>
          <w:szCs w:val="24"/>
          <w:shd w:val="clear" w:color="auto" w:fill="FFFFFF"/>
        </w:rPr>
        <w:t>British dental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221</w:t>
      </w:r>
      <w:r>
        <w:rPr>
          <w:rFonts w:ascii="Times New Roman" w:hAnsi="Times New Roman" w:cs="Times New Roman"/>
          <w:sz w:val="24"/>
          <w:szCs w:val="24"/>
          <w:shd w:val="clear" w:color="auto" w:fill="FFFFFF"/>
        </w:rPr>
        <w:t>(2), pp. 59-67.</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Kotler, P. and Armstrong, G. (2013) </w:t>
      </w:r>
      <w:r>
        <w:rPr>
          <w:rFonts w:ascii="Times New Roman" w:hAnsi="Times New Roman" w:cs="Times New Roman"/>
          <w:bCs/>
          <w:i/>
          <w:iCs/>
          <w:sz w:val="24"/>
          <w:szCs w:val="24"/>
        </w:rPr>
        <w:t>Principles of marketing</w:t>
      </w:r>
      <w:r>
        <w:rPr>
          <w:rFonts w:ascii="Times New Roman" w:hAnsi="Times New Roman" w:cs="Times New Roman"/>
          <w:sz w:val="24"/>
          <w:szCs w:val="24"/>
        </w:rPr>
        <w:t>. 15th International edition. NJ, Pearson:Prentice Hall.</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Kotler, P., Keller, K. L., Ang, S. H., Tan, C. T., &amp; Leong, S. M. (2018). </w:t>
      </w:r>
      <w:r>
        <w:rPr>
          <w:rFonts w:ascii="Times New Roman" w:hAnsi="Times New Roman" w:cs="Times New Roman"/>
          <w:i/>
          <w:iCs/>
          <w:sz w:val="24"/>
          <w:szCs w:val="24"/>
          <w:shd w:val="clear" w:color="auto" w:fill="FFFFFF"/>
        </w:rPr>
        <w:t>Marketing management: an Asian perspective</w:t>
      </w:r>
      <w:r>
        <w:rPr>
          <w:rFonts w:ascii="Times New Roman" w:hAnsi="Times New Roman" w:cs="Times New Roman"/>
          <w:sz w:val="24"/>
          <w:szCs w:val="24"/>
          <w:shd w:val="clear" w:color="auto" w:fill="FFFFFF"/>
        </w:rPr>
        <w:t>. Harlow: Pearson.</w:t>
      </w: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Kotler, P., Keller, K.L., Brady, M., Goodman, M. and Hansen, T. (2012) </w:t>
      </w:r>
      <w:r>
        <w:rPr>
          <w:rFonts w:ascii="Times New Roman" w:hAnsi="Times New Roman" w:cs="Times New Roman"/>
          <w:bCs/>
          <w:i/>
          <w:iCs/>
          <w:sz w:val="24"/>
          <w:szCs w:val="24"/>
        </w:rPr>
        <w:t xml:space="preserve">Marketing management. </w:t>
      </w:r>
      <w:r>
        <w:rPr>
          <w:rFonts w:ascii="Times New Roman" w:hAnsi="Times New Roman" w:cs="Times New Roman"/>
          <w:sz w:val="24"/>
          <w:szCs w:val="24"/>
        </w:rPr>
        <w:t>2nd edition. Harlow: Pearson</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Lambertini, L. (2018) ‘Coordinating research and development efforts for quality improvement along a supply chain’, </w:t>
      </w:r>
      <w:r>
        <w:rPr>
          <w:rFonts w:ascii="Times New Roman" w:hAnsi="Times New Roman" w:cs="Times New Roman"/>
          <w:i/>
          <w:iCs/>
          <w:sz w:val="24"/>
          <w:szCs w:val="24"/>
          <w:shd w:val="clear" w:color="auto" w:fill="FFFFFF"/>
        </w:rPr>
        <w:t>European Journal of Operational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270</w:t>
      </w:r>
      <w:r>
        <w:rPr>
          <w:rFonts w:ascii="Times New Roman" w:hAnsi="Times New Roman" w:cs="Times New Roman"/>
          <w:sz w:val="24"/>
          <w:szCs w:val="24"/>
          <w:shd w:val="clear" w:color="auto" w:fill="FFFFFF"/>
        </w:rPr>
        <w:t>(2), pp. 599-605.</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Manopimoke, P. (2018) ‘Thai inflation dynamics in a globalized economy’, </w:t>
      </w:r>
      <w:r>
        <w:rPr>
          <w:rFonts w:ascii="Times New Roman" w:hAnsi="Times New Roman" w:cs="Times New Roman"/>
          <w:i/>
          <w:iCs/>
          <w:sz w:val="24"/>
          <w:szCs w:val="24"/>
          <w:shd w:val="clear" w:color="auto" w:fill="FFFFFF"/>
        </w:rPr>
        <w:t>Journal of the Asia Pacific Economy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23</w:t>
      </w:r>
      <w:r>
        <w:rPr>
          <w:rFonts w:ascii="Times New Roman" w:hAnsi="Times New Roman" w:cs="Times New Roman"/>
          <w:sz w:val="24"/>
          <w:szCs w:val="24"/>
          <w:shd w:val="clear" w:color="auto" w:fill="FFFFFF"/>
        </w:rPr>
        <w:t>(3), pp. 465-495.</w:t>
      </w:r>
    </w:p>
    <w:p>
      <w:pPr>
        <w:spacing w:after="120" w:line="360" w:lineRule="auto"/>
        <w:jc w:val="both"/>
        <w:rPr>
          <w:rFonts w:ascii="Times New Roman" w:hAnsi="Times New Roman" w:cs="Times New Roman"/>
          <w:sz w:val="24"/>
          <w:szCs w:val="24"/>
        </w:rPr>
      </w:pPr>
      <w:bookmarkStart w:id="40" w:name="_Toc38899662"/>
      <w:r>
        <w:rPr>
          <w:rFonts w:ascii="Times New Roman" w:hAnsi="Times New Roman" w:cs="Times New Roman"/>
          <w:sz w:val="24"/>
          <w:szCs w:val="24"/>
        </w:rPr>
        <w:t>Rees, P. H., Wohland, P., Norman, P., Lomax, N. &amp; Clark, S. D. (2017) ‘Population projections by ethnicity: challenges and solutions for the United Kingdom’</w:t>
      </w:r>
      <w:r>
        <w:rPr>
          <w:rFonts w:ascii="Times New Roman" w:hAnsi="Times New Roman" w:cs="Times New Roman"/>
          <w:i/>
          <w:iCs/>
          <w:sz w:val="24"/>
          <w:szCs w:val="24"/>
        </w:rPr>
        <w:t>, In The frontiers of applied demography</w:t>
      </w:r>
      <w:r>
        <w:rPr>
          <w:rFonts w:ascii="Times New Roman" w:hAnsi="Times New Roman" w:cs="Times New Roman"/>
          <w:sz w:val="24"/>
          <w:szCs w:val="24"/>
        </w:rPr>
        <w:t>, 12(5), pp. 383-408</w:t>
      </w:r>
      <w:bookmarkEnd w:id="40"/>
    </w:p>
    <w:p>
      <w:pPr>
        <w:spacing w:after="120" w:line="360" w:lineRule="auto"/>
        <w:jc w:val="both"/>
        <w:rPr>
          <w:rFonts w:ascii="Times New Roman" w:hAnsi="Times New Roman" w:cs="Times New Roman"/>
          <w:sz w:val="24"/>
          <w:szCs w:val="24"/>
        </w:rPr>
      </w:pPr>
      <w:bookmarkStart w:id="41" w:name="_Toc38899663"/>
      <w:r>
        <w:rPr>
          <w:rFonts w:ascii="Times New Roman" w:hAnsi="Times New Roman" w:cs="Times New Roman"/>
          <w:sz w:val="24"/>
          <w:szCs w:val="24"/>
        </w:rPr>
        <w:t>Sigala, M. (2017) ‘Collaborative commerce in tourism: implications for research and industry’, </w:t>
      </w:r>
      <w:r>
        <w:rPr>
          <w:rFonts w:ascii="Times New Roman" w:hAnsi="Times New Roman" w:cs="Times New Roman"/>
          <w:i/>
          <w:iCs/>
          <w:sz w:val="24"/>
          <w:szCs w:val="24"/>
        </w:rPr>
        <w:t>Current Issues in Tourism,</w:t>
      </w:r>
      <w:r>
        <w:rPr>
          <w:rFonts w:ascii="Times New Roman" w:hAnsi="Times New Roman" w:cs="Times New Roman"/>
          <w:sz w:val="24"/>
          <w:szCs w:val="24"/>
        </w:rPr>
        <w:t> 20(4), pp. 346-355.</w:t>
      </w:r>
      <w:bookmarkEnd w:id="41"/>
    </w:p>
    <w:p>
      <w:pPr>
        <w:spacing w:after="120" w:line="360" w:lineRule="auto"/>
        <w:jc w:val="both"/>
        <w:rPr>
          <w:rFonts w:ascii="Times New Roman" w:hAnsi="Times New Roman" w:cs="Times New Roman"/>
          <w:sz w:val="24"/>
          <w:szCs w:val="24"/>
        </w:rPr>
      </w:pPr>
      <w:bookmarkStart w:id="42" w:name="_Toc38899664"/>
      <w:r>
        <w:rPr>
          <w:rFonts w:ascii="Times New Roman" w:hAnsi="Times New Roman" w:cs="Times New Roman"/>
          <w:sz w:val="24"/>
          <w:szCs w:val="24"/>
        </w:rPr>
        <w:t>Srai, J. S., Kumar, M., Graham, G., Phillips, W., Tooze, J., Ford, S. &amp; Ravi, B. (2016) ‘Distributed manufacturing: scope, challenges and opportunities’, </w:t>
      </w:r>
      <w:r>
        <w:rPr>
          <w:rFonts w:ascii="Times New Roman" w:hAnsi="Times New Roman" w:cs="Times New Roman"/>
          <w:i/>
          <w:iCs/>
          <w:sz w:val="24"/>
          <w:szCs w:val="24"/>
        </w:rPr>
        <w:t>International Journal of Production Research,</w:t>
      </w:r>
      <w:r>
        <w:rPr>
          <w:rFonts w:ascii="Times New Roman" w:hAnsi="Times New Roman" w:cs="Times New Roman"/>
          <w:sz w:val="24"/>
          <w:szCs w:val="24"/>
        </w:rPr>
        <w:t> 54(23), pp. 6917-6935.</w:t>
      </w:r>
      <w:bookmarkEnd w:id="42"/>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Tandoc Jr, E. C. (2015) ‘Why web analytics click: Factors affecting the ways journalists use audience metrics’, </w:t>
      </w:r>
      <w:r>
        <w:rPr>
          <w:rFonts w:ascii="Times New Roman" w:hAnsi="Times New Roman" w:cs="Times New Roman"/>
          <w:i/>
          <w:iCs/>
          <w:sz w:val="24"/>
          <w:szCs w:val="24"/>
        </w:rPr>
        <w:t>Journalism Studies,</w:t>
      </w:r>
      <w:r>
        <w:rPr>
          <w:rFonts w:ascii="Times New Roman" w:hAnsi="Times New Roman" w:cs="Times New Roman"/>
          <w:sz w:val="24"/>
          <w:szCs w:val="24"/>
        </w:rPr>
        <w:t> 16(6), pp. 782-799.</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Coca-Cola Company (2020) </w:t>
      </w:r>
      <w:r>
        <w:rPr>
          <w:rFonts w:ascii="Times New Roman" w:hAnsi="Times New Roman" w:cs="Times New Roman"/>
          <w:i/>
          <w:sz w:val="24"/>
          <w:szCs w:val="24"/>
          <w:shd w:val="clear" w:color="auto" w:fill="FFFFFF"/>
        </w:rPr>
        <w:t>Our Company</w:t>
      </w:r>
      <w:r>
        <w:rPr>
          <w:rFonts w:ascii="Times New Roman" w:hAnsi="Times New Roman" w:cs="Times New Roman"/>
          <w:sz w:val="24"/>
          <w:szCs w:val="24"/>
          <w:shd w:val="clear" w:color="auto" w:fill="FFFFFF"/>
        </w:rPr>
        <w:t xml:space="preserve">. Available at: </w:t>
      </w:r>
      <w:r>
        <w:fldChar w:fldCharType="begin"/>
      </w:r>
      <w:r>
        <w:instrText xml:space="preserve"> HYPERLINK "https://www.coca-colacompany.com/company" \l "top_of_page" </w:instrText>
      </w:r>
      <w:r>
        <w:fldChar w:fldCharType="separate"/>
      </w:r>
      <w:r>
        <w:rPr>
          <w:rStyle w:val="16"/>
          <w:rFonts w:ascii="Times New Roman" w:hAnsi="Times New Roman" w:cs="Times New Roman"/>
          <w:color w:val="auto"/>
          <w:sz w:val="24"/>
          <w:szCs w:val="24"/>
        </w:rPr>
        <w:t>https://www.coca-colacompany.com/company#top_of_page</w:t>
      </w:r>
      <w:r>
        <w:rPr>
          <w:rStyle w:val="16"/>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April 27 2020)</w:t>
      </w:r>
      <w:r>
        <w:rPr>
          <w:rFonts w:ascii="Times New Roman" w:hAnsi="Times New Roman" w:cs="Times New Roman"/>
          <w:sz w:val="24"/>
          <w:szCs w:val="24"/>
          <w:shd w:val="clear" w:color="auto" w:fill="FFFFFF"/>
        </w:rPr>
        <w:t xml:space="preserve"> </w:t>
      </w:r>
    </w:p>
    <w:p>
      <w:pPr>
        <w:spacing w:after="12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Coca-Cola Company (2020a) </w:t>
      </w:r>
      <w:r>
        <w:rPr>
          <w:rFonts w:ascii="Times New Roman" w:hAnsi="Times New Roman" w:cs="Times New Roman"/>
          <w:i/>
          <w:sz w:val="24"/>
          <w:szCs w:val="24"/>
          <w:shd w:val="clear" w:color="auto" w:fill="FFFFFF"/>
        </w:rPr>
        <w:t>Sustainable business</w:t>
      </w:r>
      <w:r>
        <w:rPr>
          <w:rFonts w:ascii="Times New Roman" w:hAnsi="Times New Roman" w:cs="Times New Roman"/>
          <w:sz w:val="24"/>
          <w:szCs w:val="24"/>
          <w:shd w:val="clear" w:color="auto" w:fill="FFFFFF"/>
        </w:rPr>
        <w:t xml:space="preserve">. Available at: </w:t>
      </w:r>
      <w:r>
        <w:fldChar w:fldCharType="begin"/>
      </w:r>
      <w:r>
        <w:instrText xml:space="preserve"> HYPERLINK "https://www.coca-colacompany.com/sustainable-business" </w:instrText>
      </w:r>
      <w:r>
        <w:fldChar w:fldCharType="separate"/>
      </w:r>
      <w:r>
        <w:rPr>
          <w:rStyle w:val="16"/>
          <w:rFonts w:ascii="Times New Roman" w:hAnsi="Times New Roman" w:cs="Times New Roman"/>
          <w:color w:val="auto"/>
          <w:sz w:val="24"/>
          <w:szCs w:val="24"/>
        </w:rPr>
        <w:t>https://www.coca-colacompany.com/sustainable-business</w:t>
      </w:r>
      <w:r>
        <w:rPr>
          <w:rStyle w:val="16"/>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April 27 2020)</w:t>
      </w:r>
      <w:r>
        <w:rPr>
          <w:rFonts w:ascii="Times New Roman" w:hAnsi="Times New Roman" w:cs="Times New Roman"/>
          <w:sz w:val="24"/>
          <w:szCs w:val="24"/>
          <w:shd w:val="clear" w:color="auto" w:fill="FFFFFF"/>
        </w:rPr>
        <w:t xml:space="preserve"> </w:t>
      </w:r>
    </w:p>
    <w:p>
      <w:pPr>
        <w:spacing w:after="120" w:line="360" w:lineRule="auto"/>
        <w:jc w:val="both"/>
        <w:rPr>
          <w:rFonts w:ascii="Times New Roman" w:hAnsi="Times New Roman" w:cs="Times New Roman"/>
          <w:b/>
          <w:sz w:val="24"/>
          <w:szCs w:val="24"/>
        </w:rPr>
      </w:pPr>
    </w:p>
    <w:p>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after="120" w:line="360" w:lineRule="auto"/>
        <w:jc w:val="both"/>
        <w:rPr>
          <w:rFonts w:ascii="Times New Roman" w:hAnsi="Times New Roman" w:cs="Times New Roman"/>
          <w:b/>
          <w:sz w:val="24"/>
          <w:szCs w:val="24"/>
        </w:rPr>
      </w:pPr>
    </w:p>
    <w:sectPr>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50788561"/>
      <w:docPartObj>
        <w:docPartGallery w:val="autotext"/>
      </w:docPartObj>
    </w:sdtPr>
    <w:sdtContent>
      <w:p>
        <w:pPr>
          <w:pStyle w:val="6"/>
          <w:jc w:val="right"/>
        </w:pPr>
        <w:r>
          <w:fldChar w:fldCharType="begin"/>
        </w:r>
        <w:r>
          <w:instrText xml:space="preserve">PAGE   \* MERGEFORMAT</w:instrText>
        </w:r>
        <w:r>
          <w:fldChar w:fldCharType="separate"/>
        </w:r>
        <w:r>
          <w:rPr>
            <w:lang w:val="zh-CN" w:eastAsia="zh-CN"/>
          </w:rP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C286A"/>
    <w:multiLevelType w:val="multilevel"/>
    <w:tmpl w:val="052C286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44ED5"/>
    <w:multiLevelType w:val="multilevel"/>
    <w:tmpl w:val="2A344ED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91C37D8"/>
    <w:multiLevelType w:val="multilevel"/>
    <w:tmpl w:val="391C37D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F71103C"/>
    <w:multiLevelType w:val="multilevel"/>
    <w:tmpl w:val="3F71103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18F47F8"/>
    <w:multiLevelType w:val="multilevel"/>
    <w:tmpl w:val="718F47F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3FD8"/>
    <w:rsid w:val="0000085A"/>
    <w:rsid w:val="0003385E"/>
    <w:rsid w:val="000474B5"/>
    <w:rsid w:val="000750C1"/>
    <w:rsid w:val="000761A5"/>
    <w:rsid w:val="00092E97"/>
    <w:rsid w:val="000A3C7B"/>
    <w:rsid w:val="000B0ECC"/>
    <w:rsid w:val="000B5D8B"/>
    <w:rsid w:val="000D1EEA"/>
    <w:rsid w:val="000E463D"/>
    <w:rsid w:val="000F2C18"/>
    <w:rsid w:val="00121585"/>
    <w:rsid w:val="0012361E"/>
    <w:rsid w:val="00123789"/>
    <w:rsid w:val="00142CC8"/>
    <w:rsid w:val="00153606"/>
    <w:rsid w:val="001566C8"/>
    <w:rsid w:val="0016557C"/>
    <w:rsid w:val="00172526"/>
    <w:rsid w:val="0017619D"/>
    <w:rsid w:val="00186319"/>
    <w:rsid w:val="00192455"/>
    <w:rsid w:val="00193FBA"/>
    <w:rsid w:val="0019684B"/>
    <w:rsid w:val="001C6D3D"/>
    <w:rsid w:val="001F2FB1"/>
    <w:rsid w:val="002030E1"/>
    <w:rsid w:val="00212559"/>
    <w:rsid w:val="00213D1A"/>
    <w:rsid w:val="00222223"/>
    <w:rsid w:val="00224854"/>
    <w:rsid w:val="002428CB"/>
    <w:rsid w:val="00243857"/>
    <w:rsid w:val="0025161C"/>
    <w:rsid w:val="00251B4B"/>
    <w:rsid w:val="00262F17"/>
    <w:rsid w:val="002857DA"/>
    <w:rsid w:val="002A5014"/>
    <w:rsid w:val="002A65CF"/>
    <w:rsid w:val="002A6970"/>
    <w:rsid w:val="002C6644"/>
    <w:rsid w:val="002F3E50"/>
    <w:rsid w:val="003100DB"/>
    <w:rsid w:val="0032192E"/>
    <w:rsid w:val="003413EC"/>
    <w:rsid w:val="00385A61"/>
    <w:rsid w:val="00386ACF"/>
    <w:rsid w:val="003C0F1E"/>
    <w:rsid w:val="003C4B3B"/>
    <w:rsid w:val="003F545D"/>
    <w:rsid w:val="004012C3"/>
    <w:rsid w:val="00405672"/>
    <w:rsid w:val="00415A5C"/>
    <w:rsid w:val="00421080"/>
    <w:rsid w:val="004329A7"/>
    <w:rsid w:val="004363FF"/>
    <w:rsid w:val="00443461"/>
    <w:rsid w:val="00472C1A"/>
    <w:rsid w:val="004933C7"/>
    <w:rsid w:val="00494460"/>
    <w:rsid w:val="004A1455"/>
    <w:rsid w:val="004C1829"/>
    <w:rsid w:val="004C34FA"/>
    <w:rsid w:val="004D1381"/>
    <w:rsid w:val="004D5FA1"/>
    <w:rsid w:val="00500A32"/>
    <w:rsid w:val="00512465"/>
    <w:rsid w:val="00543814"/>
    <w:rsid w:val="00555C09"/>
    <w:rsid w:val="00587A16"/>
    <w:rsid w:val="0059237E"/>
    <w:rsid w:val="00593A41"/>
    <w:rsid w:val="005A21C0"/>
    <w:rsid w:val="005B0F43"/>
    <w:rsid w:val="005C6186"/>
    <w:rsid w:val="005D100F"/>
    <w:rsid w:val="006276F7"/>
    <w:rsid w:val="006538E1"/>
    <w:rsid w:val="00662CB4"/>
    <w:rsid w:val="0066547D"/>
    <w:rsid w:val="0067382F"/>
    <w:rsid w:val="006915F5"/>
    <w:rsid w:val="006A3659"/>
    <w:rsid w:val="006C120A"/>
    <w:rsid w:val="006C4C8A"/>
    <w:rsid w:val="006E7ACB"/>
    <w:rsid w:val="006F34BA"/>
    <w:rsid w:val="00724A36"/>
    <w:rsid w:val="00734A23"/>
    <w:rsid w:val="0074346F"/>
    <w:rsid w:val="00743F68"/>
    <w:rsid w:val="007450EC"/>
    <w:rsid w:val="00747777"/>
    <w:rsid w:val="007639B3"/>
    <w:rsid w:val="00766BAC"/>
    <w:rsid w:val="007711AD"/>
    <w:rsid w:val="00771AC4"/>
    <w:rsid w:val="007A3AF4"/>
    <w:rsid w:val="007A5432"/>
    <w:rsid w:val="007C1888"/>
    <w:rsid w:val="007D2182"/>
    <w:rsid w:val="007E4C65"/>
    <w:rsid w:val="00801271"/>
    <w:rsid w:val="00802563"/>
    <w:rsid w:val="008212FD"/>
    <w:rsid w:val="0086586D"/>
    <w:rsid w:val="0087091C"/>
    <w:rsid w:val="00882A77"/>
    <w:rsid w:val="00893EAE"/>
    <w:rsid w:val="00897470"/>
    <w:rsid w:val="008A037C"/>
    <w:rsid w:val="008A73C9"/>
    <w:rsid w:val="008B6CAB"/>
    <w:rsid w:val="008C29E8"/>
    <w:rsid w:val="008F7547"/>
    <w:rsid w:val="009048E8"/>
    <w:rsid w:val="009168C4"/>
    <w:rsid w:val="00930877"/>
    <w:rsid w:val="00961997"/>
    <w:rsid w:val="009622F2"/>
    <w:rsid w:val="00963B44"/>
    <w:rsid w:val="009750C3"/>
    <w:rsid w:val="00994AC6"/>
    <w:rsid w:val="00995EFC"/>
    <w:rsid w:val="009B5360"/>
    <w:rsid w:val="009C1AC8"/>
    <w:rsid w:val="009C7D8F"/>
    <w:rsid w:val="009D49EF"/>
    <w:rsid w:val="009D4B0A"/>
    <w:rsid w:val="00A265E0"/>
    <w:rsid w:val="00A26E80"/>
    <w:rsid w:val="00A32346"/>
    <w:rsid w:val="00A4489E"/>
    <w:rsid w:val="00A50F91"/>
    <w:rsid w:val="00AB13DA"/>
    <w:rsid w:val="00AB4742"/>
    <w:rsid w:val="00AC6EE3"/>
    <w:rsid w:val="00AD4ADB"/>
    <w:rsid w:val="00B13869"/>
    <w:rsid w:val="00B2206F"/>
    <w:rsid w:val="00B34B49"/>
    <w:rsid w:val="00B66CCA"/>
    <w:rsid w:val="00B73BFE"/>
    <w:rsid w:val="00B94D10"/>
    <w:rsid w:val="00BA6B8C"/>
    <w:rsid w:val="00BB33E4"/>
    <w:rsid w:val="00BB4448"/>
    <w:rsid w:val="00BD1A70"/>
    <w:rsid w:val="00BD2F30"/>
    <w:rsid w:val="00BE1D0E"/>
    <w:rsid w:val="00BE71F5"/>
    <w:rsid w:val="00BF6955"/>
    <w:rsid w:val="00C0667A"/>
    <w:rsid w:val="00C17531"/>
    <w:rsid w:val="00C274C7"/>
    <w:rsid w:val="00C42299"/>
    <w:rsid w:val="00C52E27"/>
    <w:rsid w:val="00C53E6A"/>
    <w:rsid w:val="00C71978"/>
    <w:rsid w:val="00C7729A"/>
    <w:rsid w:val="00C9782E"/>
    <w:rsid w:val="00CA336F"/>
    <w:rsid w:val="00CB192E"/>
    <w:rsid w:val="00CD52F1"/>
    <w:rsid w:val="00CE1A11"/>
    <w:rsid w:val="00D03FD8"/>
    <w:rsid w:val="00D10C04"/>
    <w:rsid w:val="00D17D7E"/>
    <w:rsid w:val="00D374D3"/>
    <w:rsid w:val="00D471AE"/>
    <w:rsid w:val="00D77F43"/>
    <w:rsid w:val="00D822BE"/>
    <w:rsid w:val="00D853EB"/>
    <w:rsid w:val="00DA45B1"/>
    <w:rsid w:val="00DC3E73"/>
    <w:rsid w:val="00DD0947"/>
    <w:rsid w:val="00DE5AB9"/>
    <w:rsid w:val="00DF396D"/>
    <w:rsid w:val="00E2470E"/>
    <w:rsid w:val="00E313AE"/>
    <w:rsid w:val="00E542F5"/>
    <w:rsid w:val="00E5624D"/>
    <w:rsid w:val="00E62AF1"/>
    <w:rsid w:val="00E67C7A"/>
    <w:rsid w:val="00E76D41"/>
    <w:rsid w:val="00E91B94"/>
    <w:rsid w:val="00E94A21"/>
    <w:rsid w:val="00EA0E47"/>
    <w:rsid w:val="00EC2816"/>
    <w:rsid w:val="00ED2EF7"/>
    <w:rsid w:val="00EE0E5B"/>
    <w:rsid w:val="00F15B09"/>
    <w:rsid w:val="00F279E1"/>
    <w:rsid w:val="00F3400A"/>
    <w:rsid w:val="00F50AF1"/>
    <w:rsid w:val="00F60995"/>
    <w:rsid w:val="00F94F38"/>
    <w:rsid w:val="00FC08D8"/>
    <w:rsid w:val="00FC25B0"/>
    <w:rsid w:val="00FC4090"/>
    <w:rsid w:val="00FE649C"/>
    <w:rsid w:val="00FF4DE9"/>
    <w:rsid w:val="0EE85911"/>
    <w:rsid w:val="442F0182"/>
    <w:rsid w:val="517C7E33"/>
    <w:rsid w:val="53851FB2"/>
    <w:rsid w:val="6AE604B5"/>
    <w:rsid w:val="71D76B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eastAsia="宋体" w:asciiTheme="minorHAnsi" w:hAnsiTheme="minorHAnsi" w:cstheme="minorBidi"/>
      <w:sz w:val="22"/>
      <w:szCs w:val="22"/>
      <w:lang w:val="en-GB" w:eastAsia="en-US" w:bidi="ar-SA"/>
    </w:rPr>
  </w:style>
  <w:style w:type="paragraph" w:styleId="2">
    <w:name w:val="heading 1"/>
    <w:basedOn w:val="1"/>
    <w:next w:val="1"/>
    <w:link w:val="20"/>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lang w:val="en-US"/>
    </w:rPr>
  </w:style>
  <w:style w:type="paragraph" w:styleId="3">
    <w:name w:val="heading 2"/>
    <w:basedOn w:val="1"/>
    <w:next w:val="1"/>
    <w:link w:val="21"/>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15">
    <w:name w:val="Default Paragraph Font"/>
    <w:semiHidden/>
    <w:unhideWhenUsed/>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5"/>
    <w:semiHidden/>
    <w:unhideWhenUsed/>
    <w:uiPriority w:val="99"/>
    <w:pPr>
      <w:spacing w:line="240" w:lineRule="auto"/>
    </w:pPr>
    <w:rPr>
      <w:sz w:val="20"/>
      <w:szCs w:val="20"/>
    </w:rPr>
  </w:style>
  <w:style w:type="paragraph" w:styleId="5">
    <w:name w:val="Balloon Text"/>
    <w:basedOn w:val="1"/>
    <w:link w:val="19"/>
    <w:semiHidden/>
    <w:unhideWhenUsed/>
    <w:qFormat/>
    <w:uiPriority w:val="99"/>
    <w:pPr>
      <w:spacing w:after="0" w:line="240" w:lineRule="auto"/>
    </w:pPr>
    <w:rPr>
      <w:rFonts w:ascii="Tahoma" w:hAnsi="Tahoma" w:cs="Tahoma"/>
      <w:sz w:val="16"/>
      <w:szCs w:val="16"/>
    </w:rPr>
  </w:style>
  <w:style w:type="paragraph" w:styleId="6">
    <w:name w:val="footer"/>
    <w:basedOn w:val="1"/>
    <w:link w:val="24"/>
    <w:unhideWhenUsed/>
    <w:uiPriority w:val="99"/>
    <w:pPr>
      <w:tabs>
        <w:tab w:val="center" w:pos="4153"/>
        <w:tab w:val="right" w:pos="8306"/>
      </w:tabs>
      <w:spacing w:after="0" w:line="240" w:lineRule="auto"/>
    </w:pPr>
  </w:style>
  <w:style w:type="paragraph" w:styleId="7">
    <w:name w:val="header"/>
    <w:basedOn w:val="1"/>
    <w:link w:val="23"/>
    <w:unhideWhenUsed/>
    <w:qFormat/>
    <w:uiPriority w:val="99"/>
    <w:pPr>
      <w:tabs>
        <w:tab w:val="center" w:pos="4153"/>
        <w:tab w:val="right" w:pos="8306"/>
      </w:tabs>
      <w:spacing w:after="0" w:line="240" w:lineRule="auto"/>
    </w:pPr>
  </w:style>
  <w:style w:type="paragraph" w:styleId="8">
    <w:name w:val="toc 1"/>
    <w:basedOn w:val="1"/>
    <w:next w:val="1"/>
    <w:unhideWhenUsed/>
    <w:uiPriority w:val="39"/>
    <w:pPr>
      <w:spacing w:after="100"/>
    </w:pPr>
  </w:style>
  <w:style w:type="paragraph" w:styleId="9">
    <w:name w:val="Subtitle"/>
    <w:basedOn w:val="1"/>
    <w:next w:val="1"/>
    <w:link w:val="27"/>
    <w:qFormat/>
    <w:uiPriority w:val="11"/>
    <w:pPr>
      <w:spacing w:after="160"/>
    </w:pPr>
    <w:rPr>
      <w:rFonts w:eastAsiaTheme="minorEastAsia"/>
      <w:color w:val="595959" w:themeColor="text1" w:themeTint="A6"/>
      <w:spacing w:val="15"/>
      <w14:textFill>
        <w14:solidFill>
          <w14:schemeClr w14:val="tx1">
            <w14:lumMod w14:val="65000"/>
            <w14:lumOff w14:val="35000"/>
          </w14:schemeClr>
        </w14:solidFill>
      </w14:textFill>
    </w:rPr>
  </w:style>
  <w:style w:type="paragraph" w:styleId="10">
    <w:name w:val="toc 2"/>
    <w:basedOn w:val="1"/>
    <w:next w:val="1"/>
    <w:unhideWhenUsed/>
    <w:uiPriority w:val="39"/>
    <w:pPr>
      <w:spacing w:after="100"/>
      <w:ind w:left="220"/>
    </w:pPr>
  </w:style>
  <w:style w:type="paragraph" w:styleId="11">
    <w:name w:val="Normal (Web)"/>
    <w:basedOn w:val="1"/>
    <w:uiPriority w:val="0"/>
    <w:pPr>
      <w:widowControl w:val="0"/>
      <w:spacing w:after="0" w:line="240" w:lineRule="auto"/>
      <w:jc w:val="both"/>
    </w:pPr>
    <w:rPr>
      <w:rFonts w:ascii="Calibri" w:hAnsi="Calibri" w:cs="Times New Roman"/>
      <w:kern w:val="2"/>
      <w:sz w:val="24"/>
      <w:szCs w:val="24"/>
      <w:lang w:val="en-US" w:eastAsia="zh-CN"/>
    </w:rPr>
  </w:style>
  <w:style w:type="paragraph" w:styleId="12">
    <w:name w:val="annotation subject"/>
    <w:basedOn w:val="4"/>
    <w:next w:val="4"/>
    <w:link w:val="26"/>
    <w:semiHidden/>
    <w:unhideWhenUsed/>
    <w:qFormat/>
    <w:uiPriority w:val="99"/>
    <w:rPr>
      <w:b/>
      <w:bCs/>
    </w:rPr>
  </w:style>
  <w:style w:type="table" w:styleId="14">
    <w:name w:val="Table Grid"/>
    <w:basedOn w:val="13"/>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unhideWhenUsed/>
    <w:qFormat/>
    <w:uiPriority w:val="99"/>
    <w:rPr>
      <w:color w:val="0000FF"/>
      <w:u w:val="single"/>
    </w:rPr>
  </w:style>
  <w:style w:type="character" w:styleId="17">
    <w:name w:val="annotation reference"/>
    <w:basedOn w:val="15"/>
    <w:semiHidden/>
    <w:unhideWhenUsed/>
    <w:qFormat/>
    <w:uiPriority w:val="99"/>
    <w:rPr>
      <w:sz w:val="16"/>
      <w:szCs w:val="16"/>
    </w:rPr>
  </w:style>
  <w:style w:type="paragraph" w:styleId="18">
    <w:name w:val="List Paragraph"/>
    <w:basedOn w:val="1"/>
    <w:qFormat/>
    <w:uiPriority w:val="34"/>
    <w:pPr>
      <w:ind w:left="720"/>
      <w:contextualSpacing/>
    </w:pPr>
  </w:style>
  <w:style w:type="character" w:customStyle="1" w:styleId="19">
    <w:name w:val="批注框文本 字符"/>
    <w:basedOn w:val="15"/>
    <w:link w:val="5"/>
    <w:semiHidden/>
    <w:uiPriority w:val="99"/>
    <w:rPr>
      <w:rFonts w:ascii="Tahoma" w:hAnsi="Tahoma" w:cs="Tahoma"/>
      <w:sz w:val="16"/>
      <w:szCs w:val="16"/>
      <w:lang w:val="en-GB"/>
    </w:rPr>
  </w:style>
  <w:style w:type="character" w:customStyle="1" w:styleId="20">
    <w:name w:val="标题 1 字符"/>
    <w:basedOn w:val="15"/>
    <w:link w:val="2"/>
    <w:uiPriority w:val="9"/>
    <w:rPr>
      <w:rFonts w:ascii="Times New Roman" w:hAnsi="Times New Roman" w:eastAsia="Times New Roman" w:cs="Times New Roman"/>
      <w:b/>
      <w:bCs/>
      <w:kern w:val="36"/>
      <w:sz w:val="48"/>
      <w:szCs w:val="48"/>
    </w:rPr>
  </w:style>
  <w:style w:type="character" w:customStyle="1" w:styleId="21">
    <w:name w:val="标题 2 字符"/>
    <w:basedOn w:val="15"/>
    <w:link w:val="3"/>
    <w:qFormat/>
    <w:uiPriority w:val="9"/>
    <w:rPr>
      <w:rFonts w:asciiTheme="majorHAnsi" w:hAnsiTheme="majorHAnsi" w:eastAsiaTheme="majorEastAsia" w:cstheme="majorBidi"/>
      <w:b/>
      <w:bCs/>
      <w:color w:val="4F81BD" w:themeColor="accent1"/>
      <w:sz w:val="26"/>
      <w:szCs w:val="26"/>
      <w:lang w:val="en-GB"/>
      <w14:textFill>
        <w14:solidFill>
          <w14:schemeClr w14:val="accent1"/>
        </w14:solidFill>
      </w14:textFill>
    </w:rPr>
  </w:style>
  <w:style w:type="paragraph" w:customStyle="1" w:styleId="22">
    <w:name w:val="TOC Heading"/>
    <w:basedOn w:val="2"/>
    <w:next w:val="1"/>
    <w:semiHidden/>
    <w:unhideWhenUsed/>
    <w:qFormat/>
    <w:uiPriority w:val="39"/>
    <w:pPr>
      <w:keepNext/>
      <w:keepLines/>
      <w:spacing w:before="480" w:beforeAutospacing="0" w:after="0" w:afterAutospacing="0" w:line="276" w:lineRule="auto"/>
      <w:outlineLvl w:val="9"/>
    </w:pPr>
    <w:rPr>
      <w:rFonts w:asciiTheme="majorHAnsi" w:hAnsiTheme="majorHAnsi" w:eastAsiaTheme="majorEastAsia" w:cstheme="majorBidi"/>
      <w:color w:val="376092" w:themeColor="accent1" w:themeShade="BF"/>
      <w:kern w:val="0"/>
      <w:sz w:val="28"/>
      <w:szCs w:val="28"/>
      <w:lang w:eastAsia="ja-JP"/>
    </w:rPr>
  </w:style>
  <w:style w:type="character" w:customStyle="1" w:styleId="23">
    <w:name w:val="页眉 字符"/>
    <w:basedOn w:val="15"/>
    <w:link w:val="7"/>
    <w:uiPriority w:val="99"/>
    <w:rPr>
      <w:lang w:val="en-GB"/>
    </w:rPr>
  </w:style>
  <w:style w:type="character" w:customStyle="1" w:styleId="24">
    <w:name w:val="页脚 字符"/>
    <w:basedOn w:val="15"/>
    <w:link w:val="6"/>
    <w:qFormat/>
    <w:uiPriority w:val="99"/>
    <w:rPr>
      <w:lang w:val="en-GB"/>
    </w:rPr>
  </w:style>
  <w:style w:type="character" w:customStyle="1" w:styleId="25">
    <w:name w:val="批注文字 字符"/>
    <w:basedOn w:val="15"/>
    <w:link w:val="4"/>
    <w:semiHidden/>
    <w:qFormat/>
    <w:uiPriority w:val="99"/>
    <w:rPr>
      <w:sz w:val="20"/>
      <w:szCs w:val="20"/>
      <w:lang w:val="en-GB"/>
    </w:rPr>
  </w:style>
  <w:style w:type="character" w:customStyle="1" w:styleId="26">
    <w:name w:val="批注主题 字符"/>
    <w:basedOn w:val="25"/>
    <w:link w:val="12"/>
    <w:semiHidden/>
    <w:qFormat/>
    <w:uiPriority w:val="99"/>
    <w:rPr>
      <w:b/>
      <w:bCs/>
      <w:sz w:val="20"/>
      <w:szCs w:val="20"/>
      <w:lang w:val="en-GB"/>
    </w:rPr>
  </w:style>
  <w:style w:type="character" w:customStyle="1" w:styleId="27">
    <w:name w:val="副标题 字符"/>
    <w:basedOn w:val="15"/>
    <w:link w:val="9"/>
    <w:qFormat/>
    <w:uiPriority w:val="11"/>
    <w:rPr>
      <w:rFonts w:eastAsiaTheme="minorEastAsia"/>
      <w:color w:val="595959" w:themeColor="text1" w:themeTint="A6"/>
      <w:spacing w:val="15"/>
      <w:lang w:val="en-GB"/>
      <w14:textFill>
        <w14:solidFill>
          <w14:schemeClr w14:val="tx1">
            <w14:lumMod w14:val="65000"/>
            <w14:lumOff w14:val="35000"/>
          </w14:schemeClr>
        </w14:solidFill>
      </w14:textFill>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DEB4EB4-3A75-4749-B198-FC769C99C7B1}">
  <ds:schemaRefs/>
</ds:datastoreItem>
</file>

<file path=docProps/app.xml><?xml version="1.0" encoding="utf-8"?>
<Properties xmlns="http://schemas.openxmlformats.org/officeDocument/2006/extended-properties" xmlns:vt="http://schemas.openxmlformats.org/officeDocument/2006/docPropsVTypes">
  <Template>Normal.dotm</Template>
  <Pages>23</Pages>
  <Words>5585</Words>
  <Characters>31840</Characters>
  <Lines>265</Lines>
  <Paragraphs>74</Paragraphs>
  <TotalTime>2</TotalTime>
  <ScaleCrop>false</ScaleCrop>
  <LinksUpToDate>false</LinksUpToDate>
  <CharactersWithSpaces>37351</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2020-05-10T09:10:00Z</dcterms:created>
  <dc:creator>我头像上的人没我帅</dc:creator>
  <cp:lastModifiedBy>我头像上的人没我帅</cp:lastModifiedBy>
  <dcterms:modified xsi:type="dcterms:W3CDTF">2020-05-13T11:55:49Z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