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DA40D6">
      <w:pPr>
        <w:spacing w:line="360" w:lineRule="auto"/>
        <w:jc w:val="center"/>
        <w:rPr>
          <w:rFonts w:ascii="Times New Roman" w:hAnsi="Times New Roman" w:eastAsia="Times New Roman" w:cs="Times New Roman"/>
          <w:sz w:val="36"/>
          <w:szCs w:val="36"/>
        </w:rPr>
      </w:pPr>
    </w:p>
    <w:p w14:paraId="1DF617BA">
      <w:pPr>
        <w:spacing w:line="360" w:lineRule="auto"/>
        <w:jc w:val="center"/>
        <w:rPr>
          <w:rFonts w:ascii="Times New Roman" w:hAnsi="Times New Roman" w:eastAsia="Times New Roman" w:cs="Times New Roman"/>
          <w:sz w:val="36"/>
          <w:szCs w:val="36"/>
        </w:rPr>
      </w:pPr>
    </w:p>
    <w:p w14:paraId="00000001">
      <w:pPr>
        <w:jc w:val="center"/>
        <w:rPr>
          <w:sz w:val="28"/>
          <w:szCs w:val="28"/>
        </w:rPr>
      </w:pPr>
    </w:p>
    <w:p w14:paraId="704B209A">
      <w:pPr>
        <w:spacing w:line="360" w:lineRule="auto"/>
        <w:jc w:val="center"/>
        <w:rPr>
          <w:rFonts w:hint="default" w:ascii="Times New Roman" w:hAnsi="Times New Roman" w:cs="Times New Roman"/>
          <w:b/>
          <w:sz w:val="28"/>
          <w:szCs w:val="28"/>
          <w:lang w:val="en-GB"/>
        </w:rPr>
      </w:pPr>
      <w:r>
        <w:rPr>
          <w:rFonts w:hint="default" w:ascii="Times New Roman" w:hAnsi="Times New Roman" w:cs="Times New Roman"/>
          <w:b/>
          <w:sz w:val="28"/>
          <w:szCs w:val="28"/>
        </w:rPr>
        <w:t>Student name:</w:t>
      </w:r>
      <w:r>
        <w:rPr>
          <w:rFonts w:hint="default" w:ascii="Times New Roman" w:hAnsi="Times New Roman" w:cs="Times New Roman"/>
          <w:b/>
          <w:sz w:val="28"/>
          <w:szCs w:val="28"/>
          <w:lang w:val="en-GB"/>
        </w:rPr>
        <w:t xml:space="preserve"> </w:t>
      </w:r>
      <w:r>
        <w:rPr>
          <w:rFonts w:hint="default" w:ascii="Times New Roman" w:hAnsi="Times New Roman"/>
          <w:b/>
          <w:sz w:val="28"/>
          <w:szCs w:val="28"/>
          <w:lang w:val="en-GB"/>
        </w:rPr>
        <w:t>Florin Ionut Nitu</w:t>
      </w:r>
    </w:p>
    <w:p w14:paraId="0D2EB14E">
      <w:pPr>
        <w:spacing w:line="360" w:lineRule="auto"/>
        <w:jc w:val="center"/>
        <w:rPr>
          <w:rFonts w:hint="default" w:ascii="Times New Roman" w:hAnsi="Times New Roman" w:cs="Times New Roman"/>
          <w:b/>
          <w:sz w:val="28"/>
          <w:szCs w:val="28"/>
          <w:lang w:val="en-GB"/>
        </w:rPr>
      </w:pPr>
      <w:r>
        <w:rPr>
          <w:rFonts w:hint="default" w:ascii="Times New Roman" w:hAnsi="Times New Roman" w:cs="Times New Roman"/>
          <w:b/>
          <w:sz w:val="28"/>
          <w:szCs w:val="28"/>
        </w:rPr>
        <w:t>Student number:</w:t>
      </w:r>
      <w:r>
        <w:rPr>
          <w:rFonts w:hint="default" w:ascii="Times New Roman" w:hAnsi="Times New Roman"/>
          <w:b/>
          <w:sz w:val="28"/>
          <w:szCs w:val="28"/>
        </w:rPr>
        <w:t>2240772</w:t>
      </w:r>
    </w:p>
    <w:p w14:paraId="27EE13D0">
      <w:pPr>
        <w:spacing w:line="360" w:lineRule="auto"/>
        <w:jc w:val="center"/>
        <w:rPr>
          <w:rFonts w:hint="default" w:ascii="Times New Roman" w:hAnsi="Times New Roman" w:cs="Times New Roman"/>
          <w:b/>
          <w:sz w:val="28"/>
          <w:szCs w:val="28"/>
        </w:rPr>
      </w:pPr>
      <w:r>
        <w:rPr>
          <w:rFonts w:hint="default" w:ascii="Times New Roman" w:hAnsi="Times New Roman" w:cs="Times New Roman"/>
          <w:b/>
          <w:sz w:val="28"/>
          <w:szCs w:val="28"/>
        </w:rPr>
        <w:t xml:space="preserve">Module: </w:t>
      </w:r>
      <w:r>
        <w:rPr>
          <w:rFonts w:hint="default" w:ascii="Times New Roman" w:hAnsi="Times New Roman" w:cs="Times New Roman"/>
          <w:sz w:val="28"/>
          <w:szCs w:val="28"/>
        </w:rPr>
        <w:t>Management and Organisational Behaviour</w:t>
      </w:r>
    </w:p>
    <w:p w14:paraId="726934BC">
      <w:pPr>
        <w:spacing w:line="360" w:lineRule="auto"/>
        <w:jc w:val="center"/>
        <w:rPr>
          <w:rFonts w:hint="default" w:ascii="Times New Roman" w:hAnsi="Times New Roman" w:cs="Times New Roman"/>
          <w:b/>
          <w:sz w:val="28"/>
          <w:szCs w:val="28"/>
        </w:rPr>
      </w:pPr>
      <w:r>
        <w:rPr>
          <w:rFonts w:hint="default" w:ascii="Times New Roman" w:hAnsi="Times New Roman" w:cs="Times New Roman"/>
          <w:b/>
          <w:sz w:val="28"/>
          <w:szCs w:val="28"/>
        </w:rPr>
        <w:t xml:space="preserve">Module code: </w:t>
      </w:r>
      <w:r>
        <w:rPr>
          <w:rFonts w:hint="default" w:ascii="Times New Roman" w:hAnsi="Times New Roman" w:cs="Times New Roman"/>
          <w:sz w:val="28"/>
          <w:szCs w:val="28"/>
        </w:rPr>
        <w:t>BMIH5004</w:t>
      </w:r>
    </w:p>
    <w:p w14:paraId="4918F287">
      <w:pPr>
        <w:spacing w:line="360" w:lineRule="auto"/>
        <w:jc w:val="center"/>
        <w:rPr>
          <w:rFonts w:hint="default" w:ascii="Times New Roman" w:hAnsi="Times New Roman" w:cs="Times New Roman"/>
          <w:b/>
          <w:sz w:val="28"/>
          <w:szCs w:val="28"/>
          <w:lang w:val="en-GB"/>
        </w:rPr>
      </w:pPr>
      <w:r>
        <w:rPr>
          <w:rFonts w:hint="default" w:ascii="Times New Roman" w:hAnsi="Times New Roman" w:cs="Times New Roman"/>
          <w:b/>
          <w:sz w:val="28"/>
          <w:szCs w:val="28"/>
        </w:rPr>
        <w:t xml:space="preserve">Lecturer: </w:t>
      </w:r>
      <w:r>
        <w:rPr>
          <w:rFonts w:hint="default" w:ascii="Times New Roman" w:hAnsi="Times New Roman" w:cs="Times New Roman"/>
          <w:b/>
          <w:sz w:val="28"/>
          <w:szCs w:val="28"/>
          <w:lang w:val="en-GB"/>
        </w:rPr>
        <w:t>Daniel Payne</w:t>
      </w:r>
      <w:bookmarkStart w:id="5" w:name="_GoBack"/>
      <w:bookmarkEnd w:id="5"/>
    </w:p>
    <w:p w14:paraId="5D1D03FA">
      <w:pPr>
        <w:spacing w:line="360" w:lineRule="auto"/>
        <w:jc w:val="center"/>
        <w:rPr>
          <w:rFonts w:hint="default" w:ascii="Times New Roman" w:hAnsi="Times New Roman" w:cs="Times New Roman"/>
          <w:b/>
          <w:sz w:val="28"/>
          <w:szCs w:val="28"/>
          <w:lang w:val="en-GB"/>
        </w:rPr>
      </w:pPr>
      <w:r>
        <w:rPr>
          <w:rFonts w:hint="default" w:ascii="Times New Roman" w:hAnsi="Times New Roman" w:cs="Times New Roman"/>
          <w:b/>
          <w:sz w:val="28"/>
          <w:szCs w:val="28"/>
        </w:rPr>
        <w:t>Assessment Component</w:t>
      </w:r>
      <w:r>
        <w:rPr>
          <w:rFonts w:hint="default" w:ascii="Times New Roman" w:hAnsi="Times New Roman" w:cs="Times New Roman"/>
          <w:b/>
          <w:sz w:val="28"/>
          <w:szCs w:val="28"/>
          <w:lang w:val="en-GB"/>
        </w:rPr>
        <w:t xml:space="preserve"> 1 </w:t>
      </w:r>
    </w:p>
    <w:p w14:paraId="2C0D5653">
      <w:pPr>
        <w:spacing w:line="360" w:lineRule="auto"/>
        <w:jc w:val="center"/>
        <w:rPr>
          <w:rFonts w:hint="default" w:ascii="Times New Roman" w:hAnsi="Times New Roman" w:eastAsia="Times New Roman" w:cs="Times New Roman"/>
          <w:b/>
          <w:sz w:val="28"/>
          <w:szCs w:val="28"/>
          <w:lang w:val="en-GB"/>
        </w:rPr>
      </w:pPr>
      <w:r>
        <w:rPr>
          <w:rFonts w:hint="default" w:ascii="Times New Roman" w:hAnsi="Times New Roman" w:cs="Times New Roman"/>
          <w:b/>
          <w:sz w:val="28"/>
          <w:szCs w:val="28"/>
        </w:rPr>
        <w:t xml:space="preserve">Assignment Title: </w:t>
      </w:r>
      <w:r>
        <w:rPr>
          <w:rFonts w:hint="default" w:ascii="Times New Roman" w:hAnsi="Times New Roman" w:eastAsia="Times New Roman" w:cs="Times New Roman"/>
          <w:b/>
          <w:sz w:val="28"/>
          <w:szCs w:val="28"/>
        </w:rPr>
        <w:t xml:space="preserve">Title: </w:t>
      </w:r>
      <w:r>
        <w:rPr>
          <w:rFonts w:hint="default" w:ascii="Times New Roman" w:hAnsi="Times New Roman" w:eastAsia="Times New Roman" w:cs="Times New Roman"/>
          <w:b/>
          <w:sz w:val="28"/>
          <w:szCs w:val="28"/>
          <w:lang w:val="en-GB"/>
        </w:rPr>
        <w:t xml:space="preserve">Essay </w:t>
      </w:r>
    </w:p>
    <w:p w14:paraId="7CFFD143">
      <w:pPr>
        <w:spacing w:line="360" w:lineRule="auto"/>
        <w:jc w:val="center"/>
        <w:rPr>
          <w:rFonts w:hint="default" w:ascii="Times New Roman" w:hAnsi="Times New Roman" w:eastAsia="Times New Roman" w:cs="Times New Roman"/>
          <w:b/>
          <w:sz w:val="28"/>
          <w:szCs w:val="28"/>
        </w:rPr>
      </w:pPr>
    </w:p>
    <w:p w14:paraId="705A184C">
      <w:pPr>
        <w:spacing w:line="360" w:lineRule="auto"/>
        <w:jc w:val="center"/>
        <w:rPr>
          <w:rFonts w:hint="default"/>
          <w:b/>
          <w:sz w:val="28"/>
          <w:szCs w:val="28"/>
          <w:lang w:val="en-GB"/>
        </w:rPr>
      </w:pPr>
    </w:p>
    <w:p w14:paraId="5571F90B">
      <w:pPr>
        <w:spacing w:line="360" w:lineRule="auto"/>
        <w:jc w:val="center"/>
        <w:rPr>
          <w:rFonts w:ascii="Times New Roman" w:hAnsi="Times New Roman" w:eastAsia="Times New Roman" w:cs="Times New Roman"/>
          <w:sz w:val="36"/>
          <w:szCs w:val="36"/>
        </w:rPr>
      </w:pPr>
    </w:p>
    <w:p w14:paraId="2450571F">
      <w:pPr>
        <w:spacing w:line="360" w:lineRule="auto"/>
        <w:jc w:val="center"/>
        <w:rPr>
          <w:rFonts w:ascii="Times New Roman" w:hAnsi="Times New Roman" w:eastAsia="Times New Roman" w:cs="Times New Roman"/>
          <w:b/>
          <w:sz w:val="36"/>
          <w:szCs w:val="36"/>
        </w:rPr>
      </w:pPr>
    </w:p>
    <w:p w14:paraId="628B6E98">
      <w:pPr>
        <w:rPr>
          <w:rFonts w:ascii="Times New Roman" w:hAnsi="Times New Roman" w:eastAsia="Times New Roman" w:cs="Times New Roman"/>
          <w:b/>
          <w:sz w:val="24"/>
          <w:szCs w:val="24"/>
        </w:rPr>
      </w:pPr>
      <w:r>
        <w:br w:type="page"/>
      </w:r>
    </w:p>
    <w:p w14:paraId="1A1EBAA7">
      <w:pPr>
        <w:keepNext/>
        <w:keepLines/>
        <w:pBdr>
          <w:top w:val="none" w:color="auto" w:sz="0" w:space="0"/>
          <w:left w:val="none" w:color="auto" w:sz="0" w:space="0"/>
          <w:bottom w:val="none" w:color="auto" w:sz="0" w:space="0"/>
          <w:right w:val="none" w:color="auto" w:sz="0" w:space="0"/>
          <w:between w:val="none" w:color="auto" w:sz="0" w:space="0"/>
        </w:pBdr>
        <w:spacing w:before="240" w:line="259" w:lineRule="auto"/>
        <w:jc w:val="center"/>
        <w:rPr>
          <w:rFonts w:ascii="Times New Roman" w:hAnsi="Times New Roman" w:eastAsia="Times New Roman" w:cs="Times New Roman"/>
          <w:b/>
          <w:sz w:val="26"/>
          <w:szCs w:val="26"/>
        </w:rPr>
      </w:pPr>
      <w:r>
        <w:rPr>
          <w:rFonts w:ascii="Times New Roman" w:hAnsi="Times New Roman" w:eastAsia="Times New Roman" w:cs="Times New Roman"/>
          <w:b/>
          <w:sz w:val="26"/>
          <w:szCs w:val="26"/>
        </w:rPr>
        <w:t>Table of Contents</w:t>
      </w:r>
    </w:p>
    <w:sdt>
      <w:sdtPr>
        <w:id w:val="510732537"/>
        <w:docPartObj>
          <w:docPartGallery w:val="Table of Contents"/>
          <w:docPartUnique/>
        </w:docPartObj>
      </w:sdtPr>
      <w:sdtContent>
        <w:p w14:paraId="7B23F21E">
          <w:pPr>
            <w:widowControl w:val="0"/>
            <w:tabs>
              <w:tab w:val="right" w:leader="dot" w:pos="12000"/>
            </w:tabs>
            <w:spacing w:before="60" w:line="240" w:lineRule="auto"/>
            <w:ind w:left="360"/>
            <w:rPr>
              <w:rFonts w:ascii="Arial" w:hAnsi="Arial" w:eastAsia="Arial" w:cs="Arial"/>
              <w:sz w:val="22"/>
              <w:szCs w:val="22"/>
              <w:lang w:val="en-IN" w:eastAsia="en-IN" w:bidi="ar-SA"/>
            </w:rPr>
          </w:pPr>
          <w:r>
            <w:fldChar w:fldCharType="begin"/>
          </w:r>
          <w:r>
            <w:instrText xml:space="preserve"> TOC \h \u \z \t "Heading 1,1,Heading 2,2,Heading 3,3,"</w:instrText>
          </w:r>
          <w:r>
            <w:fldChar w:fldCharType="separate"/>
          </w:r>
        </w:p>
        <w:p w14:paraId="54A3A8EC">
          <w:pPr>
            <w:pStyle w:val="16"/>
            <w:tabs>
              <w:tab w:val="right" w:leader="dot" w:pos="9360"/>
            </w:tabs>
          </w:pPr>
          <w:r>
            <w:fldChar w:fldCharType="begin"/>
          </w:r>
          <w:r>
            <w:instrText xml:space="preserve"> HYPERLINK \l _Toc13197 </w:instrText>
          </w:r>
          <w:r>
            <w:fldChar w:fldCharType="separate"/>
          </w:r>
          <w:r>
            <w:t>Essay</w:t>
          </w:r>
          <w:r>
            <w:tab/>
          </w:r>
          <w:r>
            <w:fldChar w:fldCharType="begin"/>
          </w:r>
          <w:r>
            <w:instrText xml:space="preserve"> PAGEREF _Toc13197 \h </w:instrText>
          </w:r>
          <w:r>
            <w:fldChar w:fldCharType="separate"/>
          </w:r>
          <w:r>
            <w:t>3</w:t>
          </w:r>
          <w:r>
            <w:fldChar w:fldCharType="end"/>
          </w:r>
          <w:r>
            <w:fldChar w:fldCharType="end"/>
          </w:r>
        </w:p>
        <w:p w14:paraId="30FC9CAD">
          <w:pPr>
            <w:pStyle w:val="17"/>
            <w:tabs>
              <w:tab w:val="right" w:leader="dot" w:pos="9360"/>
            </w:tabs>
          </w:pPr>
          <w:r>
            <w:fldChar w:fldCharType="begin"/>
          </w:r>
          <w:r>
            <w:instrText xml:space="preserve"> HYPERLINK \l _Toc9655 </w:instrText>
          </w:r>
          <w:r>
            <w:fldChar w:fldCharType="separate"/>
          </w:r>
          <w:r>
            <w:t>Introduction</w:t>
          </w:r>
          <w:r>
            <w:tab/>
          </w:r>
          <w:r>
            <w:fldChar w:fldCharType="begin"/>
          </w:r>
          <w:r>
            <w:instrText xml:space="preserve"> PAGEREF _Toc9655 \h </w:instrText>
          </w:r>
          <w:r>
            <w:fldChar w:fldCharType="separate"/>
          </w:r>
          <w:r>
            <w:t>3</w:t>
          </w:r>
          <w:r>
            <w:fldChar w:fldCharType="end"/>
          </w:r>
          <w:r>
            <w:fldChar w:fldCharType="end"/>
          </w:r>
        </w:p>
        <w:p w14:paraId="4CCCFF70">
          <w:pPr>
            <w:pStyle w:val="17"/>
            <w:tabs>
              <w:tab w:val="right" w:leader="dot" w:pos="9360"/>
            </w:tabs>
          </w:pPr>
          <w:r>
            <w:fldChar w:fldCharType="begin"/>
          </w:r>
          <w:r>
            <w:instrText xml:space="preserve"> HYPERLINK \l _Toc18346 </w:instrText>
          </w:r>
          <w:r>
            <w:fldChar w:fldCharType="separate"/>
          </w:r>
          <w:r>
            <w:t>Discussion</w:t>
          </w:r>
          <w:r>
            <w:tab/>
          </w:r>
          <w:r>
            <w:fldChar w:fldCharType="begin"/>
          </w:r>
          <w:r>
            <w:instrText xml:space="preserve"> PAGEREF _Toc18346 \h </w:instrText>
          </w:r>
          <w:r>
            <w:fldChar w:fldCharType="separate"/>
          </w:r>
          <w:r>
            <w:t>3</w:t>
          </w:r>
          <w:r>
            <w:fldChar w:fldCharType="end"/>
          </w:r>
          <w:r>
            <w:fldChar w:fldCharType="end"/>
          </w:r>
        </w:p>
        <w:p w14:paraId="4434A719">
          <w:pPr>
            <w:pStyle w:val="17"/>
            <w:tabs>
              <w:tab w:val="right" w:leader="dot" w:pos="9360"/>
            </w:tabs>
          </w:pPr>
          <w:r>
            <w:fldChar w:fldCharType="begin"/>
          </w:r>
          <w:r>
            <w:instrText xml:space="preserve"> HYPERLINK \l _Toc30513 </w:instrText>
          </w:r>
          <w:r>
            <w:fldChar w:fldCharType="separate"/>
          </w:r>
          <w:r>
            <w:t>Conclusion</w:t>
          </w:r>
          <w:r>
            <w:tab/>
          </w:r>
          <w:r>
            <w:fldChar w:fldCharType="begin"/>
          </w:r>
          <w:r>
            <w:instrText xml:space="preserve"> PAGEREF _Toc30513 \h </w:instrText>
          </w:r>
          <w:r>
            <w:fldChar w:fldCharType="separate"/>
          </w:r>
          <w:r>
            <w:t>8</w:t>
          </w:r>
          <w:r>
            <w:fldChar w:fldCharType="end"/>
          </w:r>
          <w:r>
            <w:fldChar w:fldCharType="end"/>
          </w:r>
        </w:p>
        <w:p w14:paraId="4ED03818">
          <w:pPr>
            <w:pStyle w:val="17"/>
            <w:tabs>
              <w:tab w:val="right" w:leader="dot" w:pos="9360"/>
            </w:tabs>
          </w:pPr>
          <w:r>
            <w:fldChar w:fldCharType="begin"/>
          </w:r>
          <w:r>
            <w:instrText xml:space="preserve"> HYPERLINK \l _Toc27755 </w:instrText>
          </w:r>
          <w:r>
            <w:fldChar w:fldCharType="separate"/>
          </w:r>
          <w:r>
            <w:rPr>
              <w:rFonts w:eastAsia="Times New Roman" w:cs="Times New Roman"/>
              <w:szCs w:val="24"/>
            </w:rPr>
            <w:t xml:space="preserve">  </w:t>
          </w:r>
          <w:r>
            <w:t>Reference list</w:t>
          </w:r>
          <w:r>
            <w:tab/>
          </w:r>
          <w:r>
            <w:fldChar w:fldCharType="begin"/>
          </w:r>
          <w:r>
            <w:instrText xml:space="preserve"> PAGEREF _Toc27755 \h </w:instrText>
          </w:r>
          <w:r>
            <w:fldChar w:fldCharType="separate"/>
          </w:r>
          <w:r>
            <w:t>9</w:t>
          </w:r>
          <w:r>
            <w:fldChar w:fldCharType="end"/>
          </w:r>
          <w:r>
            <w:fldChar w:fldCharType="end"/>
          </w:r>
        </w:p>
        <w:p w14:paraId="5D10FF52">
          <w:pPr>
            <w:pStyle w:val="16"/>
            <w:widowControl w:val="0"/>
            <w:tabs>
              <w:tab w:val="right" w:leader="dot" w:pos="9350"/>
            </w:tabs>
            <w:spacing w:before="60" w:line="360" w:lineRule="auto"/>
            <w:ind w:left="360"/>
            <w:jc w:val="both"/>
            <w:rPr>
              <w:color w:val="000000"/>
            </w:rPr>
          </w:pPr>
          <w:r>
            <w:fldChar w:fldCharType="end"/>
          </w:r>
        </w:p>
      </w:sdtContent>
    </w:sdt>
    <w:p w14:paraId="701FDEFA">
      <w:pPr>
        <w:spacing w:line="360" w:lineRule="auto"/>
        <w:jc w:val="both"/>
        <w:rPr>
          <w:rFonts w:ascii="Times New Roman" w:hAnsi="Times New Roman" w:eastAsia="Times New Roman" w:cs="Times New Roman"/>
          <w:b/>
          <w:sz w:val="24"/>
          <w:szCs w:val="24"/>
        </w:rPr>
      </w:pPr>
    </w:p>
    <w:p w14:paraId="11BA1622">
      <w:pPr>
        <w:rPr>
          <w:rFonts w:ascii="Times New Roman" w:hAnsi="Times New Roman" w:eastAsia="Times New Roman" w:cs="Times New Roman"/>
          <w:b/>
          <w:sz w:val="24"/>
          <w:szCs w:val="24"/>
        </w:rPr>
      </w:pPr>
      <w:r>
        <w:br w:type="page"/>
      </w:r>
    </w:p>
    <w:p w14:paraId="2AEFCCD3">
      <w:pPr>
        <w:spacing w:line="360" w:lineRule="auto"/>
        <w:jc w:val="both"/>
        <w:rPr>
          <w:rFonts w:ascii="Times New Roman" w:hAnsi="Times New Roman" w:eastAsia="Times New Roman" w:cs="Times New Roman"/>
          <w:b/>
          <w:sz w:val="24"/>
          <w:szCs w:val="24"/>
        </w:rPr>
      </w:pPr>
    </w:p>
    <w:p w14:paraId="4C919684">
      <w:pPr>
        <w:pStyle w:val="2"/>
      </w:pPr>
      <w:bookmarkStart w:id="0" w:name="_Toc13197"/>
      <w:r>
        <w:t>Essay</w:t>
      </w:r>
      <w:bookmarkEnd w:id="0"/>
    </w:p>
    <w:p w14:paraId="084813F5">
      <w:pPr>
        <w:pStyle w:val="3"/>
      </w:pPr>
      <w:bookmarkStart w:id="1" w:name="_Toc9655"/>
      <w:r>
        <w:t>Introduction</w:t>
      </w:r>
      <w:bookmarkEnd w:id="1"/>
      <w:r>
        <w:t xml:space="preserve"> </w:t>
      </w:r>
    </w:p>
    <w:p w14:paraId="503254DA">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Leadership patterns play a very pivotal role in the process of shaping team effectiveness as well as employee morale, specifically inside the hospitality industry, in which teamwork and engagement directly have an effect on service excellence and visitor pleasure. Various leadership theories, which include Trait, Behavioural, and Situational theories, provide frameworks for expertise and effective leadership. Leadership patterns which include autocratic, democratic, and laissez-faire each have awesome effects on employee overall performance and pleasure. Evidence shows that democratic and transformational management decorate team collaboration, innovation, and employee retention, at same time as autocratic techniques risk higher turnover and disengagement. Balancing participative practices with situational adaptability is important for fostering morale and keeping operational efficiency.</w:t>
      </w:r>
    </w:p>
    <w:p w14:paraId="35EE0789">
      <w:pPr>
        <w:pStyle w:val="3"/>
      </w:pPr>
      <w:bookmarkStart w:id="2" w:name="_Toc18346"/>
      <w:r>
        <w:t>Discussion</w:t>
      </w:r>
      <w:bookmarkEnd w:id="2"/>
      <w:r>
        <w:t xml:space="preserve"> </w:t>
      </w:r>
    </w:p>
    <w:p w14:paraId="07A3F288">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 Provide a top-level view of various management theories and patterns, which include those mentioned in lectures</w:t>
      </w:r>
    </w:p>
    <w:p w14:paraId="379C0421">
      <w:pPr>
        <w:spacing w:line="360" w:lineRule="auto"/>
        <w:jc w:val="both"/>
        <w:rPr>
          <w:rFonts w:ascii="Times New Roman" w:hAnsi="Times New Roman" w:eastAsia="Times New Roman" w:cs="Times New Roman"/>
          <w:b/>
          <w:sz w:val="24"/>
          <w:szCs w:val="24"/>
        </w:rPr>
      </w:pPr>
      <w:r>
        <w:rPr>
          <w:rFonts w:ascii="Times New Roman" w:hAnsi="Times New Roman" w:eastAsia="Times New Roman" w:cs="Times New Roman"/>
          <w:b/>
          <w:sz w:val="24"/>
          <w:szCs w:val="24"/>
        </w:rPr>
        <w:t>and ones you find via your very own research.</w:t>
      </w:r>
    </w:p>
    <w:p w14:paraId="77572CB8">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Leadership styles are important determinants of team effectiveness and worker morale within the hospitality enterprise, in which cohesive teamwork and excessive employee engagement at once have an effect on career quality. A look with the aid of Northouse (2021) indicates that transformational management styles bring about 34% higher worker engagement and a 21% growth in productivity as compared to transactional or autocratic leadership. Additionally, studies carried out by </w:t>
      </w:r>
      <w:r>
        <w:rPr>
          <w:rFonts w:ascii="Times New Roman" w:hAnsi="Times New Roman" w:eastAsia="Times New Roman" w:cs="Times New Roman"/>
          <w:color w:val="222222"/>
          <w:sz w:val="24"/>
          <w:szCs w:val="24"/>
          <w:highlight w:val="white"/>
        </w:rPr>
        <w:t>Calcinotic</w:t>
      </w:r>
      <w:r>
        <w:rPr>
          <w:rFonts w:ascii="Times New Roman" w:hAnsi="Times New Roman" w:eastAsia="Times New Roman" w:cs="Times New Roman"/>
          <w:sz w:val="24"/>
          <w:szCs w:val="24"/>
        </w:rPr>
        <w:t xml:space="preserve"> (2022) within the resort sector discovered that democratic leadership complements group overall performance, with hotels demonstrating 15% higher visitor pride scores in businesses led through participative leaders. Meanwhile, autocratic leadership correlates with elevated employee turnover, with rates as high as 60% in autocratically managed groups, as located in a 2020 file by the International Hospitality Association. The information demonstrates that management patterns fostering inclusivity and collaboration, which include democratic or transformational styles, yield higher outcomes in worker morale and crew output (</w:t>
      </w:r>
      <w:r>
        <w:rPr>
          <w:rFonts w:ascii="Times New Roman" w:hAnsi="Times New Roman" w:eastAsia="Times New Roman" w:cs="Times New Roman"/>
          <w:color w:val="222222"/>
          <w:sz w:val="24"/>
          <w:szCs w:val="24"/>
          <w:highlight w:val="white"/>
        </w:rPr>
        <w:t xml:space="preserve">Calcinotic, </w:t>
      </w:r>
      <w:r>
        <w:rPr>
          <w:rFonts w:ascii="Times New Roman" w:hAnsi="Times New Roman" w:eastAsia="Times New Roman" w:cs="Times New Roman"/>
          <w:i/>
          <w:color w:val="222222"/>
          <w:sz w:val="24"/>
          <w:szCs w:val="24"/>
          <w:highlight w:val="white"/>
        </w:rPr>
        <w:t>et al.,</w:t>
      </w:r>
      <w:r>
        <w:rPr>
          <w:rFonts w:ascii="Times New Roman" w:hAnsi="Times New Roman" w:eastAsia="Times New Roman" w:cs="Times New Roman"/>
          <w:color w:val="222222"/>
          <w:sz w:val="24"/>
          <w:szCs w:val="24"/>
          <w:highlight w:val="white"/>
        </w:rPr>
        <w:t>2022</w:t>
      </w:r>
      <w:r>
        <w:rPr>
          <w:rFonts w:ascii="Times New Roman" w:hAnsi="Times New Roman" w:eastAsia="Times New Roman" w:cs="Times New Roman"/>
          <w:i/>
          <w:color w:val="222222"/>
          <w:sz w:val="24"/>
          <w:szCs w:val="24"/>
          <w:highlight w:val="white"/>
        </w:rPr>
        <w:t>).</w:t>
      </w:r>
      <w:r>
        <w:rPr>
          <w:rFonts w:ascii="Times New Roman" w:hAnsi="Times New Roman" w:eastAsia="Times New Roman" w:cs="Times New Roman"/>
          <w:sz w:val="24"/>
          <w:szCs w:val="24"/>
        </w:rPr>
        <w:t xml:space="preserve"> Transformational management, specifically, aligns employees with a shared imagination and prescient, which is important in the hospitality region, where client satisfaction depends heavily on constant team overall performance. Similarly, democratic management improves group morale by empowering personnel and inspiring revolutionary answers. Conversely, autocratic management's high turnover charge shows that a loss of worker input and overly centralized selection-making can lead to dissatisfaction, disengagement, and decreased crew brotherly love, ultimately harming organizational overall performance. The advantageous impact of participative leadership patterns on team effectiveness is specifically large within the hospitality industry. Research suggests that motels emphasizing democratic management practices, inclusive of Marriott International, revel in a higher body of worker retention and better purchaser pleasure due to inclusive decision-making and worker empowerment (</w:t>
      </w:r>
      <w:r>
        <w:rPr>
          <w:rFonts w:ascii="Times New Roman" w:hAnsi="Times New Roman" w:eastAsia="Times New Roman" w:cs="Times New Roman"/>
          <w:color w:val="222222"/>
          <w:sz w:val="24"/>
          <w:szCs w:val="24"/>
          <w:highlight w:val="white"/>
        </w:rPr>
        <w:t>Ben,</w:t>
      </w:r>
      <w:r>
        <w:rPr>
          <w:rFonts w:ascii="Times New Roman" w:hAnsi="Times New Roman" w:eastAsia="Times New Roman" w:cs="Times New Roman"/>
          <w:sz w:val="24"/>
          <w:szCs w:val="24"/>
        </w:rPr>
        <w:t xml:space="preserve"> 2022). In such settings, a team of workers are much more likely to take possession of their tasks, contributing to an inspired team of workers and collaborative crew surroundings. Furthermore, transformational leaders foster an adaptive, ahead-questioning way of life, making sure that groups can quickly respond to the dynamic nature of the hospitality region (. Critics argue that participative management, while effective in theory, might not be sensible in excessive-strain hospitality environments where fast decision-making is required. Overall, the adoption of democratic and transformational leadership patterns considerably complements group effectiveness and worker morale in the hospitality industry. By prioritizing collaboration, motivation, and inclusivity, leaders can construct resilient groups able to hand over advanced careers, maintain worker pride, and assemble the ever-evolving demands of the industry.</w:t>
      </w:r>
    </w:p>
    <w:p w14:paraId="665B7AAA">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Democratic leadership is the most popular leadership style to enhance employee morale. According to the research work of Devi and Sublimator (2021), it is identified the democratic leadership style is coined as the most effective leadership approach which is characterised by good collaboration, participation of employees in the decision-making stages, open communication and supportive guidance for employees in the workplace. Based on the perspective of Hilton </w:t>
      </w:r>
      <w:r>
        <w:rPr>
          <w:rFonts w:ascii="Times New Roman" w:hAnsi="Times New Roman" w:eastAsia="Times New Roman" w:cs="Times New Roman"/>
          <w:i/>
          <w:sz w:val="24"/>
          <w:szCs w:val="24"/>
        </w:rPr>
        <w:t xml:space="preserve">et al. </w:t>
      </w:r>
      <w:r>
        <w:rPr>
          <w:rFonts w:ascii="Times New Roman" w:hAnsi="Times New Roman" w:eastAsia="Times New Roman" w:cs="Times New Roman"/>
          <w:sz w:val="24"/>
          <w:szCs w:val="24"/>
        </w:rPr>
        <w:t xml:space="preserve">(2021), it has been identified that democratic leadership encourages collaboration in teamwork and fosters skill development by providing the fittest support to every employee to obtain career success accordingly. From this finding, it can be analysed that democratic leadership has a unique approach to enhancing employee morale by providing them with the best guidance and liberty to make operational decisions for workplace development. Through this support, employees feel free and engaged in the workplace and inspired to provide their best effort to obtain success. On the other hand, based on the perspective of Nedelko and Pitocin (2021), it can be argued that due to over-liberty in decision-making, the overall operational process might be slower and the possibility of complexity in leadership approaches might arise. However, in the end, it can be said that compared to other organisational leadership like autocratic or Laissez-faire, the democratic leadership style is more employee-engaging and beneficial in the context of crew effectiveness and worker morale. Thus, it can be deduced that this leadership approach has multiple positive aspects in developing employee engagement practices by enhancing team-based communication, skills growth opportunities, supportive guidance and also better decision-making with the direct support of employees. </w:t>
      </w:r>
    </w:p>
    <w:p w14:paraId="5E7DB448">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Democratic leadership creates challenges in workplace management and employee morale. According to the perspective of Hilton </w:t>
      </w:r>
      <w:r>
        <w:rPr>
          <w:rFonts w:ascii="Times New Roman" w:hAnsi="Times New Roman" w:eastAsia="Times New Roman" w:cs="Times New Roman"/>
          <w:i/>
          <w:sz w:val="24"/>
          <w:szCs w:val="24"/>
        </w:rPr>
        <w:t xml:space="preserve">et al. </w:t>
      </w:r>
      <w:r>
        <w:rPr>
          <w:rFonts w:ascii="Times New Roman" w:hAnsi="Times New Roman" w:eastAsia="Times New Roman" w:cs="Times New Roman"/>
          <w:sz w:val="24"/>
          <w:szCs w:val="24"/>
        </w:rPr>
        <w:t xml:space="preserve">(2021), it has been identified that due to the excessive involvement of all employees in the decision-making process, the chances of internal conflicts might increase. Based on the real-life example of team management in Hilton and Premier Inn, it has been seen that democratic leadership creates challenges in these companies to manage large teams because, in large teams, the number of participants is higher. As a result, the probability of internal conflict might increase in team activities. Moreover, it has been also found that democratic leadership approaches are usually time-consuming and have a lack of clear authority in the workplace. If team members are inefficient in group decision-making, organisations face difficulties in the process of proper workplace management. As a result, the process of decision-making might become lengthy and problematic which decreases the engaging workplace environment inside the firm. Based on these findings, it can analyse that apart from several benefits, democratic leadership in the tourism and hospitality sector has some specific challenges also. However, based on the perspective of Aytekin and Temika (2022), it can be argued that the lengthy decision-making process might be beneficial for companies in some specific contexts to motivate employees because, within these long periods, different internal difficulties might be solved. Although there is have an argument which says that longer decision-making is supportive for companies to overcome ongoing problems, it has been found that in most cases, companies face challenges with these long-term decision-making processes to maintain employee motivation and crew effectiveness in the hospitality sector. Thus, it can be said that apart from several benefits, the democratic leadership style also possesses some in the workplace to manage crew and maintain workers' morale. </w:t>
      </w:r>
    </w:p>
    <w:p w14:paraId="177A16E9">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Democratic leadership in hotel management services emphasises collaboration, innovation, better decision-making and inclusiveness to foster rapid growth. According to the research work of Devi and Sublimator (2021), it has been seen that just like other industries, democratic leadership also helps in hotel management to foster effective collaboration and decision-making. Based on the example of the Hilton Hotel, it can be said that the management of this hotel implements democratic leadership approaches inside the workplace. As a result, the company is able to engage employees in productive teamwork through the ‘Team Member Travel Program’ initiative (Zeng, 2021). On the other hand, it can be also mentioned that Marriott International also encourages employees in the decision-making process while managing hotel activities (Marriott, 2024). As a result, employees can give their opinions on critical organisational decisions and their productive collaboration helps the firm to gain competitive advantages in the context of consumer satisfaction.  As per these findings, it can be analysed and mentioned that through advanced collaboration and decision-making involvements, companies in the hotel sector can increase employee engagement and satisfaction to obtain business success. However, based on the perspective of Nedelko and Pitocin (2021), it can be argued that due to the involvement of many participants, the possibility of workplace context is very high with the democratic leadership approach. After having this argument, it is also identified that in most cases, employees feel interested and satisfied with autocracy in decision-making and they can easily enhance their abilities to meet customers’ preferences. Thus, it can be deduced that with an enhanced collaboration rate and productive decision-making opportunities, employees try to provide their best in democratic leadership environments. </w:t>
      </w:r>
    </w:p>
    <w:p w14:paraId="41CD9993">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Democratic leadership helps to increase innovation and team empowerment rates inside the workplace of hotel management. As opined by Kayak (2023), along with decision-making and collaboration, democratic leadership also fosters innovation rates as well as team empowerment in the hotel management context. For instance, the evidence of Accor Hotel can be mentioned here. The authority of this hotel provides enough liberty to enhance employees’ working capacity by focusing on innovation and team empowerment (Group. Accor, 2024). With enough liberty to innovate new working styles to serve visitors, employees feel interested in increasing their offerings which directly increase the competitiveness of a particular hotel. Additionally, it is also important to consider that due to a lack of proper monitoring and worker guidance programs, employees might face difficulties in innovating customer-engaging approaches which creates challenges in the competitive market. However, it can be also mentioned that with innovative approaches and effective team empowerment approaches, democratic leadership increases employee morale and their interest in enhancing productivity rates to compete with other companies and obtain competitive advantages accordingly. Thus, it can be deduced that the software of democratic leadership inside the hotel management spheres increases opportunities to enhance workplace capacities to become worthy and advanced.</w:t>
      </w:r>
    </w:p>
    <w:p w14:paraId="4FB5E95C">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Democratic leadership, which is often referred to as proper participative leadership, is very much well characterized by the involvement of that of the team members in decision-making processes. Team people feel empowered to percentage their mind and make a contribution to problem-fixing, principal to creative and well-rounded answers. In the hospitality vicinity, it was found that companies led by democratic leaders accomplished 15% better tourist pleasure rankings due to the collaborative nature of their body of workers (Foels </w:t>
      </w:r>
      <w:r>
        <w:rPr>
          <w:rFonts w:ascii="Times New Roman" w:hAnsi="Times New Roman" w:eastAsia="Times New Roman" w:cs="Times New Roman"/>
          <w:i/>
          <w:iCs/>
          <w:sz w:val="24"/>
          <w:szCs w:val="24"/>
        </w:rPr>
        <w:t xml:space="preserve">et al., </w:t>
      </w:r>
      <w:r>
        <w:rPr>
          <w:rFonts w:ascii="Times New Roman" w:hAnsi="Times New Roman" w:eastAsia="Times New Roman" w:cs="Times New Roman"/>
          <w:sz w:val="24"/>
          <w:szCs w:val="24"/>
        </w:rPr>
        <w:t xml:space="preserve">2021). The experience of inclusion fosters possession, ensuring that personnel are committed to group desires and consequences’ democratic leaders in hospitality settings, alongside aspect lodges or eating places, may hold ordinary group meetings to solicit input on improving tourist evaluations. This participative approach regularly results in cutting-edge provider practices, enhancing every organization's effectiveness and patron pride. Democratic leadership actively involves employees in that of the discussions and selection-making, encouraging collaboration and modern thinking. Team members are empowered to proportion their thoughts and make contributions to problem-solving, mainly to innovative and properly-rounded solutions. The hospitality quarter revealed that corporations led by democratic leaders finished 15% higher visitor pride scores because of the collaborative nature in their group of workers (Bhatti, </w:t>
      </w:r>
      <w:r>
        <w:rPr>
          <w:rFonts w:ascii="Times New Roman" w:hAnsi="Times New Roman" w:eastAsia="Times New Roman" w:cs="Times New Roman"/>
          <w:i/>
          <w:iCs/>
          <w:sz w:val="24"/>
          <w:szCs w:val="24"/>
        </w:rPr>
        <w:t xml:space="preserve">et al., </w:t>
      </w:r>
      <w:r>
        <w:rPr>
          <w:rFonts w:ascii="Times New Roman" w:hAnsi="Times New Roman" w:eastAsia="Times New Roman" w:cs="Times New Roman"/>
          <w:sz w:val="24"/>
          <w:szCs w:val="24"/>
        </w:rPr>
        <w:t>2021). The feel of inclusion fosters ownership, ensuring that employees are dedicated to team goals and results.</w:t>
      </w:r>
    </w:p>
    <w:p w14:paraId="10C66004">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 exercise, democratic leaders in hospitality settings, such as lodges or eating places, may additionally preserve ordinary group meetings to solicit enter on enhancing guest stories. This participative technique often leads to innovative carrier practices, improving each group effectiveness and client pride.</w:t>
      </w:r>
    </w:p>
    <w:p w14:paraId="255E3B04">
      <w:pPr>
        <w:spacing w:line="360" w:lineRule="auto"/>
        <w:jc w:val="both"/>
        <w:rPr>
          <w:rFonts w:ascii="Times New Roman" w:hAnsi="Times New Roman" w:eastAsia="Times New Roman" w:cs="Times New Roman"/>
          <w:sz w:val="24"/>
          <w:szCs w:val="24"/>
        </w:rPr>
      </w:pPr>
    </w:p>
    <w:p w14:paraId="4BEBBE43">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When leaders adopt a democratic style, they mainly demonstrate trust in their main team’s abilities, which, in turn, builds mutual appreciation and loyalty. Employees who experience value are more likely to take initiative and perform their responsibilities with self-assurance. Open lines of communication are proper hallmarks of that of the prophet of democratic leadership.  Team individuals are endorsed to voice their opinions and offer feedback, that can enhance strategies and deal with troubles in advance than they increase (Fusible </w:t>
      </w:r>
      <w:r>
        <w:rPr>
          <w:rFonts w:ascii="Times New Roman" w:hAnsi="Times New Roman" w:eastAsia="Times New Roman" w:cs="Times New Roman"/>
          <w:i/>
          <w:iCs/>
          <w:sz w:val="24"/>
          <w:szCs w:val="24"/>
        </w:rPr>
        <w:t xml:space="preserve">et al., </w:t>
      </w:r>
      <w:r>
        <w:rPr>
          <w:rFonts w:ascii="Times New Roman" w:hAnsi="Times New Roman" w:eastAsia="Times New Roman" w:cs="Times New Roman"/>
          <w:sz w:val="24"/>
          <w:szCs w:val="24"/>
        </w:rPr>
        <w:t xml:space="preserve">2021). Improved communication additionally reduces misunderstandings and ensures alignment with organizational goals. This is mainly treasured in the hospitality employer; wherein effective teamwork is vital to keeping operational overall performance and turning in first-rate company. Democratic leadership increases employee engagement by the process of allowing team members to play an actual active role in that of the decision-making. When personnel experience that their evaluations count, they'll be extra advocating to make a contribution to the industrial employer corporation’s success. According to Northouse (2021), democratic control patterns bring about a 34% growth in employee engagement in comparison to autocratic procedures. This progressed engagement is essential inside the hospitality organisation, in which excessive morale straight away influences purchaser stories. In a democratic environment, leaders regularly provide possibilities for personnel to investigate and broaden. For instance, they may offer mentorship packages or inspire institution participants to address hard obligations (Luitel </w:t>
      </w:r>
      <w:r>
        <w:rPr>
          <w:rFonts w:ascii="Times New Roman" w:hAnsi="Times New Roman" w:eastAsia="Times New Roman" w:cs="Times New Roman"/>
          <w:i/>
          <w:iCs/>
          <w:sz w:val="24"/>
          <w:szCs w:val="24"/>
        </w:rPr>
        <w:t xml:space="preserve">et al., </w:t>
      </w:r>
      <w:r>
        <w:rPr>
          <w:rFonts w:ascii="Times New Roman" w:hAnsi="Times New Roman" w:eastAsia="Times New Roman" w:cs="Times New Roman"/>
          <w:sz w:val="24"/>
          <w:szCs w:val="24"/>
        </w:rPr>
        <w:t xml:space="preserve">2021). This awareness on improvement now not simplest boosts morale however additionally creates an experience of purpose and achievement among employees, leading to better procedure satisfaction. By concerning employees in desire-making, democratic leaders distribute obligation greater frivolously inside the route of the group. </w:t>
      </w:r>
    </w:p>
    <w:p w14:paraId="76DA6D1A">
      <w:pPr>
        <w:pStyle w:val="3"/>
      </w:pPr>
      <w:bookmarkStart w:id="3" w:name="_Toc30513"/>
      <w:r>
        <w:t>Conclusion</w:t>
      </w:r>
      <w:bookmarkEnd w:id="3"/>
      <w:r>
        <w:t xml:space="preserve"> </w:t>
      </w:r>
    </w:p>
    <w:p w14:paraId="4D04A170">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Democratic management in resort control services promotes collaboration, innovation, and inclusiveness, ensuing in greater selection-making and employee delight. By related to crew individuals inside the selection-making process, agencies such as Hilton, Marriott International, and Accor Hotels efficaciously empower employees, boosting morale and fostering innovation. This leadership fashion encourages open verbal exchange, mutual accept as true with, and crew engagement, permitting personnel to make contributions actively to reaching organizational dreams. Studies display that democratic leadership in the hospitality sector can enhance purchaser pride via 15% and boom worker engagement via 34% as compared to autocratic techniques, highlighting its cost in improving both operational performance and visitor experiences.</w:t>
      </w:r>
    </w:p>
    <w:p w14:paraId="34987176">
      <w:pPr>
        <w:spacing w:line="360" w:lineRule="auto"/>
        <w:jc w:val="both"/>
        <w:rPr>
          <w:rFonts w:ascii="Times New Roman" w:hAnsi="Times New Roman" w:eastAsia="Times New Roman" w:cs="Times New Roman"/>
          <w:sz w:val="24"/>
          <w:szCs w:val="24"/>
        </w:rPr>
      </w:pPr>
    </w:p>
    <w:p w14:paraId="1F1CD1E5">
      <w:pPr>
        <w:pStyle w:val="3"/>
      </w:pPr>
      <w:bookmarkStart w:id="4" w:name="_Toc27755"/>
      <w:r>
        <w:rPr>
          <w:rFonts w:eastAsia="Times New Roman" w:cs="Times New Roman"/>
          <w:szCs w:val="24"/>
        </w:rPr>
        <w:br w:type="textWrapping"/>
      </w:r>
      <w:r>
        <w:rPr>
          <w:rFonts w:eastAsia="Times New Roman" w:cs="Times New Roman"/>
          <w:szCs w:val="24"/>
        </w:rPr>
        <w:br w:type="textWrapping"/>
      </w:r>
      <w:r>
        <w:t>Reference list</w:t>
      </w:r>
      <w:bookmarkEnd w:id="4"/>
      <w:r>
        <w:t xml:space="preserve"> </w:t>
      </w:r>
    </w:p>
    <w:p w14:paraId="2FACFF75">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International Hospitality Association. (2020). "Annual Report on Employee Retention and Leadership Styles." International Journal of Hospitality Management,</w:t>
      </w:r>
    </w:p>
    <w:p w14:paraId="1AD0E700">
      <w:pPr>
        <w:spacing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Ben Serine, S., Bouderbala, A. and Naraoiid, H., 2021. Leadership style effect on virtual team efficiency: trust, operational cohesion and media richness roles. </w:t>
      </w:r>
      <w:r>
        <w:rPr>
          <w:rFonts w:ascii="Times New Roman" w:hAnsi="Times New Roman" w:eastAsia="Times New Roman" w:cs="Times New Roman"/>
          <w:i/>
          <w:color w:val="222222"/>
          <w:sz w:val="24"/>
          <w:szCs w:val="24"/>
          <w:highlight w:val="white"/>
        </w:rPr>
        <w:t>Journal of Management Development</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40</w:t>
      </w:r>
      <w:r>
        <w:rPr>
          <w:rFonts w:ascii="Times New Roman" w:hAnsi="Times New Roman" w:eastAsia="Times New Roman" w:cs="Times New Roman"/>
          <w:color w:val="222222"/>
          <w:sz w:val="24"/>
          <w:szCs w:val="24"/>
          <w:highlight w:val="white"/>
        </w:rPr>
        <w:t>(5), pp.365-388.</w:t>
      </w:r>
    </w:p>
    <w:p w14:paraId="5B3AA704">
      <w:pPr>
        <w:spacing w:line="360" w:lineRule="auto"/>
        <w:jc w:val="both"/>
        <w:rPr>
          <w:rFonts w:ascii="Times New Roman" w:hAnsi="Times New Roman" w:eastAsia="Times New Roman" w:cs="Times New Roman"/>
          <w:color w:val="222222"/>
          <w:sz w:val="24"/>
          <w:szCs w:val="24"/>
          <w:highlight w:val="white"/>
        </w:rPr>
      </w:pPr>
      <w:r>
        <w:rPr>
          <w:rFonts w:ascii="Times New Roman" w:hAnsi="Times New Roman" w:eastAsia="Times New Roman" w:cs="Times New Roman"/>
          <w:color w:val="222222"/>
          <w:sz w:val="24"/>
          <w:szCs w:val="24"/>
          <w:highlight w:val="white"/>
        </w:rPr>
        <w:t xml:space="preserve">Calcinotic, B., Drew, M., Dijkstra, P., Waddington, G. and Serpil, B.G., 2022. Factors influencing team performance: what can support teams in high-performance sport to learn from other industries? A systematic scoping review. </w:t>
      </w:r>
      <w:r>
        <w:rPr>
          <w:rFonts w:ascii="Times New Roman" w:hAnsi="Times New Roman" w:eastAsia="Times New Roman" w:cs="Times New Roman"/>
          <w:i/>
          <w:color w:val="222222"/>
          <w:sz w:val="24"/>
          <w:szCs w:val="24"/>
          <w:highlight w:val="white"/>
        </w:rPr>
        <w:t>Sports Medicine-Open</w:t>
      </w:r>
      <w:r>
        <w:rPr>
          <w:rFonts w:ascii="Times New Roman" w:hAnsi="Times New Roman" w:eastAsia="Times New Roman" w:cs="Times New Roman"/>
          <w:color w:val="222222"/>
          <w:sz w:val="24"/>
          <w:szCs w:val="24"/>
          <w:highlight w:val="white"/>
        </w:rPr>
        <w:t xml:space="preserve">, </w:t>
      </w:r>
      <w:r>
        <w:rPr>
          <w:rFonts w:ascii="Times New Roman" w:hAnsi="Times New Roman" w:eastAsia="Times New Roman" w:cs="Times New Roman"/>
          <w:i/>
          <w:color w:val="222222"/>
          <w:sz w:val="24"/>
          <w:szCs w:val="24"/>
          <w:highlight w:val="white"/>
        </w:rPr>
        <w:t>8</w:t>
      </w:r>
      <w:r>
        <w:rPr>
          <w:rFonts w:ascii="Times New Roman" w:hAnsi="Times New Roman" w:eastAsia="Times New Roman" w:cs="Times New Roman"/>
          <w:color w:val="222222"/>
          <w:sz w:val="24"/>
          <w:szCs w:val="24"/>
          <w:highlight w:val="white"/>
        </w:rPr>
        <w:t>(1), p.25.</w:t>
      </w:r>
    </w:p>
    <w:p w14:paraId="7426313F">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Devi, A.D. and Sublimator, S., 2021. Implementation of democratic leadership style and transformational head of madrasah in improving the quality. </w:t>
      </w:r>
      <w:r>
        <w:rPr>
          <w:rFonts w:ascii="Times New Roman" w:hAnsi="Times New Roman" w:eastAsia="Times New Roman" w:cs="Times New Roman"/>
          <w:i/>
          <w:sz w:val="24"/>
          <w:szCs w:val="24"/>
        </w:rPr>
        <w:t>Nakhoul Haq: Journal Management Pendidikan Islam</w:t>
      </w:r>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6</w:t>
      </w:r>
      <w:r>
        <w:rPr>
          <w:rFonts w:ascii="Times New Roman" w:hAnsi="Times New Roman" w:eastAsia="Times New Roman" w:cs="Times New Roman"/>
          <w:sz w:val="24"/>
          <w:szCs w:val="24"/>
        </w:rPr>
        <w:t>(1), pp.14-26.</w:t>
      </w:r>
    </w:p>
    <w:p w14:paraId="783C3432">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Hilton, S.K., Ark orful, H. and Martins, A., 2021. Democratic leadership and organizational performance: the moderating effect of contingent reward. </w:t>
      </w:r>
      <w:r>
        <w:rPr>
          <w:rFonts w:ascii="Times New Roman" w:hAnsi="Times New Roman" w:eastAsia="Times New Roman" w:cs="Times New Roman"/>
          <w:i/>
          <w:sz w:val="24"/>
          <w:szCs w:val="24"/>
        </w:rPr>
        <w:t>Management Research Review</w:t>
      </w:r>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44</w:t>
      </w:r>
      <w:r>
        <w:rPr>
          <w:rFonts w:ascii="Times New Roman" w:hAnsi="Times New Roman" w:eastAsia="Times New Roman" w:cs="Times New Roman"/>
          <w:sz w:val="24"/>
          <w:szCs w:val="24"/>
        </w:rPr>
        <w:t>(7), pp.1042-1058.</w:t>
      </w:r>
    </w:p>
    <w:p w14:paraId="38AB5B2D">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Nedelko, Z. and Pitocin, V., 2021. Sustainability of organizations: The contribution of personal values to democratic leadership behaviour focused on the sustainability of organizations. </w:t>
      </w:r>
      <w:r>
        <w:rPr>
          <w:rFonts w:ascii="Times New Roman" w:hAnsi="Times New Roman" w:eastAsia="Times New Roman" w:cs="Times New Roman"/>
          <w:i/>
          <w:sz w:val="24"/>
          <w:szCs w:val="24"/>
        </w:rPr>
        <w:t>Sustainability</w:t>
      </w:r>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13</w:t>
      </w:r>
      <w:r>
        <w:rPr>
          <w:rFonts w:ascii="Times New Roman" w:hAnsi="Times New Roman" w:eastAsia="Times New Roman" w:cs="Times New Roman"/>
          <w:sz w:val="24"/>
          <w:szCs w:val="24"/>
        </w:rPr>
        <w:t>(8), p.4207.</w:t>
      </w:r>
    </w:p>
    <w:p w14:paraId="20D58E50">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Kayak, S., 2023. Examination of the Relationship Between School Principals' Democratic Leadership Behaviours and Diversity Management Skills. </w:t>
      </w:r>
      <w:r>
        <w:rPr>
          <w:rFonts w:ascii="Times New Roman" w:hAnsi="Times New Roman" w:eastAsia="Times New Roman" w:cs="Times New Roman"/>
          <w:i/>
          <w:sz w:val="24"/>
          <w:szCs w:val="24"/>
        </w:rPr>
        <w:t>Journal of Education and Recreation Patterns</w:t>
      </w:r>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4</w:t>
      </w:r>
      <w:r>
        <w:rPr>
          <w:rFonts w:ascii="Times New Roman" w:hAnsi="Times New Roman" w:eastAsia="Times New Roman" w:cs="Times New Roman"/>
          <w:sz w:val="24"/>
          <w:szCs w:val="24"/>
        </w:rPr>
        <w:t>(2), pp.303-316.</w:t>
      </w:r>
    </w:p>
    <w:p w14:paraId="3BC1590C">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Aytekin, E. and Temika, R., 2022. The Effect Of Democratic Leadership On Organizational Dissent And Organizational Creativity: A Study On Hotel Businesses. </w:t>
      </w:r>
      <w:r>
        <w:rPr>
          <w:rFonts w:ascii="Times New Roman" w:hAnsi="Times New Roman" w:eastAsia="Times New Roman" w:cs="Times New Roman"/>
          <w:i/>
          <w:sz w:val="24"/>
          <w:szCs w:val="24"/>
        </w:rPr>
        <w:t>Journal of Gastronomy, hospitality &amp; Travel</w:t>
      </w:r>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5</w:t>
      </w:r>
      <w:r>
        <w:rPr>
          <w:rFonts w:ascii="Times New Roman" w:hAnsi="Times New Roman" w:eastAsia="Times New Roman" w:cs="Times New Roman"/>
          <w:sz w:val="24"/>
          <w:szCs w:val="24"/>
        </w:rPr>
        <w:t>(3), pp.1105-1122.</w:t>
      </w:r>
    </w:p>
    <w:p w14:paraId="0381EDDD">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Zeng, L., 2021. Analysis of Hilton Worldwide Hotel Group’s Transnational Operation Strategy. </w:t>
      </w:r>
      <w:r>
        <w:rPr>
          <w:rFonts w:ascii="Times New Roman" w:hAnsi="Times New Roman" w:eastAsia="Times New Roman" w:cs="Times New Roman"/>
          <w:i/>
          <w:sz w:val="24"/>
          <w:szCs w:val="24"/>
        </w:rPr>
        <w:t>Academic Journal of Business &amp; Management</w:t>
      </w:r>
      <w:r>
        <w:rPr>
          <w:rFonts w:ascii="Times New Roman" w:hAnsi="Times New Roman" w:eastAsia="Times New Roman" w:cs="Times New Roman"/>
          <w:sz w:val="24"/>
          <w:szCs w:val="24"/>
        </w:rPr>
        <w:t xml:space="preserve">, </w:t>
      </w:r>
      <w:r>
        <w:rPr>
          <w:rFonts w:ascii="Times New Roman" w:hAnsi="Times New Roman" w:eastAsia="Times New Roman" w:cs="Times New Roman"/>
          <w:i/>
          <w:sz w:val="24"/>
          <w:szCs w:val="24"/>
        </w:rPr>
        <w:t>3</w:t>
      </w:r>
      <w:r>
        <w:rPr>
          <w:rFonts w:ascii="Times New Roman" w:hAnsi="Times New Roman" w:eastAsia="Times New Roman" w:cs="Times New Roman"/>
          <w:sz w:val="24"/>
          <w:szCs w:val="24"/>
        </w:rPr>
        <w:t>(11), pp.20-27.</w:t>
      </w:r>
    </w:p>
    <w:p w14:paraId="2A8EFC39">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Marriott, 2024, ‘Diversity and Inclusion in Leadership’, available at: </w:t>
      </w:r>
      <w:r>
        <w:fldChar w:fldCharType="begin"/>
      </w:r>
      <w:r>
        <w:instrText xml:space="preserve"> HYPERLINK "https://www.marriott.com/diversity/diversity-and-inclusion.mi" \h </w:instrText>
      </w:r>
      <w:r>
        <w:fldChar w:fldCharType="separate"/>
      </w:r>
      <w:r>
        <w:rPr>
          <w:rFonts w:ascii="Times New Roman" w:hAnsi="Times New Roman" w:eastAsia="Times New Roman" w:cs="Times New Roman"/>
          <w:color w:val="1155CC"/>
          <w:sz w:val="24"/>
          <w:szCs w:val="24"/>
          <w:u w:val="single"/>
        </w:rPr>
        <w:t>https://www.marriott.com/diversity/diversity-and-inclusion.mi</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accessed on: 27-05-2025</w:t>
      </w:r>
    </w:p>
    <w:p w14:paraId="5D2B0499">
      <w:pPr>
        <w:spacing w:line="360" w:lineRule="auto"/>
        <w:jc w:val="both"/>
        <w:rPr>
          <w:rFonts w:ascii="Times New Roman" w:hAnsi="Times New Roman" w:eastAsia="Times New Roman" w:cs="Times New Roman"/>
          <w:sz w:val="24"/>
          <w:szCs w:val="24"/>
        </w:rPr>
      </w:pPr>
      <w:r>
        <w:rPr>
          <w:rFonts w:ascii="Times New Roman" w:hAnsi="Times New Roman" w:eastAsia="Times New Roman" w:cs="Times New Roman"/>
          <w:sz w:val="24"/>
          <w:szCs w:val="24"/>
        </w:rPr>
        <w:t xml:space="preserve">Group.accor, 2024, ‘Exclusive Management’, available at: </w:t>
      </w:r>
      <w:r>
        <w:fldChar w:fldCharType="begin"/>
      </w:r>
      <w:r>
        <w:instrText xml:space="preserve"> HYPERLINK "https://group.accor.com/en/group/our-governance/executive-management" \h </w:instrText>
      </w:r>
      <w:r>
        <w:fldChar w:fldCharType="separate"/>
      </w:r>
      <w:r>
        <w:rPr>
          <w:rFonts w:ascii="Times New Roman" w:hAnsi="Times New Roman" w:eastAsia="Times New Roman" w:cs="Times New Roman"/>
          <w:color w:val="1155CC"/>
          <w:sz w:val="24"/>
          <w:szCs w:val="24"/>
          <w:u w:val="single"/>
        </w:rPr>
        <w:t>https://group.accor.com/en/group/our-governance/executive-management</w:t>
      </w:r>
      <w:r>
        <w:rPr>
          <w:rFonts w:ascii="Times New Roman" w:hAnsi="Times New Roman" w:eastAsia="Times New Roman" w:cs="Times New Roman"/>
          <w:color w:val="1155CC"/>
          <w:sz w:val="24"/>
          <w:szCs w:val="24"/>
          <w:u w:val="single"/>
        </w:rPr>
        <w:fldChar w:fldCharType="end"/>
      </w:r>
      <w:r>
        <w:rPr>
          <w:rFonts w:ascii="Times New Roman" w:hAnsi="Times New Roman" w:eastAsia="Times New Roman" w:cs="Times New Roman"/>
          <w:sz w:val="24"/>
          <w:szCs w:val="24"/>
        </w:rPr>
        <w:t xml:space="preserve"> accessed on: 27-05-2025</w:t>
      </w:r>
    </w:p>
    <w:sectPr>
      <w:footerReference r:id="rId5" w:type="default"/>
      <w:pgSz w:w="12240" w:h="15840"/>
      <w:pgMar w:top="1440" w:right="1440" w:bottom="1440" w:left="1440" w:header="720" w:footer="720" w:gutter="0"/>
      <w:pgBorders w:offsetFrom="page">
        <w:top w:val="single" w:color="auto" w:sz="4" w:space="24"/>
        <w:left w:val="single" w:color="auto" w:sz="4" w:space="24"/>
        <w:bottom w:val="single" w:color="auto" w:sz="4" w:space="24"/>
        <w:right w:val="single" w:color="auto" w:sz="4" w:space="24"/>
      </w:pgBorders>
      <w:pgNumType w:start="1"/>
      <w:cols w:space="720" w:num="1"/>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rial">
    <w:panose1 w:val="020B0604020202020204"/>
    <w:charset w:val="86"/>
    <w:family w:val="swiss"/>
    <w:pitch w:val="default"/>
    <w:sig w:usb0="E0002EFF" w:usb1="C000785B" w:usb2="00000009" w:usb3="00000000" w:csb0="400001FF" w:csb1="FFFF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63405379"/>
      <w:docPartObj>
        <w:docPartGallery w:val="autotext"/>
      </w:docPartObj>
    </w:sdtPr>
    <w:sdtContent>
      <w:p w14:paraId="44AD9DC8">
        <w:pPr>
          <w:pStyle w:val="11"/>
          <w:jc w:val="right"/>
        </w:pPr>
        <w:r>
          <w:fldChar w:fldCharType="begin"/>
        </w:r>
        <w:r>
          <w:instrText xml:space="preserve"> PAGE   \* MERGEFORMAT </w:instrText>
        </w:r>
        <w:r>
          <w:fldChar w:fldCharType="separate"/>
        </w:r>
        <w:r>
          <w:t>2</w:t>
        </w:r>
        <w:r>
          <w:fldChar w:fldCharType="end"/>
        </w:r>
      </w:p>
    </w:sdtContent>
  </w:sdt>
  <w:p w14:paraId="7C16B249">
    <w:pPr>
      <w:pBdr>
        <w:top w:val="none" w:color="auto" w:sz="0" w:space="0"/>
        <w:left w:val="none" w:color="auto" w:sz="0" w:space="0"/>
        <w:bottom w:val="none" w:color="auto" w:sz="0" w:space="0"/>
        <w:right w:val="none" w:color="auto" w:sz="0" w:space="0"/>
        <w:between w:val="none" w:color="auto" w:sz="0" w:space="0"/>
      </w:pBdr>
      <w:tabs>
        <w:tab w:val="center" w:pos="4513"/>
        <w:tab w:val="right" w:pos="9026"/>
      </w:tabs>
      <w:spacing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76" w:lineRule="auto"/>
      </w:pPr>
      <w:r>
        <w:separator/>
      </w:r>
    </w:p>
  </w:footnote>
  <w:footnote w:type="continuationSeparator" w:id="1">
    <w:p>
      <w:pPr>
        <w:spacing w:line="276"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2084"/>
    <w:rsid w:val="00A835A7"/>
    <w:rsid w:val="00AD2084"/>
    <w:rsid w:val="00D5671B"/>
    <w:rsid w:val="00D60318"/>
    <w:rsid w:val="00D710FD"/>
    <w:rsid w:val="00E73970"/>
    <w:rsid w:val="00E86091"/>
    <w:rsid w:val="532C395D"/>
    <w:rsid w:val="6B645779"/>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line="276" w:lineRule="auto"/>
    </w:pPr>
    <w:rPr>
      <w:rFonts w:ascii="Arial" w:hAnsi="Arial" w:eastAsia="Arial" w:cs="Arial"/>
      <w:sz w:val="22"/>
      <w:szCs w:val="22"/>
      <w:lang w:val="en-IN" w:eastAsia="en-IN" w:bidi="ar-SA"/>
    </w:rPr>
  </w:style>
  <w:style w:type="paragraph" w:styleId="2">
    <w:name w:val="heading 1"/>
    <w:basedOn w:val="1"/>
    <w:next w:val="1"/>
    <w:qFormat/>
    <w:uiPriority w:val="9"/>
    <w:pPr>
      <w:keepNext/>
      <w:keepLines/>
      <w:spacing w:before="400" w:after="120" w:line="360" w:lineRule="auto"/>
      <w:jc w:val="both"/>
      <w:outlineLvl w:val="0"/>
    </w:pPr>
    <w:rPr>
      <w:rFonts w:ascii="Times New Roman" w:hAnsi="Times New Roman"/>
      <w:b/>
      <w:color w:val="000000" w:themeColor="text1"/>
      <w:sz w:val="28"/>
      <w:szCs w:val="40"/>
      <w14:textFill>
        <w14:solidFill>
          <w14:schemeClr w14:val="tx1"/>
        </w14:solidFill>
      </w14:textFill>
    </w:rPr>
  </w:style>
  <w:style w:type="paragraph" w:styleId="3">
    <w:name w:val="heading 2"/>
    <w:basedOn w:val="2"/>
    <w:next w:val="1"/>
    <w:unhideWhenUsed/>
    <w:qFormat/>
    <w:uiPriority w:val="9"/>
    <w:pPr>
      <w:widowControl w:val="0"/>
      <w:spacing w:before="0" w:after="0"/>
      <w:outlineLvl w:val="1"/>
    </w:pPr>
    <w:rPr>
      <w:sz w:val="24"/>
    </w:rPr>
  </w:style>
  <w:style w:type="paragraph" w:styleId="4">
    <w:name w:val="heading 3"/>
    <w:basedOn w:val="1"/>
    <w:next w:val="1"/>
    <w:unhideWhenUsed/>
    <w:qFormat/>
    <w:uiPriority w:val="9"/>
    <w:pPr>
      <w:keepNext/>
      <w:keepLines/>
      <w:spacing w:before="320" w:after="80"/>
      <w:outlineLvl w:val="2"/>
    </w:pPr>
    <w:rPr>
      <w:color w:val="434343"/>
      <w:sz w:val="28"/>
      <w:szCs w:val="28"/>
    </w:rPr>
  </w:style>
  <w:style w:type="paragraph" w:styleId="5">
    <w:name w:val="heading 4"/>
    <w:basedOn w:val="1"/>
    <w:next w:val="1"/>
    <w:semiHidden/>
    <w:unhideWhenUsed/>
    <w:qFormat/>
    <w:uiPriority w:val="9"/>
    <w:pPr>
      <w:keepNext/>
      <w:keepLines/>
      <w:spacing w:before="280" w:after="80"/>
      <w:outlineLvl w:val="3"/>
    </w:pPr>
    <w:rPr>
      <w:color w:val="666666"/>
      <w:sz w:val="24"/>
      <w:szCs w:val="24"/>
    </w:rPr>
  </w:style>
  <w:style w:type="paragraph" w:styleId="6">
    <w:name w:val="heading 5"/>
    <w:basedOn w:val="1"/>
    <w:next w:val="1"/>
    <w:semiHidden/>
    <w:unhideWhenUsed/>
    <w:qFormat/>
    <w:uiPriority w:val="9"/>
    <w:pPr>
      <w:keepNext/>
      <w:keepLines/>
      <w:spacing w:before="240" w:after="80"/>
      <w:outlineLvl w:val="4"/>
    </w:pPr>
    <w:rPr>
      <w:color w:val="666666"/>
    </w:rPr>
  </w:style>
  <w:style w:type="paragraph" w:styleId="7">
    <w:name w:val="heading 6"/>
    <w:basedOn w:val="1"/>
    <w:next w:val="1"/>
    <w:semiHidden/>
    <w:unhideWhenUsed/>
    <w:qFormat/>
    <w:uiPriority w:val="9"/>
    <w:pPr>
      <w:keepNext/>
      <w:keepLines/>
      <w:spacing w:before="240" w:after="80"/>
      <w:outlineLvl w:val="5"/>
    </w:pPr>
    <w:rPr>
      <w:i/>
      <w:color w:val="666666"/>
    </w:rPr>
  </w:style>
  <w:style w:type="character" w:default="1" w:styleId="8">
    <w:name w:val="Default Paragraph Font"/>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10">
    <w:name w:val="Balloon Text"/>
    <w:basedOn w:val="1"/>
    <w:link w:val="22"/>
    <w:semiHidden/>
    <w:unhideWhenUsed/>
    <w:uiPriority w:val="99"/>
    <w:pPr>
      <w:spacing w:line="240" w:lineRule="auto"/>
    </w:pPr>
    <w:rPr>
      <w:rFonts w:ascii="Tahoma" w:hAnsi="Tahoma" w:cs="Tahoma"/>
      <w:sz w:val="16"/>
      <w:szCs w:val="16"/>
    </w:rPr>
  </w:style>
  <w:style w:type="paragraph" w:styleId="11">
    <w:name w:val="footer"/>
    <w:basedOn w:val="1"/>
    <w:link w:val="21"/>
    <w:unhideWhenUsed/>
    <w:uiPriority w:val="99"/>
    <w:pPr>
      <w:tabs>
        <w:tab w:val="center" w:pos="4513"/>
        <w:tab w:val="right" w:pos="9026"/>
      </w:tabs>
      <w:spacing w:line="240" w:lineRule="auto"/>
    </w:pPr>
  </w:style>
  <w:style w:type="paragraph" w:styleId="12">
    <w:name w:val="header"/>
    <w:basedOn w:val="1"/>
    <w:link w:val="20"/>
    <w:unhideWhenUsed/>
    <w:uiPriority w:val="99"/>
    <w:pPr>
      <w:tabs>
        <w:tab w:val="center" w:pos="4513"/>
        <w:tab w:val="right" w:pos="9026"/>
      </w:tabs>
      <w:spacing w:line="240" w:lineRule="auto"/>
    </w:pPr>
  </w:style>
  <w:style w:type="character" w:styleId="13">
    <w:name w:val="Hyperlink"/>
    <w:basedOn w:val="8"/>
    <w:unhideWhenUsed/>
    <w:uiPriority w:val="99"/>
    <w:rPr>
      <w:color w:val="0000FF" w:themeColor="hyperlink"/>
      <w:u w:val="single"/>
      <w14:textFill>
        <w14:solidFill>
          <w14:schemeClr w14:val="hlink"/>
        </w14:solidFill>
      </w14:textFill>
    </w:rPr>
  </w:style>
  <w:style w:type="paragraph" w:styleId="14">
    <w:name w:val="Subtitle"/>
    <w:basedOn w:val="1"/>
    <w:next w:val="1"/>
    <w:qFormat/>
    <w:uiPriority w:val="11"/>
    <w:pPr>
      <w:keepNext/>
      <w:keepLines/>
      <w:spacing w:after="320"/>
    </w:pPr>
    <w:rPr>
      <w:color w:val="666666"/>
      <w:sz w:val="30"/>
      <w:szCs w:val="30"/>
    </w:rPr>
  </w:style>
  <w:style w:type="paragraph" w:styleId="15">
    <w:name w:val="Title"/>
    <w:basedOn w:val="1"/>
    <w:next w:val="1"/>
    <w:qFormat/>
    <w:uiPriority w:val="10"/>
    <w:pPr>
      <w:keepNext/>
      <w:keepLines/>
      <w:spacing w:after="60"/>
    </w:pPr>
    <w:rPr>
      <w:sz w:val="52"/>
      <w:szCs w:val="52"/>
    </w:rPr>
  </w:style>
  <w:style w:type="paragraph" w:styleId="16">
    <w:name w:val="toc 1"/>
    <w:basedOn w:val="1"/>
    <w:next w:val="1"/>
    <w:autoRedefine/>
    <w:unhideWhenUsed/>
    <w:qFormat/>
    <w:uiPriority w:val="39"/>
    <w:pPr>
      <w:spacing w:after="100"/>
    </w:pPr>
  </w:style>
  <w:style w:type="paragraph" w:styleId="17">
    <w:name w:val="toc 2"/>
    <w:basedOn w:val="1"/>
    <w:next w:val="1"/>
    <w:autoRedefine/>
    <w:unhideWhenUsed/>
    <w:qFormat/>
    <w:uiPriority w:val="39"/>
    <w:pPr>
      <w:spacing w:after="100"/>
      <w:ind w:left="220"/>
    </w:pPr>
  </w:style>
  <w:style w:type="paragraph" w:styleId="18">
    <w:name w:val="toc 3"/>
    <w:basedOn w:val="1"/>
    <w:next w:val="1"/>
    <w:autoRedefine/>
    <w:unhideWhenUsed/>
    <w:qFormat/>
    <w:uiPriority w:val="39"/>
    <w:pPr>
      <w:spacing w:after="100"/>
      <w:ind w:left="440"/>
    </w:pPr>
  </w:style>
  <w:style w:type="paragraph" w:customStyle="1" w:styleId="19">
    <w:name w:val="TOC Heading"/>
    <w:basedOn w:val="2"/>
    <w:next w:val="1"/>
    <w:unhideWhenUsed/>
    <w:qFormat/>
    <w:uiPriority w:val="39"/>
    <w:pPr>
      <w:spacing w:before="240" w:after="0" w:line="259" w:lineRule="auto"/>
      <w:jc w:val="left"/>
      <w:outlineLvl w:val="9"/>
    </w:pPr>
    <w:rPr>
      <w:rFonts w:asciiTheme="majorHAnsi" w:hAnsiTheme="majorHAnsi" w:eastAsiaTheme="majorEastAsia" w:cstheme="majorBidi"/>
      <w:b w:val="0"/>
      <w:color w:val="376092" w:themeColor="accent1" w:themeShade="BF"/>
      <w:sz w:val="32"/>
      <w:szCs w:val="32"/>
      <w:lang w:val="en-US" w:eastAsia="en-US"/>
    </w:rPr>
  </w:style>
  <w:style w:type="character" w:customStyle="1" w:styleId="20">
    <w:name w:val="Header Char"/>
    <w:basedOn w:val="8"/>
    <w:link w:val="12"/>
    <w:qFormat/>
    <w:uiPriority w:val="99"/>
  </w:style>
  <w:style w:type="character" w:customStyle="1" w:styleId="21">
    <w:name w:val="Footer Char"/>
    <w:basedOn w:val="8"/>
    <w:link w:val="11"/>
    <w:qFormat/>
    <w:uiPriority w:val="99"/>
  </w:style>
  <w:style w:type="character" w:customStyle="1" w:styleId="22">
    <w:name w:val="Balloon Text Char"/>
    <w:basedOn w:val="8"/>
    <w:link w:val="10"/>
    <w:semiHidden/>
    <w:qFormat/>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C5Ugbggc/X3aDhKwDB3bc1wycvA==">CgMxLjAyDGguaTlmbXZuaWl3djIIaC5namRneHMyCWguMzBqMHpsbDIJaC4xZm9iOXRlMgloLjRkMzRvZzgyDmgubmppdTZreHQ0NTZ3MgloLjJzOGV5bzEyDmguZTU1NGxwemhmMDF1Mg5oLm9ocGk1N3VmbzMyZjIOaC5xeHJlcTM5MGtzYTkyDmguNTAxdmR2djN4ZG0zMg5oLnU4eGMwejg5a2UwbDIOaC5tMHkwdTU5MGg5amcyDmgudXZhbnl2MjM3bnRwMgloLjE3ZHA4dnUyCWguM3JkY3JqbjIJaC4yNmluMXJnMghoLmxueGJ6OTIJaC4zNW5rdW4yMgloLjFrc3Y0dXYyCWguMXQzaDVzZjIJaC40NHNpbmlvMgloLjJqeHN4cWg4AHIhMXR2UDg4dUM2Q3hCcld4ZGsyNW4yLThuSktBbDJNQ2RQ</go:docsCustomData>
</go:gDocsCustomXmlDataStorage>
</file>

<file path=customXml/itemProps1.xml><?xml version="1.0" encoding="utf-8"?>
<ds:datastoreItem xmlns:ds="http://schemas.openxmlformats.org/officeDocument/2006/customXml" ds:itemID="{11111111-1234-1234-1234-123412341234}">
  <ds:schemaRefs/>
</ds:datastoreItem>
</file>

<file path=docProps/app.xml><?xml version="1.0" encoding="utf-8"?>
<Properties xmlns="http://schemas.openxmlformats.org/officeDocument/2006/extended-properties" xmlns:vt="http://schemas.openxmlformats.org/officeDocument/2006/docPropsVTypes">
  <Template>Normal</Template>
  <Pages>10</Pages>
  <Words>5989</Words>
  <Characters>34141</Characters>
  <Lines>284</Lines>
  <Paragraphs>80</Paragraphs>
  <TotalTime>2</TotalTime>
  <ScaleCrop>false</ScaleCrop>
  <LinksUpToDate>false</LinksUpToDate>
  <CharactersWithSpaces>40050</CharactersWithSpaces>
  <Application>WPS Office_12.2.0.19805_F1E327BC-269C-435d-A152-05C5408002CA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2025-01-25T13:23:00Z</dcterms:created>
  <dc:creator>Alina</dc:creator>
  <cp:lastModifiedBy>i study</cp:lastModifiedBy>
  <dcterms:modified xsi:type="dcterms:W3CDTF">2025-02-04T14:36:50Z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2057-12.2.0.19805</vt:lpwstr>
  </property>
  <property fmtid="{D5CDD505-2E9C-101B-9397-08002B2CF9AE}" pid="3" name="ICV">
    <vt:lpwstr>D7AFA1B764FB4AF1B572DD9EC7856136_12</vt:lpwstr>
  </property>
</Properties>
</file>