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75CF22">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48981EBF">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0EE06599">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51A65AC0">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75F44C1E">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381908F8">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3379E57D">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6665CC9E">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6A67ABED">
      <w:pPr>
        <w:pStyle w:val="19"/>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p>
    <w:p w14:paraId="263B9DD5">
      <w:pPr>
        <w:pStyle w:val="19"/>
        <w:spacing w:line="360" w:lineRule="auto"/>
        <w:rPr>
          <w:rFonts w:ascii="Times New Roman" w:hAnsi="Times New Roman" w:eastAsia="Times New Roman" w:cs="Times New Roman"/>
          <w:color w:val="000000" w:themeColor="text1"/>
          <w:sz w:val="52"/>
          <w:szCs w:val="52"/>
          <w:lang w:val="zh-CN" w:eastAsia="en-GB"/>
          <w14:textFill>
            <w14:solidFill>
              <w14:schemeClr w14:val="tx1"/>
            </w14:solidFill>
          </w14:textFill>
        </w:rPr>
      </w:pPr>
    </w:p>
    <w:p w14:paraId="5822BC16">
      <w:pPr>
        <w:pStyle w:val="19"/>
        <w:spacing w:line="360" w:lineRule="auto"/>
        <w:jc w:val="center"/>
        <w:rPr>
          <w:rFonts w:ascii="Times New Roman" w:hAnsi="Times New Roman" w:eastAsia="Times New Roman" w:cs="Times New Roman"/>
          <w:b/>
          <w:bCs/>
          <w:color w:val="000000" w:themeColor="text1"/>
          <w:sz w:val="52"/>
          <w:szCs w:val="52"/>
          <w:lang w:val="zh-CN" w:eastAsia="en-GB"/>
          <w14:textFill>
            <w14:solidFill>
              <w14:schemeClr w14:val="tx1"/>
            </w14:solidFill>
          </w14:textFill>
        </w:rPr>
      </w:pPr>
      <w:r>
        <w:rPr>
          <w:rFonts w:ascii="Times New Roman" w:hAnsi="Times New Roman" w:eastAsia="Times New Roman" w:cs="Times New Roman"/>
          <w:b/>
          <w:bCs/>
          <w:color w:val="000000" w:themeColor="text1"/>
          <w:sz w:val="52"/>
          <w:szCs w:val="52"/>
          <w:lang w:val="zh-CN" w:eastAsia="en-GB"/>
          <w14:textFill>
            <w14:solidFill>
              <w14:schemeClr w14:val="tx1"/>
            </w14:solidFill>
          </w14:textFill>
        </w:rPr>
        <w:t>Applied Network Security: Contemporary Research, Practical Work, and Demonstrations of Principles and Practices</w:t>
      </w:r>
    </w:p>
    <w:p w14:paraId="48DBEC75">
      <w:pPr>
        <w:rPr>
          <w:rFonts w:ascii="Times New Roman" w:hAnsi="Times New Roman" w:eastAsia="Times New Roman" w:cs="Times New Roman"/>
          <w:b/>
          <w:bCs/>
          <w:color w:val="000000" w:themeColor="text1"/>
          <w:sz w:val="52"/>
          <w:szCs w:val="52"/>
          <w:lang w:val="zh-CN" w:eastAsia="en-GB"/>
          <w14:textFill>
            <w14:solidFill>
              <w14:schemeClr w14:val="tx1"/>
            </w14:solidFill>
          </w14:textFill>
        </w:rPr>
      </w:pPr>
    </w:p>
    <w:p w14:paraId="6857320E">
      <w:pP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pPr>
      <w: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t>Name:Khushi Anilbhai Patel</w:t>
      </w:r>
    </w:p>
    <w:p w14:paraId="79CE8BC1">
      <w:pP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pPr>
      <w:r>
        <w:rPr>
          <w:rFonts w:hint="default" w:ascii="Times New Roman" w:hAnsi="Times New Roman" w:eastAsia="Times New Roman" w:cs="Times New Roman"/>
          <w:b/>
          <w:bCs/>
          <w:color w:val="000000" w:themeColor="text1"/>
          <w:sz w:val="52"/>
          <w:szCs w:val="52"/>
          <w:lang w:val="en-US" w:eastAsia="en-GB"/>
          <w14:textFill>
            <w14:solidFill>
              <w14:schemeClr w14:val="tx1"/>
            </w14:solidFill>
          </w14:textFill>
        </w:rPr>
        <w:t>I’D: 2436057</w:t>
      </w:r>
    </w:p>
    <w:p w14:paraId="47966B50">
      <w:pPr>
        <w:spacing w:line="360" w:lineRule="auto"/>
        <w:rPr>
          <w:rFonts w:ascii="Times New Roman" w:hAnsi="Times New Roman" w:cs="Times New Roman"/>
          <w:color w:val="000000" w:themeColor="text1"/>
          <w:lang w:val="zh-CN" w:eastAsia="en-GB"/>
          <w14:textFill>
            <w14:solidFill>
              <w14:schemeClr w14:val="tx1"/>
            </w14:solidFill>
          </w14:textFill>
        </w:rPr>
      </w:pPr>
    </w:p>
    <w:p w14:paraId="709FB54D">
      <w:pPr>
        <w:spacing w:line="360" w:lineRule="auto"/>
        <w:rPr>
          <w:rFonts w:ascii="Times New Roman" w:hAnsi="Times New Roman" w:cs="Times New Roman"/>
          <w:color w:val="000000" w:themeColor="text1"/>
          <w:lang w:val="zh-CN" w:eastAsia="en-GB"/>
          <w14:textFill>
            <w14:solidFill>
              <w14:schemeClr w14:val="tx1"/>
            </w14:solidFill>
          </w14:textFill>
        </w:rPr>
      </w:pPr>
    </w:p>
    <w:p w14:paraId="39FB31A0">
      <w:pPr>
        <w:spacing w:line="360" w:lineRule="auto"/>
        <w:rPr>
          <w:rFonts w:ascii="Times New Roman" w:hAnsi="Times New Roman" w:cs="Times New Roman"/>
          <w:color w:val="000000" w:themeColor="text1"/>
          <w:lang w:val="zh-CN" w:eastAsia="en-GB"/>
          <w14:textFill>
            <w14:solidFill>
              <w14:schemeClr w14:val="tx1"/>
            </w14:solidFill>
          </w14:textFill>
        </w:rPr>
      </w:pPr>
    </w:p>
    <w:p w14:paraId="74AB9B1E">
      <w:pPr>
        <w:spacing w:line="360" w:lineRule="auto"/>
        <w:rPr>
          <w:rFonts w:ascii="Times New Roman" w:hAnsi="Times New Roman" w:cs="Times New Roman"/>
          <w:color w:val="000000" w:themeColor="text1"/>
          <w:lang w:val="zh-CN" w:eastAsia="en-GB"/>
          <w14:textFill>
            <w14:solidFill>
              <w14:schemeClr w14:val="tx1"/>
            </w14:solidFill>
          </w14:textFill>
        </w:rPr>
      </w:pPr>
    </w:p>
    <w:p w14:paraId="766ABF7D">
      <w:pPr>
        <w:spacing w:line="360" w:lineRule="auto"/>
        <w:rPr>
          <w:rFonts w:ascii="Times New Roman" w:hAnsi="Times New Roman" w:cs="Times New Roman"/>
          <w:color w:val="000000" w:themeColor="text1"/>
          <w:lang w:val="zh-CN" w:eastAsia="en-GB"/>
          <w14:textFill>
            <w14:solidFill>
              <w14:schemeClr w14:val="tx1"/>
            </w14:solidFill>
          </w14:textFill>
        </w:rPr>
      </w:pPr>
    </w:p>
    <w:p w14:paraId="78410655">
      <w:pPr>
        <w:spacing w:line="360" w:lineRule="auto"/>
        <w:rPr>
          <w:rFonts w:ascii="Times New Roman" w:hAnsi="Times New Roman" w:cs="Times New Roman"/>
          <w:color w:val="000000" w:themeColor="text1"/>
          <w:lang w:val="zh-CN" w:eastAsia="en-GB"/>
          <w14:textFill>
            <w14:solidFill>
              <w14:schemeClr w14:val="tx1"/>
            </w14:solidFill>
          </w14:textFill>
        </w:rPr>
      </w:pPr>
    </w:p>
    <w:p w14:paraId="719CE8AE">
      <w:pPr>
        <w:spacing w:line="360" w:lineRule="auto"/>
        <w:rPr>
          <w:rFonts w:ascii="Times New Roman" w:hAnsi="Times New Roman" w:cs="Times New Roman"/>
          <w:color w:val="000000" w:themeColor="text1"/>
          <w:lang w:val="zh-CN" w:eastAsia="en-GB"/>
          <w14:textFill>
            <w14:solidFill>
              <w14:schemeClr w14:val="tx1"/>
            </w14:solidFill>
          </w14:textFill>
        </w:rPr>
      </w:pPr>
    </w:p>
    <w:p w14:paraId="2B975A84">
      <w:pPr>
        <w:spacing w:line="360" w:lineRule="auto"/>
        <w:rPr>
          <w:rFonts w:ascii="Times New Roman" w:hAnsi="Times New Roman" w:cs="Times New Roman"/>
          <w:color w:val="000000" w:themeColor="text1"/>
          <w:lang w:val="zh-CN" w:eastAsia="en-GB"/>
          <w14:textFill>
            <w14:solidFill>
              <w14:schemeClr w14:val="tx1"/>
            </w14:solidFill>
          </w14:textFill>
        </w:rPr>
      </w:pPr>
    </w:p>
    <w:p w14:paraId="687844CE">
      <w:pPr>
        <w:spacing w:line="360" w:lineRule="auto"/>
        <w:rPr>
          <w:rFonts w:ascii="Times New Roman" w:hAnsi="Times New Roman" w:cs="Times New Roman"/>
          <w:color w:val="000000" w:themeColor="text1"/>
          <w:lang w:val="zh-CN" w:eastAsia="en-GB"/>
          <w14:textFill>
            <w14:solidFill>
              <w14:schemeClr w14:val="tx1"/>
            </w14:solidFill>
          </w14:textFill>
        </w:rPr>
      </w:pPr>
    </w:p>
    <w:p w14:paraId="68F47E48">
      <w:pPr>
        <w:spacing w:line="360" w:lineRule="auto"/>
        <w:rPr>
          <w:rFonts w:ascii="Times New Roman" w:hAnsi="Times New Roman" w:cs="Times New Roman"/>
          <w:color w:val="000000" w:themeColor="text1"/>
          <w:lang w:val="zh-CN" w:eastAsia="en-GB"/>
          <w14:textFill>
            <w14:solidFill>
              <w14:schemeClr w14:val="tx1"/>
            </w14:solidFill>
          </w14:textFill>
        </w:rPr>
      </w:pPr>
    </w:p>
    <w:p w14:paraId="069D7C22">
      <w:pPr>
        <w:spacing w:line="360" w:lineRule="auto"/>
        <w:rPr>
          <w:rFonts w:ascii="Times New Roman" w:hAnsi="Times New Roman" w:cs="Times New Roman"/>
          <w:color w:val="000000" w:themeColor="text1"/>
          <w:lang w:val="zh-CN" w:eastAsia="en-GB"/>
          <w14:textFill>
            <w14:solidFill>
              <w14:schemeClr w14:val="tx1"/>
            </w14:solidFill>
          </w14:textFill>
        </w:rPr>
      </w:pPr>
    </w:p>
    <w:p w14:paraId="62AFCE03">
      <w:pPr>
        <w:spacing w:line="360" w:lineRule="auto"/>
        <w:rPr>
          <w:rFonts w:ascii="Times New Roman" w:hAnsi="Times New Roman" w:cs="Times New Roman"/>
          <w:color w:val="000000" w:themeColor="text1"/>
          <w:lang w:val="zh-CN" w:eastAsia="en-GB"/>
          <w14:textFill>
            <w14:solidFill>
              <w14:schemeClr w14:val="tx1"/>
            </w14:solidFill>
          </w14:textFill>
        </w:rPr>
      </w:pPr>
    </w:p>
    <w:p w14:paraId="0D7F22A2">
      <w:pPr>
        <w:spacing w:line="360" w:lineRule="auto"/>
        <w:rPr>
          <w:rFonts w:ascii="Times New Roman" w:hAnsi="Times New Roman" w:cs="Times New Roman"/>
          <w:color w:val="000000" w:themeColor="text1"/>
          <w:lang w:val="zh-CN" w:eastAsia="en-GB"/>
          <w14:textFill>
            <w14:solidFill>
              <w14:schemeClr w14:val="tx1"/>
            </w14:solidFill>
          </w14:textFill>
        </w:rPr>
      </w:pPr>
    </w:p>
    <w:p w14:paraId="616056A6">
      <w:pPr>
        <w:spacing w:line="360" w:lineRule="auto"/>
        <w:rPr>
          <w:rFonts w:ascii="Times New Roman" w:hAnsi="Times New Roman" w:cs="Times New Roman"/>
          <w:color w:val="000000" w:themeColor="text1"/>
          <w:lang w:val="zh-CN" w:eastAsia="en-GB"/>
          <w14:textFill>
            <w14:solidFill>
              <w14:schemeClr w14:val="tx1"/>
            </w14:solidFill>
          </w14:textFill>
        </w:rPr>
      </w:pPr>
    </w:p>
    <w:p w14:paraId="47E9082E">
      <w:pPr>
        <w:spacing w:line="360" w:lineRule="auto"/>
        <w:rPr>
          <w:rFonts w:ascii="Times New Roman" w:hAnsi="Times New Roman" w:cs="Times New Roman"/>
          <w:color w:val="000000" w:themeColor="text1"/>
          <w:lang w:val="zh-CN" w:eastAsia="en-GB"/>
          <w14:textFill>
            <w14:solidFill>
              <w14:schemeClr w14:val="tx1"/>
            </w14:solidFill>
          </w14:textFill>
        </w:rPr>
      </w:pPr>
    </w:p>
    <w:p w14:paraId="51EB9970">
      <w:pPr>
        <w:pStyle w:val="2"/>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0" w:name="_Toc216124535"/>
      <w:r>
        <w:rPr>
          <w:rFonts w:ascii="Times New Roman" w:hAnsi="Times New Roman" w:eastAsia="Times New Roman" w:cs="Times New Roman"/>
          <w:color w:val="000000" w:themeColor="text1"/>
          <w:sz w:val="24"/>
          <w:szCs w:val="24"/>
          <w:lang w:val="zh-CN" w:eastAsia="en-GB"/>
          <w14:textFill>
            <w14:solidFill>
              <w14:schemeClr w14:val="tx1"/>
            </w14:solidFill>
          </w14:textFill>
        </w:rPr>
        <w:t>Abstract</w:t>
      </w:r>
      <w:bookmarkEnd w:id="0"/>
    </w:p>
    <w:p w14:paraId="566A378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following portfolio report is a detailed discussion of enterprise network security as implemented, checked, and improved. It complies with the module learning outcomes as it provides a systematic awareness of up to date researches on network security and applies some principles to eliminate vulnerabilities. The report consists of two major components: Part 1 is devoted to the Capture the Flag (CTF) contest of network deployment and verification, whereas Part 2 comprises the description of the implementation of the security solution with the help of Check Point Gaia appliances. Based on the review of wide literature, the work focuses on the integration of theoretical knowledge and practical implementations, which are based on a unified security management and policymaking. The major conclusions highlight the effectiveness of multi-layered security solutions when considering the enterprise setting, and the proposed improvements are based on the recent threats.</w:t>
      </w:r>
    </w:p>
    <w:p w14:paraId="43E107B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2AF1D0DF">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9E6C93D">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45C2F4EA">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33A80F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5673246E">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A49647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0CA09855">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08009999">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A11363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21596EDD">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sdt>
      <w:sdtPr>
        <w:rPr>
          <w:rFonts w:ascii="Times New Roman" w:hAnsi="Times New Roman" w:cs="Times New Roman" w:eastAsiaTheme="minorHAnsi"/>
          <w:b w:val="0"/>
          <w:bCs w:val="0"/>
          <w:color w:val="000000" w:themeColor="text1"/>
          <w:kern w:val="2"/>
          <w:sz w:val="24"/>
          <w:szCs w:val="24"/>
          <w:lang w:val="en-GB"/>
          <w14:textFill>
            <w14:solidFill>
              <w14:schemeClr w14:val="tx1"/>
            </w14:solidFill>
          </w14:textFill>
          <w14:ligatures w14:val="standardContextual"/>
        </w:rPr>
        <w:id w:val="432714095"/>
        <w:docPartObj>
          <w:docPartGallery w:val="Table of Contents"/>
          <w:docPartUnique/>
        </w:docPartObj>
      </w:sdtPr>
      <w:sdtEndPr>
        <w:rPr>
          <w:rFonts w:ascii="Times New Roman" w:hAnsi="Times New Roman" w:cs="Times New Roman" w:eastAsiaTheme="minorHAnsi"/>
          <w:b w:val="0"/>
          <w:bCs w:val="0"/>
          <w:color w:val="000000" w:themeColor="text1"/>
          <w:kern w:val="2"/>
          <w:sz w:val="24"/>
          <w:szCs w:val="24"/>
          <w:lang w:val="en-GB"/>
          <w14:textFill>
            <w14:solidFill>
              <w14:schemeClr w14:val="tx1"/>
            </w14:solidFill>
          </w14:textFill>
          <w14:ligatures w14:val="standardContextual"/>
        </w:rPr>
      </w:sdtEndPr>
      <w:sdtContent>
        <w:p w14:paraId="7EFEE56E">
          <w:pPr>
            <w:pStyle w:val="47"/>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Table of Contents</w:t>
          </w:r>
        </w:p>
        <w:p w14:paraId="7E0E4BBB">
          <w:pPr>
            <w:pStyle w:val="20"/>
            <w:tabs>
              <w:tab w:val="right" w:leader="dot" w:pos="9016"/>
            </w:tabs>
            <w:rPr>
              <w:rFonts w:eastAsiaTheme="minorEastAsia"/>
              <w:b w:val="0"/>
              <w:bCs w:val="0"/>
              <w:i w:val="0"/>
              <w:iCs w:val="0"/>
              <w:lang w:val="zh-CN" w:eastAsia="en-GB"/>
            </w:rPr>
          </w:pPr>
          <w:r>
            <w:rPr>
              <w:rFonts w:ascii="Times New Roman" w:hAnsi="Times New Roman" w:cs="Times New Roman"/>
              <w:b w:val="0"/>
              <w:bCs w:val="0"/>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TOC \o "1-3" \h \z \u </w:instrText>
          </w:r>
          <w:r>
            <w:rPr>
              <w:rFonts w:ascii="Times New Roman" w:hAnsi="Times New Roman" w:cs="Times New Roman"/>
              <w:b w:val="0"/>
              <w:bCs w:val="0"/>
              <w:color w:val="000000" w:themeColor="text1"/>
              <w14:textFill>
                <w14:solidFill>
                  <w14:schemeClr w14:val="tx1"/>
                </w14:solidFill>
              </w14:textFill>
            </w:rPr>
            <w:fldChar w:fldCharType="separate"/>
          </w:r>
          <w:r>
            <w:fldChar w:fldCharType="begin"/>
          </w:r>
          <w:r>
            <w:instrText xml:space="preserve"> HYPERLINK \l "_Toc216124535" </w:instrText>
          </w:r>
          <w:r>
            <w:fldChar w:fldCharType="separate"/>
          </w:r>
          <w:r>
            <w:rPr>
              <w:rStyle w:val="15"/>
              <w:rFonts w:ascii="Times New Roman" w:hAnsi="Times New Roman" w:eastAsia="Times New Roman" w:cs="Times New Roman"/>
              <w:lang w:val="zh-CN" w:eastAsia="en-GB"/>
            </w:rPr>
            <w:t>Abstract</w:t>
          </w:r>
          <w:r>
            <w:tab/>
          </w:r>
          <w:r>
            <w:fldChar w:fldCharType="begin"/>
          </w:r>
          <w:r>
            <w:instrText xml:space="preserve"> PAGEREF _Toc216124535 \h </w:instrText>
          </w:r>
          <w:r>
            <w:fldChar w:fldCharType="separate"/>
          </w:r>
          <w:r>
            <w:t>2</w:t>
          </w:r>
          <w:r>
            <w:fldChar w:fldCharType="end"/>
          </w:r>
          <w:r>
            <w:fldChar w:fldCharType="end"/>
          </w:r>
        </w:p>
        <w:p w14:paraId="057C31BC">
          <w:pPr>
            <w:pStyle w:val="20"/>
            <w:tabs>
              <w:tab w:val="right" w:leader="dot" w:pos="9016"/>
            </w:tabs>
            <w:rPr>
              <w:rFonts w:eastAsiaTheme="minorEastAsia"/>
              <w:b w:val="0"/>
              <w:bCs w:val="0"/>
              <w:i w:val="0"/>
              <w:iCs w:val="0"/>
              <w:lang w:val="zh-CN" w:eastAsia="en-GB"/>
            </w:rPr>
          </w:pPr>
          <w:r>
            <w:fldChar w:fldCharType="begin"/>
          </w:r>
          <w:r>
            <w:instrText xml:space="preserve"> HYPERLINK \l "_Toc216124536" </w:instrText>
          </w:r>
          <w:r>
            <w:fldChar w:fldCharType="separate"/>
          </w:r>
          <w:r>
            <w:rPr>
              <w:rStyle w:val="15"/>
              <w:rFonts w:ascii="Times New Roman" w:hAnsi="Times New Roman" w:eastAsia="Times New Roman" w:cs="Times New Roman"/>
              <w:lang w:val="zh-CN" w:eastAsia="en-GB"/>
            </w:rPr>
            <w:t>Introduction</w:t>
          </w:r>
          <w:r>
            <w:tab/>
          </w:r>
          <w:r>
            <w:fldChar w:fldCharType="begin"/>
          </w:r>
          <w:r>
            <w:instrText xml:space="preserve"> PAGEREF _Toc216124536 \h </w:instrText>
          </w:r>
          <w:r>
            <w:fldChar w:fldCharType="separate"/>
          </w:r>
          <w:r>
            <w:t>3</w:t>
          </w:r>
          <w:r>
            <w:fldChar w:fldCharType="end"/>
          </w:r>
          <w:r>
            <w:fldChar w:fldCharType="end"/>
          </w:r>
        </w:p>
        <w:p w14:paraId="088CA2E3">
          <w:pPr>
            <w:pStyle w:val="20"/>
            <w:tabs>
              <w:tab w:val="right" w:leader="dot" w:pos="9016"/>
            </w:tabs>
            <w:rPr>
              <w:rFonts w:eastAsiaTheme="minorEastAsia"/>
              <w:b w:val="0"/>
              <w:bCs w:val="0"/>
              <w:i w:val="0"/>
              <w:iCs w:val="0"/>
              <w:lang w:val="zh-CN" w:eastAsia="en-GB"/>
            </w:rPr>
          </w:pPr>
          <w:r>
            <w:fldChar w:fldCharType="begin"/>
          </w:r>
          <w:r>
            <w:instrText xml:space="preserve"> HYPERLINK \l "_Toc216124537" </w:instrText>
          </w:r>
          <w:r>
            <w:fldChar w:fldCharType="separate"/>
          </w:r>
          <w:r>
            <w:rPr>
              <w:rStyle w:val="15"/>
              <w:rFonts w:ascii="Times New Roman" w:hAnsi="Times New Roman" w:eastAsia="Times New Roman" w:cs="Times New Roman"/>
              <w:lang w:val="zh-CN" w:eastAsia="en-GB"/>
            </w:rPr>
            <w:t>Part 2: Securing the Enterprise Network - Implementation of a Network Security Solution</w:t>
          </w:r>
          <w:r>
            <w:tab/>
          </w:r>
          <w:r>
            <w:fldChar w:fldCharType="begin"/>
          </w:r>
          <w:r>
            <w:instrText xml:space="preserve"> PAGEREF _Toc216124537 \h </w:instrText>
          </w:r>
          <w:r>
            <w:fldChar w:fldCharType="separate"/>
          </w:r>
          <w:r>
            <w:t>8</w:t>
          </w:r>
          <w:r>
            <w:fldChar w:fldCharType="end"/>
          </w:r>
          <w:r>
            <w:fldChar w:fldCharType="end"/>
          </w:r>
        </w:p>
        <w:p w14:paraId="16518AAD">
          <w:pPr>
            <w:pStyle w:val="21"/>
            <w:tabs>
              <w:tab w:val="right" w:leader="dot" w:pos="9016"/>
            </w:tabs>
            <w:rPr>
              <w:rFonts w:eastAsiaTheme="minorEastAsia"/>
              <w:b w:val="0"/>
              <w:bCs w:val="0"/>
              <w:sz w:val="24"/>
              <w:szCs w:val="24"/>
              <w:lang w:val="zh-CN" w:eastAsia="en-GB"/>
            </w:rPr>
          </w:pPr>
          <w:r>
            <w:fldChar w:fldCharType="begin"/>
          </w:r>
          <w:r>
            <w:instrText xml:space="preserve"> HYPERLINK \l "_Toc216124538" </w:instrText>
          </w:r>
          <w:r>
            <w:fldChar w:fldCharType="separate"/>
          </w:r>
          <w:r>
            <w:rPr>
              <w:rStyle w:val="15"/>
              <w:rFonts w:ascii="Times New Roman" w:hAnsi="Times New Roman" w:eastAsia="Times New Roman" w:cs="Times New Roman"/>
              <w:lang w:val="zh-CN" w:eastAsia="en-GB"/>
            </w:rPr>
            <w:t>Introduction to Securing the Enterprise Network</w:t>
          </w:r>
          <w:r>
            <w:tab/>
          </w:r>
          <w:r>
            <w:fldChar w:fldCharType="begin"/>
          </w:r>
          <w:r>
            <w:instrText xml:space="preserve"> PAGEREF _Toc216124538 \h </w:instrText>
          </w:r>
          <w:r>
            <w:fldChar w:fldCharType="separate"/>
          </w:r>
          <w:r>
            <w:t>8</w:t>
          </w:r>
          <w:r>
            <w:fldChar w:fldCharType="end"/>
          </w:r>
          <w:r>
            <w:fldChar w:fldCharType="end"/>
          </w:r>
        </w:p>
        <w:p w14:paraId="5141C8C4">
          <w:pPr>
            <w:pStyle w:val="22"/>
            <w:tabs>
              <w:tab w:val="right" w:leader="dot" w:pos="9016"/>
            </w:tabs>
            <w:rPr>
              <w:rFonts w:eastAsiaTheme="minorEastAsia"/>
              <w:sz w:val="24"/>
              <w:szCs w:val="24"/>
              <w:lang w:val="zh-CN" w:eastAsia="en-GB"/>
            </w:rPr>
          </w:pPr>
          <w:r>
            <w:fldChar w:fldCharType="begin"/>
          </w:r>
          <w:r>
            <w:instrText xml:space="preserve"> HYPERLINK \l "_Toc216124539" </w:instrText>
          </w:r>
          <w:r>
            <w:fldChar w:fldCharType="separate"/>
          </w:r>
          <w:r>
            <w:rPr>
              <w:rStyle w:val="15"/>
              <w:rFonts w:ascii="Times New Roman" w:hAnsi="Times New Roman" w:eastAsia="Times New Roman" w:cs="Times New Roman"/>
              <w:b/>
              <w:bCs/>
              <w:kern w:val="0"/>
              <w:lang w:val="zh-CN" w:eastAsia="en-GB"/>
              <w14:ligatures w14:val="none"/>
            </w:rPr>
            <w:t>Network Topology and Components Overview</w:t>
          </w:r>
          <w:r>
            <w:tab/>
          </w:r>
          <w:r>
            <w:fldChar w:fldCharType="begin"/>
          </w:r>
          <w:r>
            <w:instrText xml:space="preserve"> PAGEREF _Toc216124539 \h </w:instrText>
          </w:r>
          <w:r>
            <w:fldChar w:fldCharType="separate"/>
          </w:r>
          <w:r>
            <w:t>11</w:t>
          </w:r>
          <w:r>
            <w:fldChar w:fldCharType="end"/>
          </w:r>
          <w:r>
            <w:fldChar w:fldCharType="end"/>
          </w:r>
        </w:p>
        <w:p w14:paraId="63BFF0B3">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"_Toc216124540" </w:instrText>
          </w:r>
          <w:r>
            <w:fldChar w:fldCharType="separate"/>
          </w:r>
          <w:r>
            <w:rPr>
              <w:rStyle w:val="15"/>
              <w:rFonts w:ascii="Times New Roman" w:hAnsi="Times New Roman" w:eastAsia="Times New Roman" w:cs="Times New Roman"/>
              <w:lang w:val="zh-CN" w:eastAsia="en-GB"/>
            </w:rPr>
            <w:t>Tools and Environment Setup</w:t>
          </w:r>
          <w:r>
            <w:tab/>
          </w:r>
          <w:r>
            <w:fldChar w:fldCharType="begin"/>
          </w:r>
          <w:r>
            <w:instrText xml:space="preserve"> PAGEREF _Toc216124540 \h </w:instrText>
          </w:r>
          <w:r>
            <w:fldChar w:fldCharType="separate"/>
          </w:r>
          <w:r>
            <w:t>13</w:t>
          </w:r>
          <w:r>
            <w:fldChar w:fldCharType="end"/>
          </w:r>
          <w:r>
            <w:fldChar w:fldCharType="end"/>
          </w:r>
        </w:p>
        <w:p w14:paraId="5581F9A3">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"_Toc216124541" </w:instrText>
          </w:r>
          <w:r>
            <w:fldChar w:fldCharType="separate"/>
          </w:r>
          <w:r>
            <w:rPr>
              <w:rStyle w:val="15"/>
              <w:rFonts w:ascii="Times New Roman" w:hAnsi="Times New Roman" w:eastAsia="Times New Roman" w:cs="Times New Roman"/>
              <w:lang w:val="zh-CN" w:eastAsia="en-GB"/>
            </w:rPr>
            <w:t>Installation and Configuration of Check Point Components</w:t>
          </w:r>
          <w:r>
            <w:tab/>
          </w:r>
          <w:r>
            <w:fldChar w:fldCharType="begin"/>
          </w:r>
          <w:r>
            <w:instrText xml:space="preserve"> PAGEREF _Toc216124541 \h </w:instrText>
          </w:r>
          <w:r>
            <w:fldChar w:fldCharType="separate"/>
          </w:r>
          <w:r>
            <w:t>13</w:t>
          </w:r>
          <w:r>
            <w:fldChar w:fldCharType="end"/>
          </w:r>
          <w:r>
            <w:fldChar w:fldCharType="end"/>
          </w:r>
        </w:p>
        <w:p w14:paraId="7652D0A8">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"_Toc216124542" </w:instrText>
          </w:r>
          <w:r>
            <w:fldChar w:fldCharType="separate"/>
          </w:r>
          <w:r>
            <w:rPr>
              <w:rStyle w:val="15"/>
              <w:rFonts w:ascii="Times New Roman" w:hAnsi="Times New Roman" w:eastAsia="Times New Roman" w:cs="Times New Roman"/>
              <w:lang w:val="zh-CN" w:eastAsia="en-GB"/>
            </w:rPr>
            <w:t>Firewall Rules Definition and Enforcement</w:t>
          </w:r>
          <w:r>
            <w:tab/>
          </w:r>
          <w:r>
            <w:fldChar w:fldCharType="begin"/>
          </w:r>
          <w:r>
            <w:instrText xml:space="preserve"> PAGEREF _Toc216124542 \h </w:instrText>
          </w:r>
          <w:r>
            <w:fldChar w:fldCharType="separate"/>
          </w:r>
          <w:r>
            <w:t>17</w:t>
          </w:r>
          <w:r>
            <w:fldChar w:fldCharType="end"/>
          </w:r>
          <w:r>
            <w:fldChar w:fldCharType="end"/>
          </w:r>
        </w:p>
        <w:p w14:paraId="621BB331">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"_Toc216124543" </w:instrText>
          </w:r>
          <w:r>
            <w:fldChar w:fldCharType="separate"/>
          </w:r>
          <w:r>
            <w:rPr>
              <w:rStyle w:val="15"/>
              <w:rFonts w:ascii="Times New Roman" w:hAnsi="Times New Roman" w:eastAsia="Times New Roman" w:cs="Times New Roman"/>
              <w:lang w:val="zh-CN" w:eastAsia="en-GB"/>
            </w:rPr>
            <w:t>Additional Security Enhancements</w:t>
          </w:r>
          <w:r>
            <w:tab/>
          </w:r>
          <w:r>
            <w:fldChar w:fldCharType="begin"/>
          </w:r>
          <w:r>
            <w:instrText xml:space="preserve"> PAGEREF _Toc216124543 \h </w:instrText>
          </w:r>
          <w:r>
            <w:fldChar w:fldCharType="separate"/>
          </w:r>
          <w:r>
            <w:t>20</w:t>
          </w:r>
          <w:r>
            <w:fldChar w:fldCharType="end"/>
          </w:r>
          <w:r>
            <w:fldChar w:fldCharType="end"/>
          </w:r>
        </w:p>
        <w:p w14:paraId="5BB649DF">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"_Toc216124544" </w:instrText>
          </w:r>
          <w:r>
            <w:fldChar w:fldCharType="separate"/>
          </w:r>
          <w:r>
            <w:rPr>
              <w:rStyle w:val="15"/>
              <w:rFonts w:ascii="Times New Roman" w:hAnsi="Times New Roman" w:eastAsia="Times New Roman" w:cs="Times New Roman"/>
              <w:lang w:val="zh-CN" w:eastAsia="en-GB"/>
            </w:rPr>
            <w:t>Challenges Faced and Solutions</w:t>
          </w:r>
          <w:r>
            <w:tab/>
          </w:r>
          <w:r>
            <w:fldChar w:fldCharType="begin"/>
          </w:r>
          <w:r>
            <w:instrText xml:space="preserve"> PAGEREF _Toc216124544 \h </w:instrText>
          </w:r>
          <w:r>
            <w:fldChar w:fldCharType="separate"/>
          </w:r>
          <w:r>
            <w:t>24</w:t>
          </w:r>
          <w:r>
            <w:fldChar w:fldCharType="end"/>
          </w:r>
          <w:r>
            <w:fldChar w:fldCharType="end"/>
          </w:r>
        </w:p>
        <w:p w14:paraId="7B3CDF80">
          <w:pPr>
            <w:pStyle w:val="21"/>
            <w:tabs>
              <w:tab w:val="right" w:leader="dot" w:pos="9016"/>
            </w:tabs>
            <w:rPr>
              <w:rFonts w:eastAsiaTheme="minorEastAsia"/>
              <w:b w:val="0"/>
              <w:bCs w:val="0"/>
              <w:sz w:val="24"/>
              <w:szCs w:val="24"/>
              <w:lang w:val="zh-CN" w:eastAsia="en-GB"/>
            </w:rPr>
          </w:pPr>
          <w:r>
            <w:fldChar w:fldCharType="begin"/>
          </w:r>
          <w:r>
            <w:instrText xml:space="preserve"> HYPERLINK \l "_Toc216124545" </w:instrText>
          </w:r>
          <w:r>
            <w:fldChar w:fldCharType="separate"/>
          </w:r>
          <w:r>
            <w:rPr>
              <w:rStyle w:val="15"/>
              <w:rFonts w:ascii="Times New Roman" w:hAnsi="Times New Roman" w:eastAsia="Times New Roman" w:cs="Times New Roman"/>
              <w:lang w:val="zh-CN" w:eastAsia="en-GB"/>
            </w:rPr>
            <w:t>Results and Discussion</w:t>
          </w:r>
          <w:r>
            <w:tab/>
          </w:r>
          <w:r>
            <w:fldChar w:fldCharType="begin"/>
          </w:r>
          <w:r>
            <w:instrText xml:space="preserve"> PAGEREF _Toc216124545 \h </w:instrText>
          </w:r>
          <w:r>
            <w:fldChar w:fldCharType="separate"/>
          </w:r>
          <w:r>
            <w:t>25</w:t>
          </w:r>
          <w:r>
            <w:fldChar w:fldCharType="end"/>
          </w:r>
          <w:r>
            <w:fldChar w:fldCharType="end"/>
          </w:r>
        </w:p>
        <w:p w14:paraId="69573C7D">
          <w:pPr>
            <w:pStyle w:val="20"/>
            <w:tabs>
              <w:tab w:val="right" w:leader="dot" w:pos="9016"/>
            </w:tabs>
            <w:rPr>
              <w:rFonts w:eastAsiaTheme="minorEastAsia"/>
              <w:b w:val="0"/>
              <w:bCs w:val="0"/>
              <w:i w:val="0"/>
              <w:iCs w:val="0"/>
              <w:lang w:val="zh-CN" w:eastAsia="en-GB"/>
            </w:rPr>
          </w:pPr>
          <w:r>
            <w:fldChar w:fldCharType="begin"/>
          </w:r>
          <w:r>
            <w:instrText xml:space="preserve"> HYPERLINK \l "_Toc216124546" </w:instrText>
          </w:r>
          <w:r>
            <w:fldChar w:fldCharType="separate"/>
          </w:r>
          <w:r>
            <w:rPr>
              <w:rStyle w:val="15"/>
              <w:rFonts w:ascii="Times New Roman" w:hAnsi="Times New Roman" w:eastAsia="Times New Roman" w:cs="Times New Roman"/>
              <w:lang w:val="zh-CN" w:eastAsia="en-GB"/>
            </w:rPr>
            <w:t>Conclusion</w:t>
          </w:r>
          <w:r>
            <w:tab/>
          </w:r>
          <w:r>
            <w:fldChar w:fldCharType="begin"/>
          </w:r>
          <w:r>
            <w:instrText xml:space="preserve"> PAGEREF _Toc216124546 \h </w:instrText>
          </w:r>
          <w:r>
            <w:fldChar w:fldCharType="separate"/>
          </w:r>
          <w:r>
            <w:t>27</w:t>
          </w:r>
          <w:r>
            <w:fldChar w:fldCharType="end"/>
          </w:r>
          <w:r>
            <w:fldChar w:fldCharType="end"/>
          </w:r>
        </w:p>
        <w:p w14:paraId="52B88583">
          <w:pPr>
            <w:pStyle w:val="20"/>
            <w:tabs>
              <w:tab w:val="right" w:leader="dot" w:pos="9016"/>
            </w:tabs>
            <w:rPr>
              <w:rFonts w:eastAsiaTheme="minorEastAsia"/>
              <w:b w:val="0"/>
              <w:bCs w:val="0"/>
              <w:i w:val="0"/>
              <w:iCs w:val="0"/>
              <w:lang w:val="zh-CN" w:eastAsia="en-GB"/>
            </w:rPr>
          </w:pPr>
          <w:r>
            <w:fldChar w:fldCharType="begin"/>
          </w:r>
          <w:r>
            <w:instrText xml:space="preserve"> HYPERLINK \l "_Toc216124547" </w:instrText>
          </w:r>
          <w:r>
            <w:fldChar w:fldCharType="separate"/>
          </w:r>
          <w:r>
            <w:rPr>
              <w:rStyle w:val="15"/>
              <w:rFonts w:ascii="Times New Roman" w:hAnsi="Times New Roman" w:eastAsia="Times New Roman" w:cs="Times New Roman"/>
              <w:lang w:val="zh-CN" w:eastAsia="en-GB"/>
            </w:rPr>
            <w:t>References</w:t>
          </w:r>
          <w:r>
            <w:tab/>
          </w:r>
          <w:r>
            <w:fldChar w:fldCharType="begin"/>
          </w:r>
          <w:r>
            <w:instrText xml:space="preserve"> PAGEREF _Toc216124547 \h </w:instrText>
          </w:r>
          <w:r>
            <w:fldChar w:fldCharType="separate"/>
          </w:r>
          <w:r>
            <w:t>29</w:t>
          </w:r>
          <w:r>
            <w:fldChar w:fldCharType="end"/>
          </w:r>
          <w:r>
            <w:fldChar w:fldCharType="end"/>
          </w:r>
        </w:p>
        <w:p w14:paraId="08C3565D">
          <w:pPr>
            <w:spacing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fldChar w:fldCharType="end"/>
          </w:r>
        </w:p>
      </w:sdtContent>
    </w:sdt>
    <w:p w14:paraId="48D4D952">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2C0460F">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505C702">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C4226B5">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0785E4EE">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06245FF3">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61D4579">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416A0D7D">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28A1FDB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98F255A">
      <w:pPr>
        <w:pStyle w:val="2"/>
        <w:spacing w:line="360" w:lineRule="auto"/>
        <w:rPr>
          <w:rFonts w:ascii="Times New Roman" w:hAnsi="Times New Roman" w:cs="Times New Roman"/>
          <w:color w:val="000000" w:themeColor="text1"/>
          <w:sz w:val="28"/>
          <w:szCs w:val="28"/>
          <w14:textFill>
            <w14:solidFill>
              <w14:schemeClr w14:val="tx1"/>
            </w14:solidFill>
          </w14:textFill>
        </w:rPr>
      </w:pPr>
      <w:bookmarkStart w:id="1" w:name="_Toc216124536"/>
      <w:r>
        <w:rPr>
          <w:rFonts w:ascii="Times New Roman" w:hAnsi="Times New Roman" w:eastAsia="Times New Roman" w:cs="Times New Roman"/>
          <w:color w:val="000000" w:themeColor="text1"/>
          <w:sz w:val="28"/>
          <w:szCs w:val="28"/>
          <w:lang w:val="zh-CN" w:eastAsia="en-GB"/>
          <w14:textFill>
            <w14:solidFill>
              <w14:schemeClr w14:val="tx1"/>
            </w14:solidFill>
          </w14:textFill>
        </w:rPr>
        <w:t>Introduction</w:t>
      </w:r>
      <w:bookmarkEnd w:id="1"/>
    </w:p>
    <w:p w14:paraId="3398DFAA">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hint="default" w:ascii="Times New Roman" w:hAnsi="Times New Roman" w:eastAsia="Times New Roman"/>
          <w:color w:val="000000" w:themeColor="text1"/>
          <w:kern w:val="0"/>
          <w:lang w:val="zh-CN" w:eastAsia="en-GB"/>
          <w14:textFill>
            <w14:solidFill>
              <w14:schemeClr w14:val="tx1"/>
            </w14:solidFill>
          </w14:textFill>
          <w14:ligatures w14:val="none"/>
        </w:rPr>
        <w:t>With the ever-changing cybersecurity landscape, corporate networks are faced with sophisticated threats such as ransomware, Advanced Persistent Threats (APTs), and Zero-Day Attacks as never before.</w:t>
      </w:r>
      <w:bookmarkStart w:id="13" w:name="_GoBack"/>
      <w:bookmarkEnd w:id="13"/>
      <w:r>
        <w:rPr>
          <w:rFonts w:ascii="Times New Roman" w:hAnsi="Times New Roman" w:eastAsia="Times New Roman"/>
          <w:color w:val="000000" w:themeColor="text1"/>
          <w:kern w:val="0"/>
          <w:lang w:val="zh-CN" w:eastAsia="en-GB"/>
          <w14:textFill>
            <w14:solidFill>
              <w14:schemeClr w14:val="tx1"/>
            </w14:solidFill>
          </w14:textFill>
          <w14:ligatures w14:val="none"/>
        </w:rPr>
        <w:t>With the growing dependency of organizations on interrelated systems to enhance their efficiency, network security becomes highly important. This report is a documentation of the real life application of an enterprise network security within the framework of the MSc in Cybersecurity and Digital Forensics module on Enterprise Network Security. The given assignment presupposes the implementation of a multi-site network topology, its validation by a CTF challenge, and the further protection with the help of Check point Gaia appliances.</w:t>
      </w:r>
    </w:p>
    <w:p w14:paraId="0AC93ACD">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The topology consists of two sites SWANSEA.ACCA and LONDON.SWANSEA.ACCA which are combined with the following basic services: DNS, firewalls, Active Directory (AD) Domain Controller with a child domain, site-to-site VPN, DHCP, IIS web server, and user accounts managed by AD. This architecture resembles the real-world enterprise architectures where the multi-site connectivity enables working together, whereas it presents issues such as unauthorized access and data exfiltration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[15]</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Modern studies underline the necessity of integrated security management that could control and eliminate these risks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[17]</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64E18D3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report starts with a literature review of the existing research on vulnerabilities to network security and mitigation measures. It then outlines the Part 1 CTF activities, and then the security implementations of Part 2. The arguments on methodology, findings, and conclusions are mixed in a way that leads to conclusions and recommendations. Every configuration is supported by screen shots which is compliant to the standard of academic transparency and reproducibility.</w:t>
      </w:r>
    </w:p>
    <w:p w14:paraId="3BF40A9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"https://www.researchgate.net/publication/232590969/figure/fig3/AS:300584881147907@1448676428598/Proposed-Security-Design-for-LAN-Topology-41-Active-Directory-Active-Directory-AD-1.png"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140325" cy="3810000"/>
            <wp:effectExtent l="0" t="0" r="3175" b="0"/>
            <wp:docPr id="970590270" name="Picture 46" descr="Proposed Security Design for LAN Topology 4.1 Active Direc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90270" name="Picture 46" descr="Proposed Security Design for LAN Topology 4.1 Active Directory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140325" cy="381000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1C46395D">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"https://www.conceptdraw.com/How-To-Guide/picture/Network-diagram-Ultra-high-performance-WLANs.png"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307840"/>
            <wp:effectExtent l="0" t="0" r="0" b="0"/>
            <wp:docPr id="1273341350" name="Picture 45" descr="Using Remote Networking Diagrams | Network Diagram Examp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41350" name="Picture 45" descr="Using Remote Networking Diagrams | Network Diagram Exampl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430784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D1372B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"https://static.wixstatic.com/media/3e8933_03a0ab5525e24d1081381b8a7b4788f4~mv2.png/v1/fill/w_980,h_752,al_c,q_90,usm_0.66_1.00_0.01,enc_avif,quality_auto/3e8933_03a0ab5525e24d1081381b8a7b4788f4~mv2.png"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397375"/>
            <wp:effectExtent l="0" t="0" r="0" b="0"/>
            <wp:docPr id="1453552585" name="Picture 44" descr="Network Design Scenario #3: Remote Access VPN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52585" name="Picture 44" descr="Network Design Scenario #3: Remote Access VPN De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1510" cy="439737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E24865B">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Enterprise network security refers to the safeguarding of data, systems, and communications belonging to an organization in order to prevent unwarranted attacks and interruption. NIST  argues that the best security practices include security layers such as firewall, intrusion prevention system (IPS), and identity management. More recent research indicates the existence of vulnerabilities in the enterprise networks, including poorly configured access controls and ineffective authentication methods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[21]</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5A4353E2">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According to a study by Riggs et al., the most prevalent cyber attacks on critical infrastructure have happened within the last 20 years and these attacks are characterized by the most common entry points, such as phishing and unpatched software. One of such mitigation strategies is carrying out vulnerability scanning routinely and adopting zero-trust architectures, which presuppose the absence of an implicit trust in the network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[8]</w:t>
      </w:r>
      <w:r>
        <w:rPr>
          <w:rFonts w:ascii="Times New Roman" w:hAnsi="Times New Roman" w:eastAsia="Times New Roman"/>
          <w:color w:val="000000" w:themeColor="text1"/>
          <w:kern w:val="0"/>
          <w:lang w:val="zh-CN" w:eastAsia="en-GB"/>
          <w14:textFill>
            <w14:solidFill>
              <w14:schemeClr w14:val="tx1"/>
            </w14:solidFill>
          </w14:textFill>
          <w14:ligatures w14:val="none"/>
        </w:rPr>
        <w:t>. During the implementation of the Active Directory, Microsoft  suggests to minimize attack surfaces by limiting privileged accounts and secure administrative hosts.</w:t>
      </w:r>
    </w:p>
    <w:p w14:paraId="63F5E47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CTF challenges are computer-based games which replicate real-life situations of hacking to develop applied skills. In their research on the educational value of CTF, Švábenský et al.  discovered that those educational tools increase the knowledge of such areas as reconnaissance, exploitation, and defense. Karagiannis et al.compare open-source CTF platforms and observe that they are effective in training network configuration and vulnerability discovery.</w:t>
      </w:r>
    </w:p>
    <w:p w14:paraId="6B4B4BA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"https://cybexer.com/hubfs/Blog%202024/Capture-the-flag-800x622-1.jpg"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4341495" cy="3376295"/>
            <wp:effectExtent l="0" t="0" r="1905" b="1905"/>
            <wp:docPr id="1484792720" name="Picture 43" descr="A Capture-the-Flag (CTF) Exercise Explained | CybExer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92720" name="Picture 43" descr="A Capture-the-Flag (CTF) Exercise Explained | CybExer Technolog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357132" cy="338829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2A2210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0D90D63">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"https://cdn.nulab.com/learn-wp/app/uploads/2019/05/14210442/Nulab-Capture-the-Flag-CTF-Challenge-Blog.png"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4022090" cy="2660015"/>
            <wp:effectExtent l="0" t="0" r="3810" b="0"/>
            <wp:docPr id="1150868544" name="Picture 41" descr="Exploring cyber security through a Capture the Flag (CTF) game | Nu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68544" name="Picture 41" descr="Exploring cyber security through a Capture the Flag (CTF) game | Nula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064028" cy="2687589"/>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1E369A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In comparing CTF in the metaverse and physical environment, Al-Karaki et al. conclude that virtual environments provide scalable training opportunities.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[10]</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concentrate on undergraduates in Malaysia and prove that CTF contributes to establishing problem-solving and ethical hacking mentality. These results highlight the congruence between CTF and module outcomes as regards the implementation of security principles.</w:t>
      </w:r>
    </w:p>
    <w:p w14:paraId="2E339970">
      <w:pPr>
        <w:pStyle w:val="2"/>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2" w:name="_Toc216124537"/>
      <w:r>
        <w:rPr>
          <w:rFonts w:ascii="Times New Roman" w:hAnsi="Times New Roman" w:eastAsia="Times New Roman" w:cs="Times New Roman"/>
          <w:color w:val="000000" w:themeColor="text1"/>
          <w:sz w:val="24"/>
          <w:szCs w:val="24"/>
          <w:lang w:val="zh-CN" w:eastAsia="en-GB"/>
          <w14:textFill>
            <w14:solidFill>
              <w14:schemeClr w14:val="tx1"/>
            </w14:solidFill>
          </w14:textFill>
        </w:rPr>
        <w:t>Part 2: Securing the Enterprise Network - Implementation of a Network Security Solution</w:t>
      </w:r>
      <w:bookmarkEnd w:id="2"/>
    </w:p>
    <w:p w14:paraId="0C9229E5">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3" w:name="_Toc216124538"/>
      <w:r>
        <w:rPr>
          <w:rFonts w:ascii="Times New Roman" w:hAnsi="Times New Roman" w:eastAsia="Times New Roman" w:cs="Times New Roman"/>
          <w:color w:val="000000" w:themeColor="text1"/>
          <w:sz w:val="24"/>
          <w:szCs w:val="24"/>
          <w:lang w:val="zh-CN" w:eastAsia="en-GB"/>
          <w14:textFill>
            <w14:solidFill>
              <w14:schemeClr w14:val="tx1"/>
            </w14:solidFill>
          </w14:textFill>
        </w:rPr>
        <w:t>Introduction to Securing the Enterprise Network</w:t>
      </w:r>
      <w:bookmarkEnd w:id="3"/>
    </w:p>
    <w:p w14:paraId="5E5DDF40">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Part 2 of this assessment is built on the basis of deployment and verification of the foundation of part 1 wherein the current assessment is based on the implementation of a fully comprehensive network security solution with Check Point Gaia appliances. With the existing enterprise network topology, as spelt out in the module requirement, this step involves the reconfiguration of the current network topology to accommodate the new advanced security features, such as policy centralization, firewall policies enforcement, and other security features. The entries are submitted in the form of a report and screenshots and a live demonstration on the 16th January 2026, in a 30-minute slot: 15 minutes of configurations demonstration and 15 minutes of questions and answers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[3]</w:t>
      </w:r>
      <w:r>
        <w:rPr>
          <w:rFonts w:ascii="Times New Roman" w:hAnsi="Times New Roman" w:eastAsia="Times New Roman"/>
          <w:color w:val="000000" w:themeColor="text1"/>
          <w:kern w:val="0"/>
          <w:lang w:val="zh-CN" w:eastAsia="en-GB"/>
          <w14:textFill>
            <w14:solidFill>
              <w14:schemeClr w14:val="tx1"/>
            </w14:solidFill>
          </w14:textFill>
          <w14:ligatures w14:val="none"/>
        </w:rPr>
        <w:t>. This section is 80 percent of the total assessment of the module and it lays stress on practical skills in mitigating the major vulnerabilities by means of cohesive security architecture.</w:t>
      </w:r>
    </w:p>
    <w:p w14:paraId="524A88C5">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Enterprise network is now secured with Gaia OS and it deals with practical challenges like hacking, spread of malware and stealing of information. The current studies have emphasized the significance of layered defenses in enterprise settings where centralized management simplifies the complexity of the environment and improves response time to incidents</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[12]</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This implementation can be considered a best practice to deploy policy-based security by leveraging the Check Point elements, such as Security Management Server (SMS), Gateway (GW), and SmartConsole GUI, as it is recommended by the administration guides published by Check Point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[4]</w:t>
      </w: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 It is a demonstration of critical awareness of existing issues with network security, such as the necessity of identity-based controls and threat pre-emptive, which meets the learning outcome of modules based on applying principles to facilitate security features and policies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[17]</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106DC45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In this section, I will describe the topology changes, installation procedures, rule settings, and other improvements, configuration problems/challenges, and analytical observations. The evidence is presented through time-stamped screen shots which makes it transparent and consistent with the academic honesty standards. The given strategy not only ensures the network but also justifies decisions in accordance with the standards of the industry, including NIST firewall recommendations and Check Point hardening requirements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[5]</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5E11D7C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"https://www.letsconfig.com/wp-content/uploads/2019/03/Install-Gaia.png"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69105"/>
            <wp:effectExtent l="0" t="0" r="0" b="0"/>
            <wp:docPr id="101794735" name="Picture 40"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94735" name="Picture 40" descr="How to Install Check Point Firewall Gaia R80.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31510" cy="426910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D8EF003">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"https://www.letsconfig.com/wp-content/uploads/2019/03/First-Time-Configuration-Wizard-Summary.png"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015740"/>
            <wp:effectExtent l="0" t="0" r="0" b="0"/>
            <wp:docPr id="1477244683" name="Picture 39"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44683" name="Picture 39" descr="How to Install Check Point Firewall Gaia R80.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401574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1F9A8852">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"https://sc1.checkpoint.com/sc/SolutionsStatics/sk120193/Blink-6.png"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490720"/>
            <wp:effectExtent l="0" t="0" r="0" b="5080"/>
            <wp:docPr id="1609303270" name="Picture 38" descr="sk120193 - Blink - Gaia Fast De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03270" name="Picture 38" descr="sk120193 - Blink - Gaia Fast Deploy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731510" cy="449072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66C748E">
      <w:pPr>
        <w:spacing w:before="100" w:beforeAutospacing="1" w:after="100" w:afterAutospacing="1" w:line="360" w:lineRule="auto"/>
        <w:outlineLvl w:val="2"/>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bookmarkStart w:id="4" w:name="_Toc216124539"/>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Network Topology and Components Overview</w:t>
      </w:r>
      <w:bookmarkEnd w:id="4"/>
    </w:p>
    <w:p w14:paraId="09C018FF">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secured enterprise network topology is an extension of the Part 1 topology which adds Check Point Gaia appliances to provide increased protection. The initial multi-site structure is still there, which is SWANSEA.ACCA (parent domain) and LONDON.SWANSEA.ACCA (child domain) with DNS, AD DC, VPN, DHCP, IIS and user management services. Changes will involve the addition of A-GW as the security gateway, A-SMS as the central management, and A-GUI (SmartConsole) on the workstation of management. This forms a single security framework where centrally defined policies are implemented at the gateways and administrative silos are minimized and visibility enhanced.</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(Palo Alto Networks, n.d.).</w:t>
      </w:r>
    </w:p>
    <w:p w14:paraId="298BA4F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Key components:</w:t>
      </w:r>
    </w:p>
    <w:p w14:paraId="6D443F4A">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A-GW (Gateway)</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Positioned at the network edge (IP: 192.168.1.50/24), it enforces rules, IPS, and other blades.</w:t>
      </w:r>
    </w:p>
    <w:p w14:paraId="6E3CF67C">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A-SMS (Security Management Server)</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Runs on Gaia OS (IP: 192.168.1.200/24), handling policy creation, logging, and updates.</w:t>
      </w:r>
    </w:p>
    <w:p w14:paraId="33C8F5F3">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A-GUI (SmartConsole)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Installed on a Windows workstation for graphical administration, connecting via Secure Internal Communication (SIC).</w:t>
      </w:r>
    </w:p>
    <w:p w14:paraId="3F902B5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Access controls and monitoring prevent some of the vulnerabilities that were identified in Part 1, which include open ports and weak authentications. Empirical studies point to the fact that centralized administration is able to lower the time to respond to breaches by 40 percent in a company environment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[15]</w:t>
      </w:r>
      <w:r>
        <w:rPr>
          <w:rFonts w:ascii="Times New Roman" w:hAnsi="Times New Roman" w:eastAsia="Times New Roman"/>
          <w:color w:val="000000" w:themeColor="text1"/>
          <w:kern w:val="0"/>
          <w:lang w:val="zh-CN" w:eastAsia="en-GB"/>
          <w14:textFill>
            <w14:solidFill>
              <w14:schemeClr w14:val="tx1"/>
            </w14:solidFill>
          </w14:textFill>
          <w14:ligatures w14:val="none"/>
        </w:rPr>
        <w:t>.</w:t>
      </w:r>
    </w:p>
    <w:p w14:paraId="18DB8E10">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"https://sc1.checkpoint.com/documents/R81/WebAdminGuides/EN/CP_R81_Multi-DomainSecurityManagement_AdminGuide/Resources/Images/Images-for-MDSG/121730.png"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706495"/>
            <wp:effectExtent l="0" t="0" r="0" b="1905"/>
            <wp:docPr id="1761153416" name="Picture 37" descr="SmartCon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53416" name="Picture 37" descr="SmartConso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731510" cy="370649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9E5AD0B">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"https://essgeelabs.com/posts/configure-your-check-point-firewall/images/30.png"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053715"/>
            <wp:effectExtent l="0" t="0" r="0" b="0"/>
            <wp:docPr id="1476449534" name="Picture 36" descr="Configure Your Check Point Firewall | Ess Gee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449534" name="Picture 36" descr="Configure Your Check Point Firewall | Ess Gee Lab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731510" cy="30537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B2C3F6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"https://community.checkpoint.com/legacyfs/online/checkpoint/79816_pastedImage_5.png"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197225"/>
            <wp:effectExtent l="0" t="0" r="0" b="3175"/>
            <wp:docPr id="707308820" name="Picture 35" descr="Show Gateways Interfaces Extension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308820" name="Picture 35" descr="Show Gateways Interfaces Extension - Check Point CheckMat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731510" cy="319722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2B8A6742">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5" w:name="_Toc216124540"/>
      <w:r>
        <w:rPr>
          <w:rFonts w:ascii="Times New Roman" w:hAnsi="Times New Roman" w:eastAsia="Times New Roman" w:cs="Times New Roman"/>
          <w:color w:val="000000" w:themeColor="text1"/>
          <w:sz w:val="24"/>
          <w:szCs w:val="24"/>
          <w:lang w:val="zh-CN" w:eastAsia="en-GB"/>
          <w14:textFill>
            <w14:solidFill>
              <w14:schemeClr w14:val="tx1"/>
            </w14:solidFill>
          </w14:textFill>
        </w:rPr>
        <w:t>Tools and Environment Setup</w:t>
      </w:r>
      <w:bookmarkEnd w:id="5"/>
    </w:p>
    <w:p w14:paraId="77A811F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implementation was conducted in a virtualized lab environment, using VMware or VirtualBox for VMs. Key tools included:</w:t>
      </w:r>
    </w:p>
    <w:p w14:paraId="05C5F30C">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Gaia OS ISO</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For installing A-SMS and A-GW.</w:t>
      </w:r>
    </w:p>
    <w:p w14:paraId="1609BD66">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SmartConsole Installer</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Downloaded from Check Point User Center for GUI management.</w:t>
      </w:r>
    </w:p>
    <w:p w14:paraId="0EB3A1B6">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Clish and Expert Mode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Command-line interfaces for configuration and licensing.</w:t>
      </w:r>
    </w:p>
    <w:p w14:paraId="1C4F8AAD">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Ping and Traceroute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For connectivity testing.</w:t>
      </w:r>
    </w:p>
    <w:p w14:paraId="3287D43B">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Active Directory Tools</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On the DC for user group management.</w:t>
      </w:r>
    </w:p>
    <w:p w14:paraId="1FE5BCE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It was configured to integrate with Windows Server to use as an AD and Gaia R81 or later to use with appliances. The licenses were received through the Check Point portal, which focuses on compliance</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4B8D42E9">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6" w:name="_Toc216124541"/>
      <w:r>
        <w:rPr>
          <w:rFonts w:ascii="Times New Roman" w:hAnsi="Times New Roman" w:eastAsia="Times New Roman" w:cs="Times New Roman"/>
          <w:color w:val="000000" w:themeColor="text1"/>
          <w:sz w:val="24"/>
          <w:szCs w:val="24"/>
          <w:lang w:val="zh-CN" w:eastAsia="en-GB"/>
          <w14:textFill>
            <w14:solidFill>
              <w14:schemeClr w14:val="tx1"/>
            </w14:solidFill>
          </w14:textFill>
        </w:rPr>
        <w:t>Installation and Configuration of Check Point Components</w:t>
      </w:r>
      <w:bookmarkEnd w:id="6"/>
      <w:r>
        <w:rPr>
          <w:rFonts w:ascii="Times New Roman" w:hAnsi="Times New Roman" w:eastAsia="Times New Roman" w:cs="Times New Roman"/>
          <w:color w:val="000000" w:themeColor="text1"/>
          <w:sz w:val="24"/>
          <w:szCs w:val="24"/>
          <w:lang w:val="zh-CN" w:eastAsia="en-GB"/>
          <w14:textFill>
            <w14:solidFill>
              <w14:schemeClr w14:val="tx1"/>
            </w14:solidFill>
          </w14:textFill>
        </w:rPr>
        <w:t xml:space="preserve"> </w:t>
      </w:r>
    </w:p>
    <w:p w14:paraId="054CBFB0">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Topology Modification</w:t>
      </w:r>
    </w:p>
    <w:p w14:paraId="6C626AA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To check the traffic, its topology was changed to include A-GW between the internet cloud and internal networks. A-SMS was registered in the management segment as the push in secure policy. This is centralized control according to Check Point guidelines, and allows distributed security among sites</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[5]</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16A2467D">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Detailed Installation Process</w:t>
      </w:r>
    </w:p>
    <w:p w14:paraId="6A76D757">
      <w:pPr>
        <w:spacing w:before="100" w:beforeAutospacing="1" w:after="100" w:afterAutospacing="1" w:line="360" w:lineRule="auto"/>
        <w:rPr>
          <w:rFonts w:ascii="Times New Roman" w:hAnsi="Times New Roman" w:eastAsia="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installation was started by installing the Gaia ISO on a new VM. Rebooted into the installer and entered Install Gaia on this system, then completed the wizard on disk-partitioning (e.g. LVM set-up), hostname set-up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 xml:space="preserve">for example, </w:t>
      </w:r>
      <w:r>
        <w:rPr>
          <w:rFonts w:ascii="Times New Roman" w:hAnsi="Times New Roman" w:eastAsia="Times New Roman"/>
          <w:color w:val="000000" w:themeColor="text1"/>
          <w:kern w:val="0"/>
          <w:lang w:val="zh-CN" w:eastAsia="en-GB"/>
          <w14:textFill>
            <w14:solidFill>
              <w14:schemeClr w14:val="tx1"/>
            </w14:solidFill>
          </w14:textFill>
          <w14:ligatures w14:val="none"/>
        </w:rPr>
        <w:t>sms.swansea.acca) and boot networking. The First Time Wizard (FTW) was result of post-install reboot, when interfaces were configured (eth0: 192.168.1.200/24), administration passwords were established, and management mode was also activated. In case of A-GW, the same steps were done with IP 192.168.1.50/24 and the role of a gateway.</w:t>
      </w:r>
    </w:p>
    <w:p w14:paraId="6C300BB4">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SmartConsole was installed on the workstation through the executable, which created SIC with A-SMS through the creation of a one-time password and the initiation of trust.</w:t>
      </w:r>
    </w:p>
    <w:p w14:paraId="0A3DF633">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"https://www.letsconfig.com/wp-content/uploads/2019/03/Install-Gaia.png"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69105"/>
            <wp:effectExtent l="0" t="0" r="0" b="0"/>
            <wp:docPr id="1870308026" name="Picture 34"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08026" name="Picture 34" descr="How to Install Check Point Firewall Gaia R80.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31510" cy="426910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61AB51C">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"https://www.letsconfig.com/wp-content/uploads/2019/03/First-Time-Configuration-Wizard-Summary.png"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015740"/>
            <wp:effectExtent l="0" t="0" r="0" b="0"/>
            <wp:docPr id="256076102" name="Picture 33" descr="How to Install Check Point Firewall Gaia R8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76102" name="Picture 33" descr="How to Install Check Point Firewall Gaia R80.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401574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9A2979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"https://sc1.checkpoint.com/sc/SolutionsStatics/sk120193/Blink-6.png"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490720"/>
            <wp:effectExtent l="0" t="0" r="0" b="5080"/>
            <wp:docPr id="760041627" name="Picture 32" descr="sk120193 - Blink - Gaia Fast De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041627" name="Picture 32" descr="sk120193 - Blink - Gaia Fast Deploy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731510" cy="449072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D9E39F8">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fldChar w:fldCharType="begin"/>
      </w:r>
      <w:r>
        <w:instrText xml:space="preserve"> HYPERLINK "https://support.checkpoint.com/results/sk/sk120193" \t "_blank" </w:instrText>
      </w:r>
      <w:r>
        <w:fldChar w:fldCharType="separate"/>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t>support.checkpoint.com</w:t>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fldChar w:fldCharType="end"/>
      </w:r>
    </w:p>
    <w:p w14:paraId="3A22CF30">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Licensing and Connectivity</w:t>
      </w:r>
    </w:p>
    <w:p w14:paraId="6473341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Clish mode licenses were used: set license add CPSB-SMS to be managed, show licenses all to see them. Expiration dates were recorded according to the requirements of the modules. Ping 192.168.1.10 A-SMS AD DC: connectivity: no drops, less than 1ms latency.</w:t>
      </w:r>
    </w:p>
    <w:p w14:paraId="32A20D0E">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"https://blogger.googleusercontent.com/img/b/R29vZ2xl/AVvXsEi0eOB7tXRBriRN3rV2O1EWaqLnAZwMluVldiZHY6E3pXbICU9yRlQt7tV05Vdh6AhyAhS2EC8wqemZOI86HFh4wTe4a_mCHAkuEhxnZ2UklO9g7oOQh6ht_l5Hq5d1oZWp6rtfCSxtdJU/s1600/cli-36.jpg"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176270"/>
            <wp:effectExtent l="0" t="0" r="0" b="0"/>
            <wp:docPr id="1493463214" name="Picture 31" descr="My Check Point CCSA Journal: Check Point Command Line Interface (C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63214" name="Picture 31" descr="My Check Point CCSA Journal: Check Point Command Line Interface (CLI)"/>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731510" cy="317627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DDB9C7E">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"https://amajumder.wordpress.com/wp-content/uploads/2015/07/img3.png"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223895"/>
            <wp:effectExtent l="0" t="0" r="0" b="1905"/>
            <wp:docPr id="205457012" name="Picture 30" descr="Add Checkpoint license in Expired Smart Center or Gatew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7012" name="Picture 30" descr="Add Checkpoint license in Expired Smart Center or Gateway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731510" cy="322389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D0F4F69">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"https://community.checkpoint.com/t5/image/serverpage/image-id/9107iF6953423AF718D55/"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722495"/>
            <wp:effectExtent l="0" t="0" r="0" b="1905"/>
            <wp:docPr id="1291702257" name="Picture 29" descr="Easy View Tool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02257" name="Picture 29" descr="Easy View Tool - Check Point CheckMat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731510" cy="472249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F664D7C">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Justification and Evaluation</w:t>
      </w:r>
    </w:p>
    <w:p w14:paraId="62B73575">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Licensing provides the global feature availability, which does not limit production. This is in line with the hardening specifications that aims at reducing risks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[6]</w:t>
      </w:r>
      <w:r>
        <w:rPr>
          <w:rFonts w:ascii="Times New Roman" w:hAnsi="Times New Roman" w:eastAsia="Times New Roman"/>
          <w:color w:val="000000" w:themeColor="text1"/>
          <w:kern w:val="0"/>
          <w:lang w:val="zh-CN" w:eastAsia="en-GB"/>
          <w14:textFill>
            <w14:solidFill>
              <w14:schemeClr w14:val="tx1"/>
            </w14:solidFill>
          </w14:textFill>
          <w14:ligatures w14:val="none"/>
        </w:rPr>
        <w:t>. Connectivity and the ability to create profiles were successful evaluation criteria</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(e.g., admin and auditor roles).</w:t>
      </w:r>
    </w:p>
    <w:p w14:paraId="298AB82D">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7" w:name="_Toc216124542"/>
      <w:r>
        <w:rPr>
          <w:rFonts w:ascii="Times New Roman" w:hAnsi="Times New Roman" w:eastAsia="Times New Roman" w:cs="Times New Roman"/>
          <w:color w:val="000000" w:themeColor="text1"/>
          <w:sz w:val="24"/>
          <w:szCs w:val="24"/>
          <w:lang w:val="zh-CN" w:eastAsia="en-GB"/>
          <w14:textFill>
            <w14:solidFill>
              <w14:schemeClr w14:val="tx1"/>
            </w14:solidFill>
          </w14:textFill>
        </w:rPr>
        <w:t>Firewall Rules Definition and Enforcement</w:t>
      </w:r>
      <w:bookmarkEnd w:id="7"/>
    </w:p>
    <w:p w14:paraId="49C854B0">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Rule Configuration Details</w:t>
      </w:r>
    </w:p>
    <w:p w14:paraId="2565C293">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In Access Control layer of SmartConsole, the rules were written, and they followed the least-privilege principle: default drop the unmatched traffic. There were specific allows, such as HTTP/HTTPS to IIS by the internal sources; Telnet blocks and external ICMP blocks. Rule 1 - Source: Internal_Net, Destination: Web_Server, Service: HTTP, Action: Accept, Track: Log.</w:t>
      </w:r>
    </w:p>
    <w:p w14:paraId="4BE644B0">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"https://sc1.checkpoint.com/sc/SolutionsStatics/NEW_SK_NOID1484945000569/implied%20rules1701201248.png"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531235"/>
            <wp:effectExtent l="0" t="0" r="0" b="0"/>
            <wp:docPr id="897543321" name="Picture 28" descr="sk115600 - How to view and configure Implied Rules in SmartConso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543321" name="Picture 28" descr="sk115600 - How to view and configure Implied Rules in SmartConsole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731510" cy="353123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5BE5F21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"https://sc1.checkpoint.com/sc/SolutionsStatics/NEW_SK_NOID1484945000569/configurations1701201249.png"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070985"/>
            <wp:effectExtent l="0" t="0" r="0" b="5715"/>
            <wp:docPr id="652395245" name="Picture 27" descr="sk115600 - How to view and configure Implied Rules in SmartConso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95245" name="Picture 27" descr="sk115600 - How to view and configure Implied Rules in SmartConsole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731510" cy="407098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1F867577">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"https://essgeelabs.com/posts/configure-your-check-point-firewall/images/24.png"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053715"/>
            <wp:effectExtent l="0" t="0" r="0" b="0"/>
            <wp:docPr id="1139103573" name="Picture 26" descr="Configure Your Check Point Firewall | Ess Gee 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03573" name="Picture 26" descr="Configure Your Check Point Firewall | Ess Gee Lab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731510" cy="30537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045526C8">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The IPS and anti-malware blades were activated through the blade activation with the profiles adjusted to high prevention. The Identity Awareness was also configured by configuring AD query as the identity source.</w:t>
      </w:r>
    </w:p>
    <w:p w14:paraId="51BD843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"https://sc1.checkpoint.com/sc/SolutionsStatics/sk88520/keep-alive.png"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235960"/>
            <wp:effectExtent l="0" t="0" r="0" b="2540"/>
            <wp:docPr id="1206928420" name="Picture 25" descr="sk88520 - Best Practices - Identity Awareness Large Scale Deploy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28420" name="Picture 25" descr="sk88520 - Best Practices - Identity Awareness Large Scale Deployme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731510" cy="323596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E874A90">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"https://www.checkpoint.com/wp-content/uploads/identity-awareness-carousel2-monitor-traffic.png"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306060" cy="3241675"/>
            <wp:effectExtent l="0" t="0" r="0" b="0"/>
            <wp:docPr id="258632057" name="Picture 24" descr="Identity Awareness - Check Point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632057" name="Picture 24" descr="Identity Awareness - Check Point Softwa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306060" cy="324167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574462C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"https://community.securid.com/servlet/rtaImage?eid=ka4PO0000000khB&amp;feoid=00N4u000004LDXp&amp;refid=0EMPO000005ahht"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044825"/>
            <wp:effectExtent l="0" t="0" r="0" b="3175"/>
            <wp:docPr id="1662553693" name="Picture 23" descr="Check Point Gateway Identity Awareness - RADIUS Configuration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53693" name="Picture 23" descr="Check Point Gateway Identity Awareness - RADIUS Configuration for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731510" cy="304482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58F79A2">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Justification</w:t>
      </w:r>
    </w:p>
    <w:p w14:paraId="1C3A454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 xml:space="preserve">These guidelines coincide with the default-deny principle of NIST that minimizes the risks of reconnaissance such as ping sweeps </w:t>
      </w:r>
      <w:r>
        <w:rPr>
          <w:rFonts w:hint="default" w:ascii="Times New Roman" w:hAnsi="Times New Roman" w:eastAsia="Times New Roman"/>
          <w:color w:val="000000" w:themeColor="text1"/>
          <w:kern w:val="0"/>
          <w:lang w:val="en-US" w:eastAsia="en-GB"/>
          <w14:textFill>
            <w14:solidFill>
              <w14:schemeClr w14:val="tx1"/>
            </w14:solidFill>
          </w14:textFill>
          <w14:ligatures w14:val="none"/>
        </w:rPr>
        <w:t>[12]</w:t>
      </w:r>
      <w:r>
        <w:rPr>
          <w:rFonts w:ascii="Times New Roman" w:hAnsi="Times New Roman" w:eastAsia="Times New Roman"/>
          <w:color w:val="000000" w:themeColor="text1"/>
          <w:kern w:val="0"/>
          <w:lang w:val="zh-CN" w:eastAsia="en-GB"/>
          <w14:textFill>
            <w14:solidFill>
              <w14:schemeClr w14:val="tx1"/>
            </w14:solidFill>
          </w14:textFill>
          <w14:ligatures w14:val="none"/>
        </w:rPr>
        <w:t>. According to best practices, integration improves role-based access</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028046DB">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8" w:name="_Toc216124543"/>
      <w:r>
        <w:rPr>
          <w:rFonts w:ascii="Times New Roman" w:hAnsi="Times New Roman" w:eastAsia="Times New Roman" w:cs="Times New Roman"/>
          <w:color w:val="000000" w:themeColor="text1"/>
          <w:sz w:val="24"/>
          <w:szCs w:val="24"/>
          <w:lang w:val="zh-CN" w:eastAsia="en-GB"/>
          <w14:textFill>
            <w14:solidFill>
              <w14:schemeClr w14:val="tx1"/>
            </w14:solidFill>
          </w14:textFill>
        </w:rPr>
        <w:t>Additional Security Enhancements</w:t>
      </w:r>
      <w:bookmarkEnd w:id="8"/>
      <w:r>
        <w:rPr>
          <w:rFonts w:ascii="Times New Roman" w:hAnsi="Times New Roman" w:eastAsia="Times New Roman" w:cs="Times New Roman"/>
          <w:color w:val="000000" w:themeColor="text1"/>
          <w:sz w:val="24"/>
          <w:szCs w:val="24"/>
          <w:lang w:val="zh-CN" w:eastAsia="en-GB"/>
          <w14:textFill>
            <w14:solidFill>
              <w14:schemeClr w14:val="tx1"/>
            </w14:solidFill>
          </w14:textFill>
        </w:rPr>
        <w:t xml:space="preserve"> </w:t>
      </w:r>
    </w:p>
    <w:p w14:paraId="0E2AEA6C">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Proposals and Implementation</w:t>
      </w:r>
    </w:p>
    <w:p w14:paraId="1F6FE0D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olor w:val="000000" w:themeColor="text1"/>
          <w:kern w:val="0"/>
          <w:lang w:val="zh-CN" w:eastAsia="en-GB"/>
          <w14:textFill>
            <w14:solidFill>
              <w14:schemeClr w14:val="tx1"/>
            </w14:solidFill>
          </w14:textFill>
          <w14:ligatures w14:val="none"/>
        </w:rPr>
        <w:t>Proposed features: URL blocking to prevent malicious websites, emulate threats so as to use a sandbox, and user groups to control access to AD users. Applied by the establishment of the RestrictedUsers group in the AD Users and Computers, which is used in rules requiring web access restrictions.</w:t>
      </w:r>
    </w:p>
    <w:p w14:paraId="22108985">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"https://www.eventpro.net/installation/manual/images/_23_aduserssecuritygroup.png"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98950"/>
            <wp:effectExtent l="0" t="0" r="0" b="6350"/>
            <wp:docPr id="353090806" name="Picture 22" descr="Active Directory Groups for EventPro Windows Authent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90806" name="Picture 22" descr="Active Directory Groups for EventPro Windows Authenticati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731510" cy="429895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F7873C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"https://www.eventpro.net/installation/manual/images/_20_taskadusers.png"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298950"/>
            <wp:effectExtent l="0" t="0" r="0" b="6350"/>
            <wp:docPr id="952301828" name="Picture 21" descr="Active Directory Groups for EventPro Windows Authent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01828" name="Picture 21" descr="Active Directory Groups for EventPro Windows Authenticatio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731510" cy="429895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7AFD950B">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"https://www.server-world.info/en/Windows_Server_2019/active_directory/img/37.png"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4300220"/>
            <wp:effectExtent l="0" t="0" r="0" b="5080"/>
            <wp:docPr id="340287595" name="Picture 20" descr="Windows Server 2019 : Active Directory : Add Group Accou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287595" name="Picture 20" descr="Windows Server 2019 : Active Directory : Add Group Accounts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731510" cy="430022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6D4BB06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URL filtering was enabled in the Application Control blade, categorizing HTTPS sites.</w:t>
      </w:r>
    </w:p>
    <w:p w14:paraId="0BBBE898">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"https://images.squarespace-cdn.com/content/v1/5d38a6a24af5650001b6f7bb/1620755880932-41UHWR9MTP4M4I1J0NHN/cp-sni-activate-final.PNG"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561715"/>
            <wp:effectExtent l="0" t="0" r="0" b="0"/>
            <wp:docPr id="1613137318"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37318" name="Picture 19"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731510" cy="35617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2D6BC1A">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"https://community.checkpoint.com/legacyfs/online/checkpoint/71055_pastedImage_1.png"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2875915"/>
            <wp:effectExtent l="0" t="0" r="0" b="0"/>
            <wp:docPr id="443771233" name="Picture 18" descr="URL Filtering: Computers / Internet Category - Check Point CheckM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71233" name="Picture 18" descr="URL Filtering: Computers / Internet Category - Check Point CheckMat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731510" cy="287591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42FB03B7">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"https://blogger.googleusercontent.com/img/b/R29vZ2xl/AVvXsEgAcdTh9b3HpK9ZYX5WE3y1hGMG7rHNPmpAfLooKLkS_X4cusglxnhWMyfgaYEw2TpP7usCzKcqhY2umHsOgjwfReVJ6I4qo_RY3mCDjBLMxUsym2gUlu4COcHUGOrj84-WsPonJVuZdCM/s1600/CBT13-1.jpg"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drawing>
          <wp:inline distT="0" distB="0" distL="0" distR="0">
            <wp:extent cx="5731510" cy="3446780"/>
            <wp:effectExtent l="0" t="0" r="0" b="0"/>
            <wp:docPr id="413835562" name="Picture 17" descr="My Check Point CCSA Journal: Check Point Application Control &amp; U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35562" name="Picture 17" descr="My Check Point CCSA Journal: Check Point Application Control &amp; URL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731510" cy="3446780"/>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2CA6E4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fldChar w:fldCharType="begin"/>
      </w:r>
      <w:r>
        <w:instrText xml:space="preserve"> HYPERLINK "https://ccsawannabe.blogspot.com/2016/04/check-point-application-control-url.html" \t "_blank" </w:instrText>
      </w:r>
      <w:r>
        <w:fldChar w:fldCharType="separate"/>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t>ccsawannabe.blogspot.com</w:t>
      </w:r>
      <w:r>
        <w:rPr>
          <w:rFonts w:ascii="Times New Roman" w:hAnsi="Times New Roman" w:eastAsia="Times New Roman" w:cs="Times New Roman"/>
          <w:color w:val="000000" w:themeColor="text1"/>
          <w:kern w:val="0"/>
          <w:u w:val="single"/>
          <w:lang w:val="zh-CN" w:eastAsia="en-GB"/>
          <w14:textFill>
            <w14:solidFill>
              <w14:schemeClr w14:val="tx1"/>
            </w14:solidFill>
          </w14:textFill>
          <w14:ligatures w14:val="none"/>
        </w:rPr>
        <w:fldChar w:fldCharType="end"/>
      </w:r>
    </w:p>
    <w:p w14:paraId="1AF4873C">
      <w:pPr>
        <w:spacing w:before="100" w:beforeAutospacing="1" w:after="100" w:afterAutospacing="1" w:line="360" w:lineRule="auto"/>
        <w:outlineLvl w:val="3"/>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Justification</w:t>
      </w:r>
    </w:p>
    <w:p w14:paraId="31F4D78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Enhancements strengthen defenses against advanced threats, per Specops  and industry standards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18FDEC08">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9" w:name="_Toc216124544"/>
      <w:r>
        <w:rPr>
          <w:rFonts w:ascii="Times New Roman" w:hAnsi="Times New Roman" w:eastAsia="Times New Roman" w:cs="Times New Roman"/>
          <w:color w:val="000000" w:themeColor="text1"/>
          <w:sz w:val="24"/>
          <w:szCs w:val="24"/>
          <w:lang w:val="zh-CN" w:eastAsia="en-GB"/>
          <w14:textFill>
            <w14:solidFill>
              <w14:schemeClr w14:val="tx1"/>
            </w14:solidFill>
          </w14:textFill>
        </w:rPr>
        <w:t>Challenges Faced and Solutions</w:t>
      </w:r>
      <w:bookmarkEnd w:id="9"/>
    </w:p>
    <w:p w14:paraId="60549E09">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In the second phase of the practice implementation, multiple technical issues arose, but each of them had to be thoroughly diagnosed and remedied to provide a stable and safe configuration environment. Secure Internal Communication (SIC) initialization failures were one of the most noticeable problems, which commonly occur when using firewall and security appliances. SIC supports encrypted trust between the management and the gateway components and failure to it may bring the entire deployment of policies to a standstill. Mismatched or expired One-Time Passwords (OTPs) were identified to be the main cause that did not allow establishing a successful certificate. The resolution included re-generation of new OTPs, re-establishment of trust, and certificate fingerprint validation. The process made the criticality of cryptographic hygiene clear and underscored the importance of checking the procedures during the initializing of secure channels.</w:t>
      </w:r>
    </w:p>
    <w:p w14:paraId="293FA2C7">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other issue was that of rule conflict in security policy which is typical of layered firewall implementation. The overlapping rules can result in the unintended allow or deny actions, particularly with the overlapping source or destination networks. To address those, system logs and policy hit counters were examined and this allowed seeing the flow and priority of the rules. By repeatedly refining the rules, redundant rules were eliminated, shadowed rules were restructured and explicit cleanup rules were added. This lesson has taught me that log-driven debugging and least-privilege design are important, particularly with complex enterprise security architecture.</w:t>
      </w:r>
    </w:p>
    <w:p w14:paraId="0954682A">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Another problem appeared in the process of Active Directory (AD) integration, related to the LDAP binding verification. The first outage was caused due to a wrong LDAP binding parameter and lack of privilege of the service account trying to deal with the directory. To perform troubleshooting, it was necessary to inspect bind responses, check connectivity with the use of secure LDAP (LDAPS) and check the Distinguished Name (DN) structure. After fixing, the integration became successful and provided the possibility of centralization of authentication and access based on role. This consolidated the teachings on identity federation, directory security and the significance of correct schema interpretation.</w:t>
      </w:r>
    </w:p>
    <w:p w14:paraId="062CCBC2">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All these issues offered a real-life simulation of the complexity of enterprise security, in general. They pointed out the necessity of systematic troubleshooting approaches, i.e. using logs, diagnostic, and credential checking, which align with the hands-on literature on cybersecurity training. The experience also promoted knowledge of interdependencies of the systems where it was observed that even small misconfigurations of a single security component can influence the larger architecture. Finally, solutions that were implemented helped in a stable, secure, and audit-ready environment of configuration.</w:t>
      </w:r>
    </w:p>
    <w:p w14:paraId="7F91834D">
      <w:pPr>
        <w:pStyle w:val="3"/>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10" w:name="_Toc216124545"/>
      <w:r>
        <w:rPr>
          <w:rFonts w:ascii="Times New Roman" w:hAnsi="Times New Roman" w:eastAsia="Times New Roman" w:cs="Times New Roman"/>
          <w:color w:val="000000" w:themeColor="text1"/>
          <w:sz w:val="24"/>
          <w:szCs w:val="24"/>
          <w:lang w:val="zh-CN" w:eastAsia="en-GB"/>
          <w14:textFill>
            <w14:solidFill>
              <w14:schemeClr w14:val="tx1"/>
            </w14:solidFill>
          </w14:textFill>
        </w:rPr>
        <w:t>Results and Discussion</w:t>
      </w:r>
      <w:bookmarkEnd w:id="10"/>
    </w:p>
    <w:p w14:paraId="0C671929">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findings of Part 2 show that the applied security controls have been configured, tested, and reinforced successfully with the help of systematic testing. The vulnerabilities could not be identified in the post-implementation assessments proving the effectiveness of the security rules, authentication mechanisms, and configuration policies implemented during the exercise. These results prove the stability of the environment as well as the adequacy of the firewall and identity management settings to real-life network defense settings.</w:t>
      </w:r>
    </w:p>
    <w:p w14:paraId="6A3CFADB">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One of the key findings was the integrity of SIC communications; this guaranteed that there were encrypted trusts between management components and gateways. The reinstated SIC trust enhanced the policy deployment reliability that strengthened the functions of certificate-based authentication in the current network security designs. Bespoke access control regulations also minimized the unwarranted exposures, allowing a clean, auditable rulebase that is in line with the least privilege principle. Monitoring and logging were additional features that helped in incident visibility and analysis of events.</w:t>
      </w:r>
    </w:p>
    <w:p w14:paraId="40708FE8">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These findings are discussed in harmony with the literature on the subject in academia and business. According to the research by Švábenský et al. , the Capture-the- Flag (CTF) and practical security training activities hold significant educational value, as the authors outline enhanced proficiency in trouble shooting, secure configuration, and adversarial thinking, which are obviously reflected in this work. On likewise, the Gaia administration documentation at Check Point (2024b) also dwells upon the need to perform configuration validation iteratively, rulebase optimization, and identity federation, which shape a lot of the diagnostic and implementation process.</w:t>
      </w:r>
    </w:p>
    <w:p w14:paraId="394D83C9">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Although the outcomes of such a process have been effective, it can be limited in a few ways. It is also possible that the environment was managed by a lab scale meaning that the environment was not subjected to the dynamic of an enterprise level of traffic, distributed architecture or more sophisticated threats actors. The loads of networks were restricted, there were no multi-domain, multi-site, and cloud-hybrid scenarios involved in integrations, although realistic. Although these limitations are common in academic laboratories, they are restricting in terms of applicability to large-scale corporate settings.</w:t>
      </w:r>
    </w:p>
    <w:p w14:paraId="6DC57AF3">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next step would be the possibility of using AI-assisted threat detection as a developing area, as pointed out by Sadeghi et al. . AI-based analytics would improve the detection of anomalies, automatic optimization of rules, and help in the scoring of behavioral risks. The configuration can be even more robust and emulating distributed networks, VPN nodes and real-time attacks.</w:t>
      </w:r>
    </w:p>
    <w:p w14:paraId="4C0AC0AD">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Altogether, the findings confirm the usefulness of the security implementation as well as support the theoretical knowledge with experience. It is a discussion on the importance of structured, evidence-based methods that can be used to provide resilient and adaptive approaches to network defense measures.</w:t>
      </w:r>
    </w:p>
    <w:p w14:paraId="538E8530">
      <w:pPr>
        <w:pStyle w:val="2"/>
        <w:spacing w:line="360" w:lineRule="auto"/>
        <w:rPr>
          <w:rFonts w:ascii="Times New Roman" w:hAnsi="Times New Roman" w:eastAsia="Times New Roman" w:cs="Times New Roman"/>
          <w:color w:val="000000" w:themeColor="text1"/>
          <w:sz w:val="28"/>
          <w:szCs w:val="28"/>
          <w:lang w:val="zh-CN" w:eastAsia="en-GB"/>
          <w14:textFill>
            <w14:solidFill>
              <w14:schemeClr w14:val="tx1"/>
            </w14:solidFill>
          </w14:textFill>
        </w:rPr>
      </w:pPr>
      <w:bookmarkStart w:id="11" w:name="_Toc216124546"/>
      <w:r>
        <w:rPr>
          <w:rFonts w:ascii="Times New Roman" w:hAnsi="Times New Roman" w:eastAsia="Times New Roman" w:cs="Times New Roman"/>
          <w:color w:val="000000" w:themeColor="text1"/>
          <w:sz w:val="28"/>
          <w:szCs w:val="28"/>
          <w:lang w:val="zh-CN" w:eastAsia="en-GB"/>
          <w14:textFill>
            <w14:solidFill>
              <w14:schemeClr w14:val="tx1"/>
            </w14:solidFill>
          </w14:textFill>
        </w:rPr>
        <w:t>Conclusion</w:t>
      </w:r>
      <w:bookmarkEnd w:id="11"/>
    </w:p>
    <w:p w14:paraId="1D986233">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This report has shown an in-depth coverage of practical implementation of cybersecurity in two technical scenarios that are mutually dependent. In both sections, the exercises revealed the facts of how to configure secure network environments, detect vulnerabilities, solve configuration issues, and use industry-consistent methodologies. Together, the results indicate the importance of practical security implementation in the context of connecting the theoretical models with practical functionality, supporting the necessity of an ongoing state of supervision, system strengthening, and dynamism in security measures in the contemporary digital environment.</w:t>
      </w:r>
    </w:p>
    <w:p w14:paraId="79FBF73F">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exercises supported a number of fundamental concepts of network security throughout implementation and troubleshooting procedures. Part 1 demonstrated the complexity of real-world network environments by the issues that were associated with VPN connectivity, DNS configurations, firewall constraints, and Active Directory enumeration. These issues were effectively resolved because of systematic troubleshooting that can be checked on the basis of log analysis and verification of the policies and knowledge of the protocols. The findings were in favor of the key competencies of reconnaissance, secure deployment, and mitigation of exploitation, but in line with the literature of cybersecurity education, which suggested the use of experiential learning as a force in skills acquisition.</w:t>
      </w:r>
    </w:p>
    <w:p w14:paraId="524918FB">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Part 2 added additional details to these considerations considering that it was developed around the issue of the Secure Internal Communication (SIC) initialization, the inability to bindage a LDAP and the failure to comply with the firewall rules. These issues depicted the correlation among identity administration, encryption and accessibility of enterprise protection eco systems. The final stabilization of the configurations and a lack of vulnerability after the implementation were the mature and well-developed security posture. This incident supported the status of certificate management, least-privilege policy design and identity-based security model that are central to the present day cybersecurity practice.</w:t>
      </w:r>
    </w:p>
    <w:p w14:paraId="59504101">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There are also other consequences of enterprise environment besides technical performances as indicated in the report. The introduction of the zero-trust architecture, regular audits and proactive patches became essential measures to decrease the attack surfaces and make the organization more resilient generally. In addition, the results validate how organizations should be ready to address the new risks and technological demands such as the use of AI-based intrusion detectors, automated rule optimization, and the ultimate switch to quantum-resistant cryptography. Such development is expected in the sound security postures in the dynamic digital environments.</w:t>
      </w:r>
    </w:p>
    <w:p w14:paraId="76DAABCF">
      <w:pPr>
        <w:pStyle w:val="16"/>
        <w:spacing w:line="360" w:lineRule="auto"/>
        <w:rPr>
          <w:color w:val="000000" w:themeColor="text1"/>
          <w14:textFill>
            <w14:solidFill>
              <w14:schemeClr w14:val="tx1"/>
            </w14:solidFill>
          </w14:textFill>
        </w:rPr>
      </w:pPr>
      <w:r>
        <w:rPr>
          <w:color w:val="000000" w:themeColor="text1"/>
          <w14:textFill>
            <w14:solidFill>
              <w14:schemeClr w14:val="tx1"/>
            </w14:solidFill>
          </w14:textFill>
        </w:rPr>
        <w:t>In conclusion, this report demonstrates that structured, hands-on trainings in cybersecurity can be used to train the technical skills and strategic knowledge. This work has improved a better understanding of applied network defense as it is able to effectively deal with complex configuration problems, test secure implementations, and speculates on future technological development. It proves that the competence of controlling and stopping cyberattacks is not only a matter of technical expertise but also critical thinking, adaptability and long-term thinking, the attributes of the contemporary cyber world to eliminate the sophisticated and emergent threats.</w:t>
      </w:r>
    </w:p>
    <w:p w14:paraId="3DFE2C58">
      <w:pPr>
        <w:pStyle w:val="16"/>
        <w:spacing w:line="360" w:lineRule="auto"/>
        <w:rPr>
          <w:color w:val="000000" w:themeColor="text1"/>
          <w14:textFill>
            <w14:solidFill>
              <w14:schemeClr w14:val="tx1"/>
            </w14:solidFill>
          </w14:textFill>
        </w:rPr>
      </w:pPr>
    </w:p>
    <w:p w14:paraId="5AF80774">
      <w:pPr>
        <w:pStyle w:val="16"/>
        <w:spacing w:line="360" w:lineRule="auto"/>
        <w:rPr>
          <w:color w:val="000000" w:themeColor="text1"/>
          <w14:textFill>
            <w14:solidFill>
              <w14:schemeClr w14:val="tx1"/>
            </w14:solidFill>
          </w14:textFill>
        </w:rPr>
      </w:pPr>
    </w:p>
    <w:p w14:paraId="7842E506">
      <w:pPr>
        <w:pStyle w:val="16"/>
        <w:spacing w:line="360" w:lineRule="auto"/>
        <w:rPr>
          <w:color w:val="000000" w:themeColor="text1"/>
          <w14:textFill>
            <w14:solidFill>
              <w14:schemeClr w14:val="tx1"/>
            </w14:solidFill>
          </w14:textFill>
        </w:rPr>
      </w:pPr>
    </w:p>
    <w:p w14:paraId="395908FF">
      <w:pPr>
        <w:pStyle w:val="16"/>
      </w:pPr>
    </w:p>
    <w:p w14:paraId="27BAF52E">
      <w:pPr>
        <w:pStyle w:val="16"/>
      </w:pPr>
    </w:p>
    <w:p w14:paraId="4A5CB7AF">
      <w:pPr>
        <w:pStyle w:val="16"/>
      </w:pPr>
    </w:p>
    <w:p w14:paraId="61FF8379">
      <w:pPr>
        <w:pStyle w:val="16"/>
      </w:pPr>
    </w:p>
    <w:p w14:paraId="22639D10">
      <w:pPr>
        <w:pStyle w:val="16"/>
      </w:pPr>
    </w:p>
    <w:p w14:paraId="628D3C10">
      <w:pPr>
        <w:pStyle w:val="16"/>
      </w:pPr>
    </w:p>
    <w:p w14:paraId="5F461611">
      <w:pPr>
        <w:pStyle w:val="16"/>
      </w:pPr>
    </w:p>
    <w:p w14:paraId="1EC9655E">
      <w:pPr>
        <w:pStyle w:val="16"/>
        <w:spacing w:line="360" w:lineRule="auto"/>
        <w:rPr>
          <w:color w:val="000000" w:themeColor="text1"/>
          <w14:textFill>
            <w14:solidFill>
              <w14:schemeClr w14:val="tx1"/>
            </w14:solidFill>
          </w14:textFill>
        </w:rPr>
      </w:pPr>
    </w:p>
    <w:p w14:paraId="2F427CCC">
      <w:pPr>
        <w:pStyle w:val="16"/>
        <w:spacing w:line="360" w:lineRule="auto"/>
        <w:rPr>
          <w:color w:val="000000" w:themeColor="text1"/>
          <w14:textFill>
            <w14:solidFill>
              <w14:schemeClr w14:val="tx1"/>
            </w14:solidFill>
          </w14:textFill>
        </w:rPr>
      </w:pPr>
    </w:p>
    <w:p w14:paraId="24BA7A0C">
      <w:pPr>
        <w:pStyle w:val="16"/>
        <w:spacing w:line="360" w:lineRule="auto"/>
        <w:rPr>
          <w:color w:val="000000" w:themeColor="text1"/>
          <w14:textFill>
            <w14:solidFill>
              <w14:schemeClr w14:val="tx1"/>
            </w14:solidFill>
          </w14:textFill>
        </w:rPr>
      </w:pPr>
    </w:p>
    <w:p w14:paraId="20E8F355">
      <w:pPr>
        <w:pStyle w:val="2"/>
        <w:spacing w:line="360" w:lineRule="auto"/>
        <w:rPr>
          <w:rFonts w:ascii="Times New Roman" w:hAnsi="Times New Roman" w:eastAsia="Times New Roman" w:cs="Times New Roman"/>
          <w:color w:val="000000" w:themeColor="text1"/>
          <w:sz w:val="24"/>
          <w:szCs w:val="24"/>
          <w:lang w:val="zh-CN" w:eastAsia="en-GB"/>
          <w14:textFill>
            <w14:solidFill>
              <w14:schemeClr w14:val="tx1"/>
            </w14:solidFill>
          </w14:textFill>
        </w:rPr>
      </w:pPr>
      <w:bookmarkStart w:id="12" w:name="_Toc216124547"/>
      <w:r>
        <w:rPr>
          <w:rFonts w:ascii="Times New Roman" w:hAnsi="Times New Roman" w:eastAsia="Times New Roman" w:cs="Times New Roman"/>
          <w:color w:val="000000" w:themeColor="text1"/>
          <w:sz w:val="24"/>
          <w:szCs w:val="24"/>
          <w:lang w:val="zh-CN" w:eastAsia="en-GB"/>
          <w14:textFill>
            <w14:solidFill>
              <w14:schemeClr w14:val="tx1"/>
            </w14:solidFill>
          </w14:textFill>
        </w:rPr>
        <w:t>References</w:t>
      </w:r>
      <w:bookmarkEnd w:id="12"/>
      <w:r>
        <w:rPr>
          <w:rFonts w:ascii="Times New Roman" w:hAnsi="Times New Roman" w:eastAsia="Times New Roman" w:cs="Times New Roman"/>
          <w:color w:val="000000" w:themeColor="text1"/>
          <w:sz w:val="24"/>
          <w:szCs w:val="24"/>
          <w:lang w:val="zh-CN" w:eastAsia="en-GB"/>
          <w14:textFill>
            <w14:solidFill>
              <w14:schemeClr w14:val="tx1"/>
            </w14:solidFill>
          </w14:textFill>
        </w:rPr>
        <w:t xml:space="preserve"> </w:t>
      </w:r>
    </w:p>
    <w:p w14:paraId="7402CF02">
      <w:pPr>
        <w:pStyle w:val="16"/>
        <w:keepNext w:val="0"/>
        <w:keepLines w:val="0"/>
        <w:widowControl/>
        <w:suppressLineNumbers w:val="0"/>
      </w:pPr>
      <w:r>
        <w:rPr>
          <w:rStyle w:val="17"/>
        </w:rPr>
        <w:t>[1]</w:t>
      </w:r>
      <w:r>
        <w:t xml:space="preserve"> J.F. Al-Karaki, </w:t>
      </w:r>
      <w:r>
        <w:rPr>
          <w:rStyle w:val="13"/>
        </w:rPr>
        <w:t>et al</w:t>
      </w:r>
      <w:r>
        <w:t xml:space="preserve">., “Advancing CyberSecurity Education and Training: Practical Case Study of Running Capture the Flag (CTF) on the Metaverse vs. Physical Settings,” </w:t>
      </w:r>
      <w:r>
        <w:rPr>
          <w:rStyle w:val="17"/>
        </w:rPr>
        <w:t>ASEE Annual Conference</w:t>
      </w:r>
      <w:r>
        <w:t>, 2021.</w:t>
      </w:r>
    </w:p>
    <w:p w14:paraId="77049E9C">
      <w:pPr>
        <w:pStyle w:val="16"/>
        <w:keepNext w:val="0"/>
        <w:keepLines w:val="0"/>
        <w:widowControl/>
        <w:suppressLineNumbers w:val="0"/>
      </w:pPr>
      <w:r>
        <w:rPr>
          <w:rStyle w:val="17"/>
        </w:rPr>
        <w:t>[2]</w:t>
      </w:r>
      <w:r>
        <w:t xml:space="preserve"> AlgoSec, “NIST Standards &amp; Cybersecurity Framework Explained,” 2024. Available: </w:t>
      </w:r>
      <w:r>
        <w:fldChar w:fldCharType="begin"/>
      </w:r>
      <w:r>
        <w:instrText xml:space="preserve"> HYPERLINK "https://www.algosec.com/resources/nist-standards" \t "_new" </w:instrText>
      </w:r>
      <w:r>
        <w:fldChar w:fldCharType="separate"/>
      </w:r>
      <w:r>
        <w:rPr>
          <w:rStyle w:val="15"/>
        </w:rPr>
        <w:t>https://www.algosec.com/resources/nist-standards</w:t>
      </w:r>
      <w:r>
        <w:fldChar w:fldCharType="end"/>
      </w:r>
      <w:r>
        <w:t xml:space="preserve"> (Accessed: 16 November 2025).</w:t>
      </w:r>
    </w:p>
    <w:p w14:paraId="3B7E5828">
      <w:pPr>
        <w:pStyle w:val="16"/>
        <w:keepNext w:val="0"/>
        <w:keepLines w:val="0"/>
        <w:widowControl/>
        <w:suppressLineNumbers w:val="0"/>
      </w:pPr>
      <w:r>
        <w:rPr>
          <w:rStyle w:val="17"/>
        </w:rPr>
        <w:t>[3]</w:t>
      </w:r>
      <w:r>
        <w:t xml:space="preserve"> Check Point Community, “Identity Awareness Best Practices,” 2024. Available: </w:t>
      </w:r>
      <w:r>
        <w:fldChar w:fldCharType="begin"/>
      </w:r>
      <w:r>
        <w:instrText xml:space="preserve"> HYPERLINK "https://community.checkpoint.com/fyrhh23835/attachments/fyrhh23835/appliances-and-gaia/42181/1/IDA Best Practices v1.41 2024.pdf" \t "_new" </w:instrText>
      </w:r>
      <w:r>
        <w:fldChar w:fldCharType="separate"/>
      </w:r>
      <w:r>
        <w:rPr>
          <w:rStyle w:val="15"/>
        </w:rPr>
        <w:t>https://community.checkpoint.com/fyrhh23835/attachments/fyrhh23835/appliances-and-gaia/42181/1/IDA%20Best%20Practices%20v1.41%202024.pdf</w:t>
      </w:r>
      <w:r>
        <w:fldChar w:fldCharType="end"/>
      </w:r>
      <w:r>
        <w:t xml:space="preserve"> (Accessed: 16 November 2025).</w:t>
      </w:r>
    </w:p>
    <w:p w14:paraId="50A13F83">
      <w:pPr>
        <w:pStyle w:val="16"/>
        <w:keepNext w:val="0"/>
        <w:keepLines w:val="0"/>
        <w:widowControl/>
        <w:suppressLineNumbers w:val="0"/>
      </w:pPr>
      <w:r>
        <w:rPr>
          <w:rStyle w:val="17"/>
        </w:rPr>
        <w:t>[4]</w:t>
      </w:r>
      <w:r>
        <w:t xml:space="preserve"> Check Point Software Technologies, “R81.10 Gaia Administration Guide,” 2024a. Available: </w:t>
      </w:r>
      <w:r>
        <w:fldChar w:fldCharType="begin"/>
      </w:r>
      <w:r>
        <w:instrText xml:space="preserve"> HYPERLINK "https://sc1.checkpoint.com/documents/R81.10/WebAdminGuides/EN/CP_R81.10_Gaia_AdminGuide/CP_R81.10_Gaia_AdminGuide.pdf" \t "_new" </w:instrText>
      </w:r>
      <w:r>
        <w:fldChar w:fldCharType="separate"/>
      </w:r>
      <w:r>
        <w:rPr>
          <w:rStyle w:val="15"/>
        </w:rPr>
        <w:t>https://sc1.checkpoint.com/documents/R81.10/WebAdminGuides/EN/CP_R81.10_Gaia_AdminGuide/CP_R81.10_Gaia_AdminGuide.pdf</w:t>
      </w:r>
      <w:r>
        <w:fldChar w:fldCharType="end"/>
      </w:r>
      <w:r>
        <w:t xml:space="preserve"> (Accessed: 16 November 2025).</w:t>
      </w:r>
    </w:p>
    <w:p w14:paraId="211D3FD9">
      <w:pPr>
        <w:pStyle w:val="16"/>
        <w:keepNext w:val="0"/>
        <w:keepLines w:val="0"/>
        <w:widowControl/>
        <w:suppressLineNumbers w:val="0"/>
      </w:pPr>
      <w:r>
        <w:rPr>
          <w:rStyle w:val="17"/>
        </w:rPr>
        <w:t>[5]</w:t>
      </w:r>
      <w:r>
        <w:t xml:space="preserve"> Check Point Software Technologies, “Gaia R81 Hardening Specifications,” 2024b. Available: </w:t>
      </w:r>
      <w:r>
        <w:fldChar w:fldCharType="begin"/>
      </w:r>
      <w:r>
        <w:instrText xml:space="preserve"> HYPERLINK "https://sc1.checkpoint.com/documents/R81/WebAdminGuides/EN/CP_R81_Gaia_Hardening/CP_R81_Gaia_Hardening_Specifications.pdf" \t "_new" </w:instrText>
      </w:r>
      <w:r>
        <w:fldChar w:fldCharType="separate"/>
      </w:r>
      <w:r>
        <w:rPr>
          <w:rStyle w:val="15"/>
        </w:rPr>
        <w:t>https://sc1.checkpoint.com/documents/R81/WebAdminGuides/EN/CP_R81_Gaia_Hardening/CP_R81_Gaia_Hardening_Specifications.pdf</w:t>
      </w:r>
      <w:r>
        <w:fldChar w:fldCharType="end"/>
      </w:r>
      <w:r>
        <w:t xml:space="preserve"> (Accessed: 16 November 2025).</w:t>
      </w:r>
    </w:p>
    <w:p w14:paraId="72B58D3D">
      <w:pPr>
        <w:pStyle w:val="16"/>
        <w:keepNext w:val="0"/>
        <w:keepLines w:val="0"/>
        <w:widowControl/>
        <w:suppressLineNumbers w:val="0"/>
      </w:pPr>
      <w:r>
        <w:rPr>
          <w:rStyle w:val="17"/>
        </w:rPr>
        <w:t>[6]</w:t>
      </w:r>
      <w:r>
        <w:t xml:space="preserve"> Check Point Software Technologies, “CloudGuard NS for Public Cloud,” 2024c. Available: </w:t>
      </w:r>
      <w:r>
        <w:fldChar w:fldCharType="begin"/>
      </w:r>
      <w:r>
        <w:instrText xml:space="preserve"> HYPERLINK "https://www.checkpoint.com/downloads/products/cloudguard-iaas-architecture-reference-and-best-practices.pdf" \t "_new" </w:instrText>
      </w:r>
      <w:r>
        <w:fldChar w:fldCharType="separate"/>
      </w:r>
      <w:r>
        <w:rPr>
          <w:rStyle w:val="15"/>
        </w:rPr>
        <w:t>https://www.checkpoint.com/downloads/products/cloudguard-iaas-architecture-reference-and-best-practices.pdf</w:t>
      </w:r>
      <w:r>
        <w:fldChar w:fldCharType="end"/>
      </w:r>
      <w:r>
        <w:t xml:space="preserve"> (Accessed: 16 November 2025).</w:t>
      </w:r>
    </w:p>
    <w:p w14:paraId="028DED60">
      <w:pPr>
        <w:pStyle w:val="16"/>
        <w:keepNext w:val="0"/>
        <w:keepLines w:val="0"/>
        <w:widowControl/>
        <w:suppressLineNumbers w:val="0"/>
      </w:pPr>
      <w:r>
        <w:rPr>
          <w:rStyle w:val="17"/>
        </w:rPr>
        <w:t>[7]</w:t>
      </w:r>
      <w:r>
        <w:t xml:space="preserve"> CrowdStrike, “What is Active Directory Security?” 2024. Available: </w:t>
      </w:r>
      <w:r>
        <w:fldChar w:fldCharType="begin"/>
      </w:r>
      <w:r>
        <w:instrText xml:space="preserve"> HYPERLINK "https://www.crowdstrike.com/en-us/cybersecurity-101/identity-protection/active-directory-security/" \t "_new" </w:instrText>
      </w:r>
      <w:r>
        <w:fldChar w:fldCharType="separate"/>
      </w:r>
      <w:r>
        <w:rPr>
          <w:rStyle w:val="15"/>
        </w:rPr>
        <w:t>https://www.crowdstrike.com/en-us/cybersecurity-101/identity-protection/active-directory-security/</w:t>
      </w:r>
      <w:r>
        <w:fldChar w:fldCharType="end"/>
      </w:r>
      <w:r>
        <w:t xml:space="preserve"> (Accessed: 16 November 2025).</w:t>
      </w:r>
    </w:p>
    <w:p w14:paraId="638F02E8">
      <w:pPr>
        <w:pStyle w:val="16"/>
        <w:keepNext w:val="0"/>
        <w:keepLines w:val="0"/>
        <w:widowControl/>
        <w:suppressLineNumbers w:val="0"/>
      </w:pPr>
      <w:r>
        <w:rPr>
          <w:rStyle w:val="17"/>
        </w:rPr>
        <w:t>[8]</w:t>
      </w:r>
      <w:r>
        <w:t xml:space="preserve"> S. Karagiannis, </w:t>
      </w:r>
      <w:r>
        <w:rPr>
          <w:rStyle w:val="13"/>
        </w:rPr>
        <w:t>et al</w:t>
      </w:r>
      <w:r>
        <w:t xml:space="preserve">., “An analysis and evaluation of open source capture the flag platforms as cybersecurity e-learning tools,” </w:t>
      </w:r>
      <w:r>
        <w:rPr>
          <w:rStyle w:val="17"/>
        </w:rPr>
        <w:t>IFIP World Conference on Information Security Education</w:t>
      </w:r>
      <w:r>
        <w:t>, 2020.</w:t>
      </w:r>
    </w:p>
    <w:p w14:paraId="0685E2C8">
      <w:pPr>
        <w:pStyle w:val="16"/>
        <w:keepNext w:val="0"/>
        <w:keepLines w:val="0"/>
        <w:widowControl/>
        <w:suppressLineNumbers w:val="0"/>
      </w:pPr>
      <w:r>
        <w:rPr>
          <w:rStyle w:val="17"/>
        </w:rPr>
        <w:t>[9]</w:t>
      </w:r>
      <w:r>
        <w:t xml:space="preserve"> C.L. Ken, </w:t>
      </w:r>
      <w:r>
        <w:rPr>
          <w:rStyle w:val="13"/>
        </w:rPr>
        <w:t>et al</w:t>
      </w:r>
      <w:r>
        <w:t xml:space="preserve">., “Enhancing Cybersecurity Education Through Gamified Learning and Capture the Flag (CTF),” </w:t>
      </w:r>
      <w:r>
        <w:rPr>
          <w:rStyle w:val="17"/>
        </w:rPr>
        <w:t>Learning Technology for Education Challenges</w:t>
      </w:r>
      <w:r>
        <w:t>, 2023.</w:t>
      </w:r>
    </w:p>
    <w:p w14:paraId="6A8D4C1C">
      <w:pPr>
        <w:pStyle w:val="16"/>
        <w:keepNext w:val="0"/>
        <w:keepLines w:val="0"/>
        <w:widowControl/>
        <w:suppressLineNumbers w:val="0"/>
      </w:pPr>
      <w:r>
        <w:rPr>
          <w:rStyle w:val="17"/>
        </w:rPr>
        <w:t>[10]</w:t>
      </w:r>
      <w:r>
        <w:t xml:space="preserve"> L.J. Khoo, </w:t>
      </w:r>
      <w:r>
        <w:rPr>
          <w:rStyle w:val="13"/>
        </w:rPr>
        <w:t>et al</w:t>
      </w:r>
      <w:r>
        <w:t xml:space="preserve">., “Research on Capture the Flag Exercises for Cybersecurity Skill Training Among Malaysian Undergraduates,” </w:t>
      </w:r>
      <w:r>
        <w:rPr>
          <w:rStyle w:val="17"/>
        </w:rPr>
        <w:t>Journal of Human Centered Intelligent Systems</w:t>
      </w:r>
      <w:r>
        <w:t>, 2023.</w:t>
      </w:r>
    </w:p>
    <w:p w14:paraId="6B634A62">
      <w:pPr>
        <w:pStyle w:val="16"/>
        <w:keepNext w:val="0"/>
        <w:keepLines w:val="0"/>
        <w:widowControl/>
        <w:suppressLineNumbers w:val="0"/>
      </w:pPr>
      <w:r>
        <w:rPr>
          <w:rStyle w:val="17"/>
        </w:rPr>
        <w:t>[11]</w:t>
      </w:r>
      <w:r>
        <w:t xml:space="preserve"> Microsoft, “Best practices for securing Active Directory,” 2023. Available: </w:t>
      </w:r>
      <w:r>
        <w:fldChar w:fldCharType="begin"/>
      </w:r>
      <w:r>
        <w:instrText xml:space="preserve"> HYPERLINK "https://learn.microsoft.com/en-us/windows-server/identity/ad-ds/plan/security-best-practices/best-practices-for-securing-active-directory" \t "_new" </w:instrText>
      </w:r>
      <w:r>
        <w:fldChar w:fldCharType="separate"/>
      </w:r>
      <w:r>
        <w:rPr>
          <w:rStyle w:val="15"/>
        </w:rPr>
        <w:t>https://learn.microsoft.com/en-us/windows-server/identity/ad-ds/plan/security-best-practices/best-practices-for-securing-active-directory</w:t>
      </w:r>
      <w:r>
        <w:fldChar w:fldCharType="end"/>
      </w:r>
      <w:r>
        <w:t xml:space="preserve"> (Accessed: 16 November 2025).</w:t>
      </w:r>
    </w:p>
    <w:p w14:paraId="03411B8B">
      <w:pPr>
        <w:pStyle w:val="16"/>
        <w:keepNext w:val="0"/>
        <w:keepLines w:val="0"/>
        <w:widowControl/>
        <w:suppressLineNumbers w:val="0"/>
      </w:pPr>
      <w:r>
        <w:rPr>
          <w:rStyle w:val="17"/>
        </w:rPr>
        <w:t>[12]</w:t>
      </w:r>
      <w:r>
        <w:t xml:space="preserve"> NIST, “Guidelines on Firewalls and Firewall Policy. SP 800-41 Revision 1,” 2009. Available: </w:t>
      </w:r>
      <w:r>
        <w:fldChar w:fldCharType="begin"/>
      </w:r>
      <w:r>
        <w:instrText xml:space="preserve"> HYPERLINK "https://nvlpubs.nist.gov/nistpubs/legacy/sp/nistspecialpublication800-41r1.pdf" \t "_new" </w:instrText>
      </w:r>
      <w:r>
        <w:fldChar w:fldCharType="separate"/>
      </w:r>
      <w:r>
        <w:rPr>
          <w:rStyle w:val="15"/>
        </w:rPr>
        <w:t>https://nvlpubs.nist.gov/nistpubs/legacy/sp/nistspecialpublication800-41r1.pdf</w:t>
      </w:r>
      <w:r>
        <w:fldChar w:fldCharType="end"/>
      </w:r>
      <w:r>
        <w:t xml:space="preserve"> (Accessed: 16 November 2025).</w:t>
      </w:r>
    </w:p>
    <w:p w14:paraId="7ED3650E">
      <w:pPr>
        <w:pStyle w:val="16"/>
        <w:keepNext w:val="0"/>
        <w:keepLines w:val="0"/>
        <w:widowControl/>
        <w:suppressLineNumbers w:val="0"/>
      </w:pPr>
      <w:r>
        <w:rPr>
          <w:rStyle w:val="17"/>
        </w:rPr>
        <w:t>[13]</w:t>
      </w:r>
      <w:r>
        <w:t xml:space="preserve"> NSA, “Joint Publications Focus on Mitigation Strategies for Edge Devices,” 2024. Available: </w:t>
      </w:r>
      <w:r>
        <w:fldChar w:fldCharType="begin"/>
      </w:r>
      <w:r>
        <w:instrText xml:space="preserve"> HYPERLINK "https://www.nsa.gov/Press-Room/Press-Releases-Statements/Press-Release-View/article/4052657/joint-publications-focus-on-mitigation-strategies-for-edge-devices/" \t "_new" </w:instrText>
      </w:r>
      <w:r>
        <w:fldChar w:fldCharType="separate"/>
      </w:r>
      <w:r>
        <w:rPr>
          <w:rStyle w:val="15"/>
        </w:rPr>
        <w:t>https://www.nsa.gov/Press-Room/Press-Releases-Statements/Press-Release-View/article/4052657/joint-publications-focus-on-mitigation-strategies-for-edge-devices/</w:t>
      </w:r>
      <w:r>
        <w:fldChar w:fldCharType="end"/>
      </w:r>
      <w:r>
        <w:t xml:space="preserve"> (Accessed: 16 November 2025).</w:t>
      </w:r>
    </w:p>
    <w:p w14:paraId="5276FF23">
      <w:pPr>
        <w:pStyle w:val="16"/>
        <w:keepNext w:val="0"/>
        <w:keepLines w:val="0"/>
        <w:widowControl/>
        <w:suppressLineNumbers w:val="0"/>
      </w:pPr>
      <w:r>
        <w:rPr>
          <w:rStyle w:val="17"/>
        </w:rPr>
        <w:t>[14]</w:t>
      </w:r>
      <w:r>
        <w:t xml:space="preserve"> Opinnate, “Firewall Rule Audit: How to Do It Right,” 2024. Available: </w:t>
      </w:r>
      <w:r>
        <w:fldChar w:fldCharType="begin"/>
      </w:r>
      <w:r>
        <w:instrText xml:space="preserve"> HYPERLINK "https://opinnate.com/firewall-rule-audit-how-to-do-it-right/" \t "_new" </w:instrText>
      </w:r>
      <w:r>
        <w:fldChar w:fldCharType="separate"/>
      </w:r>
      <w:r>
        <w:rPr>
          <w:rStyle w:val="15"/>
        </w:rPr>
        <w:t>https://opinnate.com/firewall-rule-audit-how-to-do-it-right/</w:t>
      </w:r>
      <w:r>
        <w:fldChar w:fldCharType="end"/>
      </w:r>
      <w:r>
        <w:t xml:space="preserve"> (Accessed: 16 November 2025).</w:t>
      </w:r>
    </w:p>
    <w:p w14:paraId="328C2D5A">
      <w:pPr>
        <w:pStyle w:val="16"/>
        <w:keepNext w:val="0"/>
        <w:keepLines w:val="0"/>
        <w:widowControl/>
        <w:suppressLineNumbers w:val="0"/>
      </w:pPr>
      <w:r>
        <w:rPr>
          <w:rStyle w:val="17"/>
        </w:rPr>
        <w:t>[15]</w:t>
      </w:r>
      <w:r>
        <w:t xml:space="preserve"> H. Riggs, </w:t>
      </w:r>
      <w:r>
        <w:rPr>
          <w:rStyle w:val="13"/>
        </w:rPr>
        <w:t>et al</w:t>
      </w:r>
      <w:r>
        <w:t xml:space="preserve">., “Impact, Vulnerabilities, and Mitigation Strategies for Cyber-Secure Critical Infrastructures,” </w:t>
      </w:r>
      <w:r>
        <w:rPr>
          <w:rStyle w:val="17"/>
        </w:rPr>
        <w:t>Energies</w:t>
      </w:r>
      <w:r>
        <w:t>, vol. 16, no. 8, p. 3530, 2023.</w:t>
      </w:r>
    </w:p>
    <w:p w14:paraId="7EC1E894">
      <w:pPr>
        <w:pStyle w:val="16"/>
        <w:keepNext w:val="0"/>
        <w:keepLines w:val="0"/>
        <w:widowControl/>
        <w:suppressLineNumbers w:val="0"/>
      </w:pPr>
      <w:r>
        <w:rPr>
          <w:rStyle w:val="17"/>
        </w:rPr>
        <w:t>[16]</w:t>
      </w:r>
      <w:r>
        <w:t xml:space="preserve"> A. Sadeghi, </w:t>
      </w:r>
      <w:r>
        <w:rPr>
          <w:rStyle w:val="13"/>
        </w:rPr>
        <w:t>et al</w:t>
      </w:r>
      <w:r>
        <w:t xml:space="preserve">., “Security Implications and Mitigation Strategies in MPLS Networks,” </w:t>
      </w:r>
      <w:r>
        <w:rPr>
          <w:rStyle w:val="17"/>
        </w:rPr>
        <w:t>arXiv preprint arXiv:2409.03795</w:t>
      </w:r>
      <w:r>
        <w:t>, 2024.</w:t>
      </w:r>
    </w:p>
    <w:p w14:paraId="3F999E58">
      <w:pPr>
        <w:pStyle w:val="16"/>
        <w:keepNext w:val="0"/>
        <w:keepLines w:val="0"/>
        <w:widowControl/>
        <w:suppressLineNumbers w:val="0"/>
      </w:pPr>
      <w:r>
        <w:rPr>
          <w:rStyle w:val="17"/>
        </w:rPr>
        <w:t>[17]</w:t>
      </w:r>
      <w:r>
        <w:t xml:space="preserve"> V. Švábenský, </w:t>
      </w:r>
      <w:r>
        <w:rPr>
          <w:rStyle w:val="13"/>
        </w:rPr>
        <w:t>et al</w:t>
      </w:r>
      <w:r>
        <w:t xml:space="preserve">., “Cybersecurity knowledge and skills taught in capture the flag competitions,” </w:t>
      </w:r>
      <w:r>
        <w:rPr>
          <w:rStyle w:val="17"/>
        </w:rPr>
        <w:t>Computers &amp; Security</w:t>
      </w:r>
      <w:r>
        <w:t>, vol. 102, p. 102157, 2021.</w:t>
      </w:r>
    </w:p>
    <w:p w14:paraId="38D972E5">
      <w:pPr>
        <w:pStyle w:val="16"/>
        <w:keepNext w:val="0"/>
        <w:keepLines w:val="0"/>
        <w:widowControl/>
        <w:suppressLineNumbers w:val="0"/>
      </w:pPr>
      <w:r>
        <w:rPr>
          <w:rStyle w:val="17"/>
        </w:rPr>
        <w:t>[18]</w:t>
      </w:r>
      <w:r>
        <w:t xml:space="preserve"> SentinelOne, “What is Active Directory Security? AD Security Explained,” 2024. Available: </w:t>
      </w:r>
      <w:r>
        <w:fldChar w:fldCharType="begin"/>
      </w:r>
      <w:r>
        <w:instrText xml:space="preserve"> HYPERLINK "https://www.sentinelone.com/cybersecurity-101/identity-security/active-directory-security/" \t "_new" </w:instrText>
      </w:r>
      <w:r>
        <w:fldChar w:fldCharType="separate"/>
      </w:r>
      <w:r>
        <w:rPr>
          <w:rStyle w:val="15"/>
        </w:rPr>
        <w:t>https://www.sentinelone.com/cybersecurity-101/identity-security/active-directory-security/</w:t>
      </w:r>
      <w:r>
        <w:fldChar w:fldCharType="end"/>
      </w:r>
      <w:r>
        <w:t xml:space="preserve"> (Accessed: 16 November 2025).</w:t>
      </w:r>
    </w:p>
    <w:p w14:paraId="18D793B4">
      <w:pPr>
        <w:pStyle w:val="16"/>
        <w:keepNext w:val="0"/>
        <w:keepLines w:val="0"/>
        <w:widowControl/>
        <w:suppressLineNumbers w:val="0"/>
      </w:pPr>
      <w:r>
        <w:rPr>
          <w:rStyle w:val="17"/>
        </w:rPr>
        <w:t>[19]</w:t>
      </w:r>
      <w:r>
        <w:t xml:space="preserve"> Specops, “Active Directory security best practices for 2025,” 2024. Available: </w:t>
      </w:r>
      <w:r>
        <w:fldChar w:fldCharType="begin"/>
      </w:r>
      <w:r>
        <w:instrText xml:space="preserve"> HYPERLINK "https://specopssoft.com/blog/active-directory-security-best-practices/" \t "_new" </w:instrText>
      </w:r>
      <w:r>
        <w:fldChar w:fldCharType="separate"/>
      </w:r>
      <w:r>
        <w:rPr>
          <w:rStyle w:val="15"/>
        </w:rPr>
        <w:t>https://specopssoft.com/blog/active-directory-security-best-practices/</w:t>
      </w:r>
      <w:r>
        <w:fldChar w:fldCharType="end"/>
      </w:r>
      <w:r>
        <w:t xml:space="preserve"> (Accessed: 16 November 2025).</w:t>
      </w:r>
    </w:p>
    <w:p w14:paraId="15A4FE3F">
      <w:pPr>
        <w:pStyle w:val="16"/>
        <w:keepNext w:val="0"/>
        <w:keepLines w:val="0"/>
        <w:widowControl/>
        <w:suppressLineNumbers w:val="0"/>
      </w:pPr>
      <w:r>
        <w:rPr>
          <w:rStyle w:val="17"/>
        </w:rPr>
        <w:t>[20]</w:t>
      </w:r>
      <w:r>
        <w:t xml:space="preserve"> Tanium, “What is Active Directory Security? Risks and Best Practices,” 2024. Available: </w:t>
      </w:r>
      <w:r>
        <w:fldChar w:fldCharType="begin"/>
      </w:r>
      <w:r>
        <w:instrText xml:space="preserve"> HYPERLINK "https://www.tanium.com/blog/what-is-active-directory-security/" \t "_new" </w:instrText>
      </w:r>
      <w:r>
        <w:fldChar w:fldCharType="separate"/>
      </w:r>
      <w:r>
        <w:rPr>
          <w:rStyle w:val="15"/>
        </w:rPr>
        <w:t>https://www.tanium.com/blog/what-is-active-directory-security/</w:t>
      </w:r>
      <w:r>
        <w:fldChar w:fldCharType="end"/>
      </w:r>
      <w:r>
        <w:t xml:space="preserve"> (Accessed: 16 November 2025).</w:t>
      </w:r>
    </w:p>
    <w:p w14:paraId="6F2E7D3B">
      <w:pPr>
        <w:pStyle w:val="16"/>
        <w:keepNext w:val="0"/>
        <w:keepLines w:val="0"/>
        <w:widowControl/>
        <w:suppressLineNumbers w:val="0"/>
      </w:pPr>
      <w:r>
        <w:rPr>
          <w:rStyle w:val="17"/>
        </w:rPr>
        <w:t>[21]</w:t>
      </w:r>
      <w:r>
        <w:t xml:space="preserve"> Z. Tian, </w:t>
      </w:r>
      <w:r>
        <w:rPr>
          <w:rStyle w:val="13"/>
        </w:rPr>
        <w:t>et al</w:t>
      </w:r>
      <w:r>
        <w:t xml:space="preserve">., “An Exploratory Study of Capture-the-Flag Competitions,” </w:t>
      </w:r>
      <w:r>
        <w:rPr>
          <w:rStyle w:val="17"/>
        </w:rPr>
        <w:t>Informing Science: The International Journal of an Emerging Transdiscipline</w:t>
      </w:r>
      <w:r>
        <w:t>, vol. 26, pp. 119–140, 2023.</w:t>
      </w:r>
    </w:p>
    <w:p w14:paraId="04A184DF">
      <w:pPr>
        <w:pStyle w:val="16"/>
        <w:keepNext w:val="0"/>
        <w:keepLines w:val="0"/>
        <w:widowControl/>
        <w:suppressLineNumbers w:val="0"/>
      </w:pPr>
      <w:r>
        <w:rPr>
          <w:rStyle w:val="17"/>
        </w:rPr>
        <w:t>[22]</w:t>
      </w:r>
      <w:r>
        <w:t xml:space="preserve"> Tufin, “A Comprehensive NIST Firewall Audit Checklist,” 2024. Available: </w:t>
      </w:r>
      <w:r>
        <w:fldChar w:fldCharType="begin"/>
      </w:r>
      <w:r>
        <w:instrText xml:space="preserve"> HYPERLINK "https://www.tufin.com/blog/a-comprehensive-nist-firewall-audit-checklist" \t "_new" </w:instrText>
      </w:r>
      <w:r>
        <w:fldChar w:fldCharType="separate"/>
      </w:r>
      <w:r>
        <w:rPr>
          <w:rStyle w:val="15"/>
        </w:rPr>
        <w:t>https://www.tufin.com/blog/a-comprehensive-nist-firewall-audit-checklist</w:t>
      </w:r>
      <w:r>
        <w:fldChar w:fldCharType="end"/>
      </w:r>
      <w:r>
        <w:t xml:space="preserve"> (Accessed: 16 November 2025).</w:t>
      </w:r>
    </w:p>
    <w:p w14:paraId="29FB2AFC">
      <w:pPr>
        <w:pStyle w:val="16"/>
        <w:keepNext w:val="0"/>
        <w:keepLines w:val="0"/>
        <w:widowControl/>
        <w:suppressLineNumbers w:val="0"/>
      </w:pPr>
      <w:r>
        <w:rPr>
          <w:rStyle w:val="17"/>
        </w:rPr>
        <w:t>[23]</w:t>
      </w:r>
      <w:r>
        <w:t xml:space="preserve"> Walden University, “Strategies Cybersecurity Professionals Use to Mitigate Cybersecurity Threats,” </w:t>
      </w:r>
      <w:r>
        <w:rPr>
          <w:rStyle w:val="17"/>
        </w:rPr>
        <w:t>Doctoral dissertation</w:t>
      </w:r>
      <w:r>
        <w:t>, 2024.</w:t>
      </w:r>
    </w:p>
    <w:p w14:paraId="46D9625A">
      <w:pPr>
        <w:spacing w:line="360" w:lineRule="auto"/>
        <w:rPr>
          <w:rFonts w:ascii="Times New Roman" w:hAnsi="Times New Roman" w:cs="Times New Roman"/>
          <w:color w:val="000000" w:themeColor="text1"/>
          <w:lang w:val="zh-CN"/>
          <w14:textFill>
            <w14:solidFill>
              <w14:schemeClr w14:val="tx1"/>
            </w14:solidFill>
          </w14:textFill>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A71A11"/>
    <w:multiLevelType w:val="multilevel"/>
    <w:tmpl w:val="05A71A1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E6D6319"/>
    <w:multiLevelType w:val="multilevel"/>
    <w:tmpl w:val="4E6D631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7F7"/>
    <w:rsid w:val="00035AA7"/>
    <w:rsid w:val="00062E8F"/>
    <w:rsid w:val="00301B74"/>
    <w:rsid w:val="00415070"/>
    <w:rsid w:val="004203C7"/>
    <w:rsid w:val="005443D3"/>
    <w:rsid w:val="00546CE1"/>
    <w:rsid w:val="0062284A"/>
    <w:rsid w:val="0070316C"/>
    <w:rsid w:val="007617F7"/>
    <w:rsid w:val="007B09B0"/>
    <w:rsid w:val="00830AF2"/>
    <w:rsid w:val="008B2D85"/>
    <w:rsid w:val="00B05944"/>
    <w:rsid w:val="00C302D5"/>
    <w:rsid w:val="00CE041D"/>
    <w:rsid w:val="00D4018A"/>
    <w:rsid w:val="00D733C6"/>
    <w:rsid w:val="00E71D33"/>
    <w:rsid w:val="00F6298D"/>
    <w:rsid w:val="0ADD03A0"/>
    <w:rsid w:val="15F071EE"/>
    <w:rsid w:val="17FF9BBB"/>
    <w:rsid w:val="1CAA077E"/>
    <w:rsid w:val="246D3005"/>
    <w:rsid w:val="2F8B7600"/>
    <w:rsid w:val="37B2AA05"/>
    <w:rsid w:val="391DFDB4"/>
    <w:rsid w:val="3DEB1892"/>
    <w:rsid w:val="4CBF57C5"/>
    <w:rsid w:val="5E092BBB"/>
    <w:rsid w:val="6ABE39D9"/>
    <w:rsid w:val="6FFEE1E0"/>
    <w:rsid w:val="73EB8535"/>
    <w:rsid w:val="776E2B18"/>
    <w:rsid w:val="A99A0F32"/>
    <w:rsid w:val="B5DBFB26"/>
    <w:rsid w:val="B76BA081"/>
    <w:rsid w:val="CE88F5F5"/>
    <w:rsid w:val="DFF7BCEE"/>
    <w:rsid w:val="E7EFEF84"/>
    <w:rsid w:val="EB4F8486"/>
    <w:rsid w:val="EBFF836B"/>
    <w:rsid w:val="FBD5AFBC"/>
    <w:rsid w:val="FBF28630"/>
    <w:rsid w:val="FBFE8BC4"/>
    <w:rsid w:val="FCBF5534"/>
    <w:rsid w:val="FDBD891C"/>
    <w:rsid w:val="FEFD1B94"/>
    <w:rsid w:val="FEFFC6A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29"/>
    <w:qFormat/>
    <w:uiPriority w:val="9"/>
    <w:pPr>
      <w:keepNext/>
      <w:keepLines/>
      <w:spacing w:before="360" w:after="80"/>
      <w:outlineLvl w:val="0"/>
    </w:pPr>
    <w:rPr>
      <w:rFonts w:asciiTheme="majorHAnsi" w:hAnsiTheme="majorHAnsi" w:eastAsiaTheme="majorEastAsia" w:cstheme="majorBidi"/>
      <w:b/>
      <w:color w:val="104862" w:themeColor="accent1" w:themeShade="BF"/>
      <w:sz w:val="40"/>
      <w:szCs w:val="40"/>
      <w:u w:val="single"/>
    </w:rPr>
  </w:style>
  <w:style w:type="paragraph" w:styleId="3">
    <w:name w:val="heading 2"/>
    <w:basedOn w:val="1"/>
    <w:next w:val="1"/>
    <w:link w:val="30"/>
    <w:unhideWhenUsed/>
    <w:qFormat/>
    <w:uiPriority w:val="9"/>
    <w:pPr>
      <w:keepNext/>
      <w:keepLines/>
      <w:spacing w:before="160" w:after="80"/>
      <w:outlineLvl w:val="1"/>
    </w:pPr>
    <w:rPr>
      <w:rFonts w:asciiTheme="majorHAnsi" w:hAnsiTheme="majorHAnsi" w:eastAsiaTheme="majorEastAsia" w:cstheme="majorBidi"/>
      <w:b/>
      <w:i/>
      <w:color w:val="104862" w:themeColor="accent1" w:themeShade="BF"/>
      <w:sz w:val="32"/>
      <w:szCs w:val="32"/>
    </w:rPr>
  </w:style>
  <w:style w:type="paragraph" w:styleId="4">
    <w:name w:val="heading 3"/>
    <w:basedOn w:val="1"/>
    <w:next w:val="1"/>
    <w:link w:val="31"/>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2"/>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HTML Code"/>
    <w:basedOn w:val="11"/>
    <w:semiHidden/>
    <w:unhideWhenUsed/>
    <w:qFormat/>
    <w:uiPriority w:val="99"/>
    <w:rPr>
      <w:rFonts w:ascii="Courier New" w:hAnsi="Courier New" w:eastAsia="Times New Roman" w:cs="Courier New"/>
      <w:sz w:val="20"/>
      <w:szCs w:val="20"/>
    </w:rPr>
  </w:style>
  <w:style w:type="character" w:styleId="15">
    <w:name w:val="Hyperlink"/>
    <w:basedOn w:val="11"/>
    <w:unhideWhenUsed/>
    <w:qFormat/>
    <w:uiPriority w:val="99"/>
    <w:rPr>
      <w:color w:val="0000FF"/>
      <w:u w:val="single"/>
    </w:rPr>
  </w:style>
  <w:style w:type="paragraph" w:styleId="1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lang w:val="zh-CN" w:eastAsia="en-GB"/>
      <w14:ligatures w14:val="none"/>
    </w:rPr>
  </w:style>
  <w:style w:type="character" w:styleId="17">
    <w:name w:val="Strong"/>
    <w:basedOn w:val="11"/>
    <w:qFormat/>
    <w:uiPriority w:val="22"/>
    <w:rPr>
      <w:b/>
      <w:bCs/>
    </w:rPr>
  </w:style>
  <w:style w:type="paragraph" w:styleId="18">
    <w:name w:val="Subtitle"/>
    <w:basedOn w:val="1"/>
    <w:next w:val="1"/>
    <w:link w:val="3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Title"/>
    <w:basedOn w:val="1"/>
    <w:next w:val="1"/>
    <w:link w:val="3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0">
    <w:name w:val="toc 1"/>
    <w:basedOn w:val="1"/>
    <w:next w:val="1"/>
    <w:autoRedefine/>
    <w:unhideWhenUsed/>
    <w:qFormat/>
    <w:uiPriority w:val="39"/>
    <w:pPr>
      <w:spacing w:before="120" w:after="0"/>
    </w:pPr>
    <w:rPr>
      <w:b/>
      <w:bCs/>
      <w:i/>
      <w:iCs/>
    </w:rPr>
  </w:style>
  <w:style w:type="paragraph" w:styleId="21">
    <w:name w:val="toc 2"/>
    <w:basedOn w:val="1"/>
    <w:next w:val="1"/>
    <w:autoRedefine/>
    <w:unhideWhenUsed/>
    <w:qFormat/>
    <w:uiPriority w:val="39"/>
    <w:pPr>
      <w:spacing w:before="120" w:after="0"/>
      <w:ind w:left="240"/>
    </w:pPr>
    <w:rPr>
      <w:b/>
      <w:bCs/>
      <w:sz w:val="22"/>
      <w:szCs w:val="22"/>
    </w:rPr>
  </w:style>
  <w:style w:type="paragraph" w:styleId="22">
    <w:name w:val="toc 3"/>
    <w:basedOn w:val="1"/>
    <w:next w:val="1"/>
    <w:autoRedefine/>
    <w:unhideWhenUsed/>
    <w:qFormat/>
    <w:uiPriority w:val="39"/>
    <w:pPr>
      <w:spacing w:after="0"/>
      <w:ind w:left="480"/>
    </w:pPr>
    <w:rPr>
      <w:sz w:val="20"/>
      <w:szCs w:val="20"/>
    </w:rPr>
  </w:style>
  <w:style w:type="paragraph" w:styleId="23">
    <w:name w:val="toc 4"/>
    <w:basedOn w:val="1"/>
    <w:next w:val="1"/>
    <w:autoRedefine/>
    <w:semiHidden/>
    <w:unhideWhenUsed/>
    <w:qFormat/>
    <w:uiPriority w:val="39"/>
    <w:pPr>
      <w:spacing w:after="0"/>
      <w:ind w:left="720"/>
    </w:pPr>
    <w:rPr>
      <w:sz w:val="20"/>
      <w:szCs w:val="20"/>
    </w:rPr>
  </w:style>
  <w:style w:type="paragraph" w:styleId="24">
    <w:name w:val="toc 5"/>
    <w:basedOn w:val="1"/>
    <w:next w:val="1"/>
    <w:autoRedefine/>
    <w:semiHidden/>
    <w:unhideWhenUsed/>
    <w:qFormat/>
    <w:uiPriority w:val="39"/>
    <w:pPr>
      <w:spacing w:after="0"/>
      <w:ind w:left="960"/>
    </w:pPr>
    <w:rPr>
      <w:sz w:val="20"/>
      <w:szCs w:val="20"/>
    </w:rPr>
  </w:style>
  <w:style w:type="paragraph" w:styleId="25">
    <w:name w:val="toc 6"/>
    <w:basedOn w:val="1"/>
    <w:next w:val="1"/>
    <w:autoRedefine/>
    <w:semiHidden/>
    <w:unhideWhenUsed/>
    <w:qFormat/>
    <w:uiPriority w:val="39"/>
    <w:pPr>
      <w:spacing w:after="0"/>
      <w:ind w:left="1200"/>
    </w:pPr>
    <w:rPr>
      <w:sz w:val="20"/>
      <w:szCs w:val="20"/>
    </w:rPr>
  </w:style>
  <w:style w:type="paragraph" w:styleId="26">
    <w:name w:val="toc 7"/>
    <w:basedOn w:val="1"/>
    <w:next w:val="1"/>
    <w:autoRedefine/>
    <w:semiHidden/>
    <w:unhideWhenUsed/>
    <w:qFormat/>
    <w:uiPriority w:val="39"/>
    <w:pPr>
      <w:spacing w:after="0"/>
      <w:ind w:left="1440"/>
    </w:pPr>
    <w:rPr>
      <w:sz w:val="20"/>
      <w:szCs w:val="20"/>
    </w:rPr>
  </w:style>
  <w:style w:type="paragraph" w:styleId="27">
    <w:name w:val="toc 8"/>
    <w:basedOn w:val="1"/>
    <w:next w:val="1"/>
    <w:autoRedefine/>
    <w:semiHidden/>
    <w:unhideWhenUsed/>
    <w:qFormat/>
    <w:uiPriority w:val="39"/>
    <w:pPr>
      <w:spacing w:after="0"/>
      <w:ind w:left="1680"/>
    </w:pPr>
    <w:rPr>
      <w:sz w:val="20"/>
      <w:szCs w:val="20"/>
    </w:rPr>
  </w:style>
  <w:style w:type="paragraph" w:styleId="28">
    <w:name w:val="toc 9"/>
    <w:basedOn w:val="1"/>
    <w:next w:val="1"/>
    <w:autoRedefine/>
    <w:semiHidden/>
    <w:unhideWhenUsed/>
    <w:qFormat/>
    <w:uiPriority w:val="39"/>
    <w:pPr>
      <w:spacing w:after="0"/>
      <w:ind w:left="1920"/>
    </w:pPr>
    <w:rPr>
      <w:sz w:val="20"/>
      <w:szCs w:val="20"/>
    </w:rPr>
  </w:style>
  <w:style w:type="character" w:customStyle="1" w:styleId="29">
    <w:name w:val="Heading 1 Char"/>
    <w:basedOn w:val="11"/>
    <w:link w:val="2"/>
    <w:qFormat/>
    <w:uiPriority w:val="9"/>
    <w:rPr>
      <w:rFonts w:asciiTheme="majorHAnsi" w:hAnsiTheme="majorHAnsi" w:eastAsiaTheme="majorEastAsia" w:cstheme="majorBidi"/>
      <w:b/>
      <w:color w:val="104862" w:themeColor="accent1" w:themeShade="BF"/>
      <w:sz w:val="40"/>
      <w:szCs w:val="40"/>
      <w:u w:val="single"/>
      <w:lang w:val="en-GB"/>
    </w:rPr>
  </w:style>
  <w:style w:type="character" w:customStyle="1" w:styleId="30">
    <w:name w:val="Heading 2 Char"/>
    <w:basedOn w:val="11"/>
    <w:link w:val="3"/>
    <w:qFormat/>
    <w:uiPriority w:val="9"/>
    <w:rPr>
      <w:rFonts w:asciiTheme="majorHAnsi" w:hAnsiTheme="majorHAnsi" w:eastAsiaTheme="majorEastAsia" w:cstheme="majorBidi"/>
      <w:b/>
      <w:i/>
      <w:color w:val="104862" w:themeColor="accent1" w:themeShade="BF"/>
      <w:sz w:val="32"/>
      <w:szCs w:val="32"/>
      <w:lang w:val="en-GB"/>
    </w:rPr>
  </w:style>
  <w:style w:type="character" w:customStyle="1" w:styleId="31">
    <w:name w:val="Heading 3 Char"/>
    <w:basedOn w:val="11"/>
    <w:link w:val="4"/>
    <w:qFormat/>
    <w:uiPriority w:val="9"/>
    <w:rPr>
      <w:rFonts w:eastAsiaTheme="majorEastAsia" w:cstheme="majorBidi"/>
      <w:color w:val="104862" w:themeColor="accent1" w:themeShade="BF"/>
      <w:sz w:val="28"/>
      <w:szCs w:val="28"/>
      <w:lang w:val="en-GB"/>
    </w:rPr>
  </w:style>
  <w:style w:type="character" w:customStyle="1" w:styleId="32">
    <w:name w:val="Heading 4 Char"/>
    <w:basedOn w:val="11"/>
    <w:link w:val="5"/>
    <w:qFormat/>
    <w:uiPriority w:val="9"/>
    <w:rPr>
      <w:rFonts w:eastAsiaTheme="majorEastAsia" w:cstheme="majorBidi"/>
      <w:i/>
      <w:iCs/>
      <w:color w:val="104862" w:themeColor="accent1" w:themeShade="BF"/>
      <w:lang w:val="en-GB"/>
    </w:rPr>
  </w:style>
  <w:style w:type="character" w:customStyle="1" w:styleId="33">
    <w:name w:val="Heading 5 Char"/>
    <w:basedOn w:val="11"/>
    <w:link w:val="6"/>
    <w:semiHidden/>
    <w:qFormat/>
    <w:uiPriority w:val="9"/>
    <w:rPr>
      <w:rFonts w:eastAsiaTheme="majorEastAsia" w:cstheme="majorBidi"/>
      <w:color w:val="104862" w:themeColor="accent1" w:themeShade="BF"/>
      <w:lang w:val="en-GB"/>
    </w:rPr>
  </w:style>
  <w:style w:type="character" w:customStyle="1" w:styleId="34">
    <w:name w:val="Heading 6 Char"/>
    <w:basedOn w:val="11"/>
    <w:link w:val="7"/>
    <w:semiHidden/>
    <w:qFormat/>
    <w:uiPriority w:val="9"/>
    <w:rPr>
      <w:rFonts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35">
    <w:name w:val="Heading 7 Char"/>
    <w:basedOn w:val="11"/>
    <w:link w:val="8"/>
    <w:semiHidden/>
    <w:qFormat/>
    <w:uiPriority w:val="9"/>
    <w:rPr>
      <w:rFonts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36">
    <w:name w:val="Heading 8 Char"/>
    <w:basedOn w:val="11"/>
    <w:link w:val="9"/>
    <w:semiHidden/>
    <w:qFormat/>
    <w:uiPriority w:val="9"/>
    <w:rPr>
      <w:rFonts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37">
    <w:name w:val="Heading 9 Char"/>
    <w:basedOn w:val="11"/>
    <w:link w:val="10"/>
    <w:semiHidden/>
    <w:qFormat/>
    <w:uiPriority w:val="9"/>
    <w:rPr>
      <w:rFonts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38">
    <w:name w:val="Title Char"/>
    <w:basedOn w:val="11"/>
    <w:link w:val="19"/>
    <w:qFormat/>
    <w:uiPriority w:val="10"/>
    <w:rPr>
      <w:rFonts w:asciiTheme="majorHAnsi" w:hAnsiTheme="majorHAnsi" w:eastAsiaTheme="majorEastAsia" w:cstheme="majorBidi"/>
      <w:spacing w:val="-10"/>
      <w:kern w:val="28"/>
      <w:sz w:val="56"/>
      <w:szCs w:val="56"/>
      <w:lang w:val="en-GB"/>
    </w:rPr>
  </w:style>
  <w:style w:type="character" w:customStyle="1" w:styleId="39">
    <w:name w:val="Subtitle Char"/>
    <w:basedOn w:val="11"/>
    <w:link w:val="18"/>
    <w:qFormat/>
    <w:uiPriority w:val="11"/>
    <w:rPr>
      <w:rFonts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styleId="40">
    <w:name w:val="Quote"/>
    <w:basedOn w:val="1"/>
    <w:next w:val="1"/>
    <w:link w:val="4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1">
    <w:name w:val="Quote Char"/>
    <w:basedOn w:val="11"/>
    <w:link w:val="40"/>
    <w:qFormat/>
    <w:uiPriority w:val="29"/>
    <w:rPr>
      <w:i/>
      <w:iCs/>
      <w:color w:val="404040" w:themeColor="text1" w:themeTint="BF"/>
      <w:lang w:val="en-GB"/>
      <w14:textFill>
        <w14:solidFill>
          <w14:schemeClr w14:val="tx1">
            <w14:lumMod w14:val="75000"/>
            <w14:lumOff w14:val="25000"/>
          </w14:schemeClr>
        </w14:solidFill>
      </w14:textFill>
    </w:rPr>
  </w:style>
  <w:style w:type="paragraph" w:styleId="42">
    <w:name w:val="List Paragraph"/>
    <w:basedOn w:val="1"/>
    <w:qFormat/>
    <w:uiPriority w:val="34"/>
    <w:pPr>
      <w:ind w:left="720"/>
      <w:contextualSpacing/>
    </w:pPr>
  </w:style>
  <w:style w:type="character" w:customStyle="1" w:styleId="43">
    <w:name w:val="Intense Emphasis1"/>
    <w:basedOn w:val="11"/>
    <w:qFormat/>
    <w:uiPriority w:val="21"/>
    <w:rPr>
      <w:i/>
      <w:iCs/>
      <w:color w:val="104862" w:themeColor="accent1" w:themeShade="BF"/>
    </w:rPr>
  </w:style>
  <w:style w:type="paragraph" w:styleId="44">
    <w:name w:val="Intense Quote"/>
    <w:basedOn w:val="1"/>
    <w:next w:val="1"/>
    <w:link w:val="4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5">
    <w:name w:val="Intense Quote Char"/>
    <w:basedOn w:val="11"/>
    <w:link w:val="44"/>
    <w:qFormat/>
    <w:uiPriority w:val="30"/>
    <w:rPr>
      <w:i/>
      <w:iCs/>
      <w:color w:val="104862" w:themeColor="accent1" w:themeShade="BF"/>
      <w:lang w:val="en-GB"/>
    </w:rPr>
  </w:style>
  <w:style w:type="character" w:customStyle="1" w:styleId="46">
    <w:name w:val="Intense Reference1"/>
    <w:basedOn w:val="11"/>
    <w:qFormat/>
    <w:uiPriority w:val="32"/>
    <w:rPr>
      <w:b/>
      <w:bCs/>
      <w:smallCaps/>
      <w:color w:val="104862" w:themeColor="accent1" w:themeShade="BF"/>
      <w:spacing w:val="5"/>
    </w:rPr>
  </w:style>
  <w:style w:type="paragraph" w:customStyle="1" w:styleId="47">
    <w:name w:val="TOC Heading1"/>
    <w:basedOn w:val="2"/>
    <w:next w:val="1"/>
    <w:unhideWhenUsed/>
    <w:qFormat/>
    <w:uiPriority w:val="39"/>
    <w:pPr>
      <w:spacing w:before="480" w:after="0" w:line="276" w:lineRule="auto"/>
      <w:outlineLvl w:val="9"/>
    </w:pPr>
    <w:rPr>
      <w:bCs/>
      <w:kern w:val="0"/>
      <w:sz w:val="28"/>
      <w:szCs w:val="28"/>
      <w:u w:val="none"/>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image" Target="media/image26.jpe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jpe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10D8A71D-BFB4-C04B-ADAD-CBD3FE9A65E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5228</Words>
  <Characters>29801</Characters>
  <Lines>248</Lines>
  <Paragraphs>69</Paragraphs>
  <TotalTime>152</TotalTime>
  <ScaleCrop>false</ScaleCrop>
  <LinksUpToDate>false</LinksUpToDate>
  <CharactersWithSpaces>34960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2025-11-17T16:28:00Z</dcterms:created>
  <dc:creator>Aounaiza Ahmed</dc:creator>
  <cp:lastModifiedBy>patel</cp:lastModifiedBy>
  <dcterms:modified xsi:type="dcterms:W3CDTF">2025-12-17T09:31:11Z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68E4319500504D4BBA64C51A0FDE9E1C_13</vt:lpwstr>
  </property>
</Properties>
</file>