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54309945"/>
        <w:docPartObj>
          <w:docPartGallery w:val="Cover Pages"/>
          <w:docPartUnique/>
        </w:docPartObj>
      </w:sdtPr>
      <w:sdtContent>
        <w:p w14:paraId="1EFDE3D4" w14:textId="1364B4BA" w:rsidR="002E5892" w:rsidRDefault="002E5892">
          <w:r>
            <w:rPr>
              <w:noProof/>
              <w:color w:val="FFFFFF" w:themeColor="background1"/>
            </w:rPr>
            <mc:AlternateContent>
              <mc:Choice Requires="wpg">
                <w:drawing>
                  <wp:anchor distT="0" distB="0" distL="114300" distR="114300" simplePos="0" relativeHeight="251659264" behindDoc="0" locked="0" layoutInCell="1" allowOverlap="1" wp14:anchorId="137B447D" wp14:editId="7AFF24AE">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A07E3C9" w14:textId="098A2BC7" w:rsidR="002E5892" w:rsidRPr="002E5892" w:rsidRDefault="002E5892">
                                      <w:pPr>
                                        <w:pStyle w:val="NoSpacing"/>
                                        <w:spacing w:after="120"/>
                                        <w:rPr>
                                          <w:rFonts w:asciiTheme="majorHAnsi" w:eastAsiaTheme="majorEastAsia" w:hAnsiTheme="majorHAnsi" w:cstheme="majorBidi"/>
                                          <w:color w:val="FFFFFF" w:themeColor="background1"/>
                                          <w:sz w:val="56"/>
                                          <w:szCs w:val="56"/>
                                        </w:rPr>
                                      </w:pPr>
                                      <w:r w:rsidRPr="002E5892">
                                        <w:rPr>
                                          <w:rFonts w:asciiTheme="majorHAnsi" w:eastAsiaTheme="majorEastAsia" w:hAnsiTheme="majorHAnsi" w:cstheme="majorBidi"/>
                                          <w:color w:val="FFFFFF" w:themeColor="background1"/>
                                          <w:sz w:val="56"/>
                                          <w:szCs w:val="56"/>
                                        </w:rPr>
                                        <w:t>Examine the impact of partnership working and information sharing when applied to policing practice. Consider the need for effective communication within the process.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BBA7780" w14:textId="0AB720E3" w:rsidR="002E5892" w:rsidRDefault="002E5892">
                                      <w:pPr>
                                        <w:pStyle w:val="NoSpacing"/>
                                        <w:rPr>
                                          <w:color w:val="FFFFFF" w:themeColor="background1"/>
                                          <w:sz w:val="28"/>
                                          <w:szCs w:val="28"/>
                                        </w:rPr>
                                      </w:pPr>
                                      <w:r>
                                        <w:rPr>
                                          <w:color w:val="FFFFFF" w:themeColor="background1"/>
                                          <w:sz w:val="28"/>
                                          <w:szCs w:val="28"/>
                                        </w:rPr>
                                        <w:t xml:space="preserve">Evidence-based approaches to policing decisions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0FDFD75" w14:textId="4BAF7891" w:rsidR="002E5892" w:rsidRDefault="002E5892">
                                      <w:pPr>
                                        <w:pStyle w:val="NoSpacing"/>
                                        <w:rPr>
                                          <w:color w:val="FFFFFF" w:themeColor="background1"/>
                                          <w:sz w:val="32"/>
                                          <w:szCs w:val="32"/>
                                        </w:rPr>
                                      </w:pPr>
                                      <w:r>
                                        <w:rPr>
                                          <w:color w:val="FFFFFF" w:themeColor="background1"/>
                                          <w:sz w:val="32"/>
                                          <w:szCs w:val="32"/>
                                        </w:rPr>
                                        <w:t>Chelsey Poulton (2007838)</w:t>
                                      </w:r>
                                    </w:p>
                                  </w:sdtContent>
                                </w:sdt>
                                <w:p w14:paraId="1AF13F95" w14:textId="2871C21E" w:rsidR="002E5892" w:rsidRDefault="002E5892">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Sadie france</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BMPL4001</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7B447D"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A07E3C9" w14:textId="098A2BC7" w:rsidR="002E5892" w:rsidRPr="002E5892" w:rsidRDefault="002E5892">
                                <w:pPr>
                                  <w:pStyle w:val="NoSpacing"/>
                                  <w:spacing w:after="120"/>
                                  <w:rPr>
                                    <w:rFonts w:asciiTheme="majorHAnsi" w:eastAsiaTheme="majorEastAsia" w:hAnsiTheme="majorHAnsi" w:cstheme="majorBidi"/>
                                    <w:color w:val="FFFFFF" w:themeColor="background1"/>
                                    <w:sz w:val="56"/>
                                    <w:szCs w:val="56"/>
                                  </w:rPr>
                                </w:pPr>
                                <w:r w:rsidRPr="002E5892">
                                  <w:rPr>
                                    <w:rFonts w:asciiTheme="majorHAnsi" w:eastAsiaTheme="majorEastAsia" w:hAnsiTheme="majorHAnsi" w:cstheme="majorBidi"/>
                                    <w:color w:val="FFFFFF" w:themeColor="background1"/>
                                    <w:sz w:val="56"/>
                                    <w:szCs w:val="56"/>
                                  </w:rPr>
                                  <w:t>Examine the impact of partnership working and information sharing when applied to policing practice. Consider the need for effective communication within the process.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BBA7780" w14:textId="0AB720E3" w:rsidR="002E5892" w:rsidRDefault="002E5892">
                                <w:pPr>
                                  <w:pStyle w:val="NoSpacing"/>
                                  <w:rPr>
                                    <w:color w:val="FFFFFF" w:themeColor="background1"/>
                                    <w:sz w:val="28"/>
                                    <w:szCs w:val="28"/>
                                  </w:rPr>
                                </w:pPr>
                                <w:r>
                                  <w:rPr>
                                    <w:color w:val="FFFFFF" w:themeColor="background1"/>
                                    <w:sz w:val="28"/>
                                    <w:szCs w:val="28"/>
                                  </w:rPr>
                                  <w:t xml:space="preserve">Evidence-based approaches to policing decisions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0FDFD75" w14:textId="4BAF7891" w:rsidR="002E5892" w:rsidRDefault="002E5892">
                                <w:pPr>
                                  <w:pStyle w:val="NoSpacing"/>
                                  <w:rPr>
                                    <w:color w:val="FFFFFF" w:themeColor="background1"/>
                                    <w:sz w:val="32"/>
                                    <w:szCs w:val="32"/>
                                  </w:rPr>
                                </w:pPr>
                                <w:r>
                                  <w:rPr>
                                    <w:color w:val="FFFFFF" w:themeColor="background1"/>
                                    <w:sz w:val="32"/>
                                    <w:szCs w:val="32"/>
                                  </w:rPr>
                                  <w:t>Chelsey Poulton (2007838)</w:t>
                                </w:r>
                              </w:p>
                            </w:sdtContent>
                          </w:sdt>
                          <w:p w14:paraId="1AF13F95" w14:textId="2871C21E" w:rsidR="002E5892" w:rsidRDefault="002E5892">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Sadie france</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BMPL4001</w:t>
                                </w:r>
                              </w:sdtContent>
                            </w:sdt>
                          </w:p>
                        </w:txbxContent>
                      </v:textbox>
                    </v:shape>
                    <w10:wrap anchorx="page" anchory="page"/>
                  </v:group>
                </w:pict>
              </mc:Fallback>
            </mc:AlternateContent>
          </w:r>
          <w:r>
            <w:br w:type="page"/>
          </w:r>
        </w:p>
      </w:sdtContent>
    </w:sdt>
    <w:p w14:paraId="24B86B81" w14:textId="4B88959D" w:rsidR="00CA1AEF" w:rsidRDefault="00CA1AEF" w:rsidP="00CA1AEF">
      <w:pPr>
        <w:spacing w:line="360" w:lineRule="auto"/>
      </w:pPr>
      <w:r>
        <w:lastRenderedPageBreak/>
        <w:t xml:space="preserve">  This paper delves into the ideas and facts of policing</w:t>
      </w:r>
      <w:r w:rsidR="002E5892">
        <w:t xml:space="preserve"> </w:t>
      </w:r>
      <w:r>
        <w:t xml:space="preserve">intelligent and third-party partnerships. It will point out negative and positive parts of the framework and back this up with recent comments made by the heads of some charities. Explaining and outlining the importance of partnerships and why information sharing is important for police and victims alike. Delving deeper this paper will clarify why communication is at the centre of it all and put into words why it is impossible without open and transparent communication between the parties and public crime prevention. </w:t>
      </w:r>
    </w:p>
    <w:p w14:paraId="76DC7B2B" w14:textId="692DAE20" w:rsidR="00CA1AEF" w:rsidRDefault="00CA1AEF" w:rsidP="00CA1AEF">
      <w:pPr>
        <w:spacing w:line="360" w:lineRule="auto"/>
      </w:pPr>
      <w:r>
        <w:t xml:space="preserve">  The most common perception of policing is the police force cannot cut crime on their own, given that effective partnership works as part of an essential part of fighting crime. Moore and Brown (1981) suggest that this could be an effective approach because it brings various groups together instead of the entire burden resting on the police force alone. Effective partnership is key to reducing crime and any form of disorder before crime becomes a serious problem (GOV, 2016), For example, if a change was made to bus timetables and there was adequate street lighting this may prevent crime-fighting</w:t>
      </w:r>
      <w:r w:rsidR="0034055A">
        <w:t xml:space="preserve"> and</w:t>
      </w:r>
      <w:r>
        <w:t xml:space="preserve"> d</w:t>
      </w:r>
      <w:r w:rsidR="0034055A">
        <w:t>eter</w:t>
      </w:r>
      <w:r>
        <w:t xml:space="preserve"> criminals, it was evident that this was not achievable without multi-agency approach and individual agencies recognise this (Joyce and Lavric, 2021). Not only this but they also help reduce costs and tackle other obstacles through a joint problem-solving approach. There is information sharing in all kinds of policing areas such as domestic abuse, hate crime and many more. According to Rowe (2018), before the Crime and Disorder Act of 1998 came into place, it had been advocated for many years before and everyone agreed that a locally coordinated multi</w:t>
      </w:r>
      <w:r w:rsidR="0034055A">
        <w:t>-</w:t>
      </w:r>
      <w:r>
        <w:t>agency approach would be beneficial thus creating The Crime and Disorder Act 1998. The Crime and Disorder Act 1998 established community safety partnerships outlining key areas and made it a statutory core requirement partnership working between, police and local authorities such as fire and health, drugs and alcohol services and probation services. The key objective of these partnerships was to tackle problems and have a clear action plan of analysed responsibility and to also annually review strategies (Wood et al, 2023). This legislation gave responsible authorities a statutory duty to cooperate and coordinate together later becoming known as the Crime and Disorder Reduction Partnership or CDRP’S. It is clear that the strategies outline and promote information sharing between all parties.</w:t>
      </w:r>
    </w:p>
    <w:p w14:paraId="2CE1C2F0" w14:textId="34744F1B" w:rsidR="00CA1AEF" w:rsidRDefault="00CA1AEF" w:rsidP="00CA1AEF">
      <w:pPr>
        <w:spacing w:line="360" w:lineRule="auto"/>
      </w:pPr>
      <w:r>
        <w:lastRenderedPageBreak/>
        <w:t xml:space="preserve">  The College of Policing (2018) point out that to reduce the chances of high-risk cases slipping through any of the safeguarding protocols multi-agency cooperation and information sharing are key. It proves to give effective risk identification early on therefore reducing the risks</w:t>
      </w:r>
      <w:r w:rsidR="0034055A">
        <w:t xml:space="preserve"> in general</w:t>
      </w:r>
      <w:r>
        <w:t>, and the 1998 Crime and Disorder Act permits all parties to share both personal and depersonalised information. For example, the College of Policing (2024) outlined that any evidence gathered in a criminal proceeding can be shared in a civil court order, as any information shared can assist in the planning of any safety process for the children or victims of the case. It also maintains any protocols of information sharing with Cafcass</w:t>
      </w:r>
      <w:r w:rsidR="0034055A">
        <w:t xml:space="preserve"> who are one of the most well-known partnerships with police being one of the attendees of something known as a MARAC meeting or a Multi-agency risk assessment conference. This is where the police, social services, CAFCASS and schools all meet if any safeguarding concerns are raised in the case of a child.</w:t>
      </w:r>
      <w:r>
        <w:t xml:space="preserve"> Information can also be shared with third sector or parties such as Women’s Aid, this not only benefits victims but also benefits offic</w:t>
      </w:r>
      <w:r w:rsidR="0034055A">
        <w:t>er</w:t>
      </w:r>
      <w:r>
        <w:t xml:space="preserve">s as Women Aid (2024) states that “it gives officers a better understanding” </w:t>
      </w:r>
      <w:r w:rsidR="0034055A">
        <w:t xml:space="preserve"> through training programmes </w:t>
      </w:r>
      <w:r>
        <w:t xml:space="preserve">and this is fundamental because in a statement made by Lucy Hadley the chef of Women’s Aid (2023) “violence against women is rife and change is required”. The advantage of having third-party partnerships with charities like Women’s Aid and Refuge is the person-centred approach the charities have that </w:t>
      </w:r>
      <w:r w:rsidR="0034055A">
        <w:t xml:space="preserve">the </w:t>
      </w:r>
      <w:r>
        <w:t>police do</w:t>
      </w:r>
      <w:r w:rsidR="0034055A">
        <w:t xml:space="preserve"> not have</w:t>
      </w:r>
      <w:r>
        <w:t xml:space="preserve">, </w:t>
      </w:r>
      <w:r w:rsidR="0034055A">
        <w:t xml:space="preserve">and </w:t>
      </w:r>
      <w:r>
        <w:t xml:space="preserve">because of this 25% of women say they have less trust in the police (refuge, 2024). This would be a lot higher </w:t>
      </w:r>
      <w:r w:rsidR="0034055A">
        <w:t>if not for the 3</w:t>
      </w:r>
      <w:r w:rsidR="0034055A" w:rsidRPr="0034055A">
        <w:rPr>
          <w:vertAlign w:val="superscript"/>
        </w:rPr>
        <w:t>rd</w:t>
      </w:r>
      <w:r>
        <w:t>party partnership</w:t>
      </w:r>
      <w:r w:rsidR="0034055A">
        <w:t>,</w:t>
      </w:r>
      <w:r>
        <w:t xml:space="preserve"> and all this intelligence sharing is crucial to getting convictions and </w:t>
      </w:r>
      <w:r w:rsidR="0034055A">
        <w:t>deterring</w:t>
      </w:r>
      <w:r>
        <w:t xml:space="preserve"> crime.</w:t>
      </w:r>
    </w:p>
    <w:p w14:paraId="7844E136" w14:textId="23E44D2E" w:rsidR="00CA1AEF" w:rsidRDefault="00CA1AEF" w:rsidP="00CA1AEF">
      <w:pPr>
        <w:spacing w:line="360" w:lineRule="auto"/>
        <w:rPr>
          <w:color w:val="000000" w:themeColor="text1"/>
          <w:shd w:val="clear" w:color="auto" w:fill="FFFFFF"/>
        </w:rPr>
      </w:pPr>
      <w:r>
        <w:t xml:space="preserve">  None of this would be achievable without the National Intelligence Model more commonly known as NIM. The NIM is actually a business model that provides focus to operational policing (McGuire and John 2006). It is dependent on the analysis of information and intelligence allowing a framework of problem-solving for law enforcement and reducing barriers to effectiveness in creating an open and cooperative working environment. The purpose of NIM is to make sure all information that is received is researched, developed and analysed providing strategies for officers to make tactical decisions (Gilmour and Francis, 2011). </w:t>
      </w:r>
      <w:r w:rsidR="00776D28">
        <w:t>So,</w:t>
      </w:r>
      <w:r>
        <w:t xml:space="preserve"> without intelligence none of this framework is achievable. Intelligence allows officers to solve crimes and, in some </w:t>
      </w:r>
      <w:r>
        <w:lastRenderedPageBreak/>
        <w:t xml:space="preserve">cases, actually even prevent them. Intelligence can come from different places such as the </w:t>
      </w:r>
      <w:r w:rsidR="00776D28">
        <w:t xml:space="preserve">police </w:t>
      </w:r>
      <w:r>
        <w:t xml:space="preserve">systems or even externally like the public </w:t>
      </w:r>
      <w:r w:rsidR="00776D28">
        <w:t xml:space="preserve">or </w:t>
      </w:r>
      <w:r>
        <w:t>third parties like women’s aid, but it is important for many reasons. When multiple agencies like Interpol</w:t>
      </w:r>
      <w:r w:rsidR="00776D28">
        <w:t>, Europol</w:t>
      </w:r>
      <w:r>
        <w:t xml:space="preserve">, police and third parties are all working together intelligence sharing means they are all aligned with the same information and can coordinate their efforts to come up with an efficient plan of action. This can lead to all agencies allocating resources directly and this can lead to faster response times (College of </w:t>
      </w:r>
      <w:r w:rsidR="00776D28">
        <w:t>Policing</w:t>
      </w:r>
      <w:r>
        <w:t xml:space="preserve"> 2016) looking at all the key information as to why intelligence is important it is evident to see </w:t>
      </w:r>
      <w:r w:rsidR="00776D28">
        <w:t xml:space="preserve">that </w:t>
      </w:r>
      <w:r>
        <w:t>communication is 100% key. For effective delivery of the service effective communication plays a crucial part in it all (</w:t>
      </w:r>
      <w:r w:rsidRPr="00CA1AEF">
        <w:rPr>
          <w:color w:val="000000" w:themeColor="text1"/>
          <w:shd w:val="clear" w:color="auto" w:fill="FFFFFF"/>
        </w:rPr>
        <w:t>Lewandowski</w:t>
      </w:r>
      <w:r w:rsidRPr="00CA1AEF">
        <w:rPr>
          <w:color w:val="000000" w:themeColor="text1"/>
          <w:shd w:val="clear" w:color="auto" w:fill="FFFFFF"/>
        </w:rPr>
        <w:t xml:space="preserve"> and Nestel</w:t>
      </w:r>
      <w:r>
        <w:rPr>
          <w:color w:val="000000" w:themeColor="text1"/>
          <w:shd w:val="clear" w:color="auto" w:fill="FFFFFF"/>
        </w:rPr>
        <w:t xml:space="preserve"> 2016). By all parties </w:t>
      </w:r>
      <w:r w:rsidR="00776D28">
        <w:rPr>
          <w:color w:val="000000" w:themeColor="text1"/>
          <w:shd w:val="clear" w:color="auto" w:fill="FFFFFF"/>
        </w:rPr>
        <w:t>prioritising</w:t>
      </w:r>
      <w:r>
        <w:rPr>
          <w:color w:val="000000" w:themeColor="text1"/>
          <w:shd w:val="clear" w:color="auto" w:fill="FFFFFF"/>
        </w:rPr>
        <w:t xml:space="preserve"> and communicati</w:t>
      </w:r>
      <w:r w:rsidR="00776D28">
        <w:rPr>
          <w:color w:val="000000" w:themeColor="text1"/>
          <w:shd w:val="clear" w:color="auto" w:fill="FFFFFF"/>
        </w:rPr>
        <w:t xml:space="preserve">ng effectively, </w:t>
      </w:r>
      <w:r>
        <w:rPr>
          <w:color w:val="000000" w:themeColor="text1"/>
          <w:shd w:val="clear" w:color="auto" w:fill="FFFFFF"/>
        </w:rPr>
        <w:t>it builds trust not only between them but also within the communities</w:t>
      </w:r>
      <w:r w:rsidR="00776D28">
        <w:rPr>
          <w:color w:val="000000" w:themeColor="text1"/>
          <w:shd w:val="clear" w:color="auto" w:fill="FFFFFF"/>
        </w:rPr>
        <w:t xml:space="preserve"> they work in</w:t>
      </w:r>
      <w:r>
        <w:rPr>
          <w:color w:val="000000" w:themeColor="text1"/>
          <w:shd w:val="clear" w:color="auto" w:fill="FFFFFF"/>
        </w:rPr>
        <w:t xml:space="preserve">. This is a big factor when it comes to the framework </w:t>
      </w:r>
      <w:r w:rsidR="00776D28">
        <w:rPr>
          <w:color w:val="000000" w:themeColor="text1"/>
          <w:shd w:val="clear" w:color="auto" w:fill="FFFFFF"/>
        </w:rPr>
        <w:t xml:space="preserve">of </w:t>
      </w:r>
      <w:r>
        <w:rPr>
          <w:color w:val="000000" w:themeColor="text1"/>
          <w:shd w:val="clear" w:color="auto" w:fill="FFFFFF"/>
        </w:rPr>
        <w:t>reducing crime. Clear communication is crucial when it comes to sharing important information between the police and all parties as it gives a comprehensive understanding between police and th</w:t>
      </w:r>
      <w:r w:rsidR="00776D28">
        <w:rPr>
          <w:color w:val="000000" w:themeColor="text1"/>
          <w:shd w:val="clear" w:color="auto" w:fill="FFFFFF"/>
        </w:rPr>
        <w:t xml:space="preserve">ird </w:t>
      </w:r>
      <w:r>
        <w:rPr>
          <w:color w:val="000000" w:themeColor="text1"/>
          <w:shd w:val="clear" w:color="auto" w:fill="FFFFFF"/>
        </w:rPr>
        <w:t xml:space="preserve">parties giving more effective outcomes and is a pivotal component to finding a solution. When it comes to the public Mawby (2010) suggests that although open and transparent communications within the police force and </w:t>
      </w:r>
      <w:r w:rsidR="00776D28">
        <w:rPr>
          <w:color w:val="000000" w:themeColor="text1"/>
          <w:shd w:val="clear" w:color="auto" w:fill="FFFFFF"/>
        </w:rPr>
        <w:t>third</w:t>
      </w:r>
      <w:r>
        <w:rPr>
          <w:color w:val="000000" w:themeColor="text1"/>
          <w:shd w:val="clear" w:color="auto" w:fill="FFFFFF"/>
        </w:rPr>
        <w:t xml:space="preserve"> parties </w:t>
      </w:r>
      <w:r w:rsidR="00776D28">
        <w:rPr>
          <w:color w:val="000000" w:themeColor="text1"/>
          <w:shd w:val="clear" w:color="auto" w:fill="FFFFFF"/>
        </w:rPr>
        <w:t xml:space="preserve">is </w:t>
      </w:r>
      <w:r>
        <w:rPr>
          <w:color w:val="000000" w:themeColor="text1"/>
          <w:shd w:val="clear" w:color="auto" w:fill="FFFFFF"/>
        </w:rPr>
        <w:t>important to gain that trust and openness</w:t>
      </w:r>
      <w:r w:rsidR="00776D28">
        <w:rPr>
          <w:color w:val="000000" w:themeColor="text1"/>
          <w:shd w:val="clear" w:color="auto" w:fill="FFFFFF"/>
        </w:rPr>
        <w:t xml:space="preserve">, </w:t>
      </w:r>
      <w:r>
        <w:rPr>
          <w:color w:val="000000" w:themeColor="text1"/>
          <w:shd w:val="clear" w:color="auto" w:fill="FFFFFF"/>
        </w:rPr>
        <w:t>the same transparency is required with the public not only that but actively listening to the public’s concern strengthens this idea</w:t>
      </w:r>
      <w:r w:rsidR="00776D28">
        <w:rPr>
          <w:color w:val="000000" w:themeColor="text1"/>
          <w:shd w:val="clear" w:color="auto" w:fill="FFFFFF"/>
        </w:rPr>
        <w:t xml:space="preserve"> and outcomes</w:t>
      </w:r>
      <w:r>
        <w:rPr>
          <w:color w:val="000000" w:themeColor="text1"/>
          <w:shd w:val="clear" w:color="auto" w:fill="FFFFFF"/>
        </w:rPr>
        <w:t>.</w:t>
      </w:r>
    </w:p>
    <w:p w14:paraId="7CEB4D8B" w14:textId="6E05AA47" w:rsidR="00CA1AEF" w:rsidRDefault="00CA1AEF" w:rsidP="00CA1AEF">
      <w:pPr>
        <w:spacing w:line="360" w:lineRule="auto"/>
        <w:rPr>
          <w:color w:val="000000" w:themeColor="text1"/>
          <w:shd w:val="clear" w:color="auto" w:fill="FFFFFF"/>
        </w:rPr>
      </w:pPr>
      <w:r>
        <w:rPr>
          <w:color w:val="000000" w:themeColor="text1"/>
          <w:shd w:val="clear" w:color="auto" w:fill="FFFFFF"/>
        </w:rPr>
        <w:t xml:space="preserve">  To conclude, it is evident that no police force can tackle crime alone and although they are the face of crime prevention behind them driving </w:t>
      </w:r>
      <w:r w:rsidR="00776D28">
        <w:rPr>
          <w:color w:val="000000" w:themeColor="text1"/>
          <w:shd w:val="clear" w:color="auto" w:fill="FFFFFF"/>
        </w:rPr>
        <w:t xml:space="preserve">it </w:t>
      </w:r>
      <w:r>
        <w:rPr>
          <w:color w:val="000000" w:themeColor="text1"/>
          <w:shd w:val="clear" w:color="auto" w:fill="FFFFFF"/>
        </w:rPr>
        <w:t xml:space="preserve">all </w:t>
      </w:r>
      <w:r w:rsidR="00776D28">
        <w:rPr>
          <w:color w:val="000000" w:themeColor="text1"/>
          <w:shd w:val="clear" w:color="auto" w:fill="FFFFFF"/>
        </w:rPr>
        <w:t xml:space="preserve">is </w:t>
      </w:r>
      <w:r>
        <w:rPr>
          <w:color w:val="000000" w:themeColor="text1"/>
          <w:shd w:val="clear" w:color="auto" w:fill="FFFFFF"/>
        </w:rPr>
        <w:t xml:space="preserve">the intelligence partnerships and third-party charities. As Mawby (2010) points out communication is pivotal especially with the public as although working together makes </w:t>
      </w:r>
      <w:r w:rsidR="00776D28">
        <w:rPr>
          <w:color w:val="000000" w:themeColor="text1"/>
          <w:shd w:val="clear" w:color="auto" w:fill="FFFFFF"/>
        </w:rPr>
        <w:t>tackling crime</w:t>
      </w:r>
      <w:r>
        <w:rPr>
          <w:color w:val="000000" w:themeColor="text1"/>
          <w:shd w:val="clear" w:color="auto" w:fill="FFFFFF"/>
        </w:rPr>
        <w:t xml:space="preserve"> easier preventing crime is the idea that drives </w:t>
      </w:r>
      <w:r w:rsidR="00776D28">
        <w:rPr>
          <w:color w:val="000000" w:themeColor="text1"/>
          <w:shd w:val="clear" w:color="auto" w:fill="FFFFFF"/>
        </w:rPr>
        <w:t xml:space="preserve">it </w:t>
      </w:r>
      <w:r>
        <w:rPr>
          <w:color w:val="000000" w:themeColor="text1"/>
          <w:shd w:val="clear" w:color="auto" w:fill="FFFFFF"/>
        </w:rPr>
        <w:t xml:space="preserve">all. Lucy Hadley (2023) points out some very key parts </w:t>
      </w:r>
      <w:r w:rsidR="00776D28">
        <w:rPr>
          <w:color w:val="000000" w:themeColor="text1"/>
          <w:shd w:val="clear" w:color="auto" w:fill="FFFFFF"/>
        </w:rPr>
        <w:t>and</w:t>
      </w:r>
      <w:r>
        <w:rPr>
          <w:color w:val="000000" w:themeColor="text1"/>
          <w:shd w:val="clear" w:color="auto" w:fill="FFFFFF"/>
        </w:rPr>
        <w:t xml:space="preserve"> the charity </w:t>
      </w:r>
      <w:r w:rsidR="00776D28">
        <w:rPr>
          <w:color w:val="000000" w:themeColor="text1"/>
          <w:shd w:val="clear" w:color="auto" w:fill="FFFFFF"/>
        </w:rPr>
        <w:t>Refuge</w:t>
      </w:r>
      <w:r>
        <w:rPr>
          <w:color w:val="000000" w:themeColor="text1"/>
          <w:shd w:val="clear" w:color="auto" w:fill="FFFFFF"/>
        </w:rPr>
        <w:t xml:space="preserve"> (2023) back</w:t>
      </w:r>
      <w:r w:rsidR="00776D28">
        <w:rPr>
          <w:color w:val="000000" w:themeColor="text1"/>
          <w:shd w:val="clear" w:color="auto" w:fill="FFFFFF"/>
        </w:rPr>
        <w:t>s</w:t>
      </w:r>
      <w:r>
        <w:rPr>
          <w:color w:val="000000" w:themeColor="text1"/>
          <w:shd w:val="clear" w:color="auto" w:fill="FFFFFF"/>
        </w:rPr>
        <w:t xml:space="preserve"> these points up </w:t>
      </w:r>
      <w:r w:rsidR="00776D28">
        <w:rPr>
          <w:color w:val="000000" w:themeColor="text1"/>
          <w:shd w:val="clear" w:color="auto" w:fill="FFFFFF"/>
        </w:rPr>
        <w:t xml:space="preserve">with </w:t>
      </w:r>
      <w:r>
        <w:rPr>
          <w:color w:val="000000" w:themeColor="text1"/>
          <w:shd w:val="clear" w:color="auto" w:fill="FFFFFF"/>
        </w:rPr>
        <w:t>the numbers suggesting maybe the communication is</w:t>
      </w:r>
      <w:r w:rsidR="00776D28">
        <w:rPr>
          <w:color w:val="000000" w:themeColor="text1"/>
          <w:shd w:val="clear" w:color="auto" w:fill="FFFFFF"/>
        </w:rPr>
        <w:t xml:space="preserve"> not</w:t>
      </w:r>
      <w:r>
        <w:rPr>
          <w:color w:val="000000" w:themeColor="text1"/>
          <w:shd w:val="clear" w:color="auto" w:fill="FFFFFF"/>
        </w:rPr>
        <w:t xml:space="preserve"> where it needs to be and there is some room for improvement, but with all the legislation in place and all parties </w:t>
      </w:r>
      <w:r w:rsidR="00776D28">
        <w:rPr>
          <w:color w:val="000000" w:themeColor="text1"/>
          <w:shd w:val="clear" w:color="auto" w:fill="FFFFFF"/>
        </w:rPr>
        <w:t>communicating</w:t>
      </w:r>
      <w:r>
        <w:rPr>
          <w:color w:val="000000" w:themeColor="text1"/>
          <w:shd w:val="clear" w:color="auto" w:fill="FFFFFF"/>
        </w:rPr>
        <w:t xml:space="preserve"> effectively t</w:t>
      </w:r>
      <w:r w:rsidR="00776D28">
        <w:rPr>
          <w:color w:val="000000" w:themeColor="text1"/>
          <w:shd w:val="clear" w:color="auto" w:fill="FFFFFF"/>
        </w:rPr>
        <w:t xml:space="preserve">o the </w:t>
      </w:r>
      <w:r>
        <w:rPr>
          <w:color w:val="000000" w:themeColor="text1"/>
          <w:shd w:val="clear" w:color="auto" w:fill="FFFFFF"/>
        </w:rPr>
        <w:t xml:space="preserve">best </w:t>
      </w:r>
      <w:r w:rsidR="00776D28">
        <w:rPr>
          <w:color w:val="000000" w:themeColor="text1"/>
          <w:shd w:val="clear" w:color="auto" w:fill="FFFFFF"/>
        </w:rPr>
        <w:t>of</w:t>
      </w:r>
      <w:r>
        <w:rPr>
          <w:color w:val="000000" w:themeColor="text1"/>
          <w:shd w:val="clear" w:color="auto" w:fill="FFFFFF"/>
        </w:rPr>
        <w:t xml:space="preserve"> the</w:t>
      </w:r>
      <w:r w:rsidR="00776D28">
        <w:rPr>
          <w:color w:val="000000" w:themeColor="text1"/>
          <w:shd w:val="clear" w:color="auto" w:fill="FFFFFF"/>
        </w:rPr>
        <w:t xml:space="preserve">ir ability </w:t>
      </w:r>
      <w:r>
        <w:rPr>
          <w:color w:val="000000" w:themeColor="text1"/>
          <w:shd w:val="clear" w:color="auto" w:fill="FFFFFF"/>
        </w:rPr>
        <w:t xml:space="preserve">one can only hope </w:t>
      </w:r>
      <w:r w:rsidR="00AB64E1">
        <w:rPr>
          <w:color w:val="000000" w:themeColor="text1"/>
          <w:shd w:val="clear" w:color="auto" w:fill="FFFFFF"/>
        </w:rPr>
        <w:t xml:space="preserve">it </w:t>
      </w:r>
      <w:r>
        <w:rPr>
          <w:color w:val="000000" w:themeColor="text1"/>
          <w:shd w:val="clear" w:color="auto" w:fill="FFFFFF"/>
        </w:rPr>
        <w:t>is heading in the right direction.</w:t>
      </w:r>
    </w:p>
    <w:p w14:paraId="4AAFBCEF" w14:textId="77777777" w:rsidR="002E5892" w:rsidRDefault="002E5892" w:rsidP="00CA1AEF">
      <w:pPr>
        <w:spacing w:line="360" w:lineRule="auto"/>
        <w:rPr>
          <w:color w:val="000000" w:themeColor="text1"/>
          <w:shd w:val="clear" w:color="auto" w:fill="FFFFFF"/>
        </w:rPr>
      </w:pPr>
    </w:p>
    <w:p w14:paraId="5BEA9D03" w14:textId="77777777" w:rsidR="002E5892" w:rsidRDefault="002E5892" w:rsidP="00CA1AEF">
      <w:pPr>
        <w:spacing w:line="360" w:lineRule="auto"/>
        <w:rPr>
          <w:color w:val="000000" w:themeColor="text1"/>
          <w:shd w:val="clear" w:color="auto" w:fill="FFFFFF"/>
        </w:rPr>
      </w:pPr>
    </w:p>
    <w:p w14:paraId="704DF062" w14:textId="77777777" w:rsidR="002E5892" w:rsidRDefault="002E5892" w:rsidP="00CA1AEF">
      <w:pPr>
        <w:spacing w:line="360" w:lineRule="auto"/>
        <w:rPr>
          <w:color w:val="000000" w:themeColor="text1"/>
          <w:shd w:val="clear" w:color="auto" w:fill="FFFFFF"/>
        </w:rPr>
      </w:pPr>
    </w:p>
    <w:p w14:paraId="568D3F7B" w14:textId="77777777" w:rsidR="002E5892" w:rsidRDefault="002E5892" w:rsidP="00CA1AEF">
      <w:pPr>
        <w:spacing w:line="360" w:lineRule="auto"/>
        <w:rPr>
          <w:color w:val="000000" w:themeColor="text1"/>
          <w:shd w:val="clear" w:color="auto" w:fill="FFFFFF"/>
        </w:rPr>
      </w:pPr>
    </w:p>
    <w:p w14:paraId="3678949A" w14:textId="77777777" w:rsidR="002E5892" w:rsidRDefault="002E5892" w:rsidP="00CA1AEF">
      <w:pPr>
        <w:spacing w:line="360" w:lineRule="auto"/>
        <w:rPr>
          <w:color w:val="000000" w:themeColor="text1"/>
          <w:shd w:val="clear" w:color="auto" w:fill="FFFFFF"/>
        </w:rPr>
      </w:pPr>
    </w:p>
    <w:p w14:paraId="6AEF9B50" w14:textId="77777777" w:rsidR="002E5892" w:rsidRPr="00FC7ACA" w:rsidRDefault="002E5892" w:rsidP="002E5892">
      <w:pPr>
        <w:rPr>
          <w:color w:val="000000" w:themeColor="text1"/>
          <w:shd w:val="clear" w:color="auto" w:fill="FFFFFF"/>
        </w:rPr>
      </w:pPr>
      <w:r w:rsidRPr="00FC7ACA">
        <w:rPr>
          <w:color w:val="000000" w:themeColor="text1"/>
          <w:shd w:val="clear" w:color="auto" w:fill="FFFFFF"/>
        </w:rPr>
        <w:t>College of policing (2018) Partnership working and Multi-agency responses/mechanisms. Available at:</w:t>
      </w:r>
      <w:r w:rsidRPr="00FC7ACA">
        <w:rPr>
          <w:color w:val="000000" w:themeColor="text1"/>
        </w:rPr>
        <w:t xml:space="preserve"> </w:t>
      </w:r>
      <w:hyperlink r:id="rId9" w:history="1">
        <w:r w:rsidRPr="00FC7ACA">
          <w:rPr>
            <w:rStyle w:val="Hyperlink"/>
            <w:color w:val="000000" w:themeColor="text1"/>
            <w:shd w:val="clear" w:color="auto" w:fill="FFFFFF"/>
          </w:rPr>
          <w:t>https://www.college.police.uk/app/major-investigation-and-public-protection/domestic-abuse/partnership-working-and-multi-agency-responsesmechanisms</w:t>
        </w:r>
      </w:hyperlink>
      <w:r w:rsidRPr="00FC7ACA">
        <w:rPr>
          <w:color w:val="000000" w:themeColor="text1"/>
          <w:shd w:val="clear" w:color="auto" w:fill="FFFFFF"/>
        </w:rPr>
        <w:t xml:space="preserve"> (Accessed 1st May 2024)</w:t>
      </w:r>
    </w:p>
    <w:p w14:paraId="052637AA" w14:textId="77777777" w:rsidR="002E5892" w:rsidRPr="00FC7ACA" w:rsidRDefault="002E5892" w:rsidP="002E5892">
      <w:pPr>
        <w:rPr>
          <w:color w:val="000000" w:themeColor="text1"/>
        </w:rPr>
      </w:pPr>
      <w:r w:rsidRPr="00FC7ACA">
        <w:rPr>
          <w:color w:val="000000" w:themeColor="text1"/>
          <w:shd w:val="clear" w:color="auto" w:fill="FFFFFF"/>
        </w:rPr>
        <w:t xml:space="preserve">College of policing (2020) Information sharing, Available at: </w:t>
      </w:r>
      <w:hyperlink r:id="rId10" w:history="1">
        <w:r w:rsidRPr="00FC7ACA">
          <w:rPr>
            <w:rStyle w:val="Hyperlink"/>
            <w:color w:val="000000" w:themeColor="text1"/>
          </w:rPr>
          <w:t>Information sharing | College of Policing</w:t>
        </w:r>
      </w:hyperlink>
      <w:r w:rsidRPr="00FC7ACA">
        <w:rPr>
          <w:color w:val="000000" w:themeColor="text1"/>
        </w:rPr>
        <w:t xml:space="preserve"> (Accessed 1</w:t>
      </w:r>
      <w:r w:rsidRPr="00FC7ACA">
        <w:rPr>
          <w:color w:val="000000" w:themeColor="text1"/>
          <w:vertAlign w:val="superscript"/>
        </w:rPr>
        <w:t>st</w:t>
      </w:r>
      <w:r w:rsidRPr="00FC7ACA">
        <w:rPr>
          <w:color w:val="000000" w:themeColor="text1"/>
        </w:rPr>
        <w:t xml:space="preserve"> May 2024) </w:t>
      </w:r>
    </w:p>
    <w:p w14:paraId="26323905" w14:textId="77777777" w:rsidR="002E5892" w:rsidRPr="00FC7ACA" w:rsidRDefault="002E5892" w:rsidP="002E5892">
      <w:pPr>
        <w:rPr>
          <w:color w:val="000000" w:themeColor="text1"/>
          <w:shd w:val="clear" w:color="auto" w:fill="FFFFFF"/>
        </w:rPr>
      </w:pPr>
      <w:r w:rsidRPr="00FC7ACA">
        <w:rPr>
          <w:color w:val="000000" w:themeColor="text1"/>
          <w:shd w:val="clear" w:color="auto" w:fill="FFFFFF"/>
        </w:rPr>
        <w:t>Gilmour, S. and France, R. (2011) “Local policing and transnational organized crime,” </w:t>
      </w:r>
      <w:r w:rsidRPr="00FC7ACA">
        <w:rPr>
          <w:i/>
          <w:iCs/>
          <w:color w:val="000000" w:themeColor="text1"/>
          <w:shd w:val="clear" w:color="auto" w:fill="FFFFFF"/>
        </w:rPr>
        <w:t>International review of law, computers &amp; technology</w:t>
      </w:r>
      <w:r w:rsidRPr="00FC7ACA">
        <w:rPr>
          <w:color w:val="000000" w:themeColor="text1"/>
          <w:shd w:val="clear" w:color="auto" w:fill="FFFFFF"/>
        </w:rPr>
        <w:t xml:space="preserve">, 25(1–2), pp. 17–26. Available at: </w:t>
      </w:r>
      <w:hyperlink r:id="rId11" w:history="1">
        <w:r w:rsidRPr="00FC7ACA">
          <w:rPr>
            <w:rStyle w:val="Hyperlink"/>
            <w:color w:val="000000" w:themeColor="text1"/>
            <w:shd w:val="clear" w:color="auto" w:fill="FFFFFF"/>
          </w:rPr>
          <w:t>https://doi.org/10.1080/13600869.2011.594644</w:t>
        </w:r>
      </w:hyperlink>
      <w:r w:rsidRPr="00FC7ACA">
        <w:rPr>
          <w:color w:val="000000" w:themeColor="text1"/>
          <w:shd w:val="clear" w:color="auto" w:fill="FFFFFF"/>
        </w:rPr>
        <w:t>.</w:t>
      </w:r>
    </w:p>
    <w:p w14:paraId="6FC23A7F" w14:textId="77777777" w:rsidR="002E5892" w:rsidRPr="00FC7ACA" w:rsidRDefault="002E5892" w:rsidP="002E5892">
      <w:pPr>
        <w:rPr>
          <w:color w:val="000000" w:themeColor="text1"/>
        </w:rPr>
      </w:pPr>
      <w:r w:rsidRPr="00FC7ACA">
        <w:rPr>
          <w:color w:val="000000" w:themeColor="text1"/>
        </w:rPr>
        <w:t xml:space="preserve">Gov (2016) Have you got what it takes, Available at: </w:t>
      </w:r>
      <w:hyperlink r:id="rId12" w:history="1">
        <w:r w:rsidRPr="00FC7ACA">
          <w:rPr>
            <w:rStyle w:val="Hyperlink"/>
            <w:color w:val="000000" w:themeColor="text1"/>
          </w:rPr>
          <w:t>CPG_PCC elections - Candidate Briefings - To work in partnership (publishing.service.gov.uk)</w:t>
        </w:r>
      </w:hyperlink>
      <w:r w:rsidRPr="00FC7ACA">
        <w:rPr>
          <w:color w:val="000000" w:themeColor="text1"/>
        </w:rPr>
        <w:t xml:space="preserve"> (Accessed 1</w:t>
      </w:r>
      <w:r w:rsidRPr="00FC7ACA">
        <w:rPr>
          <w:color w:val="000000" w:themeColor="text1"/>
          <w:vertAlign w:val="superscript"/>
        </w:rPr>
        <w:t>st</w:t>
      </w:r>
      <w:r w:rsidRPr="00FC7ACA">
        <w:rPr>
          <w:color w:val="000000" w:themeColor="text1"/>
        </w:rPr>
        <w:t xml:space="preserve"> May 2024)</w:t>
      </w:r>
    </w:p>
    <w:p w14:paraId="094B177F" w14:textId="77777777" w:rsidR="002E5892" w:rsidRPr="00FC7ACA" w:rsidRDefault="002E5892" w:rsidP="002E5892">
      <w:pPr>
        <w:rPr>
          <w:color w:val="000000" w:themeColor="text1"/>
          <w:shd w:val="clear" w:color="auto" w:fill="FFFFFF"/>
        </w:rPr>
      </w:pPr>
      <w:r w:rsidRPr="00FC7ACA">
        <w:rPr>
          <w:color w:val="000000" w:themeColor="text1"/>
          <w:shd w:val="clear" w:color="auto" w:fill="FFFFFF"/>
        </w:rPr>
        <w:t>Joyce, P. and Laverick, W. (2021) </w:t>
      </w:r>
      <w:r w:rsidRPr="00FC7ACA">
        <w:rPr>
          <w:i/>
          <w:iCs/>
          <w:color w:val="000000" w:themeColor="text1"/>
          <w:shd w:val="clear" w:color="auto" w:fill="FFFFFF"/>
        </w:rPr>
        <w:t>Policing</w:t>
      </w:r>
      <w:r w:rsidRPr="00FC7ACA">
        <w:rPr>
          <w:rFonts w:ascii="Arial" w:hAnsi="Arial" w:cs="Arial"/>
          <w:i/>
          <w:iCs/>
          <w:color w:val="000000" w:themeColor="text1"/>
          <w:shd w:val="clear" w:color="auto" w:fill="FFFFFF"/>
        </w:rPr>
        <w:t> </w:t>
      </w:r>
      <w:r w:rsidRPr="00FC7ACA">
        <w:rPr>
          <w:i/>
          <w:iCs/>
          <w:color w:val="000000" w:themeColor="text1"/>
          <w:shd w:val="clear" w:color="auto" w:fill="FFFFFF"/>
        </w:rPr>
        <w:t>: development and contemporary practice</w:t>
      </w:r>
      <w:r w:rsidRPr="00FC7ACA">
        <w:rPr>
          <w:color w:val="000000" w:themeColor="text1"/>
          <w:shd w:val="clear" w:color="auto" w:fill="FFFFFF"/>
        </w:rPr>
        <w:t>. Second edition. London</w:t>
      </w:r>
      <w:r w:rsidRPr="00FC7ACA">
        <w:rPr>
          <w:rFonts w:ascii="Arial" w:hAnsi="Arial" w:cs="Arial"/>
          <w:color w:val="000000" w:themeColor="text1"/>
          <w:shd w:val="clear" w:color="auto" w:fill="FFFFFF"/>
        </w:rPr>
        <w:t> </w:t>
      </w:r>
      <w:r w:rsidRPr="00FC7ACA">
        <w:rPr>
          <w:color w:val="000000" w:themeColor="text1"/>
          <w:shd w:val="clear" w:color="auto" w:fill="FFFFFF"/>
        </w:rPr>
        <w:t>; SAGE.</w:t>
      </w:r>
    </w:p>
    <w:p w14:paraId="20D11245" w14:textId="77777777" w:rsidR="002E5892" w:rsidRPr="00FC7ACA" w:rsidRDefault="002E5892" w:rsidP="002E5892">
      <w:pPr>
        <w:rPr>
          <w:color w:val="000000" w:themeColor="text1"/>
          <w:shd w:val="clear" w:color="auto" w:fill="FFFFFF"/>
        </w:rPr>
      </w:pPr>
      <w:bookmarkStart w:id="0" w:name="_Hlk165639807"/>
      <w:r w:rsidRPr="00FC7ACA">
        <w:rPr>
          <w:color w:val="000000" w:themeColor="text1"/>
          <w:shd w:val="clear" w:color="auto" w:fill="FFFFFF"/>
        </w:rPr>
        <w:t>Lewandowski</w:t>
      </w:r>
      <w:bookmarkEnd w:id="0"/>
      <w:r w:rsidRPr="00FC7ACA">
        <w:rPr>
          <w:color w:val="000000" w:themeColor="text1"/>
          <w:shd w:val="clear" w:color="auto" w:fill="FFFFFF"/>
        </w:rPr>
        <w:t>, C. and Nestel, T.J. (2016) “Police communication at the local level: an exploratory study,” </w:t>
      </w:r>
      <w:r w:rsidRPr="00FC7ACA">
        <w:rPr>
          <w:i/>
          <w:iCs/>
          <w:color w:val="000000" w:themeColor="text1"/>
          <w:shd w:val="clear" w:color="auto" w:fill="FFFFFF"/>
        </w:rPr>
        <w:t>Journal of policing, intelligence and counter terrorism</w:t>
      </w:r>
      <w:r w:rsidRPr="00FC7ACA">
        <w:rPr>
          <w:color w:val="000000" w:themeColor="text1"/>
          <w:shd w:val="clear" w:color="auto" w:fill="FFFFFF"/>
        </w:rPr>
        <w:t xml:space="preserve">, 11(1), pp. 49–62. Available at: </w:t>
      </w:r>
      <w:hyperlink r:id="rId13" w:history="1">
        <w:r w:rsidRPr="00FC7ACA">
          <w:rPr>
            <w:rStyle w:val="Hyperlink"/>
            <w:color w:val="000000" w:themeColor="text1"/>
            <w:shd w:val="clear" w:color="auto" w:fill="FFFFFF"/>
          </w:rPr>
          <w:t>https://doi.org/10.1080/18335330.2016.1161224</w:t>
        </w:r>
      </w:hyperlink>
      <w:r w:rsidRPr="00FC7ACA">
        <w:rPr>
          <w:color w:val="000000" w:themeColor="text1"/>
          <w:shd w:val="clear" w:color="auto" w:fill="FFFFFF"/>
        </w:rPr>
        <w:t>.</w:t>
      </w:r>
    </w:p>
    <w:p w14:paraId="0FB69E36" w14:textId="77777777" w:rsidR="002E5892" w:rsidRPr="00FC7ACA" w:rsidRDefault="002E5892" w:rsidP="002E5892">
      <w:pPr>
        <w:rPr>
          <w:color w:val="000000" w:themeColor="text1"/>
        </w:rPr>
      </w:pPr>
      <w:r w:rsidRPr="00FC7ACA">
        <w:rPr>
          <w:color w:val="000000" w:themeColor="text1"/>
          <w:shd w:val="clear" w:color="auto" w:fill="FFFFFF"/>
        </w:rPr>
        <w:t xml:space="preserve">Lucy Hadley (2023) woman aid, </w:t>
      </w:r>
      <w:r w:rsidRPr="00FC7ACA">
        <w:rPr>
          <w:color w:val="000000" w:themeColor="text1"/>
          <w:lang w:eastAsia="en-GB"/>
        </w:rPr>
        <w:t>Women’s Aid responds to police chiefs issuing first ever national threat assessment of crimes, Available at</w:t>
      </w:r>
      <w:r w:rsidRPr="00FC7ACA">
        <w:rPr>
          <w:b/>
          <w:bCs/>
          <w:color w:val="000000" w:themeColor="text1"/>
        </w:rPr>
        <w:t xml:space="preserve">: </w:t>
      </w:r>
      <w:hyperlink r:id="rId14" w:history="1">
        <w:r w:rsidRPr="00FC7ACA">
          <w:rPr>
            <w:rStyle w:val="Hyperlink"/>
            <w:color w:val="000000" w:themeColor="text1"/>
          </w:rPr>
          <w:t>Women’s Aid responds to police chiefs issuing first ever national threat assessment of crimes - Women’s Aid (womensaid.org.uk)</w:t>
        </w:r>
      </w:hyperlink>
      <w:r w:rsidRPr="00FC7ACA">
        <w:rPr>
          <w:color w:val="000000" w:themeColor="text1"/>
        </w:rPr>
        <w:t xml:space="preserve"> (Accessed 1</w:t>
      </w:r>
      <w:r w:rsidRPr="00FC7ACA">
        <w:rPr>
          <w:color w:val="000000" w:themeColor="text1"/>
          <w:vertAlign w:val="superscript"/>
        </w:rPr>
        <w:t>st</w:t>
      </w:r>
      <w:r w:rsidRPr="00FC7ACA">
        <w:rPr>
          <w:color w:val="000000" w:themeColor="text1"/>
        </w:rPr>
        <w:t xml:space="preserve"> May 2024)</w:t>
      </w:r>
    </w:p>
    <w:p w14:paraId="6BE0397C" w14:textId="77777777" w:rsidR="002E5892" w:rsidRPr="00FC7ACA" w:rsidRDefault="002E5892" w:rsidP="002E5892">
      <w:pPr>
        <w:rPr>
          <w:color w:val="000000" w:themeColor="text1"/>
          <w:shd w:val="clear" w:color="auto" w:fill="FFFFFF"/>
        </w:rPr>
      </w:pPr>
      <w:r w:rsidRPr="00FC7ACA">
        <w:rPr>
          <w:color w:val="000000" w:themeColor="text1"/>
          <w:shd w:val="clear" w:color="auto" w:fill="FFFFFF"/>
        </w:rPr>
        <w:t>Maguire, M. and John, T. (2006) “Intelligence Led Policing, Managerialism and Community Engagement: Competing Priorities and the Role of the National Intelligence Model in the UK,” </w:t>
      </w:r>
      <w:r w:rsidRPr="00FC7ACA">
        <w:rPr>
          <w:i/>
          <w:iCs/>
          <w:color w:val="000000" w:themeColor="text1"/>
          <w:shd w:val="clear" w:color="auto" w:fill="FFFFFF"/>
        </w:rPr>
        <w:t>Policing &amp; society</w:t>
      </w:r>
      <w:r w:rsidRPr="00FC7ACA">
        <w:rPr>
          <w:color w:val="000000" w:themeColor="text1"/>
          <w:shd w:val="clear" w:color="auto" w:fill="FFFFFF"/>
        </w:rPr>
        <w:t xml:space="preserve">, 16(1), pp. 67–85. Available at: </w:t>
      </w:r>
      <w:hyperlink r:id="rId15" w:history="1">
        <w:r w:rsidRPr="00FC7ACA">
          <w:rPr>
            <w:rStyle w:val="Hyperlink"/>
            <w:color w:val="000000" w:themeColor="text1"/>
            <w:shd w:val="clear" w:color="auto" w:fill="FFFFFF"/>
          </w:rPr>
          <w:t>https://doi.org/10.1080/10439460500399791</w:t>
        </w:r>
      </w:hyperlink>
      <w:r w:rsidRPr="00FC7ACA">
        <w:rPr>
          <w:color w:val="000000" w:themeColor="text1"/>
          <w:shd w:val="clear" w:color="auto" w:fill="FFFFFF"/>
        </w:rPr>
        <w:t>.</w:t>
      </w:r>
    </w:p>
    <w:p w14:paraId="140A28E9" w14:textId="77777777" w:rsidR="002E5892" w:rsidRPr="00FC7ACA" w:rsidRDefault="002E5892" w:rsidP="002E5892">
      <w:pPr>
        <w:rPr>
          <w:color w:val="000000" w:themeColor="text1"/>
        </w:rPr>
      </w:pPr>
      <w:r w:rsidRPr="00FC7ACA">
        <w:rPr>
          <w:rFonts w:cs="Open Sans"/>
          <w:color w:val="000000" w:themeColor="text1"/>
          <w:shd w:val="clear" w:color="auto" w:fill="EAEAEA"/>
        </w:rPr>
        <w:t>Mawby, R. C. (2010). Police corporate communications, crime reporting and the shaping of policing news. </w:t>
      </w:r>
      <w:r w:rsidRPr="00FC7ACA">
        <w:rPr>
          <w:rFonts w:cs="Open Sans"/>
          <w:i/>
          <w:iCs/>
          <w:color w:val="000000" w:themeColor="text1"/>
          <w:shd w:val="clear" w:color="auto" w:fill="EAEAEA"/>
        </w:rPr>
        <w:t>Policing and Society</w:t>
      </w:r>
      <w:r w:rsidRPr="00FC7ACA">
        <w:rPr>
          <w:rFonts w:cs="Open Sans"/>
          <w:color w:val="000000" w:themeColor="text1"/>
          <w:shd w:val="clear" w:color="auto" w:fill="EAEAEA"/>
        </w:rPr>
        <w:t>, </w:t>
      </w:r>
      <w:r w:rsidRPr="00FC7ACA">
        <w:rPr>
          <w:rFonts w:cs="Open Sans"/>
          <w:i/>
          <w:iCs/>
          <w:color w:val="000000" w:themeColor="text1"/>
          <w:shd w:val="clear" w:color="auto" w:fill="EAEAEA"/>
        </w:rPr>
        <w:t>20</w:t>
      </w:r>
      <w:r w:rsidRPr="00FC7ACA">
        <w:rPr>
          <w:rFonts w:cs="Open Sans"/>
          <w:color w:val="000000" w:themeColor="text1"/>
          <w:shd w:val="clear" w:color="auto" w:fill="EAEAEA"/>
        </w:rPr>
        <w:t>(1), 124–139. https://doi.org/10.1080/10439461003611526</w:t>
      </w:r>
    </w:p>
    <w:p w14:paraId="64D0249F" w14:textId="77777777" w:rsidR="002E5892" w:rsidRPr="00FC7ACA" w:rsidRDefault="002E5892" w:rsidP="002E5892">
      <w:pPr>
        <w:rPr>
          <w:color w:val="000000" w:themeColor="text1"/>
          <w:shd w:val="clear" w:color="auto" w:fill="FFFFFF"/>
        </w:rPr>
      </w:pPr>
      <w:r w:rsidRPr="00FC7ACA">
        <w:rPr>
          <w:color w:val="000000" w:themeColor="text1"/>
          <w:shd w:val="clear" w:color="auto" w:fill="FFFFFF"/>
        </w:rPr>
        <w:lastRenderedPageBreak/>
        <w:t>Mazerolle, L. (2014) “The power of policing partnerships: sustaining the gains,” </w:t>
      </w:r>
      <w:r w:rsidRPr="00FC7ACA">
        <w:rPr>
          <w:i/>
          <w:iCs/>
          <w:color w:val="000000" w:themeColor="text1"/>
          <w:shd w:val="clear" w:color="auto" w:fill="FFFFFF"/>
        </w:rPr>
        <w:t>Journal of experimental criminology</w:t>
      </w:r>
      <w:r w:rsidRPr="00FC7ACA">
        <w:rPr>
          <w:color w:val="000000" w:themeColor="text1"/>
          <w:shd w:val="clear" w:color="auto" w:fill="FFFFFF"/>
        </w:rPr>
        <w:t xml:space="preserve">, 10(3), pp. 341–365. Available at: </w:t>
      </w:r>
      <w:hyperlink r:id="rId16" w:history="1">
        <w:r w:rsidRPr="00FC7ACA">
          <w:rPr>
            <w:rStyle w:val="Hyperlink"/>
            <w:color w:val="000000" w:themeColor="text1"/>
            <w:shd w:val="clear" w:color="auto" w:fill="FFFFFF"/>
          </w:rPr>
          <w:t>https://doi.org/10.1007/s11292-014-9202-y</w:t>
        </w:r>
      </w:hyperlink>
      <w:r w:rsidRPr="00FC7ACA">
        <w:rPr>
          <w:color w:val="000000" w:themeColor="text1"/>
          <w:shd w:val="clear" w:color="auto" w:fill="FFFFFF"/>
        </w:rPr>
        <w:t>.</w:t>
      </w:r>
    </w:p>
    <w:p w14:paraId="2019C786" w14:textId="77777777" w:rsidR="002E5892" w:rsidRPr="00FC7ACA" w:rsidRDefault="002E5892" w:rsidP="002E5892">
      <w:pPr>
        <w:rPr>
          <w:color w:val="000000" w:themeColor="text1"/>
          <w:shd w:val="clear" w:color="auto" w:fill="FFFFFF"/>
        </w:rPr>
      </w:pPr>
      <w:r w:rsidRPr="00FC7ACA">
        <w:rPr>
          <w:color w:val="000000" w:themeColor="text1"/>
          <w:shd w:val="clear" w:color="auto" w:fill="FFFFFF"/>
        </w:rPr>
        <w:t xml:space="preserve">Moore, C., and Brown, J., (1981) Community Versus Crime, Bedford Square Press, London, 1981. ix + 150 pp. </w:t>
      </w:r>
      <w:r w:rsidRPr="00FC7ACA">
        <w:rPr>
          <w:i/>
          <w:iCs/>
          <w:color w:val="000000" w:themeColor="text1"/>
          <w:shd w:val="clear" w:color="auto" w:fill="FFFFFF"/>
        </w:rPr>
        <w:t>Journal of social policy</w:t>
      </w:r>
      <w:r w:rsidRPr="00FC7ACA">
        <w:rPr>
          <w:color w:val="000000" w:themeColor="text1"/>
          <w:shd w:val="clear" w:color="auto" w:fill="FFFFFF"/>
        </w:rPr>
        <w:t xml:space="preserve">, 12(2), pp. 281–281. Available at: https://doi.org/10.1017/S0047279400012782. </w:t>
      </w:r>
    </w:p>
    <w:p w14:paraId="18081867" w14:textId="77777777" w:rsidR="002E5892" w:rsidRPr="00FC7ACA" w:rsidRDefault="002E5892" w:rsidP="002E5892">
      <w:pPr>
        <w:rPr>
          <w:color w:val="000000" w:themeColor="text1"/>
        </w:rPr>
      </w:pPr>
      <w:r w:rsidRPr="00FC7ACA">
        <w:rPr>
          <w:color w:val="000000" w:themeColor="text1"/>
        </w:rPr>
        <w:t xml:space="preserve">Refuge (2024) </w:t>
      </w:r>
      <w:r w:rsidRPr="00FC7ACA">
        <w:rPr>
          <w:color w:val="000000" w:themeColor="text1"/>
          <w:lang w:eastAsia="en-GB"/>
        </w:rPr>
        <w:t xml:space="preserve">Refuge releases new data revealing low rates of women’s confidence in the police to handle VAWG crimes, Available at: </w:t>
      </w:r>
      <w:hyperlink r:id="rId17" w:history="1">
        <w:r w:rsidRPr="00FC7ACA">
          <w:rPr>
            <w:rStyle w:val="Hyperlink"/>
            <w:color w:val="000000" w:themeColor="text1"/>
          </w:rPr>
          <w:t>Refuge releases new data revealing low rates of women’s confidence in the police to handle VAWG crimes</w:t>
        </w:r>
      </w:hyperlink>
      <w:r w:rsidRPr="00FC7ACA">
        <w:rPr>
          <w:color w:val="000000" w:themeColor="text1"/>
        </w:rPr>
        <w:t xml:space="preserve"> (Accessed 1</w:t>
      </w:r>
      <w:r w:rsidRPr="00FC7ACA">
        <w:rPr>
          <w:color w:val="000000" w:themeColor="text1"/>
          <w:vertAlign w:val="superscript"/>
        </w:rPr>
        <w:t>st</w:t>
      </w:r>
      <w:r w:rsidRPr="00FC7ACA">
        <w:rPr>
          <w:color w:val="000000" w:themeColor="text1"/>
        </w:rPr>
        <w:t xml:space="preserve"> May 2024)</w:t>
      </w:r>
    </w:p>
    <w:p w14:paraId="099CEE27" w14:textId="77777777" w:rsidR="002E5892" w:rsidRPr="00FC7ACA" w:rsidRDefault="002E5892" w:rsidP="002E5892">
      <w:pPr>
        <w:rPr>
          <w:color w:val="000000" w:themeColor="text1"/>
        </w:rPr>
      </w:pPr>
      <w:r w:rsidRPr="00FC7ACA">
        <w:rPr>
          <w:color w:val="000000" w:themeColor="text1"/>
        </w:rPr>
        <w:t>Rowe(2018) Introduction to policing, 3</w:t>
      </w:r>
      <w:r w:rsidRPr="00FC7ACA">
        <w:rPr>
          <w:color w:val="000000" w:themeColor="text1"/>
          <w:vertAlign w:val="superscript"/>
        </w:rPr>
        <w:t>rd</w:t>
      </w:r>
      <w:r w:rsidRPr="00FC7ACA">
        <w:rPr>
          <w:color w:val="000000" w:themeColor="text1"/>
        </w:rPr>
        <w:t xml:space="preserve"> ed, London. SAGE publications. </w:t>
      </w:r>
    </w:p>
    <w:p w14:paraId="646913A0" w14:textId="77777777" w:rsidR="002E5892" w:rsidRPr="00FC7ACA" w:rsidRDefault="002E5892" w:rsidP="002E5892">
      <w:pPr>
        <w:rPr>
          <w:color w:val="000000" w:themeColor="text1"/>
        </w:rPr>
      </w:pPr>
      <w:r w:rsidRPr="00FC7ACA">
        <w:rPr>
          <w:color w:val="000000" w:themeColor="text1"/>
        </w:rPr>
        <w:t xml:space="preserve">UK Parliament (2011) Police reform and social responsibility act 2011 Available at: </w:t>
      </w:r>
      <w:hyperlink r:id="rId18" w:history="1">
        <w:r w:rsidRPr="00FC7ACA">
          <w:rPr>
            <w:rStyle w:val="Hyperlink"/>
            <w:color w:val="000000" w:themeColor="text1"/>
          </w:rPr>
          <w:t>Police Reform and Social Responsibility Act 2011 - Parliamentary Bills - UK Parliament</w:t>
        </w:r>
      </w:hyperlink>
      <w:r w:rsidRPr="00FC7ACA">
        <w:rPr>
          <w:color w:val="000000" w:themeColor="text1"/>
        </w:rPr>
        <w:t>(Accessed 1</w:t>
      </w:r>
      <w:r w:rsidRPr="00FC7ACA">
        <w:rPr>
          <w:color w:val="000000" w:themeColor="text1"/>
          <w:vertAlign w:val="superscript"/>
        </w:rPr>
        <w:t>st</w:t>
      </w:r>
      <w:r w:rsidRPr="00FC7ACA">
        <w:rPr>
          <w:color w:val="000000" w:themeColor="text1"/>
        </w:rPr>
        <w:t xml:space="preserve"> May 2024)</w:t>
      </w:r>
    </w:p>
    <w:p w14:paraId="2E22C994" w14:textId="77777777" w:rsidR="002E5892" w:rsidRPr="00FC7ACA" w:rsidRDefault="002E5892" w:rsidP="002E5892">
      <w:pPr>
        <w:rPr>
          <w:color w:val="000000" w:themeColor="text1"/>
          <w:shd w:val="clear" w:color="auto" w:fill="FFFFFF"/>
        </w:rPr>
      </w:pPr>
      <w:r w:rsidRPr="00FC7ACA">
        <w:rPr>
          <w:color w:val="000000" w:themeColor="text1"/>
          <w:shd w:val="clear" w:color="auto" w:fill="FFFFFF"/>
        </w:rPr>
        <w:t>Wood, D. (ed.) (2022) </w:t>
      </w:r>
      <w:r w:rsidRPr="00FC7ACA">
        <w:rPr>
          <w:i/>
          <w:iCs/>
          <w:color w:val="000000" w:themeColor="text1"/>
          <w:shd w:val="clear" w:color="auto" w:fill="FFFFFF"/>
        </w:rPr>
        <w:t>Blackstone’s handbook for policing students</w:t>
      </w:r>
      <w:r w:rsidRPr="00FC7ACA">
        <w:rPr>
          <w:color w:val="000000" w:themeColor="text1"/>
          <w:shd w:val="clear" w:color="auto" w:fill="FFFFFF"/>
        </w:rPr>
        <w:t>. Seventeenth edition. Oxford: Oxford University Press.</w:t>
      </w:r>
    </w:p>
    <w:p w14:paraId="021140CD" w14:textId="77777777" w:rsidR="002E5892" w:rsidRDefault="002E5892" w:rsidP="00CA1AEF">
      <w:pPr>
        <w:spacing w:line="360" w:lineRule="auto"/>
      </w:pPr>
    </w:p>
    <w:sectPr w:rsidR="002E5892" w:rsidSect="002E58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2CFBE67-AF3A-43AE-987B-BBF256194CDF}"/>
    <w:docVar w:name="dgnword-drafile" w:val="C:\Users\Student\AppData\Local\Temp\dra5506.tmp"/>
    <w:docVar w:name="dgnword-eventsink" w:val="1385233222400"/>
  </w:docVars>
  <w:rsids>
    <w:rsidRoot w:val="00CA1AEF"/>
    <w:rsid w:val="002231F3"/>
    <w:rsid w:val="00273661"/>
    <w:rsid w:val="002E5892"/>
    <w:rsid w:val="0034055A"/>
    <w:rsid w:val="004C68EF"/>
    <w:rsid w:val="00776D28"/>
    <w:rsid w:val="00830462"/>
    <w:rsid w:val="009F00C4"/>
    <w:rsid w:val="00A64C4B"/>
    <w:rsid w:val="00AB64E1"/>
    <w:rsid w:val="00AD4C60"/>
    <w:rsid w:val="00C235A5"/>
    <w:rsid w:val="00CA1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3B6C"/>
  <w15:chartTrackingRefBased/>
  <w15:docId w15:val="{9DFAE1FB-65F4-4CA5-B948-7187BDC17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A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1A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1A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A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A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A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A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A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A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A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1A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1A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A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A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A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A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A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AEF"/>
    <w:rPr>
      <w:rFonts w:eastAsiaTheme="majorEastAsia" w:cstheme="majorBidi"/>
      <w:color w:val="272727" w:themeColor="text1" w:themeTint="D8"/>
    </w:rPr>
  </w:style>
  <w:style w:type="paragraph" w:styleId="Title">
    <w:name w:val="Title"/>
    <w:basedOn w:val="Normal"/>
    <w:next w:val="Normal"/>
    <w:link w:val="TitleChar"/>
    <w:uiPriority w:val="10"/>
    <w:qFormat/>
    <w:rsid w:val="00CA1A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A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A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A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AEF"/>
    <w:pPr>
      <w:spacing w:before="160"/>
      <w:jc w:val="center"/>
    </w:pPr>
    <w:rPr>
      <w:i/>
      <w:iCs/>
      <w:color w:val="404040" w:themeColor="text1" w:themeTint="BF"/>
    </w:rPr>
  </w:style>
  <w:style w:type="character" w:customStyle="1" w:styleId="QuoteChar">
    <w:name w:val="Quote Char"/>
    <w:basedOn w:val="DefaultParagraphFont"/>
    <w:link w:val="Quote"/>
    <w:uiPriority w:val="29"/>
    <w:rsid w:val="00CA1AEF"/>
    <w:rPr>
      <w:i/>
      <w:iCs/>
      <w:color w:val="404040" w:themeColor="text1" w:themeTint="BF"/>
    </w:rPr>
  </w:style>
  <w:style w:type="paragraph" w:styleId="ListParagraph">
    <w:name w:val="List Paragraph"/>
    <w:basedOn w:val="Normal"/>
    <w:uiPriority w:val="34"/>
    <w:qFormat/>
    <w:rsid w:val="00CA1AEF"/>
    <w:pPr>
      <w:ind w:left="720"/>
      <w:contextualSpacing/>
    </w:pPr>
  </w:style>
  <w:style w:type="character" w:styleId="IntenseEmphasis">
    <w:name w:val="Intense Emphasis"/>
    <w:basedOn w:val="DefaultParagraphFont"/>
    <w:uiPriority w:val="21"/>
    <w:qFormat/>
    <w:rsid w:val="00CA1AEF"/>
    <w:rPr>
      <w:i/>
      <w:iCs/>
      <w:color w:val="0F4761" w:themeColor="accent1" w:themeShade="BF"/>
    </w:rPr>
  </w:style>
  <w:style w:type="paragraph" w:styleId="IntenseQuote">
    <w:name w:val="Intense Quote"/>
    <w:basedOn w:val="Normal"/>
    <w:next w:val="Normal"/>
    <w:link w:val="IntenseQuoteChar"/>
    <w:uiPriority w:val="30"/>
    <w:qFormat/>
    <w:rsid w:val="00CA1A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AEF"/>
    <w:rPr>
      <w:i/>
      <w:iCs/>
      <w:color w:val="0F4761" w:themeColor="accent1" w:themeShade="BF"/>
    </w:rPr>
  </w:style>
  <w:style w:type="character" w:styleId="IntenseReference">
    <w:name w:val="Intense Reference"/>
    <w:basedOn w:val="DefaultParagraphFont"/>
    <w:uiPriority w:val="32"/>
    <w:qFormat/>
    <w:rsid w:val="00CA1AEF"/>
    <w:rPr>
      <w:b/>
      <w:bCs/>
      <w:smallCaps/>
      <w:color w:val="0F4761" w:themeColor="accent1" w:themeShade="BF"/>
      <w:spacing w:val="5"/>
    </w:rPr>
  </w:style>
  <w:style w:type="character" w:styleId="Hyperlink">
    <w:name w:val="Hyperlink"/>
    <w:basedOn w:val="DefaultParagraphFont"/>
    <w:uiPriority w:val="99"/>
    <w:unhideWhenUsed/>
    <w:rsid w:val="002E5892"/>
    <w:rPr>
      <w:color w:val="0000FF"/>
      <w:u w:val="single"/>
    </w:rPr>
  </w:style>
  <w:style w:type="paragraph" w:styleId="NoSpacing">
    <w:name w:val="No Spacing"/>
    <w:link w:val="NoSpacingChar"/>
    <w:uiPriority w:val="1"/>
    <w:qFormat/>
    <w:rsid w:val="002E589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E589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18335330.2016.1161224" TargetMode="External"/><Relationship Id="rId18" Type="http://schemas.openxmlformats.org/officeDocument/2006/relationships/hyperlink" Target="https://bills.parliament.uk/bills/75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5a8152e1e5274a2e87dbd005/2016_Candidate_Guidance__working_in_partnership__v1.pdf" TargetMode="External"/><Relationship Id="rId17" Type="http://schemas.openxmlformats.org/officeDocument/2006/relationships/hyperlink" Target="https://refuge.org.uk/news/refuge-releases-new-data-revealing-concerningly-low-rates-of-womens-confidence-in-the-police-to-handle-vawg-crimes/" TargetMode="External"/><Relationship Id="rId2" Type="http://schemas.openxmlformats.org/officeDocument/2006/relationships/customXml" Target="../customXml/item2.xml"/><Relationship Id="rId16" Type="http://schemas.openxmlformats.org/officeDocument/2006/relationships/hyperlink" Target="https://doi.org/10.1007/s11292-014-9202-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80/13600869.2011.594644" TargetMode="External"/><Relationship Id="rId5" Type="http://schemas.openxmlformats.org/officeDocument/2006/relationships/customXml" Target="../customXml/item5.xml"/><Relationship Id="rId15" Type="http://schemas.openxmlformats.org/officeDocument/2006/relationships/hyperlink" Target="https://doi.org/10.1080/10439460500399791" TargetMode="External"/><Relationship Id="rId10" Type="http://schemas.openxmlformats.org/officeDocument/2006/relationships/hyperlink" Target="https://www.college.police.uk/app/information-management/information-sharing"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college.police.uk/app/major-investigation-and-public-protection/domestic-abuse/partnership-working-and-multi-agency-responsesmechanisms" TargetMode="External"/><Relationship Id="rId14" Type="http://schemas.openxmlformats.org/officeDocument/2006/relationships/hyperlink" Target="https://www.womensaid.org.uk/womens-aid-responds-to-police-chiefs-issuing-first-ever-national-threat-assessment-of-cri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BMPL4001</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3ccea089db30944052b64aa33a9a458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a0cf8d61a5fc631527ace101bd4cd9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52BBDC-AA1D-4578-AECC-5214B0684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D701D6-F741-4C4F-9073-3715F33331BE}">
  <ds:schemaRefs>
    <ds:schemaRef ds:uri="http://schemas.microsoft.com/sharepoint/v3/contenttype/forms"/>
  </ds:schemaRefs>
</ds:datastoreItem>
</file>

<file path=customXml/itemProps4.xml><?xml version="1.0" encoding="utf-8"?>
<ds:datastoreItem xmlns:ds="http://schemas.openxmlformats.org/officeDocument/2006/customXml" ds:itemID="{E761C84E-EFE3-4588-9FCE-81B8F0119B6C}">
  <ds:schemaRef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purl.org/dc/terms/"/>
    <ds:schemaRef ds:uri="f54e4810-f1f5-4bce-aa8e-e4722dc561be"/>
    <ds:schemaRef ds:uri="http://www.w3.org/XML/1998/namespace"/>
    <ds:schemaRef ds:uri="http://schemas.microsoft.com/office/infopath/2007/PartnerControls"/>
    <ds:schemaRef ds:uri="7b23fa32-4003-4364-bee1-595462966394"/>
    <ds:schemaRef ds:uri="http://purl.org/dc/dcmitype/"/>
  </ds:schemaRefs>
</ds:datastoreItem>
</file>

<file path=customXml/itemProps5.xml><?xml version="1.0" encoding="utf-8"?>
<ds:datastoreItem xmlns:ds="http://schemas.openxmlformats.org/officeDocument/2006/customXml" ds:itemID="{AD56893B-44BF-4131-B00B-805A20630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1739</Words>
  <Characters>9791</Characters>
  <Application>Microsoft Office Word</Application>
  <DocSecurity>0</DocSecurity>
  <Lines>155</Lines>
  <Paragraphs>25</Paragraphs>
  <ScaleCrop>false</ScaleCrop>
  <HeadingPairs>
    <vt:vector size="2" baseType="variant">
      <vt:variant>
        <vt:lpstr>Title</vt:lpstr>
      </vt:variant>
      <vt:variant>
        <vt:i4>1</vt:i4>
      </vt:variant>
    </vt:vector>
  </HeadingPairs>
  <TitlesOfParts>
    <vt:vector size="1" baseType="lpstr">
      <vt:lpstr/>
    </vt:vector>
  </TitlesOfParts>
  <Company>Sadie france</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Examine the impact of partnership working and information sharing when applied to policing practice. Consider the need for effective communication within the process.</dc:title>
  <dc:subject>Evidence-based approaches to policing decisions</dc:subject>
  <dc:creator>Chelsey Poulton (2007838)</dc:creator>
  <cp:keywords/>
  <dc:description/>
  <cp:lastModifiedBy>Chelsey Poulton (2007838)</cp:lastModifiedBy>
  <cp:revision>2</cp:revision>
  <dcterms:created xsi:type="dcterms:W3CDTF">2024-05-03T19:26:00Z</dcterms:created>
  <dcterms:modified xsi:type="dcterms:W3CDTF">2024-05-03T19:26:00Z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fd35c504-5cce-4c27-b70e-79aa4fe3add5</vt:lpwstr>
  </property>
  <property fmtid="{D5CDD505-2E9C-101B-9397-08002B2CF9AE}" pid="3" name="ContentTypeId">
    <vt:lpwstr>0x0101000033FA223336B44AB78A5EBBE6527CC3</vt:lpwstr>
  </property>
</Properties>
</file>