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C26DA" w14:textId="2D2F4073" w:rsidR="00D227FB" w:rsidRPr="00D227FB" w:rsidRDefault="00D227FB">
      <w:pPr>
        <w:rPr>
          <w:rFonts w:ascii="Arial" w:hAnsi="Arial" w:cs="Arial"/>
          <w:b/>
          <w:bCs/>
          <w:sz w:val="24"/>
          <w:szCs w:val="24"/>
          <w:u w:val="single"/>
        </w:rPr>
      </w:pPr>
      <w:r w:rsidRPr="00D227FB">
        <w:rPr>
          <w:rFonts w:ascii="Arial" w:hAnsi="Arial" w:cs="Arial"/>
          <w:b/>
          <w:bCs/>
          <w:sz w:val="24"/>
          <w:szCs w:val="24"/>
          <w:u w:val="single"/>
        </w:rPr>
        <w:t>Chapter 5: Findings and Conclusion</w:t>
      </w:r>
    </w:p>
    <w:p w14:paraId="08C83819" w14:textId="3B0DA98E" w:rsidR="00D227FB" w:rsidRDefault="00D227FB">
      <w:pPr>
        <w:rPr>
          <w:rFonts w:ascii="Arial" w:hAnsi="Arial" w:cs="Arial"/>
          <w:b/>
          <w:bCs/>
          <w:sz w:val="24"/>
          <w:szCs w:val="24"/>
          <w:u w:val="single"/>
        </w:rPr>
      </w:pPr>
    </w:p>
    <w:p w14:paraId="162E762B" w14:textId="330AE104" w:rsidR="00D227FB" w:rsidRDefault="00D227FB">
      <w:pPr>
        <w:rPr>
          <w:rFonts w:ascii="Arial" w:hAnsi="Arial" w:cs="Arial"/>
          <w:b/>
          <w:bCs/>
          <w:i/>
          <w:iCs/>
        </w:rPr>
      </w:pPr>
      <w:r>
        <w:rPr>
          <w:rFonts w:ascii="Arial" w:hAnsi="Arial" w:cs="Arial"/>
          <w:b/>
          <w:bCs/>
          <w:i/>
          <w:iCs/>
        </w:rPr>
        <w:t>5.1 Introduction</w:t>
      </w:r>
    </w:p>
    <w:p w14:paraId="4367135F" w14:textId="0DF203C9" w:rsidR="00A61B79" w:rsidRPr="0083593D" w:rsidRDefault="00214781" w:rsidP="00214781">
      <w:pPr>
        <w:spacing w:line="360" w:lineRule="auto"/>
        <w:rPr>
          <w:rFonts w:ascii="Arial" w:hAnsi="Arial" w:cs="Arial"/>
        </w:rPr>
      </w:pPr>
      <w:r>
        <w:rPr>
          <w:rFonts w:ascii="Arial" w:hAnsi="Arial" w:cs="Arial"/>
        </w:rPr>
        <w:t>The previous chapter focused solely on the analysis of the results produced from the research methods. In this chapter, the researcher will aim to answer the remaining research objectives</w:t>
      </w:r>
      <w:r w:rsidR="00615946">
        <w:rPr>
          <w:rFonts w:ascii="Arial" w:hAnsi="Arial" w:cs="Arial"/>
        </w:rPr>
        <w:t xml:space="preserve"> by </w:t>
      </w:r>
      <w:r>
        <w:rPr>
          <w:rFonts w:ascii="Arial" w:hAnsi="Arial" w:cs="Arial"/>
        </w:rPr>
        <w:t>interpret</w:t>
      </w:r>
      <w:r w:rsidR="00615946">
        <w:rPr>
          <w:rFonts w:ascii="Arial" w:hAnsi="Arial" w:cs="Arial"/>
        </w:rPr>
        <w:t>ing</w:t>
      </w:r>
      <w:r>
        <w:rPr>
          <w:rFonts w:ascii="Arial" w:hAnsi="Arial" w:cs="Arial"/>
        </w:rPr>
        <w:t xml:space="preserve"> the data into meaningful context</w:t>
      </w:r>
      <w:r w:rsidR="00615946">
        <w:rPr>
          <w:rFonts w:ascii="Arial" w:hAnsi="Arial" w:cs="Arial"/>
        </w:rPr>
        <w:t xml:space="preserve"> for comparison with the existing literature. The </w:t>
      </w:r>
      <w:r w:rsidR="00615946" w:rsidRPr="0083593D">
        <w:rPr>
          <w:rFonts w:ascii="Arial" w:hAnsi="Arial" w:cs="Arial"/>
        </w:rPr>
        <w:t>researcher will also provide recommendations based on this research and suggests for further research to benefit the topic area</w:t>
      </w:r>
      <w:r w:rsidRPr="0083593D">
        <w:rPr>
          <w:rFonts w:ascii="Arial" w:hAnsi="Arial" w:cs="Arial"/>
        </w:rPr>
        <w:t xml:space="preserve">. In the literature review chapter, the second research objective was answered whereby the researcher critically evaluated the </w:t>
      </w:r>
      <w:r w:rsidR="003249F7">
        <w:rPr>
          <w:rFonts w:ascii="Arial" w:hAnsi="Arial" w:cs="Arial"/>
        </w:rPr>
        <w:t>g</w:t>
      </w:r>
      <w:r w:rsidRPr="0083593D">
        <w:rPr>
          <w:rFonts w:ascii="Arial" w:hAnsi="Arial" w:cs="Arial"/>
        </w:rPr>
        <w:t xml:space="preserve">overnment’s response to domestic violence during the COVID-19 pandemic. </w:t>
      </w:r>
    </w:p>
    <w:p w14:paraId="10E66EA5" w14:textId="7104ED73" w:rsidR="002531A6" w:rsidRPr="0083593D" w:rsidRDefault="002531A6" w:rsidP="00214781">
      <w:pPr>
        <w:spacing w:line="360" w:lineRule="auto"/>
        <w:rPr>
          <w:rFonts w:ascii="Arial" w:hAnsi="Arial" w:cs="Arial"/>
        </w:rPr>
      </w:pPr>
      <w:r w:rsidRPr="0083593D">
        <w:rPr>
          <w:rFonts w:ascii="Arial" w:hAnsi="Arial" w:cs="Arial"/>
        </w:rPr>
        <w:t>This chapter will focus on a</w:t>
      </w:r>
      <w:r w:rsidR="00BB2F57" w:rsidRPr="0083593D">
        <w:rPr>
          <w:rFonts w:ascii="Arial" w:hAnsi="Arial" w:cs="Arial"/>
        </w:rPr>
        <w:t xml:space="preserve">chieving </w:t>
      </w:r>
      <w:r w:rsidRPr="0083593D">
        <w:rPr>
          <w:rFonts w:ascii="Arial" w:hAnsi="Arial" w:cs="Arial"/>
        </w:rPr>
        <w:t xml:space="preserve">the following research objectives: </w:t>
      </w:r>
    </w:p>
    <w:p w14:paraId="73B23391" w14:textId="5D364A6F" w:rsidR="002531A6" w:rsidRPr="0083593D" w:rsidRDefault="002531A6" w:rsidP="00A21418">
      <w:pPr>
        <w:pStyle w:val="ListParagraph"/>
        <w:numPr>
          <w:ilvl w:val="0"/>
          <w:numId w:val="6"/>
        </w:numPr>
        <w:spacing w:line="360" w:lineRule="auto"/>
        <w:rPr>
          <w:rFonts w:ascii="Arial" w:hAnsi="Arial" w:cs="Arial"/>
        </w:rPr>
      </w:pPr>
      <w:r w:rsidRPr="0083593D">
        <w:rPr>
          <w:rFonts w:ascii="Arial" w:hAnsi="Arial" w:cs="Arial"/>
        </w:rPr>
        <w:t>Analyse the links between the COVID-19 pandemic and the reported domestic violence incidents.</w:t>
      </w:r>
    </w:p>
    <w:p w14:paraId="102D3B2E" w14:textId="43AB6C38" w:rsidR="002531A6" w:rsidRDefault="002531A6" w:rsidP="00A21418">
      <w:pPr>
        <w:pStyle w:val="ListParagraph"/>
        <w:numPr>
          <w:ilvl w:val="0"/>
          <w:numId w:val="6"/>
        </w:numPr>
        <w:spacing w:line="360" w:lineRule="auto"/>
        <w:rPr>
          <w:rFonts w:ascii="Arial" w:hAnsi="Arial" w:cs="Arial"/>
        </w:rPr>
      </w:pPr>
      <w:r w:rsidRPr="0083593D">
        <w:rPr>
          <w:rFonts w:ascii="Arial" w:hAnsi="Arial" w:cs="Arial"/>
        </w:rPr>
        <w:t>Synthesis the effects on victims and front-line police in relation to domestic violence during the COVID-19 pandemic.</w:t>
      </w:r>
    </w:p>
    <w:p w14:paraId="2263770A" w14:textId="79ADB3FE" w:rsidR="0055125A" w:rsidRPr="0055125A" w:rsidRDefault="0055125A" w:rsidP="0055125A">
      <w:pPr>
        <w:spacing w:line="360" w:lineRule="auto"/>
        <w:rPr>
          <w:rFonts w:ascii="Arial" w:hAnsi="Arial" w:cs="Arial"/>
        </w:rPr>
      </w:pPr>
      <w:r>
        <w:rPr>
          <w:rFonts w:ascii="Arial" w:hAnsi="Arial" w:cs="Arial"/>
        </w:rPr>
        <w:t>To effectively evaluate the findings, the researcher will be utilising the ‘grounded theory’ which allows the construction of theory from data, by allowing the results to speak for themselves (Glaser &amp; Strauss 1967)</w:t>
      </w:r>
      <w:r w:rsidR="00417C0C">
        <w:rPr>
          <w:rFonts w:ascii="Arial" w:hAnsi="Arial" w:cs="Arial"/>
        </w:rPr>
        <w:t>.</w:t>
      </w:r>
    </w:p>
    <w:p w14:paraId="11B54F5C" w14:textId="77777777" w:rsidR="002531A6" w:rsidRPr="00214781" w:rsidRDefault="002531A6" w:rsidP="00214781">
      <w:pPr>
        <w:spacing w:line="360" w:lineRule="auto"/>
        <w:rPr>
          <w:rFonts w:ascii="Arial" w:hAnsi="Arial" w:cs="Arial"/>
        </w:rPr>
      </w:pPr>
    </w:p>
    <w:p w14:paraId="294A2CF7" w14:textId="38929621" w:rsidR="00A61B79" w:rsidRDefault="00A61B79">
      <w:pPr>
        <w:rPr>
          <w:rFonts w:ascii="Arial" w:hAnsi="Arial" w:cs="Arial"/>
          <w:b/>
          <w:bCs/>
        </w:rPr>
      </w:pPr>
      <w:r>
        <w:rPr>
          <w:rFonts w:ascii="Arial" w:hAnsi="Arial" w:cs="Arial"/>
          <w:b/>
          <w:bCs/>
          <w:i/>
          <w:iCs/>
        </w:rPr>
        <w:t>5.2 Interpretation of findings</w:t>
      </w:r>
    </w:p>
    <w:p w14:paraId="0CE5BB11" w14:textId="5ECF6E9A" w:rsidR="00760331" w:rsidRDefault="004A09F8" w:rsidP="003C0D5B">
      <w:pPr>
        <w:spacing w:line="360" w:lineRule="auto"/>
        <w:rPr>
          <w:rFonts w:ascii="Arial" w:hAnsi="Arial" w:cs="Arial"/>
        </w:rPr>
      </w:pPr>
      <w:r w:rsidRPr="004A09F8">
        <w:rPr>
          <w:rFonts w:ascii="Arial" w:hAnsi="Arial" w:cs="Arial"/>
        </w:rPr>
        <w:t xml:space="preserve">Within this study an overwhelming portion of the </w:t>
      </w:r>
      <w:r w:rsidR="00051F6A">
        <w:rPr>
          <w:rFonts w:ascii="Arial" w:hAnsi="Arial" w:cs="Arial"/>
        </w:rPr>
        <w:t xml:space="preserve">victim </w:t>
      </w:r>
      <w:r w:rsidRPr="004A09F8">
        <w:rPr>
          <w:rFonts w:ascii="Arial" w:hAnsi="Arial" w:cs="Arial"/>
        </w:rPr>
        <w:t xml:space="preserve">participants </w:t>
      </w:r>
      <w:r w:rsidR="00107180">
        <w:rPr>
          <w:rFonts w:ascii="Arial" w:hAnsi="Arial" w:cs="Arial"/>
        </w:rPr>
        <w:t>identified themselves as</w:t>
      </w:r>
      <w:r w:rsidRPr="004A09F8">
        <w:rPr>
          <w:rFonts w:ascii="Arial" w:hAnsi="Arial" w:cs="Arial"/>
        </w:rPr>
        <w:t xml:space="preserve"> </w:t>
      </w:r>
      <w:r w:rsidRPr="0067313C">
        <w:rPr>
          <w:rFonts w:ascii="Arial" w:hAnsi="Arial" w:cs="Arial"/>
        </w:rPr>
        <w:t>female</w:t>
      </w:r>
      <w:r w:rsidR="00107180" w:rsidRPr="0067313C">
        <w:rPr>
          <w:rFonts w:ascii="Arial" w:hAnsi="Arial" w:cs="Arial"/>
        </w:rPr>
        <w:t>,</w:t>
      </w:r>
      <w:r w:rsidRPr="0067313C">
        <w:rPr>
          <w:rFonts w:ascii="Arial" w:hAnsi="Arial" w:cs="Arial"/>
        </w:rPr>
        <w:t xml:space="preserve"> which correlates to all of the literature review findings relating to the gender disparity. Pence &amp; </w:t>
      </w:r>
      <w:proofErr w:type="spellStart"/>
      <w:r w:rsidRPr="0067313C">
        <w:rPr>
          <w:rFonts w:ascii="Arial" w:hAnsi="Arial" w:cs="Arial"/>
        </w:rPr>
        <w:t>Paymar</w:t>
      </w:r>
      <w:proofErr w:type="spellEnd"/>
      <w:r w:rsidRPr="0067313C">
        <w:rPr>
          <w:rFonts w:ascii="Arial" w:hAnsi="Arial" w:cs="Arial"/>
        </w:rPr>
        <w:t xml:space="preserve"> (1993) explained how domestic violence </w:t>
      </w:r>
      <w:proofErr w:type="gramStart"/>
      <w:r w:rsidR="003C0D5B" w:rsidRPr="0067313C">
        <w:rPr>
          <w:rFonts w:ascii="Arial" w:hAnsi="Arial" w:cs="Arial"/>
        </w:rPr>
        <w:t>is</w:t>
      </w:r>
      <w:r w:rsidRPr="0067313C">
        <w:rPr>
          <w:rFonts w:ascii="Arial" w:hAnsi="Arial" w:cs="Arial"/>
        </w:rPr>
        <w:t xml:space="preserve"> not a gender</w:t>
      </w:r>
      <w:proofErr w:type="gramEnd"/>
      <w:r w:rsidRPr="0067313C">
        <w:rPr>
          <w:rFonts w:ascii="Arial" w:hAnsi="Arial" w:cs="Arial"/>
        </w:rPr>
        <w:t xml:space="preserve">-neutral issue, and this is </w:t>
      </w:r>
      <w:r w:rsidR="00051F6A" w:rsidRPr="0067313C">
        <w:rPr>
          <w:rFonts w:ascii="Arial" w:hAnsi="Arial" w:cs="Arial"/>
        </w:rPr>
        <w:t>consistent with this research project. Furthermore</w:t>
      </w:r>
      <w:r w:rsidR="00A75931">
        <w:rPr>
          <w:rFonts w:ascii="Arial" w:hAnsi="Arial" w:cs="Arial"/>
        </w:rPr>
        <w:t>,</w:t>
      </w:r>
      <w:r w:rsidR="00051F6A" w:rsidRPr="0067313C">
        <w:rPr>
          <w:rFonts w:ascii="Arial" w:hAnsi="Arial" w:cs="Arial"/>
        </w:rPr>
        <w:t xml:space="preserve"> figure 1 show</w:t>
      </w:r>
      <w:r w:rsidR="00A75931">
        <w:rPr>
          <w:rFonts w:ascii="Arial" w:hAnsi="Arial" w:cs="Arial"/>
        </w:rPr>
        <w:t>s</w:t>
      </w:r>
      <w:r w:rsidR="00051F6A" w:rsidRPr="0067313C">
        <w:rPr>
          <w:rFonts w:ascii="Arial" w:hAnsi="Arial" w:cs="Arial"/>
        </w:rPr>
        <w:t xml:space="preserve"> how 77% of the abusers were male, this correlates with Walker’s (1979) proposal of the cycle of abuse being a ‘patriarchal behaviour of men who felt entitled to abuse their wives’</w:t>
      </w:r>
      <w:r w:rsidR="00496B4D" w:rsidRPr="0067313C">
        <w:rPr>
          <w:rFonts w:ascii="Arial" w:hAnsi="Arial" w:cs="Arial"/>
        </w:rPr>
        <w:t>. However, this also suggests non-</w:t>
      </w:r>
      <w:r w:rsidR="00701662" w:rsidRPr="0067313C">
        <w:rPr>
          <w:rFonts w:ascii="Arial" w:hAnsi="Arial" w:cs="Arial"/>
        </w:rPr>
        <w:t>heterosexual or</w:t>
      </w:r>
      <w:r w:rsidR="00496B4D" w:rsidRPr="0067313C">
        <w:rPr>
          <w:rFonts w:ascii="Arial" w:hAnsi="Arial" w:cs="Arial"/>
        </w:rPr>
        <w:t xml:space="preserve"> familial relationships being identified as abusive as 87.5% of victims </w:t>
      </w:r>
      <w:r w:rsidR="00921504" w:rsidRPr="0067313C">
        <w:rPr>
          <w:rFonts w:ascii="Arial" w:hAnsi="Arial" w:cs="Arial"/>
        </w:rPr>
        <w:t xml:space="preserve">within this study </w:t>
      </w:r>
      <w:r w:rsidR="00496B4D" w:rsidRPr="0067313C">
        <w:rPr>
          <w:rFonts w:ascii="Arial" w:hAnsi="Arial" w:cs="Arial"/>
        </w:rPr>
        <w:t>were female.</w:t>
      </w:r>
      <w:r w:rsidR="0067313C" w:rsidRPr="0067313C">
        <w:rPr>
          <w:rFonts w:ascii="Arial" w:hAnsi="Arial" w:cs="Arial"/>
        </w:rPr>
        <w:t xml:space="preserve"> Within the demographics there was a correlation within the age ranges which suggests young adults are more likely to experience abuse, this declined with age which could be due to the victim’s escaping the cycle of abuse, or possibly accepting their position. </w:t>
      </w:r>
      <w:r w:rsidR="0067313C" w:rsidRPr="0067313C">
        <w:rPr>
          <w:rFonts w:ascii="Arial" w:hAnsi="Arial" w:cs="Arial"/>
        </w:rPr>
        <w:lastRenderedPageBreak/>
        <w:t>The latter could be explained by learned helplessness theory (Maier, et al 1976) however, further research</w:t>
      </w:r>
      <w:r w:rsidR="00B01F48">
        <w:rPr>
          <w:rFonts w:ascii="Arial" w:hAnsi="Arial" w:cs="Arial"/>
        </w:rPr>
        <w:t xml:space="preserve"> is</w:t>
      </w:r>
      <w:r w:rsidR="0067313C" w:rsidRPr="0067313C">
        <w:rPr>
          <w:rFonts w:ascii="Arial" w:hAnsi="Arial" w:cs="Arial"/>
        </w:rPr>
        <w:t xml:space="preserve"> required.</w:t>
      </w:r>
    </w:p>
    <w:p w14:paraId="613FE2E2" w14:textId="6AEFED36" w:rsidR="00760331" w:rsidRDefault="00760331" w:rsidP="003C0D5B">
      <w:pPr>
        <w:spacing w:line="360" w:lineRule="auto"/>
        <w:rPr>
          <w:rFonts w:ascii="Arial" w:hAnsi="Arial" w:cs="Arial"/>
        </w:rPr>
      </w:pPr>
    </w:p>
    <w:p w14:paraId="21003EF5" w14:textId="5B5701BE" w:rsidR="00515142" w:rsidRDefault="003717EE" w:rsidP="003C0D5B">
      <w:pPr>
        <w:spacing w:line="360" w:lineRule="auto"/>
        <w:rPr>
          <w:rFonts w:ascii="Arial" w:hAnsi="Arial" w:cs="Arial"/>
        </w:rPr>
      </w:pPr>
      <w:r>
        <w:rPr>
          <w:rFonts w:ascii="Arial" w:hAnsi="Arial" w:cs="Arial"/>
        </w:rPr>
        <w:t xml:space="preserve">The research found that two thirds of victims had reported the abuse to police previously, however over half of these did not wish to pursue any form of prosecution against their abuser. </w:t>
      </w:r>
      <w:r w:rsidR="00FF606C">
        <w:rPr>
          <w:rFonts w:ascii="Arial" w:hAnsi="Arial" w:cs="Arial"/>
        </w:rPr>
        <w:t xml:space="preserve">The types of abuse also favoured emotional, </w:t>
      </w:r>
      <w:r w:rsidR="008E58F8">
        <w:rPr>
          <w:rFonts w:ascii="Arial" w:hAnsi="Arial" w:cs="Arial"/>
        </w:rPr>
        <w:t>physical,</w:t>
      </w:r>
      <w:r w:rsidR="00FF606C">
        <w:rPr>
          <w:rFonts w:ascii="Arial" w:hAnsi="Arial" w:cs="Arial"/>
        </w:rPr>
        <w:t xml:space="preserve"> and coercive/controlling behaviour; </w:t>
      </w:r>
      <w:r w:rsidR="002240CE">
        <w:rPr>
          <w:rFonts w:ascii="Arial" w:hAnsi="Arial" w:cs="Arial"/>
        </w:rPr>
        <w:t>however,</w:t>
      </w:r>
      <w:r w:rsidR="00FF606C">
        <w:rPr>
          <w:rFonts w:ascii="Arial" w:hAnsi="Arial" w:cs="Arial"/>
        </w:rPr>
        <w:t xml:space="preserve"> no definitions were provided to </w:t>
      </w:r>
      <w:r w:rsidR="000370DD">
        <w:rPr>
          <w:rFonts w:ascii="Arial" w:hAnsi="Arial" w:cs="Arial"/>
        </w:rPr>
        <w:t>victims,</w:t>
      </w:r>
      <w:r w:rsidR="00FF606C">
        <w:rPr>
          <w:rFonts w:ascii="Arial" w:hAnsi="Arial" w:cs="Arial"/>
        </w:rPr>
        <w:t xml:space="preserve"> so these answers were subjective to opinion. The Home Office statistics show that 24,856 incidents of controlling or coercive behaviour were reported to police, however only 1,112 people were prosecuted</w:t>
      </w:r>
      <w:r w:rsidR="006B253F">
        <w:rPr>
          <w:rFonts w:ascii="Arial" w:hAnsi="Arial" w:cs="Arial"/>
        </w:rPr>
        <w:t xml:space="preserve">. 85% of these cases were finalised due to evidential difficulties including victim withdrawal (Home Office 2021). </w:t>
      </w:r>
      <w:r w:rsidR="0044566E">
        <w:rPr>
          <w:rFonts w:ascii="Arial" w:hAnsi="Arial" w:cs="Arial"/>
        </w:rPr>
        <w:t xml:space="preserve">This could be </w:t>
      </w:r>
      <w:r w:rsidR="006A389D">
        <w:rPr>
          <w:rFonts w:ascii="Arial" w:hAnsi="Arial" w:cs="Arial"/>
        </w:rPr>
        <w:t>explained by the</w:t>
      </w:r>
      <w:r w:rsidR="00515142">
        <w:rPr>
          <w:rFonts w:ascii="Arial" w:hAnsi="Arial" w:cs="Arial"/>
        </w:rPr>
        <w:t xml:space="preserve"> </w:t>
      </w:r>
      <w:r w:rsidR="0044566E">
        <w:rPr>
          <w:rFonts w:ascii="Arial" w:hAnsi="Arial" w:cs="Arial"/>
        </w:rPr>
        <w:t xml:space="preserve">interpretation of the offence in accordance </w:t>
      </w:r>
      <w:r w:rsidR="004A51FB">
        <w:rPr>
          <w:rFonts w:ascii="Arial" w:hAnsi="Arial" w:cs="Arial"/>
        </w:rPr>
        <w:t>with</w:t>
      </w:r>
      <w:r w:rsidR="0044566E">
        <w:rPr>
          <w:rFonts w:ascii="Arial" w:hAnsi="Arial" w:cs="Arial"/>
        </w:rPr>
        <w:t xml:space="preserve"> crime integrity standards</w:t>
      </w:r>
      <w:r w:rsidR="00515142">
        <w:rPr>
          <w:rFonts w:ascii="Arial" w:hAnsi="Arial" w:cs="Arial"/>
        </w:rPr>
        <w:t xml:space="preserve"> and a lack of supporting evidence</w:t>
      </w:r>
      <w:r w:rsidR="0044566E">
        <w:rPr>
          <w:rFonts w:ascii="Arial" w:hAnsi="Arial" w:cs="Arial"/>
        </w:rPr>
        <w:t>.</w:t>
      </w:r>
      <w:r w:rsidR="004A51FB">
        <w:rPr>
          <w:rFonts w:ascii="Arial" w:hAnsi="Arial" w:cs="Arial"/>
        </w:rPr>
        <w:t xml:space="preserve"> </w:t>
      </w:r>
    </w:p>
    <w:p w14:paraId="21FE4AE6" w14:textId="77777777" w:rsidR="00735AEA" w:rsidRDefault="00735AEA" w:rsidP="003C0D5B">
      <w:pPr>
        <w:spacing w:line="360" w:lineRule="auto"/>
        <w:rPr>
          <w:rFonts w:ascii="Arial" w:hAnsi="Arial" w:cs="Arial"/>
        </w:rPr>
      </w:pPr>
    </w:p>
    <w:p w14:paraId="116C2D27" w14:textId="221A885E" w:rsidR="00760331" w:rsidRDefault="004A51FB" w:rsidP="003C0D5B">
      <w:pPr>
        <w:spacing w:line="360" w:lineRule="auto"/>
        <w:rPr>
          <w:rFonts w:ascii="Arial" w:hAnsi="Arial" w:cs="Arial"/>
        </w:rPr>
      </w:pPr>
      <w:r>
        <w:rPr>
          <w:rFonts w:ascii="Arial" w:hAnsi="Arial" w:cs="Arial"/>
        </w:rPr>
        <w:t xml:space="preserve">As expected, the main driver in abuse was alcohol </w:t>
      </w:r>
      <w:r w:rsidR="00D54C37">
        <w:rPr>
          <w:rFonts w:ascii="Arial" w:hAnsi="Arial" w:cs="Arial"/>
        </w:rPr>
        <w:t>followed closely by mental health, this becomes more impactful as lockdown restrictions come in and over two-thirds of abusers stay</w:t>
      </w:r>
      <w:r w:rsidR="00B7506F">
        <w:rPr>
          <w:rFonts w:ascii="Arial" w:hAnsi="Arial" w:cs="Arial"/>
        </w:rPr>
        <w:t>ed</w:t>
      </w:r>
      <w:r w:rsidR="00D54C37">
        <w:rPr>
          <w:rFonts w:ascii="Arial" w:hAnsi="Arial" w:cs="Arial"/>
        </w:rPr>
        <w:t xml:space="preserve"> home due to furlough, or unemployment (figure 6).</w:t>
      </w:r>
      <w:r w:rsidR="001B0840">
        <w:rPr>
          <w:rFonts w:ascii="Arial" w:hAnsi="Arial" w:cs="Arial"/>
        </w:rPr>
        <w:t xml:space="preserve"> Abusers who suffer with mental ill health may have also been under increased stress due to a closure of their own mental health services which ha</w:t>
      </w:r>
      <w:r w:rsidR="004A641D">
        <w:rPr>
          <w:rFonts w:ascii="Arial" w:hAnsi="Arial" w:cs="Arial"/>
        </w:rPr>
        <w:t>d</w:t>
      </w:r>
      <w:r w:rsidR="001B0840">
        <w:rPr>
          <w:rFonts w:ascii="Arial" w:hAnsi="Arial" w:cs="Arial"/>
        </w:rPr>
        <w:t xml:space="preserve"> a knock-on effect on the victim. </w:t>
      </w:r>
      <w:r w:rsidR="00735AEA">
        <w:rPr>
          <w:rFonts w:ascii="Arial" w:hAnsi="Arial" w:cs="Arial"/>
        </w:rPr>
        <w:t xml:space="preserve">Victims </w:t>
      </w:r>
      <w:r w:rsidR="001B0840">
        <w:rPr>
          <w:rFonts w:ascii="Arial" w:hAnsi="Arial" w:cs="Arial"/>
        </w:rPr>
        <w:t xml:space="preserve">had </w:t>
      </w:r>
      <w:r w:rsidR="00735AEA">
        <w:rPr>
          <w:rFonts w:ascii="Arial" w:hAnsi="Arial" w:cs="Arial"/>
        </w:rPr>
        <w:t xml:space="preserve">reported a significant increase in the level of abuse and its frequency, only two participants stated the abuse </w:t>
      </w:r>
      <w:r w:rsidR="003D3889">
        <w:rPr>
          <w:rFonts w:ascii="Arial" w:hAnsi="Arial" w:cs="Arial"/>
        </w:rPr>
        <w:t>lessened,</w:t>
      </w:r>
      <w:r w:rsidR="00735AEA">
        <w:rPr>
          <w:rFonts w:ascii="Arial" w:hAnsi="Arial" w:cs="Arial"/>
        </w:rPr>
        <w:t xml:space="preserve"> and neither of these were isolating with their abuse</w:t>
      </w:r>
      <w:r w:rsidR="009A4AD4">
        <w:rPr>
          <w:rFonts w:ascii="Arial" w:hAnsi="Arial" w:cs="Arial"/>
        </w:rPr>
        <w:t>r</w:t>
      </w:r>
      <w:r w:rsidR="00735AEA">
        <w:rPr>
          <w:rFonts w:ascii="Arial" w:hAnsi="Arial" w:cs="Arial"/>
        </w:rPr>
        <w:t xml:space="preserve">. </w:t>
      </w:r>
      <w:r w:rsidR="002240CE">
        <w:rPr>
          <w:rFonts w:ascii="Arial" w:hAnsi="Arial" w:cs="Arial"/>
        </w:rPr>
        <w:t>This should have been easily predicted and makes the government’s slow response appear somewhat negligent. The increased levels of abuse could be explained by the tension building stage of the cycle of abuse (Walker 1979) as more opportunities for tension present</w:t>
      </w:r>
      <w:r w:rsidR="00864262">
        <w:rPr>
          <w:rFonts w:ascii="Arial" w:hAnsi="Arial" w:cs="Arial"/>
        </w:rPr>
        <w:t>ed</w:t>
      </w:r>
      <w:r w:rsidR="002240CE">
        <w:rPr>
          <w:rFonts w:ascii="Arial" w:hAnsi="Arial" w:cs="Arial"/>
        </w:rPr>
        <w:t xml:space="preserve"> themselves due to more time spent together</w:t>
      </w:r>
      <w:r w:rsidR="00305440">
        <w:rPr>
          <w:rFonts w:ascii="Arial" w:hAnsi="Arial" w:cs="Arial"/>
        </w:rPr>
        <w:t>. This also correlates to the UNODC 2019 report w</w:t>
      </w:r>
      <w:r w:rsidR="008E58F8">
        <w:rPr>
          <w:rFonts w:ascii="Arial" w:hAnsi="Arial" w:cs="Arial"/>
        </w:rPr>
        <w:t>hich</w:t>
      </w:r>
      <w:r w:rsidR="00305440">
        <w:rPr>
          <w:rFonts w:ascii="Arial" w:hAnsi="Arial" w:cs="Arial"/>
        </w:rPr>
        <w:t xml:space="preserve"> states the home is the most dangerous place for a woman due to continued victimisation and inequalit</w:t>
      </w:r>
      <w:r w:rsidR="00931BAE">
        <w:rPr>
          <w:rFonts w:ascii="Arial" w:hAnsi="Arial" w:cs="Arial"/>
        </w:rPr>
        <w:t>y</w:t>
      </w:r>
      <w:r w:rsidR="008E58F8">
        <w:rPr>
          <w:rFonts w:ascii="Arial" w:hAnsi="Arial" w:cs="Arial"/>
        </w:rPr>
        <w:t>,</w:t>
      </w:r>
      <w:r w:rsidR="00931BAE">
        <w:rPr>
          <w:rFonts w:ascii="Arial" w:hAnsi="Arial" w:cs="Arial"/>
        </w:rPr>
        <w:t xml:space="preserve"> and also Dugan et </w:t>
      </w:r>
      <w:proofErr w:type="spellStart"/>
      <w:r w:rsidR="00931BAE">
        <w:rPr>
          <w:rFonts w:ascii="Arial" w:hAnsi="Arial" w:cs="Arial"/>
        </w:rPr>
        <w:t>al’s</w:t>
      </w:r>
      <w:proofErr w:type="spellEnd"/>
      <w:r w:rsidR="00931BAE">
        <w:rPr>
          <w:rFonts w:ascii="Arial" w:hAnsi="Arial" w:cs="Arial"/>
        </w:rPr>
        <w:t xml:space="preserve"> (2003) description of exposure </w:t>
      </w:r>
      <w:r w:rsidR="008E58F8">
        <w:rPr>
          <w:rFonts w:ascii="Arial" w:hAnsi="Arial" w:cs="Arial"/>
        </w:rPr>
        <w:t>opportunities</w:t>
      </w:r>
      <w:r w:rsidR="00931BAE">
        <w:rPr>
          <w:rFonts w:ascii="Arial" w:hAnsi="Arial" w:cs="Arial"/>
        </w:rPr>
        <w:t xml:space="preserve">. </w:t>
      </w:r>
    </w:p>
    <w:p w14:paraId="68A1E9F2" w14:textId="45D44B59" w:rsidR="002240CE" w:rsidRDefault="002240CE" w:rsidP="003C0D5B">
      <w:pPr>
        <w:spacing w:line="360" w:lineRule="auto"/>
        <w:rPr>
          <w:rFonts w:ascii="Arial" w:hAnsi="Arial" w:cs="Arial"/>
        </w:rPr>
      </w:pPr>
    </w:p>
    <w:p w14:paraId="4FDD71F1" w14:textId="2063481F" w:rsidR="00656935" w:rsidRDefault="00061D39" w:rsidP="003C0D5B">
      <w:pPr>
        <w:spacing w:line="360" w:lineRule="auto"/>
        <w:rPr>
          <w:rFonts w:ascii="Arial" w:hAnsi="Arial" w:cs="Arial"/>
        </w:rPr>
      </w:pPr>
      <w:r>
        <w:rPr>
          <w:rFonts w:ascii="Arial" w:hAnsi="Arial" w:cs="Arial"/>
        </w:rPr>
        <w:t xml:space="preserve">The main finding within this research relates to support for victims which was increasingly problematic for them. The majority prefer to receive their support by electronic means rather than in person, this is likely due to the feeling </w:t>
      </w:r>
      <w:r w:rsidR="00561FF8">
        <w:rPr>
          <w:rFonts w:ascii="Arial" w:hAnsi="Arial" w:cs="Arial"/>
        </w:rPr>
        <w:t xml:space="preserve">of </w:t>
      </w:r>
      <w:r>
        <w:rPr>
          <w:rFonts w:ascii="Arial" w:hAnsi="Arial" w:cs="Arial"/>
        </w:rPr>
        <w:t xml:space="preserve">anonymity and perhaps a need to vent to a sympathetic ear. </w:t>
      </w:r>
      <w:r w:rsidR="002A06B6">
        <w:rPr>
          <w:rFonts w:ascii="Arial" w:hAnsi="Arial" w:cs="Arial"/>
        </w:rPr>
        <w:t xml:space="preserve">Victims reported </w:t>
      </w:r>
      <w:r w:rsidR="006541C5">
        <w:rPr>
          <w:rFonts w:ascii="Arial" w:hAnsi="Arial" w:cs="Arial"/>
        </w:rPr>
        <w:t xml:space="preserve">difficulties in accessing the support, </w:t>
      </w:r>
      <w:r w:rsidR="0017214F">
        <w:rPr>
          <w:rFonts w:ascii="Arial" w:hAnsi="Arial" w:cs="Arial"/>
        </w:rPr>
        <w:t xml:space="preserve">both </w:t>
      </w:r>
      <w:r w:rsidR="006541C5">
        <w:rPr>
          <w:rFonts w:ascii="Arial" w:hAnsi="Arial" w:cs="Arial"/>
        </w:rPr>
        <w:t xml:space="preserve">out of fear of the </w:t>
      </w:r>
      <w:r w:rsidR="006541C5">
        <w:rPr>
          <w:rFonts w:ascii="Arial" w:hAnsi="Arial" w:cs="Arial"/>
        </w:rPr>
        <w:lastRenderedPageBreak/>
        <w:t>abuser</w:t>
      </w:r>
      <w:r w:rsidR="0017214F">
        <w:rPr>
          <w:rFonts w:ascii="Arial" w:hAnsi="Arial" w:cs="Arial"/>
        </w:rPr>
        <w:t>,</w:t>
      </w:r>
      <w:r w:rsidR="006541C5">
        <w:rPr>
          <w:rFonts w:ascii="Arial" w:hAnsi="Arial" w:cs="Arial"/>
        </w:rPr>
        <w:t xml:space="preserve"> and as the services were too busy</w:t>
      </w:r>
      <w:r w:rsidR="0017214F">
        <w:rPr>
          <w:rFonts w:ascii="Arial" w:hAnsi="Arial" w:cs="Arial"/>
        </w:rPr>
        <w:t>, not one participant finding them more easily accessible. This is easily explained by the lockdown period where less people were able to work due to the pandemic, having a knock-on effect on services. Interestingly, none of the male participants ha</w:t>
      </w:r>
      <w:r w:rsidR="005B2D85">
        <w:rPr>
          <w:rFonts w:ascii="Arial" w:hAnsi="Arial" w:cs="Arial"/>
        </w:rPr>
        <w:t>d</w:t>
      </w:r>
      <w:r w:rsidR="0017214F">
        <w:rPr>
          <w:rFonts w:ascii="Arial" w:hAnsi="Arial" w:cs="Arial"/>
        </w:rPr>
        <w:t xml:space="preserve"> ever used support services before, likely due to social stigma’s relating to masculinity</w:t>
      </w:r>
      <w:r w:rsidR="00CB2D97">
        <w:rPr>
          <w:rFonts w:ascii="Arial" w:hAnsi="Arial" w:cs="Arial"/>
        </w:rPr>
        <w:t>, and little awareness around male support services.</w:t>
      </w:r>
      <w:r w:rsidR="002072BB">
        <w:rPr>
          <w:rFonts w:ascii="Arial" w:hAnsi="Arial" w:cs="Arial"/>
        </w:rPr>
        <w:t xml:space="preserve"> There was also a decrease in willingness to report to police, as they did not want people finding out about the abuse, and they were afraid of the repercussions of reporting it</w:t>
      </w:r>
      <w:r w:rsidR="006A42C5">
        <w:rPr>
          <w:rFonts w:ascii="Arial" w:hAnsi="Arial" w:cs="Arial"/>
        </w:rPr>
        <w:t xml:space="preserve"> which </w:t>
      </w:r>
      <w:r w:rsidR="00EF23E5">
        <w:rPr>
          <w:rFonts w:ascii="Arial" w:hAnsi="Arial" w:cs="Arial"/>
        </w:rPr>
        <w:t>explains</w:t>
      </w:r>
      <w:r w:rsidR="006A42C5">
        <w:rPr>
          <w:rFonts w:ascii="Arial" w:hAnsi="Arial" w:cs="Arial"/>
        </w:rPr>
        <w:t xml:space="preserve"> the desire to remain anonymous.</w:t>
      </w:r>
    </w:p>
    <w:p w14:paraId="7C5B667A" w14:textId="22771985" w:rsidR="00061D39" w:rsidRDefault="00061D39" w:rsidP="003C0D5B">
      <w:pPr>
        <w:spacing w:line="360" w:lineRule="auto"/>
        <w:rPr>
          <w:rFonts w:ascii="Arial" w:hAnsi="Arial" w:cs="Arial"/>
        </w:rPr>
      </w:pPr>
    </w:p>
    <w:p w14:paraId="1CF8D2E2" w14:textId="2998A32E" w:rsidR="00E927E6" w:rsidRDefault="00D95DFC" w:rsidP="009E2180">
      <w:pPr>
        <w:spacing w:line="360" w:lineRule="auto"/>
        <w:rPr>
          <w:rFonts w:ascii="Arial" w:hAnsi="Arial" w:cs="Arial"/>
        </w:rPr>
      </w:pPr>
      <w:r>
        <w:rPr>
          <w:rFonts w:ascii="Arial" w:hAnsi="Arial" w:cs="Arial"/>
        </w:rPr>
        <w:t>The view of the police in this research further demonstrated a victim’s unwillingness to engage with police which reduced significantly during the pandemic. Police also found an increase in the use of alcohol and drugs, and found they were attending more domestic incidents as a result which increased in frequency and severity. 93% of officers lacked</w:t>
      </w:r>
      <w:r w:rsidR="001C4F31">
        <w:rPr>
          <w:rFonts w:ascii="Arial" w:hAnsi="Arial" w:cs="Arial"/>
        </w:rPr>
        <w:t xml:space="preserve"> support from the</w:t>
      </w:r>
      <w:r>
        <w:rPr>
          <w:rFonts w:ascii="Arial" w:hAnsi="Arial" w:cs="Arial"/>
        </w:rPr>
        <w:t xml:space="preserve"> victim due to them not wanting to attend court</w:t>
      </w:r>
      <w:r w:rsidR="00DF7315">
        <w:rPr>
          <w:rFonts w:ascii="Arial" w:hAnsi="Arial" w:cs="Arial"/>
        </w:rPr>
        <w:t xml:space="preserve"> (figure 11)</w:t>
      </w:r>
      <w:r w:rsidR="0078591E">
        <w:rPr>
          <w:rFonts w:ascii="Arial" w:hAnsi="Arial" w:cs="Arial"/>
        </w:rPr>
        <w:t xml:space="preserve"> while only 85% of officers tried to encourage them to attend court.</w:t>
      </w:r>
      <w:r w:rsidR="004A2E75">
        <w:rPr>
          <w:rFonts w:ascii="Arial" w:hAnsi="Arial" w:cs="Arial"/>
        </w:rPr>
        <w:t xml:space="preserve"> </w:t>
      </w:r>
      <w:r w:rsidR="003D06BC">
        <w:rPr>
          <w:rFonts w:ascii="Arial" w:hAnsi="Arial" w:cs="Arial"/>
        </w:rPr>
        <w:t>The researcher believes officers may be less likely to engage with victims due to a variety of factors as they wouldn’t be immune to being ‘put off’ by the attitudes of the victim or their own</w:t>
      </w:r>
      <w:r w:rsidR="00A52DCC">
        <w:rPr>
          <w:rFonts w:ascii="Arial" w:hAnsi="Arial" w:cs="Arial"/>
        </w:rPr>
        <w:t xml:space="preserve"> prejudices</w:t>
      </w:r>
      <w:r w:rsidR="003D06BC">
        <w:rPr>
          <w:rFonts w:ascii="Arial" w:hAnsi="Arial" w:cs="Arial"/>
        </w:rPr>
        <w:t xml:space="preserve">. </w:t>
      </w:r>
    </w:p>
    <w:p w14:paraId="05CF44DF" w14:textId="77777777" w:rsidR="00E927E6" w:rsidRDefault="00E927E6" w:rsidP="009E2180">
      <w:pPr>
        <w:spacing w:line="360" w:lineRule="auto"/>
        <w:rPr>
          <w:rFonts w:ascii="Arial" w:hAnsi="Arial" w:cs="Arial"/>
        </w:rPr>
      </w:pPr>
    </w:p>
    <w:p w14:paraId="1BD58BD1" w14:textId="10BEE120" w:rsidR="00A61B79" w:rsidRPr="00E927E6" w:rsidRDefault="00A61B79" w:rsidP="009E2180">
      <w:pPr>
        <w:spacing w:line="360" w:lineRule="auto"/>
        <w:rPr>
          <w:rFonts w:ascii="Arial" w:hAnsi="Arial" w:cs="Arial"/>
        </w:rPr>
      </w:pPr>
      <w:r>
        <w:rPr>
          <w:rFonts w:ascii="Arial" w:hAnsi="Arial" w:cs="Arial"/>
          <w:b/>
          <w:bCs/>
          <w:i/>
          <w:iCs/>
        </w:rPr>
        <w:t>5.3 Recommendations</w:t>
      </w:r>
    </w:p>
    <w:p w14:paraId="7D49EC9A" w14:textId="2A06E04B" w:rsidR="00A61B79" w:rsidRDefault="006F6B5F" w:rsidP="00D24F30">
      <w:pPr>
        <w:spacing w:line="360" w:lineRule="auto"/>
        <w:rPr>
          <w:rFonts w:ascii="Arial" w:hAnsi="Arial" w:cs="Arial"/>
        </w:rPr>
      </w:pPr>
      <w:r>
        <w:rPr>
          <w:rFonts w:ascii="Arial" w:hAnsi="Arial" w:cs="Arial"/>
        </w:rPr>
        <w:t>The key issue identified within this study was the availability of support, the researcher believes the government needs to invest more in these services as they can reduce the</w:t>
      </w:r>
      <w:r w:rsidR="004A2E75">
        <w:rPr>
          <w:rFonts w:ascii="Arial" w:hAnsi="Arial" w:cs="Arial"/>
        </w:rPr>
        <w:t xml:space="preserve"> impact upon victims and allow them an outlet from the abuse.</w:t>
      </w:r>
      <w:r w:rsidR="00C67CDB">
        <w:rPr>
          <w:rFonts w:ascii="Arial" w:hAnsi="Arial" w:cs="Arial"/>
        </w:rPr>
        <w:t xml:space="preserve"> For many this was a huge loss during the pandemic as they were subject to more abuse, and no support. </w:t>
      </w:r>
      <w:r w:rsidR="004A2E75">
        <w:rPr>
          <w:rFonts w:ascii="Arial" w:hAnsi="Arial" w:cs="Arial"/>
        </w:rPr>
        <w:t xml:space="preserve"> </w:t>
      </w:r>
    </w:p>
    <w:p w14:paraId="1D8AD582" w14:textId="56F9811C" w:rsidR="004A2E75" w:rsidRDefault="004A2E75" w:rsidP="00D24F30">
      <w:pPr>
        <w:spacing w:line="360" w:lineRule="auto"/>
        <w:rPr>
          <w:rFonts w:ascii="Arial" w:hAnsi="Arial" w:cs="Arial"/>
        </w:rPr>
      </w:pPr>
      <w:r>
        <w:rPr>
          <w:rFonts w:ascii="Arial" w:hAnsi="Arial" w:cs="Arial"/>
        </w:rPr>
        <w:t xml:space="preserve">Victims were also reluctant to attend court, whilst there is a wealth of ‘special measures’ which can aid victims in giving evidence in court, more attention should be given to guiding them through the process. There is a strong social stigma putting many in fear of going to court due to the formalities, and likely the media representation </w:t>
      </w:r>
      <w:r w:rsidR="00602FBE">
        <w:rPr>
          <w:rFonts w:ascii="Arial" w:hAnsi="Arial" w:cs="Arial"/>
        </w:rPr>
        <w:t xml:space="preserve">of courts during </w:t>
      </w:r>
      <w:proofErr w:type="spellStart"/>
      <w:r w:rsidR="00602FBE">
        <w:rPr>
          <w:rFonts w:ascii="Arial" w:hAnsi="Arial" w:cs="Arial"/>
        </w:rPr>
        <w:t>dramatisations</w:t>
      </w:r>
      <w:proofErr w:type="spellEnd"/>
      <w:r w:rsidR="00602FBE">
        <w:rPr>
          <w:rFonts w:ascii="Arial" w:hAnsi="Arial" w:cs="Arial"/>
        </w:rPr>
        <w:t>.</w:t>
      </w:r>
      <w:r>
        <w:rPr>
          <w:rFonts w:ascii="Arial" w:hAnsi="Arial" w:cs="Arial"/>
        </w:rPr>
        <w:t xml:space="preserve"> Victims should be made to feel at ease in order to gain their support</w:t>
      </w:r>
      <w:r w:rsidR="009E2180">
        <w:rPr>
          <w:rFonts w:ascii="Arial" w:hAnsi="Arial" w:cs="Arial"/>
        </w:rPr>
        <w:t>. Officers should also be upskilled in their knowledge of special measures as there is room for improvement, and by explaining it effectively to victims</w:t>
      </w:r>
      <w:r w:rsidR="00D225FF">
        <w:rPr>
          <w:rFonts w:ascii="Arial" w:hAnsi="Arial" w:cs="Arial"/>
        </w:rPr>
        <w:t>,</w:t>
      </w:r>
      <w:r w:rsidR="009E2180">
        <w:rPr>
          <w:rFonts w:ascii="Arial" w:hAnsi="Arial" w:cs="Arial"/>
        </w:rPr>
        <w:t xml:space="preserve"> they may feel more supported and feel more inclined to engage going forward.</w:t>
      </w:r>
    </w:p>
    <w:p w14:paraId="5F3F32D1" w14:textId="77777777" w:rsidR="004A2E75" w:rsidRPr="006F6B5F" w:rsidRDefault="004A2E75" w:rsidP="00D24F30">
      <w:pPr>
        <w:spacing w:line="360" w:lineRule="auto"/>
        <w:rPr>
          <w:rFonts w:ascii="Arial" w:hAnsi="Arial" w:cs="Arial"/>
        </w:rPr>
      </w:pPr>
    </w:p>
    <w:p w14:paraId="57975D1F" w14:textId="5D197A63" w:rsidR="00A61B79" w:rsidRDefault="00A61B79" w:rsidP="00D24F30">
      <w:pPr>
        <w:spacing w:line="360" w:lineRule="auto"/>
        <w:rPr>
          <w:rFonts w:ascii="Arial" w:hAnsi="Arial" w:cs="Arial"/>
          <w:b/>
          <w:bCs/>
          <w:i/>
          <w:iCs/>
        </w:rPr>
      </w:pPr>
      <w:r>
        <w:rPr>
          <w:rFonts w:ascii="Arial" w:hAnsi="Arial" w:cs="Arial"/>
          <w:b/>
          <w:bCs/>
          <w:i/>
          <w:iCs/>
        </w:rPr>
        <w:lastRenderedPageBreak/>
        <w:t>5.4 Limitations</w:t>
      </w:r>
    </w:p>
    <w:p w14:paraId="3579003B" w14:textId="5495AEC8" w:rsidR="00A61B79" w:rsidRDefault="00D24F30" w:rsidP="00D24F30">
      <w:pPr>
        <w:spacing w:line="360" w:lineRule="auto"/>
        <w:rPr>
          <w:rFonts w:ascii="Arial" w:hAnsi="Arial" w:cs="Arial"/>
        </w:rPr>
      </w:pPr>
      <w:r>
        <w:rPr>
          <w:rFonts w:ascii="Arial" w:hAnsi="Arial" w:cs="Arial"/>
        </w:rPr>
        <w:t>Due to ethical considerations, victim participants needed to be located anonymously as their right to privacy was paramount. This resulted in a lower sample size as the researcher found domestic charities are often contacted for research opportunities and do not wish to subject their users to constant questioning. There is also a wealth of statistical information available when sampling two groups which can make it more difficult to identify trends in the data. Should the time horizon</w:t>
      </w:r>
      <w:r w:rsidR="006218FE">
        <w:rPr>
          <w:rFonts w:ascii="Arial" w:hAnsi="Arial" w:cs="Arial"/>
        </w:rPr>
        <w:t xml:space="preserve"> have</w:t>
      </w:r>
      <w:r>
        <w:rPr>
          <w:rFonts w:ascii="Arial" w:hAnsi="Arial" w:cs="Arial"/>
        </w:rPr>
        <w:t xml:space="preserve"> be</w:t>
      </w:r>
      <w:r w:rsidR="006218FE">
        <w:rPr>
          <w:rFonts w:ascii="Arial" w:hAnsi="Arial" w:cs="Arial"/>
        </w:rPr>
        <w:t>en</w:t>
      </w:r>
      <w:r>
        <w:rPr>
          <w:rFonts w:ascii="Arial" w:hAnsi="Arial" w:cs="Arial"/>
        </w:rPr>
        <w:t xml:space="preserve"> extended more participants could </w:t>
      </w:r>
      <w:r w:rsidR="009D7924">
        <w:rPr>
          <w:rFonts w:ascii="Arial" w:hAnsi="Arial" w:cs="Arial"/>
        </w:rPr>
        <w:t xml:space="preserve">have </w:t>
      </w:r>
      <w:r>
        <w:rPr>
          <w:rFonts w:ascii="Arial" w:hAnsi="Arial" w:cs="Arial"/>
        </w:rPr>
        <w:t xml:space="preserve">been identified to produce more representative results. </w:t>
      </w:r>
    </w:p>
    <w:p w14:paraId="5F97278F" w14:textId="77777777" w:rsidR="00E927E6" w:rsidRPr="00D24F30" w:rsidRDefault="00E927E6" w:rsidP="00D24F30">
      <w:pPr>
        <w:spacing w:line="360" w:lineRule="auto"/>
        <w:rPr>
          <w:rFonts w:ascii="Arial" w:hAnsi="Arial" w:cs="Arial"/>
        </w:rPr>
      </w:pPr>
    </w:p>
    <w:p w14:paraId="7B175DE9" w14:textId="5C698BA1" w:rsidR="00A61B79" w:rsidRDefault="00A61B79" w:rsidP="00D24F30">
      <w:pPr>
        <w:spacing w:line="360" w:lineRule="auto"/>
        <w:rPr>
          <w:rFonts w:ascii="Arial" w:hAnsi="Arial" w:cs="Arial"/>
          <w:b/>
          <w:bCs/>
          <w:i/>
          <w:iCs/>
        </w:rPr>
      </w:pPr>
      <w:r>
        <w:rPr>
          <w:rFonts w:ascii="Arial" w:hAnsi="Arial" w:cs="Arial"/>
          <w:b/>
          <w:bCs/>
          <w:i/>
          <w:iCs/>
        </w:rPr>
        <w:t>5.5 Further Research</w:t>
      </w:r>
    </w:p>
    <w:p w14:paraId="581E950D" w14:textId="3CB29002" w:rsidR="00081F35" w:rsidRPr="00081F35" w:rsidRDefault="00081F35" w:rsidP="00D24F30">
      <w:pPr>
        <w:spacing w:line="360" w:lineRule="auto"/>
        <w:rPr>
          <w:rFonts w:ascii="Arial" w:hAnsi="Arial" w:cs="Arial"/>
        </w:rPr>
      </w:pPr>
      <w:r>
        <w:rPr>
          <w:rFonts w:ascii="Arial" w:hAnsi="Arial" w:cs="Arial"/>
        </w:rPr>
        <w:t xml:space="preserve">The researcher believes further research could be conducted with each sample group to allow it to go more </w:t>
      </w:r>
      <w:r w:rsidR="00602FBE">
        <w:rPr>
          <w:rFonts w:ascii="Arial" w:hAnsi="Arial" w:cs="Arial"/>
        </w:rPr>
        <w:t>in-depth</w:t>
      </w:r>
      <w:r>
        <w:rPr>
          <w:rFonts w:ascii="Arial" w:hAnsi="Arial" w:cs="Arial"/>
        </w:rPr>
        <w:t xml:space="preserve"> on their views. Particularly, this would include officer’s knowledge of support and willingness to take this time with victims, and what factors prevent them from providing that information. Furthermore, victims can provide a wealth of additional knowledge relating to their accessibility of support which would be further enhanced through interviewing in a qualitative research methodology. </w:t>
      </w:r>
      <w:r w:rsidR="00EB1750">
        <w:rPr>
          <w:rFonts w:ascii="Arial" w:hAnsi="Arial" w:cs="Arial"/>
        </w:rPr>
        <w:t xml:space="preserve">It could be beneficial for internal studies to take place similar to </w:t>
      </w:r>
      <w:proofErr w:type="spellStart"/>
      <w:r w:rsidR="00EB1750">
        <w:rPr>
          <w:rFonts w:ascii="Arial" w:hAnsi="Arial" w:cs="Arial"/>
        </w:rPr>
        <w:t>Davidge</w:t>
      </w:r>
      <w:r w:rsidR="00712C40">
        <w:rPr>
          <w:rFonts w:ascii="Arial" w:hAnsi="Arial" w:cs="Arial"/>
        </w:rPr>
        <w:t>’s</w:t>
      </w:r>
      <w:proofErr w:type="spellEnd"/>
      <w:r w:rsidR="00EB1750">
        <w:rPr>
          <w:rFonts w:ascii="Arial" w:hAnsi="Arial" w:cs="Arial"/>
        </w:rPr>
        <w:t xml:space="preserve"> (2020) </w:t>
      </w:r>
      <w:r w:rsidR="00C76CBA">
        <w:rPr>
          <w:rFonts w:ascii="Arial" w:hAnsi="Arial" w:cs="Arial"/>
        </w:rPr>
        <w:t>W</w:t>
      </w:r>
      <w:r w:rsidR="00EB1750">
        <w:rPr>
          <w:rFonts w:ascii="Arial" w:hAnsi="Arial" w:cs="Arial"/>
        </w:rPr>
        <w:t xml:space="preserve">oman’s </w:t>
      </w:r>
      <w:r w:rsidR="00C76CBA">
        <w:rPr>
          <w:rFonts w:ascii="Arial" w:hAnsi="Arial" w:cs="Arial"/>
        </w:rPr>
        <w:t>A</w:t>
      </w:r>
      <w:r w:rsidR="00EB1750">
        <w:rPr>
          <w:rFonts w:ascii="Arial" w:hAnsi="Arial" w:cs="Arial"/>
        </w:rPr>
        <w:t>id report. This would allow them access to a larger sample size of victims.</w:t>
      </w:r>
    </w:p>
    <w:p w14:paraId="593DA794" w14:textId="2D52C689" w:rsidR="00A61B79" w:rsidRDefault="00A61B79" w:rsidP="00D24F30">
      <w:pPr>
        <w:spacing w:line="360" w:lineRule="auto"/>
        <w:rPr>
          <w:rFonts w:ascii="Arial" w:hAnsi="Arial" w:cs="Arial"/>
          <w:b/>
          <w:bCs/>
          <w:i/>
          <w:iCs/>
        </w:rPr>
      </w:pPr>
    </w:p>
    <w:p w14:paraId="5B975394" w14:textId="5521AFAD" w:rsidR="00A61B79" w:rsidRPr="00A61B79" w:rsidRDefault="00A61B79" w:rsidP="00D24F30">
      <w:pPr>
        <w:spacing w:line="360" w:lineRule="auto"/>
        <w:rPr>
          <w:rFonts w:ascii="Arial" w:hAnsi="Arial" w:cs="Arial"/>
          <w:b/>
          <w:bCs/>
          <w:i/>
          <w:iCs/>
        </w:rPr>
      </w:pPr>
      <w:r>
        <w:rPr>
          <w:rFonts w:ascii="Arial" w:hAnsi="Arial" w:cs="Arial"/>
          <w:b/>
          <w:bCs/>
          <w:i/>
          <w:iCs/>
        </w:rPr>
        <w:t>5.6 Conclusion</w:t>
      </w:r>
      <w:r w:rsidR="007D1D88">
        <w:rPr>
          <w:rFonts w:ascii="Arial" w:hAnsi="Arial" w:cs="Arial"/>
          <w:b/>
          <w:bCs/>
          <w:i/>
          <w:iCs/>
        </w:rPr>
        <w:t xml:space="preserve"> and Evaluation</w:t>
      </w:r>
    </w:p>
    <w:p w14:paraId="1DE62774" w14:textId="1313842B" w:rsidR="002B09AF" w:rsidRDefault="003D06BC" w:rsidP="00D24F30">
      <w:pPr>
        <w:spacing w:line="360" w:lineRule="auto"/>
        <w:rPr>
          <w:rFonts w:ascii="Arial" w:hAnsi="Arial" w:cs="Arial"/>
        </w:rPr>
      </w:pPr>
      <w:r>
        <w:rPr>
          <w:rFonts w:ascii="Arial" w:hAnsi="Arial" w:cs="Arial"/>
        </w:rPr>
        <w:t xml:space="preserve">This study has </w:t>
      </w:r>
      <w:r w:rsidR="00D805CB">
        <w:rPr>
          <w:rFonts w:ascii="Arial" w:hAnsi="Arial" w:cs="Arial"/>
        </w:rPr>
        <w:t>identified further need for enhanced victim</w:t>
      </w:r>
      <w:r w:rsidR="00871CD4">
        <w:rPr>
          <w:rFonts w:ascii="Arial" w:hAnsi="Arial" w:cs="Arial"/>
        </w:rPr>
        <w:t>’s</w:t>
      </w:r>
      <w:r w:rsidR="00D805CB">
        <w:rPr>
          <w:rFonts w:ascii="Arial" w:hAnsi="Arial" w:cs="Arial"/>
        </w:rPr>
        <w:t xml:space="preserve"> support services, this can further reduce the demand on police and could result in savings in the public purse. </w:t>
      </w:r>
      <w:r w:rsidR="00591272">
        <w:rPr>
          <w:rFonts w:ascii="Arial" w:hAnsi="Arial" w:cs="Arial"/>
        </w:rPr>
        <w:t xml:space="preserve">The researcher has established how the government’s response to domestic violence during the start of the pandemic was inadequate and should have been easily predicted. Further support schemes should be tested by the government in an evidence-based strategy. </w:t>
      </w:r>
    </w:p>
    <w:p w14:paraId="67D581F4" w14:textId="7B3337A3" w:rsidR="00542D05" w:rsidRDefault="00542D05" w:rsidP="00D24F30">
      <w:pPr>
        <w:spacing w:line="360" w:lineRule="auto"/>
        <w:rPr>
          <w:rFonts w:ascii="Arial" w:hAnsi="Arial" w:cs="Arial"/>
        </w:rPr>
      </w:pPr>
      <w:r>
        <w:rPr>
          <w:rFonts w:ascii="Arial" w:hAnsi="Arial" w:cs="Arial"/>
        </w:rPr>
        <w:t>This chapter has also achieved the remaining two research objectives. By analysing the links between the COVID-19 pandemic and reported domestic violence the research</w:t>
      </w:r>
      <w:r w:rsidR="00836190">
        <w:rPr>
          <w:rFonts w:ascii="Arial" w:hAnsi="Arial" w:cs="Arial"/>
        </w:rPr>
        <w:t>er</w:t>
      </w:r>
      <w:r>
        <w:rPr>
          <w:rFonts w:ascii="Arial" w:hAnsi="Arial" w:cs="Arial"/>
        </w:rPr>
        <w:t xml:space="preserve"> has been able to identify </w:t>
      </w:r>
      <w:r w:rsidR="00836190">
        <w:rPr>
          <w:rFonts w:ascii="Arial" w:hAnsi="Arial" w:cs="Arial"/>
        </w:rPr>
        <w:t>an increased requirement for support services for both female</w:t>
      </w:r>
      <w:r w:rsidR="0012252D">
        <w:rPr>
          <w:rFonts w:ascii="Arial" w:hAnsi="Arial" w:cs="Arial"/>
        </w:rPr>
        <w:t>s</w:t>
      </w:r>
      <w:r w:rsidR="00836190">
        <w:rPr>
          <w:rFonts w:ascii="Arial" w:hAnsi="Arial" w:cs="Arial"/>
        </w:rPr>
        <w:t xml:space="preserve"> and males. There has been a clear increase in the frequency and severity of the abuse across the demographic board which has come directly as a result of the pandemic lockdown restrictions. </w:t>
      </w:r>
      <w:r w:rsidR="001B0840">
        <w:rPr>
          <w:rFonts w:ascii="Arial" w:hAnsi="Arial" w:cs="Arial"/>
        </w:rPr>
        <w:t>This is due to a variety of factors including unemployment, increase alcohol usage</w:t>
      </w:r>
      <w:r w:rsidR="002A79F5">
        <w:rPr>
          <w:rFonts w:ascii="Arial" w:hAnsi="Arial" w:cs="Arial"/>
        </w:rPr>
        <w:t xml:space="preserve"> and mental ill-health</w:t>
      </w:r>
      <w:r w:rsidR="000E1AA8">
        <w:rPr>
          <w:rFonts w:ascii="Arial" w:hAnsi="Arial" w:cs="Arial"/>
        </w:rPr>
        <w:t xml:space="preserve">, </w:t>
      </w:r>
      <w:r w:rsidR="000E1AA8">
        <w:rPr>
          <w:rFonts w:ascii="Arial" w:hAnsi="Arial" w:cs="Arial"/>
        </w:rPr>
        <w:lastRenderedPageBreak/>
        <w:t xml:space="preserve">combined with a reduction of support, this created more ‘exposure opportunities’ triggering the effects of the cycle of abuse. </w:t>
      </w:r>
    </w:p>
    <w:p w14:paraId="3545C164" w14:textId="2A3B44C8" w:rsidR="000E1AA8" w:rsidRDefault="000E1AA8" w:rsidP="00D24F30">
      <w:pPr>
        <w:spacing w:line="360" w:lineRule="auto"/>
        <w:rPr>
          <w:rFonts w:ascii="Arial" w:hAnsi="Arial" w:cs="Arial"/>
        </w:rPr>
      </w:pPr>
      <w:r>
        <w:rPr>
          <w:rFonts w:ascii="Arial" w:hAnsi="Arial" w:cs="Arial"/>
        </w:rPr>
        <w:t xml:space="preserve">Furthermore, </w:t>
      </w:r>
      <w:r w:rsidR="00926DB1">
        <w:rPr>
          <w:rFonts w:ascii="Arial" w:hAnsi="Arial" w:cs="Arial"/>
        </w:rPr>
        <w:t xml:space="preserve">front-line police found a reduction in support from victims but also an increase in the severity of the abuse which syntheses with the victim’s experiences and demonstrates a requirement for police to provide them with further support. Figure 11 </w:t>
      </w:r>
      <w:r w:rsidR="00641096">
        <w:rPr>
          <w:rFonts w:ascii="Arial" w:hAnsi="Arial" w:cs="Arial"/>
        </w:rPr>
        <w:t>show</w:t>
      </w:r>
      <w:r w:rsidR="007101EE">
        <w:rPr>
          <w:rFonts w:ascii="Arial" w:hAnsi="Arial" w:cs="Arial"/>
        </w:rPr>
        <w:t>s</w:t>
      </w:r>
      <w:r w:rsidR="00641096">
        <w:rPr>
          <w:rFonts w:ascii="Arial" w:hAnsi="Arial" w:cs="Arial"/>
        </w:rPr>
        <w:t xml:space="preserve"> how victims won’t engage for a wide variety of reasons, and as such there is no single problem-solving theory that can be implemented as no victim is the same and each case should be treated individually. </w:t>
      </w:r>
    </w:p>
    <w:p w14:paraId="595A30B1" w14:textId="740ACD4A" w:rsidR="00641096" w:rsidRDefault="00641096" w:rsidP="00D24F30">
      <w:pPr>
        <w:spacing w:line="360" w:lineRule="auto"/>
        <w:rPr>
          <w:rFonts w:ascii="Arial" w:hAnsi="Arial" w:cs="Arial"/>
        </w:rPr>
      </w:pPr>
    </w:p>
    <w:p w14:paraId="5D728BAA" w14:textId="03619F9E" w:rsidR="00641096" w:rsidRDefault="00641096" w:rsidP="00D24F30">
      <w:pPr>
        <w:spacing w:line="360" w:lineRule="auto"/>
        <w:rPr>
          <w:rFonts w:ascii="Arial" w:hAnsi="Arial" w:cs="Arial"/>
        </w:rPr>
      </w:pPr>
      <w:r>
        <w:rPr>
          <w:rFonts w:ascii="Arial" w:hAnsi="Arial" w:cs="Arial"/>
        </w:rPr>
        <w:t>Word count: 155</w:t>
      </w:r>
      <w:r w:rsidR="00926340">
        <w:rPr>
          <w:rFonts w:ascii="Arial" w:hAnsi="Arial" w:cs="Arial"/>
        </w:rPr>
        <w:t>3</w:t>
      </w:r>
    </w:p>
    <w:p w14:paraId="7FE6DCA0" w14:textId="77777777" w:rsidR="00542D05" w:rsidRDefault="00542D05" w:rsidP="00D24F30">
      <w:pPr>
        <w:spacing w:line="360" w:lineRule="auto"/>
        <w:rPr>
          <w:rFonts w:ascii="Arial" w:hAnsi="Arial" w:cs="Arial"/>
        </w:rPr>
      </w:pPr>
    </w:p>
    <w:p w14:paraId="2A616092" w14:textId="74C277A9" w:rsidR="000D6C33" w:rsidRDefault="000D6C33" w:rsidP="00D24F30">
      <w:pPr>
        <w:spacing w:line="360" w:lineRule="auto"/>
        <w:rPr>
          <w:rFonts w:ascii="Arial" w:hAnsi="Arial" w:cs="Arial"/>
        </w:rPr>
      </w:pPr>
    </w:p>
    <w:p w14:paraId="63757831" w14:textId="3060DF02" w:rsidR="000D6C33" w:rsidRDefault="000D6C33" w:rsidP="00D24F30">
      <w:pPr>
        <w:spacing w:line="360" w:lineRule="auto"/>
        <w:rPr>
          <w:rFonts w:ascii="Arial" w:hAnsi="Arial" w:cs="Arial"/>
          <w:b/>
          <w:bCs/>
        </w:rPr>
      </w:pPr>
      <w:r>
        <w:rPr>
          <w:rFonts w:ascii="Arial" w:hAnsi="Arial" w:cs="Arial"/>
          <w:b/>
          <w:bCs/>
        </w:rPr>
        <w:t>Bibliography</w:t>
      </w:r>
      <w:r w:rsidR="0005175B">
        <w:rPr>
          <w:rFonts w:ascii="Arial" w:hAnsi="Arial" w:cs="Arial"/>
          <w:b/>
          <w:bCs/>
        </w:rPr>
        <w:t>:</w:t>
      </w:r>
    </w:p>
    <w:p w14:paraId="5CE060BC" w14:textId="77777777" w:rsidR="0005175B" w:rsidRPr="001E664E" w:rsidRDefault="0005175B" w:rsidP="0005175B">
      <w:pPr>
        <w:rPr>
          <w:rFonts w:ascii="Arial" w:hAnsi="Arial" w:cs="Arial"/>
        </w:rPr>
      </w:pPr>
      <w:proofErr w:type="spellStart"/>
      <w:r w:rsidRPr="001E664E">
        <w:rPr>
          <w:rFonts w:ascii="Arial" w:hAnsi="Arial" w:cs="Arial"/>
        </w:rPr>
        <w:t>Davidge</w:t>
      </w:r>
      <w:proofErr w:type="spellEnd"/>
      <w:r w:rsidRPr="001E664E">
        <w:rPr>
          <w:rFonts w:ascii="Arial" w:hAnsi="Arial" w:cs="Arial"/>
        </w:rPr>
        <w:t xml:space="preserve">, S. (2020) A Perfect Storm: </w:t>
      </w:r>
      <w:r w:rsidRPr="00A86D11">
        <w:rPr>
          <w:rFonts w:ascii="Arial" w:hAnsi="Arial" w:cs="Arial"/>
          <w:i/>
          <w:iCs/>
        </w:rPr>
        <w:t>The impact of the Covid-19 pandemic on domestic abuse survivors and the services supporting them</w:t>
      </w:r>
      <w:r w:rsidRPr="001E664E">
        <w:rPr>
          <w:rFonts w:ascii="Arial" w:hAnsi="Arial" w:cs="Arial"/>
        </w:rPr>
        <w:t>. Bristol: Women’s Aid.</w:t>
      </w:r>
    </w:p>
    <w:p w14:paraId="02E9C893" w14:textId="77777777" w:rsidR="0005175B" w:rsidRPr="00E05D84" w:rsidRDefault="0005175B" w:rsidP="0005175B">
      <w:pPr>
        <w:spacing w:line="240" w:lineRule="auto"/>
        <w:rPr>
          <w:rFonts w:ascii="Arial" w:hAnsi="Arial" w:cs="Arial"/>
        </w:rPr>
      </w:pPr>
    </w:p>
    <w:p w14:paraId="5DC064E6" w14:textId="0AA683AF" w:rsidR="0005175B" w:rsidRDefault="0005175B" w:rsidP="0005175B">
      <w:pPr>
        <w:rPr>
          <w:rFonts w:ascii="Arial" w:hAnsi="Arial" w:cs="Arial"/>
        </w:rPr>
      </w:pPr>
      <w:r w:rsidRPr="00E05D84">
        <w:rPr>
          <w:rFonts w:ascii="Arial" w:hAnsi="Arial" w:cs="Arial"/>
        </w:rPr>
        <w:t>Dugan, L.</w:t>
      </w:r>
      <w:r w:rsidR="006B0A3A">
        <w:rPr>
          <w:rFonts w:ascii="Arial" w:hAnsi="Arial" w:cs="Arial"/>
        </w:rPr>
        <w:t>,</w:t>
      </w:r>
      <w:r w:rsidRPr="00E05D84">
        <w:rPr>
          <w:rFonts w:ascii="Arial" w:hAnsi="Arial" w:cs="Arial"/>
        </w:rPr>
        <w:t xml:space="preserve"> Rosenfeld, R.</w:t>
      </w:r>
      <w:r w:rsidR="006B0A3A">
        <w:rPr>
          <w:rFonts w:ascii="Arial" w:hAnsi="Arial" w:cs="Arial"/>
        </w:rPr>
        <w:t>, and</w:t>
      </w:r>
      <w:r w:rsidRPr="00E05D84">
        <w:rPr>
          <w:rFonts w:ascii="Arial" w:hAnsi="Arial" w:cs="Arial"/>
        </w:rPr>
        <w:t xml:space="preserve"> Nagin, D S (2003) ‘Exposure Reduction or Retaliation? The effects of Domestic Violence Resources on Intimate Partner Homicide”. </w:t>
      </w:r>
      <w:r w:rsidRPr="00E05D84">
        <w:rPr>
          <w:rFonts w:ascii="Arial" w:hAnsi="Arial" w:cs="Arial"/>
          <w:i/>
          <w:iCs/>
        </w:rPr>
        <w:t>Law and Society</w:t>
      </w:r>
      <w:r w:rsidRPr="00E05D84">
        <w:rPr>
          <w:rFonts w:ascii="Arial" w:hAnsi="Arial" w:cs="Arial"/>
        </w:rPr>
        <w:t>, 37(1) pp.169-198</w:t>
      </w:r>
      <w:r w:rsidR="008359F3">
        <w:rPr>
          <w:rFonts w:ascii="Arial" w:hAnsi="Arial" w:cs="Arial"/>
        </w:rPr>
        <w:t>.</w:t>
      </w:r>
    </w:p>
    <w:p w14:paraId="5134424D" w14:textId="77777777" w:rsidR="0005175B" w:rsidRDefault="0005175B" w:rsidP="00D24F30">
      <w:pPr>
        <w:spacing w:line="360" w:lineRule="auto"/>
        <w:rPr>
          <w:rFonts w:ascii="Arial" w:hAnsi="Arial" w:cs="Arial"/>
        </w:rPr>
      </w:pPr>
    </w:p>
    <w:p w14:paraId="5F52EDEC" w14:textId="1D527AEC" w:rsidR="000D6C33" w:rsidRDefault="000D6C33" w:rsidP="000D6C33">
      <w:pPr>
        <w:spacing w:line="240" w:lineRule="auto"/>
        <w:rPr>
          <w:rFonts w:ascii="Arial" w:hAnsi="Arial" w:cs="Arial"/>
          <w:bCs/>
          <w:color w:val="000000" w:themeColor="text1"/>
        </w:rPr>
      </w:pPr>
      <w:r w:rsidRPr="00760331">
        <w:rPr>
          <w:rFonts w:ascii="Arial" w:hAnsi="Arial" w:cs="Arial"/>
          <w:bCs/>
          <w:color w:val="000000" w:themeColor="text1"/>
        </w:rPr>
        <w:t>Glaser, B.</w:t>
      </w:r>
      <w:r w:rsidR="00A91CFF">
        <w:rPr>
          <w:rFonts w:ascii="Arial" w:hAnsi="Arial" w:cs="Arial"/>
          <w:bCs/>
          <w:color w:val="000000" w:themeColor="text1"/>
        </w:rPr>
        <w:t xml:space="preserve">, and </w:t>
      </w:r>
      <w:r w:rsidRPr="00760331">
        <w:rPr>
          <w:rFonts w:ascii="Arial" w:hAnsi="Arial" w:cs="Arial"/>
          <w:bCs/>
          <w:color w:val="000000" w:themeColor="text1"/>
        </w:rPr>
        <w:t>Strauss, A</w:t>
      </w:r>
      <w:r w:rsidR="00EC23CD">
        <w:rPr>
          <w:rFonts w:ascii="Arial" w:hAnsi="Arial" w:cs="Arial"/>
          <w:bCs/>
          <w:color w:val="000000" w:themeColor="text1"/>
        </w:rPr>
        <w:t>.</w:t>
      </w:r>
      <w:r w:rsidRPr="00760331">
        <w:rPr>
          <w:rFonts w:ascii="Arial" w:hAnsi="Arial" w:cs="Arial"/>
          <w:bCs/>
          <w:color w:val="000000" w:themeColor="text1"/>
        </w:rPr>
        <w:t xml:space="preserve"> (1967) </w:t>
      </w:r>
      <w:r w:rsidRPr="00760331">
        <w:rPr>
          <w:rFonts w:ascii="Arial" w:hAnsi="Arial" w:cs="Arial"/>
          <w:bCs/>
          <w:i/>
          <w:iCs/>
          <w:color w:val="000000" w:themeColor="text1"/>
        </w:rPr>
        <w:t xml:space="preserve">The discovery of Grounded Theory: Strategies for Qualitative Research. </w:t>
      </w:r>
      <w:r w:rsidRPr="00760331">
        <w:rPr>
          <w:rFonts w:ascii="Arial" w:hAnsi="Arial" w:cs="Arial"/>
          <w:bCs/>
          <w:color w:val="000000" w:themeColor="text1"/>
        </w:rPr>
        <w:t>Chicago: Aldine.</w:t>
      </w:r>
    </w:p>
    <w:p w14:paraId="3CEB0AAC" w14:textId="77777777" w:rsidR="0005175B" w:rsidRPr="00760331" w:rsidRDefault="0005175B" w:rsidP="000D6C33">
      <w:pPr>
        <w:spacing w:line="240" w:lineRule="auto"/>
        <w:rPr>
          <w:rFonts w:ascii="Arial" w:hAnsi="Arial" w:cs="Arial"/>
          <w:bCs/>
          <w:color w:val="000000" w:themeColor="text1"/>
        </w:rPr>
      </w:pPr>
    </w:p>
    <w:p w14:paraId="6020DFC4" w14:textId="77777777" w:rsidR="0005175B" w:rsidRPr="00E05D84" w:rsidRDefault="0005175B" w:rsidP="0005175B">
      <w:pPr>
        <w:rPr>
          <w:rFonts w:ascii="Arial" w:hAnsi="Arial" w:cs="Arial"/>
        </w:rPr>
      </w:pPr>
      <w:r w:rsidRPr="00E05D84">
        <w:rPr>
          <w:rFonts w:ascii="Arial" w:hAnsi="Arial" w:cs="Arial"/>
        </w:rPr>
        <w:t xml:space="preserve">Home Office (2021) Review of the controlling or coercive behaviour offence. Available at: </w:t>
      </w:r>
      <w:hyperlink r:id="rId7" w:history="1">
        <w:r w:rsidRPr="00E05D84">
          <w:rPr>
            <w:rStyle w:val="Hyperlink"/>
            <w:rFonts w:ascii="Arial" w:hAnsi="Arial" w:cs="Arial"/>
          </w:rPr>
          <w:t>https://www.gov.uk/government/publications/review-of-the-controlling-or-coercive-behaviour-offence/review-of-the-controlling-or-coercive-behaviour-offence</w:t>
        </w:r>
      </w:hyperlink>
    </w:p>
    <w:p w14:paraId="126444F8" w14:textId="29E61F13" w:rsidR="0005175B" w:rsidRDefault="0005175B" w:rsidP="0005175B">
      <w:pPr>
        <w:rPr>
          <w:rFonts w:ascii="Arial" w:hAnsi="Arial" w:cs="Arial"/>
        </w:rPr>
      </w:pPr>
      <w:r w:rsidRPr="00E05D84">
        <w:rPr>
          <w:rFonts w:ascii="Arial" w:hAnsi="Arial" w:cs="Arial"/>
        </w:rPr>
        <w:t>(Accessed 30</w:t>
      </w:r>
      <w:r w:rsidRPr="00E05D84">
        <w:rPr>
          <w:rFonts w:ascii="Arial" w:hAnsi="Arial" w:cs="Arial"/>
          <w:vertAlign w:val="superscript"/>
        </w:rPr>
        <w:t>th</w:t>
      </w:r>
      <w:r w:rsidRPr="00E05D84">
        <w:rPr>
          <w:rFonts w:ascii="Arial" w:hAnsi="Arial" w:cs="Arial"/>
        </w:rPr>
        <w:t xml:space="preserve"> October 2021)</w:t>
      </w:r>
    </w:p>
    <w:p w14:paraId="16575B93" w14:textId="77777777" w:rsidR="0005175B" w:rsidRDefault="0005175B" w:rsidP="0005175B">
      <w:pPr>
        <w:rPr>
          <w:rFonts w:ascii="Arial" w:hAnsi="Arial" w:cs="Arial"/>
        </w:rPr>
      </w:pPr>
    </w:p>
    <w:p w14:paraId="3E29786E" w14:textId="2BB693F8" w:rsidR="00760331" w:rsidRPr="0005175B" w:rsidRDefault="00760331" w:rsidP="0005175B">
      <w:pPr>
        <w:rPr>
          <w:rFonts w:ascii="Arial" w:hAnsi="Arial" w:cs="Arial"/>
        </w:rPr>
      </w:pPr>
      <w:r w:rsidRPr="00760331">
        <w:rPr>
          <w:rFonts w:ascii="Arial" w:hAnsi="Arial" w:cs="Arial"/>
          <w:color w:val="000000" w:themeColor="text1"/>
          <w:shd w:val="clear" w:color="auto" w:fill="FFFFFF"/>
        </w:rPr>
        <w:t>Maier, S. F., and Seligman, M. E. (1976). Learned helplessness: Theory and evidence. </w:t>
      </w:r>
      <w:r w:rsidRPr="00760331">
        <w:rPr>
          <w:rStyle w:val="Emphasis"/>
          <w:rFonts w:ascii="Arial" w:hAnsi="Arial" w:cs="Arial"/>
          <w:color w:val="000000" w:themeColor="text1"/>
          <w:shd w:val="clear" w:color="auto" w:fill="FFFFFF"/>
        </w:rPr>
        <w:t xml:space="preserve">Journal of Experimental Psychology: General, </w:t>
      </w:r>
      <w:r w:rsidRPr="003305F2">
        <w:rPr>
          <w:rStyle w:val="Emphasis"/>
          <w:rFonts w:ascii="Arial" w:hAnsi="Arial" w:cs="Arial"/>
          <w:i w:val="0"/>
          <w:iCs w:val="0"/>
          <w:color w:val="000000" w:themeColor="text1"/>
          <w:shd w:val="clear" w:color="auto" w:fill="FFFFFF"/>
        </w:rPr>
        <w:t>105</w:t>
      </w:r>
      <w:r w:rsidRPr="00760331">
        <w:rPr>
          <w:rFonts w:ascii="Arial" w:hAnsi="Arial" w:cs="Arial"/>
          <w:color w:val="000000" w:themeColor="text1"/>
          <w:shd w:val="clear" w:color="auto" w:fill="FFFFFF"/>
        </w:rPr>
        <w:t>(1), pp.3–46.</w:t>
      </w:r>
    </w:p>
    <w:p w14:paraId="1C548DFA" w14:textId="72D77A4C" w:rsidR="004A69AD" w:rsidRPr="00E05D84" w:rsidRDefault="004A69AD">
      <w:pPr>
        <w:rPr>
          <w:rFonts w:ascii="Arial" w:hAnsi="Arial" w:cs="Arial"/>
        </w:rPr>
      </w:pPr>
    </w:p>
    <w:p w14:paraId="55659C0E" w14:textId="77777777" w:rsidR="004A69AD" w:rsidRPr="00E05D84" w:rsidRDefault="004A69AD" w:rsidP="004A69AD">
      <w:pPr>
        <w:spacing w:line="240" w:lineRule="auto"/>
        <w:rPr>
          <w:rFonts w:ascii="Arial" w:hAnsi="Arial" w:cs="Arial"/>
        </w:rPr>
      </w:pPr>
      <w:r w:rsidRPr="00E05D84">
        <w:rPr>
          <w:rFonts w:ascii="Arial" w:hAnsi="Arial" w:cs="Arial"/>
        </w:rPr>
        <w:t xml:space="preserve">United Nations Office on Drugs and Crime (2019) Global Study on Homicide. Available at: </w:t>
      </w:r>
      <w:hyperlink r:id="rId8" w:history="1">
        <w:r w:rsidRPr="00E05D84">
          <w:rPr>
            <w:rStyle w:val="Hyperlink"/>
            <w:rFonts w:ascii="Arial" w:hAnsi="Arial" w:cs="Arial"/>
          </w:rPr>
          <w:t>https://www.unodc.org/documents/data-and-analysis/gsh/Booklet_5.pdf</w:t>
        </w:r>
      </w:hyperlink>
    </w:p>
    <w:p w14:paraId="36209A35" w14:textId="4BD8062B" w:rsidR="004A69AD" w:rsidRPr="00E05D84" w:rsidRDefault="004A69AD" w:rsidP="004A69AD">
      <w:pPr>
        <w:spacing w:line="240" w:lineRule="auto"/>
        <w:rPr>
          <w:rFonts w:ascii="Arial" w:hAnsi="Arial" w:cs="Arial"/>
        </w:rPr>
      </w:pPr>
      <w:r w:rsidRPr="00E05D84">
        <w:rPr>
          <w:rFonts w:ascii="Arial" w:hAnsi="Arial" w:cs="Arial"/>
        </w:rPr>
        <w:lastRenderedPageBreak/>
        <w:t>(Accessed 9</w:t>
      </w:r>
      <w:r w:rsidRPr="00E05D84">
        <w:rPr>
          <w:rFonts w:ascii="Arial" w:hAnsi="Arial" w:cs="Arial"/>
          <w:vertAlign w:val="superscript"/>
        </w:rPr>
        <w:t>th</w:t>
      </w:r>
      <w:r w:rsidRPr="00E05D84">
        <w:rPr>
          <w:rFonts w:ascii="Arial" w:hAnsi="Arial" w:cs="Arial"/>
        </w:rPr>
        <w:t xml:space="preserve"> July 2021)</w:t>
      </w:r>
    </w:p>
    <w:p w14:paraId="4F7BA494" w14:textId="77777777" w:rsidR="004A69AD" w:rsidRPr="00D227FB" w:rsidRDefault="004A69AD">
      <w:pPr>
        <w:rPr>
          <w:rFonts w:ascii="Arial" w:hAnsi="Arial" w:cs="Arial"/>
        </w:rPr>
      </w:pPr>
    </w:p>
    <w:sectPr w:rsidR="004A69AD" w:rsidRPr="00D227FB" w:rsidSect="00912EC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620C2" w14:textId="77777777" w:rsidR="00AE01D4" w:rsidRDefault="00AE01D4" w:rsidP="003717EE">
      <w:pPr>
        <w:spacing w:after="0" w:line="240" w:lineRule="auto"/>
      </w:pPr>
      <w:r>
        <w:separator/>
      </w:r>
    </w:p>
  </w:endnote>
  <w:endnote w:type="continuationSeparator" w:id="0">
    <w:p w14:paraId="4C48A7EB" w14:textId="77777777" w:rsidR="00AE01D4" w:rsidRDefault="00AE01D4" w:rsidP="00371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DE488" w14:textId="77777777" w:rsidR="00AE01D4" w:rsidRDefault="00AE01D4" w:rsidP="003717EE">
      <w:pPr>
        <w:spacing w:after="0" w:line="240" w:lineRule="auto"/>
      </w:pPr>
      <w:r>
        <w:separator/>
      </w:r>
    </w:p>
  </w:footnote>
  <w:footnote w:type="continuationSeparator" w:id="0">
    <w:p w14:paraId="209C3549" w14:textId="77777777" w:rsidR="00AE01D4" w:rsidRDefault="00AE01D4" w:rsidP="003717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17913"/>
    <w:multiLevelType w:val="hybridMultilevel"/>
    <w:tmpl w:val="DFB6F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C5B81"/>
    <w:multiLevelType w:val="hybridMultilevel"/>
    <w:tmpl w:val="676C0FDA"/>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1658DA"/>
    <w:multiLevelType w:val="hybridMultilevel"/>
    <w:tmpl w:val="42341AB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183276"/>
    <w:multiLevelType w:val="hybridMultilevel"/>
    <w:tmpl w:val="27DEE01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FE74022"/>
    <w:multiLevelType w:val="hybridMultilevel"/>
    <w:tmpl w:val="497EB9E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E8228E1"/>
    <w:multiLevelType w:val="hybridMultilevel"/>
    <w:tmpl w:val="BC301CA4"/>
    <w:lvl w:ilvl="0" w:tplc="B600D59E">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5"/>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2F8"/>
    <w:rsid w:val="000023B4"/>
    <w:rsid w:val="00014565"/>
    <w:rsid w:val="00016501"/>
    <w:rsid w:val="000370DD"/>
    <w:rsid w:val="0005175B"/>
    <w:rsid w:val="00051F6A"/>
    <w:rsid w:val="00061D39"/>
    <w:rsid w:val="000733AC"/>
    <w:rsid w:val="00081F35"/>
    <w:rsid w:val="00092009"/>
    <w:rsid w:val="00096FFE"/>
    <w:rsid w:val="000D3FAE"/>
    <w:rsid w:val="000D6C33"/>
    <w:rsid w:val="000E1AA8"/>
    <w:rsid w:val="00105B91"/>
    <w:rsid w:val="00107180"/>
    <w:rsid w:val="0012252D"/>
    <w:rsid w:val="00142DAD"/>
    <w:rsid w:val="00161CE5"/>
    <w:rsid w:val="0017214F"/>
    <w:rsid w:val="001B0840"/>
    <w:rsid w:val="001C4F31"/>
    <w:rsid w:val="002072BB"/>
    <w:rsid w:val="00214781"/>
    <w:rsid w:val="002240CE"/>
    <w:rsid w:val="002531A6"/>
    <w:rsid w:val="00274142"/>
    <w:rsid w:val="00290443"/>
    <w:rsid w:val="002A06B6"/>
    <w:rsid w:val="002A79F5"/>
    <w:rsid w:val="002B09AF"/>
    <w:rsid w:val="002F30E3"/>
    <w:rsid w:val="00305440"/>
    <w:rsid w:val="003249F7"/>
    <w:rsid w:val="003305F2"/>
    <w:rsid w:val="00364BED"/>
    <w:rsid w:val="003717EE"/>
    <w:rsid w:val="003B1391"/>
    <w:rsid w:val="003C0AE4"/>
    <w:rsid w:val="003C0D5B"/>
    <w:rsid w:val="003C1E73"/>
    <w:rsid w:val="003D06BC"/>
    <w:rsid w:val="003D3889"/>
    <w:rsid w:val="003F502A"/>
    <w:rsid w:val="00417C0C"/>
    <w:rsid w:val="0044566E"/>
    <w:rsid w:val="00482C82"/>
    <w:rsid w:val="00496B4D"/>
    <w:rsid w:val="004A09F8"/>
    <w:rsid w:val="004A2E75"/>
    <w:rsid w:val="004A51FB"/>
    <w:rsid w:val="004A641D"/>
    <w:rsid w:val="004A69AD"/>
    <w:rsid w:val="004B619F"/>
    <w:rsid w:val="00503625"/>
    <w:rsid w:val="00515142"/>
    <w:rsid w:val="00542D05"/>
    <w:rsid w:val="0055125A"/>
    <w:rsid w:val="00561FF8"/>
    <w:rsid w:val="00591272"/>
    <w:rsid w:val="005B2D85"/>
    <w:rsid w:val="005E5C98"/>
    <w:rsid w:val="005E6D6E"/>
    <w:rsid w:val="00602A53"/>
    <w:rsid w:val="00602FBE"/>
    <w:rsid w:val="00615946"/>
    <w:rsid w:val="006218FE"/>
    <w:rsid w:val="00641096"/>
    <w:rsid w:val="006541C5"/>
    <w:rsid w:val="00656935"/>
    <w:rsid w:val="0067313C"/>
    <w:rsid w:val="00675A56"/>
    <w:rsid w:val="006A389D"/>
    <w:rsid w:val="006A42C5"/>
    <w:rsid w:val="006A4F31"/>
    <w:rsid w:val="006B0A3A"/>
    <w:rsid w:val="006B253F"/>
    <w:rsid w:val="006F6B5F"/>
    <w:rsid w:val="00701662"/>
    <w:rsid w:val="007033D0"/>
    <w:rsid w:val="007101EE"/>
    <w:rsid w:val="00712C40"/>
    <w:rsid w:val="00735AEA"/>
    <w:rsid w:val="007422AB"/>
    <w:rsid w:val="00743AF3"/>
    <w:rsid w:val="00760331"/>
    <w:rsid w:val="00775AA7"/>
    <w:rsid w:val="0078591E"/>
    <w:rsid w:val="007863D8"/>
    <w:rsid w:val="007D1D88"/>
    <w:rsid w:val="008106B3"/>
    <w:rsid w:val="0083593D"/>
    <w:rsid w:val="008359F3"/>
    <w:rsid w:val="00836190"/>
    <w:rsid w:val="00841380"/>
    <w:rsid w:val="00864262"/>
    <w:rsid w:val="00871CD4"/>
    <w:rsid w:val="0089119E"/>
    <w:rsid w:val="008A02F8"/>
    <w:rsid w:val="008C3D78"/>
    <w:rsid w:val="008E58F8"/>
    <w:rsid w:val="008F27D5"/>
    <w:rsid w:val="00912ECA"/>
    <w:rsid w:val="00921504"/>
    <w:rsid w:val="00925CB0"/>
    <w:rsid w:val="00926340"/>
    <w:rsid w:val="00926DB1"/>
    <w:rsid w:val="00931BAE"/>
    <w:rsid w:val="00952986"/>
    <w:rsid w:val="00962CFD"/>
    <w:rsid w:val="009A4AD4"/>
    <w:rsid w:val="009D7924"/>
    <w:rsid w:val="009E2180"/>
    <w:rsid w:val="009F2D1A"/>
    <w:rsid w:val="00A21418"/>
    <w:rsid w:val="00A52DCC"/>
    <w:rsid w:val="00A61B79"/>
    <w:rsid w:val="00A75931"/>
    <w:rsid w:val="00A86D11"/>
    <w:rsid w:val="00A91CFF"/>
    <w:rsid w:val="00AE01D4"/>
    <w:rsid w:val="00B01F48"/>
    <w:rsid w:val="00B27F3B"/>
    <w:rsid w:val="00B32C61"/>
    <w:rsid w:val="00B7506F"/>
    <w:rsid w:val="00BB1E05"/>
    <w:rsid w:val="00BB2F57"/>
    <w:rsid w:val="00BF7EC5"/>
    <w:rsid w:val="00C4644D"/>
    <w:rsid w:val="00C67CDB"/>
    <w:rsid w:val="00C76CBA"/>
    <w:rsid w:val="00C90E0C"/>
    <w:rsid w:val="00CB2D97"/>
    <w:rsid w:val="00D225FF"/>
    <w:rsid w:val="00D227FB"/>
    <w:rsid w:val="00D24F30"/>
    <w:rsid w:val="00D40114"/>
    <w:rsid w:val="00D54C37"/>
    <w:rsid w:val="00D7065F"/>
    <w:rsid w:val="00D805CB"/>
    <w:rsid w:val="00D95DFC"/>
    <w:rsid w:val="00DD2851"/>
    <w:rsid w:val="00DF7315"/>
    <w:rsid w:val="00E05D84"/>
    <w:rsid w:val="00E12144"/>
    <w:rsid w:val="00E86DE4"/>
    <w:rsid w:val="00E927E6"/>
    <w:rsid w:val="00EB1750"/>
    <w:rsid w:val="00EB3265"/>
    <w:rsid w:val="00EC23CD"/>
    <w:rsid w:val="00EF23E5"/>
    <w:rsid w:val="00F673E3"/>
    <w:rsid w:val="00F74BA9"/>
    <w:rsid w:val="00FF606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FA4FB"/>
  <w15:chartTrackingRefBased/>
  <w15:docId w15:val="{D8B9599E-EDC9-46A8-85CC-F17845C48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1A6"/>
    <w:pPr>
      <w:ind w:left="720"/>
      <w:contextualSpacing/>
    </w:pPr>
  </w:style>
  <w:style w:type="character" w:styleId="Emphasis">
    <w:name w:val="Emphasis"/>
    <w:basedOn w:val="DefaultParagraphFont"/>
    <w:uiPriority w:val="20"/>
    <w:qFormat/>
    <w:rsid w:val="00760331"/>
    <w:rPr>
      <w:i/>
      <w:iCs/>
    </w:rPr>
  </w:style>
  <w:style w:type="paragraph" w:styleId="Header">
    <w:name w:val="header"/>
    <w:basedOn w:val="Normal"/>
    <w:link w:val="HeaderChar"/>
    <w:uiPriority w:val="99"/>
    <w:unhideWhenUsed/>
    <w:rsid w:val="00371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7EE"/>
  </w:style>
  <w:style w:type="paragraph" w:styleId="Footer">
    <w:name w:val="footer"/>
    <w:basedOn w:val="Normal"/>
    <w:link w:val="FooterChar"/>
    <w:uiPriority w:val="99"/>
    <w:unhideWhenUsed/>
    <w:rsid w:val="00371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7EE"/>
  </w:style>
  <w:style w:type="character" w:styleId="Hyperlink">
    <w:name w:val="Hyperlink"/>
    <w:basedOn w:val="DefaultParagraphFont"/>
    <w:uiPriority w:val="99"/>
    <w:unhideWhenUsed/>
    <w:rsid w:val="006B253F"/>
    <w:rPr>
      <w:color w:val="0000FF" w:themeColor="hyperlink"/>
      <w:u w:val="single"/>
    </w:rPr>
  </w:style>
  <w:style w:type="character" w:styleId="UnresolvedMention">
    <w:name w:val="Unresolved Mention"/>
    <w:basedOn w:val="DefaultParagraphFont"/>
    <w:uiPriority w:val="99"/>
    <w:semiHidden/>
    <w:unhideWhenUsed/>
    <w:rsid w:val="006B25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dc.org/documents/data-and-analysis/gsh/Booklet_5.pdf" TargetMode="External"/><Relationship Id="rId3" Type="http://schemas.openxmlformats.org/officeDocument/2006/relationships/settings" Target="settings.xml"/><Relationship Id="rId7" Type="http://schemas.openxmlformats.org/officeDocument/2006/relationships/hyperlink" Target="https://www.gov.uk/government/publications/review-of-the-controlling-or-coercive-behaviour-offence/review-of-the-controlling-or-coercive-behaviour-off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1682</Words>
  <Characters>9589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Pelling</dc:creator>
  <cp:keywords/>
  <dc:description/>
  <cp:lastModifiedBy>Alex Pelling</cp:lastModifiedBy>
  <cp:revision>2</cp:revision>
  <dcterms:created xsi:type="dcterms:W3CDTF">2021-11-01T19:41:00Z</dcterms:created>
  <dcterms:modified xsi:type="dcterms:W3CDTF">2021-11-01T19:41:00Z</dcterms:modified>
</cp:coreProperties>
</file>