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14:paraId="784DBA67" w14:textId="77777777" w:rsidTr="00305EE4">
        <w:tc>
          <w:tcPr>
            <w:tcW w:w="4508"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44DD291A" w:rsidR="003825FB" w:rsidRDefault="004C1553" w:rsidP="00305EE4">
            <w:pPr>
              <w:ind w:left="0" w:firstLine="0"/>
              <w:rPr>
                <w:rFonts w:asciiTheme="majorHAnsi" w:hAnsiTheme="majorHAnsi" w:cstheme="majorHAnsi"/>
                <w:szCs w:val="24"/>
              </w:rPr>
            </w:pPr>
            <w:r>
              <w:rPr>
                <w:rFonts w:asciiTheme="majorHAnsi" w:hAnsiTheme="majorHAnsi" w:cstheme="majorHAnsi"/>
                <w:szCs w:val="24"/>
              </w:rPr>
              <w:t>Kerry O’Brien</w:t>
            </w:r>
          </w:p>
        </w:tc>
      </w:tr>
      <w:tr w:rsidR="003825FB" w14:paraId="3413750C" w14:textId="77777777" w:rsidTr="00305EE4">
        <w:tc>
          <w:tcPr>
            <w:tcW w:w="4508" w:type="dxa"/>
          </w:tcPr>
          <w:p w14:paraId="58F4F448"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324F0039" w:rsidR="003825FB" w:rsidRDefault="004C1553" w:rsidP="00305EE4">
            <w:pPr>
              <w:ind w:left="0" w:firstLine="0"/>
              <w:rPr>
                <w:rFonts w:asciiTheme="majorHAnsi" w:hAnsiTheme="majorHAnsi" w:cstheme="majorHAnsi"/>
                <w:szCs w:val="24"/>
              </w:rPr>
            </w:pPr>
            <w:r>
              <w:rPr>
                <w:rFonts w:asciiTheme="majorHAnsi" w:hAnsiTheme="majorHAnsi" w:cstheme="majorHAnsi"/>
                <w:szCs w:val="24"/>
              </w:rPr>
              <w:t>1200244</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C1D624F" w14:textId="77777777" w:rsidR="00F42B37" w:rsidRDefault="00A37DAE" w:rsidP="00F42B37">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be met upon successful completion. </w:t>
      </w:r>
    </w:p>
    <w:p w14:paraId="21D2D873" w14:textId="25E84EA2" w:rsidR="0069766E" w:rsidRPr="00F42B37" w:rsidRDefault="00117534" w:rsidP="00F42B37">
      <w:pPr>
        <w:ind w:left="45" w:firstLine="0"/>
        <w:rPr>
          <w:rFonts w:asciiTheme="majorHAnsi" w:hAnsiTheme="majorHAnsi" w:cstheme="majorHAnsi"/>
          <w:b/>
          <w:bCs/>
          <w:sz w:val="28"/>
          <w:szCs w:val="28"/>
        </w:rPr>
      </w:pPr>
      <w:r w:rsidRPr="0069766E">
        <w:rPr>
          <w:rFonts w:asciiTheme="minorHAnsi" w:hAnsiTheme="minorHAnsi" w:cstheme="minorHAnsi"/>
          <w:b/>
          <w:bCs/>
          <w:sz w:val="32"/>
          <w:szCs w:val="32"/>
        </w:rPr>
        <w:lastRenderedPageBreak/>
        <w:t>Case Study</w:t>
      </w:r>
    </w:p>
    <w:p w14:paraId="19EDFCE7" w14:textId="4C403862" w:rsidR="00117534" w:rsidRDefault="00DE680A" w:rsidP="00F42B37">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14:paraId="7B37B531" w14:textId="77777777" w:rsidTr="0069766E">
        <w:tc>
          <w:tcPr>
            <w:tcW w:w="10490" w:type="dxa"/>
          </w:tcPr>
          <w:p w14:paraId="02BB8C92" w14:textId="1F74D29C" w:rsidR="00117534" w:rsidRDefault="0069766E" w:rsidP="003825FB">
            <w:pPr>
              <w:ind w:left="0" w:firstLine="0"/>
              <w:rPr>
                <w:rFonts w:asciiTheme="minorHAnsi" w:hAnsiTheme="minorHAnsi" w:cstheme="minorHAnsi"/>
                <w:b/>
                <w:bCs/>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60288" behindDoc="0" locked="0" layoutInCell="1" allowOverlap="1" wp14:anchorId="5E03C30C" wp14:editId="0C6CAD9F">
                      <wp:simplePos x="0" y="0"/>
                      <wp:positionH relativeFrom="column">
                        <wp:posOffset>4077970</wp:posOffset>
                      </wp:positionH>
                      <wp:positionV relativeFrom="paragraph">
                        <wp:posOffset>80010</wp:posOffset>
                      </wp:positionV>
                      <wp:extent cx="2360930" cy="153670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13FFC3B3" w14:textId="5D9E7673" w:rsidR="0069766E" w:rsidRPr="0069766E" w:rsidRDefault="00267E26">
                                  <w:pPr>
                                    <w:rPr>
                                      <w:rFonts w:asciiTheme="majorHAnsi" w:hAnsiTheme="majorHAnsi"/>
                                    </w:rPr>
                                  </w:pPr>
                                  <w:r>
                                    <w:rPr>
                                      <w:noProof/>
                                    </w:rPr>
                                    <w:drawing>
                                      <wp:inline distT="0" distB="0" distL="0" distR="0" wp14:anchorId="749148E6" wp14:editId="5EA15AE7">
                                        <wp:extent cx="2646484" cy="1447633"/>
                                        <wp:effectExtent l="0" t="0" r="0" b="635"/>
                                        <wp:docPr id="1673977369" name="Picture 2" descr="67-Year-Old Andie MacDowell Made a Strong Case for Softe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7-Year-Old Andie MacDowell Made a Strong Case for Softening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4031" cy="145723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1pt;margin-top:6.3pt;width:185.9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">
                      <v:textbox>
                        <w:txbxContent>
                          <w:p w14:paraId="13FFC3B3" w14:textId="5D9E7673" w:rsidR="0069766E" w:rsidRPr="0069766E" w:rsidRDefault="00267E26">
                            <w:pPr>
                              <w:rPr>
                                <w:rFonts w:asciiTheme="majorHAnsi" w:hAnsiTheme="majorHAnsi"/>
                              </w:rPr>
                            </w:pPr>
                            <w:r>
                              <w:rPr>
                                <w:noProof/>
                              </w:rPr>
                              <w:drawing>
                                <wp:inline distT="0" distB="0" distL="0" distR="0" wp14:anchorId="749148E6" wp14:editId="5EA15AE7">
                                  <wp:extent cx="2646484" cy="1447633"/>
                                  <wp:effectExtent l="0" t="0" r="0" b="635"/>
                                  <wp:docPr id="1673977369" name="Picture 2" descr="67-Year-Old Andie MacDowell Made a Strong Case for Softe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7-Year-Old Andie MacDowell Made a Strong Case for Softening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64031" cy="1457231"/>
                                          </a:xfrm>
                                          <a:prstGeom prst="rect">
                                            <a:avLst/>
                                          </a:prstGeom>
                                          <a:noFill/>
                                          <a:ln>
                                            <a:noFill/>
                                          </a:ln>
                                        </pic:spPr>
                                      </pic:pic>
                                    </a:graphicData>
                                  </a:graphic>
                                </wp:inline>
                              </w:drawing>
                            </w:r>
                          </w:p>
                        </w:txbxContent>
                      </v:textbox>
                      <w10:wrap type="square"/>
                    </v:shape>
                  </w:pict>
                </mc:Fallback>
              </mc:AlternateContent>
            </w:r>
          </w:p>
          <w:p w14:paraId="5A91FA1F" w14:textId="38CFD6B1" w:rsidR="00117534" w:rsidRPr="00A24F81" w:rsidRDefault="0069766E" w:rsidP="003825FB">
            <w:pPr>
              <w:ind w:left="0" w:firstLine="0"/>
              <w:rPr>
                <w:rFonts w:asciiTheme="minorHAnsi" w:hAnsiTheme="minorHAnsi" w:cstheme="minorHAnsi"/>
                <w:szCs w:val="24"/>
              </w:rPr>
            </w:pPr>
            <w:r>
              <w:rPr>
                <w:rFonts w:asciiTheme="minorHAnsi" w:hAnsiTheme="minorHAnsi" w:cstheme="minorHAnsi"/>
                <w:b/>
                <w:bCs/>
                <w:szCs w:val="24"/>
              </w:rPr>
              <w:t xml:space="preserve">Name: </w:t>
            </w:r>
            <w:r w:rsidR="00A24F81">
              <w:rPr>
                <w:rFonts w:asciiTheme="minorHAnsi" w:hAnsiTheme="minorHAnsi" w:cstheme="minorHAnsi"/>
                <w:szCs w:val="24"/>
              </w:rPr>
              <w:t>Margaret Masterman</w:t>
            </w:r>
          </w:p>
          <w:p w14:paraId="512769A5" w14:textId="77777777" w:rsidR="0069766E" w:rsidRDefault="0069766E" w:rsidP="003825FB">
            <w:pPr>
              <w:ind w:left="0" w:firstLine="0"/>
              <w:rPr>
                <w:rFonts w:asciiTheme="minorHAnsi" w:hAnsiTheme="minorHAnsi" w:cstheme="minorHAnsi"/>
                <w:b/>
                <w:bCs/>
                <w:szCs w:val="24"/>
              </w:rPr>
            </w:pPr>
          </w:p>
          <w:p w14:paraId="316E72DD" w14:textId="11F75A3A" w:rsidR="0069766E" w:rsidRPr="00A24F81" w:rsidRDefault="0069766E" w:rsidP="003825FB">
            <w:pPr>
              <w:ind w:left="0" w:firstLine="0"/>
              <w:rPr>
                <w:rFonts w:asciiTheme="minorHAnsi" w:hAnsiTheme="minorHAnsi" w:cstheme="minorHAnsi"/>
                <w:szCs w:val="24"/>
              </w:rPr>
            </w:pPr>
            <w:r>
              <w:rPr>
                <w:rFonts w:asciiTheme="minorHAnsi" w:hAnsiTheme="minorHAnsi" w:cstheme="minorHAnsi"/>
                <w:b/>
                <w:bCs/>
                <w:szCs w:val="24"/>
              </w:rPr>
              <w:t xml:space="preserve">Date of birth: </w:t>
            </w:r>
            <w:r w:rsidR="00A24F81">
              <w:rPr>
                <w:rFonts w:asciiTheme="minorHAnsi" w:hAnsiTheme="minorHAnsi" w:cstheme="minorHAnsi"/>
                <w:szCs w:val="24"/>
              </w:rPr>
              <w:t>12</w:t>
            </w:r>
            <w:r w:rsidR="00A24F81" w:rsidRPr="00A24F81">
              <w:rPr>
                <w:rFonts w:asciiTheme="minorHAnsi" w:hAnsiTheme="minorHAnsi" w:cstheme="minorHAnsi"/>
                <w:szCs w:val="24"/>
                <w:vertAlign w:val="superscript"/>
              </w:rPr>
              <w:t>th</w:t>
            </w:r>
            <w:r w:rsidR="00A24F81">
              <w:rPr>
                <w:rFonts w:asciiTheme="minorHAnsi" w:hAnsiTheme="minorHAnsi" w:cstheme="minorHAnsi"/>
                <w:szCs w:val="24"/>
              </w:rPr>
              <w:t xml:space="preserve"> May 1956 (67)</w:t>
            </w:r>
          </w:p>
          <w:p w14:paraId="36865AE2" w14:textId="77777777" w:rsidR="0069766E" w:rsidRDefault="0069766E" w:rsidP="003825FB">
            <w:pPr>
              <w:ind w:left="0" w:firstLine="0"/>
              <w:rPr>
                <w:rFonts w:asciiTheme="minorHAnsi" w:hAnsiTheme="minorHAnsi" w:cstheme="minorHAnsi"/>
                <w:b/>
                <w:bCs/>
                <w:szCs w:val="24"/>
              </w:rPr>
            </w:pPr>
          </w:p>
          <w:p w14:paraId="146954CD" w14:textId="77777777" w:rsidR="0069766E" w:rsidRDefault="0069766E" w:rsidP="003825FB">
            <w:pPr>
              <w:ind w:left="0" w:firstLine="0"/>
              <w:rPr>
                <w:rFonts w:asciiTheme="minorHAnsi" w:hAnsiTheme="minorHAnsi" w:cstheme="minorHAnsi"/>
                <w:b/>
                <w:bCs/>
                <w:szCs w:val="24"/>
              </w:rPr>
            </w:pPr>
          </w:p>
          <w:p w14:paraId="6447AFA7" w14:textId="77777777" w:rsidR="0069766E" w:rsidRDefault="0069766E" w:rsidP="003825FB">
            <w:pPr>
              <w:ind w:left="0" w:firstLine="0"/>
              <w:rPr>
                <w:rFonts w:asciiTheme="minorHAnsi" w:hAnsiTheme="minorHAnsi" w:cstheme="minorHAnsi"/>
                <w:b/>
                <w:bCs/>
                <w:szCs w:val="24"/>
              </w:rPr>
            </w:pPr>
          </w:p>
          <w:p w14:paraId="71AACCB6" w14:textId="0F7E6953" w:rsidR="003177C9" w:rsidRDefault="003177C9" w:rsidP="008F6675">
            <w:pPr>
              <w:spacing w:line="360" w:lineRule="auto"/>
              <w:ind w:left="0" w:firstLine="0"/>
              <w:rPr>
                <w:rFonts w:asciiTheme="minorHAnsi" w:hAnsiTheme="minorHAnsi" w:cstheme="minorHAnsi"/>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r w:rsidR="00A24F81">
              <w:rPr>
                <w:rFonts w:asciiTheme="minorHAnsi" w:hAnsiTheme="minorHAnsi" w:cstheme="minorHAnsi"/>
                <w:szCs w:val="24"/>
              </w:rPr>
              <w:t>Marg</w:t>
            </w:r>
            <w:r w:rsidR="00867E6A">
              <w:rPr>
                <w:rFonts w:asciiTheme="minorHAnsi" w:hAnsiTheme="minorHAnsi" w:cstheme="minorHAnsi"/>
                <w:szCs w:val="24"/>
              </w:rPr>
              <w:t>aret is currently undergoing adjuvant chemotherapy for stage 3 triple negative breast cancer.  She was admitted urgently following a three-day history of nausea and vomiting, leading to dehydration and acute kidney injury (AKI).  Physically she present</w:t>
            </w:r>
            <w:r w:rsidR="00230E1D">
              <w:rPr>
                <w:rFonts w:asciiTheme="minorHAnsi" w:hAnsiTheme="minorHAnsi" w:cstheme="minorHAnsi"/>
                <w:szCs w:val="24"/>
              </w:rPr>
              <w:t>s</w:t>
            </w:r>
            <w:r w:rsidR="00867E6A">
              <w:rPr>
                <w:rFonts w:asciiTheme="minorHAnsi" w:hAnsiTheme="minorHAnsi" w:cstheme="minorHAnsi"/>
                <w:szCs w:val="24"/>
              </w:rPr>
              <w:t xml:space="preserve"> as frail and lethargic with </w:t>
            </w:r>
            <w:r w:rsidR="00095F74">
              <w:rPr>
                <w:rFonts w:asciiTheme="minorHAnsi" w:hAnsiTheme="minorHAnsi" w:cstheme="minorHAnsi"/>
                <w:szCs w:val="24"/>
              </w:rPr>
              <w:t>poor skin and a coated tongue due to oral thrush.  Her blood results show electrolyte imbalances, specifically low potassium and magnesium which are contributing to her physical weakness and palpitations.</w:t>
            </w:r>
            <w:r w:rsidR="00767AC5">
              <w:rPr>
                <w:rFonts w:asciiTheme="minorHAnsi" w:hAnsiTheme="minorHAnsi" w:cstheme="minorHAnsi"/>
                <w:szCs w:val="24"/>
              </w:rPr>
              <w:t xml:space="preserve">  Patient has experienced weight loss due to reduce oral intake.</w:t>
            </w:r>
          </w:p>
          <w:p w14:paraId="51FEDEA7" w14:textId="77777777" w:rsidR="008F6675" w:rsidRPr="008F6675" w:rsidRDefault="008F6675" w:rsidP="008F6675">
            <w:pPr>
              <w:spacing w:line="360" w:lineRule="auto"/>
              <w:ind w:left="0" w:firstLine="0"/>
              <w:rPr>
                <w:rFonts w:asciiTheme="minorHAnsi" w:hAnsiTheme="minorHAnsi" w:cstheme="minorHAnsi"/>
                <w:szCs w:val="24"/>
              </w:rPr>
            </w:pPr>
          </w:p>
          <w:p w14:paraId="41B031E8" w14:textId="02D69ED2" w:rsidR="003177C9" w:rsidRPr="00767AC5" w:rsidRDefault="003177C9" w:rsidP="008F6675">
            <w:pPr>
              <w:spacing w:line="360" w:lineRule="auto"/>
              <w:ind w:left="0" w:firstLine="0"/>
              <w:rPr>
                <w:rFonts w:asciiTheme="minorHAnsi" w:hAnsiTheme="minorHAnsi" w:cstheme="minorHAnsi"/>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r w:rsidR="00767AC5">
              <w:rPr>
                <w:rFonts w:asciiTheme="minorHAnsi" w:hAnsiTheme="minorHAnsi" w:cstheme="minorHAnsi"/>
                <w:szCs w:val="24"/>
              </w:rPr>
              <w:t>Margaret is ex</w:t>
            </w:r>
            <w:r w:rsidR="0061758B">
              <w:rPr>
                <w:rFonts w:asciiTheme="minorHAnsi" w:hAnsiTheme="minorHAnsi" w:cstheme="minorHAnsi"/>
                <w:szCs w:val="24"/>
              </w:rPr>
              <w:t xml:space="preserve">periencing high levels of health-related anxiety and ‘chemo brain’ (cognitive impairment), making it difficult for her to retain information about her care.  She did express </w:t>
            </w:r>
            <w:r w:rsidR="00230E1D">
              <w:rPr>
                <w:rFonts w:asciiTheme="minorHAnsi" w:hAnsiTheme="minorHAnsi" w:cstheme="minorHAnsi"/>
                <w:szCs w:val="24"/>
              </w:rPr>
              <w:t xml:space="preserve">a </w:t>
            </w:r>
            <w:r w:rsidR="0061758B">
              <w:rPr>
                <w:rFonts w:asciiTheme="minorHAnsi" w:hAnsiTheme="minorHAnsi" w:cstheme="minorHAnsi"/>
                <w:szCs w:val="24"/>
              </w:rPr>
              <w:t>strong ‘fighting spirit’ but is currently overwhelmed by a sense of loss of control.  She reports feeling ‘betrayed’ by her body and is terrified that this hospitalisation could mean her cancer is progressing</w:t>
            </w:r>
            <w:r w:rsidR="008F6675">
              <w:rPr>
                <w:rFonts w:asciiTheme="minorHAnsi" w:hAnsiTheme="minorHAnsi" w:cstheme="minorHAnsi"/>
                <w:szCs w:val="24"/>
              </w:rPr>
              <w:t xml:space="preserve">, despite clinical evidence demonstrating the opposite.  There is evidence of anticipatory nausea, where even the smell of the hospital ward triggers a gag reflex, indicating a conditioned psychological response to her treatment environment.  </w:t>
            </w:r>
          </w:p>
          <w:p w14:paraId="795CDDC8" w14:textId="77777777" w:rsidR="003177C9" w:rsidRDefault="003177C9" w:rsidP="008F6675">
            <w:pPr>
              <w:spacing w:line="360" w:lineRule="auto"/>
              <w:ind w:left="0" w:firstLine="0"/>
              <w:rPr>
                <w:rFonts w:asciiTheme="minorHAnsi" w:hAnsiTheme="minorHAnsi" w:cstheme="minorHAnsi"/>
                <w:b/>
                <w:bCs/>
                <w:szCs w:val="24"/>
              </w:rPr>
            </w:pPr>
          </w:p>
          <w:p w14:paraId="60D58AB9" w14:textId="68C3EC49" w:rsidR="00117534" w:rsidRPr="008F6675" w:rsidRDefault="0069766E" w:rsidP="008F6675">
            <w:pPr>
              <w:spacing w:line="360" w:lineRule="auto"/>
              <w:ind w:left="0" w:firstLine="0"/>
              <w:rPr>
                <w:rFonts w:asciiTheme="minorHAnsi" w:hAnsiTheme="minorHAnsi" w:cstheme="minorHAnsi"/>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r w:rsidR="008F6675">
              <w:rPr>
                <w:rFonts w:asciiTheme="minorHAnsi" w:hAnsiTheme="minorHAnsi" w:cstheme="minorHAnsi"/>
                <w:szCs w:val="24"/>
              </w:rPr>
              <w:t xml:space="preserve">Margaret lives in a rural area with her husband David, who provides emotional support to her.  Maragret is a retired primary school teacher and remains active participant in her church.  Maragaret has a strong social network, however, did make the decision to keep her diagnosis to a select few to avoid being treated as the cancer patient.  This decision of self-imposed isolation has reduced the practical support such as support with transport to get to hospital appointments or meal support.  This has placed a burden on her husband (who doesn’t drive) and increasing her feelings of loneliness during hospital stays such as this one. </w:t>
            </w:r>
            <w:r w:rsidR="006A3750">
              <w:rPr>
                <w:rFonts w:asciiTheme="minorHAnsi" w:hAnsiTheme="minorHAnsi" w:cstheme="minorHAnsi"/>
                <w:szCs w:val="24"/>
              </w:rPr>
              <w:t xml:space="preserve"> </w:t>
            </w:r>
          </w:p>
        </w:tc>
      </w:tr>
    </w:tbl>
    <w:p w14:paraId="3650729A" w14:textId="77777777" w:rsidR="00DE680A" w:rsidRDefault="00DE680A" w:rsidP="00F42B37">
      <w:pPr>
        <w:ind w:left="0" w:firstLine="0"/>
        <w:rPr>
          <w:rFonts w:asciiTheme="minorHAnsi" w:hAnsiTheme="minorHAnsi" w:cstheme="minorHAnsi"/>
          <w:b/>
          <w:bCs/>
          <w:szCs w:val="24"/>
        </w:rPr>
      </w:pPr>
    </w:p>
    <w:p w14:paraId="77BD41DE" w14:textId="2255E322" w:rsidR="003825FB" w:rsidRPr="00062104" w:rsidRDefault="003825FB" w:rsidP="00A37DAE">
      <w:pPr>
        <w:rPr>
          <w:rFonts w:asciiTheme="minorHAnsi" w:hAnsiTheme="minorHAnsi" w:cstheme="minorHAnsi"/>
          <w:b/>
          <w:bCs/>
          <w:szCs w:val="24"/>
        </w:rPr>
      </w:pPr>
      <w:r w:rsidRPr="00062104">
        <w:rPr>
          <w:rFonts w:asciiTheme="minorHAnsi" w:hAnsiTheme="minorHAnsi" w:cstheme="minorHAnsi"/>
          <w:b/>
          <w:bCs/>
          <w:szCs w:val="24"/>
        </w:rPr>
        <w:t xml:space="preserve">Task One: </w:t>
      </w:r>
      <w:r w:rsidR="0069766E" w:rsidRPr="00117534">
        <w:rPr>
          <w:rFonts w:asciiTheme="majorHAnsi" w:hAnsiTheme="majorHAnsi" w:cstheme="majorHAnsi"/>
          <w:color w:val="auto"/>
          <w:szCs w:val="24"/>
        </w:rPr>
        <w:t>Understand the complexity of therapeutic relationships</w:t>
      </w:r>
      <w:r w:rsidR="00B92C06">
        <w:rPr>
          <w:rFonts w:asciiTheme="majorHAnsi" w:hAnsiTheme="majorHAnsi" w:cstheme="majorHAnsi"/>
          <w:color w:val="auto"/>
          <w:szCs w:val="24"/>
        </w:rPr>
        <w:t xml:space="preserve"> (minimum of </w:t>
      </w:r>
      <w:r w:rsidR="00B92C06" w:rsidRPr="00B92C06">
        <w:rPr>
          <w:rFonts w:asciiTheme="majorHAnsi" w:hAnsiTheme="majorHAnsi" w:cstheme="majorHAnsi"/>
          <w:color w:val="auto"/>
          <w:szCs w:val="24"/>
        </w:rPr>
        <w:t>one citation</w:t>
      </w:r>
      <w:r w:rsidR="00B92C06">
        <w:rPr>
          <w:rFonts w:asciiTheme="majorHAnsi" w:hAnsiTheme="majorHAnsi" w:cstheme="majorHAnsi"/>
          <w:color w:val="auto"/>
          <w:szCs w:val="24"/>
        </w:rPr>
        <w:t xml:space="preserve"> within this task)</w:t>
      </w:r>
      <w:r w:rsidR="0069766E" w:rsidRPr="00117534">
        <w:rPr>
          <w:rFonts w:asciiTheme="majorHAnsi" w:hAnsiTheme="majorHAnsi" w:cstheme="majorHAnsi"/>
          <w:color w:val="auto"/>
          <w:szCs w:val="24"/>
        </w:rPr>
        <w:t>.</w:t>
      </w:r>
      <w:r w:rsidR="00A37DAE">
        <w:rPr>
          <w:rFonts w:asciiTheme="majorHAnsi" w:hAnsiTheme="majorHAnsi" w:cstheme="majorHAnsi"/>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1128624C" w14:textId="77777777" w:rsidTr="00305EE4">
        <w:tc>
          <w:tcPr>
            <w:tcW w:w="9016" w:type="dxa"/>
          </w:tcPr>
          <w:p w14:paraId="3294CA79" w14:textId="3D892486" w:rsidR="003825FB" w:rsidRPr="00062104" w:rsidRDefault="0069766E" w:rsidP="003825FB">
            <w:pPr>
              <w:pStyle w:val="ListParagraph"/>
              <w:numPr>
                <w:ilvl w:val="1"/>
                <w:numId w:val="1"/>
              </w:numPr>
              <w:rPr>
                <w:rFonts w:asciiTheme="majorHAnsi" w:hAnsiTheme="majorHAnsi" w:cstheme="majorHAnsi"/>
                <w:szCs w:val="24"/>
              </w:rPr>
            </w:pPr>
            <w:r w:rsidRPr="003177C9">
              <w:rPr>
                <w:rFonts w:asciiTheme="majorHAnsi" w:hAnsiTheme="majorHAnsi" w:cstheme="majorHAnsi"/>
                <w:b/>
                <w:bCs/>
                <w:szCs w:val="24"/>
              </w:rPr>
              <w:t>Explain</w:t>
            </w:r>
            <w:r w:rsidRPr="0069766E">
              <w:rPr>
                <w:rFonts w:asciiTheme="majorHAnsi" w:hAnsiTheme="majorHAnsi" w:cstheme="majorHAnsi"/>
                <w:szCs w:val="24"/>
              </w:rPr>
              <w:t xml:space="preserve"> </w:t>
            </w:r>
            <w:r w:rsidR="005E569B">
              <w:rPr>
                <w:rFonts w:asciiTheme="majorHAnsi" w:hAnsiTheme="majorHAnsi" w:cstheme="majorHAnsi"/>
                <w:szCs w:val="24"/>
              </w:rPr>
              <w:t xml:space="preserve">the </w:t>
            </w:r>
            <w:r>
              <w:rPr>
                <w:rFonts w:asciiTheme="majorHAnsi" w:hAnsiTheme="majorHAnsi" w:cstheme="majorHAnsi"/>
                <w:szCs w:val="24"/>
              </w:rPr>
              <w:t xml:space="preserve">various </w:t>
            </w:r>
            <w:r w:rsidRPr="0069766E">
              <w:rPr>
                <w:rFonts w:asciiTheme="majorHAnsi" w:hAnsiTheme="majorHAnsi" w:cstheme="majorHAnsi"/>
                <w:szCs w:val="24"/>
              </w:rPr>
              <w:t>components of a therapeutic relationship</w:t>
            </w:r>
            <w:r w:rsidR="00A37DAE">
              <w:rPr>
                <w:rFonts w:asciiTheme="majorHAnsi" w:hAnsiTheme="majorHAnsi" w:cstheme="majorHAnsi"/>
                <w:szCs w:val="24"/>
              </w:rPr>
              <w:t xml:space="preserve"> (1.1). </w:t>
            </w:r>
          </w:p>
        </w:tc>
      </w:tr>
      <w:tr w:rsidR="003825FB" w:rsidRPr="0003056D" w14:paraId="4D43BD97" w14:textId="77777777" w:rsidTr="00305EE4">
        <w:tc>
          <w:tcPr>
            <w:tcW w:w="9016" w:type="dxa"/>
          </w:tcPr>
          <w:p w14:paraId="349B85DE" w14:textId="6767C736" w:rsidR="00CE28A1" w:rsidRPr="0003056D" w:rsidRDefault="00CE28A1" w:rsidP="00CE28A1">
            <w:pPr>
              <w:spacing w:line="360" w:lineRule="auto"/>
              <w:ind w:left="0" w:firstLine="0"/>
              <w:rPr>
                <w:rFonts w:asciiTheme="minorHAnsi" w:hAnsiTheme="minorHAnsi" w:cs="Calibri"/>
                <w:szCs w:val="24"/>
                <w:lang w:eastAsia="zh-CN"/>
              </w:rPr>
            </w:pPr>
            <w:r w:rsidRPr="0003056D">
              <w:rPr>
                <w:rFonts w:asciiTheme="minorHAnsi" w:hAnsiTheme="minorHAnsi" w:cstheme="majorHAnsi"/>
                <w:szCs w:val="24"/>
              </w:rPr>
              <w:t xml:space="preserve">The therapeutic relationship in healthcare can encompass several interrelated components that can contribute to effective patient care and positive outcomes.  </w:t>
            </w:r>
            <w:r w:rsidR="00767B8A" w:rsidRPr="0003056D">
              <w:rPr>
                <w:rFonts w:asciiTheme="minorHAnsi" w:hAnsiTheme="minorHAnsi" w:cstheme="majorHAnsi"/>
                <w:szCs w:val="24"/>
              </w:rPr>
              <w:t xml:space="preserve">As Windover </w:t>
            </w:r>
            <w:r w:rsidR="00767B8A" w:rsidRPr="0003056D">
              <w:rPr>
                <w:rFonts w:asciiTheme="minorHAnsi" w:hAnsiTheme="minorHAnsi" w:cstheme="majorHAnsi"/>
                <w:i/>
                <w:iCs/>
                <w:szCs w:val="24"/>
              </w:rPr>
              <w:t>et al,</w:t>
            </w:r>
            <w:r w:rsidR="00767B8A" w:rsidRPr="0003056D">
              <w:rPr>
                <w:rFonts w:asciiTheme="minorHAnsi" w:hAnsiTheme="minorHAnsi" w:cstheme="majorHAnsi"/>
                <w:szCs w:val="24"/>
              </w:rPr>
              <w:t xml:space="preserve"> (2014) suggest c</w:t>
            </w:r>
            <w:r w:rsidRPr="0003056D">
              <w:rPr>
                <w:rFonts w:asciiTheme="minorHAnsi" w:hAnsiTheme="minorHAnsi" w:cstheme="majorHAnsi"/>
                <w:szCs w:val="24"/>
              </w:rPr>
              <w:t>ommunication plays a pivotal role in the therapeutic relationship, it is multifaceted and serves as a medium in which meaningful and effective connections between care providers and patients are established and maintained</w:t>
            </w:r>
            <w:r w:rsidR="00767B8A" w:rsidRPr="0003056D">
              <w:rPr>
                <w:rFonts w:asciiTheme="minorHAnsi" w:hAnsiTheme="minorHAnsi" w:cstheme="majorHAnsi"/>
                <w:szCs w:val="24"/>
              </w:rPr>
              <w:t xml:space="preserve">.  </w:t>
            </w:r>
            <w:r w:rsidR="00B57C9D" w:rsidRPr="0003056D">
              <w:rPr>
                <w:rFonts w:asciiTheme="minorHAnsi" w:hAnsiTheme="minorHAnsi" w:cstheme="majorHAnsi"/>
                <w:szCs w:val="24"/>
              </w:rPr>
              <w:t xml:space="preserve">Effective communication requires the proficiency of verbal and non-verbal cues, active listening and paraverbal sensitivity to ensure that a patient feels heard and understood amidst the routine of clinical care </w:t>
            </w:r>
            <w:r w:rsidR="008804F4" w:rsidRPr="0003056D">
              <w:rPr>
                <w:rFonts w:asciiTheme="minorHAnsi" w:hAnsiTheme="minorHAnsi" w:cstheme="majorHAnsi"/>
                <w:szCs w:val="24"/>
              </w:rPr>
              <w:t>(Shahid and Sharif, 2024; Chichirez and Purc</w:t>
            </w:r>
            <w:r w:rsidR="008804F4" w:rsidRPr="0003056D">
              <w:rPr>
                <w:rFonts w:ascii="Calibri" w:hAnsi="Calibri" w:cs="Calibri"/>
                <w:szCs w:val="24"/>
                <w:lang w:eastAsia="zh-CN"/>
              </w:rPr>
              <w:t>ǎ</w:t>
            </w:r>
            <w:r w:rsidR="008804F4" w:rsidRPr="0003056D">
              <w:rPr>
                <w:rFonts w:asciiTheme="minorHAnsi" w:hAnsiTheme="minorHAnsi" w:cs="Calibri"/>
                <w:szCs w:val="24"/>
                <w:lang w:eastAsia="zh-CN"/>
              </w:rPr>
              <w:t xml:space="preserve">rea, 2018).  </w:t>
            </w:r>
            <w:r w:rsidR="00767B8A" w:rsidRPr="0003056D">
              <w:rPr>
                <w:rFonts w:asciiTheme="minorHAnsi" w:hAnsiTheme="minorHAnsi" w:cs="Calibri"/>
                <w:szCs w:val="24"/>
                <w:lang w:eastAsia="zh-CN"/>
              </w:rPr>
              <w:t xml:space="preserve">This is supported by research conducted by Mazor </w:t>
            </w:r>
            <w:r w:rsidR="00767B8A" w:rsidRPr="0003056D">
              <w:rPr>
                <w:rFonts w:asciiTheme="minorHAnsi" w:hAnsiTheme="minorHAnsi" w:cs="Calibri"/>
                <w:i/>
                <w:iCs/>
                <w:szCs w:val="24"/>
                <w:lang w:eastAsia="zh-CN"/>
              </w:rPr>
              <w:t>et al,</w:t>
            </w:r>
            <w:r w:rsidR="00767B8A" w:rsidRPr="0003056D">
              <w:rPr>
                <w:rFonts w:asciiTheme="minorHAnsi" w:hAnsiTheme="minorHAnsi" w:cs="Calibri"/>
                <w:szCs w:val="24"/>
                <w:lang w:eastAsia="zh-CN"/>
              </w:rPr>
              <w:t xml:space="preserve"> (2013)</w:t>
            </w:r>
            <w:r w:rsidR="006578B3" w:rsidRPr="0003056D">
              <w:rPr>
                <w:rFonts w:asciiTheme="minorHAnsi" w:hAnsiTheme="minorHAnsi" w:cs="Calibri"/>
                <w:szCs w:val="24"/>
                <w:lang w:eastAsia="zh-CN"/>
              </w:rPr>
              <w:t xml:space="preserve"> and </w:t>
            </w:r>
            <w:r w:rsidR="00FA6FCE" w:rsidRPr="0003056D">
              <w:rPr>
                <w:rFonts w:asciiTheme="minorHAnsi" w:hAnsiTheme="minorHAnsi" w:cs="Calibri"/>
                <w:szCs w:val="24"/>
                <w:lang w:eastAsia="zh-CN"/>
              </w:rPr>
              <w:t>Chao, Dong, Haiyan, and Xue (2020)</w:t>
            </w:r>
            <w:r w:rsidR="00767B8A" w:rsidRPr="0003056D">
              <w:rPr>
                <w:rFonts w:asciiTheme="minorHAnsi" w:hAnsiTheme="minorHAnsi" w:cs="Calibri"/>
                <w:szCs w:val="24"/>
                <w:lang w:eastAsia="zh-CN"/>
              </w:rPr>
              <w:t xml:space="preserve"> who suggest that t</w:t>
            </w:r>
            <w:r w:rsidR="008804F4" w:rsidRPr="0003056D">
              <w:rPr>
                <w:rFonts w:asciiTheme="minorHAnsi" w:hAnsiTheme="minorHAnsi" w:cs="Calibri"/>
                <w:szCs w:val="24"/>
                <w:lang w:eastAsia="zh-CN"/>
              </w:rPr>
              <w:t xml:space="preserve">his type of communication is not merely a tool for data </w:t>
            </w:r>
            <w:r w:rsidR="00767B8A" w:rsidRPr="0003056D">
              <w:rPr>
                <w:rFonts w:asciiTheme="minorHAnsi" w:hAnsiTheme="minorHAnsi" w:cs="Calibri"/>
                <w:szCs w:val="24"/>
                <w:lang w:eastAsia="zh-CN"/>
              </w:rPr>
              <w:t>collection</w:t>
            </w:r>
            <w:r w:rsidR="008804F4" w:rsidRPr="0003056D">
              <w:rPr>
                <w:rFonts w:asciiTheme="minorHAnsi" w:hAnsiTheme="minorHAnsi" w:cs="Calibri"/>
                <w:szCs w:val="24"/>
                <w:lang w:eastAsia="zh-CN"/>
              </w:rPr>
              <w:t xml:space="preserve"> but a method of establishing a foundation between healthcare worker and </w:t>
            </w:r>
            <w:r w:rsidR="00E106C6" w:rsidRPr="0003056D">
              <w:rPr>
                <w:rFonts w:asciiTheme="minorHAnsi" w:hAnsiTheme="minorHAnsi" w:cs="Calibri"/>
                <w:szCs w:val="24"/>
                <w:lang w:eastAsia="zh-CN"/>
              </w:rPr>
              <w:t xml:space="preserve">patient of </w:t>
            </w:r>
            <w:r w:rsidR="00767B8A" w:rsidRPr="0003056D">
              <w:rPr>
                <w:rFonts w:asciiTheme="minorHAnsi" w:hAnsiTheme="minorHAnsi" w:cs="Calibri"/>
                <w:szCs w:val="24"/>
                <w:lang w:eastAsia="zh-CN"/>
              </w:rPr>
              <w:t>tr</w:t>
            </w:r>
            <w:r w:rsidR="00E106C6" w:rsidRPr="0003056D">
              <w:rPr>
                <w:rFonts w:asciiTheme="minorHAnsi" w:hAnsiTheme="minorHAnsi" w:cs="Calibri"/>
                <w:szCs w:val="24"/>
                <w:lang w:eastAsia="zh-CN"/>
              </w:rPr>
              <w:t>ust and safety which can foster an empathetic and authentic relationship where a patient feels comfortable to disclose information without fear of dismissal or embarrassment</w:t>
            </w:r>
            <w:r w:rsidR="00767B8A" w:rsidRPr="0003056D">
              <w:rPr>
                <w:rFonts w:asciiTheme="minorHAnsi" w:hAnsiTheme="minorHAnsi" w:cs="Calibri"/>
                <w:szCs w:val="24"/>
                <w:lang w:eastAsia="zh-CN"/>
              </w:rPr>
              <w:t xml:space="preserve"> and </w:t>
            </w:r>
            <w:r w:rsidR="00AC599D" w:rsidRPr="0003056D">
              <w:rPr>
                <w:rFonts w:asciiTheme="minorHAnsi" w:hAnsiTheme="minorHAnsi" w:cs="Calibri"/>
                <w:szCs w:val="24"/>
                <w:lang w:eastAsia="zh-CN"/>
              </w:rPr>
              <w:t>importantly it can help</w:t>
            </w:r>
            <w:r w:rsidR="00767B8A" w:rsidRPr="0003056D">
              <w:rPr>
                <w:rFonts w:asciiTheme="minorHAnsi" w:hAnsiTheme="minorHAnsi" w:cs="Calibri"/>
                <w:szCs w:val="24"/>
                <w:lang w:eastAsia="zh-CN"/>
              </w:rPr>
              <w:t xml:space="preserve"> facilitate shared decision making</w:t>
            </w:r>
            <w:r w:rsidR="00FA6FCE" w:rsidRPr="0003056D">
              <w:rPr>
                <w:rFonts w:asciiTheme="minorHAnsi" w:hAnsiTheme="minorHAnsi" w:cs="Calibri"/>
                <w:szCs w:val="24"/>
                <w:lang w:eastAsia="zh-CN"/>
              </w:rPr>
              <w:t xml:space="preserve"> in relation to treatment and treatment options</w:t>
            </w:r>
            <w:r w:rsidR="00767B8A" w:rsidRPr="0003056D">
              <w:rPr>
                <w:rFonts w:asciiTheme="minorHAnsi" w:hAnsiTheme="minorHAnsi" w:cs="Calibri"/>
                <w:szCs w:val="24"/>
                <w:lang w:eastAsia="zh-CN"/>
              </w:rPr>
              <w:t xml:space="preserve">. </w:t>
            </w:r>
          </w:p>
          <w:p w14:paraId="19F21855" w14:textId="06819696" w:rsidR="00FA6FCE" w:rsidRPr="0003056D" w:rsidRDefault="00FA6FCE" w:rsidP="00CE28A1">
            <w:pPr>
              <w:spacing w:line="360" w:lineRule="auto"/>
              <w:ind w:left="0" w:firstLine="0"/>
              <w:rPr>
                <w:rFonts w:asciiTheme="minorHAnsi" w:hAnsiTheme="minorHAnsi" w:cs="Calibri"/>
                <w:szCs w:val="24"/>
                <w:lang w:eastAsia="zh-CN"/>
              </w:rPr>
            </w:pPr>
            <w:r w:rsidRPr="0003056D">
              <w:rPr>
                <w:rFonts w:asciiTheme="minorHAnsi" w:hAnsiTheme="minorHAnsi" w:cs="Calibri"/>
                <w:szCs w:val="24"/>
                <w:lang w:eastAsia="zh-CN"/>
              </w:rPr>
              <w:t xml:space="preserve">Furthermore, the complexity of this relationship is strengthened </w:t>
            </w:r>
            <w:r w:rsidR="005B3E38" w:rsidRPr="0003056D">
              <w:rPr>
                <w:rFonts w:asciiTheme="minorHAnsi" w:hAnsiTheme="minorHAnsi" w:cs="Calibri"/>
                <w:szCs w:val="24"/>
                <w:lang w:eastAsia="zh-CN"/>
              </w:rPr>
              <w:t>by cultural awareness, research conducted by Nikolova and Gotani, (2025) demonstrates the importance of healthcare workers having more cultural competence enhances patient engagement and promotes trust which strengthens the therapeutic relationship.</w:t>
            </w:r>
            <w:r w:rsidR="00BA1F5F" w:rsidRPr="0003056D">
              <w:rPr>
                <w:rFonts w:asciiTheme="minorHAnsi" w:hAnsiTheme="minorHAnsi" w:cs="Calibri"/>
                <w:szCs w:val="24"/>
                <w:lang w:eastAsia="zh-CN"/>
              </w:rPr>
              <w:t xml:space="preserve">  In any healthcare interaction where a patient may feel disempowered by their illness, the clinician must actively facilitate shared decision making and collaboration</w:t>
            </w:r>
            <w:r w:rsidR="002073A3" w:rsidRPr="0003056D">
              <w:rPr>
                <w:rFonts w:asciiTheme="minorHAnsi" w:hAnsiTheme="minorHAnsi" w:cs="Calibri"/>
                <w:szCs w:val="24"/>
                <w:lang w:eastAsia="zh-CN"/>
              </w:rPr>
              <w:t xml:space="preserve"> in relation to patients care and treatment (Whitney </w:t>
            </w:r>
            <w:r w:rsidR="002073A3" w:rsidRPr="0003056D">
              <w:rPr>
                <w:rFonts w:asciiTheme="minorHAnsi" w:hAnsiTheme="minorHAnsi" w:cs="Calibri"/>
                <w:i/>
                <w:iCs/>
                <w:szCs w:val="24"/>
                <w:lang w:eastAsia="zh-CN"/>
              </w:rPr>
              <w:t>et al</w:t>
            </w:r>
            <w:r w:rsidR="002073A3" w:rsidRPr="0003056D">
              <w:rPr>
                <w:rFonts w:asciiTheme="minorHAnsi" w:hAnsiTheme="minorHAnsi" w:cs="Calibri"/>
                <w:szCs w:val="24"/>
                <w:lang w:eastAsia="zh-CN"/>
              </w:rPr>
              <w:t>, 2021), this also allows for patient autonomy where they are jointly involved in decisions and patients values and preferences are included (Sandman and Munthe, 2009).</w:t>
            </w:r>
            <w:r w:rsidR="007E4F6A" w:rsidRPr="0003056D">
              <w:rPr>
                <w:rFonts w:asciiTheme="minorHAnsi" w:hAnsiTheme="minorHAnsi" w:cs="Calibri"/>
                <w:szCs w:val="24"/>
                <w:lang w:eastAsia="zh-CN"/>
              </w:rPr>
              <w:t xml:space="preserve">   By remaining non-judgemental and fostering motivation the healthcare worker can support the patient to navigate challenges of recovery or disease management.  </w:t>
            </w:r>
          </w:p>
          <w:p w14:paraId="60DE5A86" w14:textId="33BECF7A" w:rsidR="00EE3085" w:rsidRPr="0003056D" w:rsidRDefault="007E4F6A" w:rsidP="006A3750">
            <w:pPr>
              <w:spacing w:line="360" w:lineRule="auto"/>
              <w:ind w:left="0" w:firstLine="0"/>
              <w:rPr>
                <w:rFonts w:asciiTheme="minorHAnsi" w:hAnsiTheme="minorHAnsi" w:cs="Calibri"/>
                <w:szCs w:val="24"/>
                <w:lang w:eastAsia="zh-CN"/>
              </w:rPr>
            </w:pPr>
            <w:r w:rsidRPr="0003056D">
              <w:rPr>
                <w:rFonts w:asciiTheme="minorHAnsi" w:hAnsiTheme="minorHAnsi" w:cs="Calibri"/>
                <w:szCs w:val="24"/>
                <w:lang w:eastAsia="zh-CN"/>
              </w:rPr>
              <w:lastRenderedPageBreak/>
              <w:t>It is import</w:t>
            </w:r>
            <w:r w:rsidR="007516EE" w:rsidRPr="0003056D">
              <w:rPr>
                <w:rFonts w:asciiTheme="minorHAnsi" w:hAnsiTheme="minorHAnsi" w:cs="Calibri"/>
                <w:szCs w:val="24"/>
                <w:lang w:eastAsia="zh-CN"/>
              </w:rPr>
              <w:t xml:space="preserve">ant to maintain professional boundaries and </w:t>
            </w:r>
            <w:r w:rsidR="00AE12A3" w:rsidRPr="0003056D">
              <w:rPr>
                <w:rFonts w:asciiTheme="minorHAnsi" w:hAnsiTheme="minorHAnsi" w:cs="Calibri"/>
                <w:szCs w:val="24"/>
                <w:lang w:eastAsia="zh-CN"/>
              </w:rPr>
              <w:t>be vigilant in not crossing boundaries, focusing on the patients’ needs rather than their own.  This can be particularly challenging in high pressure environments where systemic stressors, such as high workloads that can lead to depersonalisation</w:t>
            </w:r>
            <w:r w:rsidR="00A86C4A" w:rsidRPr="0003056D">
              <w:rPr>
                <w:rFonts w:asciiTheme="minorHAnsi" w:hAnsiTheme="minorHAnsi" w:cs="Calibri"/>
                <w:szCs w:val="24"/>
                <w:lang w:eastAsia="zh-CN"/>
              </w:rPr>
              <w:t xml:space="preserve"> </w:t>
            </w:r>
            <w:r w:rsidR="00AE12A3" w:rsidRPr="0003056D">
              <w:rPr>
                <w:rFonts w:asciiTheme="minorHAnsi" w:hAnsiTheme="minorHAnsi" w:cs="Calibri"/>
                <w:szCs w:val="24"/>
                <w:lang w:eastAsia="zh-CN"/>
              </w:rPr>
              <w:t xml:space="preserve">where a patient is viewed as a task rather than an individual, this is supported by research conducted by Adolf (2025) who identified factors such as workload, environment, ethical issues can be related to boundary challenges.  Evidence suggests that reflection </w:t>
            </w:r>
            <w:r w:rsidR="00E547C7" w:rsidRPr="0003056D">
              <w:rPr>
                <w:rFonts w:asciiTheme="minorHAnsi" w:hAnsiTheme="minorHAnsi" w:cs="Calibri"/>
                <w:szCs w:val="24"/>
                <w:lang w:eastAsia="zh-CN"/>
              </w:rPr>
              <w:t xml:space="preserve">supports healthcare workers in processing their thoughts, feelings and emotions which in turn helps them manage the emotional and psychological </w:t>
            </w:r>
            <w:r w:rsidR="006A3750" w:rsidRPr="0003056D">
              <w:rPr>
                <w:rFonts w:asciiTheme="minorHAnsi" w:hAnsiTheme="minorHAnsi" w:cs="Calibri"/>
                <w:szCs w:val="24"/>
                <w:lang w:eastAsia="zh-CN"/>
              </w:rPr>
              <w:t>demands of the role (White, Humphries and Oomens, 2024).</w:t>
            </w:r>
          </w:p>
        </w:tc>
      </w:tr>
    </w:tbl>
    <w:p w14:paraId="3ACD2DCF" w14:textId="77777777" w:rsidR="003825FB" w:rsidRPr="0003056D"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EE3085" w:rsidRPr="0003056D" w14:paraId="13CDD78C" w14:textId="77777777" w:rsidTr="00305EE4">
        <w:tc>
          <w:tcPr>
            <w:tcW w:w="9016" w:type="dxa"/>
          </w:tcPr>
          <w:p w14:paraId="572A7B6D" w14:textId="6482C80E" w:rsidR="00EE3085" w:rsidRPr="0003056D" w:rsidRDefault="00EE3085" w:rsidP="00EE3085">
            <w:pPr>
              <w:ind w:left="0" w:firstLine="0"/>
              <w:rPr>
                <w:rFonts w:asciiTheme="majorHAnsi" w:hAnsiTheme="majorHAnsi" w:cstheme="majorHAnsi"/>
                <w:szCs w:val="24"/>
              </w:rPr>
            </w:pPr>
            <w:r w:rsidRPr="0003056D">
              <w:rPr>
                <w:rFonts w:asciiTheme="majorHAnsi" w:hAnsiTheme="majorHAnsi" w:cstheme="majorHAnsi"/>
                <w:szCs w:val="24"/>
              </w:rPr>
              <w:t>1.2</w:t>
            </w:r>
            <w:r w:rsidR="00DE680A" w:rsidRPr="0003056D">
              <w:rPr>
                <w:rFonts w:asciiTheme="majorHAnsi" w:hAnsiTheme="majorHAnsi" w:cstheme="majorHAnsi"/>
                <w:szCs w:val="24"/>
              </w:rPr>
              <w:t xml:space="preserve"> Using the pen picture case study you have created above, </w:t>
            </w:r>
            <w:r w:rsidR="00DE680A" w:rsidRPr="0003056D">
              <w:rPr>
                <w:rFonts w:asciiTheme="majorHAnsi" w:hAnsiTheme="majorHAnsi" w:cstheme="majorHAnsi"/>
                <w:b/>
                <w:bCs/>
                <w:szCs w:val="24"/>
              </w:rPr>
              <w:t>e</w:t>
            </w:r>
            <w:r w:rsidRPr="0003056D">
              <w:rPr>
                <w:rFonts w:asciiTheme="majorHAnsi" w:hAnsiTheme="majorHAnsi" w:cstheme="majorHAnsi"/>
                <w:b/>
                <w:bCs/>
                <w:szCs w:val="24"/>
              </w:rPr>
              <w:t>xplain</w:t>
            </w:r>
            <w:r w:rsidRPr="0003056D">
              <w:rPr>
                <w:rFonts w:asciiTheme="majorHAnsi" w:hAnsiTheme="majorHAnsi" w:cstheme="majorHAnsi"/>
                <w:szCs w:val="24"/>
              </w:rPr>
              <w:t xml:space="preserve"> </w:t>
            </w:r>
            <w:r w:rsidR="00DE680A" w:rsidRPr="0003056D">
              <w:rPr>
                <w:rFonts w:asciiTheme="majorHAnsi" w:hAnsiTheme="majorHAnsi" w:cstheme="majorHAnsi"/>
                <w:szCs w:val="24"/>
              </w:rPr>
              <w:t xml:space="preserve">what factors you would consider when </w:t>
            </w:r>
            <w:r w:rsidRPr="0003056D">
              <w:rPr>
                <w:rFonts w:asciiTheme="majorHAnsi" w:hAnsiTheme="majorHAnsi" w:cstheme="majorHAnsi"/>
                <w:szCs w:val="24"/>
              </w:rPr>
              <w:t>select</w:t>
            </w:r>
            <w:r w:rsidR="00DE680A" w:rsidRPr="0003056D">
              <w:rPr>
                <w:rFonts w:asciiTheme="majorHAnsi" w:hAnsiTheme="majorHAnsi" w:cstheme="majorHAnsi"/>
                <w:szCs w:val="24"/>
              </w:rPr>
              <w:t>ing</w:t>
            </w:r>
            <w:r w:rsidRPr="0003056D">
              <w:rPr>
                <w:rFonts w:asciiTheme="majorHAnsi" w:hAnsiTheme="majorHAnsi" w:cstheme="majorHAnsi"/>
                <w:szCs w:val="24"/>
              </w:rPr>
              <w:t xml:space="preserve"> </w:t>
            </w:r>
            <w:r w:rsidR="005E569B" w:rsidRPr="0003056D">
              <w:rPr>
                <w:rFonts w:asciiTheme="majorHAnsi" w:hAnsiTheme="majorHAnsi" w:cstheme="majorHAnsi"/>
                <w:szCs w:val="24"/>
              </w:rPr>
              <w:t>the most</w:t>
            </w:r>
            <w:r w:rsidRPr="0003056D">
              <w:rPr>
                <w:rFonts w:asciiTheme="majorHAnsi" w:hAnsiTheme="majorHAnsi" w:cstheme="majorHAnsi"/>
                <w:szCs w:val="24"/>
              </w:rPr>
              <w:t xml:space="preserve"> effective communication method</w:t>
            </w:r>
            <w:r w:rsidR="00DE680A" w:rsidRPr="0003056D">
              <w:rPr>
                <w:rFonts w:asciiTheme="majorHAnsi" w:hAnsiTheme="majorHAnsi" w:cstheme="majorHAnsi"/>
                <w:szCs w:val="24"/>
              </w:rPr>
              <w:t>s</w:t>
            </w:r>
            <w:r w:rsidRPr="0003056D">
              <w:rPr>
                <w:rFonts w:asciiTheme="majorHAnsi" w:hAnsiTheme="majorHAnsi" w:cstheme="majorHAnsi"/>
                <w:szCs w:val="24"/>
              </w:rPr>
              <w:t xml:space="preserve"> for a therapeutic intervention </w:t>
            </w:r>
            <w:r w:rsidR="00DE680A" w:rsidRPr="0003056D">
              <w:rPr>
                <w:rFonts w:asciiTheme="majorHAnsi" w:hAnsiTheme="majorHAnsi" w:cstheme="majorHAnsi"/>
                <w:szCs w:val="24"/>
              </w:rPr>
              <w:t>for this patient (2.3).</w:t>
            </w:r>
          </w:p>
        </w:tc>
      </w:tr>
      <w:tr w:rsidR="00EE3085" w:rsidRPr="0003056D" w14:paraId="3D11A37B" w14:textId="77777777" w:rsidTr="00305EE4">
        <w:tc>
          <w:tcPr>
            <w:tcW w:w="9016" w:type="dxa"/>
          </w:tcPr>
          <w:p w14:paraId="63F2D4DE" w14:textId="5CDB52D2" w:rsidR="00EE3085" w:rsidRPr="0003056D" w:rsidRDefault="006A3750" w:rsidP="00270B47">
            <w:pPr>
              <w:spacing w:line="360" w:lineRule="auto"/>
              <w:ind w:left="0" w:firstLine="0"/>
              <w:rPr>
                <w:rFonts w:asciiTheme="majorHAnsi" w:hAnsiTheme="majorHAnsi" w:cstheme="majorHAnsi"/>
                <w:szCs w:val="24"/>
              </w:rPr>
            </w:pPr>
            <w:r w:rsidRPr="0003056D">
              <w:rPr>
                <w:rFonts w:asciiTheme="majorHAnsi" w:hAnsiTheme="majorHAnsi" w:cstheme="majorHAnsi"/>
                <w:szCs w:val="24"/>
              </w:rPr>
              <w:t>The</w:t>
            </w:r>
            <w:r w:rsidR="00D220CF" w:rsidRPr="0003056D">
              <w:rPr>
                <w:rFonts w:asciiTheme="majorHAnsi" w:hAnsiTheme="majorHAnsi" w:cstheme="majorHAnsi"/>
                <w:szCs w:val="24"/>
              </w:rPr>
              <w:t xml:space="preserve"> most</w:t>
            </w:r>
            <w:r w:rsidRPr="0003056D">
              <w:rPr>
                <w:rFonts w:asciiTheme="majorHAnsi" w:hAnsiTheme="majorHAnsi" w:cstheme="majorHAnsi"/>
                <w:szCs w:val="24"/>
              </w:rPr>
              <w:t xml:space="preserve"> </w:t>
            </w:r>
            <w:r w:rsidR="00D220CF" w:rsidRPr="0003056D">
              <w:rPr>
                <w:rFonts w:asciiTheme="majorHAnsi" w:hAnsiTheme="majorHAnsi" w:cstheme="majorHAnsi"/>
                <w:szCs w:val="24"/>
              </w:rPr>
              <w:t>pressing</w:t>
            </w:r>
            <w:r w:rsidRPr="0003056D">
              <w:rPr>
                <w:rFonts w:asciiTheme="majorHAnsi" w:hAnsiTheme="majorHAnsi" w:cstheme="majorHAnsi"/>
                <w:szCs w:val="24"/>
              </w:rPr>
              <w:t xml:space="preserve"> factor </w:t>
            </w:r>
            <w:r w:rsidR="00D220CF" w:rsidRPr="0003056D">
              <w:rPr>
                <w:rFonts w:asciiTheme="majorHAnsi" w:hAnsiTheme="majorHAnsi" w:cstheme="majorHAnsi"/>
                <w:szCs w:val="24"/>
              </w:rPr>
              <w:t xml:space="preserve">is Maragret’s metabolic and cognitive state.  With the combination of dehydration, electrolyte imbalances and </w:t>
            </w:r>
            <w:r w:rsidR="005F4504" w:rsidRPr="0003056D">
              <w:rPr>
                <w:rFonts w:asciiTheme="majorHAnsi" w:hAnsiTheme="majorHAnsi" w:cstheme="majorHAnsi"/>
                <w:szCs w:val="24"/>
              </w:rPr>
              <w:t>‘</w:t>
            </w:r>
            <w:r w:rsidR="00D220CF" w:rsidRPr="0003056D">
              <w:rPr>
                <w:rFonts w:asciiTheme="majorHAnsi" w:hAnsiTheme="majorHAnsi" w:cstheme="majorHAnsi"/>
                <w:szCs w:val="24"/>
              </w:rPr>
              <w:t>chemo brai</w:t>
            </w:r>
            <w:r w:rsidR="005F4504" w:rsidRPr="0003056D">
              <w:rPr>
                <w:rFonts w:asciiTheme="majorHAnsi" w:hAnsiTheme="majorHAnsi" w:cstheme="majorHAnsi"/>
                <w:szCs w:val="24"/>
              </w:rPr>
              <w:t xml:space="preserve">n’ </w:t>
            </w:r>
            <w:r w:rsidR="00D220CF" w:rsidRPr="0003056D">
              <w:rPr>
                <w:rFonts w:asciiTheme="majorHAnsi" w:hAnsiTheme="majorHAnsi" w:cstheme="majorHAnsi"/>
                <w:szCs w:val="24"/>
              </w:rPr>
              <w:t>her executive function is significantly impaired.  In her current condition, her ‘bandwidth’ for processing information is reduced therefore the most effective communication method is ‘information chunking’</w:t>
            </w:r>
            <w:r w:rsidR="00B076D2" w:rsidRPr="0003056D">
              <w:rPr>
                <w:rFonts w:asciiTheme="majorHAnsi" w:hAnsiTheme="majorHAnsi" w:cstheme="majorHAnsi"/>
                <w:szCs w:val="24"/>
              </w:rPr>
              <w:t xml:space="preserve"> based on the research by Asabuki, Hiritani, and Fukai, (2018) and Mishari and Ali, (2025) information chunking can help facilitate communication with patients who are cognitively impaired by breaking down complex information into smaller, manageable chunks using simple language, clear articulation and repetition which makes it easier for the brain to process and remember.</w:t>
            </w:r>
            <w:r w:rsidR="00BA149D" w:rsidRPr="0003056D">
              <w:rPr>
                <w:rFonts w:asciiTheme="majorHAnsi" w:hAnsiTheme="majorHAnsi" w:cstheme="majorHAnsi"/>
                <w:szCs w:val="24"/>
              </w:rPr>
              <w:t xml:space="preserve">  </w:t>
            </w:r>
            <w:r w:rsidR="005F4504" w:rsidRPr="0003056D">
              <w:rPr>
                <w:rFonts w:asciiTheme="majorHAnsi" w:hAnsiTheme="majorHAnsi" w:cstheme="majorHAnsi"/>
                <w:szCs w:val="24"/>
              </w:rPr>
              <w:t>One way to support this communication technique is the ‘teach back’ method asks patients to feedback in their own words; it is a way to reflect and summarise that supports patient understanding to check and reinforce information exchanged between healthcare providers and patients (</w:t>
            </w:r>
            <w:r w:rsidR="00270B47" w:rsidRPr="0003056D">
              <w:rPr>
                <w:rFonts w:asciiTheme="majorHAnsi" w:hAnsiTheme="majorHAnsi" w:cstheme="majorHAnsi"/>
                <w:szCs w:val="24"/>
              </w:rPr>
              <w:t xml:space="preserve">Brown </w:t>
            </w:r>
            <w:r w:rsidR="005F4504" w:rsidRPr="0003056D">
              <w:rPr>
                <w:rFonts w:asciiTheme="majorHAnsi" w:hAnsiTheme="majorHAnsi" w:cstheme="majorHAnsi"/>
                <w:szCs w:val="24"/>
              </w:rPr>
              <w:t xml:space="preserve">Epstein, 2023). </w:t>
            </w:r>
            <w:r w:rsidR="00270B47" w:rsidRPr="0003056D">
              <w:rPr>
                <w:rFonts w:asciiTheme="majorHAnsi" w:hAnsiTheme="majorHAnsi" w:cstheme="majorHAnsi"/>
                <w:szCs w:val="24"/>
              </w:rPr>
              <w:t xml:space="preserve">  Margaret’s anticipatory nausea and conditioned response to the hospital environment are important psychological factors.  When a patients gag reflex is triggered by sensory cues such as the smells and sights of the ward and can put a patient in a state of ‘high alert’ which can make communication more challenging.  </w:t>
            </w:r>
            <w:r w:rsidR="00843F9F" w:rsidRPr="0003056D">
              <w:rPr>
                <w:rFonts w:asciiTheme="majorHAnsi" w:hAnsiTheme="majorHAnsi" w:cstheme="majorHAnsi"/>
                <w:szCs w:val="24"/>
              </w:rPr>
              <w:t xml:space="preserve">An important tool to utilise paraverbal communication techniques, making sure to maintain a low, steady and calming tone and where possible ensuring a quiet and well-ventilated environment and adopting an open posture at eye </w:t>
            </w:r>
            <w:r w:rsidR="00843F9F" w:rsidRPr="0003056D">
              <w:rPr>
                <w:rFonts w:asciiTheme="majorHAnsi" w:hAnsiTheme="majorHAnsi" w:cstheme="majorHAnsi"/>
                <w:szCs w:val="24"/>
              </w:rPr>
              <w:lastRenderedPageBreak/>
              <w:t>level, creating a safe environment for a meaningful conversation to occur</w:t>
            </w:r>
            <w:r w:rsidR="005868B6" w:rsidRPr="0003056D">
              <w:rPr>
                <w:rFonts w:asciiTheme="majorHAnsi" w:hAnsiTheme="majorHAnsi" w:cstheme="majorHAnsi"/>
                <w:szCs w:val="24"/>
              </w:rPr>
              <w:t>.</w:t>
            </w:r>
            <w:r w:rsidR="00A85494" w:rsidRPr="0003056D">
              <w:rPr>
                <w:rFonts w:asciiTheme="majorHAnsi" w:hAnsiTheme="majorHAnsi" w:cstheme="majorHAnsi"/>
                <w:szCs w:val="24"/>
              </w:rPr>
              <w:t xml:space="preserve">  Research by Rusu and Chirit</w:t>
            </w:r>
            <w:r w:rsidR="00A85494" w:rsidRPr="0003056D">
              <w:rPr>
                <w:rFonts w:ascii="Calibri" w:hAnsi="Calibri" w:cs="Calibri" w:hint="eastAsia"/>
                <w:szCs w:val="24"/>
                <w:lang w:eastAsia="zh-CN"/>
              </w:rPr>
              <w:t>ǎ</w:t>
            </w:r>
            <w:r w:rsidR="00A85494" w:rsidRPr="0003056D">
              <w:rPr>
                <w:rFonts w:asciiTheme="majorHAnsi" w:hAnsiTheme="majorHAnsi" w:cstheme="majorHAnsi"/>
                <w:szCs w:val="24"/>
              </w:rPr>
              <w:t>, (2017) highlights the importance of paraverbal communication in creating meaningful exchanges as they can convey empathy, attentiveness and understanding.  It is important to note that poor communication, including paraverbal communication if done poorly can result in misunderstanding</w:t>
            </w:r>
            <w:r w:rsidR="00B97894" w:rsidRPr="0003056D">
              <w:rPr>
                <w:rFonts w:asciiTheme="majorHAnsi" w:hAnsiTheme="majorHAnsi" w:cstheme="majorHAnsi"/>
                <w:szCs w:val="24"/>
              </w:rPr>
              <w:t xml:space="preserve"> and dissatisfaction, therefore training and awareness can help mitigate these issues (Leonard, 2017).</w:t>
            </w:r>
          </w:p>
          <w:p w14:paraId="1E1C41B6" w14:textId="0A331F74" w:rsidR="00EE3085" w:rsidRPr="0003056D" w:rsidRDefault="00B361D0" w:rsidP="00D50697">
            <w:pPr>
              <w:spacing w:line="360" w:lineRule="auto"/>
              <w:ind w:left="0" w:firstLine="0"/>
              <w:rPr>
                <w:rFonts w:asciiTheme="majorHAnsi" w:hAnsiTheme="majorHAnsi" w:cstheme="majorHAnsi"/>
                <w:szCs w:val="24"/>
              </w:rPr>
            </w:pPr>
            <w:r w:rsidRPr="0003056D">
              <w:rPr>
                <w:rFonts w:asciiTheme="majorHAnsi" w:hAnsiTheme="majorHAnsi" w:cstheme="majorHAnsi"/>
                <w:szCs w:val="24"/>
              </w:rPr>
              <w:t xml:space="preserve">Being in hospital and </w:t>
            </w:r>
            <w:r w:rsidR="00D06929" w:rsidRPr="0003056D">
              <w:rPr>
                <w:rFonts w:asciiTheme="majorHAnsi" w:hAnsiTheme="majorHAnsi" w:cstheme="majorHAnsi"/>
                <w:szCs w:val="24"/>
              </w:rPr>
              <w:t>being unwell can cause a sense of loss of control for Margaret, to support her during this hospital stay a collaborative and non-judgemental communication style, using techniques from motivational interviewing such as OARS framework such as open questions, affirmations to support and empower</w:t>
            </w:r>
            <w:r w:rsidR="00D50697" w:rsidRPr="0003056D">
              <w:rPr>
                <w:rFonts w:asciiTheme="majorHAnsi" w:hAnsiTheme="majorHAnsi" w:cstheme="majorHAnsi"/>
                <w:szCs w:val="24"/>
              </w:rPr>
              <w:t>.  By offering Margaret choices such as timing of intervention or sequence of information delivery it can also help restore autonomy.  Furthermore, it is important to lead with a compassionate approach,</w:t>
            </w:r>
            <w:r w:rsidR="00B97894" w:rsidRPr="0003056D">
              <w:rPr>
                <w:rFonts w:asciiTheme="majorHAnsi" w:hAnsiTheme="majorHAnsi" w:cstheme="majorHAnsi"/>
                <w:szCs w:val="24"/>
              </w:rPr>
              <w:t xml:space="preserve"> research from Tunks Leach et al, (2025)</w:t>
            </w:r>
            <w:r w:rsidR="00D50697" w:rsidRPr="0003056D">
              <w:rPr>
                <w:rFonts w:asciiTheme="majorHAnsi" w:hAnsiTheme="majorHAnsi" w:cstheme="majorHAnsi"/>
                <w:szCs w:val="24"/>
              </w:rPr>
              <w:t xml:space="preserve"> </w:t>
            </w:r>
            <w:r w:rsidR="00B97894" w:rsidRPr="0003056D">
              <w:rPr>
                <w:rFonts w:asciiTheme="majorHAnsi" w:hAnsiTheme="majorHAnsi" w:cstheme="majorHAnsi"/>
                <w:szCs w:val="24"/>
              </w:rPr>
              <w:t>outlines that empathy and compassion are fundamental to person centred care</w:t>
            </w:r>
            <w:r w:rsidR="00CC665F" w:rsidRPr="0003056D">
              <w:rPr>
                <w:rFonts w:asciiTheme="majorHAnsi" w:hAnsiTheme="majorHAnsi" w:cstheme="majorHAnsi"/>
                <w:szCs w:val="24"/>
              </w:rPr>
              <w:t>; v</w:t>
            </w:r>
            <w:r w:rsidR="00D50697" w:rsidRPr="0003056D">
              <w:rPr>
                <w:rFonts w:asciiTheme="majorHAnsi" w:hAnsiTheme="majorHAnsi" w:cstheme="majorHAnsi"/>
                <w:szCs w:val="24"/>
              </w:rPr>
              <w:t>alidating feelings, being empathetic and acknowledging</w:t>
            </w:r>
            <w:r w:rsidR="00CC665F" w:rsidRPr="0003056D">
              <w:rPr>
                <w:rFonts w:asciiTheme="majorHAnsi" w:hAnsiTheme="majorHAnsi" w:cstheme="majorHAnsi"/>
                <w:szCs w:val="24"/>
              </w:rPr>
              <w:t xml:space="preserve"> experiences</w:t>
            </w:r>
            <w:r w:rsidR="00D50697" w:rsidRPr="0003056D">
              <w:rPr>
                <w:rFonts w:asciiTheme="majorHAnsi" w:hAnsiTheme="majorHAnsi" w:cstheme="majorHAnsi"/>
                <w:szCs w:val="24"/>
              </w:rPr>
              <w:t xml:space="preserve"> is essential to maintain therapeutic alliance and an authentic and trusting relationship </w:t>
            </w:r>
            <w:r w:rsidR="00CC665F" w:rsidRPr="0003056D">
              <w:rPr>
                <w:rFonts w:asciiTheme="majorHAnsi" w:hAnsiTheme="majorHAnsi" w:cstheme="majorHAnsi"/>
                <w:szCs w:val="24"/>
              </w:rPr>
              <w:t>between healthcare provider and patient.</w:t>
            </w:r>
            <w:r w:rsidR="00D50697" w:rsidRPr="0003056D">
              <w:rPr>
                <w:rFonts w:asciiTheme="majorHAnsi" w:hAnsiTheme="majorHAnsi" w:cstheme="majorHAnsi"/>
                <w:szCs w:val="24"/>
              </w:rPr>
              <w:t xml:space="preserve"> </w:t>
            </w:r>
            <w:r w:rsidR="00CC665F" w:rsidRPr="0003056D">
              <w:rPr>
                <w:rFonts w:asciiTheme="majorHAnsi" w:hAnsiTheme="majorHAnsi" w:cstheme="majorHAnsi"/>
                <w:szCs w:val="24"/>
              </w:rPr>
              <w:t xml:space="preserve"> </w:t>
            </w:r>
          </w:p>
        </w:tc>
      </w:tr>
    </w:tbl>
    <w:p w14:paraId="1DC65B55" w14:textId="77777777" w:rsidR="003825FB" w:rsidRPr="0003056D" w:rsidRDefault="003825FB" w:rsidP="003825FB">
      <w:pPr>
        <w:rPr>
          <w:rFonts w:asciiTheme="majorHAnsi" w:hAnsiTheme="majorHAnsi" w:cstheme="majorHAnsi"/>
          <w:szCs w:val="24"/>
        </w:rPr>
      </w:pPr>
    </w:p>
    <w:p w14:paraId="12C4A5F4" w14:textId="4DCBC654" w:rsidR="00EE3085" w:rsidRPr="0003056D" w:rsidRDefault="003825FB" w:rsidP="00EE3085">
      <w:pPr>
        <w:ind w:left="0" w:firstLine="0"/>
        <w:rPr>
          <w:rFonts w:asciiTheme="majorHAnsi" w:hAnsiTheme="majorHAnsi" w:cstheme="majorHAnsi"/>
          <w:b/>
          <w:bCs/>
          <w:szCs w:val="24"/>
        </w:rPr>
      </w:pPr>
      <w:r w:rsidRPr="0003056D">
        <w:rPr>
          <w:rFonts w:asciiTheme="majorHAnsi" w:hAnsiTheme="majorHAnsi" w:cstheme="majorHAnsi"/>
          <w:b/>
          <w:bCs/>
          <w:szCs w:val="24"/>
        </w:rPr>
        <w:t xml:space="preserve">Task Two: </w:t>
      </w:r>
      <w:r w:rsidR="0069766E" w:rsidRPr="0003056D">
        <w:rPr>
          <w:rFonts w:asciiTheme="majorHAnsi" w:hAnsiTheme="majorHAnsi" w:cstheme="majorHAnsi"/>
          <w:szCs w:val="24"/>
        </w:rPr>
        <w:t>Understand how communication supports therapeutic relationships</w:t>
      </w:r>
      <w:r w:rsidR="00B92C06" w:rsidRPr="0003056D">
        <w:rPr>
          <w:rFonts w:asciiTheme="majorHAnsi" w:hAnsiTheme="majorHAnsi" w:cstheme="majorHAnsi"/>
          <w:szCs w:val="24"/>
        </w:rPr>
        <w:t xml:space="preserve"> </w:t>
      </w:r>
      <w:r w:rsidR="00B92C06" w:rsidRPr="0003056D">
        <w:rPr>
          <w:rFonts w:asciiTheme="majorHAnsi" w:hAnsiTheme="majorHAnsi" w:cstheme="majorHAnsi"/>
          <w:color w:val="auto"/>
          <w:szCs w:val="24"/>
        </w:rPr>
        <w:t>(minimum of one citation</w:t>
      </w:r>
      <w:r w:rsidR="000E44AD" w:rsidRPr="0003056D">
        <w:rPr>
          <w:rFonts w:asciiTheme="majorHAnsi" w:hAnsiTheme="majorHAnsi" w:cstheme="majorHAnsi"/>
          <w:color w:val="auto"/>
          <w:szCs w:val="24"/>
        </w:rPr>
        <w:t xml:space="preserve"> within this task</w:t>
      </w:r>
      <w:r w:rsidR="00B92C06" w:rsidRPr="0003056D">
        <w:rPr>
          <w:rFonts w:asciiTheme="majorHAnsi" w:hAnsiTheme="majorHAnsi" w:cstheme="majorHAnsi"/>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03056D" w14:paraId="0800DD44" w14:textId="77777777" w:rsidTr="00305EE4">
        <w:tc>
          <w:tcPr>
            <w:tcW w:w="9021" w:type="dxa"/>
          </w:tcPr>
          <w:p w14:paraId="68456FFF" w14:textId="7357BFCE" w:rsidR="003825FB" w:rsidRPr="0003056D" w:rsidRDefault="003825FB" w:rsidP="00305EE4">
            <w:pPr>
              <w:spacing w:after="83" w:line="239" w:lineRule="auto"/>
              <w:ind w:left="0" w:firstLine="0"/>
              <w:rPr>
                <w:rFonts w:asciiTheme="majorHAnsi" w:hAnsiTheme="majorHAnsi" w:cstheme="majorHAnsi"/>
                <w:szCs w:val="24"/>
              </w:rPr>
            </w:pPr>
            <w:r w:rsidRPr="0003056D">
              <w:rPr>
                <w:rFonts w:asciiTheme="majorHAnsi" w:hAnsiTheme="majorHAnsi" w:cstheme="majorHAnsi"/>
                <w:szCs w:val="24"/>
              </w:rPr>
              <w:t xml:space="preserve">2.1 </w:t>
            </w:r>
            <w:r w:rsidR="0069766E" w:rsidRPr="0003056D">
              <w:rPr>
                <w:rFonts w:asciiTheme="majorHAnsi" w:hAnsiTheme="majorHAnsi" w:cstheme="majorHAnsi"/>
                <w:b/>
                <w:bCs/>
                <w:szCs w:val="24"/>
              </w:rPr>
              <w:t>Analyse</w:t>
            </w:r>
            <w:r w:rsidR="0069766E" w:rsidRPr="0003056D">
              <w:rPr>
                <w:rFonts w:asciiTheme="majorHAnsi" w:hAnsiTheme="majorHAnsi" w:cstheme="majorHAnsi"/>
                <w:szCs w:val="24"/>
              </w:rPr>
              <w:t xml:space="preserve"> </w:t>
            </w:r>
            <w:r w:rsidR="0069766E" w:rsidRPr="0003056D">
              <w:rPr>
                <w:rFonts w:asciiTheme="majorHAnsi" w:hAnsiTheme="majorHAnsi" w:cstheme="majorHAnsi"/>
                <w:b/>
                <w:bCs/>
                <w:szCs w:val="24"/>
                <w:u w:val="single"/>
              </w:rPr>
              <w:t>two</w:t>
            </w:r>
            <w:r w:rsidR="0069766E" w:rsidRPr="0003056D">
              <w:rPr>
                <w:rFonts w:asciiTheme="majorHAnsi" w:hAnsiTheme="majorHAnsi" w:cstheme="majorHAnsi"/>
                <w:szCs w:val="24"/>
              </w:rPr>
              <w:t xml:space="preserve"> communication styles</w:t>
            </w:r>
            <w:r w:rsidR="00DB42E3" w:rsidRPr="0003056D">
              <w:rPr>
                <w:rFonts w:asciiTheme="majorHAnsi" w:hAnsiTheme="majorHAnsi" w:cstheme="majorHAnsi"/>
                <w:szCs w:val="24"/>
              </w:rPr>
              <w:t xml:space="preserve"> or </w:t>
            </w:r>
            <w:r w:rsidR="0069766E" w:rsidRPr="0003056D">
              <w:rPr>
                <w:rFonts w:asciiTheme="majorHAnsi" w:hAnsiTheme="majorHAnsi" w:cstheme="majorHAnsi"/>
                <w:szCs w:val="24"/>
              </w:rPr>
              <w:t xml:space="preserve">techniques </w:t>
            </w:r>
            <w:r w:rsidR="00DB42E3" w:rsidRPr="0003056D">
              <w:rPr>
                <w:rFonts w:asciiTheme="majorHAnsi" w:hAnsiTheme="majorHAnsi" w:cstheme="majorHAnsi"/>
                <w:szCs w:val="24"/>
              </w:rPr>
              <w:t xml:space="preserve">you would </w:t>
            </w:r>
            <w:r w:rsidR="0069766E" w:rsidRPr="0003056D">
              <w:rPr>
                <w:rFonts w:asciiTheme="majorHAnsi" w:hAnsiTheme="majorHAnsi" w:cstheme="majorHAnsi"/>
                <w:szCs w:val="24"/>
              </w:rPr>
              <w:t>use to increase rapport and engagement when under</w:t>
            </w:r>
            <w:r w:rsidR="00DE680A" w:rsidRPr="0003056D">
              <w:rPr>
                <w:rFonts w:asciiTheme="majorHAnsi" w:hAnsiTheme="majorHAnsi" w:cstheme="majorHAnsi"/>
                <w:szCs w:val="24"/>
              </w:rPr>
              <w:t>taking</w:t>
            </w:r>
            <w:r w:rsidR="0069766E" w:rsidRPr="0003056D">
              <w:rPr>
                <w:rFonts w:asciiTheme="majorHAnsi" w:hAnsiTheme="majorHAnsi" w:cstheme="majorHAnsi"/>
                <w:szCs w:val="24"/>
              </w:rPr>
              <w:t xml:space="preserve"> therapeutic interventions </w:t>
            </w:r>
            <w:r w:rsidR="00DB42E3" w:rsidRPr="0003056D">
              <w:rPr>
                <w:rFonts w:asciiTheme="majorHAnsi" w:hAnsiTheme="majorHAnsi" w:cstheme="majorHAnsi"/>
                <w:szCs w:val="24"/>
              </w:rPr>
              <w:t>with the patient above</w:t>
            </w:r>
            <w:r w:rsidR="00A37DAE" w:rsidRPr="0003056D">
              <w:rPr>
                <w:rFonts w:asciiTheme="majorHAnsi" w:hAnsiTheme="majorHAnsi" w:cstheme="majorHAnsi"/>
                <w:szCs w:val="24"/>
              </w:rPr>
              <w:t xml:space="preserve"> (2.1).</w:t>
            </w:r>
          </w:p>
          <w:p w14:paraId="4AE68172" w14:textId="77777777" w:rsidR="003825FB" w:rsidRPr="0003056D" w:rsidRDefault="003825FB" w:rsidP="00305EE4">
            <w:pPr>
              <w:spacing w:after="83" w:line="239" w:lineRule="auto"/>
              <w:ind w:left="0" w:firstLine="0"/>
              <w:rPr>
                <w:rFonts w:asciiTheme="majorHAnsi" w:hAnsiTheme="majorHAnsi" w:cstheme="majorHAnsi"/>
                <w:szCs w:val="24"/>
              </w:rPr>
            </w:pPr>
          </w:p>
        </w:tc>
      </w:tr>
      <w:tr w:rsidR="003825FB" w:rsidRPr="0003056D" w14:paraId="35FC2711" w14:textId="77777777" w:rsidTr="00305EE4">
        <w:tc>
          <w:tcPr>
            <w:tcW w:w="9021" w:type="dxa"/>
          </w:tcPr>
          <w:p w14:paraId="11D96472" w14:textId="77777777" w:rsidR="004608C1" w:rsidRPr="0003056D" w:rsidRDefault="002C47DE" w:rsidP="009A61F2">
            <w:pPr>
              <w:spacing w:after="83" w:line="360" w:lineRule="auto"/>
              <w:ind w:left="0" w:firstLine="0"/>
              <w:rPr>
                <w:rFonts w:asciiTheme="majorHAnsi" w:hAnsiTheme="majorHAnsi" w:cstheme="majorHAnsi"/>
                <w:szCs w:val="24"/>
              </w:rPr>
            </w:pPr>
            <w:r w:rsidRPr="0003056D">
              <w:rPr>
                <w:rFonts w:asciiTheme="majorHAnsi" w:hAnsiTheme="majorHAnsi" w:cstheme="majorHAnsi"/>
                <w:szCs w:val="24"/>
              </w:rPr>
              <w:t xml:space="preserve">Active listening is a </w:t>
            </w:r>
            <w:r w:rsidR="009A61F2" w:rsidRPr="0003056D">
              <w:rPr>
                <w:rFonts w:asciiTheme="majorHAnsi" w:hAnsiTheme="majorHAnsi" w:cstheme="majorHAnsi"/>
                <w:szCs w:val="24"/>
              </w:rPr>
              <w:t xml:space="preserve">fundamental communication technique the practitioner would employ to build rapport and enhance engagement with this patient.  This involves fully concentrating to what the patient says both verbally and non-verbally without interrupting and responding in a way that demonstrates genuine understanding and empathy.  </w:t>
            </w:r>
            <w:r w:rsidR="009874AF" w:rsidRPr="0003056D">
              <w:rPr>
                <w:rFonts w:asciiTheme="majorHAnsi" w:hAnsiTheme="majorHAnsi" w:cstheme="majorHAnsi"/>
                <w:szCs w:val="24"/>
              </w:rPr>
              <w:t>Given the patient’s cognitive impairment due to treatment, and high health related anxiety using</w:t>
            </w:r>
            <w:r w:rsidR="009A61F2" w:rsidRPr="0003056D">
              <w:rPr>
                <w:rFonts w:asciiTheme="majorHAnsi" w:hAnsiTheme="majorHAnsi" w:cstheme="majorHAnsi"/>
                <w:szCs w:val="24"/>
              </w:rPr>
              <w:t xml:space="preserve"> open body language, maintain</w:t>
            </w:r>
            <w:r w:rsidR="009874AF" w:rsidRPr="0003056D">
              <w:rPr>
                <w:rFonts w:asciiTheme="majorHAnsi" w:hAnsiTheme="majorHAnsi" w:cstheme="majorHAnsi"/>
                <w:szCs w:val="24"/>
              </w:rPr>
              <w:t>ing</w:t>
            </w:r>
            <w:r w:rsidR="009A61F2" w:rsidRPr="0003056D">
              <w:rPr>
                <w:rFonts w:asciiTheme="majorHAnsi" w:hAnsiTheme="majorHAnsi" w:cstheme="majorHAnsi"/>
                <w:szCs w:val="24"/>
              </w:rPr>
              <w:t xml:space="preserve"> appropriate eye contact and employ</w:t>
            </w:r>
            <w:r w:rsidR="009874AF" w:rsidRPr="0003056D">
              <w:rPr>
                <w:rFonts w:asciiTheme="majorHAnsi" w:hAnsiTheme="majorHAnsi" w:cstheme="majorHAnsi"/>
                <w:szCs w:val="24"/>
              </w:rPr>
              <w:t>ing</w:t>
            </w:r>
            <w:r w:rsidR="009A61F2" w:rsidRPr="0003056D">
              <w:rPr>
                <w:rFonts w:asciiTheme="majorHAnsi" w:hAnsiTheme="majorHAnsi" w:cstheme="majorHAnsi"/>
                <w:szCs w:val="24"/>
              </w:rPr>
              <w:t xml:space="preserve"> reflective statements to confirm and understanding of the </w:t>
            </w:r>
            <w:r w:rsidR="009874AF" w:rsidRPr="0003056D">
              <w:rPr>
                <w:rFonts w:asciiTheme="majorHAnsi" w:hAnsiTheme="majorHAnsi" w:cstheme="majorHAnsi"/>
                <w:szCs w:val="24"/>
              </w:rPr>
              <w:t>patients’</w:t>
            </w:r>
            <w:r w:rsidR="009A61F2" w:rsidRPr="0003056D">
              <w:rPr>
                <w:rFonts w:asciiTheme="majorHAnsi" w:hAnsiTheme="majorHAnsi" w:cstheme="majorHAnsi"/>
                <w:szCs w:val="24"/>
              </w:rPr>
              <w:t xml:space="preserve"> thoughts and feeling</w:t>
            </w:r>
            <w:r w:rsidR="00BF5827" w:rsidRPr="0003056D">
              <w:rPr>
                <w:rFonts w:asciiTheme="majorHAnsi" w:hAnsiTheme="majorHAnsi" w:cstheme="majorHAnsi"/>
                <w:szCs w:val="24"/>
              </w:rPr>
              <w:t>s</w:t>
            </w:r>
            <w:r w:rsidR="00820CFE" w:rsidRPr="0003056D">
              <w:rPr>
                <w:rFonts w:asciiTheme="majorHAnsi" w:hAnsiTheme="majorHAnsi" w:cstheme="majorHAnsi"/>
                <w:szCs w:val="24"/>
              </w:rPr>
              <w:t xml:space="preserve"> are key</w:t>
            </w:r>
            <w:r w:rsidR="00BF5827" w:rsidRPr="0003056D">
              <w:rPr>
                <w:rFonts w:asciiTheme="majorHAnsi" w:hAnsiTheme="majorHAnsi" w:cstheme="majorHAnsi"/>
                <w:szCs w:val="24"/>
              </w:rPr>
              <w:t xml:space="preserve">.  </w:t>
            </w:r>
          </w:p>
          <w:p w14:paraId="272FCE17" w14:textId="5D409678" w:rsidR="003825FB" w:rsidRPr="0003056D" w:rsidRDefault="00A77BCF" w:rsidP="009A61F2">
            <w:pPr>
              <w:spacing w:after="83" w:line="360" w:lineRule="auto"/>
              <w:ind w:left="0" w:firstLine="0"/>
              <w:rPr>
                <w:rFonts w:asciiTheme="majorHAnsi" w:hAnsiTheme="majorHAnsi" w:cstheme="majorHAnsi"/>
                <w:szCs w:val="24"/>
              </w:rPr>
            </w:pPr>
            <w:r w:rsidRPr="0003056D">
              <w:rPr>
                <w:rFonts w:asciiTheme="majorHAnsi" w:hAnsiTheme="majorHAnsi" w:cstheme="majorHAnsi"/>
                <w:szCs w:val="24"/>
              </w:rPr>
              <w:t xml:space="preserve">Kercher </w:t>
            </w:r>
            <w:r w:rsidRPr="0003056D">
              <w:rPr>
                <w:rFonts w:asciiTheme="majorHAnsi" w:hAnsiTheme="majorHAnsi" w:cstheme="majorHAnsi"/>
                <w:i/>
                <w:iCs/>
                <w:szCs w:val="24"/>
              </w:rPr>
              <w:t>et al</w:t>
            </w:r>
            <w:r w:rsidR="009874AF" w:rsidRPr="0003056D">
              <w:rPr>
                <w:rFonts w:asciiTheme="majorHAnsi" w:hAnsiTheme="majorHAnsi" w:cstheme="majorHAnsi"/>
                <w:i/>
                <w:iCs/>
                <w:szCs w:val="24"/>
              </w:rPr>
              <w:t>,</w:t>
            </w:r>
            <w:r w:rsidR="009874AF" w:rsidRPr="0003056D">
              <w:rPr>
                <w:rFonts w:asciiTheme="majorHAnsi" w:hAnsiTheme="majorHAnsi" w:cstheme="majorHAnsi"/>
                <w:szCs w:val="24"/>
              </w:rPr>
              <w:t xml:space="preserve"> (20</w:t>
            </w:r>
            <w:r w:rsidRPr="0003056D">
              <w:rPr>
                <w:rFonts w:asciiTheme="majorHAnsi" w:hAnsiTheme="majorHAnsi" w:cstheme="majorHAnsi"/>
                <w:szCs w:val="24"/>
              </w:rPr>
              <w:t>25</w:t>
            </w:r>
            <w:r w:rsidR="009874AF" w:rsidRPr="0003056D">
              <w:rPr>
                <w:rFonts w:asciiTheme="majorHAnsi" w:hAnsiTheme="majorHAnsi" w:cstheme="majorHAnsi"/>
                <w:szCs w:val="24"/>
              </w:rPr>
              <w:t>) outline that p</w:t>
            </w:r>
            <w:r w:rsidR="00BF5827" w:rsidRPr="0003056D">
              <w:rPr>
                <w:rFonts w:asciiTheme="majorHAnsi" w:hAnsiTheme="majorHAnsi" w:cstheme="majorHAnsi"/>
                <w:szCs w:val="24"/>
              </w:rPr>
              <w:t xml:space="preserve">araphrasing and summarising key points </w:t>
            </w:r>
            <w:r w:rsidR="009874AF" w:rsidRPr="0003056D">
              <w:rPr>
                <w:rFonts w:asciiTheme="majorHAnsi" w:hAnsiTheme="majorHAnsi" w:cstheme="majorHAnsi"/>
                <w:szCs w:val="24"/>
              </w:rPr>
              <w:t xml:space="preserve">can help validate the patients experience and encourage further disclosure and contribute to patient centred care.  </w:t>
            </w:r>
            <w:r w:rsidRPr="0003056D">
              <w:rPr>
                <w:rFonts w:asciiTheme="majorHAnsi" w:hAnsiTheme="majorHAnsi" w:cstheme="majorHAnsi"/>
                <w:szCs w:val="24"/>
              </w:rPr>
              <w:t>This patient is in a somewhat heightened state therefore a</w:t>
            </w:r>
            <w:r w:rsidR="009874AF" w:rsidRPr="0003056D">
              <w:rPr>
                <w:rFonts w:asciiTheme="majorHAnsi" w:hAnsiTheme="majorHAnsi" w:cstheme="majorHAnsi"/>
                <w:szCs w:val="24"/>
              </w:rPr>
              <w:t xml:space="preserve">llowing for pauses or </w:t>
            </w:r>
            <w:r w:rsidR="009874AF" w:rsidRPr="0003056D">
              <w:rPr>
                <w:rFonts w:asciiTheme="majorHAnsi" w:hAnsiTheme="majorHAnsi" w:cstheme="majorHAnsi"/>
                <w:szCs w:val="24"/>
              </w:rPr>
              <w:lastRenderedPageBreak/>
              <w:t>therapeutic silence can also give the patient space to process emotions and organise their thoughts, which can be particularly important for someone experiencing distress or difficulty expressing complex feelings.  Research on empathic clinician behaviours highlight that listening and attending to emotions and what matters most to patients are core indicators of clinician empathy from a patient’s perspective, contributing to stronger therapeutic relationships and improved engagement wi</w:t>
            </w:r>
            <w:r w:rsidRPr="0003056D">
              <w:rPr>
                <w:rFonts w:asciiTheme="majorHAnsi" w:hAnsiTheme="majorHAnsi" w:cstheme="majorHAnsi"/>
                <w:szCs w:val="24"/>
              </w:rPr>
              <w:t>th</w:t>
            </w:r>
            <w:r w:rsidR="009874AF" w:rsidRPr="0003056D">
              <w:rPr>
                <w:rFonts w:asciiTheme="majorHAnsi" w:hAnsiTheme="majorHAnsi" w:cstheme="majorHAnsi"/>
                <w:szCs w:val="24"/>
              </w:rPr>
              <w:t xml:space="preserve"> care (Sanders et al, 2021).  This technique fosters trust, reduces anxiety and supports collaborative decision making all of which are key to effective therapeutic intervention.  </w:t>
            </w:r>
          </w:p>
          <w:p w14:paraId="70021EE5" w14:textId="5DF4C765" w:rsidR="003825FB" w:rsidRPr="0003056D" w:rsidRDefault="00D22AF7" w:rsidP="00D22AF7">
            <w:pPr>
              <w:spacing w:after="83" w:line="360" w:lineRule="auto"/>
              <w:ind w:left="0" w:firstLine="0"/>
              <w:rPr>
                <w:rFonts w:asciiTheme="majorHAnsi" w:hAnsiTheme="majorHAnsi" w:cstheme="majorHAnsi"/>
                <w:szCs w:val="24"/>
              </w:rPr>
            </w:pPr>
            <w:r w:rsidRPr="0003056D">
              <w:rPr>
                <w:rFonts w:asciiTheme="majorHAnsi" w:hAnsiTheme="majorHAnsi" w:cstheme="majorHAnsi"/>
                <w:szCs w:val="24"/>
              </w:rPr>
              <w:t xml:space="preserve">Motivational interviewing (MI) is a collaborative, person centred communication technique that would support rapport and engagement with Maragret.  </w:t>
            </w:r>
            <w:r w:rsidR="00306112" w:rsidRPr="0003056D">
              <w:rPr>
                <w:rFonts w:asciiTheme="majorHAnsi" w:hAnsiTheme="majorHAnsi" w:cstheme="majorHAnsi"/>
                <w:szCs w:val="24"/>
              </w:rPr>
              <w:t xml:space="preserve">Research by Miller and Rose (2015) demonstrates </w:t>
            </w:r>
            <w:r w:rsidRPr="0003056D">
              <w:rPr>
                <w:rFonts w:asciiTheme="majorHAnsi" w:hAnsiTheme="majorHAnsi" w:cstheme="majorHAnsi"/>
                <w:szCs w:val="24"/>
              </w:rPr>
              <w:t>MI focuses on understanding the patient’s perspective and exploring ambivalence about care rather than directing behaviour, which can be particularly useful when a patient feels overwhelmed or fearful about treatment or prognosis</w:t>
            </w:r>
            <w:r w:rsidR="00306112" w:rsidRPr="0003056D">
              <w:rPr>
                <w:rFonts w:asciiTheme="majorHAnsi" w:hAnsiTheme="majorHAnsi" w:cstheme="majorHAnsi"/>
                <w:szCs w:val="24"/>
              </w:rPr>
              <w:t xml:space="preserve">.  </w:t>
            </w:r>
            <w:r w:rsidRPr="0003056D">
              <w:rPr>
                <w:rFonts w:asciiTheme="majorHAnsi" w:hAnsiTheme="majorHAnsi" w:cstheme="majorHAnsi"/>
                <w:szCs w:val="24"/>
              </w:rPr>
              <w:t xml:space="preserve">MI principles such as empathy, reflective listening and supporting self-efficacy help create a safe space for the patient to express concerns and feel understood rather than judged.  This is important for Maragrent as reports health related anxiety, anticipatory nausea and a send of loss of control over her body and treatment experience. </w:t>
            </w:r>
          </w:p>
          <w:p w14:paraId="2056DC9B" w14:textId="4F209163" w:rsidR="00D22AF7" w:rsidRPr="0003056D" w:rsidRDefault="00D22AF7" w:rsidP="00D22AF7">
            <w:pPr>
              <w:spacing w:after="83" w:line="360" w:lineRule="auto"/>
              <w:ind w:left="0" w:firstLine="0"/>
              <w:rPr>
                <w:rFonts w:asciiTheme="majorHAnsi" w:hAnsiTheme="majorHAnsi" w:cstheme="majorHAnsi"/>
                <w:szCs w:val="24"/>
              </w:rPr>
            </w:pPr>
            <w:r w:rsidRPr="0003056D">
              <w:rPr>
                <w:rFonts w:asciiTheme="majorHAnsi" w:hAnsiTheme="majorHAnsi" w:cstheme="majorHAnsi"/>
                <w:szCs w:val="24"/>
              </w:rPr>
              <w:t>In practice</w:t>
            </w:r>
            <w:r w:rsidR="005B2BAC" w:rsidRPr="0003056D">
              <w:rPr>
                <w:rFonts w:asciiTheme="majorHAnsi" w:hAnsiTheme="majorHAnsi" w:cstheme="majorHAnsi"/>
                <w:szCs w:val="24"/>
              </w:rPr>
              <w:t xml:space="preserve"> as evidenced by Gutnick and McNeilly (2025)</w:t>
            </w:r>
            <w:r w:rsidRPr="0003056D">
              <w:rPr>
                <w:rFonts w:asciiTheme="majorHAnsi" w:hAnsiTheme="majorHAnsi" w:cstheme="majorHAnsi"/>
                <w:szCs w:val="24"/>
              </w:rPr>
              <w:t xml:space="preserve"> </w:t>
            </w:r>
            <w:r w:rsidR="005B2BAC" w:rsidRPr="0003056D">
              <w:rPr>
                <w:rFonts w:asciiTheme="majorHAnsi" w:hAnsiTheme="majorHAnsi" w:cstheme="majorHAnsi"/>
                <w:szCs w:val="24"/>
              </w:rPr>
              <w:t>the use of</w:t>
            </w:r>
            <w:r w:rsidRPr="0003056D">
              <w:rPr>
                <w:rFonts w:asciiTheme="majorHAnsi" w:hAnsiTheme="majorHAnsi" w:cstheme="majorHAnsi"/>
                <w:szCs w:val="24"/>
              </w:rPr>
              <w:t xml:space="preserve"> </w:t>
            </w:r>
            <w:r w:rsidR="005B2BAC" w:rsidRPr="0003056D">
              <w:rPr>
                <w:rFonts w:asciiTheme="majorHAnsi" w:hAnsiTheme="majorHAnsi" w:cstheme="majorHAnsi"/>
                <w:szCs w:val="24"/>
              </w:rPr>
              <w:t>open-ended</w:t>
            </w:r>
            <w:r w:rsidRPr="0003056D">
              <w:rPr>
                <w:rFonts w:asciiTheme="majorHAnsi" w:hAnsiTheme="majorHAnsi" w:cstheme="majorHAnsi"/>
                <w:szCs w:val="24"/>
              </w:rPr>
              <w:t xml:space="preserve"> questions, reflective listening and affirmations of strength </w:t>
            </w:r>
            <w:r w:rsidR="005B2BAC" w:rsidRPr="0003056D">
              <w:rPr>
                <w:rFonts w:asciiTheme="majorHAnsi" w:hAnsiTheme="majorHAnsi" w:cstheme="majorHAnsi"/>
                <w:szCs w:val="24"/>
              </w:rPr>
              <w:t xml:space="preserve">can </w:t>
            </w:r>
            <w:r w:rsidRPr="0003056D">
              <w:rPr>
                <w:rFonts w:asciiTheme="majorHAnsi" w:hAnsiTheme="majorHAnsi" w:cstheme="majorHAnsi"/>
                <w:szCs w:val="24"/>
              </w:rPr>
              <w:t xml:space="preserve">validate </w:t>
            </w:r>
            <w:r w:rsidR="005B2BAC" w:rsidRPr="0003056D">
              <w:rPr>
                <w:rFonts w:asciiTheme="majorHAnsi" w:hAnsiTheme="majorHAnsi" w:cstheme="majorHAnsi"/>
                <w:szCs w:val="24"/>
              </w:rPr>
              <w:t xml:space="preserve">a patients </w:t>
            </w:r>
            <w:r w:rsidRPr="0003056D">
              <w:rPr>
                <w:rFonts w:asciiTheme="majorHAnsi" w:hAnsiTheme="majorHAnsi" w:cstheme="majorHAnsi"/>
                <w:szCs w:val="24"/>
              </w:rPr>
              <w:t>experience and reinforce autonomy.</w:t>
            </w:r>
            <w:r w:rsidR="004608C1" w:rsidRPr="0003056D">
              <w:rPr>
                <w:rFonts w:asciiTheme="majorHAnsi" w:hAnsiTheme="majorHAnsi" w:cstheme="majorHAnsi"/>
                <w:szCs w:val="24"/>
              </w:rPr>
              <w:t xml:space="preserve">  Summarising her concerns regularly can help manage cognitive difficulties and support her understanding of the care plan.  By developing discrepancy exploring how her values such as wanting to complete treatment and return to her life in the community align with current behaviours, MI can gently enhance her motivation to participate in necessary interventions</w:t>
            </w:r>
            <w:r w:rsidR="005B2BAC" w:rsidRPr="0003056D">
              <w:rPr>
                <w:rFonts w:asciiTheme="majorHAnsi" w:hAnsiTheme="majorHAnsi" w:cstheme="majorHAnsi"/>
                <w:szCs w:val="24"/>
              </w:rPr>
              <w:t>.</w:t>
            </w:r>
            <w:r w:rsidRPr="0003056D">
              <w:rPr>
                <w:rFonts w:asciiTheme="majorHAnsi" w:hAnsiTheme="majorHAnsi" w:cstheme="majorHAnsi"/>
                <w:szCs w:val="24"/>
              </w:rPr>
              <w:t xml:space="preserve"> </w:t>
            </w:r>
          </w:p>
          <w:p w14:paraId="1C682F87" w14:textId="63137D53" w:rsidR="003825FB" w:rsidRPr="0003056D" w:rsidRDefault="004608C1" w:rsidP="004608C1">
            <w:pPr>
              <w:spacing w:after="83" w:line="360" w:lineRule="auto"/>
              <w:ind w:left="0" w:firstLine="0"/>
              <w:rPr>
                <w:rFonts w:asciiTheme="majorHAnsi" w:hAnsiTheme="majorHAnsi" w:cstheme="majorHAnsi"/>
                <w:szCs w:val="24"/>
              </w:rPr>
            </w:pPr>
            <w:r w:rsidRPr="0003056D">
              <w:rPr>
                <w:rFonts w:asciiTheme="majorHAnsi" w:hAnsiTheme="majorHAnsi" w:cstheme="majorHAnsi"/>
                <w:szCs w:val="24"/>
              </w:rPr>
              <w:t xml:space="preserve">MI also ‘rolls with resistance’ rather than arguing when Maragret expresses fear about hospitalisation meaning disease progression, the clinician would explore these beliefs empathetically and collaboratively, reducing defensiveness and increasing trust.  Supporting self-efficacy is particularly relevant because Maragret feels betrayed by her body, the practitioner would affirm her resilience and highlight small, achievable steps to rebuild confidence and a sense of control.  </w:t>
            </w:r>
          </w:p>
          <w:p w14:paraId="270CED66" w14:textId="2239A137" w:rsidR="003825FB" w:rsidRPr="0003056D" w:rsidRDefault="004608C1" w:rsidP="00E818EB">
            <w:pPr>
              <w:spacing w:after="83" w:line="360" w:lineRule="auto"/>
              <w:ind w:left="0" w:firstLine="0"/>
              <w:rPr>
                <w:rFonts w:asciiTheme="majorHAnsi" w:hAnsiTheme="majorHAnsi" w:cstheme="majorHAnsi"/>
                <w:szCs w:val="24"/>
              </w:rPr>
            </w:pPr>
            <w:r w:rsidRPr="0003056D">
              <w:rPr>
                <w:rFonts w:asciiTheme="majorHAnsi" w:hAnsiTheme="majorHAnsi" w:cstheme="majorHAnsi"/>
                <w:szCs w:val="24"/>
              </w:rPr>
              <w:lastRenderedPageBreak/>
              <w:t>Research indicates that practitioners recognise MI’s value in promoting patient c</w:t>
            </w:r>
            <w:r w:rsidR="005B2BAC" w:rsidRPr="0003056D">
              <w:rPr>
                <w:rFonts w:asciiTheme="majorHAnsi" w:hAnsiTheme="majorHAnsi" w:cstheme="majorHAnsi"/>
                <w:szCs w:val="24"/>
              </w:rPr>
              <w:t xml:space="preserve">entred care and behaviour change, including in cancer, although training and integration into routine practice are needed to realise its full protentional (Aujoulat et al, 2025).  In Margarets case MI’s emphasis on empathy and partnership is likely to strengthen the therapeutic alliance, support emotional expression and increase her engagement, leading to more effective and personally meaningful treatment engagement.  </w:t>
            </w:r>
          </w:p>
        </w:tc>
      </w:tr>
    </w:tbl>
    <w:p w14:paraId="257375D1" w14:textId="77777777" w:rsidR="003825FB" w:rsidRPr="0003056D" w:rsidRDefault="003825FB" w:rsidP="003825FB">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3825FB" w:rsidRPr="0003056D" w14:paraId="77C536B3" w14:textId="77777777" w:rsidTr="00305EE4">
        <w:tc>
          <w:tcPr>
            <w:tcW w:w="9021" w:type="dxa"/>
          </w:tcPr>
          <w:p w14:paraId="597BA712" w14:textId="0C99C460" w:rsidR="003825FB" w:rsidRPr="0003056D" w:rsidRDefault="003825FB" w:rsidP="00305EE4">
            <w:pPr>
              <w:spacing w:after="83" w:line="239" w:lineRule="auto"/>
              <w:ind w:left="0" w:firstLine="0"/>
              <w:rPr>
                <w:rFonts w:asciiTheme="majorHAnsi" w:hAnsiTheme="majorHAnsi" w:cstheme="majorHAnsi"/>
                <w:szCs w:val="24"/>
              </w:rPr>
            </w:pPr>
            <w:r w:rsidRPr="0003056D">
              <w:rPr>
                <w:rFonts w:asciiTheme="majorHAnsi" w:hAnsiTheme="majorHAnsi" w:cstheme="majorHAnsi"/>
                <w:szCs w:val="24"/>
              </w:rPr>
              <w:t xml:space="preserve">2.2 </w:t>
            </w:r>
            <w:r w:rsidR="005E569B" w:rsidRPr="0003056D">
              <w:rPr>
                <w:rFonts w:asciiTheme="majorHAnsi" w:hAnsiTheme="majorHAnsi" w:cstheme="majorHAnsi"/>
                <w:b/>
                <w:bCs/>
                <w:szCs w:val="24"/>
              </w:rPr>
              <w:t>Evaluate</w:t>
            </w:r>
            <w:r w:rsidR="005E569B" w:rsidRPr="0003056D">
              <w:rPr>
                <w:rFonts w:asciiTheme="majorHAnsi" w:hAnsiTheme="majorHAnsi" w:cstheme="majorHAnsi"/>
                <w:szCs w:val="24"/>
              </w:rPr>
              <w:t xml:space="preserve"> </w:t>
            </w:r>
            <w:r w:rsidR="00EE3085" w:rsidRPr="0003056D">
              <w:rPr>
                <w:rFonts w:asciiTheme="majorHAnsi" w:hAnsiTheme="majorHAnsi" w:cstheme="majorHAnsi"/>
                <w:szCs w:val="24"/>
              </w:rPr>
              <w:t>how the communication styles</w:t>
            </w:r>
            <w:r w:rsidR="00DB42E3" w:rsidRPr="0003056D">
              <w:rPr>
                <w:rFonts w:asciiTheme="majorHAnsi" w:hAnsiTheme="majorHAnsi" w:cstheme="majorHAnsi"/>
                <w:szCs w:val="24"/>
              </w:rPr>
              <w:t xml:space="preserve"> or </w:t>
            </w:r>
            <w:r w:rsidR="00EE3085" w:rsidRPr="0003056D">
              <w:rPr>
                <w:rFonts w:asciiTheme="majorHAnsi" w:hAnsiTheme="majorHAnsi" w:cstheme="majorHAnsi"/>
                <w:szCs w:val="24"/>
              </w:rPr>
              <w:t xml:space="preserve">techniques analysed in 2.1 </w:t>
            </w:r>
            <w:r w:rsidR="00DB42E3" w:rsidRPr="0003056D">
              <w:rPr>
                <w:rFonts w:asciiTheme="majorHAnsi" w:hAnsiTheme="majorHAnsi" w:cstheme="majorHAnsi"/>
                <w:szCs w:val="24"/>
              </w:rPr>
              <w:t xml:space="preserve">could </w:t>
            </w:r>
            <w:r w:rsidR="00EE3085" w:rsidRPr="0003056D">
              <w:rPr>
                <w:rFonts w:asciiTheme="majorHAnsi" w:hAnsiTheme="majorHAnsi" w:cstheme="majorHAnsi"/>
                <w:szCs w:val="24"/>
              </w:rPr>
              <w:t xml:space="preserve">impact on </w:t>
            </w:r>
            <w:r w:rsidR="00DB42E3" w:rsidRPr="0003056D">
              <w:rPr>
                <w:rFonts w:asciiTheme="majorHAnsi" w:hAnsiTheme="majorHAnsi" w:cstheme="majorHAnsi"/>
                <w:szCs w:val="24"/>
              </w:rPr>
              <w:t xml:space="preserve">the </w:t>
            </w:r>
            <w:r w:rsidR="00EE3085" w:rsidRPr="0003056D">
              <w:rPr>
                <w:rFonts w:asciiTheme="majorHAnsi" w:hAnsiTheme="majorHAnsi" w:cstheme="majorHAnsi"/>
                <w:szCs w:val="24"/>
              </w:rPr>
              <w:t xml:space="preserve">therapeutic relationship with your case study. </w:t>
            </w:r>
            <w:r w:rsidR="00DB42E3" w:rsidRPr="0003056D">
              <w:rPr>
                <w:rFonts w:asciiTheme="majorHAnsi" w:hAnsiTheme="majorHAnsi" w:cstheme="majorHAnsi"/>
                <w:szCs w:val="24"/>
              </w:rPr>
              <w:t xml:space="preserve">Consider potential </w:t>
            </w:r>
            <w:r w:rsidR="00DB42E3" w:rsidRPr="0003056D">
              <w:rPr>
                <w:rFonts w:asciiTheme="majorHAnsi" w:hAnsiTheme="majorHAnsi" w:cstheme="majorHAnsi"/>
                <w:b/>
                <w:bCs/>
                <w:szCs w:val="24"/>
              </w:rPr>
              <w:t>benefits</w:t>
            </w:r>
            <w:r w:rsidR="00DB42E3" w:rsidRPr="0003056D">
              <w:rPr>
                <w:rFonts w:asciiTheme="majorHAnsi" w:hAnsiTheme="majorHAnsi" w:cstheme="majorHAnsi"/>
                <w:szCs w:val="24"/>
              </w:rPr>
              <w:t xml:space="preserve"> and </w:t>
            </w:r>
            <w:r w:rsidR="00DB42E3" w:rsidRPr="0003056D">
              <w:rPr>
                <w:rFonts w:asciiTheme="majorHAnsi" w:hAnsiTheme="majorHAnsi" w:cstheme="majorHAnsi"/>
                <w:b/>
                <w:bCs/>
                <w:szCs w:val="24"/>
              </w:rPr>
              <w:t xml:space="preserve">contraindication </w:t>
            </w:r>
            <w:r w:rsidR="00DB42E3" w:rsidRPr="0003056D">
              <w:rPr>
                <w:rFonts w:asciiTheme="majorHAnsi" w:hAnsiTheme="majorHAnsi" w:cstheme="majorHAnsi"/>
                <w:szCs w:val="24"/>
              </w:rPr>
              <w:t>of both</w:t>
            </w:r>
            <w:r w:rsidR="00A37DAE" w:rsidRPr="0003056D">
              <w:rPr>
                <w:rFonts w:asciiTheme="majorHAnsi" w:hAnsiTheme="majorHAnsi" w:cstheme="majorHAnsi"/>
                <w:szCs w:val="24"/>
              </w:rPr>
              <w:t xml:space="preserve"> (2.2). </w:t>
            </w:r>
            <w:r w:rsidR="001B7D73" w:rsidRPr="0003056D">
              <w:rPr>
                <w:rFonts w:asciiTheme="majorHAnsi" w:hAnsiTheme="majorHAnsi" w:cstheme="majorHAnsi"/>
                <w:szCs w:val="24"/>
              </w:rPr>
              <w:t xml:space="preserve"> </w:t>
            </w:r>
          </w:p>
        </w:tc>
      </w:tr>
      <w:tr w:rsidR="003825FB" w:rsidRPr="0003056D" w14:paraId="47561C67" w14:textId="77777777" w:rsidTr="00305EE4">
        <w:tc>
          <w:tcPr>
            <w:tcW w:w="9021" w:type="dxa"/>
          </w:tcPr>
          <w:p w14:paraId="5D2C483F" w14:textId="77777777" w:rsidR="00AB18A1" w:rsidRPr="0003056D" w:rsidRDefault="002C4376" w:rsidP="00D4196F">
            <w:pPr>
              <w:spacing w:after="83" w:line="360" w:lineRule="auto"/>
              <w:ind w:left="0" w:firstLine="0"/>
              <w:rPr>
                <w:rFonts w:asciiTheme="majorHAnsi" w:hAnsiTheme="majorHAnsi" w:cstheme="majorHAnsi"/>
                <w:szCs w:val="24"/>
              </w:rPr>
            </w:pPr>
            <w:r w:rsidRPr="0003056D">
              <w:rPr>
                <w:rFonts w:asciiTheme="majorHAnsi" w:hAnsiTheme="majorHAnsi" w:cstheme="majorHAnsi"/>
                <w:szCs w:val="24"/>
              </w:rPr>
              <w:t>Active listening can substantially strengthen the therapeutic relationship by fostering trust, empathy, and emotional safety.  Margaret is experiencing high levels of health-related anxiety, anticipatory nausea and a sense of bodily betrayal.  When the practitioner uses reflective responses and validation, it acknowledges her fear without dismissing it</w:t>
            </w:r>
            <w:r w:rsidR="006252F2" w:rsidRPr="0003056D">
              <w:rPr>
                <w:rFonts w:asciiTheme="majorHAnsi" w:hAnsiTheme="majorHAnsi" w:cstheme="majorHAnsi"/>
                <w:szCs w:val="24"/>
              </w:rPr>
              <w:t xml:space="preserve"> providing emotional validation.  As evidenced by Miller, (2023)</w:t>
            </w:r>
            <w:r w:rsidRPr="0003056D">
              <w:rPr>
                <w:rFonts w:asciiTheme="majorHAnsi" w:hAnsiTheme="majorHAnsi" w:cstheme="majorHAnsi"/>
                <w:szCs w:val="24"/>
              </w:rPr>
              <w:t xml:space="preserve"> </w:t>
            </w:r>
            <w:r w:rsidR="006252F2" w:rsidRPr="0003056D">
              <w:rPr>
                <w:rFonts w:asciiTheme="majorHAnsi" w:hAnsiTheme="majorHAnsi" w:cstheme="majorHAnsi"/>
                <w:szCs w:val="24"/>
              </w:rPr>
              <w:t>th</w:t>
            </w:r>
            <w:r w:rsidRPr="0003056D">
              <w:rPr>
                <w:rFonts w:asciiTheme="majorHAnsi" w:hAnsiTheme="majorHAnsi" w:cstheme="majorHAnsi"/>
                <w:szCs w:val="24"/>
              </w:rPr>
              <w:t>is can reduce the feeling of isolation and helps counter the feeling of losing control</w:t>
            </w:r>
            <w:r w:rsidR="006252F2" w:rsidRPr="0003056D">
              <w:rPr>
                <w:rFonts w:asciiTheme="majorHAnsi" w:hAnsiTheme="majorHAnsi" w:cstheme="majorHAnsi"/>
                <w:szCs w:val="24"/>
              </w:rPr>
              <w:t>.</w:t>
            </w:r>
            <w:r w:rsidR="00AB18A1" w:rsidRPr="0003056D">
              <w:rPr>
                <w:rFonts w:asciiTheme="majorHAnsi" w:hAnsiTheme="majorHAnsi" w:cstheme="majorHAnsi"/>
                <w:szCs w:val="24"/>
              </w:rPr>
              <w:t xml:space="preserve">  </w:t>
            </w:r>
            <w:r w:rsidRPr="0003056D">
              <w:rPr>
                <w:rFonts w:asciiTheme="majorHAnsi" w:hAnsiTheme="majorHAnsi" w:cstheme="majorHAnsi"/>
                <w:szCs w:val="24"/>
              </w:rPr>
              <w:t>Given her cognitive impairment (‘chemo brain’), summarising information and pacing conversations can improve her understanding and retention of care plans</w:t>
            </w:r>
            <w:r w:rsidR="002B1ED5" w:rsidRPr="0003056D">
              <w:rPr>
                <w:rFonts w:asciiTheme="majorHAnsi" w:hAnsiTheme="majorHAnsi" w:cstheme="majorHAnsi"/>
                <w:szCs w:val="24"/>
              </w:rPr>
              <w:t>.</w:t>
            </w:r>
            <w:r w:rsidRPr="0003056D">
              <w:rPr>
                <w:rFonts w:asciiTheme="majorHAnsi" w:hAnsiTheme="majorHAnsi" w:cstheme="majorHAnsi"/>
                <w:szCs w:val="24"/>
              </w:rPr>
              <w:t xml:space="preserve">  This not only enhances engagement but also demonstrates respect for her cognitive limitations, reinforcing a supportive alliance</w:t>
            </w:r>
            <w:r w:rsidR="002B1ED5" w:rsidRPr="0003056D">
              <w:rPr>
                <w:rFonts w:asciiTheme="majorHAnsi" w:hAnsiTheme="majorHAnsi" w:cstheme="majorHAnsi"/>
                <w:szCs w:val="24"/>
              </w:rPr>
              <w:t xml:space="preserve"> (Hsu and Chang-Lee 2025)</w:t>
            </w:r>
            <w:r w:rsidRPr="0003056D">
              <w:rPr>
                <w:rFonts w:asciiTheme="majorHAnsi" w:hAnsiTheme="majorHAnsi" w:cstheme="majorHAnsi"/>
                <w:szCs w:val="24"/>
              </w:rPr>
              <w:t>.</w:t>
            </w:r>
            <w:r w:rsidR="00AB18A1" w:rsidRPr="0003056D">
              <w:rPr>
                <w:rFonts w:asciiTheme="majorHAnsi" w:hAnsiTheme="majorHAnsi" w:cstheme="majorHAnsi"/>
                <w:szCs w:val="24"/>
              </w:rPr>
              <w:t xml:space="preserve">  </w:t>
            </w:r>
            <w:r w:rsidRPr="0003056D">
              <w:rPr>
                <w:rFonts w:asciiTheme="majorHAnsi" w:hAnsiTheme="majorHAnsi" w:cstheme="majorHAnsi"/>
                <w:szCs w:val="24"/>
              </w:rPr>
              <w:t xml:space="preserve">The principles of therapeutic relationships outlined by </w:t>
            </w:r>
            <w:r w:rsidR="006B34B9" w:rsidRPr="0003056D">
              <w:rPr>
                <w:rFonts w:asciiTheme="majorHAnsi" w:hAnsiTheme="majorHAnsi" w:cstheme="majorHAnsi"/>
                <w:szCs w:val="24"/>
              </w:rPr>
              <w:t>Fisher, Fonagy, and Zilcha-Mano, 2024</w:t>
            </w:r>
            <w:r w:rsidRPr="0003056D">
              <w:rPr>
                <w:rFonts w:asciiTheme="majorHAnsi" w:hAnsiTheme="majorHAnsi" w:cstheme="majorHAnsi"/>
                <w:szCs w:val="24"/>
              </w:rPr>
              <w:t>) suggest that trust and mutual understanding are central to effective care.  Active listening directly contributes to these elements, increasing the likelihood that Margaret will share concerns about nausea, nutrition or social burden, thereby enabling more holistic intervention</w:t>
            </w:r>
            <w:r w:rsidR="006B34B9" w:rsidRPr="0003056D">
              <w:rPr>
                <w:rFonts w:asciiTheme="majorHAnsi" w:hAnsiTheme="majorHAnsi" w:cstheme="majorHAnsi"/>
                <w:szCs w:val="24"/>
              </w:rPr>
              <w:t>.</w:t>
            </w:r>
            <w:r w:rsidRPr="0003056D">
              <w:rPr>
                <w:rFonts w:asciiTheme="majorHAnsi" w:hAnsiTheme="majorHAnsi" w:cstheme="majorHAnsi"/>
                <w:szCs w:val="24"/>
              </w:rPr>
              <w:t xml:space="preserve"> </w:t>
            </w:r>
            <w:r w:rsidR="00AB18A1" w:rsidRPr="0003056D">
              <w:rPr>
                <w:rFonts w:asciiTheme="majorHAnsi" w:hAnsiTheme="majorHAnsi" w:cstheme="majorHAnsi"/>
                <w:szCs w:val="24"/>
              </w:rPr>
              <w:t xml:space="preserve">  </w:t>
            </w:r>
          </w:p>
          <w:p w14:paraId="0CA01535" w14:textId="7E996107" w:rsidR="00D4196F" w:rsidRPr="0003056D" w:rsidRDefault="002C4376" w:rsidP="00D4196F">
            <w:pPr>
              <w:spacing w:after="83" w:line="360" w:lineRule="auto"/>
              <w:ind w:left="0" w:firstLine="0"/>
              <w:rPr>
                <w:rFonts w:asciiTheme="majorHAnsi" w:hAnsiTheme="majorHAnsi" w:cstheme="majorHAnsi"/>
                <w:szCs w:val="24"/>
              </w:rPr>
            </w:pPr>
            <w:r w:rsidRPr="0003056D">
              <w:rPr>
                <w:rFonts w:asciiTheme="majorHAnsi" w:hAnsiTheme="majorHAnsi" w:cstheme="majorHAnsi"/>
                <w:szCs w:val="24"/>
              </w:rPr>
              <w:t>However, active listening alone may not be sufficient when urgent clinical decisions are required.  In</w:t>
            </w:r>
            <w:r w:rsidR="00D4196F" w:rsidRPr="0003056D">
              <w:rPr>
                <w:rFonts w:asciiTheme="majorHAnsi" w:hAnsiTheme="majorHAnsi" w:cstheme="majorHAnsi"/>
                <w:szCs w:val="24"/>
              </w:rPr>
              <w:t xml:space="preserve"> acutes settings, a purely explanatory approach could delay necessary directive action.  Additionally, </w:t>
            </w:r>
            <w:r w:rsidR="00E83B36" w:rsidRPr="0003056D">
              <w:rPr>
                <w:rFonts w:asciiTheme="majorHAnsi" w:hAnsiTheme="majorHAnsi" w:cstheme="majorHAnsi"/>
                <w:szCs w:val="24"/>
              </w:rPr>
              <w:t>research conducted by Marx (2025) outlines that i</w:t>
            </w:r>
            <w:r w:rsidR="00D4196F" w:rsidRPr="0003056D">
              <w:rPr>
                <w:rFonts w:asciiTheme="majorHAnsi" w:hAnsiTheme="majorHAnsi" w:cstheme="majorHAnsi"/>
                <w:szCs w:val="24"/>
              </w:rPr>
              <w:t xml:space="preserve">f empathy is perceived as repetitive reassurance without practical solutions, </w:t>
            </w:r>
            <w:r w:rsidR="00E83B36" w:rsidRPr="0003056D">
              <w:rPr>
                <w:rFonts w:asciiTheme="majorHAnsi" w:hAnsiTheme="majorHAnsi" w:cstheme="majorHAnsi"/>
                <w:szCs w:val="24"/>
              </w:rPr>
              <w:t xml:space="preserve">a patient </w:t>
            </w:r>
            <w:r w:rsidR="00D4196F" w:rsidRPr="0003056D">
              <w:rPr>
                <w:rFonts w:asciiTheme="majorHAnsi" w:hAnsiTheme="majorHAnsi" w:cstheme="majorHAnsi"/>
                <w:szCs w:val="24"/>
              </w:rPr>
              <w:t>may feel heard but not supported in regaining control</w:t>
            </w:r>
            <w:r w:rsidR="00E83B36" w:rsidRPr="0003056D">
              <w:rPr>
                <w:rFonts w:asciiTheme="majorHAnsi" w:hAnsiTheme="majorHAnsi" w:cstheme="majorHAnsi"/>
                <w:szCs w:val="24"/>
              </w:rPr>
              <w:t>.</w:t>
            </w:r>
            <w:r w:rsidR="00AB18A1" w:rsidRPr="0003056D">
              <w:rPr>
                <w:rFonts w:asciiTheme="majorHAnsi" w:hAnsiTheme="majorHAnsi" w:cstheme="majorHAnsi"/>
                <w:szCs w:val="24"/>
              </w:rPr>
              <w:t xml:space="preserve">  </w:t>
            </w:r>
            <w:r w:rsidR="00D4196F" w:rsidRPr="0003056D">
              <w:rPr>
                <w:rFonts w:asciiTheme="majorHAnsi" w:hAnsiTheme="majorHAnsi" w:cstheme="majorHAnsi"/>
                <w:szCs w:val="24"/>
              </w:rPr>
              <w:t>There is also the risk of reinforcing health anxiety if fears are repeatedly explored without balancing them with clear, factual reassurance.  Therefore, active listening must be combined with clear guidance</w:t>
            </w:r>
            <w:r w:rsidR="00E83B36" w:rsidRPr="0003056D">
              <w:rPr>
                <w:rFonts w:asciiTheme="majorHAnsi" w:hAnsiTheme="majorHAnsi" w:cstheme="majorHAnsi"/>
                <w:szCs w:val="24"/>
              </w:rPr>
              <w:t xml:space="preserve">.  </w:t>
            </w:r>
          </w:p>
          <w:p w14:paraId="5F70AF89" w14:textId="023AC81A" w:rsidR="00DE2AEA" w:rsidRPr="0003056D" w:rsidRDefault="0036210C" w:rsidP="00DE2AEA">
            <w:pPr>
              <w:spacing w:after="83" w:line="360" w:lineRule="auto"/>
              <w:ind w:left="0" w:firstLine="0"/>
              <w:rPr>
                <w:rFonts w:asciiTheme="majorHAnsi" w:hAnsiTheme="majorHAnsi" w:cstheme="majorHAnsi"/>
                <w:szCs w:val="24"/>
              </w:rPr>
            </w:pPr>
            <w:r w:rsidRPr="0003056D">
              <w:rPr>
                <w:rFonts w:asciiTheme="majorHAnsi" w:hAnsiTheme="majorHAnsi" w:cstheme="majorHAnsi"/>
                <w:szCs w:val="24"/>
              </w:rPr>
              <w:lastRenderedPageBreak/>
              <w:t xml:space="preserve">Motivational interviewing </w:t>
            </w:r>
            <w:r w:rsidR="00FE113F" w:rsidRPr="0003056D">
              <w:rPr>
                <w:rFonts w:asciiTheme="majorHAnsi" w:hAnsiTheme="majorHAnsi" w:cstheme="majorHAnsi"/>
                <w:szCs w:val="24"/>
              </w:rPr>
              <w:t xml:space="preserve">may well be particularly impactful in restoring the patient’s sense of autonomy, as </w:t>
            </w:r>
            <w:r w:rsidR="00480181" w:rsidRPr="0003056D">
              <w:rPr>
                <w:rFonts w:asciiTheme="majorHAnsi" w:hAnsiTheme="majorHAnsi" w:cstheme="majorHAnsi"/>
                <w:szCs w:val="24"/>
              </w:rPr>
              <w:t>she</w:t>
            </w:r>
            <w:r w:rsidR="00FE113F" w:rsidRPr="0003056D">
              <w:rPr>
                <w:rFonts w:asciiTheme="majorHAnsi" w:hAnsiTheme="majorHAnsi" w:cstheme="majorHAnsi"/>
                <w:szCs w:val="24"/>
              </w:rPr>
              <w:t xml:space="preserve"> reported feeling overwhelmed and betrayed by her body</w:t>
            </w:r>
            <w:r w:rsidR="00480181" w:rsidRPr="0003056D">
              <w:rPr>
                <w:rFonts w:asciiTheme="majorHAnsi" w:hAnsiTheme="majorHAnsi" w:cstheme="majorHAnsi"/>
                <w:szCs w:val="24"/>
              </w:rPr>
              <w:t xml:space="preserve">.  As evidenced by Resnicow and McCaster </w:t>
            </w:r>
            <w:r w:rsidR="00AD5AED" w:rsidRPr="0003056D">
              <w:rPr>
                <w:rFonts w:asciiTheme="majorHAnsi" w:hAnsiTheme="majorHAnsi" w:cstheme="majorHAnsi"/>
                <w:szCs w:val="24"/>
              </w:rPr>
              <w:t xml:space="preserve">(2012) </w:t>
            </w:r>
            <w:r w:rsidR="00FE113F" w:rsidRPr="0003056D">
              <w:rPr>
                <w:rFonts w:asciiTheme="majorHAnsi" w:hAnsiTheme="majorHAnsi" w:cstheme="majorHAnsi"/>
                <w:szCs w:val="24"/>
              </w:rPr>
              <w:t>MI’s collaborative autonomy supportive style addresses this loss of control</w:t>
            </w:r>
            <w:r w:rsidR="00480181" w:rsidRPr="0003056D">
              <w:rPr>
                <w:rFonts w:asciiTheme="majorHAnsi" w:hAnsiTheme="majorHAnsi" w:cstheme="majorHAnsi"/>
                <w:szCs w:val="24"/>
              </w:rPr>
              <w:t xml:space="preserve"> and emphasises as patient centred approach which can align with </w:t>
            </w:r>
            <w:r w:rsidR="00AD5AED" w:rsidRPr="0003056D">
              <w:rPr>
                <w:rFonts w:asciiTheme="majorHAnsi" w:hAnsiTheme="majorHAnsi" w:cstheme="majorHAnsi"/>
                <w:szCs w:val="24"/>
              </w:rPr>
              <w:t xml:space="preserve">the patients’ </w:t>
            </w:r>
            <w:r w:rsidR="00480181" w:rsidRPr="0003056D">
              <w:rPr>
                <w:rFonts w:asciiTheme="majorHAnsi" w:hAnsiTheme="majorHAnsi" w:cstheme="majorHAnsi"/>
                <w:szCs w:val="24"/>
              </w:rPr>
              <w:t xml:space="preserve">values </w:t>
            </w:r>
            <w:r w:rsidR="00AD5AED" w:rsidRPr="0003056D">
              <w:rPr>
                <w:rFonts w:asciiTheme="majorHAnsi" w:hAnsiTheme="majorHAnsi" w:cstheme="majorHAnsi"/>
                <w:szCs w:val="24"/>
              </w:rPr>
              <w:t xml:space="preserve">and motivations.  By exploring her ‘fighting spirit’ and aligning with </w:t>
            </w:r>
            <w:r w:rsidR="00D60E40" w:rsidRPr="0003056D">
              <w:rPr>
                <w:rFonts w:asciiTheme="majorHAnsi" w:hAnsiTheme="majorHAnsi" w:cstheme="majorHAnsi"/>
                <w:szCs w:val="24"/>
              </w:rPr>
              <w:t>her values including completing treatment, returning to her church community and reducing burden on family with short term goals, MI can help with intrinsi</w:t>
            </w:r>
            <w:r w:rsidR="00667C1C" w:rsidRPr="0003056D">
              <w:rPr>
                <w:rFonts w:asciiTheme="majorHAnsi" w:hAnsiTheme="majorHAnsi" w:cstheme="majorHAnsi"/>
                <w:szCs w:val="24"/>
              </w:rPr>
              <w:t>c motivation.</w:t>
            </w:r>
            <w:r w:rsidR="00C6239D" w:rsidRPr="0003056D">
              <w:rPr>
                <w:rFonts w:asciiTheme="majorHAnsi" w:hAnsiTheme="majorHAnsi" w:cstheme="majorHAnsi"/>
                <w:szCs w:val="24"/>
              </w:rPr>
              <w:t xml:space="preserve">  This may improve adherence and engagement with supportive care services.</w:t>
            </w:r>
          </w:p>
          <w:p w14:paraId="0F89FCEF" w14:textId="375E4712" w:rsidR="00C6239D" w:rsidRPr="0003056D" w:rsidRDefault="00667C1C" w:rsidP="00DE2AEA">
            <w:pPr>
              <w:spacing w:after="83" w:line="360" w:lineRule="auto"/>
              <w:ind w:left="0" w:firstLine="0"/>
              <w:rPr>
                <w:rFonts w:asciiTheme="majorHAnsi" w:hAnsiTheme="majorHAnsi" w:cstheme="majorHAnsi"/>
                <w:szCs w:val="24"/>
              </w:rPr>
            </w:pPr>
            <w:r w:rsidRPr="0003056D">
              <w:rPr>
                <w:rFonts w:asciiTheme="majorHAnsi" w:hAnsiTheme="majorHAnsi" w:cstheme="majorHAnsi"/>
                <w:szCs w:val="24"/>
              </w:rPr>
              <w:t xml:space="preserve">Similarly to research conducted by Westra, and Norouzian, (2018) </w:t>
            </w:r>
            <w:r w:rsidR="00C6239D" w:rsidRPr="0003056D">
              <w:rPr>
                <w:rFonts w:asciiTheme="majorHAnsi" w:hAnsiTheme="majorHAnsi" w:cstheme="majorHAnsi"/>
                <w:szCs w:val="24"/>
              </w:rPr>
              <w:t xml:space="preserve">MI’s emphasis on rolling with resistance is also beneficial when addressing </w:t>
            </w:r>
            <w:r w:rsidRPr="0003056D">
              <w:rPr>
                <w:rFonts w:asciiTheme="majorHAnsi" w:hAnsiTheme="majorHAnsi" w:cstheme="majorHAnsi"/>
                <w:szCs w:val="24"/>
              </w:rPr>
              <w:t xml:space="preserve">Maragaret’s </w:t>
            </w:r>
            <w:r w:rsidR="00C6239D" w:rsidRPr="0003056D">
              <w:rPr>
                <w:rFonts w:asciiTheme="majorHAnsi" w:hAnsiTheme="majorHAnsi" w:cstheme="majorHAnsi"/>
                <w:szCs w:val="24"/>
              </w:rPr>
              <w:t>anticipatory nausea or fears regarding disease progressions.  Rather than challenging her beliefs directly, the practitioner validates and gently explores them, reducing defensiveness and strengthening trust</w:t>
            </w:r>
            <w:r w:rsidRPr="0003056D">
              <w:rPr>
                <w:rFonts w:asciiTheme="majorHAnsi" w:hAnsiTheme="majorHAnsi" w:cstheme="majorHAnsi"/>
                <w:szCs w:val="24"/>
              </w:rPr>
              <w:t xml:space="preserve">.  </w:t>
            </w:r>
          </w:p>
          <w:p w14:paraId="7BD0BEAF" w14:textId="6A3593DB" w:rsidR="00EE3085" w:rsidRPr="0003056D" w:rsidRDefault="00667C1C" w:rsidP="00E12955">
            <w:pPr>
              <w:spacing w:after="83" w:line="360" w:lineRule="auto"/>
              <w:ind w:left="0" w:firstLine="0"/>
              <w:rPr>
                <w:rFonts w:asciiTheme="majorHAnsi" w:hAnsiTheme="majorHAnsi" w:cstheme="majorHAnsi"/>
                <w:szCs w:val="24"/>
              </w:rPr>
            </w:pPr>
            <w:r w:rsidRPr="0003056D">
              <w:rPr>
                <w:rFonts w:asciiTheme="majorHAnsi" w:hAnsiTheme="majorHAnsi" w:cstheme="majorHAnsi"/>
                <w:szCs w:val="24"/>
              </w:rPr>
              <w:t xml:space="preserve">Despite these strengths, MI presents challenges in Margaret’s acute condition.  Her lethargy, electrolyte imbalance, and cognitive impairment may reduce her capacity for reflective discussion or complex decision making.  In situations </w:t>
            </w:r>
            <w:r w:rsidR="00E12955" w:rsidRPr="0003056D">
              <w:rPr>
                <w:rFonts w:asciiTheme="majorHAnsi" w:hAnsiTheme="majorHAnsi" w:cstheme="majorHAnsi"/>
                <w:szCs w:val="24"/>
              </w:rPr>
              <w:t>MI probing questioning may need to be adapted</w:t>
            </w:r>
            <w:r w:rsidR="00DF61DA" w:rsidRPr="0003056D">
              <w:rPr>
                <w:rFonts w:asciiTheme="majorHAnsi" w:hAnsiTheme="majorHAnsi" w:cstheme="majorHAnsi"/>
                <w:szCs w:val="24"/>
              </w:rPr>
              <w:t>.</w:t>
            </w:r>
          </w:p>
          <w:p w14:paraId="678DD5F6" w14:textId="1C2C19B7" w:rsidR="003825FB" w:rsidRPr="0003056D" w:rsidRDefault="00E12955" w:rsidP="00DF61DA">
            <w:pPr>
              <w:spacing w:after="83" w:line="360" w:lineRule="auto"/>
              <w:ind w:left="0" w:firstLine="0"/>
              <w:rPr>
                <w:rFonts w:asciiTheme="majorHAnsi" w:hAnsiTheme="majorHAnsi" w:cstheme="majorHAnsi"/>
                <w:szCs w:val="24"/>
              </w:rPr>
            </w:pPr>
            <w:r w:rsidRPr="0003056D">
              <w:rPr>
                <w:rFonts w:asciiTheme="majorHAnsi" w:hAnsiTheme="majorHAnsi" w:cstheme="majorHAnsi"/>
                <w:szCs w:val="24"/>
              </w:rPr>
              <w:t>Furthermore, MI assumes a degree of readiness for behavioural change.  If Maragret is primarily seeking reassurance or immediate symptom relief, therefore prolonged enquiry of ambivalence could increase her frustration or fatigue.  This is supported by research conducted by Ehrlich, Berry, Gorman, and Brandoff, (2020) where they identified fatigue</w:t>
            </w:r>
            <w:r w:rsidR="00DF61DA" w:rsidRPr="0003056D">
              <w:rPr>
                <w:rFonts w:asciiTheme="majorHAnsi" w:hAnsiTheme="majorHAnsi" w:cstheme="majorHAnsi"/>
                <w:szCs w:val="24"/>
              </w:rPr>
              <w:t xml:space="preserve"> and overwhelm where triggers in cancer patients </w:t>
            </w:r>
            <w:r w:rsidR="00F91634" w:rsidRPr="0003056D">
              <w:rPr>
                <w:rFonts w:asciiTheme="majorHAnsi" w:hAnsiTheme="majorHAnsi" w:cstheme="majorHAnsi"/>
                <w:szCs w:val="24"/>
              </w:rPr>
              <w:t>who chose to no longer</w:t>
            </w:r>
            <w:r w:rsidR="00DF61DA" w:rsidRPr="0003056D">
              <w:rPr>
                <w:rFonts w:asciiTheme="majorHAnsi" w:hAnsiTheme="majorHAnsi" w:cstheme="majorHAnsi"/>
                <w:szCs w:val="24"/>
              </w:rPr>
              <w:t xml:space="preserve"> engag</w:t>
            </w:r>
            <w:r w:rsidR="00F91634" w:rsidRPr="0003056D">
              <w:rPr>
                <w:rFonts w:asciiTheme="majorHAnsi" w:hAnsiTheme="majorHAnsi" w:cstheme="majorHAnsi"/>
                <w:szCs w:val="24"/>
              </w:rPr>
              <w:t>e</w:t>
            </w:r>
            <w:r w:rsidR="00DF61DA" w:rsidRPr="0003056D">
              <w:rPr>
                <w:rFonts w:asciiTheme="majorHAnsi" w:hAnsiTheme="majorHAnsi" w:cstheme="majorHAnsi"/>
                <w:szCs w:val="24"/>
              </w:rPr>
              <w:t xml:space="preserve"> with MI interventions.  T</w:t>
            </w:r>
            <w:r w:rsidRPr="0003056D">
              <w:rPr>
                <w:rFonts w:asciiTheme="majorHAnsi" w:hAnsiTheme="majorHAnsi" w:cstheme="majorHAnsi"/>
                <w:szCs w:val="24"/>
              </w:rPr>
              <w:t xml:space="preserve">here is also the risk of that overemphasis on autonomy could inadvertently place pressure on her to focus on behaviour change when she feels physically incapable. </w:t>
            </w:r>
            <w:r w:rsidR="00DF61DA" w:rsidRPr="0003056D">
              <w:rPr>
                <w:rFonts w:asciiTheme="majorHAnsi" w:hAnsiTheme="majorHAnsi" w:cstheme="majorHAnsi"/>
                <w:szCs w:val="24"/>
              </w:rPr>
              <w:t xml:space="preserve">  </w:t>
            </w:r>
          </w:p>
        </w:tc>
      </w:tr>
    </w:tbl>
    <w:p w14:paraId="6AA4F86B" w14:textId="41451687" w:rsidR="003825FB" w:rsidRPr="0003056D" w:rsidRDefault="003825FB" w:rsidP="003825FB">
      <w:pPr>
        <w:ind w:left="0" w:firstLine="0"/>
        <w:rPr>
          <w:rFonts w:asciiTheme="majorHAnsi" w:hAnsiTheme="majorHAnsi" w:cstheme="majorHAnsi"/>
          <w:szCs w:val="24"/>
        </w:rPr>
      </w:pPr>
      <w:r w:rsidRPr="0003056D">
        <w:rPr>
          <w:rFonts w:asciiTheme="majorHAnsi" w:hAnsiTheme="majorHAnsi" w:cstheme="majorHAnsi"/>
          <w:szCs w:val="24"/>
        </w:rPr>
        <w:lastRenderedPageBreak/>
        <w:t xml:space="preserve">                               </w:t>
      </w:r>
    </w:p>
    <w:p w14:paraId="55DB1B74" w14:textId="77777777" w:rsidR="003825FB" w:rsidRPr="0003056D" w:rsidRDefault="003825FB" w:rsidP="003825FB">
      <w:pPr>
        <w:ind w:left="0" w:firstLine="0"/>
        <w:rPr>
          <w:rFonts w:asciiTheme="majorHAnsi" w:hAnsiTheme="majorHAnsi" w:cstheme="majorHAnsi"/>
          <w:b/>
          <w:bCs/>
          <w:szCs w:val="24"/>
        </w:rPr>
      </w:pPr>
    </w:p>
    <w:p w14:paraId="7A3CD2F5" w14:textId="77777777" w:rsidR="00DB42E3" w:rsidRPr="0003056D" w:rsidRDefault="00DB42E3" w:rsidP="00EE3085">
      <w:pPr>
        <w:spacing w:after="0" w:line="240" w:lineRule="auto"/>
        <w:ind w:left="0" w:firstLine="0"/>
        <w:rPr>
          <w:rFonts w:asciiTheme="majorHAnsi" w:hAnsiTheme="majorHAnsi" w:cstheme="majorHAnsi"/>
          <w:b/>
          <w:bCs/>
          <w:szCs w:val="24"/>
        </w:rPr>
      </w:pPr>
    </w:p>
    <w:p w14:paraId="50027462" w14:textId="77777777" w:rsidR="00DF61DA" w:rsidRPr="0003056D" w:rsidRDefault="00DF61DA" w:rsidP="00EE3085">
      <w:pPr>
        <w:spacing w:after="0" w:line="240" w:lineRule="auto"/>
        <w:ind w:left="0" w:firstLine="0"/>
        <w:rPr>
          <w:rFonts w:asciiTheme="majorHAnsi" w:hAnsiTheme="majorHAnsi" w:cstheme="majorHAnsi"/>
          <w:b/>
          <w:bCs/>
          <w:szCs w:val="24"/>
        </w:rPr>
      </w:pPr>
    </w:p>
    <w:p w14:paraId="39A946D7" w14:textId="77777777" w:rsidR="00DF61DA" w:rsidRPr="0003056D" w:rsidRDefault="00DF61DA" w:rsidP="00EE3085">
      <w:pPr>
        <w:spacing w:after="0" w:line="240" w:lineRule="auto"/>
        <w:ind w:left="0" w:firstLine="0"/>
        <w:rPr>
          <w:rFonts w:asciiTheme="majorHAnsi" w:hAnsiTheme="majorHAnsi" w:cstheme="majorHAnsi"/>
          <w:b/>
          <w:bCs/>
          <w:szCs w:val="24"/>
        </w:rPr>
      </w:pPr>
    </w:p>
    <w:p w14:paraId="256CA46A" w14:textId="77777777" w:rsidR="00DF61DA" w:rsidRPr="0003056D" w:rsidRDefault="00DF61DA" w:rsidP="00EE3085">
      <w:pPr>
        <w:spacing w:after="0" w:line="240" w:lineRule="auto"/>
        <w:ind w:left="0" w:firstLine="0"/>
        <w:rPr>
          <w:rFonts w:asciiTheme="majorHAnsi" w:hAnsiTheme="majorHAnsi" w:cstheme="majorHAnsi"/>
          <w:b/>
          <w:bCs/>
          <w:szCs w:val="24"/>
        </w:rPr>
      </w:pPr>
    </w:p>
    <w:p w14:paraId="2766AAF6" w14:textId="77777777" w:rsidR="00DF61DA" w:rsidRPr="0003056D" w:rsidRDefault="00DF61DA" w:rsidP="00EE3085">
      <w:pPr>
        <w:spacing w:after="0" w:line="240" w:lineRule="auto"/>
        <w:ind w:left="0" w:firstLine="0"/>
        <w:rPr>
          <w:rFonts w:asciiTheme="majorHAnsi" w:hAnsiTheme="majorHAnsi" w:cstheme="majorHAnsi"/>
          <w:b/>
          <w:bCs/>
          <w:szCs w:val="24"/>
        </w:rPr>
      </w:pPr>
    </w:p>
    <w:p w14:paraId="531010E5" w14:textId="77777777" w:rsidR="00AB18A1" w:rsidRPr="0003056D" w:rsidRDefault="00AB18A1" w:rsidP="00EE3085">
      <w:pPr>
        <w:spacing w:after="0" w:line="240" w:lineRule="auto"/>
        <w:ind w:left="0" w:firstLine="0"/>
        <w:rPr>
          <w:rFonts w:asciiTheme="majorHAnsi" w:hAnsiTheme="majorHAnsi" w:cstheme="majorHAnsi"/>
          <w:b/>
          <w:bCs/>
          <w:szCs w:val="24"/>
        </w:rPr>
      </w:pPr>
    </w:p>
    <w:p w14:paraId="0143D975" w14:textId="77777777" w:rsidR="00AB18A1" w:rsidRPr="0003056D" w:rsidRDefault="00AB18A1" w:rsidP="00EE3085">
      <w:pPr>
        <w:spacing w:after="0" w:line="240" w:lineRule="auto"/>
        <w:ind w:left="0" w:firstLine="0"/>
        <w:rPr>
          <w:rFonts w:asciiTheme="majorHAnsi" w:hAnsiTheme="majorHAnsi" w:cstheme="majorHAnsi"/>
          <w:b/>
          <w:bCs/>
          <w:szCs w:val="24"/>
        </w:rPr>
      </w:pPr>
    </w:p>
    <w:p w14:paraId="7013ABB7" w14:textId="77777777" w:rsidR="00AB18A1" w:rsidRPr="0003056D" w:rsidRDefault="00AB18A1" w:rsidP="00EE3085">
      <w:pPr>
        <w:spacing w:after="0" w:line="240" w:lineRule="auto"/>
        <w:ind w:left="0" w:firstLine="0"/>
        <w:rPr>
          <w:rFonts w:asciiTheme="majorHAnsi" w:hAnsiTheme="majorHAnsi" w:cstheme="majorHAnsi"/>
          <w:b/>
          <w:bCs/>
          <w:szCs w:val="24"/>
        </w:rPr>
      </w:pPr>
    </w:p>
    <w:p w14:paraId="0F0C42A0" w14:textId="77777777" w:rsidR="00AB18A1" w:rsidRPr="0003056D" w:rsidRDefault="00AB18A1" w:rsidP="00EE3085">
      <w:pPr>
        <w:spacing w:after="0" w:line="240" w:lineRule="auto"/>
        <w:ind w:left="0" w:firstLine="0"/>
        <w:rPr>
          <w:rFonts w:asciiTheme="majorHAnsi" w:hAnsiTheme="majorHAnsi" w:cstheme="majorHAnsi"/>
          <w:b/>
          <w:bCs/>
          <w:szCs w:val="24"/>
        </w:rPr>
      </w:pPr>
    </w:p>
    <w:p w14:paraId="072D91B6" w14:textId="77777777" w:rsidR="00AB18A1" w:rsidRPr="0003056D" w:rsidRDefault="00AB18A1" w:rsidP="00EE3085">
      <w:pPr>
        <w:spacing w:after="0" w:line="240" w:lineRule="auto"/>
        <w:ind w:left="0" w:firstLine="0"/>
        <w:rPr>
          <w:rFonts w:asciiTheme="majorHAnsi" w:hAnsiTheme="majorHAnsi" w:cstheme="majorHAnsi"/>
          <w:b/>
          <w:bCs/>
          <w:szCs w:val="24"/>
        </w:rPr>
      </w:pPr>
    </w:p>
    <w:p w14:paraId="5839ED3B" w14:textId="2BB92E95" w:rsidR="00EE3085" w:rsidRPr="0003056D" w:rsidRDefault="003825FB" w:rsidP="00EE3085">
      <w:pPr>
        <w:spacing w:after="0" w:line="240" w:lineRule="auto"/>
        <w:ind w:left="0" w:firstLine="0"/>
        <w:rPr>
          <w:rFonts w:ascii="Arial" w:hAnsi="Arial" w:cs="Arial"/>
          <w:color w:val="5F5F61"/>
          <w:kern w:val="0"/>
          <w:sz w:val="23"/>
          <w:szCs w:val="23"/>
          <w14:ligatures w14:val="none"/>
        </w:rPr>
      </w:pPr>
      <w:r w:rsidRPr="0003056D">
        <w:rPr>
          <w:rFonts w:asciiTheme="majorHAnsi" w:hAnsiTheme="majorHAnsi" w:cstheme="majorHAnsi"/>
          <w:b/>
          <w:bCs/>
          <w:szCs w:val="24"/>
        </w:rPr>
        <w:t xml:space="preserve">Task Three: </w:t>
      </w:r>
      <w:r w:rsidR="00EE3085" w:rsidRPr="0003056D">
        <w:rPr>
          <w:rFonts w:ascii="Arial" w:hAnsi="Arial" w:cs="Arial"/>
          <w:color w:val="auto"/>
          <w:kern w:val="0"/>
          <w:sz w:val="23"/>
          <w:szCs w:val="23"/>
          <w14:ligatures w14:val="none"/>
        </w:rPr>
        <w:t>Understand how inter and intrapersonal skills can affect therapeutic interventions</w:t>
      </w:r>
      <w:r w:rsidR="00B92C06" w:rsidRPr="0003056D">
        <w:rPr>
          <w:rFonts w:ascii="Arial" w:hAnsi="Arial" w:cs="Arial"/>
          <w:color w:val="auto"/>
          <w:kern w:val="0"/>
          <w:sz w:val="23"/>
          <w:szCs w:val="23"/>
          <w14:ligatures w14:val="none"/>
        </w:rPr>
        <w:t xml:space="preserve"> </w:t>
      </w:r>
      <w:r w:rsidR="00B92C06" w:rsidRPr="0003056D">
        <w:rPr>
          <w:rFonts w:asciiTheme="majorHAnsi" w:hAnsiTheme="majorHAnsi" w:cstheme="majorHAnsi"/>
          <w:color w:val="auto"/>
          <w:szCs w:val="24"/>
        </w:rPr>
        <w:t>(minimum of one citation</w:t>
      </w:r>
      <w:r w:rsidR="000E44AD" w:rsidRPr="0003056D">
        <w:rPr>
          <w:rFonts w:asciiTheme="majorHAnsi" w:hAnsiTheme="majorHAnsi" w:cstheme="majorHAnsi"/>
          <w:color w:val="auto"/>
          <w:szCs w:val="24"/>
        </w:rPr>
        <w:t xml:space="preserve"> within this task</w:t>
      </w:r>
      <w:r w:rsidR="00B92C06" w:rsidRPr="0003056D">
        <w:rPr>
          <w:rFonts w:asciiTheme="majorHAnsi" w:hAnsiTheme="majorHAnsi" w:cstheme="majorHAnsi"/>
          <w:color w:val="auto"/>
          <w:szCs w:val="24"/>
        </w:rPr>
        <w:t>).</w:t>
      </w:r>
    </w:p>
    <w:p w14:paraId="6549DB88" w14:textId="77777777" w:rsidR="003825FB" w:rsidRPr="0003056D" w:rsidRDefault="003825FB" w:rsidP="003825FB">
      <w:pPr>
        <w:rPr>
          <w:rFonts w:asciiTheme="majorHAnsi" w:hAnsiTheme="majorHAnsi" w:cstheme="majorHAnsi"/>
          <w:b/>
          <w:bCs/>
          <w:szCs w:val="24"/>
        </w:rPr>
      </w:pPr>
      <w:r w:rsidRPr="0003056D">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03056D" w14:paraId="5CE36784" w14:textId="77777777" w:rsidTr="00305EE4">
        <w:tc>
          <w:tcPr>
            <w:tcW w:w="9016" w:type="dxa"/>
          </w:tcPr>
          <w:p w14:paraId="5D77ED9C" w14:textId="041978ED" w:rsidR="003825FB" w:rsidRPr="0003056D" w:rsidRDefault="003825FB" w:rsidP="00F269B7">
            <w:pPr>
              <w:spacing w:line="240" w:lineRule="auto"/>
              <w:ind w:left="0" w:firstLine="0"/>
              <w:rPr>
                <w:rFonts w:asciiTheme="majorHAnsi" w:hAnsiTheme="majorHAnsi" w:cstheme="majorHAnsi"/>
                <w:szCs w:val="24"/>
              </w:rPr>
            </w:pPr>
            <w:r w:rsidRPr="0003056D">
              <w:rPr>
                <w:rFonts w:asciiTheme="majorHAnsi" w:hAnsiTheme="majorHAnsi" w:cstheme="majorHAnsi"/>
                <w:szCs w:val="24"/>
              </w:rPr>
              <w:t>3.1</w:t>
            </w:r>
            <w:r w:rsidR="00EE3085" w:rsidRPr="0003056D">
              <w:rPr>
                <w:rFonts w:asciiTheme="majorHAnsi" w:hAnsiTheme="majorHAnsi" w:cstheme="majorHAnsi"/>
                <w:szCs w:val="24"/>
              </w:rPr>
              <w:t xml:space="preserve"> </w:t>
            </w:r>
            <w:r w:rsidR="00EE3085" w:rsidRPr="0003056D">
              <w:rPr>
                <w:rFonts w:asciiTheme="majorHAnsi" w:hAnsiTheme="majorHAnsi" w:cstheme="majorHAnsi"/>
                <w:b/>
                <w:bCs/>
                <w:szCs w:val="24"/>
              </w:rPr>
              <w:t>Critically evaluate</w:t>
            </w:r>
            <w:r w:rsidR="00EE3085" w:rsidRPr="0003056D">
              <w:rPr>
                <w:rFonts w:asciiTheme="majorHAnsi" w:hAnsiTheme="majorHAnsi" w:cstheme="majorHAnsi"/>
                <w:szCs w:val="24"/>
              </w:rPr>
              <w:t xml:space="preserve"> how inter and intrapersonal skills </w:t>
            </w:r>
            <w:r w:rsidR="00DB42E3" w:rsidRPr="0003056D">
              <w:rPr>
                <w:rFonts w:asciiTheme="majorHAnsi" w:hAnsiTheme="majorHAnsi" w:cstheme="majorHAnsi"/>
                <w:szCs w:val="24"/>
              </w:rPr>
              <w:t>could</w:t>
            </w:r>
            <w:r w:rsidR="00EE3085" w:rsidRPr="0003056D">
              <w:rPr>
                <w:rFonts w:asciiTheme="majorHAnsi" w:hAnsiTheme="majorHAnsi" w:cstheme="majorHAnsi"/>
                <w:szCs w:val="24"/>
              </w:rPr>
              <w:t xml:space="preserve"> </w:t>
            </w:r>
            <w:r w:rsidR="00EE3085" w:rsidRPr="0003056D">
              <w:rPr>
                <w:rFonts w:asciiTheme="majorHAnsi" w:hAnsiTheme="majorHAnsi" w:cstheme="majorHAnsi"/>
                <w:b/>
                <w:bCs/>
                <w:szCs w:val="24"/>
              </w:rPr>
              <w:t>enhanc</w:t>
            </w:r>
            <w:r w:rsidR="00DB42E3" w:rsidRPr="0003056D">
              <w:rPr>
                <w:rFonts w:asciiTheme="majorHAnsi" w:hAnsiTheme="majorHAnsi" w:cstheme="majorHAnsi"/>
                <w:b/>
                <w:bCs/>
                <w:szCs w:val="24"/>
              </w:rPr>
              <w:t>e</w:t>
            </w:r>
            <w:r w:rsidR="00EE3085" w:rsidRPr="0003056D">
              <w:rPr>
                <w:rFonts w:asciiTheme="majorHAnsi" w:hAnsiTheme="majorHAnsi" w:cstheme="majorHAnsi"/>
                <w:b/>
                <w:bCs/>
                <w:szCs w:val="24"/>
              </w:rPr>
              <w:t xml:space="preserve"> or detract</w:t>
            </w:r>
            <w:r w:rsidR="00EE3085" w:rsidRPr="0003056D">
              <w:rPr>
                <w:rFonts w:asciiTheme="majorHAnsi" w:hAnsiTheme="majorHAnsi" w:cstheme="majorHAnsi"/>
                <w:szCs w:val="24"/>
              </w:rPr>
              <w:t xml:space="preserve"> from achieving an effective therapeutic intervention </w:t>
            </w:r>
            <w:r w:rsidR="00DB42E3" w:rsidRPr="0003056D">
              <w:rPr>
                <w:rFonts w:asciiTheme="majorHAnsi" w:hAnsiTheme="majorHAnsi" w:cstheme="majorHAnsi"/>
                <w:szCs w:val="24"/>
              </w:rPr>
              <w:t xml:space="preserve">with your case study patient </w:t>
            </w:r>
            <w:r w:rsidR="00EE3085" w:rsidRPr="0003056D">
              <w:rPr>
                <w:rFonts w:asciiTheme="majorHAnsi" w:hAnsiTheme="majorHAnsi" w:cstheme="majorHAnsi"/>
                <w:szCs w:val="24"/>
              </w:rPr>
              <w:t>(5.1)</w:t>
            </w:r>
          </w:p>
        </w:tc>
      </w:tr>
      <w:tr w:rsidR="003825FB" w:rsidRPr="0003056D" w14:paraId="1539697C" w14:textId="77777777" w:rsidTr="00305EE4">
        <w:tc>
          <w:tcPr>
            <w:tcW w:w="9016" w:type="dxa"/>
          </w:tcPr>
          <w:p w14:paraId="096DC42B" w14:textId="3035483F" w:rsidR="00F269B7" w:rsidRPr="0003056D" w:rsidRDefault="00F269B7" w:rsidP="00F269B7">
            <w:pPr>
              <w:pStyle w:val="NormalWeb"/>
              <w:spacing w:line="360" w:lineRule="auto"/>
              <w:rPr>
                <w:rFonts w:asciiTheme="majorHAnsi" w:hAnsiTheme="majorHAnsi"/>
              </w:rPr>
            </w:pPr>
            <w:r w:rsidRPr="0003056D">
              <w:rPr>
                <w:rFonts w:asciiTheme="majorHAnsi" w:hAnsiTheme="majorHAnsi"/>
              </w:rPr>
              <w:t>Interpersonal and intrapersonal skills are crucial in achieving an effective therapeutic intervention for Margaret, given the complexity of her biological, psychological, and social needs.  Biologically, she is frail due to stage 3 triple negative breast cancer, chemotherapy side effects, dehydration, acute kidney injury, electrolyte imbalance, oral thrush, and weight loss.  These physical stressors increase her vulnerability, meaning that the way care is delivered is just as important as the clinical treatment itself.</w:t>
            </w:r>
          </w:p>
          <w:p w14:paraId="530B64EF" w14:textId="31A1C185" w:rsidR="00F269B7" w:rsidRPr="0003056D" w:rsidRDefault="00F269B7" w:rsidP="00F269B7">
            <w:pPr>
              <w:pStyle w:val="NormalWeb"/>
              <w:spacing w:line="360" w:lineRule="auto"/>
              <w:rPr>
                <w:rFonts w:asciiTheme="majorHAnsi" w:hAnsiTheme="majorHAnsi"/>
              </w:rPr>
            </w:pPr>
            <w:r w:rsidRPr="0003056D">
              <w:rPr>
                <w:rFonts w:asciiTheme="majorHAnsi" w:hAnsiTheme="majorHAnsi"/>
              </w:rPr>
              <w:t>Interpersonal skills such as empathy, active listening, and clear communication are essential in managing Margaret’s health-related anxiety and cognitive impairment (“chemo brain”).  As she struggles to retain information, practitioners must communicate slowly, use simple explanations, and check her understanding</w:t>
            </w:r>
            <w:r w:rsidR="00B77C3D" w:rsidRPr="0003056D">
              <w:rPr>
                <w:rFonts w:asciiTheme="majorHAnsi" w:hAnsiTheme="majorHAnsi"/>
              </w:rPr>
              <w:t xml:space="preserve">.  This is supported by research carried out by Mishari and Ali (2025) highlight that using simpler language, clear articulation, repetition and non-verbal cues and gestures are important to building trust and demonstrates the importance of tailoring communication to patients is crucial patient dignity and engagement.  </w:t>
            </w:r>
            <w:r w:rsidRPr="0003056D">
              <w:rPr>
                <w:rFonts w:asciiTheme="majorHAnsi" w:hAnsiTheme="majorHAnsi"/>
              </w:rPr>
              <w:t>Sensitive reassurance about her hospitalisation is particularly important, as she fears it signals cancer progression despite evidence to the contrary.  If clinicians appear rushed, dismissive, or overly technical, her anxiety may increase, potentially worsening her anticipatory nausea and sense of losing control (</w:t>
            </w:r>
            <w:r w:rsidR="00D931D3" w:rsidRPr="0003056D">
              <w:rPr>
                <w:rFonts w:asciiTheme="majorHAnsi" w:hAnsiTheme="majorHAnsi"/>
              </w:rPr>
              <w:t>Hildenbrand, Perrault, and Heejoon Rnoh, 2021)</w:t>
            </w:r>
            <w:r w:rsidRPr="0003056D">
              <w:rPr>
                <w:rFonts w:asciiTheme="majorHAnsi" w:hAnsiTheme="majorHAnsi"/>
              </w:rPr>
              <w:t xml:space="preserve"> Equally, overemphasising her “fighting spirit” without acknowledging her fear of bodily betrayal may unintentionally invalidate her distress.</w:t>
            </w:r>
          </w:p>
          <w:p w14:paraId="772C1151" w14:textId="735795B6" w:rsidR="00F269B7" w:rsidRPr="0003056D" w:rsidRDefault="00F269B7" w:rsidP="00F269B7">
            <w:pPr>
              <w:pStyle w:val="NormalWeb"/>
              <w:spacing w:line="360" w:lineRule="auto"/>
              <w:rPr>
                <w:rFonts w:asciiTheme="majorHAnsi" w:hAnsiTheme="majorHAnsi"/>
              </w:rPr>
            </w:pPr>
            <w:r w:rsidRPr="0003056D">
              <w:rPr>
                <w:rFonts w:asciiTheme="majorHAnsi" w:hAnsiTheme="majorHAnsi"/>
              </w:rPr>
              <w:t>Intrapersonal skills, including self-awareness and emotional regulation, are equally important.  Caring for a patient with visible frailty and cancer-related complications may evoke strong emotional reactions in healthcare practitioners</w:t>
            </w:r>
            <w:r w:rsidR="00003B66" w:rsidRPr="0003056D">
              <w:rPr>
                <w:rFonts w:asciiTheme="majorHAnsi" w:hAnsiTheme="majorHAnsi"/>
              </w:rPr>
              <w:t xml:space="preserve">.  </w:t>
            </w:r>
            <w:r w:rsidRPr="0003056D">
              <w:rPr>
                <w:rFonts w:asciiTheme="majorHAnsi" w:hAnsiTheme="majorHAnsi"/>
              </w:rPr>
              <w:t>Without insight, frustration at repeated reassurance-seeking or emotional over-involvement could subtly affect tone and behaviour, weakening trust.  Conversely, reflective practice enables the practitioner to manage personal responses and remain calm, consistent, and therapeutic</w:t>
            </w:r>
            <w:r w:rsidR="006B2367" w:rsidRPr="0003056D">
              <w:rPr>
                <w:rFonts w:asciiTheme="majorHAnsi" w:hAnsiTheme="majorHAnsi"/>
              </w:rPr>
              <w:t xml:space="preserve"> (</w:t>
            </w:r>
            <w:r w:rsidR="00003B66" w:rsidRPr="0003056D">
              <w:rPr>
                <w:rFonts w:asciiTheme="majorHAnsi" w:hAnsiTheme="majorHAnsi"/>
              </w:rPr>
              <w:t>Fowler, 2020</w:t>
            </w:r>
            <w:r w:rsidR="006B2367" w:rsidRPr="0003056D">
              <w:rPr>
                <w:rFonts w:asciiTheme="majorHAnsi" w:hAnsiTheme="majorHAnsi"/>
              </w:rPr>
              <w:t>)</w:t>
            </w:r>
            <w:r w:rsidRPr="0003056D">
              <w:rPr>
                <w:rFonts w:asciiTheme="majorHAnsi" w:hAnsiTheme="majorHAnsi"/>
              </w:rPr>
              <w:t xml:space="preserve">.  </w:t>
            </w:r>
            <w:r w:rsidRPr="0003056D">
              <w:rPr>
                <w:rFonts w:asciiTheme="majorHAnsi" w:hAnsiTheme="majorHAnsi"/>
              </w:rPr>
              <w:lastRenderedPageBreak/>
              <w:t>A judgmental approach could undermine her autonomy; a reflective and collaborative one could help her consider broader support while preserving dignity.</w:t>
            </w:r>
          </w:p>
          <w:p w14:paraId="7C885532" w14:textId="19099B71" w:rsidR="003825FB" w:rsidRPr="0003056D" w:rsidRDefault="006B2367" w:rsidP="00003B66">
            <w:pPr>
              <w:pStyle w:val="NormalWeb"/>
              <w:spacing w:line="360" w:lineRule="auto"/>
              <w:rPr>
                <w:rFonts w:asciiTheme="majorHAnsi" w:hAnsiTheme="majorHAnsi"/>
                <w:color w:val="FFFFFF"/>
              </w:rPr>
            </w:pPr>
            <w:r w:rsidRPr="0003056D">
              <w:rPr>
                <w:rFonts w:asciiTheme="majorHAnsi" w:hAnsiTheme="majorHAnsi"/>
              </w:rPr>
              <w:t>Margaret’s anticipatory nausea highlights the significant psychological dimension of her care.   Psychological interventions aimed at addressing conditioned responses to the hospital environment such as relaxation strategies, and guided imagery, may help reduce this response</w:t>
            </w:r>
            <w:r w:rsidR="00521EAF" w:rsidRPr="0003056D">
              <w:rPr>
                <w:rFonts w:asciiTheme="majorHAnsi" w:hAnsiTheme="majorHAnsi"/>
              </w:rPr>
              <w:t xml:space="preserve">.  Evidence of this can be </w:t>
            </w:r>
            <w:r w:rsidR="008B6AC2" w:rsidRPr="0003056D">
              <w:rPr>
                <w:rFonts w:asciiTheme="majorHAnsi" w:hAnsiTheme="majorHAnsi"/>
              </w:rPr>
              <w:t>found</w:t>
            </w:r>
            <w:r w:rsidR="00521EAF" w:rsidRPr="0003056D">
              <w:rPr>
                <w:rFonts w:asciiTheme="majorHAnsi" w:hAnsiTheme="majorHAnsi"/>
              </w:rPr>
              <w:t xml:space="preserve"> in research by </w:t>
            </w:r>
            <w:r w:rsidR="008B6AC2" w:rsidRPr="0003056D">
              <w:rPr>
                <w:rFonts w:asciiTheme="majorHAnsi" w:hAnsiTheme="majorHAnsi"/>
              </w:rPr>
              <w:t>Toussaint et al, (2021</w:t>
            </w:r>
            <w:r w:rsidRPr="0003056D">
              <w:rPr>
                <w:rFonts w:asciiTheme="majorHAnsi" w:hAnsiTheme="majorHAnsi"/>
              </w:rPr>
              <w:t>)</w:t>
            </w:r>
            <w:r w:rsidR="008B6AC2" w:rsidRPr="0003056D">
              <w:rPr>
                <w:rFonts w:asciiTheme="majorHAnsi" w:hAnsiTheme="majorHAnsi"/>
              </w:rPr>
              <w:t xml:space="preserve"> who identified that guided imagery could help reduce stress responses that may be related to a conditioned response to being in a hospital setting.  </w:t>
            </w:r>
            <w:r w:rsidRPr="0003056D">
              <w:rPr>
                <w:rFonts w:asciiTheme="majorHAnsi" w:hAnsiTheme="majorHAnsi"/>
              </w:rPr>
              <w:t>However, their effectiveness depends on a strong therapeutic alliance, without this foundation, such techniques may feel mechanical or invalidating, limiting their impact</w:t>
            </w:r>
            <w:r w:rsidR="007A2D82" w:rsidRPr="0003056D">
              <w:rPr>
                <w:rFonts w:asciiTheme="majorHAnsi" w:hAnsiTheme="majorHAnsi"/>
              </w:rPr>
              <w:t xml:space="preserve"> this is reinforced by research carried out by Paap et al, 2022 who noted the importance of strengthening the therapeutic alliance to optimise outcomes</w:t>
            </w:r>
            <w:r w:rsidR="00003B66" w:rsidRPr="0003056D">
              <w:rPr>
                <w:rFonts w:asciiTheme="majorHAnsi" w:hAnsiTheme="majorHAnsi"/>
              </w:rPr>
              <w:t xml:space="preserve"> from interventions such as guided imagery and relaxation techniques.  </w:t>
            </w:r>
            <w:r w:rsidRPr="0003056D">
              <w:rPr>
                <w:rFonts w:asciiTheme="majorHAnsi" w:hAnsiTheme="majorHAnsi"/>
              </w:rPr>
              <w:t xml:space="preserve">  </w:t>
            </w:r>
            <w:r w:rsidR="00F269B7" w:rsidRPr="0003056D">
              <w:rPr>
                <w:rFonts w:asciiTheme="majorHAnsi" w:hAnsiTheme="majorHAnsi"/>
              </w:rPr>
              <w:t xml:space="preserve">Overall, well-developed interpersonal and intrapersonal skills can enhance Margaret’s sense of safety, control, and understanding, supporting both psychological </w:t>
            </w:r>
            <w:r w:rsidR="00166690" w:rsidRPr="0003056D">
              <w:rPr>
                <w:rFonts w:asciiTheme="majorHAnsi" w:hAnsiTheme="majorHAnsi"/>
              </w:rPr>
              <w:t>regulation</w:t>
            </w:r>
            <w:r w:rsidR="00F269B7" w:rsidRPr="0003056D">
              <w:rPr>
                <w:rFonts w:asciiTheme="majorHAnsi" w:hAnsiTheme="majorHAnsi"/>
              </w:rPr>
              <w:t xml:space="preserve"> and physical recovery. </w:t>
            </w:r>
            <w:r w:rsidRPr="0003056D">
              <w:rPr>
                <w:rFonts w:asciiTheme="majorHAnsi" w:hAnsiTheme="majorHAnsi"/>
              </w:rPr>
              <w:t xml:space="preserve"> </w:t>
            </w:r>
            <w:r w:rsidR="00F269B7" w:rsidRPr="0003056D">
              <w:rPr>
                <w:rFonts w:asciiTheme="majorHAnsi" w:hAnsiTheme="majorHAnsi"/>
              </w:rPr>
              <w:t xml:space="preserve">However, poorly managed communication, lack of empathy, or insufficient self-awareness could reinforce anxiety, isolation, and feelings of burden. </w:t>
            </w:r>
            <w:r w:rsidRPr="0003056D">
              <w:rPr>
                <w:rFonts w:asciiTheme="majorHAnsi" w:hAnsiTheme="majorHAnsi"/>
              </w:rPr>
              <w:t xml:space="preserve"> </w:t>
            </w:r>
          </w:p>
        </w:tc>
      </w:tr>
    </w:tbl>
    <w:p w14:paraId="56907983" w14:textId="77777777" w:rsidR="003825FB" w:rsidRPr="0003056D" w:rsidRDefault="003825FB" w:rsidP="003825FB">
      <w:pPr>
        <w:rPr>
          <w:rFonts w:asciiTheme="majorHAnsi" w:hAnsiTheme="majorHAnsi" w:cstheme="majorHAnsi"/>
          <w:szCs w:val="24"/>
        </w:rPr>
      </w:pPr>
    </w:p>
    <w:tbl>
      <w:tblPr>
        <w:tblStyle w:val="TableGrid"/>
        <w:tblW w:w="10330" w:type="dxa"/>
        <w:tblInd w:w="90" w:type="dxa"/>
        <w:tblLook w:val="04A0" w:firstRow="1" w:lastRow="0" w:firstColumn="1" w:lastColumn="0" w:noHBand="0" w:noVBand="1"/>
      </w:tblPr>
      <w:tblGrid>
        <w:gridCol w:w="9224"/>
        <w:gridCol w:w="1106"/>
      </w:tblGrid>
      <w:tr w:rsidR="003825FB" w:rsidRPr="0003056D" w14:paraId="63588939" w14:textId="77777777" w:rsidTr="00EE3085">
        <w:trPr>
          <w:trHeight w:val="1561"/>
        </w:trPr>
        <w:tc>
          <w:tcPr>
            <w:tcW w:w="9224" w:type="dxa"/>
            <w:tcBorders>
              <w:top w:val="nil"/>
              <w:left w:val="nil"/>
              <w:bottom w:val="nil"/>
              <w:right w:val="nil"/>
            </w:tcBorders>
            <w:vAlign w:val="center"/>
          </w:tcPr>
          <w:p w14:paraId="7D29F44C" w14:textId="77777777" w:rsidR="006B2367" w:rsidRPr="0003056D" w:rsidRDefault="006B2367" w:rsidP="00305EE4">
            <w:pPr>
              <w:spacing w:after="0" w:line="259" w:lineRule="auto"/>
              <w:ind w:left="0" w:right="115" w:firstLine="0"/>
              <w:rPr>
                <w:rFonts w:asciiTheme="majorHAnsi" w:hAnsiTheme="majorHAnsi" w:cstheme="majorHAnsi"/>
                <w:b/>
                <w:bCs/>
                <w:szCs w:val="24"/>
              </w:rPr>
            </w:pPr>
          </w:p>
          <w:p w14:paraId="2E97DCAB" w14:textId="5C44ECAA" w:rsidR="003825FB" w:rsidRPr="0003056D" w:rsidRDefault="003825FB" w:rsidP="00305EE4">
            <w:pPr>
              <w:spacing w:after="0" w:line="259" w:lineRule="auto"/>
              <w:ind w:left="0" w:right="115" w:firstLine="0"/>
              <w:rPr>
                <w:rFonts w:asciiTheme="majorHAnsi" w:hAnsiTheme="majorHAnsi" w:cstheme="majorHAnsi"/>
                <w:b/>
                <w:bCs/>
              </w:rPr>
            </w:pPr>
            <w:r w:rsidRPr="0003056D">
              <w:rPr>
                <w:rFonts w:asciiTheme="majorHAnsi" w:hAnsiTheme="majorHAnsi" w:cstheme="majorHAnsi"/>
                <w:b/>
                <w:bCs/>
                <w:szCs w:val="24"/>
              </w:rPr>
              <w:t xml:space="preserve">Task Four: </w:t>
            </w:r>
            <w:r w:rsidR="00EE3085" w:rsidRPr="0003056D">
              <w:rPr>
                <w:rFonts w:asciiTheme="majorHAnsi" w:hAnsiTheme="majorHAnsi" w:cstheme="majorHAnsi"/>
              </w:rPr>
              <w:t>Understand the impact of therapeutic relationships on own health and wellbeing</w:t>
            </w:r>
            <w:r w:rsidR="00B92C06" w:rsidRPr="0003056D">
              <w:rPr>
                <w:rFonts w:asciiTheme="majorHAnsi" w:hAnsiTheme="majorHAnsi" w:cstheme="majorHAnsi"/>
              </w:rPr>
              <w:t xml:space="preserve"> </w:t>
            </w:r>
            <w:r w:rsidR="00B92C06" w:rsidRPr="0003056D">
              <w:rPr>
                <w:rFonts w:asciiTheme="majorHAnsi" w:hAnsiTheme="majorHAnsi" w:cstheme="majorHAnsi"/>
                <w:color w:val="auto"/>
                <w:szCs w:val="24"/>
              </w:rPr>
              <w:t>(minimum of one citation</w:t>
            </w:r>
            <w:r w:rsidR="000E44AD" w:rsidRPr="0003056D">
              <w:rPr>
                <w:rFonts w:asciiTheme="majorHAnsi" w:hAnsiTheme="majorHAnsi" w:cstheme="majorHAnsi"/>
                <w:color w:val="auto"/>
                <w:szCs w:val="24"/>
              </w:rPr>
              <w:t xml:space="preserve"> within this task</w:t>
            </w:r>
            <w:r w:rsidR="00B92C06" w:rsidRPr="0003056D">
              <w:rPr>
                <w:rFonts w:asciiTheme="majorHAnsi" w:hAnsiTheme="majorHAnsi" w:cstheme="majorHAnsi"/>
                <w:color w:val="auto"/>
                <w:szCs w:val="24"/>
              </w:rPr>
              <w:t>).</w:t>
            </w:r>
          </w:p>
          <w:p w14:paraId="12F96105" w14:textId="77777777" w:rsidR="003825FB" w:rsidRPr="0003056D" w:rsidRDefault="003825FB" w:rsidP="00305EE4">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3825FB" w:rsidRPr="0003056D" w14:paraId="4E4EEC3D" w14:textId="77777777" w:rsidTr="00305EE4">
              <w:tc>
                <w:tcPr>
                  <w:tcW w:w="9214" w:type="dxa"/>
                </w:tcPr>
                <w:p w14:paraId="12CAA437" w14:textId="5ACFA91E" w:rsidR="00EE3085" w:rsidRPr="0003056D" w:rsidRDefault="003825FB" w:rsidP="00EE3085">
                  <w:pPr>
                    <w:spacing w:after="0" w:line="259" w:lineRule="auto"/>
                    <w:ind w:left="0" w:right="115" w:firstLine="0"/>
                    <w:rPr>
                      <w:rFonts w:asciiTheme="majorHAnsi" w:hAnsiTheme="majorHAnsi" w:cstheme="majorHAnsi"/>
                      <w:color w:val="auto"/>
                      <w:szCs w:val="24"/>
                    </w:rPr>
                  </w:pPr>
                  <w:r w:rsidRPr="0003056D">
                    <w:rPr>
                      <w:rFonts w:asciiTheme="majorHAnsi" w:hAnsiTheme="majorHAnsi" w:cstheme="majorHAnsi"/>
                      <w:szCs w:val="24"/>
                    </w:rPr>
                    <w:t xml:space="preserve">4.1 </w:t>
                  </w:r>
                  <w:r w:rsidR="00EE3085" w:rsidRPr="0003056D">
                    <w:rPr>
                      <w:rFonts w:ascii="Arial" w:hAnsi="Arial" w:cs="Arial"/>
                      <w:b/>
                      <w:bCs/>
                      <w:color w:val="auto"/>
                      <w:sz w:val="23"/>
                      <w:szCs w:val="23"/>
                    </w:rPr>
                    <w:t>Explain</w:t>
                  </w:r>
                  <w:r w:rsidR="00EE3085" w:rsidRPr="0003056D">
                    <w:rPr>
                      <w:rFonts w:ascii="Arial" w:hAnsi="Arial" w:cs="Arial"/>
                      <w:color w:val="auto"/>
                      <w:sz w:val="23"/>
                      <w:szCs w:val="23"/>
                    </w:rPr>
                    <w:t xml:space="preserve"> the potential risks to the health and wellbeing of therapists when forming therapeutic relationships (6.1)</w:t>
                  </w:r>
                </w:p>
                <w:p w14:paraId="040BA894" w14:textId="09B6C50F" w:rsidR="003825FB" w:rsidRPr="0003056D" w:rsidRDefault="003825FB" w:rsidP="00305EE4">
                  <w:pPr>
                    <w:spacing w:after="0" w:line="259" w:lineRule="auto"/>
                    <w:ind w:left="0" w:right="115" w:firstLine="0"/>
                    <w:rPr>
                      <w:rFonts w:asciiTheme="majorHAnsi" w:hAnsiTheme="majorHAnsi" w:cstheme="majorHAnsi"/>
                      <w:szCs w:val="24"/>
                    </w:rPr>
                  </w:pPr>
                </w:p>
              </w:tc>
            </w:tr>
            <w:tr w:rsidR="003825FB" w:rsidRPr="0003056D" w14:paraId="0616801D" w14:textId="77777777" w:rsidTr="00305EE4">
              <w:tc>
                <w:tcPr>
                  <w:tcW w:w="9214" w:type="dxa"/>
                </w:tcPr>
                <w:p w14:paraId="44C9BC06" w14:textId="412416D6" w:rsidR="003825FB" w:rsidRPr="0003056D" w:rsidRDefault="00166690" w:rsidP="00166690">
                  <w:pPr>
                    <w:spacing w:after="0" w:line="360" w:lineRule="auto"/>
                    <w:ind w:left="0" w:right="115" w:firstLine="0"/>
                    <w:rPr>
                      <w:rFonts w:asciiTheme="majorHAnsi" w:hAnsiTheme="majorHAnsi" w:cstheme="majorHAnsi"/>
                      <w:szCs w:val="24"/>
                    </w:rPr>
                  </w:pPr>
                  <w:r w:rsidRPr="0003056D">
                    <w:rPr>
                      <w:rFonts w:asciiTheme="majorHAnsi" w:hAnsiTheme="majorHAnsi" w:cstheme="majorHAnsi"/>
                      <w:szCs w:val="24"/>
                    </w:rPr>
                    <w:t xml:space="preserve">Forming and maintaining therapeutic relationships </w:t>
                  </w:r>
                  <w:r w:rsidR="00E566C2" w:rsidRPr="0003056D">
                    <w:rPr>
                      <w:rFonts w:asciiTheme="majorHAnsi" w:hAnsiTheme="majorHAnsi" w:cstheme="majorHAnsi"/>
                      <w:szCs w:val="24"/>
                    </w:rPr>
                    <w:t xml:space="preserve">can place significant emotional, psychological, and physical demands on healthcare practitioners.  Prolonged exposure to a patient’s distress, trauma and complex needs can </w:t>
                  </w:r>
                  <w:r w:rsidR="00A6162F" w:rsidRPr="0003056D">
                    <w:rPr>
                      <w:rFonts w:asciiTheme="majorHAnsi" w:hAnsiTheme="majorHAnsi" w:cstheme="majorHAnsi"/>
                      <w:szCs w:val="24"/>
                    </w:rPr>
                    <w:t xml:space="preserve">contribute to burnout.  Research by Adams </w:t>
                  </w:r>
                  <w:r w:rsidR="00A6162F" w:rsidRPr="0003056D">
                    <w:rPr>
                      <w:rFonts w:asciiTheme="majorHAnsi" w:hAnsiTheme="majorHAnsi" w:cstheme="majorHAnsi"/>
                      <w:i/>
                      <w:iCs/>
                      <w:szCs w:val="24"/>
                    </w:rPr>
                    <w:t>et al,</w:t>
                  </w:r>
                  <w:r w:rsidR="00A6162F" w:rsidRPr="0003056D">
                    <w:rPr>
                      <w:rFonts w:asciiTheme="majorHAnsi" w:hAnsiTheme="majorHAnsi" w:cstheme="majorHAnsi"/>
                      <w:szCs w:val="24"/>
                    </w:rPr>
                    <w:t xml:space="preserve"> (2024) characterises burnout as emotional exhaustion, depersonalisation, reduced empathy and diminished job satisfaction.  The authors further explain that burnout not only leads to psychological difficulties but can also negatively affect physical health, contributing to symptoms such as headaches, cardiovascular and gastrointestinal issues.  Their findings clearly highlight the significant risks to both mental and physical wellbeing of practitioners when adequate workplace support is not in place.  </w:t>
                  </w:r>
                </w:p>
                <w:p w14:paraId="67DC3628" w14:textId="1C5FF211" w:rsidR="003825FB" w:rsidRPr="0003056D" w:rsidRDefault="00A6162F" w:rsidP="006D6730">
                  <w:pPr>
                    <w:spacing w:after="0" w:line="360" w:lineRule="auto"/>
                    <w:ind w:left="0" w:right="115" w:firstLine="0"/>
                    <w:rPr>
                      <w:rFonts w:asciiTheme="majorHAnsi" w:hAnsiTheme="majorHAnsi" w:cstheme="majorHAnsi"/>
                      <w:szCs w:val="24"/>
                    </w:rPr>
                  </w:pPr>
                  <w:r w:rsidRPr="0003056D">
                    <w:rPr>
                      <w:rFonts w:asciiTheme="majorHAnsi" w:hAnsiTheme="majorHAnsi" w:cstheme="majorHAnsi"/>
                      <w:szCs w:val="24"/>
                    </w:rPr>
                    <w:lastRenderedPageBreak/>
                    <w:t xml:space="preserve">Closely related </w:t>
                  </w:r>
                  <w:r w:rsidR="000475EA" w:rsidRPr="0003056D">
                    <w:rPr>
                      <w:rFonts w:asciiTheme="majorHAnsi" w:hAnsiTheme="majorHAnsi" w:cstheme="majorHAnsi"/>
                      <w:szCs w:val="24"/>
                    </w:rPr>
                    <w:t>is compassion fatigue, research by Garnett, Hui, Oleynikov, and Boamah, (2023) outlines that compassion fatigue can have a considerable impact on health professionals, with repeated exposure to suffering can impact their capacity for empathy, cause mental stress, emotional exhaustion and negatively impact professional performance.</w:t>
                  </w:r>
                  <w:r w:rsidR="00D20206" w:rsidRPr="0003056D">
                    <w:rPr>
                      <w:rFonts w:asciiTheme="majorHAnsi" w:hAnsiTheme="majorHAnsi" w:cstheme="majorHAnsi"/>
                      <w:szCs w:val="24"/>
                    </w:rPr>
                    <w:t xml:space="preserve">  The ongoing emotional labour which is required to manage personal feelings while remaining professionally present can further contribute to feelings of stress and exhaustion.  Over time this pressure may increase depression and anxiety, this is evident in research carried out by Dar </w:t>
                  </w:r>
                  <w:r w:rsidR="00D20206" w:rsidRPr="0003056D">
                    <w:rPr>
                      <w:rFonts w:asciiTheme="majorHAnsi" w:hAnsiTheme="majorHAnsi" w:cstheme="majorHAnsi"/>
                      <w:i/>
                      <w:iCs/>
                      <w:szCs w:val="24"/>
                    </w:rPr>
                    <w:t>et al</w:t>
                  </w:r>
                  <w:r w:rsidR="00D20206" w:rsidRPr="0003056D">
                    <w:rPr>
                      <w:rFonts w:asciiTheme="majorHAnsi" w:hAnsiTheme="majorHAnsi" w:cstheme="majorHAnsi"/>
                      <w:szCs w:val="24"/>
                    </w:rPr>
                    <w:t xml:space="preserve">, (2025) who found that healthcare professionals experiencing compassion fatigue and burnout were positively associated with higher levels of anxiety.  </w:t>
                  </w:r>
                  <w:r w:rsidR="00CF2157" w:rsidRPr="0003056D">
                    <w:rPr>
                      <w:rFonts w:asciiTheme="majorHAnsi" w:hAnsiTheme="majorHAnsi" w:cstheme="majorHAnsi"/>
                      <w:szCs w:val="24"/>
                    </w:rPr>
                    <w:t>In addition to anxiety and depression health care practitioners can experience sleep disturbances caused by rumination and heightened stress levels.  Chronic stress associated with long term burnout can also weaken the immune system, leading to increased illness and physical fatigue (Bayes, Tavella, and Parker, 2021).</w:t>
                  </w:r>
                  <w:r w:rsidR="00482F2C" w:rsidRPr="0003056D">
                    <w:rPr>
                      <w:rFonts w:asciiTheme="majorHAnsi" w:hAnsiTheme="majorHAnsi" w:cstheme="majorHAnsi"/>
                      <w:szCs w:val="24"/>
                    </w:rPr>
                    <w:t xml:space="preserve">  Furthermore, the inherently confidential nature of one-to-one therapeutic work can contribute to professional </w:t>
                  </w:r>
                  <w:r w:rsidR="006D6730" w:rsidRPr="0003056D">
                    <w:rPr>
                      <w:rFonts w:asciiTheme="majorHAnsi" w:hAnsiTheme="majorHAnsi" w:cstheme="majorHAnsi"/>
                      <w:szCs w:val="24"/>
                    </w:rPr>
                    <w:t xml:space="preserve">isolation, reducing opportunities for informal peer support and reflection.  The emotional intensity of the role may extend beyond the workplace affecting personal relationships, creating conflict, diminishing emotional availability to family and friends.  Without sufficient supervision, support and self-care practices, these pressures can negatively affect both the practitioner’s wellbeing and the quality of care delivered.  Research by Edmonds </w:t>
                  </w:r>
                  <w:r w:rsidR="006D6730" w:rsidRPr="0003056D">
                    <w:rPr>
                      <w:rFonts w:asciiTheme="majorHAnsi" w:hAnsiTheme="majorHAnsi" w:cstheme="majorHAnsi"/>
                      <w:i/>
                      <w:iCs/>
                      <w:szCs w:val="24"/>
                    </w:rPr>
                    <w:t>et al,</w:t>
                  </w:r>
                  <w:r w:rsidR="006D6730" w:rsidRPr="0003056D">
                    <w:rPr>
                      <w:rFonts w:asciiTheme="majorHAnsi" w:hAnsiTheme="majorHAnsi" w:cstheme="majorHAnsi"/>
                      <w:szCs w:val="24"/>
                    </w:rPr>
                    <w:t xml:space="preserve"> (2015) reinforces this perspective highlighting that effective clinical supervision promotes self-awareness, encourages emotional expression, and facilitates reflective processing.  These features are associated with reduced stress levels and a lower risk of burnout.  </w:t>
                  </w:r>
                </w:p>
              </w:tc>
            </w:tr>
          </w:tbl>
          <w:p w14:paraId="283D9B5F" w14:textId="77777777" w:rsidR="003825FB" w:rsidRPr="0003056D" w:rsidRDefault="003825FB" w:rsidP="00305EE4">
            <w:pPr>
              <w:spacing w:after="0" w:line="259" w:lineRule="auto"/>
              <w:ind w:left="240" w:right="115" w:hanging="240"/>
              <w:rPr>
                <w:rFonts w:asciiTheme="majorHAnsi" w:hAnsiTheme="majorHAnsi" w:cstheme="majorHAnsi"/>
                <w:szCs w:val="24"/>
              </w:rPr>
            </w:pPr>
          </w:p>
          <w:p w14:paraId="5E7E6640" w14:textId="77777777" w:rsidR="003825FB" w:rsidRPr="0003056D" w:rsidRDefault="003825FB" w:rsidP="00305EE4">
            <w:pPr>
              <w:spacing w:after="0" w:line="259" w:lineRule="auto"/>
              <w:ind w:left="240" w:right="115" w:hanging="240"/>
              <w:rPr>
                <w:rFonts w:asciiTheme="majorHAnsi" w:hAnsiTheme="majorHAnsi" w:cstheme="majorHAnsi"/>
                <w:szCs w:val="24"/>
              </w:rPr>
            </w:pPr>
          </w:p>
        </w:tc>
        <w:tc>
          <w:tcPr>
            <w:tcW w:w="1106" w:type="dxa"/>
            <w:tcBorders>
              <w:top w:val="nil"/>
              <w:left w:val="nil"/>
              <w:bottom w:val="nil"/>
              <w:right w:val="nil"/>
            </w:tcBorders>
            <w:vAlign w:val="center"/>
          </w:tcPr>
          <w:p w14:paraId="32257DD1" w14:textId="77777777" w:rsidR="003825FB" w:rsidRPr="0003056D" w:rsidRDefault="003825FB" w:rsidP="00305EE4">
            <w:pPr>
              <w:spacing w:after="0" w:line="259" w:lineRule="auto"/>
              <w:ind w:left="360" w:hanging="360"/>
              <w:rPr>
                <w:rFonts w:asciiTheme="majorHAnsi" w:hAnsiTheme="majorHAnsi" w:cstheme="majorHAnsi"/>
                <w:szCs w:val="24"/>
              </w:rPr>
            </w:pPr>
          </w:p>
        </w:tc>
      </w:tr>
    </w:tbl>
    <w:tbl>
      <w:tblPr>
        <w:tblStyle w:val="TableGrid0"/>
        <w:tblW w:w="9214" w:type="dxa"/>
        <w:tblLook w:val="04A0" w:firstRow="1" w:lastRow="0" w:firstColumn="1" w:lastColumn="0" w:noHBand="0" w:noVBand="1"/>
      </w:tblPr>
      <w:tblGrid>
        <w:gridCol w:w="9214"/>
      </w:tblGrid>
      <w:tr w:rsidR="00EE3085" w:rsidRPr="0003056D" w14:paraId="14A920BF" w14:textId="77777777" w:rsidTr="00305EE4">
        <w:tc>
          <w:tcPr>
            <w:tcW w:w="9214" w:type="dxa"/>
          </w:tcPr>
          <w:p w14:paraId="692D14B8" w14:textId="5278466A" w:rsidR="00EE3085" w:rsidRPr="0003056D" w:rsidRDefault="00EE3085" w:rsidP="00EE3085">
            <w:pPr>
              <w:spacing w:after="0" w:line="259" w:lineRule="auto"/>
              <w:ind w:left="0" w:right="115" w:firstLine="0"/>
              <w:rPr>
                <w:rFonts w:asciiTheme="majorHAnsi" w:hAnsiTheme="majorHAnsi" w:cstheme="majorHAnsi"/>
                <w:szCs w:val="24"/>
              </w:rPr>
            </w:pPr>
            <w:r w:rsidRPr="0003056D">
              <w:rPr>
                <w:rFonts w:asciiTheme="majorHAnsi" w:hAnsiTheme="majorHAnsi" w:cstheme="majorHAnsi"/>
                <w:szCs w:val="24"/>
              </w:rPr>
              <w:t xml:space="preserve">4.1 </w:t>
            </w:r>
            <w:r w:rsidRPr="0003056D">
              <w:rPr>
                <w:rFonts w:asciiTheme="majorHAnsi" w:hAnsiTheme="majorHAnsi" w:cstheme="majorHAnsi"/>
                <w:b/>
                <w:bCs/>
                <w:szCs w:val="24"/>
              </w:rPr>
              <w:t>Evaluate</w:t>
            </w:r>
            <w:r w:rsidRPr="0003056D">
              <w:rPr>
                <w:rFonts w:asciiTheme="majorHAnsi" w:hAnsiTheme="majorHAnsi" w:cstheme="majorHAnsi"/>
                <w:szCs w:val="24"/>
              </w:rPr>
              <w:t xml:space="preserve"> a range of strategies to support own health and wellbeing when engaging in therapeutic relationships</w:t>
            </w:r>
            <w:r w:rsidR="00DB42E3" w:rsidRPr="0003056D">
              <w:rPr>
                <w:rFonts w:asciiTheme="majorHAnsi" w:hAnsiTheme="majorHAnsi" w:cstheme="majorHAnsi"/>
                <w:szCs w:val="24"/>
              </w:rPr>
              <w:t xml:space="preserve">. </w:t>
            </w:r>
            <w:r w:rsidR="005F150E" w:rsidRPr="0003056D">
              <w:rPr>
                <w:rFonts w:asciiTheme="majorHAnsi" w:hAnsiTheme="majorHAnsi" w:cstheme="majorHAnsi"/>
                <w:szCs w:val="24"/>
              </w:rPr>
              <w:t xml:space="preserve"> </w:t>
            </w:r>
            <w:r w:rsidR="00DB42E3" w:rsidRPr="0003056D">
              <w:rPr>
                <w:rFonts w:asciiTheme="majorHAnsi" w:hAnsiTheme="majorHAnsi" w:cstheme="majorHAnsi"/>
                <w:szCs w:val="24"/>
              </w:rPr>
              <w:t xml:space="preserve">Please consider a </w:t>
            </w:r>
            <w:r w:rsidR="00DB42E3" w:rsidRPr="0003056D">
              <w:rPr>
                <w:rFonts w:asciiTheme="majorHAnsi" w:hAnsiTheme="majorHAnsi" w:cstheme="majorHAnsi"/>
                <w:b/>
                <w:bCs/>
                <w:szCs w:val="24"/>
              </w:rPr>
              <w:t>minimum of two strategies</w:t>
            </w:r>
            <w:r w:rsidR="00DB42E3" w:rsidRPr="0003056D">
              <w:rPr>
                <w:rFonts w:asciiTheme="majorHAnsi" w:hAnsiTheme="majorHAnsi" w:cstheme="majorHAnsi"/>
                <w:szCs w:val="24"/>
              </w:rPr>
              <w:t xml:space="preserve"> with </w:t>
            </w:r>
            <w:r w:rsidR="00DB42E3" w:rsidRPr="0003056D">
              <w:rPr>
                <w:rFonts w:asciiTheme="majorHAnsi" w:hAnsiTheme="majorHAnsi" w:cstheme="majorHAnsi"/>
                <w:b/>
                <w:bCs/>
                <w:szCs w:val="24"/>
              </w:rPr>
              <w:t xml:space="preserve">benefits </w:t>
            </w:r>
            <w:r w:rsidR="00DB42E3" w:rsidRPr="0003056D">
              <w:rPr>
                <w:rFonts w:asciiTheme="majorHAnsi" w:hAnsiTheme="majorHAnsi" w:cstheme="majorHAnsi"/>
                <w:szCs w:val="24"/>
              </w:rPr>
              <w:t xml:space="preserve">and </w:t>
            </w:r>
            <w:r w:rsidR="00DB42E3" w:rsidRPr="0003056D">
              <w:rPr>
                <w:rFonts w:asciiTheme="majorHAnsi" w:hAnsiTheme="majorHAnsi" w:cstheme="majorHAnsi"/>
                <w:b/>
                <w:bCs/>
                <w:szCs w:val="24"/>
              </w:rPr>
              <w:t xml:space="preserve">contraindications </w:t>
            </w:r>
            <w:r w:rsidR="00DB42E3" w:rsidRPr="0003056D">
              <w:rPr>
                <w:rFonts w:asciiTheme="majorHAnsi" w:hAnsiTheme="majorHAnsi" w:cstheme="majorHAnsi"/>
                <w:szCs w:val="24"/>
              </w:rPr>
              <w:t>of both</w:t>
            </w:r>
            <w:r w:rsidR="00A37DAE" w:rsidRPr="0003056D">
              <w:rPr>
                <w:rFonts w:asciiTheme="majorHAnsi" w:hAnsiTheme="majorHAnsi" w:cstheme="majorHAnsi"/>
                <w:szCs w:val="24"/>
              </w:rPr>
              <w:t xml:space="preserve"> (6.2). </w:t>
            </w:r>
          </w:p>
          <w:p w14:paraId="31408E8A" w14:textId="77777777" w:rsidR="00EE3085" w:rsidRPr="0003056D" w:rsidRDefault="00EE3085" w:rsidP="00305EE4">
            <w:pPr>
              <w:spacing w:after="0" w:line="259" w:lineRule="auto"/>
              <w:ind w:left="0" w:right="115" w:firstLine="0"/>
              <w:rPr>
                <w:rFonts w:asciiTheme="majorHAnsi" w:hAnsiTheme="majorHAnsi" w:cstheme="majorHAnsi"/>
                <w:szCs w:val="24"/>
              </w:rPr>
            </w:pPr>
          </w:p>
        </w:tc>
      </w:tr>
      <w:tr w:rsidR="00EE3085" w:rsidRPr="00601B22" w14:paraId="35AEEC8B" w14:textId="77777777" w:rsidTr="00305EE4">
        <w:tc>
          <w:tcPr>
            <w:tcW w:w="9214" w:type="dxa"/>
          </w:tcPr>
          <w:p w14:paraId="13B23856" w14:textId="65B3D94E" w:rsidR="00EE3085" w:rsidRPr="0003056D" w:rsidRDefault="005F150E" w:rsidP="0003056D">
            <w:pPr>
              <w:spacing w:after="0" w:line="360" w:lineRule="auto"/>
              <w:ind w:left="0" w:right="115" w:firstLine="0"/>
              <w:rPr>
                <w:rFonts w:asciiTheme="majorHAnsi" w:hAnsiTheme="majorHAnsi" w:cstheme="majorHAnsi"/>
                <w:szCs w:val="24"/>
              </w:rPr>
            </w:pPr>
            <w:r w:rsidRPr="0003056D">
              <w:rPr>
                <w:rFonts w:asciiTheme="majorHAnsi" w:hAnsiTheme="majorHAnsi" w:cstheme="majorHAnsi"/>
                <w:szCs w:val="24"/>
              </w:rPr>
              <w:t xml:space="preserve">Engaging in therapeutic relationships can expose healthcare practitioners to sustained emotional intensity making active protection of health and wellbeing vitally important.  A range of strategies can support resilience and safe practice, each having their own particular strengths and weaknesses. </w:t>
            </w:r>
          </w:p>
          <w:p w14:paraId="2228B8E6" w14:textId="035F1235" w:rsidR="005F150E" w:rsidRPr="0003056D" w:rsidRDefault="005F150E" w:rsidP="0003056D">
            <w:pPr>
              <w:spacing w:after="0" w:line="360" w:lineRule="auto"/>
              <w:ind w:left="0" w:right="115" w:firstLine="0"/>
              <w:rPr>
                <w:rFonts w:asciiTheme="majorHAnsi" w:hAnsiTheme="majorHAnsi" w:cstheme="majorHAnsi"/>
                <w:szCs w:val="24"/>
              </w:rPr>
            </w:pPr>
            <w:r w:rsidRPr="0003056D">
              <w:rPr>
                <w:rFonts w:asciiTheme="majorHAnsi" w:hAnsiTheme="majorHAnsi" w:cstheme="majorHAnsi"/>
                <w:szCs w:val="24"/>
              </w:rPr>
              <w:lastRenderedPageBreak/>
              <w:t xml:space="preserve">Clinical supervision remains of the most established mechanisms for practitioner support.  Research indicates that effective supervision reduces burnout and enhances job satisfaction, </w:t>
            </w:r>
            <w:r w:rsidR="00FC15B0" w:rsidRPr="0003056D">
              <w:rPr>
                <w:rFonts w:asciiTheme="majorHAnsi" w:hAnsiTheme="majorHAnsi" w:cstheme="majorHAnsi"/>
                <w:szCs w:val="24"/>
              </w:rPr>
              <w:t xml:space="preserve">by providing structured space for reflection, emotional processing and professional development (Martin, Lizarondo, Kumar, and Snowdon, 2021).  Supervision can promote greater self-awareness and improved decision making and has been linked to improvements in clinician confidence and reduced emotional exhaustion amongst healthcare workers (Milne, 2010).  However, its value depends on the quality of supervisory relationship and organisational culture as poorly matched or infrequent supervision may fail to address emotional needs and inadvertently increase stress.  Despite this, it does remain vital in maintaining both practitioner wellbeing and standards of care.  </w:t>
            </w:r>
          </w:p>
          <w:p w14:paraId="49CDF466" w14:textId="4148AA17" w:rsidR="00FC15B0" w:rsidRPr="00DB2FFC" w:rsidRDefault="00FC15B0" w:rsidP="0003056D">
            <w:pPr>
              <w:spacing w:before="100" w:beforeAutospacing="1" w:after="100" w:afterAutospacing="1" w:line="360" w:lineRule="auto"/>
              <w:rPr>
                <w:rFonts w:asciiTheme="majorHAnsi" w:hAnsiTheme="majorHAnsi"/>
                <w:color w:val="auto"/>
                <w:kern w:val="0"/>
                <w14:ligatures w14:val="none"/>
              </w:rPr>
            </w:pPr>
            <w:r w:rsidRPr="00DB2FFC">
              <w:rPr>
                <w:rFonts w:asciiTheme="majorHAnsi" w:hAnsiTheme="majorHAnsi"/>
                <w:color w:val="auto"/>
                <w:kern w:val="0"/>
                <w14:ligatures w14:val="none"/>
              </w:rPr>
              <w:t>Self-care and the maintenance of professional boundaries represent another critical strategy for wellbeing</w:t>
            </w:r>
            <w:r w:rsidR="004F292E" w:rsidRPr="0003056D">
              <w:rPr>
                <w:rFonts w:asciiTheme="majorHAnsi" w:hAnsiTheme="majorHAnsi"/>
                <w:color w:val="auto"/>
                <w:kern w:val="0"/>
                <w14:ligatures w14:val="none"/>
              </w:rPr>
              <w:t>.  R</w:t>
            </w:r>
            <w:r w:rsidRPr="00DB2FFC">
              <w:rPr>
                <w:rFonts w:asciiTheme="majorHAnsi" w:hAnsiTheme="majorHAnsi"/>
                <w:color w:val="auto"/>
                <w:kern w:val="0"/>
                <w14:ligatures w14:val="none"/>
              </w:rPr>
              <w:t xml:space="preserve">esearch has shown that intentional self-care practices, such as physical exercise, rest, and mindfulness, are associated with lower levels of burnout and greater resilience in </w:t>
            </w:r>
            <w:r w:rsidR="004F292E" w:rsidRPr="0003056D">
              <w:rPr>
                <w:rFonts w:asciiTheme="majorHAnsi" w:hAnsiTheme="majorHAnsi"/>
                <w:color w:val="auto"/>
                <w:kern w:val="0"/>
                <w14:ligatures w14:val="none"/>
              </w:rPr>
              <w:t>healthcare providers</w:t>
            </w:r>
            <w:r w:rsidRPr="00DB2FFC">
              <w:rPr>
                <w:rFonts w:asciiTheme="majorHAnsi" w:hAnsiTheme="majorHAnsi"/>
                <w:color w:val="auto"/>
                <w:kern w:val="0"/>
                <w14:ligatures w14:val="none"/>
              </w:rPr>
              <w:t xml:space="preserve"> (</w:t>
            </w:r>
            <w:r w:rsidR="004F292E" w:rsidRPr="0003056D">
              <w:rPr>
                <w:rFonts w:asciiTheme="majorHAnsi" w:hAnsiTheme="majorHAnsi"/>
                <w:color w:val="auto"/>
                <w:kern w:val="0"/>
                <w14:ligatures w14:val="none"/>
              </w:rPr>
              <w:t xml:space="preserve">Maresca </w:t>
            </w:r>
            <w:r w:rsidR="004F292E" w:rsidRPr="0003056D">
              <w:rPr>
                <w:rFonts w:asciiTheme="majorHAnsi" w:hAnsiTheme="majorHAnsi"/>
                <w:i/>
                <w:iCs/>
                <w:color w:val="auto"/>
                <w:kern w:val="0"/>
                <w14:ligatures w14:val="none"/>
              </w:rPr>
              <w:t>et al,</w:t>
            </w:r>
            <w:r w:rsidR="004F292E" w:rsidRPr="0003056D">
              <w:rPr>
                <w:rFonts w:asciiTheme="majorHAnsi" w:hAnsiTheme="majorHAnsi"/>
                <w:color w:val="auto"/>
                <w:kern w:val="0"/>
                <w14:ligatures w14:val="none"/>
              </w:rPr>
              <w:t xml:space="preserve"> 2022).  </w:t>
            </w:r>
            <w:r w:rsidRPr="00DB2FFC">
              <w:rPr>
                <w:rFonts w:asciiTheme="majorHAnsi" w:hAnsiTheme="majorHAnsi"/>
                <w:color w:val="auto"/>
                <w:kern w:val="0"/>
                <w14:ligatures w14:val="none"/>
              </w:rPr>
              <w:t xml:space="preserve">Engaging in self-care also </w:t>
            </w:r>
            <w:r w:rsidR="004F292E" w:rsidRPr="0003056D">
              <w:rPr>
                <w:rFonts w:asciiTheme="majorHAnsi" w:hAnsiTheme="majorHAnsi"/>
                <w:color w:val="auto"/>
                <w:kern w:val="0"/>
                <w14:ligatures w14:val="none"/>
              </w:rPr>
              <w:t>links</w:t>
            </w:r>
            <w:r w:rsidRPr="00DB2FFC">
              <w:rPr>
                <w:rFonts w:asciiTheme="majorHAnsi" w:hAnsiTheme="majorHAnsi"/>
                <w:color w:val="auto"/>
                <w:kern w:val="0"/>
                <w14:ligatures w14:val="none"/>
              </w:rPr>
              <w:t xml:space="preserve"> with increased professional efficacy and confidence, suggesting that such practices help clinicians maintain emotional regulation and attentional capacity during clinical work (</w:t>
            </w:r>
            <w:proofErr w:type="spellStart"/>
            <w:r w:rsidR="004F292E" w:rsidRPr="0003056D">
              <w:rPr>
                <w:rFonts w:asciiTheme="majorHAnsi" w:hAnsiTheme="majorHAnsi"/>
                <w:color w:val="auto"/>
                <w:kern w:val="0"/>
                <w14:ligatures w14:val="none"/>
              </w:rPr>
              <w:t>Posluns</w:t>
            </w:r>
            <w:proofErr w:type="spellEnd"/>
            <w:r w:rsidR="004F292E" w:rsidRPr="0003056D">
              <w:rPr>
                <w:rFonts w:asciiTheme="majorHAnsi" w:hAnsiTheme="majorHAnsi"/>
                <w:color w:val="auto"/>
                <w:kern w:val="0"/>
                <w14:ligatures w14:val="none"/>
              </w:rPr>
              <w:t xml:space="preserve"> and Gall, 2020).  </w:t>
            </w:r>
            <w:r w:rsidRPr="00DB2FFC">
              <w:rPr>
                <w:rFonts w:asciiTheme="majorHAnsi" w:hAnsiTheme="majorHAnsi"/>
                <w:color w:val="auto"/>
                <w:kern w:val="0"/>
                <w14:ligatures w14:val="none"/>
              </w:rPr>
              <w:t>Nevertheless, there are limitations</w:t>
            </w:r>
            <w:r w:rsidR="004F292E" w:rsidRPr="0003056D">
              <w:rPr>
                <w:rFonts w:asciiTheme="majorHAnsi" w:hAnsiTheme="majorHAnsi"/>
                <w:color w:val="auto"/>
                <w:kern w:val="0"/>
                <w14:ligatures w14:val="none"/>
              </w:rPr>
              <w:t xml:space="preserve">.  </w:t>
            </w:r>
            <w:r w:rsidRPr="00DB2FFC">
              <w:rPr>
                <w:rFonts w:asciiTheme="majorHAnsi" w:hAnsiTheme="majorHAnsi"/>
                <w:color w:val="auto"/>
                <w:kern w:val="0"/>
                <w14:ligatures w14:val="none"/>
              </w:rPr>
              <w:t>An overemphasis on individual responsibility can unintentionally obscure systemic workplace stressors, and self-care routines are often the first activities to be sacrificed during periods of high demand</w:t>
            </w:r>
            <w:r w:rsidR="004F292E" w:rsidRPr="0003056D">
              <w:rPr>
                <w:rFonts w:asciiTheme="majorHAnsi" w:hAnsiTheme="majorHAnsi"/>
                <w:color w:val="auto"/>
                <w:kern w:val="0"/>
                <w14:ligatures w14:val="none"/>
              </w:rPr>
              <w:t xml:space="preserve">.  </w:t>
            </w:r>
            <w:r w:rsidRPr="00DB2FFC">
              <w:rPr>
                <w:rFonts w:asciiTheme="majorHAnsi" w:hAnsiTheme="majorHAnsi"/>
                <w:color w:val="auto"/>
                <w:kern w:val="0"/>
                <w14:ligatures w14:val="none"/>
              </w:rPr>
              <w:t>Clear boundaries are protective in principle, but if applied too rigidly they can reduce therapeutic flexibility or isolate practitioners from supportive collegial contact</w:t>
            </w:r>
            <w:r w:rsidR="004F292E" w:rsidRPr="0003056D">
              <w:rPr>
                <w:rFonts w:asciiTheme="majorHAnsi" w:hAnsiTheme="majorHAnsi"/>
                <w:color w:val="auto"/>
                <w:kern w:val="0"/>
                <w14:ligatures w14:val="none"/>
              </w:rPr>
              <w:t xml:space="preserve">.  </w:t>
            </w:r>
            <w:r w:rsidR="00FA4EF4" w:rsidRPr="0003056D">
              <w:rPr>
                <w:rFonts w:asciiTheme="majorHAnsi" w:hAnsiTheme="majorHAnsi"/>
                <w:color w:val="auto"/>
                <w:kern w:val="0"/>
                <w14:ligatures w14:val="none"/>
              </w:rPr>
              <w:t>Therefore</w:t>
            </w:r>
            <w:r w:rsidRPr="00DB2FFC">
              <w:rPr>
                <w:rFonts w:asciiTheme="majorHAnsi" w:hAnsiTheme="majorHAnsi"/>
                <w:color w:val="auto"/>
                <w:kern w:val="0"/>
                <w14:ligatures w14:val="none"/>
              </w:rPr>
              <w:t xml:space="preserve">, self-care and boundary </w:t>
            </w:r>
            <w:r w:rsidR="00FA4EF4" w:rsidRPr="0003056D">
              <w:rPr>
                <w:rFonts w:asciiTheme="majorHAnsi" w:hAnsiTheme="majorHAnsi"/>
                <w:color w:val="auto"/>
                <w:kern w:val="0"/>
                <w14:ligatures w14:val="none"/>
              </w:rPr>
              <w:t xml:space="preserve">setting </w:t>
            </w:r>
            <w:r w:rsidRPr="00DB2FFC">
              <w:rPr>
                <w:rFonts w:asciiTheme="majorHAnsi" w:hAnsiTheme="majorHAnsi"/>
                <w:color w:val="auto"/>
                <w:kern w:val="0"/>
                <w14:ligatures w14:val="none"/>
              </w:rPr>
              <w:t>are most effective when reinforced by organisational support and reasonable workload expectations</w:t>
            </w:r>
            <w:r w:rsidR="004F292E" w:rsidRPr="0003056D">
              <w:rPr>
                <w:rFonts w:asciiTheme="majorHAnsi" w:hAnsiTheme="majorHAnsi"/>
                <w:color w:val="auto"/>
                <w:kern w:val="0"/>
                <w14:ligatures w14:val="none"/>
              </w:rPr>
              <w:t xml:space="preserve"> </w:t>
            </w:r>
            <w:r w:rsidR="00FA4EF4" w:rsidRPr="0003056D">
              <w:rPr>
                <w:rFonts w:asciiTheme="majorHAnsi" w:hAnsiTheme="majorHAnsi"/>
                <w:color w:val="auto"/>
                <w:kern w:val="0"/>
                <w14:ligatures w14:val="none"/>
              </w:rPr>
              <w:t xml:space="preserve">(Maresca </w:t>
            </w:r>
            <w:r w:rsidR="00FA4EF4" w:rsidRPr="0003056D">
              <w:rPr>
                <w:rFonts w:asciiTheme="majorHAnsi" w:hAnsiTheme="majorHAnsi"/>
                <w:i/>
                <w:iCs/>
                <w:color w:val="auto"/>
                <w:kern w:val="0"/>
                <w14:ligatures w14:val="none"/>
              </w:rPr>
              <w:t>et al,</w:t>
            </w:r>
            <w:r w:rsidR="00FA4EF4" w:rsidRPr="0003056D">
              <w:rPr>
                <w:rFonts w:asciiTheme="majorHAnsi" w:hAnsiTheme="majorHAnsi"/>
                <w:color w:val="auto"/>
                <w:kern w:val="0"/>
                <w14:ligatures w14:val="none"/>
              </w:rPr>
              <w:t xml:space="preserve"> 2022</w:t>
            </w:r>
            <w:r w:rsidR="004F292E" w:rsidRPr="0003056D">
              <w:rPr>
                <w:rFonts w:asciiTheme="majorHAnsi" w:hAnsiTheme="majorHAnsi"/>
                <w:color w:val="auto"/>
                <w:kern w:val="0"/>
                <w14:ligatures w14:val="none"/>
              </w:rPr>
              <w:t>)</w:t>
            </w:r>
            <w:r w:rsidRPr="00DB2FFC">
              <w:rPr>
                <w:rFonts w:asciiTheme="majorHAnsi" w:hAnsiTheme="majorHAnsi"/>
                <w:color w:val="auto"/>
                <w:kern w:val="0"/>
                <w14:ligatures w14:val="none"/>
              </w:rPr>
              <w:t>.</w:t>
            </w:r>
          </w:p>
          <w:p w14:paraId="7D25D01B" w14:textId="313C819E" w:rsidR="00FC15B0" w:rsidRPr="00DB2FFC" w:rsidRDefault="00FC15B0" w:rsidP="0003056D">
            <w:pPr>
              <w:spacing w:before="100" w:beforeAutospacing="1" w:after="100" w:afterAutospacing="1" w:line="360" w:lineRule="auto"/>
              <w:rPr>
                <w:rFonts w:asciiTheme="majorHAnsi" w:hAnsiTheme="majorHAnsi"/>
                <w:color w:val="auto"/>
                <w:kern w:val="0"/>
                <w14:ligatures w14:val="none"/>
              </w:rPr>
            </w:pPr>
            <w:r w:rsidRPr="00DB2FFC">
              <w:rPr>
                <w:rFonts w:asciiTheme="majorHAnsi" w:hAnsiTheme="majorHAnsi"/>
                <w:color w:val="auto"/>
                <w:kern w:val="0"/>
                <w14:ligatures w14:val="none"/>
              </w:rPr>
              <w:t>Peer support and reflective practice groups offer a more collective approach to wellbeing</w:t>
            </w:r>
            <w:r w:rsidR="004F292E" w:rsidRPr="0003056D">
              <w:rPr>
                <w:rFonts w:asciiTheme="majorHAnsi" w:hAnsiTheme="majorHAnsi"/>
                <w:color w:val="auto"/>
                <w:kern w:val="0"/>
                <w14:ligatures w14:val="none"/>
              </w:rPr>
              <w:t>.  Evidence</w:t>
            </w:r>
            <w:r w:rsidRPr="00DB2FFC">
              <w:rPr>
                <w:rFonts w:asciiTheme="majorHAnsi" w:hAnsiTheme="majorHAnsi"/>
                <w:color w:val="auto"/>
                <w:kern w:val="0"/>
                <w14:ligatures w14:val="none"/>
              </w:rPr>
              <w:t xml:space="preserve"> </w:t>
            </w:r>
            <w:r w:rsidR="00FA4EF4" w:rsidRPr="0003056D">
              <w:rPr>
                <w:rFonts w:asciiTheme="majorHAnsi" w:hAnsiTheme="majorHAnsi"/>
                <w:color w:val="auto"/>
                <w:kern w:val="0"/>
                <w14:ligatures w14:val="none"/>
              </w:rPr>
              <w:t>in research by P</w:t>
            </w:r>
            <w:r w:rsidR="00B93B3C" w:rsidRPr="0003056D">
              <w:rPr>
                <w:rFonts w:asciiTheme="majorHAnsi" w:hAnsiTheme="majorHAnsi"/>
                <w:color w:val="auto"/>
                <w:kern w:val="0"/>
                <w14:ligatures w14:val="none"/>
              </w:rPr>
              <w:t>e</w:t>
            </w:r>
            <w:r w:rsidR="00FA4EF4" w:rsidRPr="0003056D">
              <w:rPr>
                <w:rFonts w:asciiTheme="majorHAnsi" w:hAnsiTheme="majorHAnsi"/>
                <w:color w:val="auto"/>
                <w:kern w:val="0"/>
                <w14:ligatures w14:val="none"/>
              </w:rPr>
              <w:t xml:space="preserve">terson </w:t>
            </w:r>
            <w:r w:rsidR="00FA4EF4" w:rsidRPr="0003056D">
              <w:rPr>
                <w:rFonts w:asciiTheme="majorHAnsi" w:hAnsiTheme="majorHAnsi"/>
                <w:i/>
                <w:iCs/>
                <w:color w:val="auto"/>
                <w:kern w:val="0"/>
                <w14:ligatures w14:val="none"/>
              </w:rPr>
              <w:t>et al</w:t>
            </w:r>
            <w:r w:rsidR="00FA4EF4" w:rsidRPr="0003056D">
              <w:rPr>
                <w:rFonts w:asciiTheme="majorHAnsi" w:hAnsiTheme="majorHAnsi"/>
                <w:color w:val="auto"/>
                <w:kern w:val="0"/>
                <w14:ligatures w14:val="none"/>
              </w:rPr>
              <w:t xml:space="preserve">, (2008) </w:t>
            </w:r>
            <w:r w:rsidRPr="00DB2FFC">
              <w:rPr>
                <w:rFonts w:asciiTheme="majorHAnsi" w:hAnsiTheme="majorHAnsi"/>
                <w:color w:val="auto"/>
                <w:kern w:val="0"/>
                <w14:ligatures w14:val="none"/>
              </w:rPr>
              <w:t>suggests that interventions involving peer reflection can produce meaningful reductions in burnout symptoms, particularly emotional exhaustion</w:t>
            </w:r>
            <w:r w:rsidR="00FA4EF4" w:rsidRPr="0003056D">
              <w:rPr>
                <w:rFonts w:asciiTheme="majorHAnsi" w:hAnsiTheme="majorHAnsi"/>
                <w:color w:val="auto"/>
                <w:kern w:val="0"/>
                <w14:ligatures w14:val="none"/>
              </w:rPr>
              <w:t xml:space="preserve">.  </w:t>
            </w:r>
            <w:r w:rsidRPr="00DB2FFC">
              <w:rPr>
                <w:rFonts w:asciiTheme="majorHAnsi" w:hAnsiTheme="majorHAnsi"/>
                <w:color w:val="auto"/>
                <w:kern w:val="0"/>
                <w14:ligatures w14:val="none"/>
              </w:rPr>
              <w:t>Such groups reduce professional isolation, normalise emotional reactions, and foster belonging among colleagues</w:t>
            </w:r>
            <w:r w:rsidR="004F292E" w:rsidRPr="0003056D">
              <w:rPr>
                <w:rFonts w:asciiTheme="majorHAnsi" w:hAnsiTheme="majorHAnsi"/>
                <w:color w:val="auto"/>
                <w:kern w:val="0"/>
                <w14:ligatures w14:val="none"/>
              </w:rPr>
              <w:t xml:space="preserve">.  </w:t>
            </w:r>
            <w:r w:rsidRPr="00DB2FFC">
              <w:rPr>
                <w:rFonts w:asciiTheme="majorHAnsi" w:hAnsiTheme="majorHAnsi"/>
                <w:color w:val="auto"/>
                <w:kern w:val="0"/>
                <w14:ligatures w14:val="none"/>
              </w:rPr>
              <w:t xml:space="preserve">Their effectiveness, however, depends on psychological </w:t>
            </w:r>
            <w:r w:rsidRPr="00DB2FFC">
              <w:rPr>
                <w:rFonts w:asciiTheme="majorHAnsi" w:hAnsiTheme="majorHAnsi"/>
                <w:color w:val="auto"/>
                <w:kern w:val="0"/>
                <w14:ligatures w14:val="none"/>
              </w:rPr>
              <w:lastRenderedPageBreak/>
              <w:t>safety and clear facilitation; without these, sessions risk becoming unstructured “venting” spaces that reinforce negativity or compromise confidentiality.</w:t>
            </w:r>
          </w:p>
          <w:p w14:paraId="2EADA0F5" w14:textId="7CC14720" w:rsidR="00FC15B0" w:rsidRPr="00DB2FFC" w:rsidRDefault="00FC15B0" w:rsidP="0003056D">
            <w:pPr>
              <w:spacing w:before="100" w:beforeAutospacing="1" w:after="100" w:afterAutospacing="1" w:line="360" w:lineRule="auto"/>
              <w:rPr>
                <w:rFonts w:asciiTheme="majorHAnsi" w:hAnsiTheme="majorHAnsi"/>
                <w:color w:val="auto"/>
                <w:kern w:val="0"/>
                <w14:ligatures w14:val="none"/>
              </w:rPr>
            </w:pPr>
            <w:r w:rsidRPr="00DB2FFC">
              <w:rPr>
                <w:rFonts w:asciiTheme="majorHAnsi" w:hAnsiTheme="majorHAnsi"/>
                <w:color w:val="auto"/>
                <w:kern w:val="0"/>
                <w14:ligatures w14:val="none"/>
              </w:rPr>
              <w:t xml:space="preserve">Workload management and caseload diversity </w:t>
            </w:r>
            <w:r w:rsidR="00FA4EF4" w:rsidRPr="0003056D">
              <w:rPr>
                <w:rFonts w:asciiTheme="majorHAnsi" w:hAnsiTheme="majorHAnsi"/>
                <w:color w:val="auto"/>
                <w:kern w:val="0"/>
                <w14:ligatures w14:val="none"/>
              </w:rPr>
              <w:t xml:space="preserve">are associated </w:t>
            </w:r>
            <w:r w:rsidRPr="00DB2FFC">
              <w:rPr>
                <w:rFonts w:asciiTheme="majorHAnsi" w:hAnsiTheme="majorHAnsi"/>
                <w:color w:val="auto"/>
                <w:kern w:val="0"/>
                <w14:ligatures w14:val="none"/>
              </w:rPr>
              <w:t>as preventative strategi</w:t>
            </w:r>
            <w:r w:rsidR="00FA4EF4" w:rsidRPr="0003056D">
              <w:rPr>
                <w:rFonts w:asciiTheme="majorHAnsi" w:hAnsiTheme="majorHAnsi"/>
                <w:color w:val="auto"/>
                <w:kern w:val="0"/>
                <w14:ligatures w14:val="none"/>
              </w:rPr>
              <w:t>es for managing health and wellbeing</w:t>
            </w:r>
            <w:r w:rsidR="004F292E" w:rsidRPr="0003056D">
              <w:rPr>
                <w:rFonts w:asciiTheme="majorHAnsi" w:hAnsiTheme="majorHAnsi"/>
                <w:color w:val="auto"/>
                <w:kern w:val="0"/>
                <w14:ligatures w14:val="none"/>
              </w:rPr>
              <w:t>.</w:t>
            </w:r>
            <w:r w:rsidR="00952B7F" w:rsidRPr="0003056D">
              <w:rPr>
                <w:rFonts w:asciiTheme="majorHAnsi" w:hAnsiTheme="majorHAnsi"/>
                <w:color w:val="auto"/>
                <w:kern w:val="0"/>
                <w14:ligatures w14:val="none"/>
              </w:rPr>
              <w:t xml:space="preserve">  Research conducted by Humphries</w:t>
            </w:r>
            <w:r w:rsidR="00952B7F" w:rsidRPr="0003056D">
              <w:rPr>
                <w:rFonts w:asciiTheme="majorHAnsi" w:hAnsiTheme="majorHAnsi"/>
                <w:color w:val="auto"/>
                <w:kern w:val="0"/>
                <w14:ligatures w14:val="none"/>
              </w:rPr>
              <w:t xml:space="preserve"> </w:t>
            </w:r>
            <w:r w:rsidR="00952B7F" w:rsidRPr="0003056D">
              <w:rPr>
                <w:rFonts w:asciiTheme="majorHAnsi" w:hAnsiTheme="majorHAnsi"/>
                <w:i/>
                <w:iCs/>
                <w:color w:val="auto"/>
                <w:kern w:val="0"/>
                <w14:ligatures w14:val="none"/>
              </w:rPr>
              <w:t>et al,</w:t>
            </w:r>
            <w:r w:rsidR="00952B7F" w:rsidRPr="0003056D">
              <w:rPr>
                <w:rFonts w:asciiTheme="majorHAnsi" w:hAnsiTheme="majorHAnsi"/>
                <w:color w:val="auto"/>
                <w:kern w:val="0"/>
                <w14:ligatures w14:val="none"/>
              </w:rPr>
              <w:t xml:space="preserve"> </w:t>
            </w:r>
            <w:r w:rsidR="00952B7F" w:rsidRPr="0003056D">
              <w:rPr>
                <w:rFonts w:asciiTheme="majorHAnsi" w:hAnsiTheme="majorHAnsi"/>
                <w:color w:val="auto"/>
                <w:kern w:val="0"/>
                <w14:ligatures w14:val="none"/>
              </w:rPr>
              <w:t>(</w:t>
            </w:r>
            <w:r w:rsidR="00952B7F" w:rsidRPr="0003056D">
              <w:rPr>
                <w:rFonts w:asciiTheme="majorHAnsi" w:hAnsiTheme="majorHAnsi"/>
                <w:color w:val="auto"/>
                <w:kern w:val="0"/>
                <w14:ligatures w14:val="none"/>
              </w:rPr>
              <w:t>2014)</w:t>
            </w:r>
            <w:r w:rsidR="00952B7F" w:rsidRPr="0003056D">
              <w:rPr>
                <w:rFonts w:asciiTheme="majorHAnsi" w:hAnsiTheme="majorHAnsi"/>
                <w:color w:val="auto"/>
                <w:kern w:val="0"/>
                <w14:ligatures w14:val="none"/>
              </w:rPr>
              <w:t xml:space="preserve"> </w:t>
            </w:r>
            <w:r w:rsidRPr="00DB2FFC">
              <w:rPr>
                <w:rFonts w:asciiTheme="majorHAnsi" w:hAnsiTheme="majorHAnsi"/>
                <w:color w:val="auto"/>
                <w:kern w:val="0"/>
                <w14:ligatures w14:val="none"/>
              </w:rPr>
              <w:t xml:space="preserve">identify high workload as a significant determinant of burnout </w:t>
            </w:r>
            <w:r w:rsidR="00952B7F" w:rsidRPr="0003056D">
              <w:rPr>
                <w:rFonts w:asciiTheme="majorHAnsi" w:hAnsiTheme="majorHAnsi"/>
                <w:color w:val="auto"/>
                <w:kern w:val="0"/>
                <w14:ligatures w14:val="none"/>
              </w:rPr>
              <w:t>in</w:t>
            </w:r>
            <w:r w:rsidRPr="00DB2FFC">
              <w:rPr>
                <w:rFonts w:asciiTheme="majorHAnsi" w:hAnsiTheme="majorHAnsi"/>
                <w:color w:val="auto"/>
                <w:kern w:val="0"/>
                <w14:ligatures w14:val="none"/>
              </w:rPr>
              <w:t xml:space="preserve"> health profession</w:t>
            </w:r>
            <w:r w:rsidR="00952B7F" w:rsidRPr="0003056D">
              <w:rPr>
                <w:rFonts w:asciiTheme="majorHAnsi" w:hAnsiTheme="majorHAnsi"/>
                <w:color w:val="auto"/>
                <w:kern w:val="0"/>
                <w14:ligatures w14:val="none"/>
              </w:rPr>
              <w:t>als</w:t>
            </w:r>
            <w:r w:rsidRPr="00DB2FFC">
              <w:rPr>
                <w:rFonts w:asciiTheme="majorHAnsi" w:hAnsiTheme="majorHAnsi"/>
                <w:color w:val="auto"/>
                <w:kern w:val="0"/>
                <w14:ligatures w14:val="none"/>
              </w:rPr>
              <w:t>, while balanced caseloads have been associated with better wellbeing outcomes</w:t>
            </w:r>
            <w:r w:rsidR="00952B7F" w:rsidRPr="0003056D">
              <w:rPr>
                <w:rFonts w:asciiTheme="majorHAnsi" w:hAnsiTheme="majorHAnsi"/>
                <w:color w:val="auto"/>
                <w:kern w:val="0"/>
                <w14:ligatures w14:val="none"/>
              </w:rPr>
              <w:t xml:space="preserve">.  </w:t>
            </w:r>
            <w:r w:rsidRPr="00DB2FFC">
              <w:rPr>
                <w:rFonts w:asciiTheme="majorHAnsi" w:hAnsiTheme="majorHAnsi"/>
                <w:color w:val="auto"/>
                <w:kern w:val="0"/>
                <w14:ligatures w14:val="none"/>
              </w:rPr>
              <w:t xml:space="preserve">Actively managing the volume and complexity of cases reduces </w:t>
            </w:r>
            <w:r w:rsidR="00952B7F" w:rsidRPr="0003056D">
              <w:rPr>
                <w:rFonts w:asciiTheme="majorHAnsi" w:hAnsiTheme="majorHAnsi"/>
                <w:color w:val="auto"/>
                <w:kern w:val="0"/>
                <w14:ligatures w14:val="none"/>
              </w:rPr>
              <w:t>contact</w:t>
            </w:r>
            <w:r w:rsidRPr="00DB2FFC">
              <w:rPr>
                <w:rFonts w:asciiTheme="majorHAnsi" w:hAnsiTheme="majorHAnsi"/>
                <w:color w:val="auto"/>
                <w:kern w:val="0"/>
                <w14:ligatures w14:val="none"/>
              </w:rPr>
              <w:t xml:space="preserve"> to </w:t>
            </w:r>
            <w:r w:rsidR="00FA4EF4" w:rsidRPr="0003056D">
              <w:rPr>
                <w:rFonts w:asciiTheme="majorHAnsi" w:hAnsiTheme="majorHAnsi"/>
                <w:color w:val="auto"/>
                <w:kern w:val="0"/>
                <w14:ligatures w14:val="none"/>
              </w:rPr>
              <w:t xml:space="preserve">potentially </w:t>
            </w:r>
            <w:r w:rsidRPr="00DB2FFC">
              <w:rPr>
                <w:rFonts w:asciiTheme="majorHAnsi" w:hAnsiTheme="majorHAnsi"/>
                <w:color w:val="auto"/>
                <w:kern w:val="0"/>
                <w14:ligatures w14:val="none"/>
              </w:rPr>
              <w:t xml:space="preserve">traumatic </w:t>
            </w:r>
            <w:r w:rsidR="00FA4EF4" w:rsidRPr="0003056D">
              <w:rPr>
                <w:rFonts w:asciiTheme="majorHAnsi" w:hAnsiTheme="majorHAnsi"/>
                <w:color w:val="auto"/>
                <w:kern w:val="0"/>
                <w14:ligatures w14:val="none"/>
              </w:rPr>
              <w:t xml:space="preserve">situations </w:t>
            </w:r>
            <w:r w:rsidRPr="00DB2FFC">
              <w:rPr>
                <w:rFonts w:asciiTheme="majorHAnsi" w:hAnsiTheme="majorHAnsi"/>
                <w:color w:val="auto"/>
                <w:kern w:val="0"/>
                <w14:ligatures w14:val="none"/>
              </w:rPr>
              <w:t>and lowers emotional strain</w:t>
            </w:r>
            <w:r w:rsidR="004F292E" w:rsidRPr="0003056D">
              <w:rPr>
                <w:rFonts w:asciiTheme="majorHAnsi" w:hAnsiTheme="majorHAnsi"/>
                <w:color w:val="auto"/>
                <w:kern w:val="0"/>
                <w14:ligatures w14:val="none"/>
              </w:rPr>
              <w:t xml:space="preserve">.  </w:t>
            </w:r>
            <w:r w:rsidRPr="00DB2FFC">
              <w:rPr>
                <w:rFonts w:asciiTheme="majorHAnsi" w:hAnsiTheme="majorHAnsi"/>
                <w:color w:val="auto"/>
                <w:kern w:val="0"/>
                <w14:ligatures w14:val="none"/>
              </w:rPr>
              <w:t xml:space="preserve">However, this strategy is often limited in practice by resource constraints and service demands, and consistently avoiding challenging cases may </w:t>
            </w:r>
            <w:r w:rsidR="00FA4EF4" w:rsidRPr="0003056D">
              <w:rPr>
                <w:rFonts w:asciiTheme="majorHAnsi" w:hAnsiTheme="majorHAnsi"/>
                <w:color w:val="auto"/>
                <w:kern w:val="0"/>
                <w14:ligatures w14:val="none"/>
              </w:rPr>
              <w:t>unintentionally</w:t>
            </w:r>
            <w:r w:rsidRPr="00DB2FFC">
              <w:rPr>
                <w:rFonts w:asciiTheme="majorHAnsi" w:hAnsiTheme="majorHAnsi"/>
                <w:color w:val="auto"/>
                <w:kern w:val="0"/>
                <w14:ligatures w14:val="none"/>
              </w:rPr>
              <w:t xml:space="preserve"> limit skill development.</w:t>
            </w:r>
          </w:p>
          <w:p w14:paraId="5604A84D" w14:textId="2F8E8402" w:rsidR="00FC15B0" w:rsidRPr="00DB2FFC" w:rsidRDefault="00FA4EF4" w:rsidP="0003056D">
            <w:pPr>
              <w:spacing w:before="100" w:beforeAutospacing="1" w:after="100" w:afterAutospacing="1" w:line="360" w:lineRule="auto"/>
              <w:rPr>
                <w:rFonts w:asciiTheme="majorHAnsi" w:hAnsiTheme="majorHAnsi"/>
                <w:color w:val="auto"/>
                <w:kern w:val="0"/>
                <w14:ligatures w14:val="none"/>
              </w:rPr>
            </w:pPr>
            <w:r w:rsidRPr="0003056D">
              <w:rPr>
                <w:rFonts w:asciiTheme="majorHAnsi" w:hAnsiTheme="majorHAnsi"/>
                <w:color w:val="auto"/>
                <w:kern w:val="0"/>
                <w14:ligatures w14:val="none"/>
              </w:rPr>
              <w:t>Finally, o</w:t>
            </w:r>
            <w:r w:rsidR="00FC15B0" w:rsidRPr="00DB2FFC">
              <w:rPr>
                <w:rFonts w:asciiTheme="majorHAnsi" w:hAnsiTheme="majorHAnsi"/>
                <w:color w:val="auto"/>
                <w:kern w:val="0"/>
                <w14:ligatures w14:val="none"/>
              </w:rPr>
              <w:t>ngoing professional development and training strengthen confidence and competence when working with complex client presentations</w:t>
            </w:r>
            <w:r w:rsidR="004F292E" w:rsidRPr="0003056D">
              <w:rPr>
                <w:rFonts w:asciiTheme="majorHAnsi" w:hAnsiTheme="majorHAnsi"/>
                <w:color w:val="auto"/>
                <w:kern w:val="0"/>
                <w14:ligatures w14:val="none"/>
              </w:rPr>
              <w:t xml:space="preserve">.  </w:t>
            </w:r>
            <w:r w:rsidR="00FC15B0" w:rsidRPr="00DB2FFC">
              <w:rPr>
                <w:rFonts w:asciiTheme="majorHAnsi" w:hAnsiTheme="majorHAnsi"/>
                <w:color w:val="auto"/>
                <w:kern w:val="0"/>
                <w14:ligatures w14:val="none"/>
              </w:rPr>
              <w:t>Continued learning in trauma-informed care, emotional regulation, or resilience has been linked with greater practitioner self-efficacy and job satisfaction (</w:t>
            </w:r>
            <w:r w:rsidR="00E0068E" w:rsidRPr="0003056D">
              <w:rPr>
                <w:rFonts w:asciiTheme="majorHAnsi" w:hAnsiTheme="majorHAnsi"/>
                <w:color w:val="auto"/>
                <w:kern w:val="0"/>
                <w14:ligatures w14:val="none"/>
              </w:rPr>
              <w:t>Stringer-</w:t>
            </w:r>
            <w:r w:rsidR="00952B7F" w:rsidRPr="0003056D">
              <w:rPr>
                <w:rFonts w:asciiTheme="majorHAnsi" w:hAnsiTheme="majorHAnsi"/>
                <w:color w:val="auto"/>
                <w:kern w:val="0"/>
                <w14:ligatures w14:val="none"/>
              </w:rPr>
              <w:t>Lucero, Williams, and Moore, 2023</w:t>
            </w:r>
            <w:r w:rsidR="00FC15B0" w:rsidRPr="00DB2FFC">
              <w:rPr>
                <w:rFonts w:asciiTheme="majorHAnsi" w:hAnsiTheme="majorHAnsi"/>
                <w:color w:val="auto"/>
                <w:kern w:val="0"/>
                <w14:ligatures w14:val="none"/>
              </w:rPr>
              <w:t>)</w:t>
            </w:r>
            <w:r w:rsidR="004F292E" w:rsidRPr="0003056D">
              <w:rPr>
                <w:rFonts w:asciiTheme="majorHAnsi" w:hAnsiTheme="majorHAnsi"/>
                <w:color w:val="auto"/>
                <w:kern w:val="0"/>
                <w14:ligatures w14:val="none"/>
              </w:rPr>
              <w:t xml:space="preserve">.  </w:t>
            </w:r>
            <w:r w:rsidR="00FC15B0" w:rsidRPr="00DB2FFC">
              <w:rPr>
                <w:rFonts w:asciiTheme="majorHAnsi" w:hAnsiTheme="majorHAnsi"/>
                <w:color w:val="auto"/>
                <w:kern w:val="0"/>
                <w14:ligatures w14:val="none"/>
              </w:rPr>
              <w:t xml:space="preserve">Yet additional training can increase workload pressure if not protected as part of scheduled professional time, and </w:t>
            </w:r>
            <w:r w:rsidRPr="0003056D">
              <w:rPr>
                <w:rFonts w:asciiTheme="majorHAnsi" w:hAnsiTheme="majorHAnsi"/>
                <w:color w:val="auto"/>
                <w:kern w:val="0"/>
                <w14:ligatures w14:val="none"/>
              </w:rPr>
              <w:t xml:space="preserve">learning </w:t>
            </w:r>
            <w:r w:rsidR="00FC15B0" w:rsidRPr="00DB2FFC">
              <w:rPr>
                <w:rFonts w:asciiTheme="majorHAnsi" w:hAnsiTheme="majorHAnsi"/>
                <w:color w:val="auto"/>
                <w:kern w:val="0"/>
                <w14:ligatures w14:val="none"/>
              </w:rPr>
              <w:t xml:space="preserve">alone does not necessarily change coping </w:t>
            </w:r>
            <w:r w:rsidRPr="0003056D">
              <w:rPr>
                <w:rFonts w:asciiTheme="majorHAnsi" w:hAnsiTheme="majorHAnsi"/>
                <w:color w:val="auto"/>
                <w:kern w:val="0"/>
                <w14:ligatures w14:val="none"/>
              </w:rPr>
              <w:t>strategies</w:t>
            </w:r>
            <w:r w:rsidR="00FC15B0" w:rsidRPr="00DB2FFC">
              <w:rPr>
                <w:rFonts w:asciiTheme="majorHAnsi" w:hAnsiTheme="majorHAnsi"/>
                <w:color w:val="auto"/>
                <w:kern w:val="0"/>
                <w14:ligatures w14:val="none"/>
              </w:rPr>
              <w:t xml:space="preserve"> </w:t>
            </w:r>
            <w:r w:rsidRPr="0003056D">
              <w:rPr>
                <w:rFonts w:asciiTheme="majorHAnsi" w:hAnsiTheme="majorHAnsi"/>
                <w:color w:val="auto"/>
                <w:kern w:val="0"/>
                <w14:ligatures w14:val="none"/>
              </w:rPr>
              <w:t xml:space="preserve">or support </w:t>
            </w:r>
            <w:r w:rsidR="00FC15B0" w:rsidRPr="00DB2FFC">
              <w:rPr>
                <w:rFonts w:asciiTheme="majorHAnsi" w:hAnsiTheme="majorHAnsi"/>
                <w:color w:val="auto"/>
                <w:kern w:val="0"/>
                <w14:ligatures w14:val="none"/>
              </w:rPr>
              <w:t>organisational change.</w:t>
            </w:r>
          </w:p>
          <w:p w14:paraId="2FA9BA87" w14:textId="77777777" w:rsidR="00E106C6" w:rsidRDefault="00E106C6" w:rsidP="0003056D">
            <w:pPr>
              <w:spacing w:after="0" w:line="360" w:lineRule="auto"/>
              <w:ind w:left="0" w:right="115" w:firstLine="0"/>
              <w:rPr>
                <w:rFonts w:asciiTheme="majorHAnsi" w:hAnsiTheme="majorHAnsi" w:cstheme="majorHAnsi"/>
                <w:szCs w:val="24"/>
              </w:rPr>
            </w:pPr>
          </w:p>
          <w:p w14:paraId="5D16BC6C" w14:textId="77777777" w:rsidR="00952B7F" w:rsidRDefault="00952B7F" w:rsidP="0003056D">
            <w:pPr>
              <w:spacing w:after="0" w:line="360" w:lineRule="auto"/>
              <w:ind w:left="0" w:right="115" w:firstLine="0"/>
              <w:rPr>
                <w:rFonts w:asciiTheme="majorHAnsi" w:hAnsiTheme="majorHAnsi" w:cstheme="majorHAnsi"/>
                <w:szCs w:val="24"/>
              </w:rPr>
            </w:pPr>
          </w:p>
          <w:p w14:paraId="6A29CDF5" w14:textId="77777777" w:rsidR="00952B7F" w:rsidRDefault="00952B7F" w:rsidP="0003056D">
            <w:pPr>
              <w:spacing w:after="0" w:line="360" w:lineRule="auto"/>
              <w:ind w:left="0" w:right="115" w:firstLine="0"/>
              <w:rPr>
                <w:rFonts w:asciiTheme="majorHAnsi" w:hAnsiTheme="majorHAnsi" w:cstheme="majorHAnsi"/>
                <w:szCs w:val="24"/>
              </w:rPr>
            </w:pPr>
          </w:p>
          <w:p w14:paraId="03F57B69" w14:textId="77777777" w:rsidR="00952B7F" w:rsidRDefault="00952B7F" w:rsidP="0003056D">
            <w:pPr>
              <w:spacing w:after="0" w:line="360" w:lineRule="auto"/>
              <w:ind w:left="0" w:right="115" w:firstLine="0"/>
              <w:rPr>
                <w:rFonts w:asciiTheme="majorHAnsi" w:hAnsiTheme="majorHAnsi" w:cstheme="majorHAnsi"/>
                <w:szCs w:val="24"/>
              </w:rPr>
            </w:pPr>
          </w:p>
          <w:p w14:paraId="58939439" w14:textId="77777777" w:rsidR="00952B7F" w:rsidRDefault="00952B7F" w:rsidP="0003056D">
            <w:pPr>
              <w:spacing w:after="0" w:line="360" w:lineRule="auto"/>
              <w:ind w:left="0" w:right="115" w:firstLine="0"/>
              <w:rPr>
                <w:rFonts w:asciiTheme="majorHAnsi" w:hAnsiTheme="majorHAnsi" w:cstheme="majorHAnsi"/>
                <w:szCs w:val="24"/>
              </w:rPr>
            </w:pPr>
          </w:p>
          <w:p w14:paraId="72D377FC" w14:textId="77777777" w:rsidR="00952B7F" w:rsidRPr="00601B22" w:rsidRDefault="00952B7F" w:rsidP="0003056D">
            <w:pPr>
              <w:spacing w:after="0" w:line="360" w:lineRule="auto"/>
              <w:ind w:left="0" w:right="115" w:firstLine="0"/>
              <w:rPr>
                <w:rFonts w:asciiTheme="majorHAnsi" w:hAnsiTheme="majorHAnsi" w:cstheme="majorHAnsi"/>
                <w:szCs w:val="24"/>
              </w:rPr>
            </w:pPr>
          </w:p>
        </w:tc>
      </w:tr>
    </w:tbl>
    <w:tbl>
      <w:tblPr>
        <w:tblStyle w:val="TableGrid0"/>
        <w:tblpPr w:leftFromText="180" w:rightFromText="180" w:vertAnchor="page" w:horzAnchor="margin" w:tblpY="11721"/>
        <w:tblW w:w="9214" w:type="dxa"/>
        <w:tblLook w:val="04A0" w:firstRow="1" w:lastRow="0" w:firstColumn="1" w:lastColumn="0" w:noHBand="0" w:noVBand="1"/>
      </w:tblPr>
      <w:tblGrid>
        <w:gridCol w:w="9214"/>
      </w:tblGrid>
      <w:tr w:rsidR="00E106C6" w:rsidRPr="00601B22" w14:paraId="6B059307" w14:textId="77777777" w:rsidTr="00E106C6">
        <w:tc>
          <w:tcPr>
            <w:tcW w:w="9214" w:type="dxa"/>
          </w:tcPr>
          <w:p w14:paraId="5C13483B" w14:textId="77777777" w:rsidR="00E106C6" w:rsidRPr="00A37DAE" w:rsidRDefault="00E106C6" w:rsidP="00E106C6">
            <w:pPr>
              <w:spacing w:after="0" w:line="259" w:lineRule="auto"/>
              <w:ind w:left="0" w:right="115" w:firstLine="0"/>
              <w:rPr>
                <w:rFonts w:asciiTheme="majorHAnsi" w:hAnsiTheme="majorHAnsi" w:cstheme="majorHAnsi"/>
                <w:b/>
                <w:bCs/>
                <w:szCs w:val="24"/>
              </w:rPr>
            </w:pPr>
            <w:r w:rsidRPr="00A37DAE">
              <w:rPr>
                <w:rFonts w:asciiTheme="majorHAnsi" w:hAnsiTheme="majorHAnsi" w:cstheme="majorHAnsi"/>
                <w:b/>
                <w:bCs/>
                <w:szCs w:val="24"/>
              </w:rPr>
              <w:lastRenderedPageBreak/>
              <w:t xml:space="preserve">Reference list: </w:t>
            </w:r>
          </w:p>
          <w:p w14:paraId="6AC6E329" w14:textId="77777777" w:rsidR="00E106C6" w:rsidRPr="00601B22" w:rsidRDefault="00E106C6" w:rsidP="00E106C6">
            <w:pPr>
              <w:spacing w:after="0" w:line="259" w:lineRule="auto"/>
              <w:ind w:left="0" w:right="115" w:firstLine="0"/>
              <w:rPr>
                <w:rFonts w:asciiTheme="majorHAnsi" w:hAnsiTheme="majorHAnsi" w:cstheme="majorHAnsi"/>
                <w:szCs w:val="24"/>
              </w:rPr>
            </w:pPr>
          </w:p>
        </w:tc>
      </w:tr>
      <w:tr w:rsidR="00E106C6" w:rsidRPr="00601B22" w14:paraId="6E5762BD" w14:textId="77777777" w:rsidTr="00E106C6">
        <w:tc>
          <w:tcPr>
            <w:tcW w:w="9214" w:type="dxa"/>
          </w:tcPr>
          <w:p w14:paraId="41CFF14C" w14:textId="6168C667" w:rsidR="00A6162F" w:rsidRPr="00A6162F" w:rsidRDefault="00A6162F" w:rsidP="00E106C6">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Adams, A., Alhujaily, E., Anil, V., Kandah, O., Patrick-Eisenberg, A., Decker, K., Khouzam, R. S., Nagabandi, S., and Khouzam, N. R., (2024), ‘Healthcare Provider Burnout: Red Flag for a Rising Epidemic’, </w:t>
            </w:r>
            <w:r w:rsidRPr="00A6162F">
              <w:rPr>
                <w:rFonts w:asciiTheme="majorHAnsi" w:hAnsiTheme="majorHAnsi" w:cstheme="majorHAnsi"/>
                <w:i/>
                <w:iCs/>
                <w:szCs w:val="24"/>
              </w:rPr>
              <w:t>Southern Medical Journal,</w:t>
            </w:r>
            <w:r>
              <w:rPr>
                <w:rFonts w:asciiTheme="majorHAnsi" w:hAnsiTheme="majorHAnsi" w:cstheme="majorHAnsi"/>
                <w:szCs w:val="24"/>
              </w:rPr>
              <w:t xml:space="preserve"> Volume 117, (11), pp. 629-633, Available at: doi:10.14423/SMJ.0000000000001752</w:t>
            </w:r>
          </w:p>
          <w:p w14:paraId="09722774" w14:textId="77777777" w:rsidR="00A6162F" w:rsidRDefault="00A6162F" w:rsidP="00E106C6">
            <w:pPr>
              <w:spacing w:after="0" w:line="259" w:lineRule="auto"/>
              <w:ind w:left="0" w:right="115" w:firstLine="0"/>
              <w:rPr>
                <w:rFonts w:asciiTheme="majorHAnsi" w:hAnsiTheme="majorHAnsi" w:cstheme="majorHAnsi"/>
                <w:szCs w:val="24"/>
              </w:rPr>
            </w:pPr>
          </w:p>
          <w:p w14:paraId="03D7FAE1" w14:textId="41CDA650" w:rsidR="006B2367" w:rsidRDefault="006B2367" w:rsidP="00E106C6">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Asabuki, T., Hiratani, N., and Fukai, T., (2018), ‘Interactive reservoir computing for chunking information streams’, </w:t>
            </w:r>
            <w:r>
              <w:rPr>
                <w:rFonts w:asciiTheme="majorHAnsi" w:hAnsiTheme="majorHAnsi" w:cstheme="majorHAnsi"/>
                <w:i/>
                <w:iCs/>
                <w:szCs w:val="24"/>
              </w:rPr>
              <w:t xml:space="preserve">PLoS Computational Biology, </w:t>
            </w:r>
            <w:r>
              <w:rPr>
                <w:rFonts w:asciiTheme="majorHAnsi" w:hAnsiTheme="majorHAnsi" w:cstheme="majorHAnsi"/>
                <w:szCs w:val="24"/>
              </w:rPr>
              <w:t xml:space="preserve">Volume 14, (10), Available at: doi: 10.1371/journal.pcbi.1006400 </w:t>
            </w:r>
          </w:p>
          <w:p w14:paraId="409D46D3" w14:textId="77777777" w:rsidR="006B2367" w:rsidRDefault="006B2367" w:rsidP="00E106C6">
            <w:pPr>
              <w:spacing w:after="0" w:line="259" w:lineRule="auto"/>
              <w:ind w:left="0" w:right="115" w:firstLine="0"/>
              <w:rPr>
                <w:rFonts w:asciiTheme="majorHAnsi" w:hAnsiTheme="majorHAnsi" w:cstheme="majorHAnsi"/>
                <w:szCs w:val="24"/>
              </w:rPr>
            </w:pPr>
          </w:p>
          <w:p w14:paraId="0FC03FEA" w14:textId="77777777" w:rsidR="006B2367" w:rsidRDefault="006B2367"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Aujoulat, P., Manac’h, A., Le Reste, C., Le Goff, D., Le Reste, Y. J., and Barais, M., (2025), ‘Investigating assumptions in motivational interviewing among general practitioners: a qualitative study’, </w:t>
            </w:r>
            <w:r w:rsidRPr="00306112">
              <w:rPr>
                <w:rFonts w:ascii="Calibri" w:hAnsi="Calibri" w:cs="Calibri"/>
                <w:i/>
                <w:iCs/>
                <w:szCs w:val="24"/>
                <w:lang w:eastAsia="zh-CN"/>
              </w:rPr>
              <w:t>BMC Primary Care,</w:t>
            </w:r>
            <w:r>
              <w:rPr>
                <w:rFonts w:ascii="Calibri" w:hAnsi="Calibri" w:cs="Calibri"/>
                <w:szCs w:val="24"/>
                <w:lang w:eastAsia="zh-CN"/>
              </w:rPr>
              <w:t xml:space="preserve"> Volume 26, (15), Available at: </w:t>
            </w:r>
            <w:r w:rsidRPr="00306112">
              <w:rPr>
                <w:rFonts w:ascii="Calibri" w:hAnsi="Calibri" w:cs="Calibri"/>
                <w:szCs w:val="24"/>
                <w:lang w:eastAsia="zh-CN"/>
              </w:rPr>
              <w:t>https://doi.org.1186/s1275-025-02706-3</w:t>
            </w:r>
            <w:r>
              <w:rPr>
                <w:rFonts w:ascii="Calibri" w:hAnsi="Calibri" w:cs="Calibri"/>
                <w:szCs w:val="24"/>
                <w:lang w:eastAsia="zh-CN"/>
              </w:rPr>
              <w:t xml:space="preserve"> </w:t>
            </w:r>
          </w:p>
          <w:p w14:paraId="25E82575" w14:textId="77777777" w:rsidR="006B2367" w:rsidRDefault="006B2367" w:rsidP="00E106C6">
            <w:pPr>
              <w:spacing w:after="0" w:line="259" w:lineRule="auto"/>
              <w:ind w:left="0" w:right="115" w:firstLine="0"/>
              <w:rPr>
                <w:rFonts w:asciiTheme="majorHAnsi" w:hAnsiTheme="majorHAnsi" w:cstheme="majorHAnsi"/>
                <w:szCs w:val="24"/>
              </w:rPr>
            </w:pPr>
          </w:p>
          <w:p w14:paraId="1C6CA9D0" w14:textId="0FBB58B9" w:rsidR="00482F2C" w:rsidRDefault="00CF2157" w:rsidP="00E106C6">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Bayes, A., Tavella, G., and Parker, G., (2021), ‘The Biology of Burnout: Causes and Consequences’, World Journal of Biology Psychiatry, </w:t>
            </w:r>
            <w:r w:rsidR="00482F2C">
              <w:rPr>
                <w:rFonts w:asciiTheme="majorHAnsi" w:hAnsiTheme="majorHAnsi" w:cstheme="majorHAnsi"/>
                <w:szCs w:val="24"/>
              </w:rPr>
              <w:t xml:space="preserve">Volume 22, (9), pp. 686-698, Available at: doi: 10.1080/15622975.2021.1907713 </w:t>
            </w:r>
          </w:p>
          <w:p w14:paraId="3F772DB1" w14:textId="77777777" w:rsidR="00CF2157" w:rsidRDefault="00CF2157" w:rsidP="00E106C6">
            <w:pPr>
              <w:spacing w:after="0" w:line="259" w:lineRule="auto"/>
              <w:ind w:left="0" w:right="115" w:firstLine="0"/>
              <w:rPr>
                <w:rFonts w:asciiTheme="majorHAnsi" w:hAnsiTheme="majorHAnsi" w:cstheme="majorHAnsi"/>
                <w:szCs w:val="24"/>
              </w:rPr>
            </w:pPr>
          </w:p>
          <w:p w14:paraId="5D60B3FF" w14:textId="6CB2E42B" w:rsidR="006B2367" w:rsidRPr="005F4504" w:rsidRDefault="006B2367" w:rsidP="00E106C6">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Brown Epstein, A. H., (2023), ‘The Teach-Back Method to Build Patient’s Health Literacy’, </w:t>
            </w:r>
            <w:r>
              <w:rPr>
                <w:rFonts w:asciiTheme="majorHAnsi" w:hAnsiTheme="majorHAnsi" w:cstheme="majorHAnsi"/>
                <w:i/>
                <w:iCs/>
                <w:szCs w:val="24"/>
              </w:rPr>
              <w:t xml:space="preserve">Journal of Consumer Health on the Internet, </w:t>
            </w:r>
            <w:r>
              <w:rPr>
                <w:rFonts w:asciiTheme="majorHAnsi" w:hAnsiTheme="majorHAnsi" w:cstheme="majorHAnsi"/>
                <w:szCs w:val="24"/>
              </w:rPr>
              <w:t xml:space="preserve">Volume 27, (3), pp. 328-334, Available at: </w:t>
            </w:r>
            <w:r w:rsidRPr="00270B47">
              <w:rPr>
                <w:rFonts w:asciiTheme="majorHAnsi" w:hAnsiTheme="majorHAnsi" w:cstheme="majorHAnsi"/>
                <w:szCs w:val="24"/>
              </w:rPr>
              <w:t>https://doi-org.uwtsd.idm.oclc.org/10.1080/15398285.2023.2243786</w:t>
            </w:r>
            <w:r>
              <w:rPr>
                <w:rFonts w:asciiTheme="majorHAnsi" w:hAnsiTheme="majorHAnsi" w:cstheme="majorHAnsi"/>
                <w:szCs w:val="24"/>
              </w:rPr>
              <w:t xml:space="preserve"> </w:t>
            </w:r>
          </w:p>
          <w:p w14:paraId="355D55A6" w14:textId="77777777" w:rsidR="006B2367" w:rsidRDefault="006B2367" w:rsidP="00E106C6">
            <w:pPr>
              <w:spacing w:after="0" w:line="259" w:lineRule="auto"/>
              <w:ind w:left="0" w:right="115" w:firstLine="0"/>
              <w:rPr>
                <w:rFonts w:asciiTheme="majorHAnsi" w:hAnsiTheme="majorHAnsi" w:cstheme="majorHAnsi"/>
                <w:szCs w:val="24"/>
              </w:rPr>
            </w:pPr>
          </w:p>
          <w:p w14:paraId="61E61C1F" w14:textId="165402DD" w:rsidR="006B2367" w:rsidRDefault="006B2367" w:rsidP="00E106C6">
            <w:pPr>
              <w:spacing w:after="0" w:line="259" w:lineRule="auto"/>
              <w:ind w:left="0" w:right="115" w:firstLine="0"/>
              <w:rPr>
                <w:rFonts w:asciiTheme="majorHAnsi" w:hAnsiTheme="majorHAnsi" w:cstheme="majorHAnsi"/>
                <w:szCs w:val="24"/>
              </w:rPr>
            </w:pPr>
            <w:r>
              <w:rPr>
                <w:rFonts w:asciiTheme="majorHAnsi" w:hAnsiTheme="majorHAnsi" w:cstheme="majorHAnsi"/>
                <w:szCs w:val="24"/>
              </w:rPr>
              <w:t>Chao, S., Dong, W., Haiyan, G., and Xue, W., (2020), ‘How does patient provider communication effect patients’ risk perception</w:t>
            </w:r>
            <w:r w:rsidR="004F292E">
              <w:rPr>
                <w:rFonts w:asciiTheme="majorHAnsi" w:hAnsiTheme="majorHAnsi" w:cstheme="majorHAnsi"/>
                <w:szCs w:val="24"/>
              </w:rPr>
              <w:t xml:space="preserve">?  </w:t>
            </w:r>
            <w:r>
              <w:rPr>
                <w:rFonts w:asciiTheme="majorHAnsi" w:hAnsiTheme="majorHAnsi" w:cstheme="majorHAnsi"/>
                <w:szCs w:val="24"/>
              </w:rPr>
              <w:t xml:space="preserve">A scenario experiment and an exploratory investigation’, </w:t>
            </w:r>
            <w:r>
              <w:rPr>
                <w:rFonts w:asciiTheme="majorHAnsi" w:hAnsiTheme="majorHAnsi" w:cstheme="majorHAnsi"/>
                <w:i/>
                <w:iCs/>
                <w:szCs w:val="24"/>
              </w:rPr>
              <w:t xml:space="preserve">International Journal of Nursing Practice, </w:t>
            </w:r>
            <w:r>
              <w:rPr>
                <w:rFonts w:asciiTheme="majorHAnsi" w:hAnsiTheme="majorHAnsi" w:cstheme="majorHAnsi"/>
                <w:szCs w:val="24"/>
              </w:rPr>
              <w:t xml:space="preserve">Volume 26, (5), Available at: </w:t>
            </w:r>
            <w:r w:rsidRPr="00FA6FCE">
              <w:rPr>
                <w:rFonts w:asciiTheme="majorHAnsi" w:hAnsiTheme="majorHAnsi" w:cstheme="majorHAnsi"/>
                <w:szCs w:val="24"/>
              </w:rPr>
              <w:t>https://doi.org/10.1111/ijn.12872</w:t>
            </w:r>
          </w:p>
          <w:p w14:paraId="46CE15C2" w14:textId="77777777" w:rsidR="006B2367" w:rsidRDefault="006B2367" w:rsidP="00E106C6">
            <w:pPr>
              <w:spacing w:after="0" w:line="259" w:lineRule="auto"/>
              <w:ind w:left="0" w:right="115" w:firstLine="0"/>
              <w:rPr>
                <w:rFonts w:asciiTheme="majorHAnsi" w:hAnsiTheme="majorHAnsi" w:cstheme="majorHAnsi"/>
                <w:szCs w:val="24"/>
              </w:rPr>
            </w:pPr>
          </w:p>
          <w:p w14:paraId="53D1ACF9" w14:textId="58AB8304" w:rsidR="006B2367" w:rsidRPr="005D7C2D" w:rsidRDefault="006B2367" w:rsidP="00E106C6">
            <w:pPr>
              <w:spacing w:after="0" w:line="259" w:lineRule="auto"/>
              <w:ind w:left="0" w:right="115" w:firstLine="0"/>
              <w:rPr>
                <w:rFonts w:ascii="Calibri" w:hAnsi="Calibri" w:cs="Calibri"/>
                <w:szCs w:val="24"/>
                <w:lang w:eastAsia="zh-CN"/>
              </w:rPr>
            </w:pPr>
            <w:r>
              <w:rPr>
                <w:rFonts w:asciiTheme="majorHAnsi" w:hAnsiTheme="majorHAnsi" w:cstheme="majorHAnsi"/>
                <w:szCs w:val="24"/>
              </w:rPr>
              <w:t>Chicheriz, C. M., and Purc</w:t>
            </w:r>
            <w:r>
              <w:rPr>
                <w:rFonts w:ascii="Calibri" w:hAnsi="Calibri" w:cs="Calibri" w:hint="eastAsia"/>
                <w:szCs w:val="24"/>
                <w:lang w:eastAsia="zh-CN"/>
              </w:rPr>
              <w:t>ǎ</w:t>
            </w:r>
            <w:r>
              <w:rPr>
                <w:rFonts w:ascii="Calibri" w:hAnsi="Calibri" w:cs="Calibri"/>
                <w:szCs w:val="24"/>
                <w:lang w:eastAsia="zh-CN"/>
              </w:rPr>
              <w:t xml:space="preserve">rea, V. L., (2018), ‘Interpersonal communication in healthcare’, </w:t>
            </w:r>
            <w:r>
              <w:rPr>
                <w:rFonts w:ascii="Calibri" w:hAnsi="Calibri" w:cs="Calibri"/>
                <w:i/>
                <w:iCs/>
                <w:szCs w:val="24"/>
                <w:lang w:eastAsia="zh-CN"/>
              </w:rPr>
              <w:t xml:space="preserve">Journal of Medicine and Life, </w:t>
            </w:r>
            <w:r>
              <w:rPr>
                <w:rFonts w:ascii="Calibri" w:hAnsi="Calibri" w:cs="Calibri"/>
                <w:szCs w:val="24"/>
                <w:lang w:eastAsia="zh-CN"/>
              </w:rPr>
              <w:t xml:space="preserve">Volume 11, (2), pp. 119-122, Available at: </w:t>
            </w:r>
            <w:r w:rsidRPr="005D7C2D">
              <w:rPr>
                <w:rFonts w:ascii="Calibri" w:hAnsi="Calibri" w:cs="Calibri"/>
                <w:szCs w:val="24"/>
                <w:lang w:eastAsia="zh-CN"/>
              </w:rPr>
              <w:t>https://www.proquest.com/scholarly-journals/interpersonal-communication-healthcare/docview/2153561467/se-2?accountid=130472</w:t>
            </w:r>
            <w:r>
              <w:rPr>
                <w:rFonts w:ascii="Calibri" w:hAnsi="Calibri" w:cs="Calibri"/>
                <w:szCs w:val="24"/>
                <w:lang w:eastAsia="zh-CN"/>
              </w:rPr>
              <w:t xml:space="preserve"> </w:t>
            </w:r>
          </w:p>
          <w:p w14:paraId="183E4A09" w14:textId="77777777" w:rsidR="006B2367" w:rsidRDefault="006B2367" w:rsidP="00E106C6">
            <w:pPr>
              <w:spacing w:after="0" w:line="259" w:lineRule="auto"/>
              <w:ind w:left="0" w:right="115" w:firstLine="0"/>
              <w:rPr>
                <w:rFonts w:ascii="Calibri" w:hAnsi="Calibri" w:cs="Calibri"/>
                <w:szCs w:val="24"/>
                <w:lang w:eastAsia="zh-CN"/>
              </w:rPr>
            </w:pPr>
          </w:p>
          <w:p w14:paraId="1F307276" w14:textId="4C88A098" w:rsidR="00CF2157" w:rsidRDefault="00CF2157"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Dar, A. K., Iqbal, N., Scrumeda, A., Asif, R., Enea, V., Hassan, M., and Manciuc, C., (2025), ‘COVID-19 Anxiety and Mental Health in Healthcare Workers: Examining the Role of Compassion Fatigue During the Last Wave of the Pandemic’, </w:t>
            </w:r>
            <w:r w:rsidRPr="00CF2157">
              <w:rPr>
                <w:rFonts w:ascii="Calibri" w:hAnsi="Calibri" w:cs="Calibri"/>
                <w:i/>
                <w:iCs/>
                <w:szCs w:val="24"/>
                <w:lang w:eastAsia="zh-CN"/>
              </w:rPr>
              <w:t>Psychiatry,</w:t>
            </w:r>
            <w:r>
              <w:rPr>
                <w:rFonts w:ascii="Calibri" w:hAnsi="Calibri" w:cs="Calibri"/>
                <w:szCs w:val="24"/>
                <w:lang w:eastAsia="zh-CN"/>
              </w:rPr>
              <w:t xml:space="preserve"> Volume 88, (2), p. 142-154, Available at: </w:t>
            </w:r>
            <w:r w:rsidR="005F150E" w:rsidRPr="005F150E">
              <w:rPr>
                <w:rFonts w:ascii="Calibri" w:hAnsi="Calibri" w:cs="Calibri"/>
                <w:szCs w:val="24"/>
                <w:lang w:eastAsia="zh-CN"/>
              </w:rPr>
              <w:t>https://doi.org/10.1080/00332747.2024.24352204</w:t>
            </w:r>
          </w:p>
          <w:p w14:paraId="7CE6089B" w14:textId="77777777" w:rsidR="005F150E" w:rsidRDefault="005F150E" w:rsidP="00E106C6">
            <w:pPr>
              <w:spacing w:after="0" w:line="259" w:lineRule="auto"/>
              <w:ind w:left="0" w:right="115" w:firstLine="0"/>
              <w:rPr>
                <w:rFonts w:ascii="Calibri" w:hAnsi="Calibri" w:cs="Calibri"/>
                <w:szCs w:val="24"/>
                <w:lang w:eastAsia="zh-CN"/>
              </w:rPr>
            </w:pPr>
          </w:p>
          <w:p w14:paraId="4AE54F79" w14:textId="3E5B8747" w:rsidR="00CF2157" w:rsidRDefault="006D6730"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lastRenderedPageBreak/>
              <w:t xml:space="preserve">Edmonds, P. K., Yeung, N. H., Onderdonk, C., Mitchell, W., and Thornberry, K., (2015), ‘Clinical Supervision in the Palliative Care Team Setting: A Concrete Approach to Team Wellness’, Journal of Palliative Medicine, Volume 18, (3), Available at: </w:t>
            </w:r>
            <w:r w:rsidRPr="006D6730">
              <w:rPr>
                <w:rFonts w:ascii="Calibri" w:hAnsi="Calibri" w:cs="Calibri"/>
                <w:szCs w:val="24"/>
                <w:lang w:eastAsia="zh-CN"/>
              </w:rPr>
              <w:t>https://doi-org.uwtsd.idm.oclc.org/10.1089/jpm.2014.0248</w:t>
            </w:r>
            <w:r>
              <w:rPr>
                <w:rFonts w:ascii="Calibri" w:hAnsi="Calibri" w:cs="Calibri"/>
                <w:szCs w:val="24"/>
                <w:lang w:eastAsia="zh-CN"/>
              </w:rPr>
              <w:t xml:space="preserve"> </w:t>
            </w:r>
          </w:p>
          <w:p w14:paraId="75E16C55" w14:textId="77777777" w:rsidR="006D6730" w:rsidRDefault="006D6730" w:rsidP="00E106C6">
            <w:pPr>
              <w:spacing w:after="0" w:line="259" w:lineRule="auto"/>
              <w:ind w:left="0" w:right="115" w:firstLine="0"/>
              <w:rPr>
                <w:rFonts w:ascii="Calibri" w:hAnsi="Calibri" w:cs="Calibri"/>
                <w:szCs w:val="24"/>
                <w:lang w:eastAsia="zh-CN"/>
              </w:rPr>
            </w:pPr>
          </w:p>
          <w:p w14:paraId="2DE5B2E3" w14:textId="223C143F" w:rsidR="006B2367" w:rsidRPr="00306112" w:rsidRDefault="006B2367"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Ehrlich, O., Berry, D., Gorman, D., and Brandoff, D., (2020), ‘Motivational Interviewing for Functional Cancer Pain Goals: A Feasibility Study (GP724)’, </w:t>
            </w:r>
            <w:r w:rsidRPr="00DF61DA">
              <w:rPr>
                <w:rFonts w:ascii="Calibri" w:hAnsi="Calibri" w:cs="Calibri"/>
                <w:i/>
                <w:iCs/>
                <w:szCs w:val="24"/>
                <w:lang w:eastAsia="zh-CN"/>
              </w:rPr>
              <w:t>Journal of Pain and Symptom Management</w:t>
            </w:r>
            <w:r>
              <w:rPr>
                <w:rFonts w:ascii="Calibri" w:hAnsi="Calibri" w:cs="Calibri"/>
                <w:szCs w:val="24"/>
                <w:lang w:eastAsia="zh-CN"/>
              </w:rPr>
              <w:t xml:space="preserve">, Volume 60, (1), pp.259-260, Available at: </w:t>
            </w:r>
            <w:r w:rsidRPr="00DF61DA">
              <w:rPr>
                <w:rFonts w:ascii="Calibri" w:hAnsi="Calibri" w:cs="Calibri"/>
                <w:szCs w:val="24"/>
                <w:lang w:eastAsia="zh-CN"/>
              </w:rPr>
              <w:t>https://doi-org.uwtsd.idm.oclc.org/10.1016/j.jpainsymman.2020.04.147</w:t>
            </w:r>
          </w:p>
          <w:p w14:paraId="41AF9A63" w14:textId="77777777" w:rsidR="006B2367" w:rsidRDefault="006B2367" w:rsidP="00E106C6">
            <w:pPr>
              <w:spacing w:after="0" w:line="259" w:lineRule="auto"/>
              <w:ind w:left="0" w:right="115" w:firstLine="0"/>
              <w:rPr>
                <w:rFonts w:ascii="Calibri" w:hAnsi="Calibri" w:cs="Calibri"/>
                <w:szCs w:val="24"/>
                <w:lang w:eastAsia="zh-CN"/>
              </w:rPr>
            </w:pPr>
          </w:p>
          <w:p w14:paraId="600C6D8E" w14:textId="28AAF617" w:rsidR="006B2367" w:rsidRDefault="006B2367"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Fisher, Fonagy, and Zilcha-Mano, (2024), ‘More than meets the ‘I’: A panoramic view of epistemic trust in psychotherapy’, </w:t>
            </w:r>
            <w:r w:rsidRPr="006B34B9">
              <w:rPr>
                <w:rFonts w:ascii="Calibri" w:hAnsi="Calibri" w:cs="Calibri"/>
                <w:i/>
                <w:iCs/>
                <w:szCs w:val="24"/>
                <w:lang w:eastAsia="zh-CN"/>
              </w:rPr>
              <w:t>Psychopathology,</w:t>
            </w:r>
            <w:r>
              <w:rPr>
                <w:rFonts w:ascii="Calibri" w:hAnsi="Calibri" w:cs="Calibri"/>
                <w:szCs w:val="24"/>
                <w:lang w:eastAsia="zh-CN"/>
              </w:rPr>
              <w:t xml:space="preserve"> Volume 58, (2), pp. 80-93, Available at: </w:t>
            </w:r>
            <w:r w:rsidRPr="006B34B9">
              <w:rPr>
                <w:rFonts w:ascii="Calibri" w:hAnsi="Calibri" w:cs="Calibri"/>
                <w:szCs w:val="24"/>
                <w:lang w:eastAsia="zh-CN"/>
              </w:rPr>
              <w:t>https://doi.org/10.1159/000541667</w:t>
            </w:r>
            <w:r>
              <w:rPr>
                <w:rFonts w:ascii="Calibri" w:hAnsi="Calibri" w:cs="Calibri"/>
                <w:szCs w:val="24"/>
                <w:lang w:eastAsia="zh-CN"/>
              </w:rPr>
              <w:t xml:space="preserve"> </w:t>
            </w:r>
          </w:p>
          <w:p w14:paraId="2AACD134" w14:textId="77777777" w:rsidR="006B2367" w:rsidRDefault="006B2367" w:rsidP="00E106C6">
            <w:pPr>
              <w:spacing w:after="0" w:line="259" w:lineRule="auto"/>
              <w:ind w:left="0" w:right="115" w:firstLine="0"/>
              <w:rPr>
                <w:rFonts w:ascii="Calibri" w:hAnsi="Calibri" w:cs="Calibri"/>
                <w:szCs w:val="24"/>
                <w:lang w:eastAsia="zh-CN"/>
              </w:rPr>
            </w:pPr>
          </w:p>
          <w:p w14:paraId="54068770" w14:textId="66C3D9BE" w:rsidR="00003B66" w:rsidRPr="00003B66" w:rsidRDefault="00003B66"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Fowler, J., (2020), ‘Reflection and mental health nursing.  Part 6: The Importance of Reflective Evidence’, </w:t>
            </w:r>
            <w:r>
              <w:rPr>
                <w:rFonts w:ascii="Calibri" w:hAnsi="Calibri" w:cs="Calibri"/>
                <w:i/>
                <w:iCs/>
                <w:szCs w:val="24"/>
                <w:lang w:eastAsia="zh-CN"/>
              </w:rPr>
              <w:t xml:space="preserve">British Journal of Mental Health Nursing, </w:t>
            </w:r>
            <w:r>
              <w:rPr>
                <w:rFonts w:ascii="Calibri" w:hAnsi="Calibri" w:cs="Calibri"/>
                <w:szCs w:val="24"/>
                <w:lang w:eastAsia="zh-CN"/>
              </w:rPr>
              <w:t xml:space="preserve">Volume 9, (4), Available at: </w:t>
            </w:r>
            <w:r w:rsidRPr="00003B66">
              <w:rPr>
                <w:rFonts w:ascii="Calibri" w:hAnsi="Calibri" w:cs="Calibri"/>
                <w:szCs w:val="24"/>
                <w:lang w:eastAsia="zh-CN"/>
              </w:rPr>
              <w:t>https://doi-org.uwtsd.idm.oclc.org/10.12968/bjmh.2020.0038</w:t>
            </w:r>
            <w:r>
              <w:rPr>
                <w:rFonts w:ascii="Calibri" w:hAnsi="Calibri" w:cs="Calibri"/>
                <w:szCs w:val="24"/>
                <w:lang w:eastAsia="zh-CN"/>
              </w:rPr>
              <w:t xml:space="preserve"> </w:t>
            </w:r>
          </w:p>
          <w:p w14:paraId="60EC837F" w14:textId="77777777" w:rsidR="00003B66" w:rsidRDefault="00003B66" w:rsidP="00E106C6">
            <w:pPr>
              <w:spacing w:after="0" w:line="259" w:lineRule="auto"/>
              <w:ind w:left="0" w:right="115" w:firstLine="0"/>
              <w:rPr>
                <w:rFonts w:ascii="Calibri" w:hAnsi="Calibri" w:cs="Calibri"/>
                <w:szCs w:val="24"/>
                <w:lang w:eastAsia="zh-CN"/>
              </w:rPr>
            </w:pPr>
          </w:p>
          <w:p w14:paraId="073E540A" w14:textId="456EE2AE" w:rsidR="000475EA" w:rsidRDefault="000475EA"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Garnett, A, Hui, L., Oleynikov, C., Boamah, S., (2023), ‘Compassion Fatigue in Healthcare Providers: A Scoping Review’, </w:t>
            </w:r>
            <w:r w:rsidRPr="00D20206">
              <w:rPr>
                <w:rFonts w:ascii="Calibri" w:hAnsi="Calibri" w:cs="Calibri"/>
                <w:i/>
                <w:iCs/>
                <w:szCs w:val="24"/>
                <w:lang w:eastAsia="zh-CN"/>
              </w:rPr>
              <w:t>BMC Health Services Research,</w:t>
            </w:r>
            <w:r>
              <w:rPr>
                <w:rFonts w:ascii="Calibri" w:hAnsi="Calibri" w:cs="Calibri"/>
                <w:szCs w:val="24"/>
                <w:lang w:eastAsia="zh-CN"/>
              </w:rPr>
              <w:t xml:space="preserve"> </w:t>
            </w:r>
            <w:r w:rsidR="00D20206">
              <w:rPr>
                <w:rFonts w:ascii="Calibri" w:hAnsi="Calibri" w:cs="Calibri"/>
                <w:szCs w:val="24"/>
                <w:lang w:eastAsia="zh-CN"/>
              </w:rPr>
              <w:t>Volume 23, pp. 1-16, Available at: doi:10.1186/s12913-023-10356-3</w:t>
            </w:r>
          </w:p>
          <w:p w14:paraId="68A31728" w14:textId="77777777" w:rsidR="000475EA" w:rsidRDefault="000475EA" w:rsidP="00E106C6">
            <w:pPr>
              <w:spacing w:after="0" w:line="259" w:lineRule="auto"/>
              <w:ind w:left="0" w:right="115" w:firstLine="0"/>
              <w:rPr>
                <w:rFonts w:ascii="Calibri" w:hAnsi="Calibri" w:cs="Calibri"/>
                <w:szCs w:val="24"/>
                <w:lang w:eastAsia="zh-CN"/>
              </w:rPr>
            </w:pPr>
          </w:p>
          <w:p w14:paraId="57D3B82D" w14:textId="6185BB44" w:rsidR="006B2367" w:rsidRDefault="006B2367"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Gutnick, D., and McNeilly, S., (2025), ‘Motivational Interviewing is ‘Doing’ What Matters: Integrating Motivational Interviewing Spirit and Skills into What Matters to You</w:t>
            </w:r>
            <w:r w:rsidR="004F292E">
              <w:rPr>
                <w:rFonts w:ascii="Calibri" w:hAnsi="Calibri" w:cs="Calibri"/>
                <w:szCs w:val="24"/>
                <w:lang w:eastAsia="zh-CN"/>
              </w:rPr>
              <w:t xml:space="preserve">?  </w:t>
            </w:r>
            <w:r>
              <w:rPr>
                <w:rFonts w:ascii="Calibri" w:hAnsi="Calibri" w:cs="Calibri"/>
                <w:szCs w:val="24"/>
                <w:lang w:eastAsia="zh-CN"/>
              </w:rPr>
              <w:t xml:space="preserve">Conversations’, </w:t>
            </w:r>
            <w:r w:rsidRPr="00306112">
              <w:rPr>
                <w:rFonts w:ascii="Calibri" w:hAnsi="Calibri" w:cs="Calibri"/>
                <w:i/>
                <w:iCs/>
                <w:szCs w:val="24"/>
                <w:lang w:eastAsia="zh-CN"/>
              </w:rPr>
              <w:t>Journal of Patient Experience</w:t>
            </w:r>
            <w:r>
              <w:rPr>
                <w:rFonts w:ascii="Calibri" w:hAnsi="Calibri" w:cs="Calibri"/>
                <w:szCs w:val="24"/>
                <w:lang w:eastAsia="zh-CN"/>
              </w:rPr>
              <w:t xml:space="preserve">, Volume 12, Available at: </w:t>
            </w:r>
            <w:r w:rsidRPr="00306112">
              <w:rPr>
                <w:rFonts w:ascii="Calibri" w:hAnsi="Calibri" w:cs="Calibri"/>
                <w:szCs w:val="24"/>
                <w:lang w:eastAsia="zh-CN"/>
              </w:rPr>
              <w:t>https://doi.org/10.1177/23743735251317041</w:t>
            </w:r>
            <w:r>
              <w:rPr>
                <w:rFonts w:ascii="Calibri" w:hAnsi="Calibri" w:cs="Calibri"/>
                <w:szCs w:val="24"/>
                <w:lang w:eastAsia="zh-CN"/>
              </w:rPr>
              <w:t xml:space="preserve"> </w:t>
            </w:r>
          </w:p>
          <w:p w14:paraId="36EF5848" w14:textId="77777777" w:rsidR="00D931D3" w:rsidRDefault="00D931D3" w:rsidP="00E106C6">
            <w:pPr>
              <w:spacing w:after="0" w:line="259" w:lineRule="auto"/>
              <w:ind w:left="0" w:right="115" w:firstLine="0"/>
              <w:rPr>
                <w:rFonts w:ascii="Calibri" w:hAnsi="Calibri" w:cs="Calibri"/>
                <w:szCs w:val="24"/>
                <w:lang w:eastAsia="zh-CN"/>
              </w:rPr>
            </w:pPr>
          </w:p>
          <w:p w14:paraId="706F935F" w14:textId="6AF035DA" w:rsidR="00D931D3" w:rsidRPr="00D931D3" w:rsidRDefault="00D931D3"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Hildebrand, M. G., Perrault, K. E., and Heejoon Rnoh, R., (2021), ‘Patients’ Perceptions of Health Care Providers’ Dismissive Communication’, </w:t>
            </w:r>
            <w:r>
              <w:rPr>
                <w:rFonts w:ascii="Calibri" w:hAnsi="Calibri" w:cs="Calibri"/>
                <w:i/>
                <w:iCs/>
                <w:szCs w:val="24"/>
                <w:lang w:eastAsia="zh-CN"/>
              </w:rPr>
              <w:t xml:space="preserve">Health Promotion Practice, </w:t>
            </w:r>
            <w:r>
              <w:rPr>
                <w:rFonts w:ascii="Calibri" w:hAnsi="Calibri" w:cs="Calibri"/>
                <w:szCs w:val="24"/>
                <w:lang w:eastAsia="zh-CN"/>
              </w:rPr>
              <w:t xml:space="preserve">Volume 23, (5), pp. 777-784, Available at: doi:10.1177/15248399211027540 </w:t>
            </w:r>
          </w:p>
          <w:p w14:paraId="4F0E8394" w14:textId="77777777" w:rsidR="00D931D3" w:rsidRDefault="00D931D3" w:rsidP="00E106C6">
            <w:pPr>
              <w:spacing w:after="0" w:line="259" w:lineRule="auto"/>
              <w:ind w:left="0" w:right="115" w:firstLine="0"/>
              <w:rPr>
                <w:rFonts w:ascii="Calibri" w:hAnsi="Calibri" w:cs="Calibri"/>
                <w:szCs w:val="24"/>
                <w:lang w:eastAsia="zh-CN"/>
              </w:rPr>
            </w:pPr>
          </w:p>
          <w:p w14:paraId="704D7D26" w14:textId="2589EA54" w:rsidR="006B2367" w:rsidRDefault="006B2367"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Hsu, H. C., and Chang-Lee, S. N., (2025), ‘Listen to people with cognitive impairments: Communication difficulties and strategies’, Innovation in Aging, Volume 9, (2), Available at: </w:t>
            </w:r>
            <w:r w:rsidRPr="005671ED">
              <w:rPr>
                <w:rFonts w:ascii="Calibri" w:hAnsi="Calibri" w:cs="Calibri"/>
                <w:szCs w:val="24"/>
                <w:lang w:eastAsia="zh-CN"/>
              </w:rPr>
              <w:t>https://doi.org/10.1093/geroni/igaf122.2581</w:t>
            </w:r>
            <w:r>
              <w:rPr>
                <w:rFonts w:ascii="Calibri" w:hAnsi="Calibri" w:cs="Calibri"/>
                <w:szCs w:val="24"/>
                <w:lang w:eastAsia="zh-CN"/>
              </w:rPr>
              <w:t xml:space="preserve"> </w:t>
            </w:r>
          </w:p>
          <w:p w14:paraId="06E6DCAA" w14:textId="77777777" w:rsidR="006B2367" w:rsidRDefault="006B2367" w:rsidP="00E106C6">
            <w:pPr>
              <w:spacing w:after="0" w:line="259" w:lineRule="auto"/>
              <w:ind w:left="0" w:right="115" w:firstLine="0"/>
              <w:rPr>
                <w:rFonts w:ascii="Calibri" w:hAnsi="Calibri" w:cs="Calibri"/>
                <w:szCs w:val="24"/>
                <w:lang w:eastAsia="zh-CN"/>
              </w:rPr>
            </w:pPr>
          </w:p>
          <w:p w14:paraId="43D3AE28" w14:textId="2ACD1D95" w:rsidR="00E0068E" w:rsidRPr="00E0068E" w:rsidRDefault="00E0068E"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Humphries, N., Morgan, K., Conry, C. M., McGowan, Y., Montgomery, A., and McGee, H., (2014), ‘Quality of care and health professional burnout: narrative literature review’, </w:t>
            </w:r>
            <w:r>
              <w:rPr>
                <w:rFonts w:ascii="Calibri" w:hAnsi="Calibri" w:cs="Calibri"/>
                <w:i/>
                <w:iCs/>
                <w:szCs w:val="24"/>
                <w:lang w:eastAsia="zh-CN"/>
              </w:rPr>
              <w:t xml:space="preserve">International Journal of Health Care Quality Assurance, </w:t>
            </w:r>
            <w:r>
              <w:rPr>
                <w:rFonts w:ascii="Calibri" w:hAnsi="Calibri" w:cs="Calibri"/>
                <w:szCs w:val="24"/>
                <w:lang w:eastAsia="zh-CN"/>
              </w:rPr>
              <w:t>Volume 27, (4), pp. 293-307, Available at: doi:10.1108/IJHCQA-08-2012-0087</w:t>
            </w:r>
          </w:p>
          <w:p w14:paraId="6C7963D3" w14:textId="77777777" w:rsidR="00E0068E" w:rsidRDefault="00E0068E" w:rsidP="00E106C6">
            <w:pPr>
              <w:spacing w:after="0" w:line="259" w:lineRule="auto"/>
              <w:ind w:left="0" w:right="115" w:firstLine="0"/>
              <w:rPr>
                <w:rFonts w:ascii="Calibri" w:hAnsi="Calibri" w:cs="Calibri"/>
                <w:szCs w:val="24"/>
                <w:lang w:eastAsia="zh-CN"/>
              </w:rPr>
            </w:pPr>
          </w:p>
          <w:p w14:paraId="67C6FCBC" w14:textId="42E283CB" w:rsidR="006B2367" w:rsidRDefault="006B2367"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Kercher, A. K., Heeter, N. K., Dannelley, C., King, F. J., Schaefer, S., and Martinez Kercher, M. V., (2025), ‘Enhancing listening skills among future public health professionals: a pre-post educational intervention study’, </w:t>
            </w:r>
            <w:r w:rsidRPr="00A77BCF">
              <w:rPr>
                <w:rFonts w:ascii="Calibri" w:hAnsi="Calibri" w:cs="Calibri"/>
                <w:i/>
                <w:iCs/>
                <w:szCs w:val="24"/>
                <w:lang w:eastAsia="zh-CN"/>
              </w:rPr>
              <w:t>Frontiers in Public Health,</w:t>
            </w:r>
            <w:r>
              <w:rPr>
                <w:rFonts w:ascii="Calibri" w:hAnsi="Calibri" w:cs="Calibri"/>
                <w:szCs w:val="24"/>
                <w:lang w:eastAsia="zh-CN"/>
              </w:rPr>
              <w:t xml:space="preserve"> Volume 13, Available at: </w:t>
            </w:r>
            <w:r w:rsidRPr="00A77BCF">
              <w:rPr>
                <w:rFonts w:ascii="Calibri" w:hAnsi="Calibri" w:cs="Calibri"/>
                <w:szCs w:val="24"/>
                <w:lang w:eastAsia="zh-CN"/>
              </w:rPr>
              <w:t>https://doi.org/10.3389/fpubh.2025.1637788</w:t>
            </w:r>
          </w:p>
          <w:p w14:paraId="2222E68A" w14:textId="77777777" w:rsidR="006B2367" w:rsidRDefault="006B2367" w:rsidP="00E106C6">
            <w:pPr>
              <w:spacing w:after="0" w:line="259" w:lineRule="auto"/>
              <w:ind w:left="0" w:right="115" w:firstLine="0"/>
              <w:rPr>
                <w:rFonts w:ascii="Calibri" w:hAnsi="Calibri" w:cs="Calibri"/>
                <w:szCs w:val="24"/>
                <w:lang w:eastAsia="zh-CN"/>
              </w:rPr>
            </w:pPr>
          </w:p>
          <w:p w14:paraId="57DAA1B8" w14:textId="61AC1808" w:rsidR="006B2367" w:rsidRDefault="006B2367"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Leonard, P., (2017), ‘Exploring ways to manage healthcare professional – patient communication issues’, </w:t>
            </w:r>
            <w:r>
              <w:rPr>
                <w:rFonts w:ascii="Calibri" w:hAnsi="Calibri" w:cs="Calibri"/>
                <w:i/>
                <w:iCs/>
                <w:szCs w:val="24"/>
                <w:lang w:eastAsia="zh-CN"/>
              </w:rPr>
              <w:t xml:space="preserve">Supportive Care in Cancer, </w:t>
            </w:r>
            <w:r>
              <w:rPr>
                <w:rFonts w:ascii="Calibri" w:hAnsi="Calibri" w:cs="Calibri"/>
                <w:szCs w:val="24"/>
                <w:lang w:eastAsia="zh-CN"/>
              </w:rPr>
              <w:t>Volume 25, pp. 7-9, Available at: doi:10.1007/s00520-017-3635-6</w:t>
            </w:r>
          </w:p>
          <w:p w14:paraId="19EF9688" w14:textId="77777777" w:rsidR="006B2367" w:rsidRDefault="006B2367" w:rsidP="00E106C6">
            <w:pPr>
              <w:spacing w:after="0" w:line="259" w:lineRule="auto"/>
              <w:ind w:left="0" w:right="115" w:firstLine="0"/>
              <w:rPr>
                <w:rFonts w:ascii="Calibri" w:hAnsi="Calibri" w:cs="Calibri"/>
                <w:szCs w:val="24"/>
                <w:lang w:eastAsia="zh-CN"/>
              </w:rPr>
            </w:pPr>
          </w:p>
          <w:p w14:paraId="005F785C" w14:textId="52071A64" w:rsidR="00B93B3C" w:rsidRDefault="00B93B3C"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Maresca, G., Corallo, F., </w:t>
            </w:r>
            <w:proofErr w:type="spellStart"/>
            <w:r>
              <w:rPr>
                <w:rFonts w:ascii="Calibri" w:hAnsi="Calibri" w:cs="Calibri"/>
                <w:szCs w:val="24"/>
                <w:lang w:eastAsia="zh-CN"/>
              </w:rPr>
              <w:t>Cantanese</w:t>
            </w:r>
            <w:proofErr w:type="spellEnd"/>
            <w:r>
              <w:rPr>
                <w:rFonts w:ascii="Calibri" w:hAnsi="Calibri" w:cs="Calibri"/>
                <w:szCs w:val="24"/>
                <w:lang w:eastAsia="zh-CN"/>
              </w:rPr>
              <w:t xml:space="preserve">, G., Formica, C., and Lo Bouno, V., (2022), ‘Coping strategies of healthcare professionals with burnout syndrome: A systematic review’, </w:t>
            </w:r>
            <w:r w:rsidRPr="00B93B3C">
              <w:rPr>
                <w:rFonts w:ascii="Calibri" w:hAnsi="Calibri" w:cs="Calibri"/>
                <w:i/>
                <w:iCs/>
                <w:szCs w:val="24"/>
                <w:lang w:eastAsia="zh-CN"/>
              </w:rPr>
              <w:t>Medicina,</w:t>
            </w:r>
            <w:r>
              <w:rPr>
                <w:rFonts w:ascii="Calibri" w:hAnsi="Calibri" w:cs="Calibri"/>
                <w:szCs w:val="24"/>
                <w:lang w:eastAsia="zh-CN"/>
              </w:rPr>
              <w:t xml:space="preserve"> Volume 58, (2), pp. 327, Available at: doi:10.3390/medicina58020327</w:t>
            </w:r>
          </w:p>
          <w:p w14:paraId="2F425E8F" w14:textId="77777777" w:rsidR="00B93B3C" w:rsidRDefault="00B93B3C" w:rsidP="00E106C6">
            <w:pPr>
              <w:spacing w:after="0" w:line="259" w:lineRule="auto"/>
              <w:ind w:left="0" w:right="115" w:firstLine="0"/>
              <w:rPr>
                <w:rFonts w:ascii="Calibri" w:hAnsi="Calibri" w:cs="Calibri"/>
                <w:szCs w:val="24"/>
                <w:lang w:eastAsia="zh-CN"/>
              </w:rPr>
            </w:pPr>
          </w:p>
          <w:p w14:paraId="32AA64D0" w14:textId="69990ADB" w:rsidR="00952B7F" w:rsidRPr="00952B7F" w:rsidRDefault="00952B7F"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Martin, P., Lizarondo, L., Kumar, S., and Snowdon, D., (2021), ‘Impact of clinical supervision on healthcare organisational outcomes: A mixed methods systematic review’, </w:t>
            </w:r>
            <w:r>
              <w:rPr>
                <w:rFonts w:ascii="Calibri" w:hAnsi="Calibri" w:cs="Calibri"/>
                <w:i/>
                <w:iCs/>
                <w:szCs w:val="24"/>
                <w:lang w:eastAsia="zh-CN"/>
              </w:rPr>
              <w:t xml:space="preserve">PLoS One, </w:t>
            </w:r>
            <w:r>
              <w:rPr>
                <w:rFonts w:ascii="Calibri" w:hAnsi="Calibri" w:cs="Calibri"/>
                <w:szCs w:val="24"/>
                <w:lang w:eastAsia="zh-CN"/>
              </w:rPr>
              <w:t xml:space="preserve">Volume 16, (11), Available at: doi: 10.1371/journal.pone.0260156 </w:t>
            </w:r>
          </w:p>
          <w:p w14:paraId="331B4E97" w14:textId="77777777" w:rsidR="00952B7F" w:rsidRDefault="00952B7F" w:rsidP="00E106C6">
            <w:pPr>
              <w:spacing w:after="0" w:line="259" w:lineRule="auto"/>
              <w:ind w:left="0" w:right="115" w:firstLine="0"/>
              <w:rPr>
                <w:rFonts w:ascii="Calibri" w:hAnsi="Calibri" w:cs="Calibri"/>
                <w:szCs w:val="24"/>
                <w:lang w:eastAsia="zh-CN"/>
              </w:rPr>
            </w:pPr>
          </w:p>
          <w:p w14:paraId="797AFF7C" w14:textId="4DEA5DBF" w:rsidR="006B2367" w:rsidRDefault="006B2367"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Marx, R., (2025), ‘Reassurance for Patients – Essential not Optional’, Journal of Evaluation in Clinical Practice’, Volume 31, (1), pp. e14287, Available at: </w:t>
            </w:r>
            <w:r w:rsidRPr="00E83B36">
              <w:rPr>
                <w:rFonts w:ascii="Calibri" w:hAnsi="Calibri" w:cs="Calibri"/>
                <w:szCs w:val="24"/>
                <w:lang w:eastAsia="zh-CN"/>
              </w:rPr>
              <w:t>https://doi.org/10.1111/jep.14287</w:t>
            </w:r>
            <w:r>
              <w:rPr>
                <w:rFonts w:ascii="Calibri" w:hAnsi="Calibri" w:cs="Calibri"/>
                <w:szCs w:val="24"/>
                <w:lang w:eastAsia="zh-CN"/>
              </w:rPr>
              <w:t xml:space="preserve"> </w:t>
            </w:r>
          </w:p>
          <w:p w14:paraId="089B330D" w14:textId="77777777" w:rsidR="006B2367" w:rsidRDefault="006B2367" w:rsidP="00E106C6">
            <w:pPr>
              <w:spacing w:after="0" w:line="259" w:lineRule="auto"/>
              <w:ind w:left="0" w:right="115" w:firstLine="0"/>
              <w:rPr>
                <w:rFonts w:asciiTheme="majorHAnsi" w:hAnsiTheme="majorHAnsi" w:cstheme="majorHAnsi"/>
                <w:szCs w:val="24"/>
              </w:rPr>
            </w:pPr>
          </w:p>
          <w:p w14:paraId="7EA82A9C" w14:textId="176E96C8" w:rsidR="006B2367" w:rsidRDefault="006B2367" w:rsidP="00E106C6">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Mazor, M. K., Beard, L. R., Alexander, L. G., Arora, K. N., Firneno, C., Gaglio, B., Greene, M. S., Lemay, A. C., Robinson, E. B., Robin, W. D., Walsh, K., Street Jr, L. R., and Gallagher, H. T., (2013), ‘Patients and Family members’ view on patient centred communication during cancer care’, </w:t>
            </w:r>
            <w:r>
              <w:rPr>
                <w:rFonts w:asciiTheme="majorHAnsi" w:hAnsiTheme="majorHAnsi" w:cstheme="majorHAnsi"/>
                <w:i/>
                <w:iCs/>
                <w:szCs w:val="24"/>
              </w:rPr>
              <w:t xml:space="preserve">Psycho-Oncology, </w:t>
            </w:r>
            <w:r>
              <w:rPr>
                <w:rFonts w:asciiTheme="majorHAnsi" w:hAnsiTheme="majorHAnsi" w:cstheme="majorHAnsi"/>
                <w:szCs w:val="24"/>
              </w:rPr>
              <w:t>Volume 22, pp. 2487-2495, Available at: doi: 10.1002/pon.3317</w:t>
            </w:r>
          </w:p>
          <w:p w14:paraId="01DCF490" w14:textId="77777777" w:rsidR="006B2367" w:rsidRDefault="006B2367" w:rsidP="00E106C6">
            <w:pPr>
              <w:spacing w:after="0" w:line="259" w:lineRule="auto"/>
              <w:ind w:left="0" w:right="115" w:firstLine="0"/>
              <w:rPr>
                <w:rFonts w:ascii="Calibri" w:hAnsi="Calibri" w:cs="Calibri"/>
                <w:szCs w:val="24"/>
                <w:lang w:eastAsia="zh-CN"/>
              </w:rPr>
            </w:pPr>
          </w:p>
          <w:p w14:paraId="14779889" w14:textId="45023CA2" w:rsidR="006B2367" w:rsidRDefault="006B2367"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Miller, N., (2023), ‘What is active listening and how can I use it?  Good communication is essential for effective care and active listening can improve patient outcomes’, </w:t>
            </w:r>
            <w:r w:rsidRPr="002B1ED5">
              <w:rPr>
                <w:rFonts w:ascii="Calibri" w:hAnsi="Calibri" w:cs="Calibri"/>
                <w:i/>
                <w:iCs/>
                <w:szCs w:val="24"/>
                <w:lang w:eastAsia="zh-CN"/>
              </w:rPr>
              <w:t>Nursing Older People</w:t>
            </w:r>
            <w:r>
              <w:rPr>
                <w:rFonts w:ascii="Calibri" w:hAnsi="Calibri" w:cs="Calibri"/>
                <w:szCs w:val="24"/>
                <w:lang w:eastAsia="zh-CN"/>
              </w:rPr>
              <w:t xml:space="preserve">, Volume 35, (4), pp. 15-16, Available at: </w:t>
            </w:r>
            <w:r w:rsidRPr="002B1ED5">
              <w:rPr>
                <w:rFonts w:ascii="Calibri" w:hAnsi="Calibri" w:cs="Calibri"/>
                <w:szCs w:val="24"/>
                <w:lang w:eastAsia="zh-CN"/>
              </w:rPr>
              <w:t>https://doi.org/10.7748/nop.35.4.15.s5</w:t>
            </w:r>
            <w:r>
              <w:rPr>
                <w:rFonts w:ascii="Calibri" w:hAnsi="Calibri" w:cs="Calibri"/>
                <w:szCs w:val="24"/>
                <w:lang w:eastAsia="zh-CN"/>
              </w:rPr>
              <w:t xml:space="preserve"> </w:t>
            </w:r>
          </w:p>
          <w:p w14:paraId="2EF97F5F" w14:textId="77777777" w:rsidR="006B2367" w:rsidRDefault="006B2367" w:rsidP="00E106C6">
            <w:pPr>
              <w:spacing w:after="0" w:line="259" w:lineRule="auto"/>
              <w:ind w:left="0" w:right="115" w:firstLine="0"/>
              <w:rPr>
                <w:rFonts w:ascii="Calibri" w:hAnsi="Calibri" w:cs="Calibri"/>
                <w:szCs w:val="24"/>
                <w:lang w:eastAsia="zh-CN"/>
              </w:rPr>
            </w:pPr>
          </w:p>
          <w:p w14:paraId="4B238EF8" w14:textId="149EE665" w:rsidR="006B2367" w:rsidRDefault="006B2367"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Miller, R. W., and Rose, S. G., (2015), ‘Motivational Interviewing and Decisional Balance: Contrasting Responses to Client Ambivalence’, </w:t>
            </w:r>
            <w:r w:rsidRPr="00E818EB">
              <w:rPr>
                <w:rFonts w:ascii="Calibri" w:hAnsi="Calibri" w:cs="Calibri"/>
                <w:i/>
                <w:iCs/>
                <w:szCs w:val="24"/>
                <w:lang w:eastAsia="zh-CN"/>
              </w:rPr>
              <w:t>Behavioural and Cognitive Psychotherapy,</w:t>
            </w:r>
            <w:r>
              <w:rPr>
                <w:rFonts w:ascii="Calibri" w:hAnsi="Calibri" w:cs="Calibri"/>
                <w:szCs w:val="24"/>
                <w:lang w:eastAsia="zh-CN"/>
              </w:rPr>
              <w:t xml:space="preserve"> Volume 43, (2), pp. 129-141, Available at: doi:10.1017/S1352465823000878</w:t>
            </w:r>
          </w:p>
          <w:p w14:paraId="4AF7903E" w14:textId="77777777" w:rsidR="006B2367" w:rsidRDefault="006B2367" w:rsidP="00E106C6">
            <w:pPr>
              <w:spacing w:after="0" w:line="259" w:lineRule="auto"/>
              <w:ind w:left="0" w:right="115" w:firstLine="0"/>
              <w:rPr>
                <w:rFonts w:asciiTheme="majorHAnsi" w:hAnsiTheme="majorHAnsi" w:cstheme="majorHAnsi"/>
                <w:szCs w:val="24"/>
              </w:rPr>
            </w:pPr>
          </w:p>
          <w:p w14:paraId="54679267" w14:textId="7EDFAEC5" w:rsidR="00952B7F" w:rsidRDefault="00952B7F" w:rsidP="00E106C6">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Milne, D., (2010), ‘Can we enhance the training of clinical supervisors? A national pilot study of an evidence-based approach’, </w:t>
            </w:r>
            <w:r>
              <w:rPr>
                <w:rFonts w:asciiTheme="majorHAnsi" w:hAnsiTheme="majorHAnsi" w:cstheme="majorHAnsi"/>
                <w:i/>
                <w:iCs/>
                <w:szCs w:val="24"/>
              </w:rPr>
              <w:t xml:space="preserve">Clinical Psychology and Psychotherapy, </w:t>
            </w:r>
            <w:r>
              <w:rPr>
                <w:rFonts w:asciiTheme="majorHAnsi" w:hAnsiTheme="majorHAnsi" w:cstheme="majorHAnsi"/>
                <w:szCs w:val="24"/>
              </w:rPr>
              <w:t xml:space="preserve">Volume 17, (4), pp. 321-328, Available at: </w:t>
            </w:r>
            <w:r w:rsidR="00B93B3C" w:rsidRPr="00B93B3C">
              <w:rPr>
                <w:rFonts w:asciiTheme="majorHAnsi" w:hAnsiTheme="majorHAnsi" w:cstheme="majorHAnsi"/>
                <w:szCs w:val="24"/>
              </w:rPr>
              <w:t>https://doi.org/10.1002/cpp.657</w:t>
            </w:r>
          </w:p>
          <w:p w14:paraId="260E1676" w14:textId="77777777" w:rsidR="00B93B3C" w:rsidRPr="00952B7F" w:rsidRDefault="00B93B3C" w:rsidP="00E106C6">
            <w:pPr>
              <w:spacing w:after="0" w:line="259" w:lineRule="auto"/>
              <w:ind w:left="0" w:right="115" w:firstLine="0"/>
              <w:rPr>
                <w:rFonts w:asciiTheme="majorHAnsi" w:hAnsiTheme="majorHAnsi" w:cstheme="majorHAnsi"/>
                <w:szCs w:val="24"/>
              </w:rPr>
            </w:pPr>
          </w:p>
          <w:p w14:paraId="2E3099B6" w14:textId="34981F5A" w:rsidR="006B2367" w:rsidRDefault="006B2367" w:rsidP="00E106C6">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Mishari, K. A., and Ali, K. A. M., (2025), ‘Enhancing Communication with Older Adults with Cognitive Impairment in Healthcare Settings’, </w:t>
            </w:r>
            <w:r>
              <w:rPr>
                <w:rFonts w:asciiTheme="majorHAnsi" w:hAnsiTheme="majorHAnsi" w:cstheme="majorHAnsi"/>
                <w:i/>
                <w:iCs/>
                <w:szCs w:val="24"/>
              </w:rPr>
              <w:t xml:space="preserve">Journal of Community Medicine, </w:t>
            </w:r>
            <w:r>
              <w:rPr>
                <w:rFonts w:asciiTheme="majorHAnsi" w:hAnsiTheme="majorHAnsi" w:cstheme="majorHAnsi"/>
                <w:szCs w:val="24"/>
              </w:rPr>
              <w:t xml:space="preserve">Volume 28, (2), pp. 107-111, Available at: </w:t>
            </w:r>
            <w:r w:rsidRPr="00B06D07">
              <w:rPr>
                <w:rFonts w:asciiTheme="majorHAnsi" w:hAnsiTheme="majorHAnsi" w:cstheme="majorHAnsi"/>
                <w:szCs w:val="24"/>
              </w:rPr>
              <w:t>https://doi.org/10.4103/IRJCM.IRJCM_2_25</w:t>
            </w:r>
            <w:r>
              <w:rPr>
                <w:rFonts w:asciiTheme="majorHAnsi" w:hAnsiTheme="majorHAnsi" w:cstheme="majorHAnsi"/>
                <w:szCs w:val="24"/>
              </w:rPr>
              <w:t xml:space="preserve"> </w:t>
            </w:r>
          </w:p>
          <w:p w14:paraId="4EB1F3FF" w14:textId="77777777" w:rsidR="006B2367" w:rsidRDefault="006B2367" w:rsidP="00E106C6">
            <w:pPr>
              <w:spacing w:after="0" w:line="259" w:lineRule="auto"/>
              <w:ind w:left="0" w:right="115" w:firstLine="0"/>
              <w:rPr>
                <w:rFonts w:asciiTheme="majorHAnsi" w:hAnsiTheme="majorHAnsi" w:cstheme="majorHAnsi"/>
                <w:szCs w:val="24"/>
              </w:rPr>
            </w:pPr>
          </w:p>
          <w:p w14:paraId="198597E3" w14:textId="16657E7B" w:rsidR="006B2367" w:rsidRDefault="006B2367" w:rsidP="00E106C6">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Nickolova, S., and Gotani, A., (2025), ‘Exploring empathy, communication and cultural competence in low back pain care: a comparative cross-sectional study of nurses and physicians in Israel’, </w:t>
            </w:r>
            <w:r>
              <w:rPr>
                <w:rFonts w:asciiTheme="majorHAnsi" w:hAnsiTheme="majorHAnsi" w:cstheme="majorHAnsi"/>
                <w:i/>
                <w:iCs/>
                <w:szCs w:val="24"/>
              </w:rPr>
              <w:t xml:space="preserve">Frontiers in Communication, </w:t>
            </w:r>
            <w:r>
              <w:rPr>
                <w:rFonts w:asciiTheme="majorHAnsi" w:hAnsiTheme="majorHAnsi" w:cstheme="majorHAnsi"/>
                <w:szCs w:val="24"/>
              </w:rPr>
              <w:t xml:space="preserve">Volume 10, Available at: </w:t>
            </w:r>
            <w:r w:rsidRPr="005B3E38">
              <w:rPr>
                <w:rFonts w:asciiTheme="majorHAnsi" w:hAnsiTheme="majorHAnsi" w:cstheme="majorHAnsi"/>
                <w:szCs w:val="24"/>
              </w:rPr>
              <w:t>https://doi.org/10.3389/fcomm.2025.1674019</w:t>
            </w:r>
          </w:p>
          <w:p w14:paraId="0AF674CB" w14:textId="77777777" w:rsidR="006B2367" w:rsidRDefault="006B2367" w:rsidP="00E106C6">
            <w:pPr>
              <w:spacing w:after="0" w:line="259" w:lineRule="auto"/>
              <w:ind w:left="0" w:right="115" w:firstLine="0"/>
              <w:rPr>
                <w:rFonts w:ascii="Calibri" w:hAnsi="Calibri" w:cs="Calibri"/>
                <w:szCs w:val="24"/>
                <w:lang w:eastAsia="zh-CN"/>
              </w:rPr>
            </w:pPr>
          </w:p>
          <w:p w14:paraId="0DCF4BE5" w14:textId="0EFD28CB" w:rsidR="007A2D82" w:rsidRPr="007A2D82" w:rsidRDefault="007A2D82"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Paap, D., Krops, A. L., Schiphorst, P., Henrica, R., Geertzen, B. H. J., Dijkstra, U. P., Pool, G., (2022), ‘Participants’ unspoken thoughts and feelings negatively influence the therapeutic alliance; a qualitative study in multidisciplinary pain rehabilitation setting’, </w:t>
            </w:r>
            <w:r>
              <w:rPr>
                <w:rFonts w:ascii="Calibri" w:hAnsi="Calibri" w:cs="Calibri"/>
                <w:i/>
                <w:iCs/>
                <w:szCs w:val="24"/>
                <w:lang w:eastAsia="zh-CN"/>
              </w:rPr>
              <w:t xml:space="preserve">Disability and Rehabilitation, </w:t>
            </w:r>
            <w:r>
              <w:rPr>
                <w:rFonts w:ascii="Calibri" w:hAnsi="Calibri" w:cs="Calibri"/>
                <w:szCs w:val="24"/>
                <w:lang w:eastAsia="zh-CN"/>
              </w:rPr>
              <w:t xml:space="preserve">Volume 44, (18), pp. 5090-5100, Available at: </w:t>
            </w:r>
            <w:r w:rsidRPr="007A2D82">
              <w:rPr>
                <w:rFonts w:ascii="Calibri" w:hAnsi="Calibri" w:cs="Calibri"/>
                <w:szCs w:val="24"/>
                <w:lang w:eastAsia="zh-CN"/>
              </w:rPr>
              <w:t>https://doi.org/10.1080/09638288.2021.1924297</w:t>
            </w:r>
            <w:r>
              <w:rPr>
                <w:rFonts w:ascii="Calibri" w:hAnsi="Calibri" w:cs="Calibri"/>
                <w:szCs w:val="24"/>
                <w:lang w:eastAsia="zh-CN"/>
              </w:rPr>
              <w:t xml:space="preserve"> </w:t>
            </w:r>
          </w:p>
          <w:p w14:paraId="4FB6E8FA" w14:textId="77777777" w:rsidR="007A2D82" w:rsidRDefault="007A2D82" w:rsidP="00E106C6">
            <w:pPr>
              <w:spacing w:after="0" w:line="259" w:lineRule="auto"/>
              <w:ind w:left="0" w:right="115" w:firstLine="0"/>
              <w:rPr>
                <w:rFonts w:ascii="Calibri" w:hAnsi="Calibri" w:cs="Calibri"/>
                <w:szCs w:val="24"/>
                <w:lang w:eastAsia="zh-CN"/>
              </w:rPr>
            </w:pPr>
          </w:p>
          <w:p w14:paraId="71943E56" w14:textId="156846BD" w:rsidR="00B93B3C" w:rsidRPr="00B93B3C" w:rsidRDefault="00B93B3C"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Peterson, U., Gunnar, B., Samuelsson, M., </w:t>
            </w:r>
            <w:proofErr w:type="spellStart"/>
            <w:r>
              <w:rPr>
                <w:rFonts w:ascii="Calibri" w:hAnsi="Calibri" w:cs="Calibri"/>
                <w:szCs w:val="24"/>
                <w:lang w:eastAsia="zh-CN"/>
              </w:rPr>
              <w:t>Åsberg</w:t>
            </w:r>
            <w:proofErr w:type="spellEnd"/>
            <w:r>
              <w:rPr>
                <w:rFonts w:ascii="Calibri" w:hAnsi="Calibri" w:cs="Calibri"/>
                <w:szCs w:val="24"/>
                <w:lang w:eastAsia="zh-CN"/>
              </w:rPr>
              <w:t xml:space="preserve">, M., and Nygren, Å., (2008), ‘Reflecting peer support groups in the prevention of stress and burnout: randomised control trial’, </w:t>
            </w:r>
            <w:r>
              <w:rPr>
                <w:rFonts w:ascii="Calibri" w:hAnsi="Calibri" w:cs="Calibri"/>
                <w:i/>
                <w:iCs/>
                <w:szCs w:val="24"/>
                <w:lang w:eastAsia="zh-CN"/>
              </w:rPr>
              <w:t xml:space="preserve">Journal of Advanced Nursing, </w:t>
            </w:r>
            <w:r>
              <w:rPr>
                <w:rFonts w:ascii="Calibri" w:hAnsi="Calibri" w:cs="Calibri"/>
                <w:szCs w:val="24"/>
                <w:lang w:eastAsia="zh-CN"/>
              </w:rPr>
              <w:t xml:space="preserve">Volume 63, (5), pp. 506-516, Available at: </w:t>
            </w:r>
            <w:r w:rsidRPr="00B93B3C">
              <w:rPr>
                <w:rFonts w:ascii="Calibri" w:hAnsi="Calibri" w:cs="Calibri"/>
                <w:szCs w:val="24"/>
                <w:lang w:eastAsia="zh-CN"/>
              </w:rPr>
              <w:t>https://doi.org/10.1111/j.1365-2648.2008</w:t>
            </w:r>
            <w:r w:rsidRPr="00B93B3C">
              <w:rPr>
                <w:rFonts w:ascii="Calibri" w:hAnsi="Calibri" w:cs="Calibri"/>
                <w:szCs w:val="24"/>
                <w:lang w:eastAsia="zh-CN"/>
              </w:rPr>
              <w:t>.</w:t>
            </w:r>
            <w:r w:rsidRPr="00B93B3C">
              <w:rPr>
                <w:rFonts w:ascii="Calibri" w:hAnsi="Calibri" w:cs="Calibri"/>
                <w:szCs w:val="24"/>
                <w:lang w:eastAsia="zh-CN"/>
              </w:rPr>
              <w:t>04743.x</w:t>
            </w:r>
            <w:r>
              <w:rPr>
                <w:rFonts w:ascii="Calibri" w:hAnsi="Calibri" w:cs="Calibri"/>
                <w:szCs w:val="24"/>
                <w:lang w:eastAsia="zh-CN"/>
              </w:rPr>
              <w:t xml:space="preserve"> </w:t>
            </w:r>
          </w:p>
          <w:p w14:paraId="2A17A68C" w14:textId="77777777" w:rsidR="00B93B3C" w:rsidRDefault="00B93B3C" w:rsidP="00E106C6">
            <w:pPr>
              <w:spacing w:after="0" w:line="259" w:lineRule="auto"/>
              <w:ind w:left="0" w:right="115" w:firstLine="0"/>
              <w:rPr>
                <w:rFonts w:ascii="Calibri" w:hAnsi="Calibri" w:cs="Calibri"/>
                <w:szCs w:val="24"/>
                <w:lang w:eastAsia="zh-CN"/>
              </w:rPr>
            </w:pPr>
          </w:p>
          <w:p w14:paraId="2071BA0A" w14:textId="2D7222E1" w:rsidR="00B93B3C" w:rsidRPr="00B93B3C" w:rsidRDefault="00B93B3C" w:rsidP="00E106C6">
            <w:pPr>
              <w:spacing w:after="0" w:line="259" w:lineRule="auto"/>
              <w:ind w:left="0" w:right="115" w:firstLine="0"/>
              <w:rPr>
                <w:rFonts w:ascii="Calibri" w:hAnsi="Calibri" w:cs="Calibri"/>
                <w:szCs w:val="24"/>
                <w:lang w:eastAsia="zh-CN"/>
              </w:rPr>
            </w:pPr>
            <w:proofErr w:type="spellStart"/>
            <w:r>
              <w:rPr>
                <w:rFonts w:ascii="Calibri" w:hAnsi="Calibri" w:cs="Calibri"/>
                <w:szCs w:val="24"/>
                <w:lang w:eastAsia="zh-CN"/>
              </w:rPr>
              <w:t>Posluns</w:t>
            </w:r>
            <w:proofErr w:type="spellEnd"/>
            <w:r>
              <w:rPr>
                <w:rFonts w:ascii="Calibri" w:hAnsi="Calibri" w:cs="Calibri"/>
                <w:szCs w:val="24"/>
                <w:lang w:eastAsia="zh-CN"/>
              </w:rPr>
              <w:t xml:space="preserve">, K., and Gall, L. T., (2020), ‘Dear mental health practitioners, take care of yourselves: a literature review on self-care’, </w:t>
            </w:r>
            <w:r>
              <w:rPr>
                <w:rFonts w:ascii="Calibri" w:hAnsi="Calibri" w:cs="Calibri"/>
                <w:i/>
                <w:iCs/>
                <w:szCs w:val="24"/>
                <w:lang w:eastAsia="zh-CN"/>
              </w:rPr>
              <w:t xml:space="preserve">International Journal for the Advancement of Counselling, </w:t>
            </w:r>
            <w:r>
              <w:rPr>
                <w:rFonts w:ascii="Calibri" w:hAnsi="Calibri" w:cs="Calibri"/>
                <w:szCs w:val="24"/>
                <w:lang w:eastAsia="zh-CN"/>
              </w:rPr>
              <w:t>Volume 42, (1), pp. 1-20, Available at: doi:10.1007/s10447-019-09382-w</w:t>
            </w:r>
          </w:p>
          <w:p w14:paraId="41C18553" w14:textId="77777777" w:rsidR="00B93B3C" w:rsidRDefault="00B93B3C" w:rsidP="00E106C6">
            <w:pPr>
              <w:spacing w:after="0" w:line="259" w:lineRule="auto"/>
              <w:ind w:left="0" w:right="115" w:firstLine="0"/>
              <w:rPr>
                <w:rFonts w:ascii="Calibri" w:hAnsi="Calibri" w:cs="Calibri"/>
                <w:szCs w:val="24"/>
                <w:lang w:eastAsia="zh-CN"/>
              </w:rPr>
            </w:pPr>
          </w:p>
          <w:p w14:paraId="35209EDB" w14:textId="1BEA6A23" w:rsidR="006B2367" w:rsidRDefault="006B2367"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Reniscow, K., and McMaster, F., (2012), ‘Motivational interviewing: moving from why to how with autonomy to support’, </w:t>
            </w:r>
            <w:r w:rsidRPr="00D60E40">
              <w:rPr>
                <w:rFonts w:ascii="Calibri" w:hAnsi="Calibri" w:cs="Calibri"/>
                <w:i/>
                <w:iCs/>
                <w:szCs w:val="24"/>
                <w:lang w:eastAsia="zh-CN"/>
              </w:rPr>
              <w:t>International Journal of Behavioural Nutrition and Physical Activity</w:t>
            </w:r>
            <w:r>
              <w:rPr>
                <w:rFonts w:ascii="Calibri" w:hAnsi="Calibri" w:cs="Calibri"/>
                <w:szCs w:val="24"/>
                <w:lang w:eastAsia="zh-CN"/>
              </w:rPr>
              <w:t>, Volume 9, pp. 19, Available at: doi:10.1186/1479-5868-9-19</w:t>
            </w:r>
          </w:p>
          <w:p w14:paraId="3F7B04A9" w14:textId="77777777" w:rsidR="006B2367" w:rsidRDefault="006B2367" w:rsidP="00E106C6">
            <w:pPr>
              <w:spacing w:after="0" w:line="259" w:lineRule="auto"/>
              <w:ind w:left="0" w:right="115" w:firstLine="0"/>
              <w:rPr>
                <w:rFonts w:ascii="Calibri" w:hAnsi="Calibri" w:cs="Calibri"/>
                <w:szCs w:val="24"/>
                <w:lang w:eastAsia="zh-CN"/>
              </w:rPr>
            </w:pPr>
            <w:r>
              <w:rPr>
                <w:rFonts w:asciiTheme="majorHAnsi" w:hAnsiTheme="majorHAnsi" w:cstheme="majorHAnsi"/>
                <w:szCs w:val="24"/>
              </w:rPr>
              <w:t>Rusu, O., and Chirit</w:t>
            </w:r>
            <w:r>
              <w:rPr>
                <w:rFonts w:ascii="Calibri" w:hAnsi="Calibri" w:cs="Calibri" w:hint="eastAsia"/>
                <w:szCs w:val="24"/>
                <w:lang w:eastAsia="zh-CN"/>
              </w:rPr>
              <w:t>ǎ</w:t>
            </w:r>
            <w:r>
              <w:rPr>
                <w:rFonts w:ascii="Calibri" w:hAnsi="Calibri" w:cs="Calibri"/>
                <w:szCs w:val="24"/>
                <w:lang w:eastAsia="zh-CN"/>
              </w:rPr>
              <w:t xml:space="preserve">, M., (2017), ‘Verbal, non-verbal and paraverbal skills in the patient-kinetotherapist relationship’, </w:t>
            </w:r>
            <w:r>
              <w:rPr>
                <w:rFonts w:ascii="Calibri" w:hAnsi="Calibri" w:cs="Calibri"/>
                <w:i/>
                <w:iCs/>
                <w:szCs w:val="24"/>
                <w:lang w:eastAsia="zh-CN"/>
              </w:rPr>
              <w:t xml:space="preserve">Timisoara Physical Education and Rehabilitation Journal, </w:t>
            </w:r>
            <w:r>
              <w:rPr>
                <w:rFonts w:ascii="Calibri" w:hAnsi="Calibri" w:cs="Calibri"/>
                <w:szCs w:val="24"/>
                <w:lang w:eastAsia="zh-CN"/>
              </w:rPr>
              <w:t>Volume 10, (19), pp. 39-35, Available at: doi:10.1515/tperj-2017-0014</w:t>
            </w:r>
          </w:p>
          <w:p w14:paraId="7CE04378" w14:textId="77777777" w:rsidR="006B2367" w:rsidRDefault="006B2367" w:rsidP="00E106C6">
            <w:pPr>
              <w:spacing w:after="0" w:line="259" w:lineRule="auto"/>
              <w:ind w:left="0" w:right="115" w:firstLine="0"/>
              <w:rPr>
                <w:rFonts w:ascii="Calibri" w:hAnsi="Calibri" w:cs="Calibri"/>
                <w:szCs w:val="24"/>
                <w:lang w:eastAsia="zh-CN"/>
              </w:rPr>
            </w:pPr>
          </w:p>
          <w:p w14:paraId="6D6E9DB6" w14:textId="2BEB4C71" w:rsidR="006B2367" w:rsidRDefault="006B2367"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Sanders, J.J., Dubey, M., Hall, A. J., Catzen, Z. H., Blanch-Hartigan, D., and Schwartz, R., (2021), ‘What is empathy?  Oncology patient perspectives on empathic clinician behaviours’, </w:t>
            </w:r>
            <w:r w:rsidRPr="00820CFE">
              <w:rPr>
                <w:rFonts w:ascii="Calibri" w:hAnsi="Calibri" w:cs="Calibri"/>
                <w:i/>
                <w:iCs/>
                <w:szCs w:val="24"/>
                <w:lang w:eastAsia="zh-CN"/>
              </w:rPr>
              <w:t>American Cancer Society,</w:t>
            </w:r>
            <w:r>
              <w:rPr>
                <w:rFonts w:ascii="Calibri" w:hAnsi="Calibri" w:cs="Calibri"/>
                <w:szCs w:val="24"/>
                <w:lang w:eastAsia="zh-CN"/>
              </w:rPr>
              <w:t xml:space="preserve"> Volume 127, (22), pp. 4258-4265, Available at: https:doi.org/10.1002.cncr.33834 </w:t>
            </w:r>
          </w:p>
          <w:p w14:paraId="27EF9CA8" w14:textId="77777777" w:rsidR="006B2367" w:rsidRDefault="006B2367" w:rsidP="00E106C6">
            <w:pPr>
              <w:spacing w:after="0" w:line="259" w:lineRule="auto"/>
              <w:ind w:left="0" w:right="115" w:firstLine="0"/>
              <w:rPr>
                <w:rFonts w:asciiTheme="majorHAnsi" w:hAnsiTheme="majorHAnsi" w:cstheme="majorHAnsi"/>
                <w:szCs w:val="24"/>
              </w:rPr>
            </w:pPr>
          </w:p>
          <w:p w14:paraId="47A5328C" w14:textId="42894A2E" w:rsidR="006B2367" w:rsidRDefault="006B2367" w:rsidP="00E106C6">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Sandman, L., and Munthe, C., (2009), ‘Shared decision making and patient autonomy’, </w:t>
            </w:r>
            <w:r>
              <w:rPr>
                <w:rFonts w:asciiTheme="majorHAnsi" w:hAnsiTheme="majorHAnsi" w:cstheme="majorHAnsi"/>
                <w:i/>
                <w:iCs/>
                <w:szCs w:val="24"/>
              </w:rPr>
              <w:t xml:space="preserve">Theoretical Medicine and Bioethics, </w:t>
            </w:r>
            <w:r>
              <w:rPr>
                <w:rFonts w:asciiTheme="majorHAnsi" w:hAnsiTheme="majorHAnsi" w:cstheme="majorHAnsi"/>
                <w:szCs w:val="24"/>
              </w:rPr>
              <w:t>Volume 20, (4), pp. 290-310, Available at: doi:10.1007/s11017-099114-4</w:t>
            </w:r>
          </w:p>
          <w:p w14:paraId="3E673244" w14:textId="77777777" w:rsidR="006B2367" w:rsidRDefault="006B2367" w:rsidP="00E106C6">
            <w:pPr>
              <w:spacing w:after="0" w:line="259" w:lineRule="auto"/>
              <w:ind w:left="0" w:right="115" w:firstLine="0"/>
              <w:rPr>
                <w:rFonts w:asciiTheme="majorHAnsi" w:hAnsiTheme="majorHAnsi" w:cstheme="majorHAnsi"/>
                <w:szCs w:val="24"/>
              </w:rPr>
            </w:pPr>
          </w:p>
          <w:p w14:paraId="27910033" w14:textId="2E59999F" w:rsidR="006B2367" w:rsidRPr="00E106C6" w:rsidRDefault="006B2367" w:rsidP="00E106C6">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Shadid, M., and Sharif, F., (2024), ‘OP-002 Therapeutic Alliance – an essential for better healthcare outcomes in paediatrics’, </w:t>
            </w:r>
            <w:r>
              <w:rPr>
                <w:rFonts w:asciiTheme="majorHAnsi" w:hAnsiTheme="majorHAnsi" w:cstheme="majorHAnsi"/>
                <w:i/>
                <w:iCs/>
                <w:szCs w:val="24"/>
              </w:rPr>
              <w:t xml:space="preserve">British Medical Journal Paediatrics Open, </w:t>
            </w:r>
            <w:r>
              <w:rPr>
                <w:rFonts w:asciiTheme="majorHAnsi" w:hAnsiTheme="majorHAnsi" w:cstheme="majorHAnsi"/>
                <w:szCs w:val="24"/>
              </w:rPr>
              <w:t xml:space="preserve">Volume 8, (5), pp. A1-A1, Available at: </w:t>
            </w:r>
            <w:r w:rsidRPr="00E106C6">
              <w:rPr>
                <w:rFonts w:asciiTheme="majorHAnsi" w:hAnsiTheme="majorHAnsi" w:cstheme="majorHAnsi"/>
                <w:szCs w:val="24"/>
              </w:rPr>
              <w:t>https://doi.org/10.1136/bmjpo-2024-EPAC.2</w:t>
            </w:r>
            <w:r>
              <w:rPr>
                <w:rFonts w:asciiTheme="majorHAnsi" w:hAnsiTheme="majorHAnsi" w:cstheme="majorHAnsi"/>
                <w:szCs w:val="24"/>
              </w:rPr>
              <w:t xml:space="preserve"> </w:t>
            </w:r>
          </w:p>
          <w:p w14:paraId="5C035D9F" w14:textId="77777777" w:rsidR="006B2367" w:rsidRDefault="006B2367" w:rsidP="00E106C6">
            <w:pPr>
              <w:spacing w:after="0" w:line="259" w:lineRule="auto"/>
              <w:ind w:left="0" w:right="115" w:firstLine="0"/>
              <w:rPr>
                <w:rFonts w:ascii="Calibri" w:hAnsi="Calibri" w:cs="Calibri"/>
                <w:szCs w:val="24"/>
                <w:lang w:eastAsia="zh-CN"/>
              </w:rPr>
            </w:pPr>
          </w:p>
          <w:p w14:paraId="6D207BC2" w14:textId="5EDBCB39" w:rsidR="00E0068E" w:rsidRPr="00E0068E" w:rsidRDefault="00E0068E"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Stringer-</w:t>
            </w:r>
            <w:proofErr w:type="spellStart"/>
            <w:r>
              <w:rPr>
                <w:rFonts w:ascii="Calibri" w:hAnsi="Calibri" w:cs="Calibri"/>
                <w:szCs w:val="24"/>
                <w:lang w:eastAsia="zh-CN"/>
              </w:rPr>
              <w:t>Locero</w:t>
            </w:r>
            <w:proofErr w:type="spellEnd"/>
            <w:r>
              <w:rPr>
                <w:rFonts w:ascii="Calibri" w:hAnsi="Calibri" w:cs="Calibri"/>
                <w:szCs w:val="24"/>
                <w:lang w:eastAsia="zh-CN"/>
              </w:rPr>
              <w:t xml:space="preserve">, K., Williams, B., and Moore Jr, E. D., (2023), ‘The emerging role of reinforcement in the clinician’s path from continuing education to practice’, </w:t>
            </w:r>
            <w:r>
              <w:rPr>
                <w:rFonts w:ascii="Calibri" w:hAnsi="Calibri" w:cs="Calibri"/>
                <w:i/>
                <w:iCs/>
                <w:szCs w:val="24"/>
                <w:lang w:eastAsia="zh-CN"/>
              </w:rPr>
              <w:t xml:space="preserve">Journal of Continued Education in Health Professionals, </w:t>
            </w:r>
            <w:r>
              <w:rPr>
                <w:rFonts w:ascii="Calibri" w:hAnsi="Calibri" w:cs="Calibri"/>
                <w:szCs w:val="24"/>
                <w:lang w:eastAsia="zh-CN"/>
              </w:rPr>
              <w:t xml:space="preserve">Volume 44, (2), pp. 143-146, Available at: doi: 10.1097/CEH.0000000000000541 </w:t>
            </w:r>
          </w:p>
          <w:p w14:paraId="257F4C90" w14:textId="77777777" w:rsidR="00E0068E" w:rsidRDefault="00E0068E" w:rsidP="00E106C6">
            <w:pPr>
              <w:spacing w:after="0" w:line="259" w:lineRule="auto"/>
              <w:ind w:left="0" w:right="115" w:firstLine="0"/>
              <w:rPr>
                <w:rFonts w:ascii="Calibri" w:hAnsi="Calibri" w:cs="Calibri"/>
                <w:szCs w:val="24"/>
                <w:lang w:eastAsia="zh-CN"/>
              </w:rPr>
            </w:pPr>
          </w:p>
          <w:p w14:paraId="0B0F8CAD" w14:textId="3FBC5333" w:rsidR="008B6AC2" w:rsidRPr="008B6AC2" w:rsidRDefault="008B6AC2"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Toussaint, L., Nguyen, A. Q., Roettger, C., Dixon, K., Offenbächer, M., Khols, N., Hirsch, J., and Sirois, F., (2021), ‘Effectiveness of Progressive Muscle Relaxation, Deep Breathing, and Guided Imagery in Promoting Psychological and Physiological States of Relaxation’, </w:t>
            </w:r>
            <w:r>
              <w:rPr>
                <w:rFonts w:ascii="Calibri" w:hAnsi="Calibri" w:cs="Calibri"/>
                <w:i/>
                <w:iCs/>
                <w:szCs w:val="24"/>
                <w:lang w:eastAsia="zh-CN"/>
              </w:rPr>
              <w:lastRenderedPageBreak/>
              <w:t xml:space="preserve">Evidence Based Complementary and Alternative Medicine, </w:t>
            </w:r>
            <w:r>
              <w:rPr>
                <w:rFonts w:ascii="Calibri" w:hAnsi="Calibri" w:cs="Calibri"/>
                <w:szCs w:val="24"/>
                <w:lang w:eastAsia="zh-CN"/>
              </w:rPr>
              <w:t xml:space="preserve">Volume 2021, Available at: </w:t>
            </w:r>
            <w:r w:rsidRPr="008B6AC2">
              <w:rPr>
                <w:rFonts w:ascii="Calibri" w:hAnsi="Calibri" w:cs="Calibri"/>
                <w:szCs w:val="24"/>
                <w:lang w:eastAsia="zh-CN"/>
              </w:rPr>
              <w:t>https://doi.org.10.1155/2021/5924040</w:t>
            </w:r>
            <w:r>
              <w:rPr>
                <w:rFonts w:ascii="Calibri" w:hAnsi="Calibri" w:cs="Calibri"/>
                <w:szCs w:val="24"/>
                <w:lang w:eastAsia="zh-CN"/>
              </w:rPr>
              <w:t xml:space="preserve"> </w:t>
            </w:r>
          </w:p>
          <w:p w14:paraId="522D256B" w14:textId="77777777" w:rsidR="008B6AC2" w:rsidRDefault="008B6AC2" w:rsidP="00E106C6">
            <w:pPr>
              <w:spacing w:after="0" w:line="259" w:lineRule="auto"/>
              <w:ind w:left="0" w:right="115" w:firstLine="0"/>
              <w:rPr>
                <w:rFonts w:ascii="Calibri" w:hAnsi="Calibri" w:cs="Calibri"/>
                <w:szCs w:val="24"/>
                <w:lang w:eastAsia="zh-CN"/>
              </w:rPr>
            </w:pPr>
          </w:p>
          <w:p w14:paraId="00C1681E" w14:textId="29ADC948" w:rsidR="006B2367" w:rsidRDefault="006B2367"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Tunks Leach, J. K., Barker, E. M., Hales, C., Holmberg, B., Holmberg, M., Jakimowicz, S., Rook, H., Sherwood, G., Streit, L., and Levett-Jones, T., (2025), ‘Perceptions of empathetic and compassionate healthcare encounters: An international exploratory qualitative descriptive study’, </w:t>
            </w:r>
            <w:r w:rsidRPr="00CC665F">
              <w:rPr>
                <w:rFonts w:ascii="Calibri" w:hAnsi="Calibri" w:cs="Calibri"/>
                <w:i/>
                <w:iCs/>
                <w:szCs w:val="24"/>
                <w:lang w:eastAsia="zh-CN"/>
              </w:rPr>
              <w:t>Scandinavian Journal of Caring Sciences,</w:t>
            </w:r>
            <w:r>
              <w:rPr>
                <w:rFonts w:ascii="Calibri" w:hAnsi="Calibri" w:cs="Calibri"/>
                <w:szCs w:val="24"/>
                <w:lang w:eastAsia="zh-CN"/>
              </w:rPr>
              <w:t xml:space="preserve"> Volume 39, (2), Available at: </w:t>
            </w:r>
            <w:r w:rsidRPr="00CC665F">
              <w:rPr>
                <w:rFonts w:ascii="Calibri" w:hAnsi="Calibri" w:cs="Calibri"/>
                <w:szCs w:val="24"/>
                <w:lang w:eastAsia="zh-CN"/>
              </w:rPr>
              <w:t>https://doi.org/10.1111/scs.70006</w:t>
            </w:r>
            <w:r>
              <w:rPr>
                <w:rFonts w:ascii="Calibri" w:hAnsi="Calibri" w:cs="Calibri"/>
                <w:szCs w:val="24"/>
                <w:lang w:eastAsia="zh-CN"/>
              </w:rPr>
              <w:t xml:space="preserve"> </w:t>
            </w:r>
          </w:p>
          <w:p w14:paraId="09B63DFD" w14:textId="77777777" w:rsidR="006B2367" w:rsidRDefault="006B2367" w:rsidP="00E106C6">
            <w:pPr>
              <w:spacing w:after="0" w:line="259" w:lineRule="auto"/>
              <w:ind w:left="0" w:right="115" w:firstLine="0"/>
              <w:rPr>
                <w:rFonts w:ascii="Calibri" w:hAnsi="Calibri" w:cs="Calibri"/>
                <w:szCs w:val="24"/>
                <w:lang w:eastAsia="zh-CN"/>
              </w:rPr>
            </w:pPr>
          </w:p>
          <w:p w14:paraId="16C3F43C" w14:textId="082B8C69" w:rsidR="006B2367" w:rsidRDefault="006B2367" w:rsidP="00E106C6">
            <w:pPr>
              <w:spacing w:after="0" w:line="259" w:lineRule="auto"/>
              <w:ind w:left="0" w:right="115" w:firstLine="0"/>
              <w:rPr>
                <w:rFonts w:ascii="Calibri" w:hAnsi="Calibri" w:cs="Calibri"/>
                <w:szCs w:val="24"/>
                <w:lang w:eastAsia="zh-CN"/>
              </w:rPr>
            </w:pPr>
            <w:r>
              <w:rPr>
                <w:rFonts w:ascii="Calibri" w:hAnsi="Calibri" w:cs="Calibri"/>
                <w:szCs w:val="24"/>
                <w:lang w:eastAsia="zh-CN"/>
              </w:rPr>
              <w:t xml:space="preserve">Westra, A. H., and Norouzian, N., (2018), ‘Using Motivational Interviewing to Manage Process Markers of Ambivalence and Resistance in Cognitive Behavioural Therapy’, </w:t>
            </w:r>
            <w:r w:rsidRPr="00DF61DA">
              <w:rPr>
                <w:rFonts w:ascii="Calibri" w:hAnsi="Calibri" w:cs="Calibri"/>
                <w:i/>
                <w:iCs/>
                <w:szCs w:val="24"/>
                <w:lang w:eastAsia="zh-CN"/>
              </w:rPr>
              <w:t>Cognitive Therapy and Research,</w:t>
            </w:r>
            <w:r>
              <w:rPr>
                <w:rFonts w:ascii="Calibri" w:hAnsi="Calibri" w:cs="Calibri"/>
                <w:szCs w:val="24"/>
                <w:lang w:eastAsia="zh-CN"/>
              </w:rPr>
              <w:t xml:space="preserve"> Volume 42, (2), pp. 193-203, Available at: doi:10.1007/s10608-017-9857-6</w:t>
            </w:r>
          </w:p>
          <w:p w14:paraId="2C5C079D" w14:textId="77777777" w:rsidR="006B2367" w:rsidRDefault="006B2367" w:rsidP="00E106C6">
            <w:pPr>
              <w:spacing w:after="0" w:line="259" w:lineRule="auto"/>
              <w:ind w:left="0" w:right="115" w:firstLine="0"/>
              <w:rPr>
                <w:rFonts w:asciiTheme="majorHAnsi" w:hAnsiTheme="majorHAnsi" w:cstheme="majorHAnsi"/>
                <w:szCs w:val="24"/>
              </w:rPr>
            </w:pPr>
          </w:p>
          <w:p w14:paraId="767D5126" w14:textId="2F74BBF9" w:rsidR="006B2367" w:rsidRPr="006A3750" w:rsidRDefault="006B2367" w:rsidP="00E106C6">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White, A., Humphreys, L., and Oomens, D., (2024), ‘Building emotional resilience to foster well-being by utilising reflective practice in sonography workplace’, </w:t>
            </w:r>
            <w:r>
              <w:rPr>
                <w:rFonts w:asciiTheme="majorHAnsi" w:hAnsiTheme="majorHAnsi" w:cstheme="majorHAnsi"/>
                <w:i/>
                <w:iCs/>
                <w:szCs w:val="24"/>
              </w:rPr>
              <w:t xml:space="preserve">Sonography, </w:t>
            </w:r>
            <w:r>
              <w:rPr>
                <w:rFonts w:asciiTheme="majorHAnsi" w:hAnsiTheme="majorHAnsi" w:cstheme="majorHAnsi"/>
                <w:szCs w:val="24"/>
              </w:rPr>
              <w:t xml:space="preserve">Volume 11, (3), pp. 243-250, Available at: </w:t>
            </w:r>
            <w:r w:rsidRPr="006A3750">
              <w:rPr>
                <w:rFonts w:asciiTheme="majorHAnsi" w:hAnsiTheme="majorHAnsi" w:cstheme="majorHAnsi"/>
                <w:szCs w:val="24"/>
              </w:rPr>
              <w:t>https://doi.org/10.1002/sono.12405</w:t>
            </w:r>
            <w:r>
              <w:rPr>
                <w:rFonts w:asciiTheme="majorHAnsi" w:hAnsiTheme="majorHAnsi" w:cstheme="majorHAnsi"/>
                <w:szCs w:val="24"/>
              </w:rPr>
              <w:t xml:space="preserve"> </w:t>
            </w:r>
          </w:p>
          <w:p w14:paraId="5B9BE759" w14:textId="77777777" w:rsidR="006B2367" w:rsidRDefault="006B2367" w:rsidP="00E106C6">
            <w:pPr>
              <w:spacing w:after="0" w:line="259" w:lineRule="auto"/>
              <w:ind w:left="0" w:right="115" w:firstLine="0"/>
              <w:rPr>
                <w:rFonts w:asciiTheme="majorHAnsi" w:hAnsiTheme="majorHAnsi" w:cstheme="majorHAnsi"/>
                <w:szCs w:val="24"/>
              </w:rPr>
            </w:pPr>
          </w:p>
          <w:p w14:paraId="409F22B7" w14:textId="619CE8CD" w:rsidR="006B2367" w:rsidRPr="002073A3" w:rsidRDefault="006B2367" w:rsidP="00E106C6">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Whitney, L. R., Clarke White, A. E., Rosenburg, S. A., Kravitz, L. R., and Kim, K.K., (2021), ‘Trust and shared decision making among individuals with multiple myeloma: A qualitative study’, </w:t>
            </w:r>
            <w:r>
              <w:rPr>
                <w:rFonts w:asciiTheme="majorHAnsi" w:hAnsiTheme="majorHAnsi" w:cstheme="majorHAnsi"/>
                <w:i/>
                <w:iCs/>
                <w:szCs w:val="24"/>
              </w:rPr>
              <w:t xml:space="preserve">Cancer Medicine, </w:t>
            </w:r>
            <w:r>
              <w:rPr>
                <w:rFonts w:asciiTheme="majorHAnsi" w:hAnsiTheme="majorHAnsi" w:cstheme="majorHAnsi"/>
                <w:szCs w:val="24"/>
              </w:rPr>
              <w:t>Volume 10, (22), pp. 8040-8057, Available at: doi:10.1002/cam4.4322</w:t>
            </w:r>
          </w:p>
          <w:p w14:paraId="38EBFEAA" w14:textId="77777777" w:rsidR="006B2367" w:rsidRDefault="006B2367" w:rsidP="00E106C6">
            <w:pPr>
              <w:spacing w:after="0" w:line="259" w:lineRule="auto"/>
              <w:ind w:left="0" w:right="115" w:firstLine="0"/>
              <w:rPr>
                <w:rFonts w:asciiTheme="majorHAnsi" w:hAnsiTheme="majorHAnsi" w:cstheme="majorHAnsi"/>
                <w:szCs w:val="24"/>
              </w:rPr>
            </w:pPr>
          </w:p>
          <w:p w14:paraId="46A2CB20" w14:textId="07072A3C" w:rsidR="00667C1C" w:rsidRPr="00306112" w:rsidRDefault="006B2367" w:rsidP="00E106C6">
            <w:pPr>
              <w:spacing w:after="0" w:line="259" w:lineRule="auto"/>
              <w:ind w:left="0" w:right="115" w:firstLine="0"/>
              <w:rPr>
                <w:rFonts w:ascii="Calibri" w:hAnsi="Calibri" w:cs="Calibri"/>
                <w:szCs w:val="24"/>
                <w:lang w:eastAsia="zh-CN"/>
              </w:rPr>
            </w:pPr>
            <w:r>
              <w:rPr>
                <w:rFonts w:asciiTheme="majorHAnsi" w:hAnsiTheme="majorHAnsi" w:cstheme="majorHAnsi"/>
                <w:szCs w:val="24"/>
              </w:rPr>
              <w:t xml:space="preserve">Windover, A. K., Boisey, A., Rice, W. T., Gilligan, T., Velez, J. V., Merlino, J., (2014), ‘The REDE Model of Healthcare Communication: Optimising Relationship as a Therapeutic Agent’, </w:t>
            </w:r>
            <w:r>
              <w:rPr>
                <w:rFonts w:asciiTheme="majorHAnsi" w:hAnsiTheme="majorHAnsi" w:cstheme="majorHAnsi"/>
                <w:i/>
                <w:iCs/>
                <w:szCs w:val="24"/>
              </w:rPr>
              <w:t xml:space="preserve">Journal of Patient Experience, </w:t>
            </w:r>
            <w:r>
              <w:rPr>
                <w:rFonts w:asciiTheme="majorHAnsi" w:hAnsiTheme="majorHAnsi" w:cstheme="majorHAnsi"/>
                <w:szCs w:val="24"/>
              </w:rPr>
              <w:t xml:space="preserve">Volume 1, (1), pp. 8-13, Available at: doi:10.1177/237437431400100103 </w:t>
            </w:r>
          </w:p>
        </w:tc>
      </w:tr>
    </w:tbl>
    <w:p w14:paraId="569548CA" w14:textId="77777777" w:rsidR="003825FB" w:rsidRDefault="003825FB" w:rsidP="003825FB">
      <w:pPr>
        <w:spacing w:after="160" w:line="259" w:lineRule="auto"/>
        <w:ind w:left="0" w:firstLine="0"/>
      </w:pPr>
    </w:p>
    <w:p w14:paraId="309A3A73" w14:textId="386186D7" w:rsidR="000E44AD" w:rsidRDefault="000E44AD" w:rsidP="000E44AD">
      <w:pPr>
        <w:ind w:left="0" w:firstLine="0"/>
        <w:jc w:val="both"/>
      </w:pPr>
    </w:p>
    <w:sectPr w:rsidR="000E44A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839B44" w14:textId="77777777" w:rsidR="005F252F" w:rsidRDefault="005F252F" w:rsidP="003825FB">
      <w:pPr>
        <w:spacing w:after="0" w:line="240" w:lineRule="auto"/>
      </w:pPr>
      <w:r>
        <w:separator/>
      </w:r>
    </w:p>
  </w:endnote>
  <w:endnote w:type="continuationSeparator" w:id="0">
    <w:p w14:paraId="323B959C" w14:textId="77777777" w:rsidR="005F252F" w:rsidRDefault="005F252F"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E02E9" w14:textId="77777777" w:rsidR="005F252F" w:rsidRDefault="005F252F" w:rsidP="003825FB">
      <w:pPr>
        <w:spacing w:after="0" w:line="240" w:lineRule="auto"/>
      </w:pPr>
      <w:r>
        <w:separator/>
      </w:r>
    </w:p>
  </w:footnote>
  <w:footnote w:type="continuationSeparator" w:id="0">
    <w:p w14:paraId="5B2966B6" w14:textId="77777777" w:rsidR="005F252F" w:rsidRDefault="005F252F" w:rsidP="0038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160E3" w14:textId="79137BD0" w:rsidR="003825FB" w:rsidRDefault="003825FB">
    <w:pPr>
      <w:pStyle w:val="Header"/>
    </w:pPr>
    <w:r>
      <w:rPr>
        <w:noProof/>
      </w:rPr>
      <w:drawing>
        <wp:anchor distT="0" distB="0" distL="114300" distR="114300" simplePos="0" relativeHeight="251660288"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14782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559114226"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2"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451700100">
    <w:abstractNumId w:val="0"/>
  </w:num>
  <w:num w:numId="2" w16cid:durableId="1438794464">
    <w:abstractNumId w:val="2"/>
  </w:num>
  <w:num w:numId="3" w16cid:durableId="8445171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3B66"/>
    <w:rsid w:val="00004F55"/>
    <w:rsid w:val="0003056D"/>
    <w:rsid w:val="000475EA"/>
    <w:rsid w:val="00095F74"/>
    <w:rsid w:val="000A5670"/>
    <w:rsid w:val="000C0FD1"/>
    <w:rsid w:val="000D2F79"/>
    <w:rsid w:val="000E44AD"/>
    <w:rsid w:val="00117534"/>
    <w:rsid w:val="00166690"/>
    <w:rsid w:val="001B7D73"/>
    <w:rsid w:val="002073A3"/>
    <w:rsid w:val="00230E1D"/>
    <w:rsid w:val="00267E26"/>
    <w:rsid w:val="00270B47"/>
    <w:rsid w:val="00296290"/>
    <w:rsid w:val="002A5B1C"/>
    <w:rsid w:val="002B1ED5"/>
    <w:rsid w:val="002C4376"/>
    <w:rsid w:val="002C47DE"/>
    <w:rsid w:val="00306112"/>
    <w:rsid w:val="003177C9"/>
    <w:rsid w:val="00327D24"/>
    <w:rsid w:val="00332B0B"/>
    <w:rsid w:val="0036210C"/>
    <w:rsid w:val="003825FB"/>
    <w:rsid w:val="003E3E19"/>
    <w:rsid w:val="00445F03"/>
    <w:rsid w:val="004608C1"/>
    <w:rsid w:val="00480181"/>
    <w:rsid w:val="00482F2C"/>
    <w:rsid w:val="004B0236"/>
    <w:rsid w:val="004C1553"/>
    <w:rsid w:val="004F292E"/>
    <w:rsid w:val="00521EAF"/>
    <w:rsid w:val="00564028"/>
    <w:rsid w:val="005671ED"/>
    <w:rsid w:val="0057625B"/>
    <w:rsid w:val="005868B6"/>
    <w:rsid w:val="005B2BAC"/>
    <w:rsid w:val="005B3E38"/>
    <w:rsid w:val="005D7C2D"/>
    <w:rsid w:val="005E569B"/>
    <w:rsid w:val="005F150E"/>
    <w:rsid w:val="005F252F"/>
    <w:rsid w:val="005F4504"/>
    <w:rsid w:val="0061758B"/>
    <w:rsid w:val="00622858"/>
    <w:rsid w:val="006252F2"/>
    <w:rsid w:val="00652B07"/>
    <w:rsid w:val="006578B3"/>
    <w:rsid w:val="00667C1C"/>
    <w:rsid w:val="0069766E"/>
    <w:rsid w:val="006A3750"/>
    <w:rsid w:val="006B2367"/>
    <w:rsid w:val="006B34B9"/>
    <w:rsid w:val="006D6730"/>
    <w:rsid w:val="00702AF3"/>
    <w:rsid w:val="007516EE"/>
    <w:rsid w:val="00767AC5"/>
    <w:rsid w:val="00767B8A"/>
    <w:rsid w:val="00787501"/>
    <w:rsid w:val="007A2D82"/>
    <w:rsid w:val="007D4D4A"/>
    <w:rsid w:val="007E4F6A"/>
    <w:rsid w:val="00820CFE"/>
    <w:rsid w:val="00835028"/>
    <w:rsid w:val="00843F9F"/>
    <w:rsid w:val="00867E6A"/>
    <w:rsid w:val="008804F4"/>
    <w:rsid w:val="008B6AC2"/>
    <w:rsid w:val="008D3E79"/>
    <w:rsid w:val="008F6675"/>
    <w:rsid w:val="00952B7F"/>
    <w:rsid w:val="009531EB"/>
    <w:rsid w:val="009874AF"/>
    <w:rsid w:val="009A61F2"/>
    <w:rsid w:val="00A24F81"/>
    <w:rsid w:val="00A37DAE"/>
    <w:rsid w:val="00A532D0"/>
    <w:rsid w:val="00A6162F"/>
    <w:rsid w:val="00A77BCF"/>
    <w:rsid w:val="00A85494"/>
    <w:rsid w:val="00A86C4A"/>
    <w:rsid w:val="00A93523"/>
    <w:rsid w:val="00AA1098"/>
    <w:rsid w:val="00AB18A1"/>
    <w:rsid w:val="00AC599D"/>
    <w:rsid w:val="00AD5AED"/>
    <w:rsid w:val="00AE12A3"/>
    <w:rsid w:val="00AF324A"/>
    <w:rsid w:val="00B06D07"/>
    <w:rsid w:val="00B076D2"/>
    <w:rsid w:val="00B361D0"/>
    <w:rsid w:val="00B57C9D"/>
    <w:rsid w:val="00B77C3D"/>
    <w:rsid w:val="00B92C06"/>
    <w:rsid w:val="00B93B3C"/>
    <w:rsid w:val="00B97894"/>
    <w:rsid w:val="00BA149D"/>
    <w:rsid w:val="00BA1F5F"/>
    <w:rsid w:val="00BB3234"/>
    <w:rsid w:val="00BC2994"/>
    <w:rsid w:val="00BF5827"/>
    <w:rsid w:val="00C6239D"/>
    <w:rsid w:val="00CA0F2D"/>
    <w:rsid w:val="00CC665F"/>
    <w:rsid w:val="00CE28A1"/>
    <w:rsid w:val="00CF2157"/>
    <w:rsid w:val="00D06929"/>
    <w:rsid w:val="00D20206"/>
    <w:rsid w:val="00D220CF"/>
    <w:rsid w:val="00D22AF7"/>
    <w:rsid w:val="00D4196F"/>
    <w:rsid w:val="00D50697"/>
    <w:rsid w:val="00D60E40"/>
    <w:rsid w:val="00D931D3"/>
    <w:rsid w:val="00DA39EB"/>
    <w:rsid w:val="00DB42E3"/>
    <w:rsid w:val="00DE2AEA"/>
    <w:rsid w:val="00DE5225"/>
    <w:rsid w:val="00DE680A"/>
    <w:rsid w:val="00DF61DA"/>
    <w:rsid w:val="00E0068E"/>
    <w:rsid w:val="00E106C6"/>
    <w:rsid w:val="00E12955"/>
    <w:rsid w:val="00E547C7"/>
    <w:rsid w:val="00E566C2"/>
    <w:rsid w:val="00E818EB"/>
    <w:rsid w:val="00E83B36"/>
    <w:rsid w:val="00EE3085"/>
    <w:rsid w:val="00EE5C01"/>
    <w:rsid w:val="00F26389"/>
    <w:rsid w:val="00F269B7"/>
    <w:rsid w:val="00F42B37"/>
    <w:rsid w:val="00F86829"/>
    <w:rsid w:val="00F91634"/>
    <w:rsid w:val="00FA4EF4"/>
    <w:rsid w:val="00FA6FCE"/>
    <w:rsid w:val="00FB324B"/>
    <w:rsid w:val="00FC15B0"/>
    <w:rsid w:val="00FE1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SimSu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E106C6"/>
    <w:rPr>
      <w:color w:val="467886" w:themeColor="hyperlink"/>
      <w:u w:val="single"/>
    </w:rPr>
  </w:style>
  <w:style w:type="character" w:styleId="UnresolvedMention">
    <w:name w:val="Unresolved Mention"/>
    <w:basedOn w:val="DefaultParagraphFont"/>
    <w:uiPriority w:val="99"/>
    <w:semiHidden/>
    <w:unhideWhenUsed/>
    <w:rsid w:val="00E106C6"/>
    <w:rPr>
      <w:color w:val="605E5C"/>
      <w:shd w:val="clear" w:color="auto" w:fill="E1DFDD"/>
    </w:rPr>
  </w:style>
  <w:style w:type="character" w:styleId="FollowedHyperlink">
    <w:name w:val="FollowedHyperlink"/>
    <w:basedOn w:val="DefaultParagraphFont"/>
    <w:uiPriority w:val="99"/>
    <w:semiHidden/>
    <w:unhideWhenUsed/>
    <w:rsid w:val="00DF61DA"/>
    <w:rPr>
      <w:color w:val="96607D" w:themeColor="followedHyperlink"/>
      <w:u w:val="single"/>
    </w:rPr>
  </w:style>
  <w:style w:type="character" w:customStyle="1" w:styleId="apple-converted-space">
    <w:name w:val="apple-converted-space"/>
    <w:basedOn w:val="DefaultParagraphFont"/>
    <w:rsid w:val="00F269B7"/>
  </w:style>
  <w:style w:type="paragraph" w:styleId="NormalWeb">
    <w:name w:val="Normal (Web)"/>
    <w:basedOn w:val="Normal"/>
    <w:uiPriority w:val="99"/>
    <w:unhideWhenUsed/>
    <w:rsid w:val="00F269B7"/>
    <w:pPr>
      <w:spacing w:before="100" w:beforeAutospacing="1" w:after="100" w:afterAutospacing="1" w:line="240" w:lineRule="auto"/>
      <w:ind w:left="0" w:firstLine="0"/>
    </w:pPr>
    <w:rPr>
      <w:color w:val="auto"/>
      <w:kern w:val="0"/>
      <w:szCs w:val="24"/>
      <w14:ligatures w14:val="none"/>
    </w:rPr>
  </w:style>
  <w:style w:type="character" w:customStyle="1" w:styleId="whitespace-normal">
    <w:name w:val="whitespace-normal"/>
    <w:basedOn w:val="DefaultParagraphFont"/>
    <w:rsid w:val="00F269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0.jpeg"/></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232</TotalTime>
  <Pages>19</Pages>
  <Words>5669</Words>
  <Characters>35888</Characters>
  <Application>Microsoft Office Word</Application>
  <DocSecurity>0</DocSecurity>
  <Lines>763</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Kerry O'Brien (1200244)</cp:lastModifiedBy>
  <cp:revision>12</cp:revision>
  <dcterms:created xsi:type="dcterms:W3CDTF">2026-02-27T21:07:00Z</dcterms:created>
  <dcterms:modified xsi:type="dcterms:W3CDTF">2026-03-03T16:24:00Z</dcterms:modified>
</cp:coreProperties>
</file>