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015F" w:rsidRPr="00CC11B5" w:rsidRDefault="007A57E9">
      <w:pPr>
        <w:rPr>
          <w:rFonts w:ascii="Times New Roman" w:hAnsi="Times New Roman" w:cs="Times New Roman"/>
          <w:b/>
          <w:sz w:val="32"/>
          <w:szCs w:val="32"/>
        </w:rPr>
      </w:pPr>
      <w:r w:rsidRPr="00CC11B5">
        <w:rPr>
          <w:rFonts w:ascii="Times New Roman" w:hAnsi="Times New Roman" w:cs="Times New Roman"/>
          <w:b/>
          <w:sz w:val="32"/>
          <w:szCs w:val="32"/>
        </w:rPr>
        <w:t>FRS 102</w:t>
      </w:r>
      <w:r w:rsidRPr="00CC11B5">
        <w:rPr>
          <w:rFonts w:ascii="Times New Roman" w:hAnsi="Times New Roman" w:cs="Times New Roman"/>
          <w:b/>
          <w:sz w:val="32"/>
          <w:szCs w:val="32"/>
        </w:rPr>
        <w:tab/>
        <w:t>THE FINANCIAL REPORTING STANDA</w:t>
      </w:r>
      <w:r w:rsidR="00CC11B5">
        <w:rPr>
          <w:rFonts w:ascii="Times New Roman" w:hAnsi="Times New Roman" w:cs="Times New Roman"/>
          <w:b/>
          <w:sz w:val="32"/>
          <w:szCs w:val="32"/>
        </w:rPr>
        <w:t>RD APPLICAB</w:t>
      </w:r>
      <w:r w:rsidR="00CC11B5" w:rsidRPr="00CC11B5">
        <w:rPr>
          <w:rFonts w:ascii="Times New Roman" w:hAnsi="Times New Roman" w:cs="Times New Roman"/>
          <w:b/>
          <w:sz w:val="32"/>
          <w:szCs w:val="32"/>
        </w:rPr>
        <w:t>LE IN THE UK AND REPUBLIC OF IRELAND</w:t>
      </w:r>
    </w:p>
    <w:p w:rsidR="007A57E9" w:rsidRPr="00CC11B5" w:rsidRDefault="007A57E9">
      <w:pPr>
        <w:rPr>
          <w:rFonts w:ascii="Times New Roman" w:hAnsi="Times New Roman" w:cs="Times New Roman"/>
          <w:sz w:val="24"/>
          <w:szCs w:val="24"/>
        </w:rPr>
      </w:pPr>
    </w:p>
    <w:p w:rsidR="007A57E9" w:rsidRPr="00CC11B5" w:rsidRDefault="007A57E9" w:rsidP="00CC11B5">
      <w:pPr>
        <w:rPr>
          <w:rFonts w:ascii="Times New Roman" w:hAnsi="Times New Roman" w:cs="Times New Roman"/>
          <w:sz w:val="24"/>
          <w:szCs w:val="24"/>
          <w:lang/>
        </w:rPr>
      </w:pPr>
      <w:r w:rsidRPr="00CC11B5">
        <w:rPr>
          <w:rFonts w:ascii="Times New Roman" w:hAnsi="Times New Roman" w:cs="Times New Roman"/>
          <w:sz w:val="24"/>
          <w:szCs w:val="24"/>
          <w:lang/>
        </w:rPr>
        <w:t>FRS 102 is the main new UK GAAP standard, in that it is this which will replace all of the current (or old, depending on your point of view) FRSs and SSAPs.</w:t>
      </w:r>
    </w:p>
    <w:p w:rsidR="007A57E9" w:rsidRPr="00CC11B5" w:rsidRDefault="007A57E9" w:rsidP="00CC11B5">
      <w:pPr>
        <w:rPr>
          <w:rFonts w:ascii="Times New Roman" w:hAnsi="Times New Roman" w:cs="Times New Roman"/>
          <w:sz w:val="24"/>
          <w:szCs w:val="24"/>
          <w:lang/>
        </w:rPr>
      </w:pPr>
      <w:r w:rsidRPr="00CC11B5">
        <w:rPr>
          <w:rFonts w:ascii="Times New Roman" w:hAnsi="Times New Roman" w:cs="Times New Roman"/>
          <w:sz w:val="24"/>
          <w:szCs w:val="24"/>
          <w:lang/>
        </w:rPr>
        <w:t>The standard is based on the IFRS for SMEs (International Financial Reporting Standard for Small and Medium Sized Entities) and as such is a single standard with 35 sections, covering the various different items previously dealt with in separate standards. It is a relatively compact standard, compared to the myriad of standards and UITF abstracts which it replaces and runs to 335 pages.</w:t>
      </w:r>
    </w:p>
    <w:p w:rsidR="00CC11B5" w:rsidRPr="00CC11B5" w:rsidRDefault="00CC11B5" w:rsidP="00CC11B5">
      <w:pPr>
        <w:rPr>
          <w:rFonts w:ascii="Times New Roman" w:hAnsi="Times New Roman" w:cs="Times New Roman"/>
          <w:sz w:val="24"/>
          <w:szCs w:val="24"/>
          <w:lang/>
        </w:rPr>
      </w:pPr>
      <w:r w:rsidRPr="00CC11B5">
        <w:rPr>
          <w:rFonts w:ascii="Times New Roman" w:eastAsia="Times New Roman" w:hAnsi="Times New Roman" w:cs="Times New Roman"/>
          <w:sz w:val="24"/>
          <w:szCs w:val="24"/>
          <w:lang w:eastAsia="en-GB"/>
        </w:rPr>
        <w:t>FRS 102 brings about a simplified reporting regime for entities that will fall under its scope as well as introducing more up-to-date and relevant accounting requirements that have fallen behind in existing UK GAAP. Current UK GAAP is far too complex and practitioners have often complained about the onerous requirements imposed on themselves and their clients due to the voluminous nature of current UK GAAP.</w:t>
      </w:r>
    </w:p>
    <w:p w:rsidR="007A57E9" w:rsidRPr="00CC11B5" w:rsidRDefault="007A57E9" w:rsidP="00CC11B5">
      <w:pPr>
        <w:rPr>
          <w:rFonts w:ascii="Times New Roman" w:hAnsi="Times New Roman" w:cs="Times New Roman"/>
          <w:sz w:val="24"/>
          <w:szCs w:val="24"/>
          <w:lang/>
        </w:rPr>
      </w:pPr>
      <w:r w:rsidRPr="00CC11B5">
        <w:rPr>
          <w:rStyle w:val="Strong"/>
          <w:rFonts w:ascii="Times New Roman" w:hAnsi="Times New Roman" w:cs="Times New Roman"/>
          <w:b w:val="0"/>
          <w:color w:val="4A4441"/>
          <w:sz w:val="24"/>
          <w:szCs w:val="24"/>
          <w:lang/>
        </w:rPr>
        <w:t>The language</w:t>
      </w:r>
      <w:r w:rsidRPr="00CC11B5">
        <w:rPr>
          <w:rStyle w:val="Strong"/>
          <w:rFonts w:ascii="Times New Roman" w:hAnsi="Times New Roman" w:cs="Times New Roman"/>
          <w:color w:val="4A4441"/>
          <w:sz w:val="24"/>
          <w:szCs w:val="24"/>
          <w:lang/>
        </w:rPr>
        <w:t xml:space="preserve"> </w:t>
      </w:r>
      <w:r w:rsidRPr="00CC11B5">
        <w:rPr>
          <w:rFonts w:ascii="Times New Roman" w:hAnsi="Times New Roman" w:cs="Times New Roman"/>
          <w:sz w:val="24"/>
          <w:szCs w:val="24"/>
          <w:lang/>
        </w:rPr>
        <w:t xml:space="preserve">used is IFRS style, so you will see reference to receivables and payables; not debtors and creditors. Property, plant and equipment, rather than fixed assets and a number of other terminology changes. </w:t>
      </w:r>
    </w:p>
    <w:p w:rsidR="007A57E9" w:rsidRDefault="007A57E9"/>
    <w:sectPr w:rsidR="007A57E9" w:rsidSect="00D701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A57E9"/>
    <w:rsid w:val="007A57E9"/>
    <w:rsid w:val="00CC11B5"/>
    <w:rsid w:val="00D701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01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A57E9"/>
    <w:rPr>
      <w:b/>
      <w:bCs/>
    </w:rPr>
  </w:style>
  <w:style w:type="paragraph" w:styleId="NormalWeb">
    <w:name w:val="Normal (Web)"/>
    <w:basedOn w:val="Normal"/>
    <w:uiPriority w:val="99"/>
    <w:semiHidden/>
    <w:unhideWhenUsed/>
    <w:rsid w:val="007A57E9"/>
    <w:pPr>
      <w:spacing w:after="225"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7A57E9"/>
    <w:pPr>
      <w:spacing w:after="225"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190529532">
      <w:bodyDiv w:val="1"/>
      <w:marLeft w:val="0"/>
      <w:marRight w:val="0"/>
      <w:marTop w:val="0"/>
      <w:marBottom w:val="0"/>
      <w:divBdr>
        <w:top w:val="none" w:sz="0" w:space="0" w:color="auto"/>
        <w:left w:val="none" w:sz="0" w:space="0" w:color="auto"/>
        <w:bottom w:val="none" w:sz="0" w:space="0" w:color="auto"/>
        <w:right w:val="none" w:sz="0" w:space="0" w:color="auto"/>
      </w:divBdr>
      <w:divsChild>
        <w:div w:id="672803448">
          <w:marLeft w:val="0"/>
          <w:marRight w:val="0"/>
          <w:marTop w:val="0"/>
          <w:marBottom w:val="0"/>
          <w:divBdr>
            <w:top w:val="none" w:sz="0" w:space="0" w:color="auto"/>
            <w:left w:val="none" w:sz="0" w:space="0" w:color="auto"/>
            <w:bottom w:val="none" w:sz="0" w:space="0" w:color="auto"/>
            <w:right w:val="none" w:sz="0" w:space="0" w:color="auto"/>
          </w:divBdr>
          <w:divsChild>
            <w:div w:id="159882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188</Words>
  <Characters>1073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1259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2015-10-06T14:40:00Z</dcterms:created>
  <dcterms:modified xsi:type="dcterms:W3CDTF">2015-10-06T14:51:00Z</dcterms:modified>
</cp:coreProperties>
</file>