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BEC5B" w14:textId="77777777" w:rsidR="001720FC" w:rsidRPr="00DA65BA" w:rsidRDefault="001720FC" w:rsidP="001720FC">
      <w:pPr>
        <w:jc w:val="center"/>
        <w:rPr>
          <w:rFonts w:ascii="Arial" w:eastAsia="Times New Roman" w:hAnsi="Arial" w:cs="Arial"/>
          <w:b/>
          <w:sz w:val="32"/>
          <w:szCs w:val="32"/>
          <w:lang w:eastAsia="en-GB"/>
        </w:rPr>
      </w:pPr>
      <w:bookmarkStart w:id="0" w:name="_GoBack"/>
      <w:bookmarkEnd w:id="0"/>
      <w:r w:rsidRPr="00DA65BA">
        <w:rPr>
          <w:rFonts w:ascii="Arial" w:eastAsia="Times New Roman" w:hAnsi="Arial" w:cs="Arial"/>
          <w:b/>
          <w:sz w:val="32"/>
          <w:szCs w:val="32"/>
          <w:lang w:eastAsia="en-GB"/>
        </w:rPr>
        <w:t>An Anthropological Analysis of a Material Object</w:t>
      </w:r>
    </w:p>
    <w:p w14:paraId="16D72BA3" w14:textId="77777777" w:rsidR="008516EF" w:rsidRPr="00DA65BA" w:rsidRDefault="00D66557">
      <w:pPr>
        <w:rPr>
          <w:rFonts w:ascii="Arial" w:hAnsi="Arial" w:cs="Arial"/>
        </w:rPr>
      </w:pPr>
    </w:p>
    <w:p w14:paraId="57B1D81E" w14:textId="77777777" w:rsidR="001720FC" w:rsidRPr="00DA65BA" w:rsidRDefault="001720FC">
      <w:pPr>
        <w:rPr>
          <w:rFonts w:ascii="Arial" w:hAnsi="Arial" w:cs="Arial"/>
        </w:rPr>
      </w:pPr>
    </w:p>
    <w:p w14:paraId="5CBCD0D0" w14:textId="77777777" w:rsidR="00D345F0" w:rsidRPr="00DA65BA" w:rsidRDefault="006B5042" w:rsidP="001720FC">
      <w:pPr>
        <w:jc w:val="both"/>
        <w:rPr>
          <w:rFonts w:ascii="Arial" w:hAnsi="Arial" w:cs="Arial"/>
          <w:color w:val="FF0000"/>
        </w:rPr>
      </w:pPr>
      <w:r w:rsidRPr="00DA65BA">
        <w:rPr>
          <w:rFonts w:ascii="Arial" w:hAnsi="Arial" w:cs="Arial"/>
          <w:noProof/>
          <w:color w:val="FF0000"/>
          <w:lang w:eastAsia="en-GB"/>
        </w:rPr>
        <w:drawing>
          <wp:inline distT="0" distB="0" distL="0" distR="0" wp14:anchorId="1F3E6888" wp14:editId="383CE965">
            <wp:extent cx="5735917" cy="4301819"/>
            <wp:effectExtent l="0" t="0" r="508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_0182.JPG"/>
                    <pic:cNvPicPr/>
                  </pic:nvPicPr>
                  <pic:blipFill>
                    <a:blip r:embed="rId5">
                      <a:extLst>
                        <a:ext uri="{28A0092B-C50C-407E-A947-70E740481C1C}">
                          <a14:useLocalDpi xmlns:a14="http://schemas.microsoft.com/office/drawing/2010/main" val="0"/>
                        </a:ext>
                      </a:extLst>
                    </a:blip>
                    <a:stretch>
                      <a:fillRect/>
                    </a:stretch>
                  </pic:blipFill>
                  <pic:spPr>
                    <a:xfrm>
                      <a:off x="0" y="0"/>
                      <a:ext cx="5761480" cy="4320990"/>
                    </a:xfrm>
                    <a:prstGeom prst="rect">
                      <a:avLst/>
                    </a:prstGeom>
                  </pic:spPr>
                </pic:pic>
              </a:graphicData>
            </a:graphic>
          </wp:inline>
        </w:drawing>
      </w:r>
    </w:p>
    <w:p w14:paraId="52A39434" w14:textId="77777777" w:rsidR="00D345F0" w:rsidRPr="00DA65BA" w:rsidRDefault="006B5042" w:rsidP="001720FC">
      <w:pPr>
        <w:jc w:val="both"/>
        <w:rPr>
          <w:rFonts w:ascii="Arial" w:hAnsi="Arial" w:cs="Arial"/>
          <w:color w:val="000000" w:themeColor="text1"/>
        </w:rPr>
      </w:pPr>
      <w:r w:rsidRPr="00DA65BA">
        <w:rPr>
          <w:rFonts w:ascii="Arial" w:hAnsi="Arial" w:cs="Arial"/>
          <w:b/>
          <w:color w:val="000000" w:themeColor="text1"/>
        </w:rPr>
        <w:t xml:space="preserve">Figure 1. </w:t>
      </w:r>
      <w:r w:rsidRPr="00DA65BA">
        <w:rPr>
          <w:rFonts w:ascii="Arial" w:hAnsi="Arial" w:cs="Arial"/>
          <w:color w:val="000000" w:themeColor="text1"/>
        </w:rPr>
        <w:t xml:space="preserve">A stone sculpture of an elephant shaped by myself and Cleto during my time in Chinamhora </w:t>
      </w:r>
      <w:sdt>
        <w:sdtPr>
          <w:rPr>
            <w:rFonts w:ascii="Arial" w:hAnsi="Arial" w:cs="Arial"/>
            <w:color w:val="000000" w:themeColor="text1"/>
          </w:rPr>
          <w:id w:val="1797565362"/>
          <w:citation/>
        </w:sdtPr>
        <w:sdtEndPr/>
        <w:sdtContent>
          <w:r w:rsidRPr="00DA65BA">
            <w:rPr>
              <w:rFonts w:ascii="Arial" w:hAnsi="Arial" w:cs="Arial"/>
              <w:color w:val="000000" w:themeColor="text1"/>
            </w:rPr>
            <w:fldChar w:fldCharType="begin"/>
          </w:r>
          <w:r w:rsidR="00881FBE">
            <w:rPr>
              <w:rFonts w:ascii="Arial" w:hAnsi="Arial" w:cs="Arial"/>
              <w:color w:val="000000" w:themeColor="text1"/>
            </w:rPr>
            <w:instrText xml:space="preserve">CITATION Eva17 \l 2057 </w:instrText>
          </w:r>
          <w:r w:rsidRPr="00DA65BA">
            <w:rPr>
              <w:rFonts w:ascii="Arial" w:hAnsi="Arial" w:cs="Arial"/>
              <w:color w:val="000000" w:themeColor="text1"/>
            </w:rPr>
            <w:fldChar w:fldCharType="separate"/>
          </w:r>
          <w:r w:rsidR="00881FBE" w:rsidRPr="00881FBE">
            <w:rPr>
              <w:rFonts w:ascii="Arial" w:hAnsi="Arial" w:cs="Arial"/>
              <w:noProof/>
              <w:color w:val="000000" w:themeColor="text1"/>
            </w:rPr>
            <w:t>(Evans &amp; Cleto, 2017)</w:t>
          </w:r>
          <w:r w:rsidRPr="00DA65BA">
            <w:rPr>
              <w:rFonts w:ascii="Arial" w:hAnsi="Arial" w:cs="Arial"/>
              <w:color w:val="000000" w:themeColor="text1"/>
            </w:rPr>
            <w:fldChar w:fldCharType="end"/>
          </w:r>
        </w:sdtContent>
      </w:sdt>
    </w:p>
    <w:p w14:paraId="68796428" w14:textId="77777777" w:rsidR="006B5042" w:rsidRPr="00DA65BA" w:rsidRDefault="006B5042" w:rsidP="001720FC">
      <w:pPr>
        <w:jc w:val="both"/>
        <w:rPr>
          <w:rFonts w:ascii="Arial" w:hAnsi="Arial" w:cs="Arial"/>
          <w:color w:val="000000" w:themeColor="text1"/>
        </w:rPr>
      </w:pPr>
    </w:p>
    <w:p w14:paraId="1404477F" w14:textId="77777777" w:rsidR="006B5042" w:rsidRPr="00DA65BA" w:rsidRDefault="006B5042" w:rsidP="001720FC">
      <w:pPr>
        <w:jc w:val="both"/>
        <w:rPr>
          <w:rFonts w:ascii="Arial" w:hAnsi="Arial" w:cs="Arial"/>
          <w:color w:val="000000" w:themeColor="text1"/>
        </w:rPr>
      </w:pPr>
      <w:r w:rsidRPr="00DA65BA">
        <w:rPr>
          <w:rFonts w:ascii="Arial" w:hAnsi="Arial" w:cs="Arial"/>
          <w:noProof/>
          <w:color w:val="000000" w:themeColor="text1"/>
          <w:lang w:eastAsia="en-GB"/>
        </w:rPr>
        <w:lastRenderedPageBreak/>
        <w:drawing>
          <wp:inline distT="0" distB="0" distL="0" distR="0" wp14:anchorId="13D2A62E" wp14:editId="133DE810">
            <wp:extent cx="5727700" cy="4295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_0185.JPG"/>
                    <pic:cNvPicPr/>
                  </pic:nvPicPr>
                  <pic:blipFill>
                    <a:blip r:embed="rId6">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inline>
        </w:drawing>
      </w:r>
    </w:p>
    <w:p w14:paraId="03379B5F" w14:textId="77777777" w:rsidR="00D345F0" w:rsidRPr="00DA65BA" w:rsidRDefault="00D345F0" w:rsidP="001720FC">
      <w:pPr>
        <w:jc w:val="both"/>
        <w:rPr>
          <w:rFonts w:ascii="Arial" w:hAnsi="Arial" w:cs="Arial"/>
          <w:color w:val="FF0000"/>
        </w:rPr>
      </w:pPr>
    </w:p>
    <w:p w14:paraId="075042E3" w14:textId="77777777" w:rsidR="00D345F0" w:rsidRPr="00DA65BA" w:rsidRDefault="006B5042" w:rsidP="001720FC">
      <w:pPr>
        <w:jc w:val="both"/>
        <w:rPr>
          <w:rFonts w:ascii="Arial" w:hAnsi="Arial" w:cs="Arial"/>
          <w:color w:val="000000" w:themeColor="text1"/>
        </w:rPr>
      </w:pPr>
      <w:r w:rsidRPr="00DA65BA">
        <w:rPr>
          <w:rFonts w:ascii="Arial" w:hAnsi="Arial" w:cs="Arial"/>
          <w:b/>
          <w:color w:val="000000" w:themeColor="text1"/>
        </w:rPr>
        <w:t xml:space="preserve">Figure 2. </w:t>
      </w:r>
      <w:r w:rsidRPr="00DA65BA">
        <w:rPr>
          <w:rFonts w:ascii="Arial" w:hAnsi="Arial" w:cs="Arial"/>
          <w:color w:val="000000" w:themeColor="text1"/>
        </w:rPr>
        <w:t>The bottom of a stone sculpture of an elephant</w:t>
      </w:r>
      <w:r w:rsidRPr="00DA65BA">
        <w:rPr>
          <w:rFonts w:ascii="Arial" w:hAnsi="Arial" w:cs="Arial"/>
          <w:b/>
          <w:color w:val="000000" w:themeColor="text1"/>
        </w:rPr>
        <w:t xml:space="preserve"> </w:t>
      </w:r>
      <w:r w:rsidRPr="00DA65BA">
        <w:rPr>
          <w:rFonts w:ascii="Arial" w:hAnsi="Arial" w:cs="Arial"/>
          <w:color w:val="000000" w:themeColor="text1"/>
        </w:rPr>
        <w:t xml:space="preserve">shaped by myself and Cleto during my time in Chinamhora </w:t>
      </w:r>
      <w:sdt>
        <w:sdtPr>
          <w:rPr>
            <w:rFonts w:ascii="Arial" w:hAnsi="Arial" w:cs="Arial"/>
            <w:color w:val="000000" w:themeColor="text1"/>
          </w:rPr>
          <w:id w:val="-617448735"/>
          <w:citation/>
        </w:sdtPr>
        <w:sdtEndPr/>
        <w:sdtContent>
          <w:r w:rsidRPr="00DA65BA">
            <w:rPr>
              <w:rFonts w:ascii="Arial" w:hAnsi="Arial" w:cs="Arial"/>
              <w:color w:val="000000" w:themeColor="text1"/>
            </w:rPr>
            <w:fldChar w:fldCharType="begin"/>
          </w:r>
          <w:r w:rsidR="00881FBE">
            <w:rPr>
              <w:rFonts w:ascii="Arial" w:hAnsi="Arial" w:cs="Arial"/>
              <w:color w:val="000000" w:themeColor="text1"/>
            </w:rPr>
            <w:instrText xml:space="preserve">CITATION Eva17 \l 2057 </w:instrText>
          </w:r>
          <w:r w:rsidRPr="00DA65BA">
            <w:rPr>
              <w:rFonts w:ascii="Arial" w:hAnsi="Arial" w:cs="Arial"/>
              <w:color w:val="000000" w:themeColor="text1"/>
            </w:rPr>
            <w:fldChar w:fldCharType="separate"/>
          </w:r>
          <w:r w:rsidR="00881FBE" w:rsidRPr="00881FBE">
            <w:rPr>
              <w:rFonts w:ascii="Arial" w:hAnsi="Arial" w:cs="Arial"/>
              <w:noProof/>
              <w:color w:val="000000" w:themeColor="text1"/>
            </w:rPr>
            <w:t>(Evans &amp; Cleto, 2017)</w:t>
          </w:r>
          <w:r w:rsidRPr="00DA65BA">
            <w:rPr>
              <w:rFonts w:ascii="Arial" w:hAnsi="Arial" w:cs="Arial"/>
              <w:color w:val="000000" w:themeColor="text1"/>
            </w:rPr>
            <w:fldChar w:fldCharType="end"/>
          </w:r>
        </w:sdtContent>
      </w:sdt>
    </w:p>
    <w:p w14:paraId="2D22BADC" w14:textId="77777777" w:rsidR="004E4FC8" w:rsidRPr="00DA65BA" w:rsidRDefault="004E4FC8" w:rsidP="001720FC">
      <w:pPr>
        <w:jc w:val="both"/>
        <w:rPr>
          <w:rFonts w:ascii="Arial" w:hAnsi="Arial" w:cs="Arial"/>
          <w:color w:val="000000" w:themeColor="text1"/>
        </w:rPr>
      </w:pPr>
    </w:p>
    <w:p w14:paraId="286763D4" w14:textId="77777777" w:rsidR="004E4FC8" w:rsidRPr="00DA65BA" w:rsidRDefault="004E4FC8" w:rsidP="001720FC">
      <w:pPr>
        <w:jc w:val="both"/>
        <w:rPr>
          <w:rFonts w:ascii="Arial" w:hAnsi="Arial" w:cs="Arial"/>
          <w:color w:val="000000" w:themeColor="text1"/>
        </w:rPr>
      </w:pPr>
    </w:p>
    <w:p w14:paraId="216D8569" w14:textId="77777777" w:rsidR="00CA7CE1" w:rsidRDefault="004E4FC8" w:rsidP="004E4FC8">
      <w:pPr>
        <w:spacing w:line="480" w:lineRule="auto"/>
        <w:jc w:val="both"/>
        <w:rPr>
          <w:rFonts w:ascii="Arial" w:hAnsi="Arial" w:cs="Arial"/>
          <w:color w:val="000000" w:themeColor="text1"/>
        </w:rPr>
      </w:pPr>
      <w:r w:rsidRPr="00DA65BA">
        <w:rPr>
          <w:rFonts w:ascii="Arial" w:hAnsi="Arial" w:cs="Arial"/>
          <w:color w:val="000000" w:themeColor="text1"/>
        </w:rPr>
        <w:t xml:space="preserve">The material object that I have chosen for this anthropological analysis is a sculpture of an elephant, carved out of opal stone by myself and a gentleman called Cleto (Fig. 1 &amp; Fig.2).  I have chosen this material object due to the significance that it holds to myself, and to the time that I spent in Zimbabwe whilst helping to construct keyhole gardens and a community centre for the village of Chinamhora. </w:t>
      </w:r>
    </w:p>
    <w:p w14:paraId="01A3D09F" w14:textId="77777777" w:rsidR="004A0804" w:rsidRPr="00DA65BA" w:rsidRDefault="004A0804" w:rsidP="004E4FC8">
      <w:pPr>
        <w:spacing w:line="480" w:lineRule="auto"/>
        <w:jc w:val="both"/>
        <w:rPr>
          <w:rFonts w:ascii="Arial" w:hAnsi="Arial" w:cs="Arial"/>
          <w:color w:val="000000" w:themeColor="text1"/>
        </w:rPr>
      </w:pPr>
      <w:r>
        <w:rPr>
          <w:rFonts w:ascii="Arial" w:hAnsi="Arial" w:cs="Arial"/>
          <w:color w:val="000000" w:themeColor="text1"/>
        </w:rPr>
        <w:tab/>
      </w:r>
      <w:r w:rsidR="006E522C">
        <w:rPr>
          <w:rFonts w:ascii="Arial" w:hAnsi="Arial" w:cs="Arial"/>
          <w:color w:val="000000" w:themeColor="text1"/>
        </w:rPr>
        <w:t xml:space="preserve">Before delving in to the analysis of the stone sculpture, I will set out how I have come to be in possession of this object; illuminating its significance and providing leads for my anthropological analysis. The next step will be an analysis of the exchange of this object, and the spheres of exchange that it occupies and moves between, particularly its transgression of the boundary between commodity and gift. Following this, I will then move on to an analysis of its biography, tracing the objects journey from </w:t>
      </w:r>
      <w:r w:rsidR="006E522C">
        <w:rPr>
          <w:rFonts w:ascii="Arial" w:hAnsi="Arial" w:cs="Arial"/>
          <w:color w:val="000000" w:themeColor="text1"/>
        </w:rPr>
        <w:lastRenderedPageBreak/>
        <w:t xml:space="preserve">creation to exchange. Throughout, the analysis will partially focus on the value that the sculpture holds, both as a commodity for trade, and as a gift to keep. </w:t>
      </w:r>
    </w:p>
    <w:p w14:paraId="048719D4" w14:textId="77777777" w:rsidR="000B128B" w:rsidRPr="00DA65BA" w:rsidRDefault="004E4FC8" w:rsidP="004E4FC8">
      <w:pPr>
        <w:spacing w:line="480" w:lineRule="auto"/>
        <w:jc w:val="both"/>
        <w:rPr>
          <w:rFonts w:ascii="Arial" w:hAnsi="Arial" w:cs="Arial"/>
          <w:color w:val="000000" w:themeColor="text1"/>
        </w:rPr>
      </w:pPr>
      <w:r w:rsidRPr="00DA65BA">
        <w:rPr>
          <w:rFonts w:ascii="Arial" w:hAnsi="Arial" w:cs="Arial"/>
          <w:color w:val="000000" w:themeColor="text1"/>
        </w:rPr>
        <w:tab/>
        <w:t xml:space="preserve">During April </w:t>
      </w:r>
      <w:r w:rsidR="00D364A1" w:rsidRPr="00DA65BA">
        <w:rPr>
          <w:rFonts w:ascii="Arial" w:hAnsi="Arial" w:cs="Arial"/>
          <w:color w:val="000000" w:themeColor="text1"/>
        </w:rPr>
        <w:t>2017, I</w:t>
      </w:r>
      <w:r w:rsidRPr="00DA65BA">
        <w:rPr>
          <w:rFonts w:ascii="Arial" w:hAnsi="Arial" w:cs="Arial"/>
          <w:color w:val="000000" w:themeColor="text1"/>
        </w:rPr>
        <w:t xml:space="preserve"> travelled to the village of Chinamhora in Zimbabwe with the charity Love Zimbabwe </w:t>
      </w:r>
      <w:sdt>
        <w:sdtPr>
          <w:rPr>
            <w:rFonts w:ascii="Arial" w:hAnsi="Arial" w:cs="Arial"/>
            <w:color w:val="000000" w:themeColor="text1"/>
          </w:rPr>
          <w:id w:val="357638348"/>
          <w:citation/>
        </w:sdtPr>
        <w:sdtEndPr/>
        <w:sdtContent>
          <w:r w:rsidRPr="00DA65BA">
            <w:rPr>
              <w:rFonts w:ascii="Arial" w:hAnsi="Arial" w:cs="Arial"/>
              <w:color w:val="000000" w:themeColor="text1"/>
            </w:rPr>
            <w:fldChar w:fldCharType="begin"/>
          </w:r>
          <w:r w:rsidRPr="00DA65BA">
            <w:rPr>
              <w:rFonts w:ascii="Arial" w:hAnsi="Arial" w:cs="Arial"/>
              <w:color w:val="000000" w:themeColor="text1"/>
            </w:rPr>
            <w:instrText xml:space="preserve"> CITATION Lov \l 2057 </w:instrText>
          </w:r>
          <w:r w:rsidRPr="00DA65BA">
            <w:rPr>
              <w:rFonts w:ascii="Arial" w:hAnsi="Arial" w:cs="Arial"/>
              <w:color w:val="000000" w:themeColor="text1"/>
            </w:rPr>
            <w:fldChar w:fldCharType="separate"/>
          </w:r>
          <w:r w:rsidR="00FE0FF2" w:rsidRPr="00FE0FF2">
            <w:rPr>
              <w:rFonts w:ascii="Arial" w:hAnsi="Arial" w:cs="Arial"/>
              <w:noProof/>
              <w:color w:val="000000" w:themeColor="text1"/>
            </w:rPr>
            <w:t>(Love Zimbabwe, n.d.)</w:t>
          </w:r>
          <w:r w:rsidRPr="00DA65BA">
            <w:rPr>
              <w:rFonts w:ascii="Arial" w:hAnsi="Arial" w:cs="Arial"/>
              <w:color w:val="000000" w:themeColor="text1"/>
            </w:rPr>
            <w:fldChar w:fldCharType="end"/>
          </w:r>
        </w:sdtContent>
      </w:sdt>
      <w:r w:rsidRPr="00DA65BA">
        <w:rPr>
          <w:rFonts w:ascii="Arial" w:hAnsi="Arial" w:cs="Arial"/>
          <w:color w:val="000000" w:themeColor="text1"/>
        </w:rPr>
        <w:t xml:space="preserve">. My </w:t>
      </w:r>
      <w:r w:rsidR="00D364A1" w:rsidRPr="00DA65BA">
        <w:rPr>
          <w:rFonts w:ascii="Arial" w:hAnsi="Arial" w:cs="Arial"/>
          <w:color w:val="000000" w:themeColor="text1"/>
        </w:rPr>
        <w:t>purpose</w:t>
      </w:r>
      <w:r w:rsidRPr="00DA65BA">
        <w:rPr>
          <w:rFonts w:ascii="Arial" w:hAnsi="Arial" w:cs="Arial"/>
          <w:color w:val="000000" w:themeColor="text1"/>
        </w:rPr>
        <w:t xml:space="preserve"> for this visit was fourfold. Firstly, it was to construct a community centre for the village, a place where the villagers could gather and learn. Secondly, I wanted to experience the culture of the village, to learn about the villagers’ way of life and customs. Thirdly, we were there to stimulate their economy through the purchase of food, and their arts and crafts. Finally, we were there to spread </w:t>
      </w:r>
      <w:r w:rsidR="00D364A1" w:rsidRPr="00DA65BA">
        <w:rPr>
          <w:rFonts w:ascii="Arial" w:hAnsi="Arial" w:cs="Arial"/>
          <w:color w:val="000000" w:themeColor="text1"/>
        </w:rPr>
        <w:t xml:space="preserve">our knowledge of growing food for sustenance. </w:t>
      </w:r>
    </w:p>
    <w:p w14:paraId="4DF67C5F" w14:textId="77777777" w:rsidR="00D345F0" w:rsidRPr="00DA65BA" w:rsidRDefault="00D364A1" w:rsidP="000B128B">
      <w:pPr>
        <w:spacing w:line="480" w:lineRule="auto"/>
        <w:ind w:firstLine="720"/>
        <w:jc w:val="both"/>
        <w:rPr>
          <w:rFonts w:ascii="Arial" w:hAnsi="Arial" w:cs="Arial"/>
          <w:color w:val="000000" w:themeColor="text1"/>
        </w:rPr>
      </w:pPr>
      <w:r w:rsidRPr="00DA65BA">
        <w:rPr>
          <w:rFonts w:ascii="Arial" w:hAnsi="Arial" w:cs="Arial"/>
          <w:color w:val="000000" w:themeColor="text1"/>
        </w:rPr>
        <w:t xml:space="preserve">During my visit to Chinamhora, I met a man called Cleto. He was quite friendly, and looked after us well. He shared with us the knowledge of his past, and how things used to be done in his village. What I remember particularly is his knowledge of which trees were useful for washing your hair with! Cleto would help out in the community centre, and he gained his sustenance through carving stones in order for them to be sold to tourists that would visit Chinamhora, much like myself. Cleto and I carved this particular stone together (Fig. 1 &amp; </w:t>
      </w:r>
      <w:r w:rsidR="000B128B" w:rsidRPr="00DA65BA">
        <w:rPr>
          <w:rFonts w:ascii="Arial" w:hAnsi="Arial" w:cs="Arial"/>
          <w:color w:val="000000" w:themeColor="text1"/>
        </w:rPr>
        <w:t xml:space="preserve">Fig. </w:t>
      </w:r>
      <w:r w:rsidRPr="00DA65BA">
        <w:rPr>
          <w:rFonts w:ascii="Arial" w:hAnsi="Arial" w:cs="Arial"/>
          <w:color w:val="000000" w:themeColor="text1"/>
        </w:rPr>
        <w:t xml:space="preserve">2), it took us an afternoon to shape and finish. At the end of the process, Cleto gave the sculpture to me as a gift to take back to Wales and keep. It has since occupied a space on my </w:t>
      </w:r>
      <w:r w:rsidR="000B128B" w:rsidRPr="00DA65BA">
        <w:rPr>
          <w:rFonts w:ascii="Arial" w:hAnsi="Arial" w:cs="Arial"/>
          <w:color w:val="000000" w:themeColor="text1"/>
        </w:rPr>
        <w:t>mantelpiece</w:t>
      </w:r>
      <w:r w:rsidRPr="00DA65BA">
        <w:rPr>
          <w:rFonts w:ascii="Arial" w:hAnsi="Arial" w:cs="Arial"/>
          <w:color w:val="000000" w:themeColor="text1"/>
        </w:rPr>
        <w:t xml:space="preserve">, and often is a conversational piece. </w:t>
      </w:r>
    </w:p>
    <w:p w14:paraId="040E257F" w14:textId="77777777" w:rsidR="000B128B" w:rsidRPr="00DA65BA" w:rsidRDefault="000B128B" w:rsidP="000B128B">
      <w:pPr>
        <w:spacing w:line="480" w:lineRule="auto"/>
        <w:ind w:firstLine="720"/>
        <w:jc w:val="both"/>
        <w:rPr>
          <w:rFonts w:ascii="Arial" w:hAnsi="Arial" w:cs="Arial"/>
          <w:color w:val="000000" w:themeColor="text1"/>
        </w:rPr>
      </w:pPr>
      <w:r w:rsidRPr="00DA65BA">
        <w:rPr>
          <w:rFonts w:ascii="Arial" w:hAnsi="Arial" w:cs="Arial"/>
          <w:color w:val="000000" w:themeColor="text1"/>
        </w:rPr>
        <w:t xml:space="preserve">In my conversations with Cleto, he had professed how much he liked my hat, a burgundy bucket style hat. On my last day in Chinamhora, I gave Cleto my hat as a gift. We exchanged addresses, in the hope of not losing contact with one another. </w:t>
      </w:r>
    </w:p>
    <w:p w14:paraId="2DC134EE" w14:textId="77777777" w:rsidR="000B128B" w:rsidRPr="00DA65BA" w:rsidRDefault="000B128B" w:rsidP="000B128B">
      <w:pPr>
        <w:spacing w:line="480" w:lineRule="auto"/>
        <w:ind w:firstLine="720"/>
        <w:jc w:val="both"/>
        <w:rPr>
          <w:rFonts w:ascii="Arial" w:hAnsi="Arial" w:cs="Arial"/>
          <w:color w:val="000000" w:themeColor="text1"/>
        </w:rPr>
      </w:pPr>
      <w:r w:rsidRPr="00DA65BA">
        <w:rPr>
          <w:rFonts w:ascii="Arial" w:hAnsi="Arial" w:cs="Arial"/>
          <w:color w:val="000000" w:themeColor="text1"/>
        </w:rPr>
        <w:t xml:space="preserve">The gift of the stone sculpture, and he gift of the time spent creating it, appear to be ripe and fruitful ground for an anthropological analysis, particularly as it appears in the centre of a chain of reciprocal gifts which could be said to have started with the </w:t>
      </w:r>
      <w:r w:rsidRPr="00DA65BA">
        <w:rPr>
          <w:rFonts w:ascii="Arial" w:hAnsi="Arial" w:cs="Arial"/>
          <w:color w:val="000000" w:themeColor="text1"/>
        </w:rPr>
        <w:lastRenderedPageBreak/>
        <w:t xml:space="preserve">gift of my labour, labour used to construct a community centre for the benefit of the village. In this analysis of the material stone sculpture, an analysis of its place in the chain of reciprocal gift giving seems like an ideal place to start this enquiry. </w:t>
      </w:r>
    </w:p>
    <w:p w14:paraId="6818665A" w14:textId="77777777" w:rsidR="00D807C2" w:rsidRPr="00DA65BA" w:rsidRDefault="00F23D1A" w:rsidP="000B128B">
      <w:pPr>
        <w:spacing w:line="480" w:lineRule="auto"/>
        <w:ind w:firstLine="720"/>
        <w:jc w:val="both"/>
        <w:rPr>
          <w:rFonts w:ascii="Arial" w:hAnsi="Arial" w:cs="Arial"/>
          <w:color w:val="000000" w:themeColor="text1"/>
        </w:rPr>
      </w:pPr>
      <w:r>
        <w:rPr>
          <w:rFonts w:ascii="Arial" w:hAnsi="Arial" w:cs="Arial"/>
          <w:color w:val="000000" w:themeColor="text1"/>
        </w:rPr>
        <w:t xml:space="preserve">In the ‘seminal essay’ </w:t>
      </w:r>
      <w:sdt>
        <w:sdtPr>
          <w:rPr>
            <w:rFonts w:ascii="Arial" w:hAnsi="Arial" w:cs="Arial"/>
            <w:color w:val="000000" w:themeColor="text1"/>
          </w:rPr>
          <w:id w:val="1476253377"/>
          <w:citation/>
        </w:sdtPr>
        <w:sdtEndPr/>
        <w:sdtContent>
          <w:r>
            <w:rPr>
              <w:rFonts w:ascii="Arial" w:hAnsi="Arial" w:cs="Arial"/>
              <w:color w:val="000000" w:themeColor="text1"/>
            </w:rPr>
            <w:fldChar w:fldCharType="begin"/>
          </w:r>
          <w:r>
            <w:rPr>
              <w:rFonts w:ascii="Arial" w:hAnsi="Arial" w:cs="Arial"/>
              <w:color w:val="000000" w:themeColor="text1"/>
            </w:rPr>
            <w:instrText xml:space="preserve">CITATION JrJ83 \p 157 \l 2057 </w:instrText>
          </w:r>
          <w:r>
            <w:rPr>
              <w:rFonts w:ascii="Arial" w:hAnsi="Arial" w:cs="Arial"/>
              <w:color w:val="000000" w:themeColor="text1"/>
            </w:rPr>
            <w:fldChar w:fldCharType="separate"/>
          </w:r>
          <w:r w:rsidR="00FE0FF2" w:rsidRPr="00FE0FF2">
            <w:rPr>
              <w:rFonts w:ascii="Arial" w:hAnsi="Arial" w:cs="Arial"/>
              <w:noProof/>
              <w:color w:val="000000" w:themeColor="text1"/>
            </w:rPr>
            <w:t>(Sherry Jr, 1983, p. 157)</w:t>
          </w:r>
          <w:r>
            <w:rPr>
              <w:rFonts w:ascii="Arial" w:hAnsi="Arial" w:cs="Arial"/>
              <w:color w:val="000000" w:themeColor="text1"/>
            </w:rPr>
            <w:fldChar w:fldCharType="end"/>
          </w:r>
        </w:sdtContent>
      </w:sdt>
      <w:r>
        <w:rPr>
          <w:rFonts w:ascii="Arial" w:hAnsi="Arial" w:cs="Arial"/>
          <w:color w:val="000000" w:themeColor="text1"/>
        </w:rPr>
        <w:t xml:space="preserve"> </w:t>
      </w:r>
      <w:r w:rsidR="00A577DD" w:rsidRPr="00DA65BA">
        <w:rPr>
          <w:rFonts w:ascii="Arial" w:hAnsi="Arial" w:cs="Arial"/>
          <w:i/>
          <w:color w:val="000000" w:themeColor="text1"/>
        </w:rPr>
        <w:t>The Gift</w:t>
      </w:r>
      <w:r>
        <w:rPr>
          <w:rFonts w:ascii="Arial" w:hAnsi="Arial" w:cs="Arial"/>
          <w:i/>
          <w:color w:val="000000" w:themeColor="text1"/>
        </w:rPr>
        <w:t xml:space="preserve"> </w:t>
      </w:r>
      <w:sdt>
        <w:sdtPr>
          <w:rPr>
            <w:rFonts w:ascii="Arial" w:hAnsi="Arial" w:cs="Arial"/>
            <w:i/>
            <w:color w:val="000000" w:themeColor="text1"/>
          </w:rPr>
          <w:id w:val="370812868"/>
          <w:citation/>
        </w:sdtPr>
        <w:sdtEndPr/>
        <w:sdtContent>
          <w:r>
            <w:rPr>
              <w:rFonts w:ascii="Arial" w:hAnsi="Arial" w:cs="Arial"/>
              <w:i/>
              <w:color w:val="000000" w:themeColor="text1"/>
            </w:rPr>
            <w:fldChar w:fldCharType="begin"/>
          </w:r>
          <w:r>
            <w:rPr>
              <w:rFonts w:ascii="Arial" w:hAnsi="Arial" w:cs="Arial"/>
              <w:color w:val="000000" w:themeColor="text1"/>
            </w:rPr>
            <w:instrText xml:space="preserve"> CITATION Mau11 \l 2057 </w:instrText>
          </w:r>
          <w:r>
            <w:rPr>
              <w:rFonts w:ascii="Arial" w:hAnsi="Arial" w:cs="Arial"/>
              <w:i/>
              <w:color w:val="000000" w:themeColor="text1"/>
            </w:rPr>
            <w:fldChar w:fldCharType="separate"/>
          </w:r>
          <w:r w:rsidR="00FE0FF2" w:rsidRPr="00FE0FF2">
            <w:rPr>
              <w:rFonts w:ascii="Arial" w:hAnsi="Arial" w:cs="Arial"/>
              <w:noProof/>
              <w:color w:val="000000" w:themeColor="text1"/>
            </w:rPr>
            <w:t>(Mauss, 2011)</w:t>
          </w:r>
          <w:r>
            <w:rPr>
              <w:rFonts w:ascii="Arial" w:hAnsi="Arial" w:cs="Arial"/>
              <w:i/>
              <w:color w:val="000000" w:themeColor="text1"/>
            </w:rPr>
            <w:fldChar w:fldCharType="end"/>
          </w:r>
        </w:sdtContent>
      </w:sdt>
      <w:r>
        <w:rPr>
          <w:rFonts w:ascii="Arial" w:hAnsi="Arial" w:cs="Arial"/>
          <w:i/>
          <w:color w:val="000000" w:themeColor="text1"/>
        </w:rPr>
        <w:t>,</w:t>
      </w:r>
      <w:r w:rsidR="00A577DD" w:rsidRPr="00DA65BA">
        <w:rPr>
          <w:rFonts w:ascii="Arial" w:hAnsi="Arial" w:cs="Arial"/>
          <w:i/>
          <w:color w:val="000000" w:themeColor="text1"/>
        </w:rPr>
        <w:t xml:space="preserve"> </w:t>
      </w:r>
      <w:r>
        <w:rPr>
          <w:rFonts w:ascii="Arial" w:hAnsi="Arial" w:cs="Arial"/>
          <w:color w:val="000000" w:themeColor="text1"/>
        </w:rPr>
        <w:t>gift giving is brought</w:t>
      </w:r>
      <w:r w:rsidR="00A577DD" w:rsidRPr="00DA65BA">
        <w:rPr>
          <w:rFonts w:ascii="Arial" w:hAnsi="Arial" w:cs="Arial"/>
          <w:color w:val="000000" w:themeColor="text1"/>
        </w:rPr>
        <w:t xml:space="preserve"> into focus </w:t>
      </w:r>
      <w:r>
        <w:rPr>
          <w:rFonts w:ascii="Arial" w:hAnsi="Arial" w:cs="Arial"/>
          <w:color w:val="000000" w:themeColor="text1"/>
        </w:rPr>
        <w:t xml:space="preserve">with </w:t>
      </w:r>
      <w:r w:rsidR="00A577DD" w:rsidRPr="00DA65BA">
        <w:rPr>
          <w:rFonts w:ascii="Arial" w:hAnsi="Arial" w:cs="Arial"/>
          <w:color w:val="000000" w:themeColor="text1"/>
        </w:rPr>
        <w:t>the way that the exchange of objects between</w:t>
      </w:r>
      <w:r>
        <w:rPr>
          <w:rFonts w:ascii="Arial" w:hAnsi="Arial" w:cs="Arial"/>
          <w:color w:val="000000" w:themeColor="text1"/>
        </w:rPr>
        <w:t xml:space="preserve"> people strengthens social ties</w:t>
      </w:r>
      <w:r w:rsidR="00A577DD" w:rsidRPr="00DA65BA">
        <w:rPr>
          <w:rFonts w:ascii="Arial" w:hAnsi="Arial" w:cs="Arial"/>
          <w:color w:val="000000" w:themeColor="text1"/>
        </w:rPr>
        <w:t xml:space="preserve"> and acts as the cementing substance in inter-personal relationships. Gifts are given voluntarily, often spontaneously, and seemingly without thought of reciprocity. </w:t>
      </w:r>
      <w:proofErr w:type="spellStart"/>
      <w:r w:rsidR="00A577DD" w:rsidRPr="00DA65BA">
        <w:rPr>
          <w:rFonts w:ascii="Arial" w:hAnsi="Arial" w:cs="Arial"/>
          <w:color w:val="000000" w:themeColor="text1"/>
        </w:rPr>
        <w:t>Mauss</w:t>
      </w:r>
      <w:proofErr w:type="spellEnd"/>
      <w:r w:rsidR="00A577DD" w:rsidRPr="00DA65BA">
        <w:rPr>
          <w:rFonts w:ascii="Arial" w:hAnsi="Arial" w:cs="Arial"/>
          <w:color w:val="000000" w:themeColor="text1"/>
        </w:rPr>
        <w:t xml:space="preserve"> observes in his seminal essay that within this </w:t>
      </w:r>
      <w:r w:rsidR="00D807C2" w:rsidRPr="00DA65BA">
        <w:rPr>
          <w:rFonts w:ascii="Arial" w:hAnsi="Arial" w:cs="Arial"/>
          <w:color w:val="000000" w:themeColor="text1"/>
        </w:rPr>
        <w:t xml:space="preserve">universal language of exchange, things are not always as they seem </w:t>
      </w:r>
      <w:sdt>
        <w:sdtPr>
          <w:rPr>
            <w:rFonts w:ascii="Arial" w:hAnsi="Arial" w:cs="Arial"/>
            <w:color w:val="000000" w:themeColor="text1"/>
          </w:rPr>
          <w:id w:val="-1491867892"/>
          <w:citation/>
        </w:sdtPr>
        <w:sdtEndPr/>
        <w:sdtContent>
          <w:r w:rsidR="00D807C2" w:rsidRPr="00DA65BA">
            <w:rPr>
              <w:rFonts w:ascii="Arial" w:hAnsi="Arial" w:cs="Arial"/>
              <w:color w:val="000000" w:themeColor="text1"/>
            </w:rPr>
            <w:fldChar w:fldCharType="begin"/>
          </w:r>
          <w:r w:rsidR="00D807C2" w:rsidRPr="00DA65BA">
            <w:rPr>
              <w:rFonts w:ascii="Arial" w:hAnsi="Arial" w:cs="Arial"/>
              <w:color w:val="000000" w:themeColor="text1"/>
            </w:rPr>
            <w:instrText xml:space="preserve">CITATION Mau11 \p 1 \n  \t  \l 2057 </w:instrText>
          </w:r>
          <w:r w:rsidR="00D807C2" w:rsidRPr="00DA65BA">
            <w:rPr>
              <w:rFonts w:ascii="Arial" w:hAnsi="Arial" w:cs="Arial"/>
              <w:color w:val="000000" w:themeColor="text1"/>
            </w:rPr>
            <w:fldChar w:fldCharType="separate"/>
          </w:r>
          <w:r w:rsidR="00FE0FF2" w:rsidRPr="00FE0FF2">
            <w:rPr>
              <w:rFonts w:ascii="Arial" w:hAnsi="Arial" w:cs="Arial"/>
              <w:noProof/>
              <w:color w:val="000000" w:themeColor="text1"/>
            </w:rPr>
            <w:t>(2011, p. 1)</w:t>
          </w:r>
          <w:r w:rsidR="00D807C2" w:rsidRPr="00DA65BA">
            <w:rPr>
              <w:rFonts w:ascii="Arial" w:hAnsi="Arial" w:cs="Arial"/>
              <w:color w:val="000000" w:themeColor="text1"/>
            </w:rPr>
            <w:fldChar w:fldCharType="end"/>
          </w:r>
        </w:sdtContent>
      </w:sdt>
      <w:r w:rsidR="00D807C2" w:rsidRPr="00DA65BA">
        <w:rPr>
          <w:rFonts w:ascii="Arial" w:hAnsi="Arial" w:cs="Arial"/>
          <w:color w:val="000000" w:themeColor="text1"/>
        </w:rPr>
        <w:t xml:space="preserve">. </w:t>
      </w:r>
    </w:p>
    <w:p w14:paraId="0B1B6703" w14:textId="77777777" w:rsidR="005553C8" w:rsidRDefault="00D807C2" w:rsidP="00D807C2">
      <w:pPr>
        <w:spacing w:line="480" w:lineRule="auto"/>
        <w:ind w:firstLine="720"/>
        <w:jc w:val="both"/>
        <w:rPr>
          <w:rFonts w:ascii="Arial" w:hAnsi="Arial" w:cs="Arial"/>
          <w:color w:val="000000" w:themeColor="text1"/>
        </w:rPr>
      </w:pPr>
      <w:r w:rsidRPr="00DA65BA">
        <w:rPr>
          <w:rFonts w:ascii="Arial" w:hAnsi="Arial" w:cs="Arial"/>
          <w:color w:val="000000" w:themeColor="text1"/>
        </w:rPr>
        <w:t xml:space="preserve">When the stones sculpture was given to me, there was no formal arrangement of reciprocity. Yet, I felt obliged to give a gift in return; the gift of the hat that I had worn during my time in Zimbabwe, just as I was obliged to accept the gift of the stone sculpture from Cleto. The stone sculpture was a physical representation of our time together, the time spent building the community centre and the time spent carving the sculpture itself.  </w:t>
      </w:r>
      <w:r w:rsidR="00F17B9B" w:rsidRPr="00DA65BA">
        <w:rPr>
          <w:rFonts w:ascii="Arial" w:hAnsi="Arial" w:cs="Arial"/>
          <w:color w:val="000000" w:themeColor="text1"/>
        </w:rPr>
        <w:t xml:space="preserve">The social bond that had developed between us was strengthened by the gift, I had a keepsake to remind me of our time together. A keepsake that had no utility value, only the value that the relationship between myself and Cleto that had been imbibed in the stone. </w:t>
      </w:r>
      <w:proofErr w:type="spellStart"/>
      <w:r w:rsidR="00DA65BA">
        <w:rPr>
          <w:rFonts w:ascii="Arial" w:hAnsi="Arial" w:cs="Arial"/>
          <w:color w:val="000000" w:themeColor="text1"/>
        </w:rPr>
        <w:t>Mauss</w:t>
      </w:r>
      <w:proofErr w:type="spellEnd"/>
      <w:r w:rsidR="00DA65BA">
        <w:rPr>
          <w:rFonts w:ascii="Arial" w:hAnsi="Arial" w:cs="Arial"/>
          <w:color w:val="000000" w:themeColor="text1"/>
        </w:rPr>
        <w:t xml:space="preserve"> observes that there is more than just this obligation to reciprocate gifts </w:t>
      </w:r>
      <w:sdt>
        <w:sdtPr>
          <w:rPr>
            <w:rFonts w:ascii="Arial" w:hAnsi="Arial" w:cs="Arial"/>
            <w:color w:val="000000" w:themeColor="text1"/>
          </w:rPr>
          <w:id w:val="273301997"/>
          <w:citation/>
        </w:sdtPr>
        <w:sdtEndPr/>
        <w:sdtContent>
          <w:r w:rsidR="00DA65BA">
            <w:rPr>
              <w:rFonts w:ascii="Arial" w:hAnsi="Arial" w:cs="Arial"/>
              <w:color w:val="000000" w:themeColor="text1"/>
            </w:rPr>
            <w:fldChar w:fldCharType="begin"/>
          </w:r>
          <w:r w:rsidR="00DA65BA">
            <w:rPr>
              <w:rFonts w:ascii="Arial" w:hAnsi="Arial" w:cs="Arial"/>
              <w:color w:val="000000" w:themeColor="text1"/>
            </w:rPr>
            <w:instrText xml:space="preserve">CITATION Mau11 \p 10 \n  \t  \l 2057 </w:instrText>
          </w:r>
          <w:r w:rsidR="00DA65BA">
            <w:rPr>
              <w:rFonts w:ascii="Arial" w:hAnsi="Arial" w:cs="Arial"/>
              <w:color w:val="000000" w:themeColor="text1"/>
            </w:rPr>
            <w:fldChar w:fldCharType="separate"/>
          </w:r>
          <w:r w:rsidR="00FE0FF2" w:rsidRPr="00FE0FF2">
            <w:rPr>
              <w:rFonts w:ascii="Arial" w:hAnsi="Arial" w:cs="Arial"/>
              <w:noProof/>
              <w:color w:val="000000" w:themeColor="text1"/>
            </w:rPr>
            <w:t>(2011, p. 10)</w:t>
          </w:r>
          <w:r w:rsidR="00DA65BA">
            <w:rPr>
              <w:rFonts w:ascii="Arial" w:hAnsi="Arial" w:cs="Arial"/>
              <w:color w:val="000000" w:themeColor="text1"/>
            </w:rPr>
            <w:fldChar w:fldCharType="end"/>
          </w:r>
        </w:sdtContent>
      </w:sdt>
      <w:r w:rsidR="00DA65BA">
        <w:rPr>
          <w:rFonts w:ascii="Arial" w:hAnsi="Arial" w:cs="Arial"/>
          <w:color w:val="000000" w:themeColor="text1"/>
        </w:rPr>
        <w:t xml:space="preserve">. If I had refused the gift, it would be as if I was rejecting the strengthening of the bonds of the relationship that I had forged with Cleto. I was obliged not only to continue the chain of reciprocal gift giving, I was also obliged to receive the gift of the stone sculpture from Cleto. Had I offered Cleto money in return for the sculpture, a sculpture he would normally sell to tourists, this could be interpreted by him as a rejection of the offered social bonds, a ‘refusal of friendship’ </w:t>
      </w:r>
      <w:sdt>
        <w:sdtPr>
          <w:rPr>
            <w:rFonts w:ascii="Arial" w:hAnsi="Arial" w:cs="Arial"/>
            <w:color w:val="000000" w:themeColor="text1"/>
          </w:rPr>
          <w:id w:val="-2055306390"/>
          <w:citation/>
        </w:sdtPr>
        <w:sdtEndPr/>
        <w:sdtContent>
          <w:r w:rsidR="00DA65BA">
            <w:rPr>
              <w:rFonts w:ascii="Arial" w:hAnsi="Arial" w:cs="Arial"/>
              <w:color w:val="000000" w:themeColor="text1"/>
            </w:rPr>
            <w:fldChar w:fldCharType="begin"/>
          </w:r>
          <w:r w:rsidR="00DA65BA">
            <w:rPr>
              <w:rFonts w:ascii="Arial" w:hAnsi="Arial" w:cs="Arial"/>
              <w:color w:val="000000" w:themeColor="text1"/>
            </w:rPr>
            <w:instrText xml:space="preserve">CITATION Mau11 \p 11 \l 2057 </w:instrText>
          </w:r>
          <w:r w:rsidR="00DA65BA">
            <w:rPr>
              <w:rFonts w:ascii="Arial" w:hAnsi="Arial" w:cs="Arial"/>
              <w:color w:val="000000" w:themeColor="text1"/>
            </w:rPr>
            <w:fldChar w:fldCharType="separate"/>
          </w:r>
          <w:r w:rsidR="00FE0FF2" w:rsidRPr="00FE0FF2">
            <w:rPr>
              <w:rFonts w:ascii="Arial" w:hAnsi="Arial" w:cs="Arial"/>
              <w:noProof/>
              <w:color w:val="000000" w:themeColor="text1"/>
            </w:rPr>
            <w:t>(Mauss, 2011, p. 11)</w:t>
          </w:r>
          <w:r w:rsidR="00DA65BA">
            <w:rPr>
              <w:rFonts w:ascii="Arial" w:hAnsi="Arial" w:cs="Arial"/>
              <w:color w:val="000000" w:themeColor="text1"/>
            </w:rPr>
            <w:fldChar w:fldCharType="end"/>
          </w:r>
        </w:sdtContent>
      </w:sdt>
      <w:r w:rsidR="00DA65BA">
        <w:rPr>
          <w:rFonts w:ascii="Arial" w:hAnsi="Arial" w:cs="Arial"/>
          <w:color w:val="000000" w:themeColor="text1"/>
        </w:rPr>
        <w:t xml:space="preserve">. </w:t>
      </w:r>
      <w:r w:rsidR="00722116">
        <w:rPr>
          <w:rFonts w:ascii="Arial" w:hAnsi="Arial" w:cs="Arial"/>
          <w:color w:val="000000" w:themeColor="text1"/>
        </w:rPr>
        <w:t xml:space="preserve">Perhaps, even, given the relative differences in our economic </w:t>
      </w:r>
      <w:r w:rsidR="00722116">
        <w:rPr>
          <w:rFonts w:ascii="Arial" w:hAnsi="Arial" w:cs="Arial"/>
          <w:color w:val="000000" w:themeColor="text1"/>
        </w:rPr>
        <w:lastRenderedPageBreak/>
        <w:t>positions within global society, to accept money fo</w:t>
      </w:r>
      <w:r w:rsidR="00F23D1A">
        <w:rPr>
          <w:rFonts w:ascii="Arial" w:hAnsi="Arial" w:cs="Arial"/>
          <w:color w:val="000000" w:themeColor="text1"/>
        </w:rPr>
        <w:t xml:space="preserve">r what is offered as a gift may, in a way, violate etiquette and cause Cleto to lose ‘rank’ </w:t>
      </w:r>
      <w:sdt>
        <w:sdtPr>
          <w:rPr>
            <w:rFonts w:ascii="Arial" w:hAnsi="Arial" w:cs="Arial"/>
            <w:color w:val="000000" w:themeColor="text1"/>
          </w:rPr>
          <w:id w:val="-1797676013"/>
          <w:citation/>
        </w:sdtPr>
        <w:sdtEndPr/>
        <w:sdtContent>
          <w:r w:rsidR="00F23D1A">
            <w:rPr>
              <w:rFonts w:ascii="Arial" w:hAnsi="Arial" w:cs="Arial"/>
              <w:color w:val="000000" w:themeColor="text1"/>
            </w:rPr>
            <w:fldChar w:fldCharType="begin"/>
          </w:r>
          <w:r w:rsidR="00F23D1A">
            <w:rPr>
              <w:rFonts w:ascii="Arial" w:hAnsi="Arial" w:cs="Arial"/>
              <w:color w:val="000000" w:themeColor="text1"/>
            </w:rPr>
            <w:instrText xml:space="preserve">CITATION Mau11 \p 38 \l 2057 </w:instrText>
          </w:r>
          <w:r w:rsidR="00F23D1A">
            <w:rPr>
              <w:rFonts w:ascii="Arial" w:hAnsi="Arial" w:cs="Arial"/>
              <w:color w:val="000000" w:themeColor="text1"/>
            </w:rPr>
            <w:fldChar w:fldCharType="separate"/>
          </w:r>
          <w:r w:rsidR="00FE0FF2" w:rsidRPr="00FE0FF2">
            <w:rPr>
              <w:rFonts w:ascii="Arial" w:hAnsi="Arial" w:cs="Arial"/>
              <w:noProof/>
              <w:color w:val="000000" w:themeColor="text1"/>
            </w:rPr>
            <w:t>(Mauss, 2011, p. 38)</w:t>
          </w:r>
          <w:r w:rsidR="00F23D1A">
            <w:rPr>
              <w:rFonts w:ascii="Arial" w:hAnsi="Arial" w:cs="Arial"/>
              <w:color w:val="000000" w:themeColor="text1"/>
            </w:rPr>
            <w:fldChar w:fldCharType="end"/>
          </w:r>
        </w:sdtContent>
      </w:sdt>
      <w:r w:rsidR="00F23D1A">
        <w:rPr>
          <w:rFonts w:ascii="Arial" w:hAnsi="Arial" w:cs="Arial"/>
          <w:color w:val="000000" w:themeColor="text1"/>
        </w:rPr>
        <w:t xml:space="preserve">, a rank that the giving of a gift seeks to attain. </w:t>
      </w:r>
    </w:p>
    <w:p w14:paraId="354B892D" w14:textId="77777777" w:rsidR="00F23D1A" w:rsidRDefault="005C5154" w:rsidP="00D807C2">
      <w:pPr>
        <w:spacing w:line="480" w:lineRule="auto"/>
        <w:ind w:firstLine="720"/>
        <w:jc w:val="both"/>
        <w:rPr>
          <w:rFonts w:ascii="Arial" w:hAnsi="Arial" w:cs="Arial"/>
          <w:color w:val="000000" w:themeColor="text1"/>
        </w:rPr>
      </w:pPr>
      <w:r>
        <w:rPr>
          <w:rFonts w:ascii="Arial" w:hAnsi="Arial" w:cs="Arial"/>
          <w:color w:val="000000" w:themeColor="text1"/>
        </w:rPr>
        <w:t xml:space="preserve">The exchange of the stone, the hat, and the charitable time and monetary donations were not direct exchanges. These exchanges of gifts can be seen as such when ‘juxtaposed with direct exchanges’ </w:t>
      </w:r>
      <w:sdt>
        <w:sdtPr>
          <w:rPr>
            <w:rFonts w:ascii="Arial" w:hAnsi="Arial" w:cs="Arial"/>
            <w:color w:val="000000" w:themeColor="text1"/>
          </w:rPr>
          <w:id w:val="-2141409982"/>
          <w:citation/>
        </w:sdtPr>
        <w:sdtEndPr/>
        <w:sdtContent>
          <w:r>
            <w:rPr>
              <w:rFonts w:ascii="Arial" w:hAnsi="Arial" w:cs="Arial"/>
              <w:color w:val="000000" w:themeColor="text1"/>
            </w:rPr>
            <w:fldChar w:fldCharType="begin"/>
          </w:r>
          <w:r>
            <w:rPr>
              <w:rFonts w:ascii="Arial" w:hAnsi="Arial" w:cs="Arial"/>
              <w:color w:val="000000" w:themeColor="text1"/>
            </w:rPr>
            <w:instrText xml:space="preserve">CITATION JrJ83 \p 158 \l 2057 </w:instrText>
          </w:r>
          <w:r>
            <w:rPr>
              <w:rFonts w:ascii="Arial" w:hAnsi="Arial" w:cs="Arial"/>
              <w:color w:val="000000" w:themeColor="text1"/>
            </w:rPr>
            <w:fldChar w:fldCharType="separate"/>
          </w:r>
          <w:r w:rsidR="00FE0FF2" w:rsidRPr="00FE0FF2">
            <w:rPr>
              <w:rFonts w:ascii="Arial" w:hAnsi="Arial" w:cs="Arial"/>
              <w:noProof/>
              <w:color w:val="000000" w:themeColor="text1"/>
            </w:rPr>
            <w:t>(Sherry Jr, 1983, p. 158)</w:t>
          </w:r>
          <w:r>
            <w:rPr>
              <w:rFonts w:ascii="Arial" w:hAnsi="Arial" w:cs="Arial"/>
              <w:color w:val="000000" w:themeColor="text1"/>
            </w:rPr>
            <w:fldChar w:fldCharType="end"/>
          </w:r>
        </w:sdtContent>
      </w:sdt>
      <w:r>
        <w:rPr>
          <w:rFonts w:ascii="Arial" w:hAnsi="Arial" w:cs="Arial"/>
          <w:color w:val="000000" w:themeColor="text1"/>
        </w:rPr>
        <w:t xml:space="preserve">; not one of the exchanges in the chain of trade was direct and explicit with respect to what was to be exchanged and when the exchange was to take place (with, perhaps, the </w:t>
      </w:r>
      <w:r w:rsidR="00A72B04">
        <w:rPr>
          <w:rFonts w:ascii="Arial" w:hAnsi="Arial" w:cs="Arial"/>
          <w:color w:val="000000" w:themeColor="text1"/>
        </w:rPr>
        <w:t>exception</w:t>
      </w:r>
      <w:r>
        <w:rPr>
          <w:rFonts w:ascii="Arial" w:hAnsi="Arial" w:cs="Arial"/>
          <w:color w:val="000000" w:themeColor="text1"/>
        </w:rPr>
        <w:t xml:space="preserve"> of the first in the chain, the charitable donations raised and the labour in creating the community centre). The exchanges were, for the most part, ambiguous and seemingly spontaneous</w:t>
      </w:r>
      <w:r w:rsidR="00A72B04">
        <w:rPr>
          <w:rFonts w:ascii="Arial" w:hAnsi="Arial" w:cs="Arial"/>
          <w:color w:val="000000" w:themeColor="text1"/>
        </w:rPr>
        <w:t xml:space="preserve">. The need to reciprocate these gifts, although somewhat ambiguously felt, is seemingly no less forceful than an explicit exchange. The reciprocation </w:t>
      </w:r>
      <w:r w:rsidR="00F10355">
        <w:rPr>
          <w:rFonts w:ascii="Arial" w:hAnsi="Arial" w:cs="Arial"/>
          <w:color w:val="000000" w:themeColor="text1"/>
        </w:rPr>
        <w:t xml:space="preserve">is enforced through the pressure of avoiding ‘feeling inferior and to safeguard reputation’ </w:t>
      </w:r>
      <w:sdt>
        <w:sdtPr>
          <w:rPr>
            <w:rFonts w:ascii="Arial" w:hAnsi="Arial" w:cs="Arial"/>
            <w:color w:val="000000" w:themeColor="text1"/>
          </w:rPr>
          <w:id w:val="-244568746"/>
          <w:citation/>
        </w:sdtPr>
        <w:sdtEndPr/>
        <w:sdtContent>
          <w:r w:rsidR="00F10355">
            <w:rPr>
              <w:rFonts w:ascii="Arial" w:hAnsi="Arial" w:cs="Arial"/>
              <w:color w:val="000000" w:themeColor="text1"/>
            </w:rPr>
            <w:fldChar w:fldCharType="begin"/>
          </w:r>
          <w:r w:rsidR="00F10355">
            <w:rPr>
              <w:rFonts w:ascii="Arial" w:hAnsi="Arial" w:cs="Arial"/>
              <w:color w:val="000000" w:themeColor="text1"/>
            </w:rPr>
            <w:instrText xml:space="preserve">CITATION JrJ83 \p 159 \l 2057 </w:instrText>
          </w:r>
          <w:r w:rsidR="00F10355">
            <w:rPr>
              <w:rFonts w:ascii="Arial" w:hAnsi="Arial" w:cs="Arial"/>
              <w:color w:val="000000" w:themeColor="text1"/>
            </w:rPr>
            <w:fldChar w:fldCharType="separate"/>
          </w:r>
          <w:r w:rsidR="00FE0FF2" w:rsidRPr="00FE0FF2">
            <w:rPr>
              <w:rFonts w:ascii="Arial" w:hAnsi="Arial" w:cs="Arial"/>
              <w:noProof/>
              <w:color w:val="000000" w:themeColor="text1"/>
            </w:rPr>
            <w:t>(Sherry Jr, 1983, p. 159)</w:t>
          </w:r>
          <w:r w:rsidR="00F10355">
            <w:rPr>
              <w:rFonts w:ascii="Arial" w:hAnsi="Arial" w:cs="Arial"/>
              <w:color w:val="000000" w:themeColor="text1"/>
            </w:rPr>
            <w:fldChar w:fldCharType="end"/>
          </w:r>
        </w:sdtContent>
      </w:sdt>
      <w:r w:rsidR="00F10355">
        <w:rPr>
          <w:rFonts w:ascii="Arial" w:hAnsi="Arial" w:cs="Arial"/>
          <w:color w:val="000000" w:themeColor="text1"/>
        </w:rPr>
        <w:t xml:space="preserve">. </w:t>
      </w:r>
    </w:p>
    <w:p w14:paraId="2DDA47D5" w14:textId="77777777" w:rsidR="00157C3E" w:rsidRDefault="00157C3E" w:rsidP="00D807C2">
      <w:pPr>
        <w:spacing w:line="480" w:lineRule="auto"/>
        <w:ind w:firstLine="720"/>
        <w:jc w:val="both"/>
        <w:rPr>
          <w:rFonts w:ascii="Arial" w:hAnsi="Arial" w:cs="Arial"/>
          <w:color w:val="000000" w:themeColor="text1"/>
        </w:rPr>
      </w:pPr>
      <w:r>
        <w:rPr>
          <w:rFonts w:ascii="Arial" w:hAnsi="Arial" w:cs="Arial"/>
          <w:color w:val="000000" w:themeColor="text1"/>
        </w:rPr>
        <w:t xml:space="preserve">The stone collected by Cleto, originally intended to be carved, shaped, polished, then sold, begins its life as a commodity, a commodity to which human labour is added before it is exchanged. The labour that Cleto expends in sculpting the stone gives value to the stone </w:t>
      </w:r>
      <w:r w:rsidR="00886242">
        <w:rPr>
          <w:rFonts w:ascii="Arial" w:hAnsi="Arial" w:cs="Arial"/>
          <w:color w:val="000000" w:themeColor="text1"/>
        </w:rPr>
        <w:t>under</w:t>
      </w:r>
      <w:r w:rsidR="004965E1">
        <w:rPr>
          <w:rFonts w:ascii="Arial" w:hAnsi="Arial" w:cs="Arial"/>
          <w:color w:val="000000" w:themeColor="text1"/>
        </w:rPr>
        <w:t xml:space="preserve"> a Marxist interpretation </w:t>
      </w:r>
      <w:sdt>
        <w:sdtPr>
          <w:rPr>
            <w:rFonts w:ascii="Arial" w:hAnsi="Arial" w:cs="Arial"/>
            <w:color w:val="000000" w:themeColor="text1"/>
          </w:rPr>
          <w:id w:val="-1686283342"/>
          <w:citation/>
        </w:sdtPr>
        <w:sdtEndPr/>
        <w:sdtContent>
          <w:r w:rsidR="00886242">
            <w:rPr>
              <w:rFonts w:ascii="Arial" w:hAnsi="Arial" w:cs="Arial"/>
              <w:color w:val="000000" w:themeColor="text1"/>
            </w:rPr>
            <w:fldChar w:fldCharType="begin"/>
          </w:r>
          <w:r w:rsidR="00886242">
            <w:rPr>
              <w:rFonts w:ascii="Arial" w:hAnsi="Arial" w:cs="Arial"/>
              <w:color w:val="000000" w:themeColor="text1"/>
            </w:rPr>
            <w:instrText xml:space="preserve">CITATION Mar71 \p 13-14 \l 2057 </w:instrText>
          </w:r>
          <w:r w:rsidR="00886242">
            <w:rPr>
              <w:rFonts w:ascii="Arial" w:hAnsi="Arial" w:cs="Arial"/>
              <w:color w:val="000000" w:themeColor="text1"/>
            </w:rPr>
            <w:fldChar w:fldCharType="separate"/>
          </w:r>
          <w:r w:rsidR="00FE0FF2" w:rsidRPr="00FE0FF2">
            <w:rPr>
              <w:rFonts w:ascii="Arial" w:hAnsi="Arial" w:cs="Arial"/>
              <w:noProof/>
              <w:color w:val="000000" w:themeColor="text1"/>
            </w:rPr>
            <w:t>(Marx, 1971, pp. 13-14)</w:t>
          </w:r>
          <w:r w:rsidR="00886242">
            <w:rPr>
              <w:rFonts w:ascii="Arial" w:hAnsi="Arial" w:cs="Arial"/>
              <w:color w:val="000000" w:themeColor="text1"/>
            </w:rPr>
            <w:fldChar w:fldCharType="end"/>
          </w:r>
        </w:sdtContent>
      </w:sdt>
      <w:r w:rsidR="00886242">
        <w:rPr>
          <w:rFonts w:ascii="Arial" w:hAnsi="Arial" w:cs="Arial"/>
          <w:color w:val="000000" w:themeColor="text1"/>
        </w:rPr>
        <w:t xml:space="preserve">. </w:t>
      </w:r>
      <w:r w:rsidR="00A357D6">
        <w:rPr>
          <w:rFonts w:ascii="Arial" w:hAnsi="Arial" w:cs="Arial"/>
          <w:color w:val="000000" w:themeColor="text1"/>
        </w:rPr>
        <w:t xml:space="preserve">The value, however, is quite different from the exchange value that it would have if the stone were to be sold as a gift, the value, instead, comes from it being ‘embedded…in the flow of social relations’ </w:t>
      </w:r>
      <w:sdt>
        <w:sdtPr>
          <w:rPr>
            <w:rFonts w:ascii="Arial" w:hAnsi="Arial" w:cs="Arial"/>
            <w:color w:val="000000" w:themeColor="text1"/>
          </w:rPr>
          <w:id w:val="-328602857"/>
          <w:citation/>
        </w:sdtPr>
        <w:sdtEndPr/>
        <w:sdtContent>
          <w:r w:rsidR="00A357D6">
            <w:rPr>
              <w:rFonts w:ascii="Arial" w:hAnsi="Arial" w:cs="Arial"/>
              <w:color w:val="000000" w:themeColor="text1"/>
            </w:rPr>
            <w:fldChar w:fldCharType="begin"/>
          </w:r>
          <w:r w:rsidR="00A357D6">
            <w:rPr>
              <w:rFonts w:ascii="Arial" w:hAnsi="Arial" w:cs="Arial"/>
              <w:color w:val="000000" w:themeColor="text1"/>
            </w:rPr>
            <w:instrText xml:space="preserve">CITATION App11 \p 11 \l 2057 </w:instrText>
          </w:r>
          <w:r w:rsidR="00A357D6">
            <w:rPr>
              <w:rFonts w:ascii="Arial" w:hAnsi="Arial" w:cs="Arial"/>
              <w:color w:val="000000" w:themeColor="text1"/>
            </w:rPr>
            <w:fldChar w:fldCharType="separate"/>
          </w:r>
          <w:r w:rsidR="00FE0FF2" w:rsidRPr="00FE0FF2">
            <w:rPr>
              <w:rFonts w:ascii="Arial" w:hAnsi="Arial" w:cs="Arial"/>
              <w:noProof/>
              <w:color w:val="000000" w:themeColor="text1"/>
            </w:rPr>
            <w:t>(Appadurai, 2011, p. 11)</w:t>
          </w:r>
          <w:r w:rsidR="00A357D6">
            <w:rPr>
              <w:rFonts w:ascii="Arial" w:hAnsi="Arial" w:cs="Arial"/>
              <w:color w:val="000000" w:themeColor="text1"/>
            </w:rPr>
            <w:fldChar w:fldCharType="end"/>
          </w:r>
        </w:sdtContent>
      </w:sdt>
      <w:r w:rsidR="00A357D6">
        <w:rPr>
          <w:rFonts w:ascii="Arial" w:hAnsi="Arial" w:cs="Arial"/>
          <w:color w:val="000000" w:themeColor="text1"/>
        </w:rPr>
        <w:t xml:space="preserve">. It is steeped in the moral constraints of reciprocity, quite opposed to the ‘self-centred’ motives of the exchange of commodities. </w:t>
      </w:r>
      <w:r w:rsidR="00C6005F">
        <w:rPr>
          <w:rFonts w:ascii="Arial" w:hAnsi="Arial" w:cs="Arial"/>
          <w:color w:val="000000" w:themeColor="text1"/>
        </w:rPr>
        <w:t xml:space="preserve">This dichotomy, between commodity and gift, is not as solid and unmoving as it may </w:t>
      </w:r>
      <w:r w:rsidR="00C6005F">
        <w:rPr>
          <w:rFonts w:ascii="Arial" w:hAnsi="Arial" w:cs="Arial"/>
          <w:i/>
          <w:color w:val="000000" w:themeColor="text1"/>
        </w:rPr>
        <w:t xml:space="preserve">prima facie </w:t>
      </w:r>
      <w:r w:rsidR="00C6005F">
        <w:rPr>
          <w:rFonts w:ascii="Arial" w:hAnsi="Arial" w:cs="Arial"/>
          <w:color w:val="000000" w:themeColor="text1"/>
        </w:rPr>
        <w:t xml:space="preserve">seem. The stone, once carved and sold as a commodity with an exchange value, moves from the world of commodities and into </w:t>
      </w:r>
      <w:r w:rsidR="00C6005F">
        <w:rPr>
          <w:rFonts w:ascii="Arial" w:hAnsi="Arial" w:cs="Arial"/>
          <w:color w:val="000000" w:themeColor="text1"/>
        </w:rPr>
        <w:lastRenderedPageBreak/>
        <w:t xml:space="preserve">the world of gifts. Its source of value changes from the value it holds in exchange for Cleto, to the inalienable value it then possesses as a gift or souvenir </w:t>
      </w:r>
      <w:sdt>
        <w:sdtPr>
          <w:rPr>
            <w:rFonts w:ascii="Arial" w:hAnsi="Arial" w:cs="Arial"/>
            <w:color w:val="000000" w:themeColor="text1"/>
          </w:rPr>
          <w:id w:val="-967431176"/>
          <w:citation/>
        </w:sdtPr>
        <w:sdtEndPr/>
        <w:sdtContent>
          <w:r w:rsidR="00C6005F">
            <w:rPr>
              <w:rFonts w:ascii="Arial" w:hAnsi="Arial" w:cs="Arial"/>
              <w:color w:val="000000" w:themeColor="text1"/>
            </w:rPr>
            <w:fldChar w:fldCharType="begin"/>
          </w:r>
          <w:r w:rsidR="00C6005F">
            <w:rPr>
              <w:rFonts w:ascii="Arial" w:hAnsi="Arial" w:cs="Arial"/>
              <w:color w:val="000000" w:themeColor="text1"/>
            </w:rPr>
            <w:instrText xml:space="preserve">CITATION Wei85 \p 210 \l 2057 </w:instrText>
          </w:r>
          <w:r w:rsidR="00C6005F">
            <w:rPr>
              <w:rFonts w:ascii="Arial" w:hAnsi="Arial" w:cs="Arial"/>
              <w:color w:val="000000" w:themeColor="text1"/>
            </w:rPr>
            <w:fldChar w:fldCharType="separate"/>
          </w:r>
          <w:r w:rsidR="00FE0FF2" w:rsidRPr="00FE0FF2">
            <w:rPr>
              <w:rFonts w:ascii="Arial" w:hAnsi="Arial" w:cs="Arial"/>
              <w:noProof/>
              <w:color w:val="000000" w:themeColor="text1"/>
            </w:rPr>
            <w:t>(Weiner, 1985, p. 210)</w:t>
          </w:r>
          <w:r w:rsidR="00C6005F">
            <w:rPr>
              <w:rFonts w:ascii="Arial" w:hAnsi="Arial" w:cs="Arial"/>
              <w:color w:val="000000" w:themeColor="text1"/>
            </w:rPr>
            <w:fldChar w:fldCharType="end"/>
          </w:r>
        </w:sdtContent>
      </w:sdt>
      <w:r w:rsidR="00FE0FF2">
        <w:rPr>
          <w:rFonts w:ascii="Arial" w:hAnsi="Arial" w:cs="Arial"/>
          <w:color w:val="000000" w:themeColor="text1"/>
        </w:rPr>
        <w:t>.</w:t>
      </w:r>
      <w:r w:rsidR="00C6005F">
        <w:rPr>
          <w:rFonts w:ascii="Arial" w:hAnsi="Arial" w:cs="Arial"/>
          <w:color w:val="000000" w:themeColor="text1"/>
        </w:rPr>
        <w:t xml:space="preserve"> </w:t>
      </w:r>
      <w:r w:rsidR="00043B9A">
        <w:rPr>
          <w:rFonts w:ascii="Arial" w:hAnsi="Arial" w:cs="Arial"/>
          <w:color w:val="000000" w:themeColor="text1"/>
        </w:rPr>
        <w:t xml:space="preserve">The stone that the sculpture in fig. 1 and fig. 2 is carved from may have started life as intended for exchange for a cash value, but it transgressed the boundary from alienable wealth, into its inalienable wealth that it now holds, having been removed from the sphere of exchange. </w:t>
      </w:r>
    </w:p>
    <w:p w14:paraId="2A0290F8" w14:textId="77777777" w:rsidR="00043B9A" w:rsidRDefault="000D4F12" w:rsidP="00D807C2">
      <w:pPr>
        <w:spacing w:line="480" w:lineRule="auto"/>
        <w:ind w:firstLine="720"/>
        <w:jc w:val="both"/>
        <w:rPr>
          <w:rFonts w:ascii="Arial" w:hAnsi="Arial" w:cs="Arial"/>
          <w:color w:val="000000" w:themeColor="text1"/>
        </w:rPr>
      </w:pPr>
      <w:r>
        <w:rPr>
          <w:rFonts w:ascii="Arial" w:hAnsi="Arial" w:cs="Arial"/>
          <w:color w:val="000000" w:themeColor="text1"/>
        </w:rPr>
        <w:t xml:space="preserve">In examining the inalienable wealth of the stone sculpture gifted to me by Cleto, we now focus on where, exactly, this object gains its inalienable wealth. In order to do this, I will now turn to the examination of the biography of the stone sculpture. </w:t>
      </w:r>
    </w:p>
    <w:p w14:paraId="3F8044B9" w14:textId="77777777" w:rsidR="007F6665" w:rsidRDefault="000F03EE" w:rsidP="00D807C2">
      <w:pPr>
        <w:spacing w:line="480" w:lineRule="auto"/>
        <w:ind w:firstLine="720"/>
        <w:jc w:val="both"/>
        <w:rPr>
          <w:rFonts w:ascii="Arial" w:hAnsi="Arial" w:cs="Arial"/>
          <w:color w:val="000000" w:themeColor="text1"/>
        </w:rPr>
      </w:pPr>
      <w:r>
        <w:rPr>
          <w:rFonts w:ascii="Arial" w:hAnsi="Arial" w:cs="Arial"/>
          <w:color w:val="000000" w:themeColor="text1"/>
        </w:rPr>
        <w:t>Traditi</w:t>
      </w:r>
      <w:r w:rsidR="00933705">
        <w:rPr>
          <w:rFonts w:ascii="Arial" w:hAnsi="Arial" w:cs="Arial"/>
          <w:color w:val="000000" w:themeColor="text1"/>
        </w:rPr>
        <w:t>onally in some schools of philosophy, the contrast to the object is the subject</w:t>
      </w:r>
      <w:sdt>
        <w:sdtPr>
          <w:rPr>
            <w:rFonts w:ascii="Arial" w:hAnsi="Arial" w:cs="Arial"/>
            <w:color w:val="000000" w:themeColor="text1"/>
          </w:rPr>
          <w:id w:val="933091306"/>
          <w:citation/>
        </w:sdtPr>
        <w:sdtEndPr/>
        <w:sdtContent>
          <w:r w:rsidR="00933705">
            <w:rPr>
              <w:rFonts w:ascii="Arial" w:hAnsi="Arial" w:cs="Arial"/>
              <w:color w:val="000000" w:themeColor="text1"/>
            </w:rPr>
            <w:fldChar w:fldCharType="begin"/>
          </w:r>
          <w:r w:rsidR="00933705">
            <w:rPr>
              <w:rFonts w:ascii="Arial" w:hAnsi="Arial" w:cs="Arial"/>
              <w:color w:val="000000" w:themeColor="text1"/>
            </w:rPr>
            <w:instrText xml:space="preserve"> CITATION Ret17 \l 2057 </w:instrText>
          </w:r>
          <w:r w:rsidR="00933705">
            <w:rPr>
              <w:rFonts w:ascii="Arial" w:hAnsi="Arial" w:cs="Arial"/>
              <w:color w:val="000000" w:themeColor="text1"/>
            </w:rPr>
            <w:fldChar w:fldCharType="separate"/>
          </w:r>
          <w:r w:rsidR="00FE0FF2">
            <w:rPr>
              <w:rFonts w:ascii="Arial" w:hAnsi="Arial" w:cs="Arial"/>
              <w:noProof/>
              <w:color w:val="000000" w:themeColor="text1"/>
            </w:rPr>
            <w:t xml:space="preserve"> </w:t>
          </w:r>
          <w:r w:rsidR="00FE0FF2" w:rsidRPr="00FE0FF2">
            <w:rPr>
              <w:rFonts w:ascii="Arial" w:hAnsi="Arial" w:cs="Arial"/>
              <w:noProof/>
              <w:color w:val="000000" w:themeColor="text1"/>
            </w:rPr>
            <w:t>(Rettler &amp; Bailey, 2017)</w:t>
          </w:r>
          <w:r w:rsidR="00933705">
            <w:rPr>
              <w:rFonts w:ascii="Arial" w:hAnsi="Arial" w:cs="Arial"/>
              <w:color w:val="000000" w:themeColor="text1"/>
            </w:rPr>
            <w:fldChar w:fldCharType="end"/>
          </w:r>
        </w:sdtContent>
      </w:sdt>
      <w:r w:rsidR="00933705">
        <w:rPr>
          <w:rFonts w:ascii="Arial" w:hAnsi="Arial" w:cs="Arial"/>
          <w:color w:val="000000" w:themeColor="text1"/>
        </w:rPr>
        <w:t xml:space="preserve">, the subject has some sort of experience of the world, the object does not. As solid as this line may seem, the postmodern turn in Western thought has blurred this once solid line. Slavery, the treating of a person as an object to be bought, stolen, or sold, </w:t>
      </w:r>
      <w:r w:rsidR="00396B13">
        <w:rPr>
          <w:rFonts w:ascii="Arial" w:hAnsi="Arial" w:cs="Arial"/>
          <w:color w:val="000000" w:themeColor="text1"/>
        </w:rPr>
        <w:t xml:space="preserve">places the subject into the realm of the object, blurring the distinction </w:t>
      </w:r>
      <w:sdt>
        <w:sdtPr>
          <w:rPr>
            <w:rFonts w:ascii="Arial" w:hAnsi="Arial" w:cs="Arial"/>
            <w:color w:val="000000" w:themeColor="text1"/>
          </w:rPr>
          <w:id w:val="-28186673"/>
          <w:citation/>
        </w:sdtPr>
        <w:sdtEndPr/>
        <w:sdtContent>
          <w:r w:rsidR="00396B13">
            <w:rPr>
              <w:rFonts w:ascii="Arial" w:hAnsi="Arial" w:cs="Arial"/>
              <w:color w:val="000000" w:themeColor="text1"/>
            </w:rPr>
            <w:fldChar w:fldCharType="begin"/>
          </w:r>
          <w:r w:rsidR="00396B13">
            <w:rPr>
              <w:rFonts w:ascii="Arial" w:hAnsi="Arial" w:cs="Arial"/>
              <w:color w:val="000000" w:themeColor="text1"/>
            </w:rPr>
            <w:instrText xml:space="preserve"> CITATION Igo11 \l 2057 </w:instrText>
          </w:r>
          <w:r w:rsidR="00396B13">
            <w:rPr>
              <w:rFonts w:ascii="Arial" w:hAnsi="Arial" w:cs="Arial"/>
              <w:color w:val="000000" w:themeColor="text1"/>
            </w:rPr>
            <w:fldChar w:fldCharType="separate"/>
          </w:r>
          <w:r w:rsidR="00FE0FF2" w:rsidRPr="00FE0FF2">
            <w:rPr>
              <w:rFonts w:ascii="Arial" w:hAnsi="Arial" w:cs="Arial"/>
              <w:noProof/>
              <w:color w:val="000000" w:themeColor="text1"/>
            </w:rPr>
            <w:t>(Kopytoff, 2011)</w:t>
          </w:r>
          <w:r w:rsidR="00396B13">
            <w:rPr>
              <w:rFonts w:ascii="Arial" w:hAnsi="Arial" w:cs="Arial"/>
              <w:color w:val="000000" w:themeColor="text1"/>
            </w:rPr>
            <w:fldChar w:fldCharType="end"/>
          </w:r>
        </w:sdtContent>
      </w:sdt>
      <w:r w:rsidR="00396B13">
        <w:rPr>
          <w:rFonts w:ascii="Arial" w:hAnsi="Arial" w:cs="Arial"/>
          <w:color w:val="000000" w:themeColor="text1"/>
        </w:rPr>
        <w:t xml:space="preserve">. </w:t>
      </w:r>
      <w:r w:rsidR="00AA44A5">
        <w:rPr>
          <w:rFonts w:ascii="Arial" w:hAnsi="Arial" w:cs="Arial"/>
          <w:color w:val="000000" w:themeColor="text1"/>
        </w:rPr>
        <w:t xml:space="preserve">Moreover, the distinction between subject and object is blurred further by Gell </w:t>
      </w:r>
      <w:sdt>
        <w:sdtPr>
          <w:rPr>
            <w:rFonts w:ascii="Arial" w:hAnsi="Arial" w:cs="Arial"/>
            <w:color w:val="000000" w:themeColor="text1"/>
          </w:rPr>
          <w:id w:val="1722788703"/>
          <w:citation/>
        </w:sdtPr>
        <w:sdtEndPr/>
        <w:sdtContent>
          <w:r w:rsidR="00AA44A5">
            <w:rPr>
              <w:rFonts w:ascii="Arial" w:hAnsi="Arial" w:cs="Arial"/>
              <w:color w:val="000000" w:themeColor="text1"/>
            </w:rPr>
            <w:fldChar w:fldCharType="begin"/>
          </w:r>
          <w:r w:rsidR="00AA44A5">
            <w:rPr>
              <w:rFonts w:ascii="Arial" w:hAnsi="Arial" w:cs="Arial"/>
              <w:color w:val="000000" w:themeColor="text1"/>
            </w:rPr>
            <w:instrText xml:space="preserve">CITATION Gel98 \p 126-128 \n  \t  \l 2057 </w:instrText>
          </w:r>
          <w:r w:rsidR="00AA44A5">
            <w:rPr>
              <w:rFonts w:ascii="Arial" w:hAnsi="Arial" w:cs="Arial"/>
              <w:color w:val="000000" w:themeColor="text1"/>
            </w:rPr>
            <w:fldChar w:fldCharType="separate"/>
          </w:r>
          <w:r w:rsidR="00AA44A5" w:rsidRPr="00AA44A5">
            <w:rPr>
              <w:rFonts w:ascii="Arial" w:hAnsi="Arial" w:cs="Arial"/>
              <w:noProof/>
              <w:color w:val="000000" w:themeColor="text1"/>
            </w:rPr>
            <w:t>(1998, pp. 126-128)</w:t>
          </w:r>
          <w:r w:rsidR="00AA44A5">
            <w:rPr>
              <w:rFonts w:ascii="Arial" w:hAnsi="Arial" w:cs="Arial"/>
              <w:color w:val="000000" w:themeColor="text1"/>
            </w:rPr>
            <w:fldChar w:fldCharType="end"/>
          </w:r>
        </w:sdtContent>
      </w:sdt>
      <w:r w:rsidR="00AA44A5">
        <w:rPr>
          <w:rFonts w:ascii="Arial" w:hAnsi="Arial" w:cs="Arial"/>
          <w:color w:val="000000" w:themeColor="text1"/>
        </w:rPr>
        <w:t xml:space="preserve"> in his </w:t>
      </w:r>
      <w:r w:rsidR="00695E19">
        <w:rPr>
          <w:rFonts w:ascii="Arial" w:hAnsi="Arial" w:cs="Arial"/>
          <w:color w:val="000000" w:themeColor="text1"/>
        </w:rPr>
        <w:t>Wittgensteinian analysis of the worship of i</w:t>
      </w:r>
      <w:r w:rsidR="00797738">
        <w:rPr>
          <w:rFonts w:ascii="Arial" w:hAnsi="Arial" w:cs="Arial"/>
          <w:color w:val="000000" w:themeColor="text1"/>
        </w:rPr>
        <w:t xml:space="preserve">dols, and furthermore, by </w:t>
      </w:r>
      <w:r w:rsidR="00741FDF">
        <w:rPr>
          <w:rFonts w:ascii="Arial" w:hAnsi="Arial" w:cs="Arial"/>
          <w:color w:val="000000" w:themeColor="text1"/>
        </w:rPr>
        <w:t xml:space="preserve">Geary in his analysis of the circulation of medieval relics </w:t>
      </w:r>
      <w:sdt>
        <w:sdtPr>
          <w:rPr>
            <w:rFonts w:ascii="Arial" w:hAnsi="Arial" w:cs="Arial"/>
            <w:color w:val="000000" w:themeColor="text1"/>
          </w:rPr>
          <w:id w:val="-969509579"/>
          <w:citation/>
        </w:sdtPr>
        <w:sdtEndPr/>
        <w:sdtContent>
          <w:r w:rsidR="00741FDF">
            <w:rPr>
              <w:rFonts w:ascii="Arial" w:hAnsi="Arial" w:cs="Arial"/>
              <w:color w:val="000000" w:themeColor="text1"/>
            </w:rPr>
            <w:fldChar w:fldCharType="begin"/>
          </w:r>
          <w:r w:rsidR="00741FDF">
            <w:rPr>
              <w:rFonts w:ascii="Arial" w:hAnsi="Arial" w:cs="Arial"/>
              <w:color w:val="000000" w:themeColor="text1"/>
            </w:rPr>
            <w:instrText xml:space="preserve">CITATION Gea11 \p 169 \n  \t  \l 2057 </w:instrText>
          </w:r>
          <w:r w:rsidR="00741FDF">
            <w:rPr>
              <w:rFonts w:ascii="Arial" w:hAnsi="Arial" w:cs="Arial"/>
              <w:color w:val="000000" w:themeColor="text1"/>
            </w:rPr>
            <w:fldChar w:fldCharType="separate"/>
          </w:r>
          <w:r w:rsidR="00741FDF" w:rsidRPr="00741FDF">
            <w:rPr>
              <w:rFonts w:ascii="Arial" w:hAnsi="Arial" w:cs="Arial"/>
              <w:noProof/>
              <w:color w:val="000000" w:themeColor="text1"/>
            </w:rPr>
            <w:t>(2011, p. 169)</w:t>
          </w:r>
          <w:r w:rsidR="00741FDF">
            <w:rPr>
              <w:rFonts w:ascii="Arial" w:hAnsi="Arial" w:cs="Arial"/>
              <w:color w:val="000000" w:themeColor="text1"/>
            </w:rPr>
            <w:fldChar w:fldCharType="end"/>
          </w:r>
        </w:sdtContent>
      </w:sdt>
      <w:r w:rsidR="00741FDF">
        <w:rPr>
          <w:rFonts w:ascii="Arial" w:hAnsi="Arial" w:cs="Arial"/>
          <w:color w:val="000000" w:themeColor="text1"/>
        </w:rPr>
        <w:t>.</w:t>
      </w:r>
      <w:r w:rsidR="00695E19">
        <w:rPr>
          <w:rFonts w:ascii="Arial" w:hAnsi="Arial" w:cs="Arial"/>
          <w:color w:val="000000" w:themeColor="text1"/>
        </w:rPr>
        <w:t xml:space="preserve"> This path of an externalist route to ‘agency attribution’ through the obeying of social rules give the idols some sense of subjectivity; they ‘play the game’ in the Wittgensteinian sense, it is a language game, with the language represented in the following of the social rules. </w:t>
      </w:r>
    </w:p>
    <w:p w14:paraId="36D943C0" w14:textId="77777777" w:rsidR="00695E19" w:rsidRDefault="00695E19" w:rsidP="00D807C2">
      <w:pPr>
        <w:spacing w:line="480" w:lineRule="auto"/>
        <w:ind w:firstLine="720"/>
        <w:jc w:val="both"/>
        <w:rPr>
          <w:rFonts w:ascii="Arial" w:hAnsi="Arial" w:cs="Arial"/>
          <w:color w:val="000000" w:themeColor="text1"/>
        </w:rPr>
      </w:pPr>
      <w:r>
        <w:rPr>
          <w:rFonts w:ascii="Arial" w:hAnsi="Arial" w:cs="Arial"/>
          <w:color w:val="000000" w:themeColor="text1"/>
        </w:rPr>
        <w:t>The stone sculpture gifted to me by Cleto can be seen along the same sort of lines as the idols under discussion by Gell. It certainly has some sort of agency, particularly ov</w:t>
      </w:r>
      <w:r w:rsidR="00301D76">
        <w:rPr>
          <w:rFonts w:ascii="Arial" w:hAnsi="Arial" w:cs="Arial"/>
          <w:color w:val="000000" w:themeColor="text1"/>
        </w:rPr>
        <w:t xml:space="preserve">er myself. It motivates me through its texture to remember when I created the sculpture with Cleto, the afternoon spent with him first carving then </w:t>
      </w:r>
      <w:r w:rsidR="00301D76">
        <w:rPr>
          <w:rFonts w:ascii="Arial" w:hAnsi="Arial" w:cs="Arial"/>
          <w:color w:val="000000" w:themeColor="text1"/>
        </w:rPr>
        <w:lastRenderedPageBreak/>
        <w:t xml:space="preserve">polishing the stone into the smooth texture I now feel in my hand as I hold it. The agency of the stone over my memory strengthens the bond I feel towards Cleto. </w:t>
      </w:r>
    </w:p>
    <w:p w14:paraId="4808EEB9" w14:textId="77777777" w:rsidR="00301D76" w:rsidRDefault="00301D76" w:rsidP="00D807C2">
      <w:pPr>
        <w:spacing w:line="480" w:lineRule="auto"/>
        <w:ind w:firstLine="720"/>
        <w:jc w:val="both"/>
        <w:rPr>
          <w:rFonts w:ascii="Arial" w:hAnsi="Arial" w:cs="Arial"/>
          <w:color w:val="000000" w:themeColor="text1"/>
        </w:rPr>
      </w:pPr>
      <w:r>
        <w:rPr>
          <w:rFonts w:ascii="Arial" w:hAnsi="Arial" w:cs="Arial"/>
          <w:color w:val="000000" w:themeColor="text1"/>
        </w:rPr>
        <w:t xml:space="preserve">In following the life cycle of the stone sculpture, I might hope to, as Kopytoff puts it, ‘make salient what might otherwise remain obscure’ </w:t>
      </w:r>
      <w:sdt>
        <w:sdtPr>
          <w:rPr>
            <w:rFonts w:ascii="Arial" w:hAnsi="Arial" w:cs="Arial"/>
            <w:color w:val="000000" w:themeColor="text1"/>
          </w:rPr>
          <w:id w:val="-1101880095"/>
          <w:citation/>
        </w:sdtPr>
        <w:sdtEndPr/>
        <w:sdtContent>
          <w:r>
            <w:rPr>
              <w:rFonts w:ascii="Arial" w:hAnsi="Arial" w:cs="Arial"/>
              <w:color w:val="000000" w:themeColor="text1"/>
            </w:rPr>
            <w:fldChar w:fldCharType="begin"/>
          </w:r>
          <w:r>
            <w:rPr>
              <w:rFonts w:ascii="Arial" w:hAnsi="Arial" w:cs="Arial"/>
              <w:color w:val="000000" w:themeColor="text1"/>
            </w:rPr>
            <w:instrText xml:space="preserve">CITATION Igo11 \p 67 \n  \t  \l 2057 </w:instrText>
          </w:r>
          <w:r>
            <w:rPr>
              <w:rFonts w:ascii="Arial" w:hAnsi="Arial" w:cs="Arial"/>
              <w:color w:val="000000" w:themeColor="text1"/>
            </w:rPr>
            <w:fldChar w:fldCharType="separate"/>
          </w:r>
          <w:r w:rsidRPr="00301D76">
            <w:rPr>
              <w:rFonts w:ascii="Arial" w:hAnsi="Arial" w:cs="Arial"/>
              <w:noProof/>
              <w:color w:val="000000" w:themeColor="text1"/>
            </w:rPr>
            <w:t>(2011, p. 67)</w:t>
          </w:r>
          <w:r>
            <w:rPr>
              <w:rFonts w:ascii="Arial" w:hAnsi="Arial" w:cs="Arial"/>
              <w:color w:val="000000" w:themeColor="text1"/>
            </w:rPr>
            <w:fldChar w:fldCharType="end"/>
          </w:r>
        </w:sdtContent>
      </w:sdt>
      <w:r>
        <w:rPr>
          <w:rFonts w:ascii="Arial" w:hAnsi="Arial" w:cs="Arial"/>
          <w:color w:val="000000" w:themeColor="text1"/>
        </w:rPr>
        <w:t xml:space="preserve">. </w:t>
      </w:r>
      <w:r w:rsidR="00741FDF">
        <w:rPr>
          <w:rFonts w:ascii="Arial" w:hAnsi="Arial" w:cs="Arial"/>
          <w:color w:val="000000" w:themeColor="text1"/>
        </w:rPr>
        <w:t>The stone that the sculpture is carved from is collected by Cleto on his travels. He collects stones that speak to him with their shape, the form that they take in their pre-carved condition dictate what Cleto sculpts; he merely releases the inner form from the stone. In this way, the stone has some sort of agency over Cleto, rather than Cleto having full agency over the stone. Cleto, having collected the commodity of stone, further adds exchange value to the commodity</w:t>
      </w:r>
      <w:r w:rsidR="00B214A5">
        <w:rPr>
          <w:rFonts w:ascii="Arial" w:hAnsi="Arial" w:cs="Arial"/>
          <w:color w:val="000000" w:themeColor="text1"/>
        </w:rPr>
        <w:t xml:space="preserve"> by adding his labour once more; the carving, shaping, and polishing of the stone in order to release the form held within extends the personhood of Cleto, so that part of him and part of his culture and place enter into the stone, ‘</w:t>
      </w:r>
      <w:r w:rsidR="00B214A5" w:rsidRPr="00B214A5">
        <w:rPr>
          <w:rFonts w:ascii="Arial" w:hAnsi="Arial" w:cs="Arial"/>
          <w:color w:val="000000" w:themeColor="text1"/>
        </w:rPr>
        <w:t>totalizing his biography, his labour, his social milieu, in the form of an object</w:t>
      </w:r>
      <w:r w:rsidR="00B214A5">
        <w:rPr>
          <w:rFonts w:ascii="Arial" w:hAnsi="Arial" w:cs="Arial"/>
          <w:color w:val="000000" w:themeColor="text1"/>
        </w:rPr>
        <w:t xml:space="preserve">’ </w:t>
      </w:r>
      <w:sdt>
        <w:sdtPr>
          <w:rPr>
            <w:rFonts w:ascii="Arial" w:hAnsi="Arial" w:cs="Arial"/>
            <w:color w:val="000000" w:themeColor="text1"/>
          </w:rPr>
          <w:id w:val="396793490"/>
          <w:citation/>
        </w:sdtPr>
        <w:sdtEndPr/>
        <w:sdtContent>
          <w:r w:rsidR="00B214A5">
            <w:rPr>
              <w:rFonts w:ascii="Arial" w:hAnsi="Arial" w:cs="Arial"/>
              <w:color w:val="000000" w:themeColor="text1"/>
            </w:rPr>
            <w:fldChar w:fldCharType="begin"/>
          </w:r>
          <w:r w:rsidR="00B214A5">
            <w:rPr>
              <w:rFonts w:ascii="Arial" w:hAnsi="Arial" w:cs="Arial"/>
              <w:color w:val="000000" w:themeColor="text1"/>
            </w:rPr>
            <w:instrText xml:space="preserve"> CITATION Gel11 \l 2057 </w:instrText>
          </w:r>
          <w:r w:rsidR="00B214A5">
            <w:rPr>
              <w:rFonts w:ascii="Arial" w:hAnsi="Arial" w:cs="Arial"/>
              <w:color w:val="000000" w:themeColor="text1"/>
            </w:rPr>
            <w:fldChar w:fldCharType="separate"/>
          </w:r>
          <w:r w:rsidR="00B214A5" w:rsidRPr="00B214A5">
            <w:rPr>
              <w:rFonts w:ascii="Arial" w:hAnsi="Arial" w:cs="Arial"/>
              <w:noProof/>
              <w:color w:val="000000" w:themeColor="text1"/>
            </w:rPr>
            <w:t>(Gell, 2011)</w:t>
          </w:r>
          <w:r w:rsidR="00B214A5">
            <w:rPr>
              <w:rFonts w:ascii="Arial" w:hAnsi="Arial" w:cs="Arial"/>
              <w:color w:val="000000" w:themeColor="text1"/>
            </w:rPr>
            <w:fldChar w:fldCharType="end"/>
          </w:r>
        </w:sdtContent>
      </w:sdt>
      <w:r w:rsidR="00B214A5">
        <w:rPr>
          <w:rFonts w:ascii="Arial" w:hAnsi="Arial" w:cs="Arial"/>
          <w:color w:val="000000" w:themeColor="text1"/>
        </w:rPr>
        <w:t>.</w:t>
      </w:r>
    </w:p>
    <w:p w14:paraId="19BAFE1C" w14:textId="77777777" w:rsidR="00B214A5" w:rsidRPr="00C6005F" w:rsidRDefault="00B214A5" w:rsidP="006E522C">
      <w:pPr>
        <w:spacing w:line="480" w:lineRule="auto"/>
        <w:ind w:firstLine="720"/>
        <w:jc w:val="both"/>
        <w:rPr>
          <w:rFonts w:ascii="Arial" w:hAnsi="Arial" w:cs="Arial"/>
          <w:color w:val="000000" w:themeColor="text1"/>
        </w:rPr>
      </w:pPr>
      <w:r>
        <w:rPr>
          <w:rFonts w:ascii="Arial" w:hAnsi="Arial" w:cs="Arial"/>
          <w:color w:val="000000" w:themeColor="text1"/>
        </w:rPr>
        <w:t xml:space="preserve">The particular stone in Fig. 1 and Fig. 2 spoke to both myself and Cleto, the stone compelled us to realise its potential as a sculpture of an elephant. In our shaping of the stone, and in the gifting of the stone to myself, both </w:t>
      </w:r>
      <w:r w:rsidR="00B70BAD">
        <w:rPr>
          <w:rFonts w:ascii="Arial" w:hAnsi="Arial" w:cs="Arial"/>
          <w:color w:val="000000" w:themeColor="text1"/>
        </w:rPr>
        <w:t xml:space="preserve">Cleto and I have entwined our biographies with that of the sculpture. </w:t>
      </w:r>
      <w:r w:rsidR="00876AD5">
        <w:rPr>
          <w:rFonts w:ascii="Arial" w:hAnsi="Arial" w:cs="Arial"/>
          <w:color w:val="000000" w:themeColor="text1"/>
        </w:rPr>
        <w:t xml:space="preserve">The sculpture, in this way, contains part of both myself and Cleto, it extends both our personhood and self from our own bodies and into the object. </w:t>
      </w:r>
      <w:r w:rsidR="00192E19">
        <w:rPr>
          <w:rFonts w:ascii="Arial" w:hAnsi="Arial" w:cs="Arial"/>
          <w:color w:val="000000" w:themeColor="text1"/>
        </w:rPr>
        <w:t xml:space="preserve">The sculpture, in being gifted to me, allows me to take part of Cleto home to Wales with me, and to continue our bond even though </w:t>
      </w:r>
      <w:r w:rsidR="00D1780A">
        <w:rPr>
          <w:rFonts w:ascii="Arial" w:hAnsi="Arial" w:cs="Arial"/>
          <w:color w:val="000000" w:themeColor="text1"/>
        </w:rPr>
        <w:t xml:space="preserve">the geographical distance between us is vastly increased. Economically, the stone sculpture has passed through the stage of its life where it is considered as a commodity, with alienable wealth, to being removed from the circle of commodity trade. This part of the </w:t>
      </w:r>
      <w:r w:rsidR="00D1780A">
        <w:rPr>
          <w:rFonts w:ascii="Arial" w:hAnsi="Arial" w:cs="Arial"/>
          <w:color w:val="000000" w:themeColor="text1"/>
        </w:rPr>
        <w:lastRenderedPageBreak/>
        <w:t xml:space="preserve">stones biography then adds to its inalienable wealth, and the biography of its creation and exchange further reinforces its value in this context. </w:t>
      </w:r>
    </w:p>
    <w:p w14:paraId="35B335EA" w14:textId="77777777" w:rsidR="006E522C" w:rsidRDefault="006E522C" w:rsidP="006E522C">
      <w:pPr>
        <w:spacing w:line="480" w:lineRule="auto"/>
        <w:jc w:val="both"/>
        <w:rPr>
          <w:rFonts w:ascii="Arial" w:hAnsi="Arial" w:cs="Arial"/>
          <w:color w:val="000000" w:themeColor="text1"/>
        </w:rPr>
      </w:pPr>
      <w:r>
        <w:rPr>
          <w:rFonts w:ascii="Arial" w:hAnsi="Arial" w:cs="Arial"/>
          <w:color w:val="000000" w:themeColor="text1"/>
        </w:rPr>
        <w:tab/>
        <w:t xml:space="preserve">The stone sculpture presented in Fig. 1 and Fig. 2 offers fruitful grounds for an anthropological analysis. In conclusion, it occupies an ambiguous grey area, the area between what we class as a commodity, and what we class as beyond the scope of the category of the commodity. It’s value changes along with its significance within the social life that it occupies; moreover, its social life, its story, creates and maintains its inalienable wealth, enabling it to transgress the boundary from its trade value to its value as an object that elicits agency to the person who possesses it and retains it because of its inalienable wealth to them, in this case, myself. </w:t>
      </w:r>
    </w:p>
    <w:p w14:paraId="37281F42" w14:textId="77777777" w:rsidR="006E522C" w:rsidRDefault="006E522C">
      <w:pPr>
        <w:rPr>
          <w:rFonts w:ascii="Arial" w:hAnsi="Arial" w:cs="Arial"/>
          <w:color w:val="000000" w:themeColor="text1"/>
        </w:rPr>
      </w:pPr>
      <w:r>
        <w:rPr>
          <w:rFonts w:ascii="Arial" w:hAnsi="Arial" w:cs="Arial"/>
          <w:color w:val="000000" w:themeColor="text1"/>
        </w:rPr>
        <w:br w:type="page"/>
      </w:r>
    </w:p>
    <w:sdt>
      <w:sdtPr>
        <w:rPr>
          <w:rFonts w:asciiTheme="minorHAnsi" w:eastAsiaTheme="minorHAnsi" w:hAnsiTheme="minorHAnsi" w:cstheme="minorBidi"/>
          <w:b w:val="0"/>
          <w:bCs w:val="0"/>
          <w:color w:val="auto"/>
          <w:sz w:val="24"/>
          <w:szCs w:val="24"/>
          <w:lang w:val="en-GB" w:bidi="ar-SA"/>
        </w:rPr>
        <w:id w:val="-1934970846"/>
        <w:docPartObj>
          <w:docPartGallery w:val="Bibliographies"/>
          <w:docPartUnique/>
        </w:docPartObj>
      </w:sdtPr>
      <w:sdtEndPr/>
      <w:sdtContent>
        <w:p w14:paraId="19440B3C" w14:textId="77777777" w:rsidR="006E522C" w:rsidRDefault="006E522C">
          <w:pPr>
            <w:pStyle w:val="Heading1"/>
          </w:pPr>
          <w:r>
            <w:t>Works Cited</w:t>
          </w:r>
        </w:p>
        <w:p w14:paraId="626FB19F" w14:textId="77777777" w:rsidR="006E522C" w:rsidRDefault="006E522C" w:rsidP="006E522C">
          <w:pPr>
            <w:pStyle w:val="Bibliography"/>
            <w:rPr>
              <w:noProof/>
              <w:lang w:val="en-US"/>
            </w:rPr>
          </w:pPr>
          <w:r>
            <w:fldChar w:fldCharType="begin"/>
          </w:r>
          <w:r>
            <w:instrText xml:space="preserve"> BIBLIOGRAPHY </w:instrText>
          </w:r>
          <w:r>
            <w:fldChar w:fldCharType="separate"/>
          </w:r>
          <w:r>
            <w:rPr>
              <w:noProof/>
              <w:lang w:val="en-US"/>
            </w:rPr>
            <w:t xml:space="preserve">Appadurai, A., 2011. Introduction: commodities and the politics of value. In: A. Appadurai, ed. </w:t>
          </w:r>
          <w:r>
            <w:rPr>
              <w:i/>
              <w:iCs/>
              <w:noProof/>
              <w:lang w:val="en-US"/>
            </w:rPr>
            <w:t xml:space="preserve">The Social Life of Things, Commodities in Cultural Perspective. </w:t>
          </w:r>
          <w:r>
            <w:rPr>
              <w:noProof/>
              <w:lang w:val="en-US"/>
            </w:rPr>
            <w:t>Cambridge: Cambridge University Press, pp. 3-63.</w:t>
          </w:r>
        </w:p>
        <w:p w14:paraId="71FDFCC5" w14:textId="77777777" w:rsidR="006E522C" w:rsidRPr="006E522C" w:rsidRDefault="006E522C" w:rsidP="006E522C">
          <w:pPr>
            <w:rPr>
              <w:lang w:val="en-US"/>
            </w:rPr>
          </w:pPr>
        </w:p>
        <w:p w14:paraId="37D713DE" w14:textId="77777777" w:rsidR="006E522C" w:rsidRDefault="006E522C" w:rsidP="006E522C">
          <w:pPr>
            <w:pStyle w:val="Bibliography"/>
            <w:rPr>
              <w:noProof/>
              <w:lang w:val="en-US"/>
            </w:rPr>
          </w:pPr>
          <w:r>
            <w:rPr>
              <w:noProof/>
              <w:lang w:val="en-US"/>
            </w:rPr>
            <w:t xml:space="preserve">Evans, R. &amp; Cleto, 2017. </w:t>
          </w:r>
          <w:r>
            <w:rPr>
              <w:i/>
              <w:iCs/>
              <w:noProof/>
              <w:lang w:val="en-US"/>
            </w:rPr>
            <w:t xml:space="preserve">Elephant Stone Sculpture. </w:t>
          </w:r>
          <w:r>
            <w:rPr>
              <w:noProof/>
              <w:lang w:val="en-US"/>
            </w:rPr>
            <w:t>Chinamhora: s.n.</w:t>
          </w:r>
        </w:p>
        <w:p w14:paraId="512200B1" w14:textId="77777777" w:rsidR="006E522C" w:rsidRPr="006E522C" w:rsidRDefault="006E522C" w:rsidP="006E522C">
          <w:pPr>
            <w:rPr>
              <w:lang w:val="en-US"/>
            </w:rPr>
          </w:pPr>
        </w:p>
        <w:p w14:paraId="2081665C" w14:textId="77777777" w:rsidR="006E522C" w:rsidRDefault="006E522C" w:rsidP="006E522C">
          <w:pPr>
            <w:pStyle w:val="Bibliography"/>
            <w:rPr>
              <w:noProof/>
              <w:lang w:val="en-US"/>
            </w:rPr>
          </w:pPr>
          <w:r>
            <w:rPr>
              <w:noProof/>
              <w:lang w:val="en-US"/>
            </w:rPr>
            <w:t xml:space="preserve">Geary, P., 2011. Sacred Commodities: The Circulation of Medieval Relics. In: A. Appadurai, ed. </w:t>
          </w:r>
          <w:r>
            <w:rPr>
              <w:i/>
              <w:iCs/>
              <w:noProof/>
              <w:lang w:val="en-US"/>
            </w:rPr>
            <w:t xml:space="preserve">The Social Life of Things, Commodities in Cultural `perspective. </w:t>
          </w:r>
          <w:r>
            <w:rPr>
              <w:noProof/>
              <w:lang w:val="en-US"/>
            </w:rPr>
            <w:t>Cambridge: Cambridge University Press, pp. 169-191.</w:t>
          </w:r>
        </w:p>
        <w:p w14:paraId="1F40AC05" w14:textId="77777777" w:rsidR="006E522C" w:rsidRPr="006E522C" w:rsidRDefault="006E522C" w:rsidP="006E522C">
          <w:pPr>
            <w:rPr>
              <w:lang w:val="en-US"/>
            </w:rPr>
          </w:pPr>
        </w:p>
        <w:p w14:paraId="0F13F211" w14:textId="77777777" w:rsidR="006E522C" w:rsidRDefault="006E522C" w:rsidP="006E522C">
          <w:pPr>
            <w:pStyle w:val="Bibliography"/>
            <w:rPr>
              <w:noProof/>
              <w:lang w:val="en-US"/>
            </w:rPr>
          </w:pPr>
          <w:r>
            <w:rPr>
              <w:noProof/>
              <w:lang w:val="en-US"/>
            </w:rPr>
            <w:t xml:space="preserve">Gell, A., 1998. </w:t>
          </w:r>
          <w:r>
            <w:rPr>
              <w:i/>
              <w:iCs/>
              <w:noProof/>
              <w:lang w:val="en-US"/>
            </w:rPr>
            <w:t xml:space="preserve">Art and Agency. </w:t>
          </w:r>
          <w:r>
            <w:rPr>
              <w:noProof/>
              <w:lang w:val="en-US"/>
            </w:rPr>
            <w:t>Oxford : Clarendon Press.</w:t>
          </w:r>
        </w:p>
        <w:p w14:paraId="0B3A3D23" w14:textId="77777777" w:rsidR="006E522C" w:rsidRPr="006E522C" w:rsidRDefault="006E522C" w:rsidP="006E522C">
          <w:pPr>
            <w:rPr>
              <w:lang w:val="en-US"/>
            </w:rPr>
          </w:pPr>
        </w:p>
        <w:p w14:paraId="54481BB7" w14:textId="77777777" w:rsidR="006E522C" w:rsidRDefault="006E522C" w:rsidP="006E522C">
          <w:pPr>
            <w:pStyle w:val="Bibliography"/>
            <w:rPr>
              <w:noProof/>
              <w:lang w:val="en-US"/>
            </w:rPr>
          </w:pPr>
          <w:r>
            <w:rPr>
              <w:noProof/>
              <w:lang w:val="en-US"/>
            </w:rPr>
            <w:t xml:space="preserve">Gell, A., 2011. Newcomers to the World of Goods: the Muria Gonds. In: A. Appadurai, ed. </w:t>
          </w:r>
          <w:r>
            <w:rPr>
              <w:i/>
              <w:iCs/>
              <w:noProof/>
              <w:lang w:val="en-US"/>
            </w:rPr>
            <w:t xml:space="preserve">The Social Life of Things, Commodities in Cultural Perspective. </w:t>
          </w:r>
          <w:r>
            <w:rPr>
              <w:noProof/>
              <w:lang w:val="en-US"/>
            </w:rPr>
            <w:t>Cambridge: Cambridge University Press, pp. 110-138.</w:t>
          </w:r>
        </w:p>
        <w:p w14:paraId="6D5C1791" w14:textId="77777777" w:rsidR="006E522C" w:rsidRPr="006E522C" w:rsidRDefault="006E522C" w:rsidP="006E522C">
          <w:pPr>
            <w:rPr>
              <w:lang w:val="en-US"/>
            </w:rPr>
          </w:pPr>
        </w:p>
        <w:p w14:paraId="0100F896" w14:textId="77777777" w:rsidR="006E522C" w:rsidRDefault="006E522C" w:rsidP="006E522C">
          <w:pPr>
            <w:pStyle w:val="Bibliography"/>
            <w:rPr>
              <w:noProof/>
              <w:lang w:val="en-US"/>
            </w:rPr>
          </w:pPr>
          <w:r>
            <w:rPr>
              <w:noProof/>
              <w:lang w:val="en-US"/>
            </w:rPr>
            <w:t xml:space="preserve">Kopytoff, I., 2011. The Cultural Biography of Things: Commoditization as Process. In: A. Appadurai, ed. </w:t>
          </w:r>
          <w:r>
            <w:rPr>
              <w:i/>
              <w:iCs/>
              <w:noProof/>
              <w:lang w:val="en-US"/>
            </w:rPr>
            <w:t xml:space="preserve">The Social Life of Things, Commodities in Cultural Perspective. </w:t>
          </w:r>
          <w:r>
            <w:rPr>
              <w:noProof/>
              <w:lang w:val="en-US"/>
            </w:rPr>
            <w:t>Cambridge: Cambridge University Press, pp. 64-91.</w:t>
          </w:r>
        </w:p>
        <w:p w14:paraId="1D4D3CFB" w14:textId="77777777" w:rsidR="006E522C" w:rsidRPr="006E522C" w:rsidRDefault="006E522C" w:rsidP="006E522C">
          <w:pPr>
            <w:rPr>
              <w:lang w:val="en-US"/>
            </w:rPr>
          </w:pPr>
        </w:p>
        <w:p w14:paraId="37291C49" w14:textId="77777777" w:rsidR="006E522C" w:rsidRDefault="006E522C" w:rsidP="006E522C">
          <w:pPr>
            <w:pStyle w:val="Bibliography"/>
            <w:rPr>
              <w:noProof/>
              <w:u w:val="single"/>
              <w:lang w:val="en-US"/>
            </w:rPr>
          </w:pPr>
          <w:r>
            <w:rPr>
              <w:noProof/>
              <w:lang w:val="en-US"/>
            </w:rPr>
            <w:t xml:space="preserve">Love Zimbabwe, n.d. </w:t>
          </w:r>
          <w:r>
            <w:rPr>
              <w:i/>
              <w:iCs/>
              <w:noProof/>
              <w:lang w:val="en-US"/>
            </w:rPr>
            <w:t xml:space="preserve">Love Zimbabwe Home Page. </w:t>
          </w:r>
          <w:r>
            <w:rPr>
              <w:noProof/>
              <w:lang w:val="en-US"/>
            </w:rPr>
            <w:t xml:space="preserve">[Online] </w:t>
          </w:r>
          <w:r>
            <w:rPr>
              <w:noProof/>
              <w:lang w:val="en-US"/>
            </w:rPr>
            <w:br/>
            <w:t xml:space="preserve">Available at: </w:t>
          </w:r>
          <w:r>
            <w:rPr>
              <w:noProof/>
              <w:u w:val="single"/>
              <w:lang w:val="en-US"/>
            </w:rPr>
            <w:t>http://lovezimbabwe.org/</w:t>
          </w:r>
        </w:p>
        <w:p w14:paraId="3F2EFD37" w14:textId="77777777" w:rsidR="006E522C" w:rsidRPr="006E522C" w:rsidRDefault="006E522C" w:rsidP="006E522C">
          <w:pPr>
            <w:rPr>
              <w:lang w:val="en-US"/>
            </w:rPr>
          </w:pPr>
        </w:p>
        <w:p w14:paraId="08B4FD4D" w14:textId="77777777" w:rsidR="006E522C" w:rsidRDefault="006E522C" w:rsidP="006E522C">
          <w:pPr>
            <w:pStyle w:val="Bibliography"/>
            <w:rPr>
              <w:noProof/>
              <w:lang w:val="en-US"/>
            </w:rPr>
          </w:pPr>
          <w:r>
            <w:rPr>
              <w:noProof/>
              <w:lang w:val="en-US"/>
            </w:rPr>
            <w:t xml:space="preserve">Marx, K., 1971. </w:t>
          </w:r>
          <w:r>
            <w:rPr>
              <w:i/>
              <w:iCs/>
              <w:noProof/>
              <w:lang w:val="en-US"/>
            </w:rPr>
            <w:t xml:space="preserve">Capital. </w:t>
          </w:r>
          <w:r>
            <w:rPr>
              <w:noProof/>
              <w:lang w:val="en-US"/>
            </w:rPr>
            <w:t>London: William Benton.</w:t>
          </w:r>
        </w:p>
        <w:p w14:paraId="2266300B" w14:textId="77777777" w:rsidR="006E522C" w:rsidRPr="006E522C" w:rsidRDefault="006E522C" w:rsidP="006E522C">
          <w:pPr>
            <w:rPr>
              <w:lang w:val="en-US"/>
            </w:rPr>
          </w:pPr>
        </w:p>
        <w:p w14:paraId="454DCAE5" w14:textId="77777777" w:rsidR="006E522C" w:rsidRDefault="006E522C" w:rsidP="006E522C">
          <w:pPr>
            <w:pStyle w:val="Bibliography"/>
            <w:rPr>
              <w:noProof/>
              <w:lang w:val="en-US"/>
            </w:rPr>
          </w:pPr>
          <w:r>
            <w:rPr>
              <w:noProof/>
              <w:lang w:val="en-US"/>
            </w:rPr>
            <w:t xml:space="preserve">Mauss, M., 2011. </w:t>
          </w:r>
          <w:r>
            <w:rPr>
              <w:i/>
              <w:iCs/>
              <w:noProof/>
              <w:lang w:val="en-US"/>
            </w:rPr>
            <w:t xml:space="preserve">The Gift, Forms and Functions of Exchange in Archaic Societies. </w:t>
          </w:r>
          <w:r>
            <w:rPr>
              <w:noProof/>
              <w:lang w:val="en-US"/>
            </w:rPr>
            <w:t>Glencoe, Illinois: Martino Publishing.</w:t>
          </w:r>
        </w:p>
        <w:p w14:paraId="546D962C" w14:textId="77777777" w:rsidR="006E522C" w:rsidRPr="006E522C" w:rsidRDefault="006E522C" w:rsidP="006E522C">
          <w:pPr>
            <w:rPr>
              <w:lang w:val="en-US"/>
            </w:rPr>
          </w:pPr>
        </w:p>
        <w:p w14:paraId="0B26EDCE" w14:textId="77777777" w:rsidR="006E522C" w:rsidRDefault="006E522C" w:rsidP="006E522C">
          <w:pPr>
            <w:pStyle w:val="Bibliography"/>
            <w:rPr>
              <w:noProof/>
              <w:lang w:val="en-US"/>
            </w:rPr>
          </w:pPr>
          <w:r>
            <w:rPr>
              <w:noProof/>
              <w:lang w:val="en-US"/>
            </w:rPr>
            <w:t xml:space="preserve">Rettler, B. &amp; Bailey, A., 2017. </w:t>
          </w:r>
          <w:r>
            <w:rPr>
              <w:i/>
              <w:iCs/>
              <w:noProof/>
              <w:lang w:val="en-US"/>
            </w:rPr>
            <w:t xml:space="preserve">Object. </w:t>
          </w:r>
          <w:r>
            <w:rPr>
              <w:noProof/>
              <w:lang w:val="en-US"/>
            </w:rPr>
            <w:t xml:space="preserve">[Online] </w:t>
          </w:r>
          <w:r>
            <w:rPr>
              <w:noProof/>
              <w:lang w:val="en-US"/>
            </w:rPr>
            <w:br/>
            <w:t xml:space="preserve">Available at: </w:t>
          </w:r>
          <w:r>
            <w:rPr>
              <w:noProof/>
              <w:u w:val="single"/>
              <w:lang w:val="en-US"/>
            </w:rPr>
            <w:t>https://plato.stanford.edu/archives/win2017/entries/object/</w:t>
          </w:r>
          <w:r>
            <w:rPr>
              <w:noProof/>
              <w:lang w:val="en-US"/>
            </w:rPr>
            <w:br/>
            <w:t>[Accessed 15 01 2018].</w:t>
          </w:r>
        </w:p>
        <w:p w14:paraId="6F7DA6D0" w14:textId="77777777" w:rsidR="006E522C" w:rsidRPr="006E522C" w:rsidRDefault="006E522C" w:rsidP="006E522C">
          <w:pPr>
            <w:rPr>
              <w:lang w:val="en-US"/>
            </w:rPr>
          </w:pPr>
        </w:p>
        <w:p w14:paraId="4275757E" w14:textId="77777777" w:rsidR="006E522C" w:rsidRDefault="006E522C" w:rsidP="006E522C">
          <w:pPr>
            <w:pStyle w:val="Bibliography"/>
            <w:rPr>
              <w:noProof/>
              <w:lang w:val="en-US"/>
            </w:rPr>
          </w:pPr>
          <w:r>
            <w:rPr>
              <w:noProof/>
              <w:lang w:val="en-US"/>
            </w:rPr>
            <w:t xml:space="preserve">Sherry Jr, J. F., 1983. Gift Giving in Anthropological Perspective. </w:t>
          </w:r>
          <w:r>
            <w:rPr>
              <w:i/>
              <w:iCs/>
              <w:noProof/>
              <w:lang w:val="en-US"/>
            </w:rPr>
            <w:t xml:space="preserve">The Journal of Consumer Research, </w:t>
          </w:r>
          <w:r>
            <w:rPr>
              <w:noProof/>
              <w:lang w:val="en-US"/>
            </w:rPr>
            <w:t>September, 10(2), pp. 157-168.</w:t>
          </w:r>
        </w:p>
        <w:p w14:paraId="2F294D66" w14:textId="77777777" w:rsidR="006E522C" w:rsidRPr="006E522C" w:rsidRDefault="006E522C" w:rsidP="006E522C">
          <w:pPr>
            <w:rPr>
              <w:lang w:val="en-US"/>
            </w:rPr>
          </w:pPr>
        </w:p>
        <w:p w14:paraId="5E8B07BD" w14:textId="77777777" w:rsidR="006E522C" w:rsidRDefault="006E522C" w:rsidP="006E522C">
          <w:pPr>
            <w:pStyle w:val="Bibliography"/>
            <w:rPr>
              <w:noProof/>
              <w:lang w:val="en-US"/>
            </w:rPr>
          </w:pPr>
          <w:r>
            <w:rPr>
              <w:noProof/>
              <w:lang w:val="en-US"/>
            </w:rPr>
            <w:t xml:space="preserve">Weiner, A. B., 1985. Inalieable Wealth. </w:t>
          </w:r>
          <w:r>
            <w:rPr>
              <w:i/>
              <w:iCs/>
              <w:noProof/>
              <w:lang w:val="en-US"/>
            </w:rPr>
            <w:t xml:space="preserve">American Ethnologist, </w:t>
          </w:r>
          <w:r>
            <w:rPr>
              <w:noProof/>
              <w:lang w:val="en-US"/>
            </w:rPr>
            <w:t>May, 12(2), pp. 210-227.</w:t>
          </w:r>
        </w:p>
        <w:p w14:paraId="16B4B4A8" w14:textId="77777777" w:rsidR="006E522C" w:rsidRDefault="006E522C" w:rsidP="006E522C">
          <w:r>
            <w:rPr>
              <w:b/>
              <w:bCs/>
            </w:rPr>
            <w:fldChar w:fldCharType="end"/>
          </w:r>
        </w:p>
      </w:sdtContent>
    </w:sdt>
    <w:p w14:paraId="2D834016" w14:textId="77777777" w:rsidR="001720FC" w:rsidRPr="001720FC" w:rsidRDefault="001720FC" w:rsidP="006E522C">
      <w:pPr>
        <w:spacing w:line="480" w:lineRule="auto"/>
        <w:jc w:val="both"/>
        <w:rPr>
          <w:rFonts w:ascii="Cambria" w:hAnsi="Cambria" w:cs="Arial Hebrew Scholar"/>
          <w:color w:val="FF0000"/>
        </w:rPr>
      </w:pPr>
    </w:p>
    <w:sectPr w:rsidR="001720FC" w:rsidRPr="001720FC" w:rsidSect="002A397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Hebrew Scholar">
    <w:panose1 w:val="00000000000000000000"/>
    <w:charset w:val="B1"/>
    <w:family w:val="auto"/>
    <w:pitch w:val="variable"/>
    <w:sig w:usb0="80000843" w:usb1="40000002" w:usb2="00000000" w:usb3="00000000" w:csb0="0000002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0FC"/>
    <w:rsid w:val="00043B9A"/>
    <w:rsid w:val="000B128B"/>
    <w:rsid w:val="000D4F12"/>
    <w:rsid w:val="000E7E3C"/>
    <w:rsid w:val="000F03EE"/>
    <w:rsid w:val="00105AB5"/>
    <w:rsid w:val="00154CAA"/>
    <w:rsid w:val="00157C3E"/>
    <w:rsid w:val="001720FC"/>
    <w:rsid w:val="00192E19"/>
    <w:rsid w:val="002A3972"/>
    <w:rsid w:val="00301D76"/>
    <w:rsid w:val="00396B13"/>
    <w:rsid w:val="0040486B"/>
    <w:rsid w:val="004965E1"/>
    <w:rsid w:val="004A0804"/>
    <w:rsid w:val="004E4FC8"/>
    <w:rsid w:val="005553C8"/>
    <w:rsid w:val="005C5154"/>
    <w:rsid w:val="00605D3B"/>
    <w:rsid w:val="0069456E"/>
    <w:rsid w:val="00695E19"/>
    <w:rsid w:val="006B5042"/>
    <w:rsid w:val="006E522C"/>
    <w:rsid w:val="006F06AE"/>
    <w:rsid w:val="00722116"/>
    <w:rsid w:val="00741FDF"/>
    <w:rsid w:val="00797738"/>
    <w:rsid w:val="007F6665"/>
    <w:rsid w:val="00876AD5"/>
    <w:rsid w:val="00881FBE"/>
    <w:rsid w:val="00886242"/>
    <w:rsid w:val="008F5D29"/>
    <w:rsid w:val="00926A09"/>
    <w:rsid w:val="00933705"/>
    <w:rsid w:val="00970B89"/>
    <w:rsid w:val="00A357D6"/>
    <w:rsid w:val="00A54E9C"/>
    <w:rsid w:val="00A577DD"/>
    <w:rsid w:val="00A63D15"/>
    <w:rsid w:val="00A72B04"/>
    <w:rsid w:val="00AA44A5"/>
    <w:rsid w:val="00B214A5"/>
    <w:rsid w:val="00B46D15"/>
    <w:rsid w:val="00B70BAD"/>
    <w:rsid w:val="00C6005F"/>
    <w:rsid w:val="00CA7CE1"/>
    <w:rsid w:val="00D1780A"/>
    <w:rsid w:val="00D345F0"/>
    <w:rsid w:val="00D364A1"/>
    <w:rsid w:val="00D66557"/>
    <w:rsid w:val="00D807C2"/>
    <w:rsid w:val="00DA65BA"/>
    <w:rsid w:val="00DD0A81"/>
    <w:rsid w:val="00DD3DC2"/>
    <w:rsid w:val="00F10355"/>
    <w:rsid w:val="00F17B9B"/>
    <w:rsid w:val="00F23D1A"/>
    <w:rsid w:val="00FE0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00FD5"/>
  <w14:defaultImageDpi w14:val="32767"/>
  <w15:chartTrackingRefBased/>
  <w15:docId w15:val="{615C397E-96D5-BE43-823A-B6A553057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522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22C"/>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E52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94659">
      <w:bodyDiv w:val="1"/>
      <w:marLeft w:val="0"/>
      <w:marRight w:val="0"/>
      <w:marTop w:val="0"/>
      <w:marBottom w:val="0"/>
      <w:divBdr>
        <w:top w:val="none" w:sz="0" w:space="0" w:color="auto"/>
        <w:left w:val="none" w:sz="0" w:space="0" w:color="auto"/>
        <w:bottom w:val="none" w:sz="0" w:space="0" w:color="auto"/>
        <w:right w:val="none" w:sz="0" w:space="0" w:color="auto"/>
      </w:divBdr>
    </w:div>
    <w:div w:id="24018488">
      <w:bodyDiv w:val="1"/>
      <w:marLeft w:val="0"/>
      <w:marRight w:val="0"/>
      <w:marTop w:val="0"/>
      <w:marBottom w:val="0"/>
      <w:divBdr>
        <w:top w:val="none" w:sz="0" w:space="0" w:color="auto"/>
        <w:left w:val="none" w:sz="0" w:space="0" w:color="auto"/>
        <w:bottom w:val="none" w:sz="0" w:space="0" w:color="auto"/>
        <w:right w:val="none" w:sz="0" w:space="0" w:color="auto"/>
      </w:divBdr>
    </w:div>
    <w:div w:id="36977005">
      <w:bodyDiv w:val="1"/>
      <w:marLeft w:val="0"/>
      <w:marRight w:val="0"/>
      <w:marTop w:val="0"/>
      <w:marBottom w:val="0"/>
      <w:divBdr>
        <w:top w:val="none" w:sz="0" w:space="0" w:color="auto"/>
        <w:left w:val="none" w:sz="0" w:space="0" w:color="auto"/>
        <w:bottom w:val="none" w:sz="0" w:space="0" w:color="auto"/>
        <w:right w:val="none" w:sz="0" w:space="0" w:color="auto"/>
      </w:divBdr>
    </w:div>
    <w:div w:id="37290199">
      <w:bodyDiv w:val="1"/>
      <w:marLeft w:val="0"/>
      <w:marRight w:val="0"/>
      <w:marTop w:val="0"/>
      <w:marBottom w:val="0"/>
      <w:divBdr>
        <w:top w:val="none" w:sz="0" w:space="0" w:color="auto"/>
        <w:left w:val="none" w:sz="0" w:space="0" w:color="auto"/>
        <w:bottom w:val="none" w:sz="0" w:space="0" w:color="auto"/>
        <w:right w:val="none" w:sz="0" w:space="0" w:color="auto"/>
      </w:divBdr>
    </w:div>
    <w:div w:id="52239992">
      <w:bodyDiv w:val="1"/>
      <w:marLeft w:val="0"/>
      <w:marRight w:val="0"/>
      <w:marTop w:val="0"/>
      <w:marBottom w:val="0"/>
      <w:divBdr>
        <w:top w:val="none" w:sz="0" w:space="0" w:color="auto"/>
        <w:left w:val="none" w:sz="0" w:space="0" w:color="auto"/>
        <w:bottom w:val="none" w:sz="0" w:space="0" w:color="auto"/>
        <w:right w:val="none" w:sz="0" w:space="0" w:color="auto"/>
      </w:divBdr>
    </w:div>
    <w:div w:id="76370779">
      <w:bodyDiv w:val="1"/>
      <w:marLeft w:val="0"/>
      <w:marRight w:val="0"/>
      <w:marTop w:val="0"/>
      <w:marBottom w:val="0"/>
      <w:divBdr>
        <w:top w:val="none" w:sz="0" w:space="0" w:color="auto"/>
        <w:left w:val="none" w:sz="0" w:space="0" w:color="auto"/>
        <w:bottom w:val="none" w:sz="0" w:space="0" w:color="auto"/>
        <w:right w:val="none" w:sz="0" w:space="0" w:color="auto"/>
      </w:divBdr>
    </w:div>
    <w:div w:id="93403050">
      <w:bodyDiv w:val="1"/>
      <w:marLeft w:val="0"/>
      <w:marRight w:val="0"/>
      <w:marTop w:val="0"/>
      <w:marBottom w:val="0"/>
      <w:divBdr>
        <w:top w:val="none" w:sz="0" w:space="0" w:color="auto"/>
        <w:left w:val="none" w:sz="0" w:space="0" w:color="auto"/>
        <w:bottom w:val="none" w:sz="0" w:space="0" w:color="auto"/>
        <w:right w:val="none" w:sz="0" w:space="0" w:color="auto"/>
      </w:divBdr>
    </w:div>
    <w:div w:id="127165218">
      <w:bodyDiv w:val="1"/>
      <w:marLeft w:val="0"/>
      <w:marRight w:val="0"/>
      <w:marTop w:val="0"/>
      <w:marBottom w:val="0"/>
      <w:divBdr>
        <w:top w:val="none" w:sz="0" w:space="0" w:color="auto"/>
        <w:left w:val="none" w:sz="0" w:space="0" w:color="auto"/>
        <w:bottom w:val="none" w:sz="0" w:space="0" w:color="auto"/>
        <w:right w:val="none" w:sz="0" w:space="0" w:color="auto"/>
      </w:divBdr>
    </w:div>
    <w:div w:id="145363735">
      <w:bodyDiv w:val="1"/>
      <w:marLeft w:val="0"/>
      <w:marRight w:val="0"/>
      <w:marTop w:val="0"/>
      <w:marBottom w:val="0"/>
      <w:divBdr>
        <w:top w:val="none" w:sz="0" w:space="0" w:color="auto"/>
        <w:left w:val="none" w:sz="0" w:space="0" w:color="auto"/>
        <w:bottom w:val="none" w:sz="0" w:space="0" w:color="auto"/>
        <w:right w:val="none" w:sz="0" w:space="0" w:color="auto"/>
      </w:divBdr>
    </w:div>
    <w:div w:id="185217462">
      <w:bodyDiv w:val="1"/>
      <w:marLeft w:val="0"/>
      <w:marRight w:val="0"/>
      <w:marTop w:val="0"/>
      <w:marBottom w:val="0"/>
      <w:divBdr>
        <w:top w:val="none" w:sz="0" w:space="0" w:color="auto"/>
        <w:left w:val="none" w:sz="0" w:space="0" w:color="auto"/>
        <w:bottom w:val="none" w:sz="0" w:space="0" w:color="auto"/>
        <w:right w:val="none" w:sz="0" w:space="0" w:color="auto"/>
      </w:divBdr>
    </w:div>
    <w:div w:id="222912483">
      <w:bodyDiv w:val="1"/>
      <w:marLeft w:val="0"/>
      <w:marRight w:val="0"/>
      <w:marTop w:val="0"/>
      <w:marBottom w:val="0"/>
      <w:divBdr>
        <w:top w:val="none" w:sz="0" w:space="0" w:color="auto"/>
        <w:left w:val="none" w:sz="0" w:space="0" w:color="auto"/>
        <w:bottom w:val="none" w:sz="0" w:space="0" w:color="auto"/>
        <w:right w:val="none" w:sz="0" w:space="0" w:color="auto"/>
      </w:divBdr>
    </w:div>
    <w:div w:id="316342330">
      <w:bodyDiv w:val="1"/>
      <w:marLeft w:val="0"/>
      <w:marRight w:val="0"/>
      <w:marTop w:val="0"/>
      <w:marBottom w:val="0"/>
      <w:divBdr>
        <w:top w:val="none" w:sz="0" w:space="0" w:color="auto"/>
        <w:left w:val="none" w:sz="0" w:space="0" w:color="auto"/>
        <w:bottom w:val="none" w:sz="0" w:space="0" w:color="auto"/>
        <w:right w:val="none" w:sz="0" w:space="0" w:color="auto"/>
      </w:divBdr>
    </w:div>
    <w:div w:id="383600192">
      <w:bodyDiv w:val="1"/>
      <w:marLeft w:val="0"/>
      <w:marRight w:val="0"/>
      <w:marTop w:val="0"/>
      <w:marBottom w:val="0"/>
      <w:divBdr>
        <w:top w:val="none" w:sz="0" w:space="0" w:color="auto"/>
        <w:left w:val="none" w:sz="0" w:space="0" w:color="auto"/>
        <w:bottom w:val="none" w:sz="0" w:space="0" w:color="auto"/>
        <w:right w:val="none" w:sz="0" w:space="0" w:color="auto"/>
      </w:divBdr>
    </w:div>
    <w:div w:id="418796365">
      <w:bodyDiv w:val="1"/>
      <w:marLeft w:val="0"/>
      <w:marRight w:val="0"/>
      <w:marTop w:val="0"/>
      <w:marBottom w:val="0"/>
      <w:divBdr>
        <w:top w:val="none" w:sz="0" w:space="0" w:color="auto"/>
        <w:left w:val="none" w:sz="0" w:space="0" w:color="auto"/>
        <w:bottom w:val="none" w:sz="0" w:space="0" w:color="auto"/>
        <w:right w:val="none" w:sz="0" w:space="0" w:color="auto"/>
      </w:divBdr>
    </w:div>
    <w:div w:id="434012012">
      <w:bodyDiv w:val="1"/>
      <w:marLeft w:val="0"/>
      <w:marRight w:val="0"/>
      <w:marTop w:val="0"/>
      <w:marBottom w:val="0"/>
      <w:divBdr>
        <w:top w:val="none" w:sz="0" w:space="0" w:color="auto"/>
        <w:left w:val="none" w:sz="0" w:space="0" w:color="auto"/>
        <w:bottom w:val="none" w:sz="0" w:space="0" w:color="auto"/>
        <w:right w:val="none" w:sz="0" w:space="0" w:color="auto"/>
      </w:divBdr>
    </w:div>
    <w:div w:id="498617599">
      <w:bodyDiv w:val="1"/>
      <w:marLeft w:val="0"/>
      <w:marRight w:val="0"/>
      <w:marTop w:val="0"/>
      <w:marBottom w:val="0"/>
      <w:divBdr>
        <w:top w:val="none" w:sz="0" w:space="0" w:color="auto"/>
        <w:left w:val="none" w:sz="0" w:space="0" w:color="auto"/>
        <w:bottom w:val="none" w:sz="0" w:space="0" w:color="auto"/>
        <w:right w:val="none" w:sz="0" w:space="0" w:color="auto"/>
      </w:divBdr>
    </w:div>
    <w:div w:id="501969300">
      <w:bodyDiv w:val="1"/>
      <w:marLeft w:val="0"/>
      <w:marRight w:val="0"/>
      <w:marTop w:val="0"/>
      <w:marBottom w:val="0"/>
      <w:divBdr>
        <w:top w:val="none" w:sz="0" w:space="0" w:color="auto"/>
        <w:left w:val="none" w:sz="0" w:space="0" w:color="auto"/>
        <w:bottom w:val="none" w:sz="0" w:space="0" w:color="auto"/>
        <w:right w:val="none" w:sz="0" w:space="0" w:color="auto"/>
      </w:divBdr>
    </w:div>
    <w:div w:id="547648280">
      <w:bodyDiv w:val="1"/>
      <w:marLeft w:val="0"/>
      <w:marRight w:val="0"/>
      <w:marTop w:val="0"/>
      <w:marBottom w:val="0"/>
      <w:divBdr>
        <w:top w:val="none" w:sz="0" w:space="0" w:color="auto"/>
        <w:left w:val="none" w:sz="0" w:space="0" w:color="auto"/>
        <w:bottom w:val="none" w:sz="0" w:space="0" w:color="auto"/>
        <w:right w:val="none" w:sz="0" w:space="0" w:color="auto"/>
      </w:divBdr>
    </w:div>
    <w:div w:id="558976444">
      <w:bodyDiv w:val="1"/>
      <w:marLeft w:val="0"/>
      <w:marRight w:val="0"/>
      <w:marTop w:val="0"/>
      <w:marBottom w:val="0"/>
      <w:divBdr>
        <w:top w:val="none" w:sz="0" w:space="0" w:color="auto"/>
        <w:left w:val="none" w:sz="0" w:space="0" w:color="auto"/>
        <w:bottom w:val="none" w:sz="0" w:space="0" w:color="auto"/>
        <w:right w:val="none" w:sz="0" w:space="0" w:color="auto"/>
      </w:divBdr>
    </w:div>
    <w:div w:id="578246638">
      <w:bodyDiv w:val="1"/>
      <w:marLeft w:val="0"/>
      <w:marRight w:val="0"/>
      <w:marTop w:val="0"/>
      <w:marBottom w:val="0"/>
      <w:divBdr>
        <w:top w:val="none" w:sz="0" w:space="0" w:color="auto"/>
        <w:left w:val="none" w:sz="0" w:space="0" w:color="auto"/>
        <w:bottom w:val="none" w:sz="0" w:space="0" w:color="auto"/>
        <w:right w:val="none" w:sz="0" w:space="0" w:color="auto"/>
      </w:divBdr>
    </w:div>
    <w:div w:id="597177898">
      <w:bodyDiv w:val="1"/>
      <w:marLeft w:val="0"/>
      <w:marRight w:val="0"/>
      <w:marTop w:val="0"/>
      <w:marBottom w:val="0"/>
      <w:divBdr>
        <w:top w:val="none" w:sz="0" w:space="0" w:color="auto"/>
        <w:left w:val="none" w:sz="0" w:space="0" w:color="auto"/>
        <w:bottom w:val="none" w:sz="0" w:space="0" w:color="auto"/>
        <w:right w:val="none" w:sz="0" w:space="0" w:color="auto"/>
      </w:divBdr>
    </w:div>
    <w:div w:id="623921593">
      <w:bodyDiv w:val="1"/>
      <w:marLeft w:val="0"/>
      <w:marRight w:val="0"/>
      <w:marTop w:val="0"/>
      <w:marBottom w:val="0"/>
      <w:divBdr>
        <w:top w:val="none" w:sz="0" w:space="0" w:color="auto"/>
        <w:left w:val="none" w:sz="0" w:space="0" w:color="auto"/>
        <w:bottom w:val="none" w:sz="0" w:space="0" w:color="auto"/>
        <w:right w:val="none" w:sz="0" w:space="0" w:color="auto"/>
      </w:divBdr>
    </w:div>
    <w:div w:id="636879794">
      <w:bodyDiv w:val="1"/>
      <w:marLeft w:val="0"/>
      <w:marRight w:val="0"/>
      <w:marTop w:val="0"/>
      <w:marBottom w:val="0"/>
      <w:divBdr>
        <w:top w:val="none" w:sz="0" w:space="0" w:color="auto"/>
        <w:left w:val="none" w:sz="0" w:space="0" w:color="auto"/>
        <w:bottom w:val="none" w:sz="0" w:space="0" w:color="auto"/>
        <w:right w:val="none" w:sz="0" w:space="0" w:color="auto"/>
      </w:divBdr>
    </w:div>
    <w:div w:id="650214989">
      <w:bodyDiv w:val="1"/>
      <w:marLeft w:val="0"/>
      <w:marRight w:val="0"/>
      <w:marTop w:val="0"/>
      <w:marBottom w:val="0"/>
      <w:divBdr>
        <w:top w:val="none" w:sz="0" w:space="0" w:color="auto"/>
        <w:left w:val="none" w:sz="0" w:space="0" w:color="auto"/>
        <w:bottom w:val="none" w:sz="0" w:space="0" w:color="auto"/>
        <w:right w:val="none" w:sz="0" w:space="0" w:color="auto"/>
      </w:divBdr>
    </w:div>
    <w:div w:id="704329505">
      <w:bodyDiv w:val="1"/>
      <w:marLeft w:val="0"/>
      <w:marRight w:val="0"/>
      <w:marTop w:val="0"/>
      <w:marBottom w:val="0"/>
      <w:divBdr>
        <w:top w:val="none" w:sz="0" w:space="0" w:color="auto"/>
        <w:left w:val="none" w:sz="0" w:space="0" w:color="auto"/>
        <w:bottom w:val="none" w:sz="0" w:space="0" w:color="auto"/>
        <w:right w:val="none" w:sz="0" w:space="0" w:color="auto"/>
      </w:divBdr>
    </w:div>
    <w:div w:id="750008441">
      <w:bodyDiv w:val="1"/>
      <w:marLeft w:val="0"/>
      <w:marRight w:val="0"/>
      <w:marTop w:val="0"/>
      <w:marBottom w:val="0"/>
      <w:divBdr>
        <w:top w:val="none" w:sz="0" w:space="0" w:color="auto"/>
        <w:left w:val="none" w:sz="0" w:space="0" w:color="auto"/>
        <w:bottom w:val="none" w:sz="0" w:space="0" w:color="auto"/>
        <w:right w:val="none" w:sz="0" w:space="0" w:color="auto"/>
      </w:divBdr>
    </w:div>
    <w:div w:id="759956440">
      <w:bodyDiv w:val="1"/>
      <w:marLeft w:val="0"/>
      <w:marRight w:val="0"/>
      <w:marTop w:val="0"/>
      <w:marBottom w:val="0"/>
      <w:divBdr>
        <w:top w:val="none" w:sz="0" w:space="0" w:color="auto"/>
        <w:left w:val="none" w:sz="0" w:space="0" w:color="auto"/>
        <w:bottom w:val="none" w:sz="0" w:space="0" w:color="auto"/>
        <w:right w:val="none" w:sz="0" w:space="0" w:color="auto"/>
      </w:divBdr>
    </w:div>
    <w:div w:id="918369585">
      <w:bodyDiv w:val="1"/>
      <w:marLeft w:val="0"/>
      <w:marRight w:val="0"/>
      <w:marTop w:val="0"/>
      <w:marBottom w:val="0"/>
      <w:divBdr>
        <w:top w:val="none" w:sz="0" w:space="0" w:color="auto"/>
        <w:left w:val="none" w:sz="0" w:space="0" w:color="auto"/>
        <w:bottom w:val="none" w:sz="0" w:space="0" w:color="auto"/>
        <w:right w:val="none" w:sz="0" w:space="0" w:color="auto"/>
      </w:divBdr>
    </w:div>
    <w:div w:id="921450554">
      <w:bodyDiv w:val="1"/>
      <w:marLeft w:val="0"/>
      <w:marRight w:val="0"/>
      <w:marTop w:val="0"/>
      <w:marBottom w:val="0"/>
      <w:divBdr>
        <w:top w:val="none" w:sz="0" w:space="0" w:color="auto"/>
        <w:left w:val="none" w:sz="0" w:space="0" w:color="auto"/>
        <w:bottom w:val="none" w:sz="0" w:space="0" w:color="auto"/>
        <w:right w:val="none" w:sz="0" w:space="0" w:color="auto"/>
      </w:divBdr>
    </w:div>
    <w:div w:id="922182154">
      <w:bodyDiv w:val="1"/>
      <w:marLeft w:val="0"/>
      <w:marRight w:val="0"/>
      <w:marTop w:val="0"/>
      <w:marBottom w:val="0"/>
      <w:divBdr>
        <w:top w:val="none" w:sz="0" w:space="0" w:color="auto"/>
        <w:left w:val="none" w:sz="0" w:space="0" w:color="auto"/>
        <w:bottom w:val="none" w:sz="0" w:space="0" w:color="auto"/>
        <w:right w:val="none" w:sz="0" w:space="0" w:color="auto"/>
      </w:divBdr>
    </w:div>
    <w:div w:id="954752105">
      <w:bodyDiv w:val="1"/>
      <w:marLeft w:val="0"/>
      <w:marRight w:val="0"/>
      <w:marTop w:val="0"/>
      <w:marBottom w:val="0"/>
      <w:divBdr>
        <w:top w:val="none" w:sz="0" w:space="0" w:color="auto"/>
        <w:left w:val="none" w:sz="0" w:space="0" w:color="auto"/>
        <w:bottom w:val="none" w:sz="0" w:space="0" w:color="auto"/>
        <w:right w:val="none" w:sz="0" w:space="0" w:color="auto"/>
      </w:divBdr>
    </w:div>
    <w:div w:id="977536665">
      <w:bodyDiv w:val="1"/>
      <w:marLeft w:val="0"/>
      <w:marRight w:val="0"/>
      <w:marTop w:val="0"/>
      <w:marBottom w:val="0"/>
      <w:divBdr>
        <w:top w:val="none" w:sz="0" w:space="0" w:color="auto"/>
        <w:left w:val="none" w:sz="0" w:space="0" w:color="auto"/>
        <w:bottom w:val="none" w:sz="0" w:space="0" w:color="auto"/>
        <w:right w:val="none" w:sz="0" w:space="0" w:color="auto"/>
      </w:divBdr>
    </w:div>
    <w:div w:id="982275039">
      <w:bodyDiv w:val="1"/>
      <w:marLeft w:val="0"/>
      <w:marRight w:val="0"/>
      <w:marTop w:val="0"/>
      <w:marBottom w:val="0"/>
      <w:divBdr>
        <w:top w:val="none" w:sz="0" w:space="0" w:color="auto"/>
        <w:left w:val="none" w:sz="0" w:space="0" w:color="auto"/>
        <w:bottom w:val="none" w:sz="0" w:space="0" w:color="auto"/>
        <w:right w:val="none" w:sz="0" w:space="0" w:color="auto"/>
      </w:divBdr>
    </w:div>
    <w:div w:id="997490295">
      <w:bodyDiv w:val="1"/>
      <w:marLeft w:val="0"/>
      <w:marRight w:val="0"/>
      <w:marTop w:val="0"/>
      <w:marBottom w:val="0"/>
      <w:divBdr>
        <w:top w:val="none" w:sz="0" w:space="0" w:color="auto"/>
        <w:left w:val="none" w:sz="0" w:space="0" w:color="auto"/>
        <w:bottom w:val="none" w:sz="0" w:space="0" w:color="auto"/>
        <w:right w:val="none" w:sz="0" w:space="0" w:color="auto"/>
      </w:divBdr>
    </w:div>
    <w:div w:id="1001196256">
      <w:bodyDiv w:val="1"/>
      <w:marLeft w:val="0"/>
      <w:marRight w:val="0"/>
      <w:marTop w:val="0"/>
      <w:marBottom w:val="0"/>
      <w:divBdr>
        <w:top w:val="none" w:sz="0" w:space="0" w:color="auto"/>
        <w:left w:val="none" w:sz="0" w:space="0" w:color="auto"/>
        <w:bottom w:val="none" w:sz="0" w:space="0" w:color="auto"/>
        <w:right w:val="none" w:sz="0" w:space="0" w:color="auto"/>
      </w:divBdr>
    </w:div>
    <w:div w:id="1059286836">
      <w:bodyDiv w:val="1"/>
      <w:marLeft w:val="0"/>
      <w:marRight w:val="0"/>
      <w:marTop w:val="0"/>
      <w:marBottom w:val="0"/>
      <w:divBdr>
        <w:top w:val="none" w:sz="0" w:space="0" w:color="auto"/>
        <w:left w:val="none" w:sz="0" w:space="0" w:color="auto"/>
        <w:bottom w:val="none" w:sz="0" w:space="0" w:color="auto"/>
        <w:right w:val="none" w:sz="0" w:space="0" w:color="auto"/>
      </w:divBdr>
    </w:div>
    <w:div w:id="1107894938">
      <w:bodyDiv w:val="1"/>
      <w:marLeft w:val="0"/>
      <w:marRight w:val="0"/>
      <w:marTop w:val="0"/>
      <w:marBottom w:val="0"/>
      <w:divBdr>
        <w:top w:val="none" w:sz="0" w:space="0" w:color="auto"/>
        <w:left w:val="none" w:sz="0" w:space="0" w:color="auto"/>
        <w:bottom w:val="none" w:sz="0" w:space="0" w:color="auto"/>
        <w:right w:val="none" w:sz="0" w:space="0" w:color="auto"/>
      </w:divBdr>
    </w:div>
    <w:div w:id="1193613568">
      <w:bodyDiv w:val="1"/>
      <w:marLeft w:val="0"/>
      <w:marRight w:val="0"/>
      <w:marTop w:val="0"/>
      <w:marBottom w:val="0"/>
      <w:divBdr>
        <w:top w:val="none" w:sz="0" w:space="0" w:color="auto"/>
        <w:left w:val="none" w:sz="0" w:space="0" w:color="auto"/>
        <w:bottom w:val="none" w:sz="0" w:space="0" w:color="auto"/>
        <w:right w:val="none" w:sz="0" w:space="0" w:color="auto"/>
      </w:divBdr>
    </w:div>
    <w:div w:id="1212304077">
      <w:bodyDiv w:val="1"/>
      <w:marLeft w:val="0"/>
      <w:marRight w:val="0"/>
      <w:marTop w:val="0"/>
      <w:marBottom w:val="0"/>
      <w:divBdr>
        <w:top w:val="none" w:sz="0" w:space="0" w:color="auto"/>
        <w:left w:val="none" w:sz="0" w:space="0" w:color="auto"/>
        <w:bottom w:val="none" w:sz="0" w:space="0" w:color="auto"/>
        <w:right w:val="none" w:sz="0" w:space="0" w:color="auto"/>
      </w:divBdr>
    </w:div>
    <w:div w:id="1256136555">
      <w:bodyDiv w:val="1"/>
      <w:marLeft w:val="0"/>
      <w:marRight w:val="0"/>
      <w:marTop w:val="0"/>
      <w:marBottom w:val="0"/>
      <w:divBdr>
        <w:top w:val="none" w:sz="0" w:space="0" w:color="auto"/>
        <w:left w:val="none" w:sz="0" w:space="0" w:color="auto"/>
        <w:bottom w:val="none" w:sz="0" w:space="0" w:color="auto"/>
        <w:right w:val="none" w:sz="0" w:space="0" w:color="auto"/>
      </w:divBdr>
    </w:div>
    <w:div w:id="1486357380">
      <w:bodyDiv w:val="1"/>
      <w:marLeft w:val="0"/>
      <w:marRight w:val="0"/>
      <w:marTop w:val="0"/>
      <w:marBottom w:val="0"/>
      <w:divBdr>
        <w:top w:val="none" w:sz="0" w:space="0" w:color="auto"/>
        <w:left w:val="none" w:sz="0" w:space="0" w:color="auto"/>
        <w:bottom w:val="none" w:sz="0" w:space="0" w:color="auto"/>
        <w:right w:val="none" w:sz="0" w:space="0" w:color="auto"/>
      </w:divBdr>
    </w:div>
    <w:div w:id="1506703709">
      <w:bodyDiv w:val="1"/>
      <w:marLeft w:val="0"/>
      <w:marRight w:val="0"/>
      <w:marTop w:val="0"/>
      <w:marBottom w:val="0"/>
      <w:divBdr>
        <w:top w:val="none" w:sz="0" w:space="0" w:color="auto"/>
        <w:left w:val="none" w:sz="0" w:space="0" w:color="auto"/>
        <w:bottom w:val="none" w:sz="0" w:space="0" w:color="auto"/>
        <w:right w:val="none" w:sz="0" w:space="0" w:color="auto"/>
      </w:divBdr>
    </w:div>
    <w:div w:id="1585601970">
      <w:bodyDiv w:val="1"/>
      <w:marLeft w:val="0"/>
      <w:marRight w:val="0"/>
      <w:marTop w:val="0"/>
      <w:marBottom w:val="0"/>
      <w:divBdr>
        <w:top w:val="none" w:sz="0" w:space="0" w:color="auto"/>
        <w:left w:val="none" w:sz="0" w:space="0" w:color="auto"/>
        <w:bottom w:val="none" w:sz="0" w:space="0" w:color="auto"/>
        <w:right w:val="none" w:sz="0" w:space="0" w:color="auto"/>
      </w:divBdr>
    </w:div>
    <w:div w:id="1595816498">
      <w:bodyDiv w:val="1"/>
      <w:marLeft w:val="0"/>
      <w:marRight w:val="0"/>
      <w:marTop w:val="0"/>
      <w:marBottom w:val="0"/>
      <w:divBdr>
        <w:top w:val="none" w:sz="0" w:space="0" w:color="auto"/>
        <w:left w:val="none" w:sz="0" w:space="0" w:color="auto"/>
        <w:bottom w:val="none" w:sz="0" w:space="0" w:color="auto"/>
        <w:right w:val="none" w:sz="0" w:space="0" w:color="auto"/>
      </w:divBdr>
    </w:div>
    <w:div w:id="1596936759">
      <w:bodyDiv w:val="1"/>
      <w:marLeft w:val="0"/>
      <w:marRight w:val="0"/>
      <w:marTop w:val="0"/>
      <w:marBottom w:val="0"/>
      <w:divBdr>
        <w:top w:val="none" w:sz="0" w:space="0" w:color="auto"/>
        <w:left w:val="none" w:sz="0" w:space="0" w:color="auto"/>
        <w:bottom w:val="none" w:sz="0" w:space="0" w:color="auto"/>
        <w:right w:val="none" w:sz="0" w:space="0" w:color="auto"/>
      </w:divBdr>
    </w:div>
    <w:div w:id="1611008630">
      <w:bodyDiv w:val="1"/>
      <w:marLeft w:val="0"/>
      <w:marRight w:val="0"/>
      <w:marTop w:val="0"/>
      <w:marBottom w:val="0"/>
      <w:divBdr>
        <w:top w:val="none" w:sz="0" w:space="0" w:color="auto"/>
        <w:left w:val="none" w:sz="0" w:space="0" w:color="auto"/>
        <w:bottom w:val="none" w:sz="0" w:space="0" w:color="auto"/>
        <w:right w:val="none" w:sz="0" w:space="0" w:color="auto"/>
      </w:divBdr>
    </w:div>
    <w:div w:id="1638684141">
      <w:bodyDiv w:val="1"/>
      <w:marLeft w:val="0"/>
      <w:marRight w:val="0"/>
      <w:marTop w:val="0"/>
      <w:marBottom w:val="0"/>
      <w:divBdr>
        <w:top w:val="none" w:sz="0" w:space="0" w:color="auto"/>
        <w:left w:val="none" w:sz="0" w:space="0" w:color="auto"/>
        <w:bottom w:val="none" w:sz="0" w:space="0" w:color="auto"/>
        <w:right w:val="none" w:sz="0" w:space="0" w:color="auto"/>
      </w:divBdr>
    </w:div>
    <w:div w:id="1673336962">
      <w:bodyDiv w:val="1"/>
      <w:marLeft w:val="0"/>
      <w:marRight w:val="0"/>
      <w:marTop w:val="0"/>
      <w:marBottom w:val="0"/>
      <w:divBdr>
        <w:top w:val="none" w:sz="0" w:space="0" w:color="auto"/>
        <w:left w:val="none" w:sz="0" w:space="0" w:color="auto"/>
        <w:bottom w:val="none" w:sz="0" w:space="0" w:color="auto"/>
        <w:right w:val="none" w:sz="0" w:space="0" w:color="auto"/>
      </w:divBdr>
    </w:div>
    <w:div w:id="1685940545">
      <w:bodyDiv w:val="1"/>
      <w:marLeft w:val="0"/>
      <w:marRight w:val="0"/>
      <w:marTop w:val="0"/>
      <w:marBottom w:val="0"/>
      <w:divBdr>
        <w:top w:val="none" w:sz="0" w:space="0" w:color="auto"/>
        <w:left w:val="none" w:sz="0" w:space="0" w:color="auto"/>
        <w:bottom w:val="none" w:sz="0" w:space="0" w:color="auto"/>
        <w:right w:val="none" w:sz="0" w:space="0" w:color="auto"/>
      </w:divBdr>
    </w:div>
    <w:div w:id="1689017254">
      <w:bodyDiv w:val="1"/>
      <w:marLeft w:val="0"/>
      <w:marRight w:val="0"/>
      <w:marTop w:val="0"/>
      <w:marBottom w:val="0"/>
      <w:divBdr>
        <w:top w:val="none" w:sz="0" w:space="0" w:color="auto"/>
        <w:left w:val="none" w:sz="0" w:space="0" w:color="auto"/>
        <w:bottom w:val="none" w:sz="0" w:space="0" w:color="auto"/>
        <w:right w:val="none" w:sz="0" w:space="0" w:color="auto"/>
      </w:divBdr>
    </w:div>
    <w:div w:id="1767994716">
      <w:bodyDiv w:val="1"/>
      <w:marLeft w:val="0"/>
      <w:marRight w:val="0"/>
      <w:marTop w:val="0"/>
      <w:marBottom w:val="0"/>
      <w:divBdr>
        <w:top w:val="none" w:sz="0" w:space="0" w:color="auto"/>
        <w:left w:val="none" w:sz="0" w:space="0" w:color="auto"/>
        <w:bottom w:val="none" w:sz="0" w:space="0" w:color="auto"/>
        <w:right w:val="none" w:sz="0" w:space="0" w:color="auto"/>
      </w:divBdr>
    </w:div>
    <w:div w:id="1769958552">
      <w:bodyDiv w:val="1"/>
      <w:marLeft w:val="0"/>
      <w:marRight w:val="0"/>
      <w:marTop w:val="0"/>
      <w:marBottom w:val="0"/>
      <w:divBdr>
        <w:top w:val="none" w:sz="0" w:space="0" w:color="auto"/>
        <w:left w:val="none" w:sz="0" w:space="0" w:color="auto"/>
        <w:bottom w:val="none" w:sz="0" w:space="0" w:color="auto"/>
        <w:right w:val="none" w:sz="0" w:space="0" w:color="auto"/>
      </w:divBdr>
    </w:div>
    <w:div w:id="1788623255">
      <w:bodyDiv w:val="1"/>
      <w:marLeft w:val="0"/>
      <w:marRight w:val="0"/>
      <w:marTop w:val="0"/>
      <w:marBottom w:val="0"/>
      <w:divBdr>
        <w:top w:val="none" w:sz="0" w:space="0" w:color="auto"/>
        <w:left w:val="none" w:sz="0" w:space="0" w:color="auto"/>
        <w:bottom w:val="none" w:sz="0" w:space="0" w:color="auto"/>
        <w:right w:val="none" w:sz="0" w:space="0" w:color="auto"/>
      </w:divBdr>
    </w:div>
    <w:div w:id="1804037310">
      <w:bodyDiv w:val="1"/>
      <w:marLeft w:val="0"/>
      <w:marRight w:val="0"/>
      <w:marTop w:val="0"/>
      <w:marBottom w:val="0"/>
      <w:divBdr>
        <w:top w:val="none" w:sz="0" w:space="0" w:color="auto"/>
        <w:left w:val="none" w:sz="0" w:space="0" w:color="auto"/>
        <w:bottom w:val="none" w:sz="0" w:space="0" w:color="auto"/>
        <w:right w:val="none" w:sz="0" w:space="0" w:color="auto"/>
      </w:divBdr>
    </w:div>
    <w:div w:id="1848128850">
      <w:bodyDiv w:val="1"/>
      <w:marLeft w:val="0"/>
      <w:marRight w:val="0"/>
      <w:marTop w:val="0"/>
      <w:marBottom w:val="0"/>
      <w:divBdr>
        <w:top w:val="none" w:sz="0" w:space="0" w:color="auto"/>
        <w:left w:val="none" w:sz="0" w:space="0" w:color="auto"/>
        <w:bottom w:val="none" w:sz="0" w:space="0" w:color="auto"/>
        <w:right w:val="none" w:sz="0" w:space="0" w:color="auto"/>
      </w:divBdr>
    </w:div>
    <w:div w:id="1867136300">
      <w:bodyDiv w:val="1"/>
      <w:marLeft w:val="0"/>
      <w:marRight w:val="0"/>
      <w:marTop w:val="0"/>
      <w:marBottom w:val="0"/>
      <w:divBdr>
        <w:top w:val="none" w:sz="0" w:space="0" w:color="auto"/>
        <w:left w:val="none" w:sz="0" w:space="0" w:color="auto"/>
        <w:bottom w:val="none" w:sz="0" w:space="0" w:color="auto"/>
        <w:right w:val="none" w:sz="0" w:space="0" w:color="auto"/>
      </w:divBdr>
    </w:div>
    <w:div w:id="1907061609">
      <w:bodyDiv w:val="1"/>
      <w:marLeft w:val="0"/>
      <w:marRight w:val="0"/>
      <w:marTop w:val="0"/>
      <w:marBottom w:val="0"/>
      <w:divBdr>
        <w:top w:val="none" w:sz="0" w:space="0" w:color="auto"/>
        <w:left w:val="none" w:sz="0" w:space="0" w:color="auto"/>
        <w:bottom w:val="none" w:sz="0" w:space="0" w:color="auto"/>
        <w:right w:val="none" w:sz="0" w:space="0" w:color="auto"/>
      </w:divBdr>
    </w:div>
    <w:div w:id="1931809765">
      <w:bodyDiv w:val="1"/>
      <w:marLeft w:val="0"/>
      <w:marRight w:val="0"/>
      <w:marTop w:val="0"/>
      <w:marBottom w:val="0"/>
      <w:divBdr>
        <w:top w:val="none" w:sz="0" w:space="0" w:color="auto"/>
        <w:left w:val="none" w:sz="0" w:space="0" w:color="auto"/>
        <w:bottom w:val="none" w:sz="0" w:space="0" w:color="auto"/>
        <w:right w:val="none" w:sz="0" w:space="0" w:color="auto"/>
      </w:divBdr>
    </w:div>
    <w:div w:id="210410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Lov</b:Tag>
    <b:SourceType>InternetSite</b:SourceType>
    <b:Guid>{6EDDA6E9-8922-C346-B9AD-CB123244371E}</b:Guid>
    <b:Title>Love Zimbabwe Home Page</b:Title>
    <b:Author>
      <b:Author>
        <b:Corporate>Love Zimbabwe</b:Corporate>
      </b:Author>
    </b:Author>
    <b:InternetSiteTitle>Love Zimbabwe</b:InternetSiteTitle>
    <b:URL>http://lovezimbabwe.org/</b:URL>
    <b:RefOrder>2</b:RefOrder>
  </b:Source>
  <b:Source>
    <b:Tag>Mau11</b:Tag>
    <b:SourceType>Book</b:SourceType>
    <b:Guid>{613B8FD9-7134-6D43-9132-2B94C02CF66A}</b:Guid>
    <b:Title>The Gift, Forms and Functions of Exchange in Archaic Societies</b:Title>
    <b:Year>2011</b:Year>
    <b:Author>
      <b:Author>
        <b:NameList>
          <b:Person>
            <b:Last>Mauss</b:Last>
            <b:First>Marcel</b:First>
          </b:Person>
        </b:NameList>
      </b:Author>
    </b:Author>
    <b:City>Glencoe, Illinois</b:City>
    <b:Publisher>Martino Publishing</b:Publisher>
    <b:RefOrder>4</b:RefOrder>
  </b:Source>
  <b:Source>
    <b:Tag>JrJ83</b:Tag>
    <b:SourceType>JournalArticle</b:SourceType>
    <b:Guid>{E5D8B74D-5B20-4941-923A-E9967BF346D1}</b:Guid>
    <b:Author>
      <b:Author>
        <b:NameList>
          <b:Person>
            <b:Last>Sherry Jr</b:Last>
            <b:First>John</b:First>
            <b:Middle>F.</b:Middle>
          </b:Person>
        </b:NameList>
      </b:Author>
    </b:Author>
    <b:Title>Gift Giving in Anthropological Perspective</b:Title>
    <b:City>Chicago</b:City>
    <b:Publisher>The University of Chicago Press</b:Publisher>
    <b:Year>1983</b:Year>
    <b:JournalName>The Journal of Consumer Research</b:JournalName>
    <b:Pages>157-168</b:Pages>
    <b:Month>September</b:Month>
    <b:Volume>10</b:Volume>
    <b:Issue>2</b:Issue>
    <b:RefOrder>3</b:RefOrder>
  </b:Source>
  <b:Source>
    <b:Tag>Mar71</b:Tag>
    <b:SourceType>Book</b:SourceType>
    <b:Guid>{F4EFA5AD-EEB3-5642-98A3-0FCB17CF4114}</b:Guid>
    <b:Author>
      <b:Author>
        <b:NameList>
          <b:Person>
            <b:Last>Marx</b:Last>
            <b:First>Karl</b:First>
          </b:Person>
        </b:NameList>
      </b:Author>
      <b:Editor>
        <b:NameList>
          <b:Person>
            <b:Last>Engels</b:Last>
            <b:First>Frederick</b:First>
          </b:Person>
        </b:NameList>
      </b:Editor>
    </b:Author>
    <b:Title>Capital</b:Title>
    <b:City>London</b:City>
    <b:Publisher>William Benton</b:Publisher>
    <b:Year>1971</b:Year>
    <b:Volume>1</b:Volume>
    <b:RefOrder>5</b:RefOrder>
  </b:Source>
  <b:Source>
    <b:Tag>App11</b:Tag>
    <b:SourceType>BookSection</b:SourceType>
    <b:Guid>{A1742B0C-DCCC-3645-8DF1-99EB07910982}</b:Guid>
    <b:Title>Introduction: commodities and the politics of value</b:Title>
    <b:City>Cambridge</b:City>
    <b:Publisher>Cambridge University Press</b:Publisher>
    <b:Year>2011</b:Year>
    <b:Author>
      <b:Author>
        <b:NameList>
          <b:Person>
            <b:Last>Appadurai</b:Last>
            <b:First>Arjun</b:First>
          </b:Person>
        </b:NameList>
      </b:Author>
      <b:Editor>
        <b:NameList>
          <b:Person>
            <b:Last>Appadurai</b:Last>
            <b:First>Arjun</b:First>
          </b:Person>
        </b:NameList>
      </b:Editor>
    </b:Author>
    <b:BookTitle>The Social Life of Things, Commodities in Cultural Perspective</b:BookTitle>
    <b:Pages>3-63</b:Pages>
    <b:RefOrder>6</b:RefOrder>
  </b:Source>
  <b:Source>
    <b:Tag>Wei85</b:Tag>
    <b:SourceType>JournalArticle</b:SourceType>
    <b:Guid>{4495B9C0-18AA-8F4C-BD48-8202C0D073D5}</b:Guid>
    <b:Title>Inalieable Wealth</b:Title>
    <b:Publisher>American Anthropological Association</b:Publisher>
    <b:Year>1985</b:Year>
    <b:Pages>210-227</b:Pages>
    <b:Author>
      <b:Author>
        <b:NameList>
          <b:Person>
            <b:Last>Weiner</b:Last>
            <b:First>Annete</b:First>
            <b:Middle>B.</b:Middle>
          </b:Person>
        </b:NameList>
      </b:Author>
    </b:Author>
    <b:JournalName>American Ethnologist</b:JournalName>
    <b:Month>May</b:Month>
    <b:Volume>12</b:Volume>
    <b:Issue>2</b:Issue>
    <b:RefOrder>7</b:RefOrder>
  </b:Source>
  <b:Source>
    <b:Tag>Ret17</b:Tag>
    <b:SourceType>InternetSite</b:SourceType>
    <b:Guid>{95958609-641D-164C-B9A9-8477ABC3EDB6}</b:Guid>
    <b:Title>Object</b:Title>
    <b:Year>2017</b:Year>
    <b:InternetSiteTitle>Stanford Encyclopedia of Philosophy</b:InternetSiteTitle>
    <b:URL>https://plato.stanford.edu/archives/win2017/entries/object/</b:URL>
    <b:Month>December</b:Month>
    <b:Day>21</b:Day>
    <b:Author>
      <b:Author>
        <b:NameList>
          <b:Person>
            <b:Last>Rettler</b:Last>
            <b:First>Bradley</b:First>
          </b:Person>
          <b:Person>
            <b:Last>Bailey</b:Last>
            <b:First>Andrew</b:First>
          </b:Person>
        </b:NameList>
      </b:Author>
      <b:Editor>
        <b:NameList>
          <b:Person>
            <b:Last>Zalta</b:Last>
            <b:First>Edward</b:First>
            <b:Middle>N.</b:Middle>
          </b:Person>
        </b:NameList>
      </b:Editor>
    </b:Author>
    <b:YearAccessed>2018</b:YearAccessed>
    <b:MonthAccessed>01</b:MonthAccessed>
    <b:DayAccessed>15</b:DayAccessed>
    <b:RefOrder>8</b:RefOrder>
  </b:Source>
  <b:Source>
    <b:Tag>Igo11</b:Tag>
    <b:SourceType>BookSection</b:SourceType>
    <b:Guid>{578BFF8F-7191-6A42-9CA4-8CE75A6245D6}</b:Guid>
    <b:Title>The Cultural Biography of Things: Commoditization as Process</b:Title>
    <b:Year>2011</b:Year>
    <b:Author>
      <b:Author>
        <b:NameList>
          <b:Person>
            <b:Last>Kopytoff</b:Last>
            <b:First>Igor</b:First>
          </b:Person>
        </b:NameList>
      </b:Author>
      <b:Editor>
        <b:NameList>
          <b:Person>
            <b:Last>Appadurai</b:Last>
            <b:First>Arjun</b:First>
          </b:Person>
        </b:NameList>
      </b:Editor>
    </b:Author>
    <b:BookTitle>The Social Life of Things, Commodities in Cultural Perspective</b:BookTitle>
    <b:City>Cambridge</b:City>
    <b:Publisher>Cambridge University Press</b:Publisher>
    <b:Pages>64-91</b:Pages>
    <b:RefOrder>9</b:RefOrder>
  </b:Source>
  <b:Source>
    <b:Tag>Gel98</b:Tag>
    <b:SourceType>Book</b:SourceType>
    <b:Guid>{DD75F1E4-E501-4B4B-A19C-68D67C78306A}</b:Guid>
    <b:Author>
      <b:Author>
        <b:NameList>
          <b:Person>
            <b:Last>Gell</b:Last>
            <b:First>Alfred</b:First>
          </b:Person>
        </b:NameList>
      </b:Author>
    </b:Author>
    <b:Title>Art and Agency</b:Title>
    <b:City>Oxford </b:City>
    <b:Publisher>Clarendon Press</b:Publisher>
    <b:Year>1998</b:Year>
    <b:RefOrder>10</b:RefOrder>
  </b:Source>
  <b:Source>
    <b:Tag>Gea11</b:Tag>
    <b:SourceType>BookSection</b:SourceType>
    <b:Guid>{4A32C460-C845-6340-A3B9-4F5A5B6A5748}</b:Guid>
    <b:Title>Sacred Commodities: The Circulation of Medieval Relics</b:Title>
    <b:City>Cambridge</b:City>
    <b:Publisher>Cambridge University Press</b:Publisher>
    <b:Year>2011</b:Year>
    <b:Author>
      <b:Author>
        <b:NameList>
          <b:Person>
            <b:Last>Geary</b:Last>
            <b:First>Patrick</b:First>
          </b:Person>
        </b:NameList>
      </b:Author>
      <b:Editor>
        <b:NameList>
          <b:Person>
            <b:Last>Appadurai</b:Last>
            <b:First>Arjan</b:First>
          </b:Person>
        </b:NameList>
      </b:Editor>
    </b:Author>
    <b:BookTitle>The Social Life of Things, Commodities in Cultural `perspective</b:BookTitle>
    <b:Pages>169-191</b:Pages>
    <b:RefOrder>11</b:RefOrder>
  </b:Source>
  <b:Source>
    <b:Tag>Gel11</b:Tag>
    <b:SourceType>BookSection</b:SourceType>
    <b:Guid>{A1127C43-E224-674C-9B76-0234F5C91870}</b:Guid>
    <b:Author>
      <b:Author>
        <b:NameList>
          <b:Person>
            <b:Last>Gell</b:Last>
            <b:First>Alfred</b:First>
          </b:Person>
        </b:NameList>
      </b:Author>
      <b:Editor>
        <b:NameList>
          <b:Person>
            <b:Last>Appadurai</b:Last>
            <b:First>Arjun</b:First>
          </b:Person>
        </b:NameList>
      </b:Editor>
    </b:Author>
    <b:Title>Newcomers to the World of Goods: the Muria Gonds</b:Title>
    <b:BookTitle>The Social Life of Things, Commodities in Cultural Perspective</b:BookTitle>
    <b:City>Cambridge</b:City>
    <b:Publisher>Cambridge University Press</b:Publisher>
    <b:Year>2011</b:Year>
    <b:Pages>110-138</b:Pages>
    <b:RefOrder>12</b:RefOrder>
  </b:Source>
  <b:Source>
    <b:Tag>Eva17</b:Tag>
    <b:SourceType>Art</b:SourceType>
    <b:Guid>{36675F24-0573-7746-BD65-50F87B5FC2A1}</b:Guid>
    <b:Title>Elephant Stone Sculpture</b:Title>
    <b:Year>2017</b:Year>
    <b:Month>April</b:Month>
    <b:City>Chinamhora</b:City>
    <b:CountryRegion>Zimbabwe</b:CountryRegion>
    <b:Author>
      <b:Artist>
        <b:NameList>
          <b:Person>
            <b:Last>Evans</b:Last>
            <b:First>Rachel</b:First>
          </b:Person>
          <b:Person>
            <b:Last>Cleto</b:Last>
          </b:Person>
        </b:NameList>
      </b:Artist>
      <b:Author>
        <b:NameList>
          <b:Person>
            <b:Last>Evans</b:Last>
            <b:First>Rachel</b:First>
          </b:Person>
          <b:Person>
            <b:Last>Cleto</b:Last>
          </b:Person>
        </b:NameList>
      </b:Author>
    </b:Author>
    <b:Medium>Stone sculpture</b:Medium>
    <b:RefOrder>1</b:RefOrder>
  </b:Source>
</b:Sources>
</file>

<file path=customXml/itemProps1.xml><?xml version="1.0" encoding="utf-8"?>
<ds:datastoreItem xmlns:ds="http://schemas.openxmlformats.org/officeDocument/2006/customXml" ds:itemID="{39E3CC46-D50C-5F40-B39A-2B9A60D5C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2171</Words>
  <Characters>12380</Characters>
  <Application>Microsoft Macintosh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Jones</dc:creator>
  <cp:keywords/>
  <dc:description/>
  <cp:lastModifiedBy>Rachel Evans (1602232)</cp:lastModifiedBy>
  <cp:revision>2</cp:revision>
  <dcterms:created xsi:type="dcterms:W3CDTF">2018-01-25T15:58:00Z</dcterms:created>
  <dcterms:modified xsi:type="dcterms:W3CDTF">2018-01-25T15:58:00Z</dcterms:modified>
</cp:coreProperties>
</file>