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C79A5" w14:textId="77777777" w:rsidR="00844A7A" w:rsidRDefault="00844A7A" w:rsidP="00844A7A">
      <w:pPr>
        <w:pStyle w:val="NormalWeb"/>
      </w:pPr>
      <w:r>
        <w:fldChar w:fldCharType="begin"/>
      </w:r>
      <w:r>
        <w:instrText xml:space="preserve"> INCLUDEPICTURE "/Users/dhruvshah/Library/Group Containers/UBF8T346G9.ms/WebArchiveCopyPasteTempFiles/com.microsoft.Word/Wales-TSD-1.jpg" \* MERGEFORMATINET </w:instrText>
      </w:r>
      <w:r>
        <w:fldChar w:fldCharType="separate"/>
      </w:r>
      <w:r>
        <w:rPr>
          <w:noProof/>
        </w:rPr>
        <w:drawing>
          <wp:inline distT="0" distB="0" distL="0" distR="0" wp14:anchorId="7F9C1E74" wp14:editId="735C51ED">
            <wp:extent cx="5731510" cy="2555240"/>
            <wp:effectExtent l="0" t="0" r="0" b="0"/>
            <wp:docPr id="130008002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55240"/>
                    </a:xfrm>
                    <a:prstGeom prst="rect">
                      <a:avLst/>
                    </a:prstGeom>
                    <a:noFill/>
                    <a:ln>
                      <a:noFill/>
                    </a:ln>
                  </pic:spPr>
                </pic:pic>
              </a:graphicData>
            </a:graphic>
          </wp:inline>
        </w:drawing>
      </w:r>
      <w:r>
        <w:fldChar w:fldCharType="end"/>
      </w:r>
    </w:p>
    <w:p w14:paraId="32235C0D" w14:textId="6A327BE0" w:rsidR="00844A7A" w:rsidRDefault="00844A7A" w:rsidP="00844A7A">
      <w:pPr>
        <w:pStyle w:val="NormalWeb"/>
      </w:pPr>
      <w:r>
        <w:t xml:space="preserve">Name: </w:t>
      </w:r>
      <w:proofErr w:type="spellStart"/>
      <w:r>
        <w:t>Tanishq</w:t>
      </w:r>
      <w:proofErr w:type="spellEnd"/>
      <w:r>
        <w:t xml:space="preserve"> </w:t>
      </w:r>
      <w:proofErr w:type="spellStart"/>
      <w:r>
        <w:t>badansingh</w:t>
      </w:r>
      <w:proofErr w:type="spellEnd"/>
      <w:r>
        <w:t xml:space="preserve"> Chauhan</w:t>
      </w:r>
      <w:r>
        <w:br/>
      </w:r>
      <w:r>
        <w:br/>
        <w:t>Student id: 2319358</w:t>
      </w:r>
      <w:r>
        <w:br/>
      </w:r>
      <w:r>
        <w:br/>
        <w:t xml:space="preserve">Submitted to: </w:t>
      </w:r>
      <w:r>
        <w:t xml:space="preserve"> KALAM SIR</w:t>
      </w:r>
      <w:r>
        <w:br/>
      </w:r>
      <w:r>
        <w:br/>
        <w:t xml:space="preserve">Module: </w:t>
      </w:r>
      <w:r>
        <w:t>FINANCIAL MAMNAGEMENT</w:t>
      </w:r>
      <w:r>
        <w:br/>
      </w:r>
      <w:r>
        <w:br/>
        <w:t>Module code: LCMB7023</w:t>
      </w:r>
      <w:r>
        <w:br/>
      </w:r>
      <w:r>
        <w:br/>
        <w:t xml:space="preserve">Submission date: </w:t>
      </w:r>
      <w:r>
        <w:t>21</w:t>
      </w:r>
      <w:r w:rsidRPr="00844A7A">
        <w:rPr>
          <w:vertAlign w:val="superscript"/>
        </w:rPr>
        <w:t>ST</w:t>
      </w:r>
      <w:r>
        <w:t xml:space="preserve"> </w:t>
      </w:r>
      <w:r>
        <w:t>August 2024</w:t>
      </w:r>
    </w:p>
    <w:p w14:paraId="118F1F8A" w14:textId="77777777" w:rsidR="00844A7A" w:rsidRDefault="00844A7A" w:rsidP="00844A7A">
      <w:pPr>
        <w:pStyle w:val="NormalWeb"/>
        <w:rPr>
          <w:rFonts w:ascii="-webkit-standard" w:hAnsi="-webkit-standard"/>
          <w:color w:val="000000"/>
          <w:sz w:val="27"/>
          <w:szCs w:val="27"/>
        </w:rPr>
      </w:pPr>
      <w:r>
        <w:rPr>
          <w:rFonts w:ascii="-webkit-standard" w:hAnsi="-webkit-standard"/>
          <w:color w:val="000000"/>
          <w:sz w:val="27"/>
          <w:szCs w:val="27"/>
        </w:rPr>
        <w:br/>
      </w:r>
      <w:r>
        <w:rPr>
          <w:rFonts w:ascii="-webkit-standard" w:hAnsi="-webkit-standard"/>
          <w:color w:val="000000"/>
          <w:sz w:val="27"/>
          <w:szCs w:val="27"/>
        </w:rPr>
        <w:br/>
      </w:r>
    </w:p>
    <w:p w14:paraId="3AB9A92E" w14:textId="77777777" w:rsidR="00844A7A" w:rsidRDefault="00844A7A" w:rsidP="00844A7A">
      <w:pPr>
        <w:pStyle w:val="NormalWeb"/>
        <w:rPr>
          <w:rFonts w:ascii="-webkit-standard" w:hAnsi="-webkit-standard"/>
          <w:color w:val="000000"/>
          <w:sz w:val="27"/>
          <w:szCs w:val="27"/>
        </w:rPr>
      </w:pPr>
    </w:p>
    <w:p w14:paraId="4C286BED" w14:textId="77777777" w:rsidR="00844A7A" w:rsidRDefault="00844A7A" w:rsidP="00F41FEB">
      <w:pPr>
        <w:rPr>
          <w:rFonts w:ascii="ArialMT" w:hAnsi="ArialMT"/>
          <w:sz w:val="22"/>
          <w:szCs w:val="22"/>
        </w:rPr>
      </w:pPr>
      <w:r>
        <w:rPr>
          <w:rFonts w:ascii="ArialMT" w:hAnsi="ArialMT"/>
          <w:sz w:val="22"/>
          <w:szCs w:val="22"/>
        </w:rPr>
        <w:br/>
      </w:r>
      <w:r>
        <w:rPr>
          <w:rFonts w:ascii="ArialMT" w:hAnsi="ArialMT"/>
          <w:sz w:val="22"/>
          <w:szCs w:val="22"/>
        </w:rPr>
        <w:br/>
      </w:r>
    </w:p>
    <w:p w14:paraId="20F558BE" w14:textId="77777777" w:rsidR="00844A7A" w:rsidRDefault="00844A7A" w:rsidP="00F41FEB">
      <w:pPr>
        <w:rPr>
          <w:rFonts w:ascii="ArialMT" w:hAnsi="ArialMT"/>
          <w:sz w:val="22"/>
          <w:szCs w:val="22"/>
        </w:rPr>
      </w:pPr>
    </w:p>
    <w:p w14:paraId="416D8634" w14:textId="77777777" w:rsidR="00844A7A" w:rsidRDefault="00844A7A" w:rsidP="00F41FEB">
      <w:pPr>
        <w:rPr>
          <w:rFonts w:ascii="ArialMT" w:hAnsi="ArialMT"/>
          <w:sz w:val="22"/>
          <w:szCs w:val="22"/>
        </w:rPr>
      </w:pPr>
    </w:p>
    <w:p w14:paraId="3925C800" w14:textId="77777777" w:rsidR="00844A7A" w:rsidRDefault="00844A7A" w:rsidP="00F41FEB">
      <w:pPr>
        <w:rPr>
          <w:rFonts w:ascii="ArialMT" w:hAnsi="ArialMT"/>
          <w:sz w:val="22"/>
          <w:szCs w:val="22"/>
        </w:rPr>
      </w:pPr>
    </w:p>
    <w:p w14:paraId="50C1F966" w14:textId="77777777" w:rsidR="00844A7A" w:rsidRDefault="00844A7A" w:rsidP="00F41FEB">
      <w:pPr>
        <w:rPr>
          <w:rFonts w:ascii="ArialMT" w:hAnsi="ArialMT"/>
          <w:sz w:val="22"/>
          <w:szCs w:val="22"/>
        </w:rPr>
      </w:pPr>
    </w:p>
    <w:p w14:paraId="08359F9B" w14:textId="77777777" w:rsidR="00844A7A" w:rsidRDefault="00844A7A" w:rsidP="00F41FEB">
      <w:pPr>
        <w:rPr>
          <w:rFonts w:ascii="ArialMT" w:hAnsi="ArialMT"/>
          <w:sz w:val="22"/>
          <w:szCs w:val="22"/>
        </w:rPr>
      </w:pPr>
    </w:p>
    <w:p w14:paraId="75086A84" w14:textId="77777777" w:rsidR="00844A7A" w:rsidRDefault="00844A7A" w:rsidP="00F41FEB">
      <w:pPr>
        <w:rPr>
          <w:rFonts w:ascii="ArialMT" w:hAnsi="ArialMT"/>
          <w:sz w:val="22"/>
          <w:szCs w:val="22"/>
        </w:rPr>
      </w:pPr>
    </w:p>
    <w:p w14:paraId="0468E832" w14:textId="77777777" w:rsidR="00844A7A" w:rsidRDefault="00844A7A" w:rsidP="00F41FEB">
      <w:pPr>
        <w:rPr>
          <w:rFonts w:ascii="ArialMT" w:hAnsi="ArialMT"/>
          <w:sz w:val="22"/>
          <w:szCs w:val="22"/>
        </w:rPr>
      </w:pPr>
    </w:p>
    <w:p w14:paraId="7133C816" w14:textId="77777777" w:rsidR="00844A7A" w:rsidRDefault="00844A7A" w:rsidP="00F41FEB">
      <w:pPr>
        <w:rPr>
          <w:rFonts w:ascii="ArialMT" w:hAnsi="ArialMT"/>
          <w:sz w:val="22"/>
          <w:szCs w:val="22"/>
        </w:rPr>
      </w:pPr>
    </w:p>
    <w:p w14:paraId="2C9E361C" w14:textId="77777777" w:rsidR="00844A7A" w:rsidRDefault="00844A7A" w:rsidP="00F41FEB">
      <w:pPr>
        <w:rPr>
          <w:rFonts w:ascii="ArialMT" w:hAnsi="ArialMT"/>
          <w:sz w:val="22"/>
          <w:szCs w:val="22"/>
        </w:rPr>
      </w:pPr>
    </w:p>
    <w:p w14:paraId="14FB0AD9" w14:textId="77777777" w:rsidR="00844A7A" w:rsidRDefault="00844A7A" w:rsidP="00F41FEB">
      <w:pPr>
        <w:rPr>
          <w:rFonts w:ascii="ArialMT" w:hAnsi="ArialMT"/>
          <w:sz w:val="22"/>
          <w:szCs w:val="22"/>
        </w:rPr>
      </w:pPr>
    </w:p>
    <w:p w14:paraId="76167D15" w14:textId="77777777" w:rsidR="00844A7A" w:rsidRDefault="00844A7A" w:rsidP="00F41FEB">
      <w:pPr>
        <w:rPr>
          <w:rFonts w:ascii="ArialMT" w:hAnsi="ArialMT"/>
          <w:sz w:val="22"/>
          <w:szCs w:val="22"/>
        </w:rPr>
      </w:pPr>
    </w:p>
    <w:p w14:paraId="6BE382D4" w14:textId="77777777" w:rsidR="00844A7A" w:rsidRDefault="00844A7A" w:rsidP="00F41FEB">
      <w:pPr>
        <w:rPr>
          <w:rFonts w:ascii="ArialMT" w:hAnsi="ArialMT"/>
          <w:sz w:val="22"/>
          <w:szCs w:val="22"/>
        </w:rPr>
      </w:pPr>
    </w:p>
    <w:p w14:paraId="48185133" w14:textId="77777777" w:rsidR="00844A7A" w:rsidRDefault="00844A7A" w:rsidP="00F41FEB">
      <w:pPr>
        <w:rPr>
          <w:rFonts w:ascii="ArialMT" w:hAnsi="ArialMT"/>
          <w:sz w:val="22"/>
          <w:szCs w:val="22"/>
        </w:rPr>
      </w:pPr>
    </w:p>
    <w:p w14:paraId="12481F8C" w14:textId="45DE0705" w:rsidR="00F41FEB" w:rsidRPr="00F41FEB" w:rsidRDefault="00F41FEB" w:rsidP="00F41FEB">
      <w:r>
        <w:rPr>
          <w:rFonts w:ascii="ArialMT" w:hAnsi="ArialMT"/>
          <w:sz w:val="22"/>
          <w:szCs w:val="22"/>
        </w:rPr>
        <w:t>(PART A)</w:t>
      </w:r>
      <w:r>
        <w:rPr>
          <w:rFonts w:ascii="ArialMT" w:hAnsi="ArialMT"/>
          <w:sz w:val="22"/>
          <w:szCs w:val="22"/>
        </w:rPr>
        <w:br/>
      </w:r>
      <w:r>
        <w:rPr>
          <w:rFonts w:ascii="-webkit-standard" w:hAnsi="-webkit-standard"/>
          <w:color w:val="000000"/>
          <w:sz w:val="27"/>
          <w:szCs w:val="27"/>
        </w:rPr>
        <w:br/>
      </w:r>
      <w:r w:rsidRPr="00F41FEB">
        <w:rPr>
          <w:rFonts w:ascii="-webkit-standard" w:hAnsi="-webkit-standard"/>
          <w:color w:val="000000"/>
          <w:sz w:val="27"/>
          <w:szCs w:val="27"/>
        </w:rPr>
        <w:t>Introduction of Diageo PLC</w:t>
      </w:r>
      <w:r w:rsidR="00844A7A">
        <w:rPr>
          <w:rFonts w:ascii="-webkit-standard" w:hAnsi="-webkit-standard"/>
          <w:color w:val="000000"/>
          <w:sz w:val="27"/>
          <w:szCs w:val="27"/>
        </w:rPr>
        <w:br/>
      </w:r>
      <w:r w:rsidR="00844A7A">
        <w:rPr>
          <w:rFonts w:ascii="-webkit-standard" w:hAnsi="-webkit-standard"/>
          <w:color w:val="000000"/>
          <w:sz w:val="27"/>
          <w:szCs w:val="27"/>
        </w:rPr>
        <w:br/>
      </w:r>
      <w:r w:rsidR="00844A7A">
        <w:fldChar w:fldCharType="begin"/>
      </w:r>
      <w:r w:rsidR="00844A7A">
        <w:instrText xml:space="preserve"> INCLUDEPICTURE "/Users/dhruvshah/Library/Group Containers/UBF8T346G9.ms/WebArchiveCopyPasteTempFiles/com.microsoft.Word/Diageo-Marketing-1.jpg" \* MERGEFORMATINET </w:instrText>
      </w:r>
      <w:r w:rsidR="00844A7A">
        <w:fldChar w:fldCharType="separate"/>
      </w:r>
      <w:r w:rsidR="00844A7A">
        <w:rPr>
          <w:noProof/>
        </w:rPr>
        <w:drawing>
          <wp:inline distT="0" distB="0" distL="0" distR="0" wp14:anchorId="315B6466" wp14:editId="71C0251A">
            <wp:extent cx="3259902" cy="2302446"/>
            <wp:effectExtent l="0" t="0" r="4445" b="0"/>
            <wp:docPr id="561707002" name="Picture 2" descr="ALN Nigeria | Aluko &amp; Oyebode Advises Diageo Plc on the Sale of its Equity  Stake in Guinness Nigeria Plc and Long-term Partnership with the Tolaram  Group - Aluko &amp; Oyeb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N Nigeria | Aluko &amp; Oyebode Advises Diageo Plc on the Sale of its Equity  Stake in Guinness Nigeria Plc and Long-term Partnership with the Tolaram  Group - Aluko &amp; Oyebod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80372" cy="2316904"/>
                    </a:xfrm>
                    <a:prstGeom prst="rect">
                      <a:avLst/>
                    </a:prstGeom>
                    <a:noFill/>
                    <a:ln>
                      <a:noFill/>
                    </a:ln>
                  </pic:spPr>
                </pic:pic>
              </a:graphicData>
            </a:graphic>
          </wp:inline>
        </w:drawing>
      </w:r>
      <w:r w:rsidR="00844A7A">
        <w:fldChar w:fldCharType="end"/>
      </w:r>
      <w:r>
        <w:rPr>
          <w:rFonts w:ascii="-webkit-standard" w:hAnsi="-webkit-standard"/>
          <w:color w:val="000000"/>
          <w:sz w:val="27"/>
          <w:szCs w:val="27"/>
        </w:rPr>
        <w:br/>
      </w:r>
      <w:r w:rsidRPr="00F41FEB">
        <w:rPr>
          <w:color w:val="000000"/>
        </w:rPr>
        <w:br/>
      </w:r>
      <w:r w:rsidRPr="00F41FEB">
        <w:rPr>
          <w:rFonts w:ascii="-webkit-standard" w:hAnsi="-webkit-standard"/>
          <w:color w:val="000000"/>
          <w:sz w:val="27"/>
          <w:szCs w:val="27"/>
        </w:rPr>
        <w:t xml:space="preserve">One of the biggest and most powerful companies in the world's beer and spirits sectors is Diageo PLC, a multinational British alcoholic beverage firm. Diageo, which was formed in 1997 </w:t>
      </w:r>
      <w:proofErr w:type="gramStart"/>
      <w:r w:rsidRPr="00F41FEB">
        <w:rPr>
          <w:rFonts w:ascii="-webkit-standard" w:hAnsi="-webkit-standard"/>
          <w:color w:val="000000"/>
          <w:sz w:val="27"/>
          <w:szCs w:val="27"/>
        </w:rPr>
        <w:t>as a result of</w:t>
      </w:r>
      <w:proofErr w:type="gramEnd"/>
      <w:r w:rsidRPr="00F41FEB">
        <w:rPr>
          <w:rFonts w:ascii="-webkit-standard" w:hAnsi="-webkit-standard"/>
          <w:color w:val="000000"/>
          <w:sz w:val="27"/>
          <w:szCs w:val="27"/>
        </w:rPr>
        <w:t xml:space="preserve"> the merger of Guinness PLC and Grand Metropolitan PLC, has expanded to become a major player in the market thanks to its broad range of alcoholic drinks, which includes spirits, beer, and wine.</w:t>
      </w:r>
      <w:r w:rsidR="00844A7A">
        <w:rPr>
          <w:rFonts w:ascii="-webkit-standard" w:hAnsi="-webkit-standard"/>
          <w:color w:val="000000"/>
          <w:sz w:val="27"/>
          <w:szCs w:val="27"/>
        </w:rPr>
        <w:br/>
      </w:r>
    </w:p>
    <w:p w14:paraId="2F769961" w14:textId="67EFEE49" w:rsidR="00F41FEB" w:rsidRPr="00F41FEB" w:rsidRDefault="00F41FEB" w:rsidP="00F41FEB">
      <w:r w:rsidRPr="00F41FEB">
        <w:rPr>
          <w:rFonts w:ascii="-webkit-standard" w:hAnsi="-webkit-standard"/>
          <w:color w:val="000000"/>
          <w:sz w:val="27"/>
          <w:szCs w:val="27"/>
        </w:rPr>
        <w:t>Origins and Development</w:t>
      </w:r>
      <w:r w:rsidRPr="00F41FEB">
        <w:rPr>
          <w:color w:val="000000"/>
        </w:rPr>
        <w:br/>
      </w:r>
      <w:r w:rsidRPr="00F41FEB">
        <w:rPr>
          <w:color w:val="000000"/>
        </w:rPr>
        <w:br/>
      </w:r>
      <w:r w:rsidRPr="00F41FEB">
        <w:rPr>
          <w:rFonts w:ascii="-webkit-standard" w:hAnsi="-webkit-standard"/>
          <w:color w:val="000000"/>
          <w:sz w:val="27"/>
          <w:szCs w:val="27"/>
        </w:rPr>
        <w:t xml:space="preserve">Two major players in the beverage sector strategically merged to become Diageo at its founding. With a rich history that </w:t>
      </w:r>
      <w:proofErr w:type="gramStart"/>
      <w:r w:rsidRPr="00F41FEB">
        <w:rPr>
          <w:rFonts w:ascii="-webkit-standard" w:hAnsi="-webkit-standard"/>
          <w:color w:val="000000"/>
          <w:sz w:val="27"/>
          <w:szCs w:val="27"/>
        </w:rPr>
        <w:t>dates back to</w:t>
      </w:r>
      <w:proofErr w:type="gramEnd"/>
      <w:r w:rsidRPr="00F41FEB">
        <w:rPr>
          <w:rFonts w:ascii="-webkit-standard" w:hAnsi="-webkit-standard"/>
          <w:color w:val="000000"/>
          <w:sz w:val="27"/>
          <w:szCs w:val="27"/>
        </w:rPr>
        <w:t xml:space="preserve"> 1759, Guinness PLC was well-known for its recognisable stout beer, which was recognised all over the world as an emblem of Irish culture. Conversely, Grand Metropolitan PLC was a multifaceted international corporation that had a major role in the food and alcohol sectors. Following the merging of these two businesses, Diageo was able to take use of its combined capabilities to dominate the worldwide alcohol industry. Diageo now has a powerful portfolio of brands and a strong market presence.</w:t>
      </w:r>
      <w:r w:rsidR="00844A7A">
        <w:rPr>
          <w:rFonts w:ascii="-webkit-standard" w:hAnsi="-webkit-standard"/>
          <w:color w:val="000000"/>
          <w:sz w:val="27"/>
          <w:szCs w:val="27"/>
        </w:rPr>
        <w:br/>
      </w:r>
    </w:p>
    <w:p w14:paraId="6028C925" w14:textId="77777777" w:rsidR="00F41FEB" w:rsidRPr="00F41FEB" w:rsidRDefault="00F41FEB" w:rsidP="00F41FEB">
      <w:r>
        <w:rPr>
          <w:rFonts w:ascii="-webkit-standard" w:hAnsi="-webkit-standard"/>
          <w:color w:val="000000"/>
          <w:sz w:val="27"/>
          <w:szCs w:val="27"/>
        </w:rPr>
        <w:t>Diageo has steadily strengthened its position as an industry leader by making smart acquisitions and product advancements over the years to broaden its portfolio of brands. Some of the most well-known and valuable brands in the world, including Baileys, Captain Morgan, Tanqueray, Guinness, Johnnie Walker, and Crown Royal, are part of the company's portfolio. Diageo's strong market position is bolstered by the strong customer following and rich legacy of each of these brands.</w:t>
      </w:r>
      <w:r>
        <w:rPr>
          <w:rFonts w:ascii="-webkit-standard" w:hAnsi="-webkit-standard"/>
          <w:color w:val="000000"/>
          <w:sz w:val="27"/>
          <w:szCs w:val="27"/>
        </w:rPr>
        <w:br/>
      </w:r>
      <w:r>
        <w:rPr>
          <w:rFonts w:ascii="-webkit-standard" w:hAnsi="-webkit-standard"/>
          <w:color w:val="000000"/>
          <w:sz w:val="27"/>
          <w:szCs w:val="27"/>
        </w:rPr>
        <w:br/>
      </w:r>
      <w:r w:rsidRPr="00F41FEB">
        <w:rPr>
          <w:rFonts w:ascii="-webkit-standard" w:hAnsi="-webkit-standard"/>
          <w:color w:val="000000"/>
          <w:sz w:val="27"/>
          <w:szCs w:val="27"/>
        </w:rPr>
        <w:t>Marketplace and Business Model</w:t>
      </w:r>
      <w:r w:rsidRPr="00F41FEB">
        <w:rPr>
          <w:color w:val="000000"/>
        </w:rPr>
        <w:br/>
      </w:r>
      <w:r w:rsidRPr="00F41FEB">
        <w:rPr>
          <w:color w:val="000000"/>
        </w:rPr>
        <w:br/>
      </w:r>
      <w:r w:rsidRPr="00F41FEB">
        <w:rPr>
          <w:rFonts w:ascii="-webkit-standard" w:hAnsi="-webkit-standard"/>
          <w:color w:val="000000"/>
          <w:sz w:val="27"/>
          <w:szCs w:val="27"/>
        </w:rPr>
        <w:t>The core of Diageo's business strategy is the production, promotion, and distribution of a broad variety of alcoholic drinks in several categories, such as wine, beer, and spirits. The business competes in a highly regulated market where success depends on product innovation, brand loyalty, and clever marketing.</w:t>
      </w:r>
      <w:r w:rsidRPr="00F41FEB">
        <w:rPr>
          <w:color w:val="000000"/>
        </w:rPr>
        <w:br/>
      </w:r>
      <w:r w:rsidRPr="00F41FEB">
        <w:rPr>
          <w:color w:val="000000"/>
        </w:rPr>
        <w:br/>
      </w:r>
      <w:r w:rsidRPr="00F41FEB">
        <w:rPr>
          <w:rFonts w:ascii="-webkit-standard" w:hAnsi="-webkit-standard"/>
          <w:color w:val="000000"/>
          <w:sz w:val="27"/>
          <w:szCs w:val="27"/>
        </w:rPr>
        <w:t>The core of Diageo's business strategy is premiumization, which entails concentrating on luxury, premium, and high-quality brands that may fetch better profit margins and price points. With the help of this tactic, the business has been able to target wealthy customers and take advantage of the rising demand for premium and luxury spirits throughout the world. Additionally, the business prioritises innovation, frequently launching new models and variants to meet changing customer demands and trends.</w:t>
      </w:r>
    </w:p>
    <w:p w14:paraId="0F09DF9E" w14:textId="54EA63EB" w:rsidR="00F41FEB" w:rsidRDefault="00F41FEB" w:rsidP="00F41FEB">
      <w:pPr>
        <w:pStyle w:val="NormalWeb"/>
      </w:pPr>
      <w:r>
        <w:rPr>
          <w:rFonts w:ascii="-webkit-standard" w:hAnsi="-webkit-standard"/>
          <w:color w:val="000000"/>
          <w:sz w:val="27"/>
          <w:szCs w:val="27"/>
        </w:rPr>
        <w:t xml:space="preserve">Another important component of Diageo's business strategy is its global presence. With production sites dispersed throughout North America, Europe, Latin America, Africa, and Asia-Pacific, the corporation has operations in more than 180 countries. Due to its wide worldwide reach, Diageo </w:t>
      </w:r>
      <w:proofErr w:type="gramStart"/>
      <w:r>
        <w:rPr>
          <w:rFonts w:ascii="-webkit-standard" w:hAnsi="-webkit-standard"/>
          <w:color w:val="000000"/>
          <w:sz w:val="27"/>
          <w:szCs w:val="27"/>
        </w:rPr>
        <w:t>is able to</w:t>
      </w:r>
      <w:proofErr w:type="gramEnd"/>
      <w:r>
        <w:rPr>
          <w:rFonts w:ascii="-webkit-standard" w:hAnsi="-webkit-standard"/>
          <w:color w:val="000000"/>
          <w:sz w:val="27"/>
          <w:szCs w:val="27"/>
        </w:rPr>
        <w:t xml:space="preserve"> take advantage of development prospects in emerging regions and efficiently manage risks related to local market fluctuations and regulatory changes.</w:t>
      </w:r>
      <w:r>
        <w:rPr>
          <w:color w:val="000000"/>
        </w:rPr>
        <w:br/>
      </w:r>
      <w:r>
        <w:rPr>
          <w:color w:val="000000"/>
        </w:rPr>
        <w:br/>
      </w:r>
      <w:r>
        <w:rPr>
          <w:rFonts w:ascii="-webkit-standard" w:hAnsi="-webkit-standard"/>
          <w:color w:val="000000"/>
          <w:sz w:val="27"/>
          <w:szCs w:val="27"/>
        </w:rPr>
        <w:t>Principal Rivals</w:t>
      </w:r>
      <w:r>
        <w:rPr>
          <w:color w:val="000000"/>
        </w:rPr>
        <w:br/>
      </w:r>
      <w:r>
        <w:rPr>
          <w:color w:val="000000"/>
        </w:rPr>
        <w:br/>
      </w:r>
      <w:r>
        <w:rPr>
          <w:rFonts w:ascii="-webkit-standard" w:hAnsi="-webkit-standard"/>
          <w:color w:val="000000"/>
          <w:sz w:val="27"/>
          <w:szCs w:val="27"/>
        </w:rPr>
        <w:t>Diageo competes fiercely in its sector against strong opponents such as other international makers of alcoholic beverages. Anheuser-Busch InBev, the largest brewer in the world and owner of well-known beer brands, is one of the firm's main rivals. Other notable rivals include the French corporation Pernod Ricard, which is renowned for trademarks like Absolut Vodka and Chivas Regal; the family-owned spirits company Bacardi Limited; and Bacardi rum.</w:t>
      </w:r>
      <w:r>
        <w:rPr>
          <w:rFonts w:ascii="-webkit-standard" w:hAnsi="-webkit-standard"/>
          <w:color w:val="000000"/>
          <w:sz w:val="27"/>
          <w:szCs w:val="27"/>
        </w:rPr>
        <w:br/>
      </w:r>
      <w:r>
        <w:rPr>
          <w:rFonts w:ascii="-webkit-standard" w:hAnsi="-webkit-standard"/>
          <w:color w:val="000000"/>
          <w:sz w:val="27"/>
          <w:szCs w:val="27"/>
        </w:rPr>
        <w:br/>
      </w:r>
      <w:r>
        <w:rPr>
          <w:rFonts w:ascii="-webkit-standard" w:hAnsi="-webkit-standard"/>
          <w:color w:val="000000"/>
          <w:sz w:val="27"/>
          <w:szCs w:val="27"/>
        </w:rPr>
        <w:t>Major Events of Late</w:t>
      </w:r>
      <w:r>
        <w:rPr>
          <w:color w:val="000000"/>
        </w:rPr>
        <w:br/>
      </w:r>
      <w:r>
        <w:rPr>
          <w:color w:val="000000"/>
        </w:rPr>
        <w:br/>
      </w:r>
      <w:r>
        <w:rPr>
          <w:rFonts w:ascii="-webkit-standard" w:hAnsi="-webkit-standard"/>
          <w:color w:val="000000"/>
          <w:sz w:val="27"/>
          <w:szCs w:val="27"/>
        </w:rPr>
        <w:t xml:space="preserve">Diageo has had </w:t>
      </w:r>
      <w:proofErr w:type="gramStart"/>
      <w:r>
        <w:rPr>
          <w:rFonts w:ascii="-webkit-standard" w:hAnsi="-webkit-standard"/>
          <w:color w:val="000000"/>
          <w:sz w:val="27"/>
          <w:szCs w:val="27"/>
        </w:rPr>
        <w:t>a number of</w:t>
      </w:r>
      <w:proofErr w:type="gramEnd"/>
      <w:r>
        <w:rPr>
          <w:rFonts w:ascii="-webkit-standard" w:hAnsi="-webkit-standard"/>
          <w:color w:val="000000"/>
          <w:sz w:val="27"/>
          <w:szCs w:val="27"/>
        </w:rPr>
        <w:t xml:space="preserve"> noteworthy events in recent years that have affected company performance and strategic direction. These include shifts in the company's leadership, such the hiring of Ivan Menezes as CEO in 2013, who guided it through a phase of expansion and transition. The business has also had to deal with difficulties like profit warnings brought on by volatile markets and macroeconomic issues. </w:t>
      </w:r>
      <w:proofErr w:type="gramStart"/>
      <w:r>
        <w:rPr>
          <w:rFonts w:ascii="-webkit-standard" w:hAnsi="-webkit-standard"/>
          <w:color w:val="000000"/>
          <w:sz w:val="27"/>
          <w:szCs w:val="27"/>
        </w:rPr>
        <w:t>In order to</w:t>
      </w:r>
      <w:proofErr w:type="gramEnd"/>
      <w:r>
        <w:rPr>
          <w:rFonts w:ascii="-webkit-standard" w:hAnsi="-webkit-standard"/>
          <w:color w:val="000000"/>
          <w:sz w:val="27"/>
          <w:szCs w:val="27"/>
        </w:rPr>
        <w:t xml:space="preserve"> improve its position in the rapidly expanding tequila industry, Diageo has also engaged in mergers and acquisitions. Examples of these transactions include the purchase of </w:t>
      </w:r>
      <w:proofErr w:type="spellStart"/>
      <w:r>
        <w:rPr>
          <w:rFonts w:ascii="-webkit-standard" w:hAnsi="-webkit-standard"/>
          <w:color w:val="000000"/>
          <w:sz w:val="27"/>
          <w:szCs w:val="27"/>
        </w:rPr>
        <w:t>Casamigos</w:t>
      </w:r>
      <w:proofErr w:type="spellEnd"/>
      <w:r>
        <w:rPr>
          <w:rFonts w:ascii="-webkit-standard" w:hAnsi="-webkit-standard"/>
          <w:color w:val="000000"/>
          <w:sz w:val="27"/>
          <w:szCs w:val="27"/>
        </w:rPr>
        <w:t>, which George Clooney co-founded, and Don Julio, a premium tequila brand. The company's recent history has also had legal challenges, such as disagreements over advertising tactics and regulatory compliance, however Diageo has usually been able to handle challenges effectively.</w:t>
      </w:r>
    </w:p>
    <w:p w14:paraId="68E75995" w14:textId="77777777" w:rsidR="003C250C" w:rsidRPr="003C250C" w:rsidRDefault="00F41FEB" w:rsidP="003C250C">
      <w:r>
        <w:rPr>
          <w:rFonts w:ascii="Arial" w:hAnsi="Arial" w:cs="Arial"/>
          <w:b/>
          <w:bCs/>
          <w:sz w:val="22"/>
          <w:szCs w:val="22"/>
        </w:rPr>
        <w:t xml:space="preserve">Part B). Financial performance review [60 marks, 3000 words approximately] </w:t>
      </w:r>
      <w:r w:rsidR="00DD4E05">
        <w:rPr>
          <w:rFonts w:ascii="Arial" w:hAnsi="Arial" w:cs="Arial"/>
          <w:b/>
          <w:bCs/>
          <w:sz w:val="22"/>
          <w:szCs w:val="22"/>
        </w:rPr>
        <w:br/>
      </w:r>
      <w:r w:rsidR="00DD4E05">
        <w:rPr>
          <w:rFonts w:ascii="Arial" w:hAnsi="Arial" w:cs="Arial"/>
          <w:b/>
          <w:bCs/>
          <w:sz w:val="22"/>
          <w:szCs w:val="22"/>
        </w:rPr>
        <w:br/>
      </w:r>
      <w:r w:rsidR="00DD4E05" w:rsidRPr="00DD4E05">
        <w:rPr>
          <w:b/>
          <w:bCs/>
          <w:color w:val="000000"/>
          <w:sz w:val="27"/>
          <w:szCs w:val="27"/>
        </w:rPr>
        <w:t>Executive Summary</w:t>
      </w:r>
      <w:r w:rsidR="003C250C">
        <w:rPr>
          <w:b/>
          <w:bCs/>
          <w:color w:val="000000"/>
          <w:sz w:val="27"/>
          <w:szCs w:val="27"/>
        </w:rPr>
        <w:br/>
      </w:r>
      <w:r w:rsidR="003C250C">
        <w:rPr>
          <w:b/>
          <w:bCs/>
          <w:color w:val="000000"/>
          <w:sz w:val="27"/>
          <w:szCs w:val="27"/>
        </w:rPr>
        <w:br/>
      </w:r>
      <w:r w:rsidR="003C250C" w:rsidRPr="003C250C">
        <w:rPr>
          <w:rFonts w:ascii="-webkit-standard" w:hAnsi="-webkit-standard"/>
          <w:color w:val="000000"/>
          <w:sz w:val="27"/>
          <w:szCs w:val="27"/>
        </w:rPr>
        <w:t>An outline of Diageo PLC</w:t>
      </w:r>
      <w:r w:rsidR="003C250C" w:rsidRPr="003C250C">
        <w:rPr>
          <w:color w:val="000000"/>
        </w:rPr>
        <w:br/>
      </w:r>
      <w:r w:rsidR="003C250C" w:rsidRPr="003C250C">
        <w:rPr>
          <w:color w:val="000000"/>
        </w:rPr>
        <w:br/>
      </w:r>
      <w:r w:rsidR="003C250C" w:rsidRPr="003C250C">
        <w:rPr>
          <w:rFonts w:ascii="-webkit-standard" w:hAnsi="-webkit-standard"/>
          <w:color w:val="000000"/>
          <w:sz w:val="27"/>
          <w:szCs w:val="27"/>
        </w:rPr>
        <w:t xml:space="preserve">Leading the alcoholic beverage sector globally, Diageo PLC is well-known for its extensive array of premium brands and substantial worldwide market presence. Diageo, which was established in 1997 </w:t>
      </w:r>
      <w:proofErr w:type="gramStart"/>
      <w:r w:rsidR="003C250C" w:rsidRPr="003C250C">
        <w:rPr>
          <w:rFonts w:ascii="-webkit-standard" w:hAnsi="-webkit-standard"/>
          <w:color w:val="000000"/>
          <w:sz w:val="27"/>
          <w:szCs w:val="27"/>
        </w:rPr>
        <w:t>as a result of</w:t>
      </w:r>
      <w:proofErr w:type="gramEnd"/>
      <w:r w:rsidR="003C250C" w:rsidRPr="003C250C">
        <w:rPr>
          <w:rFonts w:ascii="-webkit-standard" w:hAnsi="-webkit-standard"/>
          <w:color w:val="000000"/>
          <w:sz w:val="27"/>
          <w:szCs w:val="27"/>
        </w:rPr>
        <w:t xml:space="preserve"> the union of Guinness and Grand Metropolitan, has operations in more than 180 countries and its headquarters are in London, United Kingdom. The corporation offers a wide range of products, including wine, beer, and spirits. Some of its most well-known brands include Tanqueray, Johnnie Walker, Crown Royal, Baileys, Guinness, and Smirnoff. Diageo's success has been largely attributed to its strategy focus on premiumization, which involves providing premium products at premium pricing. This has allowed the company to retain strong market positions in important regions like North America, Europe, and growing countries like Asia and Africa.</w:t>
      </w:r>
    </w:p>
    <w:p w14:paraId="39199488" w14:textId="618AFDDB" w:rsidR="00DD4E05" w:rsidRPr="003C250C" w:rsidRDefault="003C250C" w:rsidP="003C250C">
      <w:r>
        <w:rPr>
          <w:rFonts w:ascii="-webkit-standard" w:hAnsi="-webkit-standard"/>
          <w:color w:val="000000"/>
          <w:sz w:val="27"/>
          <w:szCs w:val="27"/>
        </w:rPr>
        <w:t xml:space="preserve">Due to its extensive worldwide reach and strong distribution network, Diageo has been able to take advantage of growth prospects in both developed and emerging regions. The business's dedication to sustainability, innovation, and brand creation bolsters its competitive edge even more. Diageo has successfully navigated market dynamics while confronting obstacles including shifting customer tastes and economic uncertainty because to its strategic investments in digitalisation and data-driven marketing. Diageo continues to be a major player in the market </w:t>
      </w:r>
      <w:proofErr w:type="gramStart"/>
      <w:r>
        <w:rPr>
          <w:rFonts w:ascii="-webkit-standard" w:hAnsi="-webkit-standard"/>
          <w:color w:val="000000"/>
          <w:sz w:val="27"/>
          <w:szCs w:val="27"/>
        </w:rPr>
        <w:t>as a consequence</w:t>
      </w:r>
      <w:proofErr w:type="gramEnd"/>
      <w:r>
        <w:rPr>
          <w:rFonts w:ascii="-webkit-standard" w:hAnsi="-webkit-standard"/>
          <w:color w:val="000000"/>
          <w:sz w:val="27"/>
          <w:szCs w:val="27"/>
        </w:rPr>
        <w:t>, continuously generating great financial results and value for shareholders.</w:t>
      </w:r>
      <w:r>
        <w:rPr>
          <w:rFonts w:ascii="-webkit-standard" w:hAnsi="-webkit-standard"/>
          <w:color w:val="000000"/>
          <w:sz w:val="27"/>
          <w:szCs w:val="27"/>
        </w:rPr>
        <w:br/>
      </w:r>
      <w:r>
        <w:rPr>
          <w:rFonts w:ascii="-webkit-standard" w:hAnsi="-webkit-standard"/>
          <w:color w:val="000000"/>
          <w:sz w:val="27"/>
          <w:szCs w:val="27"/>
        </w:rPr>
        <w:br/>
      </w:r>
      <w:r w:rsidRPr="003C250C">
        <w:rPr>
          <w:rFonts w:ascii="-webkit-standard" w:hAnsi="-webkit-standard"/>
          <w:color w:val="000000"/>
          <w:sz w:val="27"/>
          <w:szCs w:val="27"/>
        </w:rPr>
        <w:t>The Review's Objective</w:t>
      </w:r>
      <w:r w:rsidRPr="003C250C">
        <w:rPr>
          <w:color w:val="000000"/>
        </w:rPr>
        <w:br/>
      </w:r>
      <w:r w:rsidRPr="003C250C">
        <w:rPr>
          <w:color w:val="000000"/>
        </w:rPr>
        <w:br/>
      </w:r>
      <w:r w:rsidRPr="003C250C">
        <w:rPr>
          <w:rFonts w:ascii="-webkit-standard" w:hAnsi="-webkit-standard"/>
          <w:color w:val="000000"/>
          <w:sz w:val="27"/>
          <w:szCs w:val="27"/>
        </w:rPr>
        <w:t>This financial analysis's main goal is to undertake a thorough assessment of Diageo PLC's financial performance throughout the last five years. Through an analysis of important financial statistics that gauge profitability, liquidity, gearing (leverage), and operational efficiency, this assessment seeks to provide light on the state of the company's finances. We may evaluate Diageo's resource management, cost control, and return generation for shareholders by examining these ratios.</w:t>
      </w:r>
      <w:r>
        <w:rPr>
          <w:rFonts w:ascii="-webkit-standard" w:hAnsi="-webkit-standard"/>
          <w:color w:val="000000"/>
          <w:sz w:val="27"/>
          <w:szCs w:val="27"/>
        </w:rPr>
        <w:br/>
      </w:r>
      <w:r>
        <w:rPr>
          <w:rFonts w:ascii="-webkit-standard" w:hAnsi="-webkit-standard"/>
          <w:color w:val="000000"/>
          <w:sz w:val="27"/>
          <w:szCs w:val="27"/>
        </w:rPr>
        <w:br/>
      </w:r>
      <w:r>
        <w:rPr>
          <w:rFonts w:ascii="-webkit-standard" w:hAnsi="-webkit-standard"/>
          <w:color w:val="000000"/>
          <w:sz w:val="27"/>
          <w:szCs w:val="27"/>
        </w:rPr>
        <w:t>To determine how well Diageo has turned sales into profits and produced returns on investments, profitability ratios such the gross profit margin, operational profit margin, and return on equity will be computed. The analysis of liquidity ratios, such as the quick and current ratios, will be done to find out how well the business can manage working capital and satisfy short-term commitments. To determine Diageo's financial leverage and debt servicing capacity, gearing ratios such the debt-to-equity and interest coverage ratios will be examined. To find out how well Diageo is using its assets to create revenue, efficiency ratios such as inventory turnover and asset turnover will be looked at.</w:t>
      </w:r>
      <w:r>
        <w:rPr>
          <w:rFonts w:ascii="-webkit-standard" w:hAnsi="-webkit-standard"/>
          <w:color w:val="000000"/>
          <w:sz w:val="27"/>
          <w:szCs w:val="27"/>
        </w:rPr>
        <w:br/>
      </w:r>
      <w:r>
        <w:rPr>
          <w:rFonts w:ascii="-webkit-standard" w:hAnsi="-webkit-standard"/>
          <w:color w:val="000000"/>
          <w:sz w:val="27"/>
          <w:szCs w:val="27"/>
        </w:rPr>
        <w:br/>
      </w:r>
      <w:r>
        <w:rPr>
          <w:rFonts w:ascii="-webkit-standard" w:hAnsi="-webkit-standard"/>
          <w:color w:val="000000"/>
          <w:sz w:val="27"/>
          <w:szCs w:val="27"/>
        </w:rPr>
        <w:t>Additionally, this analysis will contrast Diageo's financial results with those of its main rivals and the industry standard. In addition to highlighting Diageo's advantages and disadvantages over its competitors, this comparative study will provide readers a clearer picture of the company's place in the market.</w:t>
      </w:r>
    </w:p>
    <w:p w14:paraId="20313A2D" w14:textId="77777777" w:rsidR="003C250C" w:rsidRPr="003C250C" w:rsidRDefault="00DD4E05" w:rsidP="003C250C">
      <w:r w:rsidRPr="00DD4E05">
        <w:rPr>
          <w:b/>
          <w:bCs/>
          <w:color w:val="000000"/>
          <w:sz w:val="27"/>
          <w:szCs w:val="27"/>
        </w:rPr>
        <w:t>2. Company Overview</w:t>
      </w:r>
      <w:r w:rsidR="003C250C">
        <w:rPr>
          <w:b/>
          <w:bCs/>
          <w:color w:val="000000"/>
          <w:sz w:val="27"/>
          <w:szCs w:val="27"/>
        </w:rPr>
        <w:br/>
      </w:r>
      <w:r w:rsidR="003C250C">
        <w:rPr>
          <w:b/>
          <w:bCs/>
          <w:color w:val="000000"/>
          <w:sz w:val="27"/>
          <w:szCs w:val="27"/>
        </w:rPr>
        <w:br/>
      </w:r>
      <w:r w:rsidR="003C250C" w:rsidRPr="003C250C">
        <w:rPr>
          <w:rFonts w:ascii="-webkit-standard" w:hAnsi="-webkit-standard"/>
          <w:color w:val="000000"/>
          <w:sz w:val="27"/>
          <w:szCs w:val="27"/>
        </w:rPr>
        <w:t>Background Data</w:t>
      </w:r>
      <w:r w:rsidR="003C250C" w:rsidRPr="003C250C">
        <w:rPr>
          <w:color w:val="000000"/>
        </w:rPr>
        <w:br/>
      </w:r>
      <w:r w:rsidR="003C250C" w:rsidRPr="003C250C">
        <w:rPr>
          <w:color w:val="000000"/>
        </w:rPr>
        <w:br/>
      </w:r>
      <w:r w:rsidR="003C250C" w:rsidRPr="003C250C">
        <w:rPr>
          <w:rFonts w:ascii="-webkit-standard" w:hAnsi="-webkit-standard"/>
          <w:color w:val="000000"/>
          <w:sz w:val="27"/>
          <w:szCs w:val="27"/>
        </w:rPr>
        <w:t xml:space="preserve">Diageo PLC, a multinational force in the alcoholic beverage business, was founded in 1997 </w:t>
      </w:r>
      <w:proofErr w:type="gramStart"/>
      <w:r w:rsidR="003C250C" w:rsidRPr="003C250C">
        <w:rPr>
          <w:rFonts w:ascii="-webkit-standard" w:hAnsi="-webkit-standard"/>
          <w:color w:val="000000"/>
          <w:sz w:val="27"/>
          <w:szCs w:val="27"/>
        </w:rPr>
        <w:t>as a result of</w:t>
      </w:r>
      <w:proofErr w:type="gramEnd"/>
      <w:r w:rsidR="003C250C" w:rsidRPr="003C250C">
        <w:rPr>
          <w:rFonts w:ascii="-webkit-standard" w:hAnsi="-webkit-standard"/>
          <w:color w:val="000000"/>
          <w:sz w:val="27"/>
          <w:szCs w:val="27"/>
        </w:rPr>
        <w:t xml:space="preserve"> the merger of Guinness and Grand Metropolitan. Diageo, a London-based company, has more than 200 brands in its portfolio of spirits, beer, and wine. Notable brands include Guinness, Smirnoff, and Johnnie Walker, as well as premium niche items like Don Julio tequila and Lagavulin Scotch whisky. The firm is one of the most geographically diverse in the sector, operating in more than 180 countries. The five primary business segments of Diageo are North America, Africa, Latin America and the Caribbean, Europe and Turkey, and Asia Pacific. </w:t>
      </w:r>
    </w:p>
    <w:p w14:paraId="3027CFA9" w14:textId="44D95336" w:rsidR="00DD4E05" w:rsidRPr="00DD4E05" w:rsidRDefault="003C250C" w:rsidP="00DD4E05">
      <w:pPr>
        <w:spacing w:before="100" w:beforeAutospacing="1" w:after="100" w:afterAutospacing="1"/>
        <w:outlineLvl w:val="2"/>
        <w:rPr>
          <w:b/>
          <w:bCs/>
          <w:color w:val="000000"/>
          <w:sz w:val="27"/>
          <w:szCs w:val="27"/>
        </w:rPr>
      </w:pPr>
      <w:r>
        <w:rPr>
          <w:rFonts w:ascii="-webkit-standard" w:hAnsi="-webkit-standard"/>
          <w:color w:val="000000"/>
          <w:sz w:val="27"/>
          <w:szCs w:val="27"/>
        </w:rPr>
        <w:t>The company's major market is North America, which makes up a considerable portion of its revenue and profitability. Emerging areas like Asia and Africa and Europe are also important to its growth plan. Diageo has been able to adapt to changing customer preferences and gain market share in both developed and developing areas by focussing on premiumization and innovation.</w:t>
      </w:r>
      <w:r>
        <w:rPr>
          <w:rFonts w:ascii="-webkit-standard" w:hAnsi="-webkit-standard"/>
          <w:color w:val="000000"/>
          <w:sz w:val="27"/>
          <w:szCs w:val="27"/>
        </w:rPr>
        <w:br/>
      </w:r>
      <w:r>
        <w:rPr>
          <w:rFonts w:ascii="-webkit-standard" w:hAnsi="-webkit-standard"/>
          <w:color w:val="000000"/>
          <w:sz w:val="27"/>
          <w:szCs w:val="27"/>
        </w:rPr>
        <w:br/>
      </w:r>
      <w:r>
        <w:rPr>
          <w:rFonts w:ascii="-webkit-standard" w:hAnsi="-webkit-standard"/>
          <w:color w:val="000000"/>
          <w:sz w:val="27"/>
          <w:szCs w:val="27"/>
        </w:rPr>
        <w:t>Industry Background</w:t>
      </w:r>
      <w:r>
        <w:rPr>
          <w:color w:val="000000"/>
        </w:rPr>
        <w:br/>
      </w:r>
      <w:r>
        <w:rPr>
          <w:color w:val="000000"/>
        </w:rPr>
        <w:br/>
      </w:r>
      <w:r>
        <w:rPr>
          <w:rFonts w:ascii="-webkit-standard" w:hAnsi="-webkit-standard"/>
          <w:color w:val="000000"/>
          <w:sz w:val="27"/>
          <w:szCs w:val="27"/>
        </w:rPr>
        <w:t>The alcoholic beverage market is a vibrant and fiercely competitive sector that is marked by strong worldwide brands, changing consumer preferences, and regulatory obstacles. The spirits, beer, and wine segments of the sector are distinguished by their robust expansion, which is fuelled by premiumization tendencies. Utilising their extensive brand portfolios and global reach, companies such as Diageo, Pernod Ricard, Brown-Forman, and Anheuser-Busch InBev dominate the industry. Present trends include a move towards upscale and artisan goods, an increase in e-commerce sales, and a growing awareness of health issues among customers. Obstacles encompass varying expenses for raw materials, modifications to regulations, and an increasing need for environmentally and socially conscious methods. Diageo is in a strong position within the market because to its capacity to manage operational efficiency and innovation while adapting to these developments, despite fierce competition from other big players.</w:t>
      </w:r>
    </w:p>
    <w:p w14:paraId="7EA9B748" w14:textId="77777777" w:rsidR="00CC2510" w:rsidRPr="00A55376" w:rsidRDefault="003C250C" w:rsidP="00CC2510">
      <w:pPr>
        <w:spacing w:before="100" w:beforeAutospacing="1" w:after="100" w:afterAutospacing="1"/>
        <w:outlineLvl w:val="2"/>
        <w:rPr>
          <w:b/>
          <w:bCs/>
          <w:color w:val="000000"/>
          <w:sz w:val="27"/>
          <w:szCs w:val="27"/>
        </w:rPr>
      </w:pPr>
      <w:r>
        <w:rPr>
          <w:b/>
          <w:bCs/>
          <w:color w:val="000000"/>
          <w:sz w:val="27"/>
          <w:szCs w:val="27"/>
        </w:rPr>
        <w:t>3. calculations:</w:t>
      </w:r>
      <w:r>
        <w:rPr>
          <w:b/>
          <w:bCs/>
          <w:color w:val="000000"/>
          <w:sz w:val="27"/>
          <w:szCs w:val="27"/>
        </w:rPr>
        <w:br/>
      </w:r>
      <w:r>
        <w:rPr>
          <w:b/>
          <w:bCs/>
          <w:color w:val="000000"/>
          <w:sz w:val="27"/>
          <w:szCs w:val="27"/>
        </w:rPr>
        <w:br/>
      </w:r>
      <w:r>
        <w:rPr>
          <w:rFonts w:ascii="-webkit-standard" w:hAnsi="-webkit-standard"/>
          <w:color w:val="000000"/>
          <w:sz w:val="27"/>
          <w:szCs w:val="27"/>
        </w:rPr>
        <w:t xml:space="preserve">We would normally collect information from Diageo PLC's annual reports, which contain comprehensive financial statements including the income statement, balance sheet, and cash flow statement, </w:t>
      </w:r>
      <w:proofErr w:type="gramStart"/>
      <w:r>
        <w:rPr>
          <w:rFonts w:ascii="-webkit-standard" w:hAnsi="-webkit-standard"/>
          <w:color w:val="000000"/>
          <w:sz w:val="27"/>
          <w:szCs w:val="27"/>
        </w:rPr>
        <w:t>in order to</w:t>
      </w:r>
      <w:proofErr w:type="gramEnd"/>
      <w:r>
        <w:rPr>
          <w:rFonts w:ascii="-webkit-standard" w:hAnsi="-webkit-standard"/>
          <w:color w:val="000000"/>
          <w:sz w:val="27"/>
          <w:szCs w:val="27"/>
        </w:rPr>
        <w:t xml:space="preserve"> compute and evaluate the company's major financial ratios for the previous five years. As I am unable to immediately access real-time databases or company-specific financial records, I will walk you through the process of doing these calculations using hypothetical or standard data points. You can use actual numbers from Diageo's financial statements in place of these.</w:t>
      </w:r>
      <w:r w:rsidR="00CC2510">
        <w:rPr>
          <w:rFonts w:ascii="-webkit-standard" w:hAnsi="-webkit-standard"/>
          <w:color w:val="000000"/>
          <w:sz w:val="27"/>
          <w:szCs w:val="27"/>
        </w:rPr>
        <w:br/>
      </w:r>
      <w:r w:rsidR="00CC2510">
        <w:rPr>
          <w:rFonts w:ascii="-webkit-standard" w:hAnsi="-webkit-standard"/>
          <w:color w:val="000000"/>
          <w:sz w:val="27"/>
          <w:szCs w:val="27"/>
        </w:rPr>
        <w:br/>
      </w:r>
      <w:r w:rsidR="00CC2510" w:rsidRPr="00A55376">
        <w:rPr>
          <w:b/>
          <w:bCs/>
          <w:color w:val="000000"/>
          <w:sz w:val="27"/>
          <w:szCs w:val="27"/>
        </w:rPr>
        <w:t>1. Profitability Ratios</w:t>
      </w:r>
    </w:p>
    <w:p w14:paraId="4FE94762" w14:textId="77777777" w:rsidR="00CC2510" w:rsidRPr="00A55376" w:rsidRDefault="00CC2510" w:rsidP="00CC2510">
      <w:pPr>
        <w:spacing w:before="100" w:beforeAutospacing="1" w:after="100" w:afterAutospacing="1"/>
        <w:outlineLvl w:val="3"/>
        <w:rPr>
          <w:b/>
          <w:bCs/>
          <w:color w:val="000000"/>
        </w:rPr>
      </w:pPr>
      <w:r w:rsidRPr="00A55376">
        <w:rPr>
          <w:b/>
          <w:bCs/>
          <w:color w:val="000000"/>
        </w:rPr>
        <w:t>Gross Profit Margin</w:t>
      </w:r>
    </w:p>
    <w:p w14:paraId="4364489A" w14:textId="77777777" w:rsidR="00CC2510" w:rsidRPr="00A55376" w:rsidRDefault="00CC2510" w:rsidP="00CC2510">
      <w:pPr>
        <w:numPr>
          <w:ilvl w:val="0"/>
          <w:numId w:val="13"/>
        </w:numPr>
        <w:spacing w:before="100" w:beforeAutospacing="1" w:after="100" w:afterAutospacing="1"/>
        <w:rPr>
          <w:color w:val="000000"/>
        </w:rPr>
      </w:pPr>
      <w:r w:rsidRPr="00A55376">
        <w:rPr>
          <w:b/>
          <w:bCs/>
          <w:color w:val="000000"/>
        </w:rPr>
        <w:t>Formula</w:t>
      </w:r>
      <w:r w:rsidRPr="00A55376">
        <w:rPr>
          <w:color w:val="000000"/>
        </w:rPr>
        <w:t>: (</w:t>
      </w:r>
      <w:proofErr w:type="spellStart"/>
      <w:r w:rsidRPr="00A55376">
        <w:rPr>
          <w:color w:val="000000"/>
        </w:rPr>
        <w:t>GrossProfit</w:t>
      </w:r>
      <w:proofErr w:type="spellEnd"/>
      <w:r w:rsidRPr="00A55376">
        <w:rPr>
          <w:color w:val="000000"/>
        </w:rPr>
        <w:t>/</w:t>
      </w:r>
      <w:proofErr w:type="gramStart"/>
      <w:r w:rsidRPr="00A55376">
        <w:rPr>
          <w:color w:val="000000"/>
        </w:rPr>
        <w:t>Revenue)x</w:t>
      </w:r>
      <w:proofErr w:type="gramEnd"/>
      <w:r w:rsidRPr="00A55376">
        <w:rPr>
          <w:color w:val="000000"/>
        </w:rPr>
        <w:t>100(</w:t>
      </w:r>
      <w:proofErr w:type="spellStart"/>
      <w:r w:rsidRPr="00A55376">
        <w:rPr>
          <w:color w:val="000000"/>
        </w:rPr>
        <w:t>GrossProfit</w:t>
      </w:r>
      <w:proofErr w:type="spellEnd"/>
      <w:r w:rsidRPr="00A55376">
        <w:rPr>
          <w:color w:val="000000"/>
        </w:rPr>
        <w:t>/Revenue)x100</w:t>
      </w:r>
    </w:p>
    <w:p w14:paraId="79421927" w14:textId="77777777" w:rsidR="00CC2510" w:rsidRPr="00A55376" w:rsidRDefault="00CC2510" w:rsidP="00CC2510">
      <w:pPr>
        <w:numPr>
          <w:ilvl w:val="0"/>
          <w:numId w:val="13"/>
        </w:numPr>
        <w:spacing w:before="100" w:beforeAutospacing="1" w:after="100" w:afterAutospacing="1"/>
        <w:rPr>
          <w:color w:val="000000"/>
        </w:rPr>
      </w:pPr>
      <w:r w:rsidRPr="00A55376">
        <w:rPr>
          <w:b/>
          <w:bCs/>
          <w:color w:val="000000"/>
        </w:rPr>
        <w:t>Example Calculation</w:t>
      </w:r>
      <w:r w:rsidRPr="00A55376">
        <w:rPr>
          <w:color w:val="000000"/>
        </w:rPr>
        <w:t>:</w:t>
      </w:r>
    </w:p>
    <w:p w14:paraId="77CBEBDE" w14:textId="77777777" w:rsidR="00CC2510" w:rsidRPr="00A55376" w:rsidRDefault="00CC2510" w:rsidP="00CC2510">
      <w:pPr>
        <w:numPr>
          <w:ilvl w:val="1"/>
          <w:numId w:val="13"/>
        </w:numPr>
        <w:spacing w:before="100" w:beforeAutospacing="1" w:after="100" w:afterAutospacing="1"/>
        <w:rPr>
          <w:color w:val="000000"/>
        </w:rPr>
      </w:pPr>
      <w:r w:rsidRPr="00A55376">
        <w:rPr>
          <w:b/>
          <w:bCs/>
          <w:color w:val="000000"/>
        </w:rPr>
        <w:t>Year 1</w:t>
      </w:r>
      <w:r w:rsidRPr="00A55376">
        <w:rPr>
          <w:color w:val="000000"/>
        </w:rPr>
        <w:t>: (€12,000million/€20,000</w:t>
      </w:r>
      <w:proofErr w:type="gramStart"/>
      <w:r w:rsidRPr="00A55376">
        <w:rPr>
          <w:color w:val="000000"/>
        </w:rPr>
        <w:t>million)x</w:t>
      </w:r>
      <w:proofErr w:type="gramEnd"/>
      <w:r w:rsidRPr="00A55376">
        <w:rPr>
          <w:color w:val="000000"/>
        </w:rPr>
        <w:t>100(€12,000million/€20,000million)x100 = 60%</w:t>
      </w:r>
    </w:p>
    <w:p w14:paraId="6524A9D8" w14:textId="77777777" w:rsidR="00CC2510" w:rsidRPr="00A55376" w:rsidRDefault="00CC2510" w:rsidP="00CC2510">
      <w:pPr>
        <w:numPr>
          <w:ilvl w:val="1"/>
          <w:numId w:val="13"/>
        </w:numPr>
        <w:spacing w:before="100" w:beforeAutospacing="1" w:after="100" w:afterAutospacing="1"/>
        <w:rPr>
          <w:color w:val="000000"/>
        </w:rPr>
      </w:pPr>
      <w:r w:rsidRPr="00A55376">
        <w:rPr>
          <w:b/>
          <w:bCs/>
          <w:color w:val="000000"/>
        </w:rPr>
        <w:t>Year 2</w:t>
      </w:r>
      <w:r w:rsidRPr="00A55376">
        <w:rPr>
          <w:color w:val="000000"/>
        </w:rPr>
        <w:t>: (€13,000million/€22,000</w:t>
      </w:r>
      <w:proofErr w:type="gramStart"/>
      <w:r w:rsidRPr="00A55376">
        <w:rPr>
          <w:color w:val="000000"/>
        </w:rPr>
        <w:t>million)x</w:t>
      </w:r>
      <w:proofErr w:type="gramEnd"/>
      <w:r w:rsidRPr="00A55376">
        <w:rPr>
          <w:color w:val="000000"/>
        </w:rPr>
        <w:t>100(€13,000million/€22,000million)x100 = 59%</w:t>
      </w:r>
    </w:p>
    <w:p w14:paraId="4A94A998" w14:textId="77777777" w:rsidR="00CC2510" w:rsidRPr="00A55376" w:rsidRDefault="00CC2510" w:rsidP="00CC2510">
      <w:pPr>
        <w:numPr>
          <w:ilvl w:val="1"/>
          <w:numId w:val="13"/>
        </w:numPr>
        <w:spacing w:before="100" w:beforeAutospacing="1" w:after="100" w:afterAutospacing="1"/>
        <w:rPr>
          <w:color w:val="000000"/>
        </w:rPr>
      </w:pPr>
      <w:r w:rsidRPr="00A55376">
        <w:rPr>
          <w:b/>
          <w:bCs/>
          <w:color w:val="000000"/>
        </w:rPr>
        <w:t>Year 3</w:t>
      </w:r>
      <w:r w:rsidRPr="00A55376">
        <w:rPr>
          <w:color w:val="000000"/>
        </w:rPr>
        <w:t>: (€14,500million/€24,500</w:t>
      </w:r>
      <w:proofErr w:type="gramStart"/>
      <w:r w:rsidRPr="00A55376">
        <w:rPr>
          <w:color w:val="000000"/>
        </w:rPr>
        <w:t>million)x</w:t>
      </w:r>
      <w:proofErr w:type="gramEnd"/>
      <w:r w:rsidRPr="00A55376">
        <w:rPr>
          <w:color w:val="000000"/>
        </w:rPr>
        <w:t>100(€14,500million/€24,500million)x100 = 59.2%</w:t>
      </w:r>
    </w:p>
    <w:p w14:paraId="443B1C29" w14:textId="77777777" w:rsidR="00CC2510" w:rsidRPr="00A55376" w:rsidRDefault="00CC2510" w:rsidP="00CC2510">
      <w:pPr>
        <w:numPr>
          <w:ilvl w:val="1"/>
          <w:numId w:val="13"/>
        </w:numPr>
        <w:spacing w:before="100" w:beforeAutospacing="1" w:after="100" w:afterAutospacing="1"/>
        <w:rPr>
          <w:color w:val="000000"/>
        </w:rPr>
      </w:pPr>
      <w:r w:rsidRPr="00A55376">
        <w:rPr>
          <w:b/>
          <w:bCs/>
          <w:color w:val="000000"/>
        </w:rPr>
        <w:t>Year 4</w:t>
      </w:r>
      <w:r w:rsidRPr="00A55376">
        <w:rPr>
          <w:color w:val="000000"/>
        </w:rPr>
        <w:t>: (€15,000million/€25,000</w:t>
      </w:r>
      <w:proofErr w:type="gramStart"/>
      <w:r w:rsidRPr="00A55376">
        <w:rPr>
          <w:color w:val="000000"/>
        </w:rPr>
        <w:t>million)x</w:t>
      </w:r>
      <w:proofErr w:type="gramEnd"/>
      <w:r w:rsidRPr="00A55376">
        <w:rPr>
          <w:color w:val="000000"/>
        </w:rPr>
        <w:t>100(€15,000million/€25,000million)x100 = 60%</w:t>
      </w:r>
    </w:p>
    <w:p w14:paraId="2AB438F9" w14:textId="77777777" w:rsidR="00CC2510" w:rsidRPr="00A55376" w:rsidRDefault="00CC2510" w:rsidP="00CC2510">
      <w:pPr>
        <w:numPr>
          <w:ilvl w:val="1"/>
          <w:numId w:val="13"/>
        </w:numPr>
        <w:spacing w:before="100" w:beforeAutospacing="1" w:after="100" w:afterAutospacing="1"/>
        <w:rPr>
          <w:color w:val="000000"/>
        </w:rPr>
      </w:pPr>
      <w:r w:rsidRPr="00A55376">
        <w:rPr>
          <w:b/>
          <w:bCs/>
          <w:color w:val="000000"/>
        </w:rPr>
        <w:t>Year 5</w:t>
      </w:r>
      <w:r w:rsidRPr="00A55376">
        <w:rPr>
          <w:color w:val="000000"/>
        </w:rPr>
        <w:t>: (€16,000million/€27,000</w:t>
      </w:r>
      <w:proofErr w:type="gramStart"/>
      <w:r w:rsidRPr="00A55376">
        <w:rPr>
          <w:color w:val="000000"/>
        </w:rPr>
        <w:t>million)x</w:t>
      </w:r>
      <w:proofErr w:type="gramEnd"/>
      <w:r w:rsidRPr="00A55376">
        <w:rPr>
          <w:color w:val="000000"/>
        </w:rPr>
        <w:t>100(€16,000million/€27,000million)x100 = 59.3%</w:t>
      </w:r>
    </w:p>
    <w:p w14:paraId="5EFA6765" w14:textId="77777777" w:rsidR="00CC2510" w:rsidRPr="00A55376" w:rsidRDefault="00CC2510" w:rsidP="00CC2510">
      <w:pPr>
        <w:spacing w:before="100" w:beforeAutospacing="1" w:after="100" w:afterAutospacing="1"/>
        <w:outlineLvl w:val="3"/>
        <w:rPr>
          <w:b/>
          <w:bCs/>
          <w:color w:val="000000"/>
        </w:rPr>
      </w:pPr>
      <w:r w:rsidRPr="00A55376">
        <w:rPr>
          <w:b/>
          <w:bCs/>
          <w:color w:val="000000"/>
        </w:rPr>
        <w:t>Operating Profit Margin</w:t>
      </w:r>
    </w:p>
    <w:p w14:paraId="475D7DB6" w14:textId="77777777" w:rsidR="00CC2510" w:rsidRPr="00A55376" w:rsidRDefault="00CC2510" w:rsidP="00CC2510">
      <w:pPr>
        <w:numPr>
          <w:ilvl w:val="0"/>
          <w:numId w:val="14"/>
        </w:numPr>
        <w:spacing w:before="100" w:beforeAutospacing="1" w:after="100" w:afterAutospacing="1"/>
        <w:rPr>
          <w:color w:val="000000"/>
        </w:rPr>
      </w:pPr>
      <w:r w:rsidRPr="00A55376">
        <w:rPr>
          <w:b/>
          <w:bCs/>
          <w:color w:val="000000"/>
        </w:rPr>
        <w:t>Formula</w:t>
      </w:r>
      <w:r w:rsidRPr="00A55376">
        <w:rPr>
          <w:color w:val="000000"/>
        </w:rPr>
        <w:t>: (OperatingProfit/</w:t>
      </w:r>
      <w:proofErr w:type="gramStart"/>
      <w:r w:rsidRPr="00A55376">
        <w:rPr>
          <w:color w:val="000000"/>
        </w:rPr>
        <w:t>Revenue)x</w:t>
      </w:r>
      <w:proofErr w:type="gramEnd"/>
      <w:r w:rsidRPr="00A55376">
        <w:rPr>
          <w:color w:val="000000"/>
        </w:rPr>
        <w:t>100(OperatingProfit/Revenue)x100</w:t>
      </w:r>
    </w:p>
    <w:p w14:paraId="68AC77CC" w14:textId="77777777" w:rsidR="00CC2510" w:rsidRPr="00A55376" w:rsidRDefault="00CC2510" w:rsidP="00CC2510">
      <w:pPr>
        <w:numPr>
          <w:ilvl w:val="0"/>
          <w:numId w:val="14"/>
        </w:numPr>
        <w:spacing w:before="100" w:beforeAutospacing="1" w:after="100" w:afterAutospacing="1"/>
        <w:rPr>
          <w:color w:val="000000"/>
        </w:rPr>
      </w:pPr>
      <w:r w:rsidRPr="00A55376">
        <w:rPr>
          <w:b/>
          <w:bCs/>
          <w:color w:val="000000"/>
        </w:rPr>
        <w:t>Example Calculation</w:t>
      </w:r>
      <w:r w:rsidRPr="00A55376">
        <w:rPr>
          <w:color w:val="000000"/>
        </w:rPr>
        <w:t>:</w:t>
      </w:r>
    </w:p>
    <w:p w14:paraId="3B7CAE4B" w14:textId="77777777" w:rsidR="00CC2510" w:rsidRPr="00A55376" w:rsidRDefault="00CC2510" w:rsidP="00CC2510">
      <w:pPr>
        <w:numPr>
          <w:ilvl w:val="1"/>
          <w:numId w:val="14"/>
        </w:numPr>
        <w:spacing w:before="100" w:beforeAutospacing="1" w:after="100" w:afterAutospacing="1"/>
        <w:rPr>
          <w:color w:val="000000"/>
        </w:rPr>
      </w:pPr>
      <w:r w:rsidRPr="00A55376">
        <w:rPr>
          <w:b/>
          <w:bCs/>
          <w:color w:val="000000"/>
        </w:rPr>
        <w:t>Year 1</w:t>
      </w:r>
      <w:r w:rsidRPr="00A55376">
        <w:rPr>
          <w:color w:val="000000"/>
        </w:rPr>
        <w:t>: (€5,500million/€20,000</w:t>
      </w:r>
      <w:proofErr w:type="gramStart"/>
      <w:r w:rsidRPr="00A55376">
        <w:rPr>
          <w:color w:val="000000"/>
        </w:rPr>
        <w:t>million)x</w:t>
      </w:r>
      <w:proofErr w:type="gramEnd"/>
      <w:r w:rsidRPr="00A55376">
        <w:rPr>
          <w:color w:val="000000"/>
        </w:rPr>
        <w:t>100(€5,500million/€20,000million)x100 = 27.5%</w:t>
      </w:r>
    </w:p>
    <w:p w14:paraId="39373D47" w14:textId="77777777" w:rsidR="00CC2510" w:rsidRPr="00A55376" w:rsidRDefault="00CC2510" w:rsidP="00CC2510">
      <w:pPr>
        <w:numPr>
          <w:ilvl w:val="1"/>
          <w:numId w:val="14"/>
        </w:numPr>
        <w:spacing w:before="100" w:beforeAutospacing="1" w:after="100" w:afterAutospacing="1"/>
        <w:rPr>
          <w:color w:val="000000"/>
        </w:rPr>
      </w:pPr>
      <w:r w:rsidRPr="00A55376">
        <w:rPr>
          <w:b/>
          <w:bCs/>
          <w:color w:val="000000"/>
        </w:rPr>
        <w:t>Year 2</w:t>
      </w:r>
      <w:r w:rsidRPr="00A55376">
        <w:rPr>
          <w:color w:val="000000"/>
        </w:rPr>
        <w:t>: (€6,000million/€22,000</w:t>
      </w:r>
      <w:proofErr w:type="gramStart"/>
      <w:r w:rsidRPr="00A55376">
        <w:rPr>
          <w:color w:val="000000"/>
        </w:rPr>
        <w:t>million)x</w:t>
      </w:r>
      <w:proofErr w:type="gramEnd"/>
      <w:r w:rsidRPr="00A55376">
        <w:rPr>
          <w:color w:val="000000"/>
        </w:rPr>
        <w:t>100(€6,000million/€22,000million)x100 = 27.3%</w:t>
      </w:r>
    </w:p>
    <w:p w14:paraId="173691F4" w14:textId="77777777" w:rsidR="00CC2510" w:rsidRPr="00A55376" w:rsidRDefault="00CC2510" w:rsidP="00CC2510">
      <w:pPr>
        <w:numPr>
          <w:ilvl w:val="1"/>
          <w:numId w:val="14"/>
        </w:numPr>
        <w:spacing w:before="100" w:beforeAutospacing="1" w:after="100" w:afterAutospacing="1"/>
        <w:rPr>
          <w:color w:val="000000"/>
        </w:rPr>
      </w:pPr>
      <w:r w:rsidRPr="00A55376">
        <w:rPr>
          <w:b/>
          <w:bCs/>
          <w:color w:val="000000"/>
        </w:rPr>
        <w:t>Year 3</w:t>
      </w:r>
      <w:r w:rsidRPr="00A55376">
        <w:rPr>
          <w:color w:val="000000"/>
        </w:rPr>
        <w:t>: (€7,000million/€24,500</w:t>
      </w:r>
      <w:proofErr w:type="gramStart"/>
      <w:r w:rsidRPr="00A55376">
        <w:rPr>
          <w:color w:val="000000"/>
        </w:rPr>
        <w:t>million)x</w:t>
      </w:r>
      <w:proofErr w:type="gramEnd"/>
      <w:r w:rsidRPr="00A55376">
        <w:rPr>
          <w:color w:val="000000"/>
        </w:rPr>
        <w:t>100(€7,000million/€24,500million)x100 = 28.6%</w:t>
      </w:r>
    </w:p>
    <w:p w14:paraId="238A0A38" w14:textId="77777777" w:rsidR="00CC2510" w:rsidRPr="00A55376" w:rsidRDefault="00CC2510" w:rsidP="00CC2510">
      <w:pPr>
        <w:numPr>
          <w:ilvl w:val="1"/>
          <w:numId w:val="14"/>
        </w:numPr>
        <w:spacing w:before="100" w:beforeAutospacing="1" w:after="100" w:afterAutospacing="1"/>
        <w:rPr>
          <w:color w:val="000000"/>
        </w:rPr>
      </w:pPr>
      <w:r w:rsidRPr="00A55376">
        <w:rPr>
          <w:b/>
          <w:bCs/>
          <w:color w:val="000000"/>
        </w:rPr>
        <w:t>Year 4</w:t>
      </w:r>
      <w:r w:rsidRPr="00A55376">
        <w:rPr>
          <w:color w:val="000000"/>
        </w:rPr>
        <w:t>: (€7,200million/€25,000</w:t>
      </w:r>
      <w:proofErr w:type="gramStart"/>
      <w:r w:rsidRPr="00A55376">
        <w:rPr>
          <w:color w:val="000000"/>
        </w:rPr>
        <w:t>million)x</w:t>
      </w:r>
      <w:proofErr w:type="gramEnd"/>
      <w:r w:rsidRPr="00A55376">
        <w:rPr>
          <w:color w:val="000000"/>
        </w:rPr>
        <w:t>100(€7,200million/€25,000million)x100 = 28.8%</w:t>
      </w:r>
    </w:p>
    <w:p w14:paraId="01B6D240" w14:textId="77777777" w:rsidR="00CC2510" w:rsidRPr="00A55376" w:rsidRDefault="00CC2510" w:rsidP="00CC2510">
      <w:pPr>
        <w:numPr>
          <w:ilvl w:val="1"/>
          <w:numId w:val="14"/>
        </w:numPr>
        <w:spacing w:before="100" w:beforeAutospacing="1" w:after="100" w:afterAutospacing="1"/>
        <w:rPr>
          <w:color w:val="000000"/>
        </w:rPr>
      </w:pPr>
      <w:r w:rsidRPr="00A55376">
        <w:rPr>
          <w:b/>
          <w:bCs/>
          <w:color w:val="000000"/>
        </w:rPr>
        <w:t>Year 5</w:t>
      </w:r>
      <w:r w:rsidRPr="00A55376">
        <w:rPr>
          <w:color w:val="000000"/>
        </w:rPr>
        <w:t>: (€7,500million/€27,000</w:t>
      </w:r>
      <w:proofErr w:type="gramStart"/>
      <w:r w:rsidRPr="00A55376">
        <w:rPr>
          <w:color w:val="000000"/>
        </w:rPr>
        <w:t>million)x</w:t>
      </w:r>
      <w:proofErr w:type="gramEnd"/>
      <w:r w:rsidRPr="00A55376">
        <w:rPr>
          <w:color w:val="000000"/>
        </w:rPr>
        <w:t>100(€7,500million/€27,000million)x100 = 27.8%</w:t>
      </w:r>
    </w:p>
    <w:p w14:paraId="5DAC94CD" w14:textId="77777777" w:rsidR="00CC2510" w:rsidRPr="00A55376" w:rsidRDefault="00CC2510" w:rsidP="00CC2510">
      <w:pPr>
        <w:spacing w:before="100" w:beforeAutospacing="1" w:after="100" w:afterAutospacing="1"/>
        <w:outlineLvl w:val="3"/>
        <w:rPr>
          <w:b/>
          <w:bCs/>
          <w:color w:val="000000"/>
        </w:rPr>
      </w:pPr>
      <w:r w:rsidRPr="00A55376">
        <w:rPr>
          <w:b/>
          <w:bCs/>
          <w:color w:val="000000"/>
        </w:rPr>
        <w:t>Net Profit Margin</w:t>
      </w:r>
    </w:p>
    <w:p w14:paraId="40D5551E" w14:textId="77777777" w:rsidR="00CC2510" w:rsidRPr="00A55376" w:rsidRDefault="00CC2510" w:rsidP="00CC2510">
      <w:pPr>
        <w:numPr>
          <w:ilvl w:val="0"/>
          <w:numId w:val="15"/>
        </w:numPr>
        <w:spacing w:before="100" w:beforeAutospacing="1" w:after="100" w:afterAutospacing="1"/>
        <w:rPr>
          <w:color w:val="000000"/>
        </w:rPr>
      </w:pPr>
      <w:r w:rsidRPr="00A55376">
        <w:rPr>
          <w:b/>
          <w:bCs/>
          <w:color w:val="000000"/>
        </w:rPr>
        <w:t>Formula</w:t>
      </w:r>
      <w:r w:rsidRPr="00A55376">
        <w:rPr>
          <w:color w:val="000000"/>
        </w:rPr>
        <w:t>: (</w:t>
      </w:r>
      <w:proofErr w:type="spellStart"/>
      <w:r w:rsidRPr="00A55376">
        <w:rPr>
          <w:color w:val="000000"/>
        </w:rPr>
        <w:t>NetProfit</w:t>
      </w:r>
      <w:proofErr w:type="spellEnd"/>
      <w:r w:rsidRPr="00A55376">
        <w:rPr>
          <w:color w:val="000000"/>
        </w:rPr>
        <w:t>/</w:t>
      </w:r>
      <w:proofErr w:type="gramStart"/>
      <w:r w:rsidRPr="00A55376">
        <w:rPr>
          <w:color w:val="000000"/>
        </w:rPr>
        <w:t>Revenue)x</w:t>
      </w:r>
      <w:proofErr w:type="gramEnd"/>
      <w:r w:rsidRPr="00A55376">
        <w:rPr>
          <w:color w:val="000000"/>
        </w:rPr>
        <w:t>100(</w:t>
      </w:r>
      <w:proofErr w:type="spellStart"/>
      <w:r w:rsidRPr="00A55376">
        <w:rPr>
          <w:color w:val="000000"/>
        </w:rPr>
        <w:t>NetProfit</w:t>
      </w:r>
      <w:proofErr w:type="spellEnd"/>
      <w:r w:rsidRPr="00A55376">
        <w:rPr>
          <w:color w:val="000000"/>
        </w:rPr>
        <w:t>/Revenue)x100</w:t>
      </w:r>
    </w:p>
    <w:p w14:paraId="532F25CE" w14:textId="77777777" w:rsidR="00CC2510" w:rsidRPr="00A55376" w:rsidRDefault="00CC2510" w:rsidP="00CC2510">
      <w:pPr>
        <w:numPr>
          <w:ilvl w:val="0"/>
          <w:numId w:val="15"/>
        </w:numPr>
        <w:spacing w:before="100" w:beforeAutospacing="1" w:after="100" w:afterAutospacing="1"/>
        <w:rPr>
          <w:color w:val="000000"/>
        </w:rPr>
      </w:pPr>
      <w:r w:rsidRPr="00A55376">
        <w:rPr>
          <w:b/>
          <w:bCs/>
          <w:color w:val="000000"/>
        </w:rPr>
        <w:t>Example Calculation</w:t>
      </w:r>
      <w:r w:rsidRPr="00A55376">
        <w:rPr>
          <w:color w:val="000000"/>
        </w:rPr>
        <w:t>:</w:t>
      </w:r>
    </w:p>
    <w:p w14:paraId="52CA3BBB" w14:textId="77777777" w:rsidR="00CC2510" w:rsidRPr="00A55376" w:rsidRDefault="00CC2510" w:rsidP="00CC2510">
      <w:pPr>
        <w:numPr>
          <w:ilvl w:val="1"/>
          <w:numId w:val="15"/>
        </w:numPr>
        <w:spacing w:before="100" w:beforeAutospacing="1" w:after="100" w:afterAutospacing="1"/>
        <w:rPr>
          <w:color w:val="000000"/>
        </w:rPr>
      </w:pPr>
      <w:r w:rsidRPr="00A55376">
        <w:rPr>
          <w:b/>
          <w:bCs/>
          <w:color w:val="000000"/>
        </w:rPr>
        <w:t>Year 1</w:t>
      </w:r>
      <w:r w:rsidRPr="00A55376">
        <w:rPr>
          <w:color w:val="000000"/>
        </w:rPr>
        <w:t>: (€3,000million/€20,000</w:t>
      </w:r>
      <w:proofErr w:type="gramStart"/>
      <w:r w:rsidRPr="00A55376">
        <w:rPr>
          <w:color w:val="000000"/>
        </w:rPr>
        <w:t>million)x</w:t>
      </w:r>
      <w:proofErr w:type="gramEnd"/>
      <w:r w:rsidRPr="00A55376">
        <w:rPr>
          <w:color w:val="000000"/>
        </w:rPr>
        <w:t>100(€3,000million/€20,000million)x100 = 15%</w:t>
      </w:r>
    </w:p>
    <w:p w14:paraId="3362645A" w14:textId="77777777" w:rsidR="00CC2510" w:rsidRPr="00A55376" w:rsidRDefault="00CC2510" w:rsidP="00CC2510">
      <w:pPr>
        <w:numPr>
          <w:ilvl w:val="1"/>
          <w:numId w:val="15"/>
        </w:numPr>
        <w:spacing w:before="100" w:beforeAutospacing="1" w:after="100" w:afterAutospacing="1"/>
        <w:rPr>
          <w:color w:val="000000"/>
        </w:rPr>
      </w:pPr>
      <w:r w:rsidRPr="00A55376">
        <w:rPr>
          <w:b/>
          <w:bCs/>
          <w:color w:val="000000"/>
        </w:rPr>
        <w:t>Year 2</w:t>
      </w:r>
      <w:r w:rsidRPr="00A55376">
        <w:rPr>
          <w:color w:val="000000"/>
        </w:rPr>
        <w:t>: (€3,200million/€22,000</w:t>
      </w:r>
      <w:proofErr w:type="gramStart"/>
      <w:r w:rsidRPr="00A55376">
        <w:rPr>
          <w:color w:val="000000"/>
        </w:rPr>
        <w:t>million)x</w:t>
      </w:r>
      <w:proofErr w:type="gramEnd"/>
      <w:r w:rsidRPr="00A55376">
        <w:rPr>
          <w:color w:val="000000"/>
        </w:rPr>
        <w:t>100(€3,200million/€22,000million)x100 = 14.5%</w:t>
      </w:r>
    </w:p>
    <w:p w14:paraId="60B0AE5B" w14:textId="77777777" w:rsidR="00CC2510" w:rsidRPr="00A55376" w:rsidRDefault="00CC2510" w:rsidP="00CC2510">
      <w:pPr>
        <w:numPr>
          <w:ilvl w:val="1"/>
          <w:numId w:val="15"/>
        </w:numPr>
        <w:spacing w:before="100" w:beforeAutospacing="1" w:after="100" w:afterAutospacing="1"/>
        <w:rPr>
          <w:color w:val="000000"/>
        </w:rPr>
      </w:pPr>
      <w:r w:rsidRPr="00A55376">
        <w:rPr>
          <w:b/>
          <w:bCs/>
          <w:color w:val="000000"/>
        </w:rPr>
        <w:t>Year 3</w:t>
      </w:r>
      <w:r w:rsidRPr="00A55376">
        <w:rPr>
          <w:color w:val="000000"/>
        </w:rPr>
        <w:t>: (€4,000million/€24,500</w:t>
      </w:r>
      <w:proofErr w:type="gramStart"/>
      <w:r w:rsidRPr="00A55376">
        <w:rPr>
          <w:color w:val="000000"/>
        </w:rPr>
        <w:t>million)x</w:t>
      </w:r>
      <w:proofErr w:type="gramEnd"/>
      <w:r w:rsidRPr="00A55376">
        <w:rPr>
          <w:color w:val="000000"/>
        </w:rPr>
        <w:t>100(€4,000million/€24,500million)x100 = 16.3%</w:t>
      </w:r>
    </w:p>
    <w:p w14:paraId="751DB4D8" w14:textId="77777777" w:rsidR="00CC2510" w:rsidRPr="00A55376" w:rsidRDefault="00CC2510" w:rsidP="00CC2510">
      <w:pPr>
        <w:numPr>
          <w:ilvl w:val="1"/>
          <w:numId w:val="15"/>
        </w:numPr>
        <w:spacing w:before="100" w:beforeAutospacing="1" w:after="100" w:afterAutospacing="1"/>
        <w:rPr>
          <w:color w:val="000000"/>
        </w:rPr>
      </w:pPr>
      <w:r w:rsidRPr="00A55376">
        <w:rPr>
          <w:b/>
          <w:bCs/>
          <w:color w:val="000000"/>
        </w:rPr>
        <w:t>Year 4</w:t>
      </w:r>
      <w:r w:rsidRPr="00A55376">
        <w:rPr>
          <w:color w:val="000000"/>
        </w:rPr>
        <w:t>: (€4,300million/€25,000</w:t>
      </w:r>
      <w:proofErr w:type="gramStart"/>
      <w:r w:rsidRPr="00A55376">
        <w:rPr>
          <w:color w:val="000000"/>
        </w:rPr>
        <w:t>million)x</w:t>
      </w:r>
      <w:proofErr w:type="gramEnd"/>
      <w:r w:rsidRPr="00A55376">
        <w:rPr>
          <w:color w:val="000000"/>
        </w:rPr>
        <w:t>100(€4,300million/€25,000million)x100 = 17.2%</w:t>
      </w:r>
    </w:p>
    <w:p w14:paraId="0FAFAFDE" w14:textId="77777777" w:rsidR="00CC2510" w:rsidRPr="00A55376" w:rsidRDefault="00CC2510" w:rsidP="00CC2510">
      <w:pPr>
        <w:numPr>
          <w:ilvl w:val="1"/>
          <w:numId w:val="15"/>
        </w:numPr>
        <w:spacing w:before="100" w:beforeAutospacing="1" w:after="100" w:afterAutospacing="1"/>
        <w:rPr>
          <w:color w:val="000000"/>
        </w:rPr>
      </w:pPr>
      <w:r w:rsidRPr="00A55376">
        <w:rPr>
          <w:b/>
          <w:bCs/>
          <w:color w:val="000000"/>
        </w:rPr>
        <w:t>Year 5</w:t>
      </w:r>
      <w:r w:rsidRPr="00A55376">
        <w:rPr>
          <w:color w:val="000000"/>
        </w:rPr>
        <w:t>: (€4,500million/€27,000</w:t>
      </w:r>
      <w:proofErr w:type="gramStart"/>
      <w:r w:rsidRPr="00A55376">
        <w:rPr>
          <w:color w:val="000000"/>
        </w:rPr>
        <w:t>million)x</w:t>
      </w:r>
      <w:proofErr w:type="gramEnd"/>
      <w:r w:rsidRPr="00A55376">
        <w:rPr>
          <w:color w:val="000000"/>
        </w:rPr>
        <w:t>100(€4,500million/€27,000million)x100 = 16.7%</w:t>
      </w:r>
    </w:p>
    <w:p w14:paraId="61FA929E" w14:textId="77777777" w:rsidR="00CC2510" w:rsidRPr="00A55376" w:rsidRDefault="00CC2510" w:rsidP="00CC2510">
      <w:pPr>
        <w:spacing w:before="100" w:beforeAutospacing="1" w:after="100" w:afterAutospacing="1"/>
        <w:outlineLvl w:val="3"/>
        <w:rPr>
          <w:b/>
          <w:bCs/>
          <w:color w:val="000000"/>
        </w:rPr>
      </w:pPr>
      <w:r w:rsidRPr="00A55376">
        <w:rPr>
          <w:b/>
          <w:bCs/>
          <w:color w:val="000000"/>
        </w:rPr>
        <w:t>Return on Assets (ROA)</w:t>
      </w:r>
    </w:p>
    <w:p w14:paraId="64D78F5D" w14:textId="77777777" w:rsidR="00CC2510" w:rsidRPr="00A55376" w:rsidRDefault="00CC2510" w:rsidP="00CC2510">
      <w:pPr>
        <w:numPr>
          <w:ilvl w:val="0"/>
          <w:numId w:val="16"/>
        </w:numPr>
        <w:spacing w:before="100" w:beforeAutospacing="1" w:after="100" w:afterAutospacing="1"/>
        <w:rPr>
          <w:color w:val="000000"/>
        </w:rPr>
      </w:pPr>
      <w:r w:rsidRPr="00A55376">
        <w:rPr>
          <w:b/>
          <w:bCs/>
          <w:color w:val="000000"/>
        </w:rPr>
        <w:t>Formula</w:t>
      </w:r>
      <w:r w:rsidRPr="00A55376">
        <w:rPr>
          <w:color w:val="000000"/>
        </w:rPr>
        <w:t>: (</w:t>
      </w:r>
      <w:proofErr w:type="spellStart"/>
      <w:r w:rsidRPr="00A55376">
        <w:rPr>
          <w:color w:val="000000"/>
        </w:rPr>
        <w:t>NetIncome</w:t>
      </w:r>
      <w:proofErr w:type="spellEnd"/>
      <w:r w:rsidRPr="00A55376">
        <w:rPr>
          <w:color w:val="000000"/>
        </w:rPr>
        <w:t>/</w:t>
      </w:r>
      <w:proofErr w:type="spellStart"/>
      <w:proofErr w:type="gramStart"/>
      <w:r w:rsidRPr="00A55376">
        <w:rPr>
          <w:color w:val="000000"/>
        </w:rPr>
        <w:t>TotalAssets</w:t>
      </w:r>
      <w:proofErr w:type="spellEnd"/>
      <w:r w:rsidRPr="00A55376">
        <w:rPr>
          <w:color w:val="000000"/>
        </w:rPr>
        <w:t>)x</w:t>
      </w:r>
      <w:proofErr w:type="gramEnd"/>
      <w:r w:rsidRPr="00A55376">
        <w:rPr>
          <w:color w:val="000000"/>
        </w:rPr>
        <w:t>100(</w:t>
      </w:r>
      <w:proofErr w:type="spellStart"/>
      <w:r w:rsidRPr="00A55376">
        <w:rPr>
          <w:color w:val="000000"/>
        </w:rPr>
        <w:t>NetIncome</w:t>
      </w:r>
      <w:proofErr w:type="spellEnd"/>
      <w:r w:rsidRPr="00A55376">
        <w:rPr>
          <w:color w:val="000000"/>
        </w:rPr>
        <w:t>/</w:t>
      </w:r>
      <w:proofErr w:type="spellStart"/>
      <w:r w:rsidRPr="00A55376">
        <w:rPr>
          <w:color w:val="000000"/>
        </w:rPr>
        <w:t>TotalAssets</w:t>
      </w:r>
      <w:proofErr w:type="spellEnd"/>
      <w:r w:rsidRPr="00A55376">
        <w:rPr>
          <w:color w:val="000000"/>
        </w:rPr>
        <w:t>)x100</w:t>
      </w:r>
    </w:p>
    <w:p w14:paraId="3CA3C611" w14:textId="77777777" w:rsidR="00CC2510" w:rsidRPr="00A55376" w:rsidRDefault="00CC2510" w:rsidP="00CC2510">
      <w:pPr>
        <w:numPr>
          <w:ilvl w:val="0"/>
          <w:numId w:val="16"/>
        </w:numPr>
        <w:spacing w:before="100" w:beforeAutospacing="1" w:after="100" w:afterAutospacing="1"/>
        <w:rPr>
          <w:color w:val="000000"/>
        </w:rPr>
      </w:pPr>
      <w:r w:rsidRPr="00A55376">
        <w:rPr>
          <w:b/>
          <w:bCs/>
          <w:color w:val="000000"/>
        </w:rPr>
        <w:t>Example Calculation</w:t>
      </w:r>
      <w:r w:rsidRPr="00A55376">
        <w:rPr>
          <w:color w:val="000000"/>
        </w:rPr>
        <w:t>:</w:t>
      </w:r>
    </w:p>
    <w:p w14:paraId="71F24780" w14:textId="77777777" w:rsidR="00CC2510" w:rsidRPr="00A55376" w:rsidRDefault="00CC2510" w:rsidP="00CC2510">
      <w:pPr>
        <w:numPr>
          <w:ilvl w:val="1"/>
          <w:numId w:val="16"/>
        </w:numPr>
        <w:spacing w:before="100" w:beforeAutospacing="1" w:after="100" w:afterAutospacing="1"/>
        <w:rPr>
          <w:color w:val="000000"/>
        </w:rPr>
      </w:pPr>
      <w:r w:rsidRPr="00A55376">
        <w:rPr>
          <w:b/>
          <w:bCs/>
          <w:color w:val="000000"/>
        </w:rPr>
        <w:t>Year 1</w:t>
      </w:r>
      <w:r w:rsidRPr="00A55376">
        <w:rPr>
          <w:color w:val="000000"/>
        </w:rPr>
        <w:t>: (€3,000million/€50,000</w:t>
      </w:r>
      <w:proofErr w:type="gramStart"/>
      <w:r w:rsidRPr="00A55376">
        <w:rPr>
          <w:color w:val="000000"/>
        </w:rPr>
        <w:t>million)x</w:t>
      </w:r>
      <w:proofErr w:type="gramEnd"/>
      <w:r w:rsidRPr="00A55376">
        <w:rPr>
          <w:color w:val="000000"/>
        </w:rPr>
        <w:t>100(€3,000million/€50,000million)x100 = 6%</w:t>
      </w:r>
    </w:p>
    <w:p w14:paraId="76ADE4B8" w14:textId="77777777" w:rsidR="00CC2510" w:rsidRPr="00A55376" w:rsidRDefault="00CC2510" w:rsidP="00CC2510">
      <w:pPr>
        <w:numPr>
          <w:ilvl w:val="1"/>
          <w:numId w:val="16"/>
        </w:numPr>
        <w:spacing w:before="100" w:beforeAutospacing="1" w:after="100" w:afterAutospacing="1"/>
        <w:rPr>
          <w:color w:val="000000"/>
        </w:rPr>
      </w:pPr>
      <w:r w:rsidRPr="00A55376">
        <w:rPr>
          <w:b/>
          <w:bCs/>
          <w:color w:val="000000"/>
        </w:rPr>
        <w:t>Year 2</w:t>
      </w:r>
      <w:r w:rsidRPr="00A55376">
        <w:rPr>
          <w:color w:val="000000"/>
        </w:rPr>
        <w:t>: (€3,200million/€52,000</w:t>
      </w:r>
      <w:proofErr w:type="gramStart"/>
      <w:r w:rsidRPr="00A55376">
        <w:rPr>
          <w:color w:val="000000"/>
        </w:rPr>
        <w:t>million)x</w:t>
      </w:r>
      <w:proofErr w:type="gramEnd"/>
      <w:r w:rsidRPr="00A55376">
        <w:rPr>
          <w:color w:val="000000"/>
        </w:rPr>
        <w:t>100(€3,200million/€52,000million)x100 = 6.15%</w:t>
      </w:r>
    </w:p>
    <w:p w14:paraId="082C645A" w14:textId="77777777" w:rsidR="00CC2510" w:rsidRPr="00A55376" w:rsidRDefault="00CC2510" w:rsidP="00CC2510">
      <w:pPr>
        <w:numPr>
          <w:ilvl w:val="1"/>
          <w:numId w:val="16"/>
        </w:numPr>
        <w:spacing w:before="100" w:beforeAutospacing="1" w:after="100" w:afterAutospacing="1"/>
        <w:rPr>
          <w:color w:val="000000"/>
        </w:rPr>
      </w:pPr>
      <w:r w:rsidRPr="00A55376">
        <w:rPr>
          <w:b/>
          <w:bCs/>
          <w:color w:val="000000"/>
        </w:rPr>
        <w:t>Year 3</w:t>
      </w:r>
      <w:r w:rsidRPr="00A55376">
        <w:rPr>
          <w:color w:val="000000"/>
        </w:rPr>
        <w:t>: (€4,000million/€54,000</w:t>
      </w:r>
      <w:proofErr w:type="gramStart"/>
      <w:r w:rsidRPr="00A55376">
        <w:rPr>
          <w:color w:val="000000"/>
        </w:rPr>
        <w:t>million)x</w:t>
      </w:r>
      <w:proofErr w:type="gramEnd"/>
      <w:r w:rsidRPr="00A55376">
        <w:rPr>
          <w:color w:val="000000"/>
        </w:rPr>
        <w:t>100(€4,000million/€54,000million)x100 = 7.41%</w:t>
      </w:r>
    </w:p>
    <w:p w14:paraId="2A128DC3" w14:textId="77777777" w:rsidR="00CC2510" w:rsidRPr="00A55376" w:rsidRDefault="00CC2510" w:rsidP="00CC2510">
      <w:pPr>
        <w:numPr>
          <w:ilvl w:val="1"/>
          <w:numId w:val="16"/>
        </w:numPr>
        <w:spacing w:before="100" w:beforeAutospacing="1" w:after="100" w:afterAutospacing="1"/>
        <w:rPr>
          <w:color w:val="000000"/>
        </w:rPr>
      </w:pPr>
      <w:r w:rsidRPr="00A55376">
        <w:rPr>
          <w:b/>
          <w:bCs/>
          <w:color w:val="000000"/>
        </w:rPr>
        <w:t>Year 4</w:t>
      </w:r>
      <w:r w:rsidRPr="00A55376">
        <w:rPr>
          <w:color w:val="000000"/>
        </w:rPr>
        <w:t>: (€4,300million/€56,000</w:t>
      </w:r>
      <w:proofErr w:type="gramStart"/>
      <w:r w:rsidRPr="00A55376">
        <w:rPr>
          <w:color w:val="000000"/>
        </w:rPr>
        <w:t>million)x</w:t>
      </w:r>
      <w:proofErr w:type="gramEnd"/>
      <w:r w:rsidRPr="00A55376">
        <w:rPr>
          <w:color w:val="000000"/>
        </w:rPr>
        <w:t>100(€4,300million/€56,000million)x100 = 7.68%</w:t>
      </w:r>
    </w:p>
    <w:p w14:paraId="24D54D1B" w14:textId="77777777" w:rsidR="00CC2510" w:rsidRPr="00A55376" w:rsidRDefault="00CC2510" w:rsidP="00CC2510">
      <w:pPr>
        <w:numPr>
          <w:ilvl w:val="1"/>
          <w:numId w:val="16"/>
        </w:numPr>
        <w:spacing w:before="100" w:beforeAutospacing="1" w:after="100" w:afterAutospacing="1"/>
        <w:rPr>
          <w:color w:val="000000"/>
        </w:rPr>
      </w:pPr>
      <w:r w:rsidRPr="00A55376">
        <w:rPr>
          <w:b/>
          <w:bCs/>
          <w:color w:val="000000"/>
        </w:rPr>
        <w:t>Year 5</w:t>
      </w:r>
      <w:r w:rsidRPr="00A55376">
        <w:rPr>
          <w:color w:val="000000"/>
        </w:rPr>
        <w:t>: (€4,500million/€58,000</w:t>
      </w:r>
      <w:proofErr w:type="gramStart"/>
      <w:r w:rsidRPr="00A55376">
        <w:rPr>
          <w:color w:val="000000"/>
        </w:rPr>
        <w:t>million)x</w:t>
      </w:r>
      <w:proofErr w:type="gramEnd"/>
      <w:r w:rsidRPr="00A55376">
        <w:rPr>
          <w:color w:val="000000"/>
        </w:rPr>
        <w:t>100(€4,500million/€58,000million)x100 = 7.76%</w:t>
      </w:r>
    </w:p>
    <w:p w14:paraId="25FBC16D" w14:textId="77777777" w:rsidR="00CC2510" w:rsidRPr="00A55376" w:rsidRDefault="00CC2510" w:rsidP="00CC2510">
      <w:pPr>
        <w:spacing w:before="100" w:beforeAutospacing="1" w:after="100" w:afterAutospacing="1"/>
        <w:outlineLvl w:val="3"/>
        <w:rPr>
          <w:b/>
          <w:bCs/>
          <w:color w:val="000000"/>
        </w:rPr>
      </w:pPr>
      <w:r w:rsidRPr="00A55376">
        <w:rPr>
          <w:b/>
          <w:bCs/>
          <w:color w:val="000000"/>
        </w:rPr>
        <w:t>Return on Equity (ROE)</w:t>
      </w:r>
    </w:p>
    <w:p w14:paraId="46384A6A" w14:textId="77777777" w:rsidR="00CC2510" w:rsidRPr="00A55376" w:rsidRDefault="00CC2510" w:rsidP="00CC2510">
      <w:pPr>
        <w:numPr>
          <w:ilvl w:val="0"/>
          <w:numId w:val="17"/>
        </w:numPr>
        <w:spacing w:before="100" w:beforeAutospacing="1" w:after="100" w:afterAutospacing="1"/>
        <w:rPr>
          <w:color w:val="000000"/>
        </w:rPr>
      </w:pPr>
      <w:r w:rsidRPr="00A55376">
        <w:rPr>
          <w:b/>
          <w:bCs/>
          <w:color w:val="000000"/>
        </w:rPr>
        <w:t>Formula</w:t>
      </w:r>
      <w:r w:rsidRPr="00A55376">
        <w:rPr>
          <w:color w:val="000000"/>
        </w:rPr>
        <w:t>: (NetIncome/Shareholder′</w:t>
      </w:r>
      <w:proofErr w:type="gramStart"/>
      <w:r w:rsidRPr="00A55376">
        <w:rPr>
          <w:color w:val="000000"/>
        </w:rPr>
        <w:t>sEquity)x</w:t>
      </w:r>
      <w:proofErr w:type="gramEnd"/>
      <w:r w:rsidRPr="00A55376">
        <w:rPr>
          <w:color w:val="000000"/>
        </w:rPr>
        <w:t>100(NetIncome/Shareholder′sEquity)x100</w:t>
      </w:r>
    </w:p>
    <w:p w14:paraId="788B99D9" w14:textId="77777777" w:rsidR="00CC2510" w:rsidRPr="00A55376" w:rsidRDefault="00CC2510" w:rsidP="00CC2510">
      <w:pPr>
        <w:numPr>
          <w:ilvl w:val="0"/>
          <w:numId w:val="17"/>
        </w:numPr>
        <w:spacing w:before="100" w:beforeAutospacing="1" w:after="100" w:afterAutospacing="1"/>
        <w:rPr>
          <w:color w:val="000000"/>
        </w:rPr>
      </w:pPr>
      <w:r w:rsidRPr="00A55376">
        <w:rPr>
          <w:b/>
          <w:bCs/>
          <w:color w:val="000000"/>
        </w:rPr>
        <w:t>Example Calculation</w:t>
      </w:r>
      <w:r w:rsidRPr="00A55376">
        <w:rPr>
          <w:color w:val="000000"/>
        </w:rPr>
        <w:t>:</w:t>
      </w:r>
    </w:p>
    <w:p w14:paraId="1E9A15C4" w14:textId="77777777" w:rsidR="00CC2510" w:rsidRPr="00A55376" w:rsidRDefault="00CC2510" w:rsidP="00CC2510">
      <w:pPr>
        <w:numPr>
          <w:ilvl w:val="1"/>
          <w:numId w:val="17"/>
        </w:numPr>
        <w:spacing w:before="100" w:beforeAutospacing="1" w:after="100" w:afterAutospacing="1"/>
        <w:rPr>
          <w:color w:val="000000"/>
        </w:rPr>
      </w:pPr>
      <w:r w:rsidRPr="00A55376">
        <w:rPr>
          <w:b/>
          <w:bCs/>
          <w:color w:val="000000"/>
        </w:rPr>
        <w:t>Year 1</w:t>
      </w:r>
      <w:r w:rsidRPr="00A55376">
        <w:rPr>
          <w:color w:val="000000"/>
        </w:rPr>
        <w:t>: (€3,000million/€20,000</w:t>
      </w:r>
      <w:proofErr w:type="gramStart"/>
      <w:r w:rsidRPr="00A55376">
        <w:rPr>
          <w:color w:val="000000"/>
        </w:rPr>
        <w:t>million)x</w:t>
      </w:r>
      <w:proofErr w:type="gramEnd"/>
      <w:r w:rsidRPr="00A55376">
        <w:rPr>
          <w:color w:val="000000"/>
        </w:rPr>
        <w:t>100(€3,000million/€20,000million)x100 = 15%</w:t>
      </w:r>
    </w:p>
    <w:p w14:paraId="1841C451" w14:textId="77777777" w:rsidR="00CC2510" w:rsidRPr="00A55376" w:rsidRDefault="00CC2510" w:rsidP="00CC2510">
      <w:pPr>
        <w:numPr>
          <w:ilvl w:val="1"/>
          <w:numId w:val="17"/>
        </w:numPr>
        <w:spacing w:before="100" w:beforeAutospacing="1" w:after="100" w:afterAutospacing="1"/>
        <w:rPr>
          <w:color w:val="000000"/>
        </w:rPr>
      </w:pPr>
      <w:r w:rsidRPr="00A55376">
        <w:rPr>
          <w:b/>
          <w:bCs/>
          <w:color w:val="000000"/>
        </w:rPr>
        <w:t>Year 2</w:t>
      </w:r>
      <w:r w:rsidRPr="00A55376">
        <w:rPr>
          <w:color w:val="000000"/>
        </w:rPr>
        <w:t>: (€3,200million/€21,000</w:t>
      </w:r>
      <w:proofErr w:type="gramStart"/>
      <w:r w:rsidRPr="00A55376">
        <w:rPr>
          <w:color w:val="000000"/>
        </w:rPr>
        <w:t>million)x</w:t>
      </w:r>
      <w:proofErr w:type="gramEnd"/>
      <w:r w:rsidRPr="00A55376">
        <w:rPr>
          <w:color w:val="000000"/>
        </w:rPr>
        <w:t>100(€3,200million/€21,000million)x100 = 15.24%</w:t>
      </w:r>
    </w:p>
    <w:p w14:paraId="2E150F2D" w14:textId="77777777" w:rsidR="00CC2510" w:rsidRPr="00A55376" w:rsidRDefault="00CC2510" w:rsidP="00CC2510">
      <w:pPr>
        <w:numPr>
          <w:ilvl w:val="1"/>
          <w:numId w:val="17"/>
        </w:numPr>
        <w:spacing w:before="100" w:beforeAutospacing="1" w:after="100" w:afterAutospacing="1"/>
        <w:rPr>
          <w:color w:val="000000"/>
        </w:rPr>
      </w:pPr>
      <w:r w:rsidRPr="00A55376">
        <w:rPr>
          <w:b/>
          <w:bCs/>
          <w:color w:val="000000"/>
        </w:rPr>
        <w:t>Year 3</w:t>
      </w:r>
      <w:r w:rsidRPr="00A55376">
        <w:rPr>
          <w:color w:val="000000"/>
        </w:rPr>
        <w:t>: (€4,000million/€22,000</w:t>
      </w:r>
      <w:proofErr w:type="gramStart"/>
      <w:r w:rsidRPr="00A55376">
        <w:rPr>
          <w:color w:val="000000"/>
        </w:rPr>
        <w:t>million)x</w:t>
      </w:r>
      <w:proofErr w:type="gramEnd"/>
      <w:r w:rsidRPr="00A55376">
        <w:rPr>
          <w:color w:val="000000"/>
        </w:rPr>
        <w:t>100(€4,000million/€22,000million)x100 = 18.18%</w:t>
      </w:r>
    </w:p>
    <w:p w14:paraId="78F3EA37"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4</w:t>
      </w:r>
      <w:r w:rsidRPr="00A55376">
        <w:rPr>
          <w:color w:val="000000"/>
        </w:rPr>
        <w:t>: (€4,300million/€23,000</w:t>
      </w:r>
      <w:proofErr w:type="gramStart"/>
      <w:r w:rsidRPr="00A55376">
        <w:rPr>
          <w:color w:val="000000"/>
        </w:rPr>
        <w:t>million)x</w:t>
      </w:r>
      <w:proofErr w:type="gramEnd"/>
      <w:r w:rsidRPr="00A55376">
        <w:rPr>
          <w:color w:val="000000"/>
        </w:rPr>
        <w:t>100(€4,300million/€23,000million)x100 = 18.7%</w:t>
      </w:r>
    </w:p>
    <w:p w14:paraId="406D3B03"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5</w:t>
      </w:r>
      <w:r w:rsidRPr="00A55376">
        <w:rPr>
          <w:color w:val="000000"/>
        </w:rPr>
        <w:t>: (€4,500million/€24,000</w:t>
      </w:r>
      <w:proofErr w:type="gramStart"/>
      <w:r w:rsidRPr="00A55376">
        <w:rPr>
          <w:color w:val="000000"/>
        </w:rPr>
        <w:t>million)x</w:t>
      </w:r>
      <w:proofErr w:type="gramEnd"/>
      <w:r w:rsidRPr="00A55376">
        <w:rPr>
          <w:color w:val="000000"/>
        </w:rPr>
        <w:t>100(€4,500million/€24,000million)x100 = 18.75%</w:t>
      </w:r>
    </w:p>
    <w:p w14:paraId="397DC5AC" w14:textId="77777777" w:rsidR="00CC2510" w:rsidRPr="00780A91" w:rsidRDefault="00CC2510" w:rsidP="00780A91">
      <w:pPr>
        <w:pStyle w:val="ListParagraph"/>
        <w:numPr>
          <w:ilvl w:val="0"/>
          <w:numId w:val="34"/>
        </w:numPr>
        <w:spacing w:before="100" w:beforeAutospacing="1" w:after="100" w:afterAutospacing="1"/>
        <w:outlineLvl w:val="2"/>
        <w:rPr>
          <w:b/>
          <w:bCs/>
          <w:color w:val="000000"/>
          <w:sz w:val="27"/>
          <w:szCs w:val="27"/>
        </w:rPr>
      </w:pPr>
      <w:r w:rsidRPr="00780A91">
        <w:rPr>
          <w:b/>
          <w:bCs/>
          <w:color w:val="000000"/>
          <w:sz w:val="27"/>
          <w:szCs w:val="27"/>
        </w:rPr>
        <w:t>2. Liquidity Ratios</w:t>
      </w:r>
    </w:p>
    <w:p w14:paraId="29151A52" w14:textId="77777777" w:rsidR="00CC2510" w:rsidRPr="00780A91" w:rsidRDefault="00CC2510" w:rsidP="00780A91">
      <w:pPr>
        <w:pStyle w:val="ListParagraph"/>
        <w:numPr>
          <w:ilvl w:val="0"/>
          <w:numId w:val="34"/>
        </w:numPr>
        <w:spacing w:before="100" w:beforeAutospacing="1" w:after="100" w:afterAutospacing="1"/>
        <w:outlineLvl w:val="3"/>
        <w:rPr>
          <w:b/>
          <w:bCs/>
          <w:color w:val="000000"/>
        </w:rPr>
      </w:pPr>
      <w:r w:rsidRPr="00780A91">
        <w:rPr>
          <w:b/>
          <w:bCs/>
          <w:color w:val="000000"/>
        </w:rPr>
        <w:t>Current Ratio</w:t>
      </w:r>
    </w:p>
    <w:p w14:paraId="299F9687"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Formula</w:t>
      </w:r>
      <w:r w:rsidRPr="00A55376">
        <w:rPr>
          <w:color w:val="000000"/>
        </w:rPr>
        <w:t>: (CurrentAssets/</w:t>
      </w:r>
      <w:proofErr w:type="gramStart"/>
      <w:r w:rsidRPr="00A55376">
        <w:rPr>
          <w:color w:val="000000"/>
        </w:rPr>
        <w:t>CurrentLiabilities)(</w:t>
      </w:r>
      <w:proofErr w:type="gramEnd"/>
      <w:r w:rsidRPr="00A55376">
        <w:rPr>
          <w:color w:val="000000"/>
        </w:rPr>
        <w:t>CurrentAssets/CurrentLiabilities)</w:t>
      </w:r>
    </w:p>
    <w:p w14:paraId="6A5E919B"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Example Calculation</w:t>
      </w:r>
      <w:r w:rsidRPr="00A55376">
        <w:rPr>
          <w:color w:val="000000"/>
        </w:rPr>
        <w:t>:</w:t>
      </w:r>
    </w:p>
    <w:p w14:paraId="4904DBF9"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1</w:t>
      </w:r>
      <w:r w:rsidRPr="00A55376">
        <w:rPr>
          <w:color w:val="000000"/>
        </w:rPr>
        <w:t>: (€12,000million/€8,000</w:t>
      </w:r>
      <w:proofErr w:type="gramStart"/>
      <w:r w:rsidRPr="00A55376">
        <w:rPr>
          <w:color w:val="000000"/>
        </w:rPr>
        <w:t>million)(</w:t>
      </w:r>
      <w:proofErr w:type="gramEnd"/>
      <w:r w:rsidRPr="00A55376">
        <w:rPr>
          <w:color w:val="000000"/>
        </w:rPr>
        <w:t>€12,000million/€8,000million) = 1.5</w:t>
      </w:r>
    </w:p>
    <w:p w14:paraId="5A77B22D"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2</w:t>
      </w:r>
      <w:r w:rsidRPr="00A55376">
        <w:rPr>
          <w:color w:val="000000"/>
        </w:rPr>
        <w:t>: (€13,000million/€8,500</w:t>
      </w:r>
      <w:proofErr w:type="gramStart"/>
      <w:r w:rsidRPr="00A55376">
        <w:rPr>
          <w:color w:val="000000"/>
        </w:rPr>
        <w:t>million)(</w:t>
      </w:r>
      <w:proofErr w:type="gramEnd"/>
      <w:r w:rsidRPr="00A55376">
        <w:rPr>
          <w:color w:val="000000"/>
        </w:rPr>
        <w:t>€13,000million/€8,500million) = 1.53</w:t>
      </w:r>
    </w:p>
    <w:p w14:paraId="3CFB5691"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3</w:t>
      </w:r>
      <w:r w:rsidRPr="00A55376">
        <w:rPr>
          <w:color w:val="000000"/>
        </w:rPr>
        <w:t>: (€13,500million/€9,000</w:t>
      </w:r>
      <w:proofErr w:type="gramStart"/>
      <w:r w:rsidRPr="00A55376">
        <w:rPr>
          <w:color w:val="000000"/>
        </w:rPr>
        <w:t>million)(</w:t>
      </w:r>
      <w:proofErr w:type="gramEnd"/>
      <w:r w:rsidRPr="00A55376">
        <w:rPr>
          <w:color w:val="000000"/>
        </w:rPr>
        <w:t>€13,500million/€9,000million) = 1.5</w:t>
      </w:r>
    </w:p>
    <w:p w14:paraId="1134D9F0"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4</w:t>
      </w:r>
      <w:r w:rsidRPr="00A55376">
        <w:rPr>
          <w:color w:val="000000"/>
        </w:rPr>
        <w:t>: (€14,000million/€9,500</w:t>
      </w:r>
      <w:proofErr w:type="gramStart"/>
      <w:r w:rsidRPr="00A55376">
        <w:rPr>
          <w:color w:val="000000"/>
        </w:rPr>
        <w:t>million)(</w:t>
      </w:r>
      <w:proofErr w:type="gramEnd"/>
      <w:r w:rsidRPr="00A55376">
        <w:rPr>
          <w:color w:val="000000"/>
        </w:rPr>
        <w:t>€14,000million/€9,500million) = 1.47</w:t>
      </w:r>
    </w:p>
    <w:p w14:paraId="339976D3"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5</w:t>
      </w:r>
      <w:r w:rsidRPr="00A55376">
        <w:rPr>
          <w:color w:val="000000"/>
        </w:rPr>
        <w:t>: (€15,000million/€10,000</w:t>
      </w:r>
      <w:proofErr w:type="gramStart"/>
      <w:r w:rsidRPr="00A55376">
        <w:rPr>
          <w:color w:val="000000"/>
        </w:rPr>
        <w:t>million)(</w:t>
      </w:r>
      <w:proofErr w:type="gramEnd"/>
      <w:r w:rsidRPr="00A55376">
        <w:rPr>
          <w:color w:val="000000"/>
        </w:rPr>
        <w:t>€15,000million/€10,000million) = 1.5</w:t>
      </w:r>
    </w:p>
    <w:p w14:paraId="21703DB1" w14:textId="77777777" w:rsidR="00CC2510" w:rsidRPr="00780A91" w:rsidRDefault="00CC2510" w:rsidP="00780A91">
      <w:pPr>
        <w:pStyle w:val="ListParagraph"/>
        <w:numPr>
          <w:ilvl w:val="0"/>
          <w:numId w:val="34"/>
        </w:numPr>
        <w:spacing w:before="100" w:beforeAutospacing="1" w:after="100" w:afterAutospacing="1"/>
        <w:outlineLvl w:val="3"/>
        <w:rPr>
          <w:b/>
          <w:bCs/>
          <w:color w:val="000000"/>
        </w:rPr>
      </w:pPr>
      <w:r w:rsidRPr="00780A91">
        <w:rPr>
          <w:b/>
          <w:bCs/>
          <w:color w:val="000000"/>
        </w:rPr>
        <w:t>Quick Ratio</w:t>
      </w:r>
    </w:p>
    <w:p w14:paraId="69FB7C40"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Formula</w:t>
      </w:r>
      <w:r w:rsidRPr="00A55376">
        <w:rPr>
          <w:color w:val="000000"/>
        </w:rPr>
        <w:t>: (CurrentAssets−Inventories)/</w:t>
      </w:r>
      <w:proofErr w:type="gramStart"/>
      <w:r w:rsidRPr="00A55376">
        <w:rPr>
          <w:color w:val="000000"/>
        </w:rPr>
        <w:t>CurrentLiabilities(</w:t>
      </w:r>
      <w:proofErr w:type="gramEnd"/>
      <w:r w:rsidRPr="00A55376">
        <w:rPr>
          <w:color w:val="000000"/>
        </w:rPr>
        <w:t>CurrentAssets−Inventories)/CurrentLiabilities</w:t>
      </w:r>
    </w:p>
    <w:p w14:paraId="6FDA91FE"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Example Calculation</w:t>
      </w:r>
      <w:r w:rsidRPr="00A55376">
        <w:rPr>
          <w:color w:val="000000"/>
        </w:rPr>
        <w:t>:</w:t>
      </w:r>
    </w:p>
    <w:p w14:paraId="2F1FA8F2"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1</w:t>
      </w:r>
      <w:r w:rsidRPr="00A55376">
        <w:rPr>
          <w:color w:val="000000"/>
        </w:rPr>
        <w:t>: (€12,000million−€4,000million)/€8,000million(€12,000million−€4,000million)/€8,000million = 1.0</w:t>
      </w:r>
    </w:p>
    <w:p w14:paraId="6CA12680"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2</w:t>
      </w:r>
      <w:r w:rsidRPr="00A55376">
        <w:rPr>
          <w:color w:val="000000"/>
        </w:rPr>
        <w:t>: (€13,000million−€4,500million)/€8,500million(€13,000million−€4,500million)/€8,500million = 1.0</w:t>
      </w:r>
    </w:p>
    <w:p w14:paraId="7D4EED7D"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3</w:t>
      </w:r>
      <w:r w:rsidRPr="00A55376">
        <w:rPr>
          <w:color w:val="000000"/>
        </w:rPr>
        <w:t>: (€13,500million−€4,500million)/€9,000million(€13,500million−€4,500million)/€9,000million = 1.0</w:t>
      </w:r>
    </w:p>
    <w:p w14:paraId="57F9D151"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4</w:t>
      </w:r>
      <w:r w:rsidRPr="00A55376">
        <w:rPr>
          <w:color w:val="000000"/>
        </w:rPr>
        <w:t>: (€14,000million−€5,000million)/€9,500million(€14,000million−€5,000million)/€9,500million = 0.95</w:t>
      </w:r>
    </w:p>
    <w:p w14:paraId="25DFE279"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5</w:t>
      </w:r>
      <w:r w:rsidRPr="00A55376">
        <w:rPr>
          <w:color w:val="000000"/>
        </w:rPr>
        <w:t>: (€15,000million−€5,500million)/€10,000million(€15,000million−€5,500million)/€10,000million = 0.95</w:t>
      </w:r>
    </w:p>
    <w:p w14:paraId="190011D4" w14:textId="77777777" w:rsidR="00CC2510" w:rsidRPr="00780A91" w:rsidRDefault="00CC2510" w:rsidP="00780A91">
      <w:pPr>
        <w:pStyle w:val="ListParagraph"/>
        <w:numPr>
          <w:ilvl w:val="0"/>
          <w:numId w:val="34"/>
        </w:numPr>
        <w:spacing w:before="100" w:beforeAutospacing="1" w:after="100" w:afterAutospacing="1"/>
        <w:outlineLvl w:val="2"/>
        <w:rPr>
          <w:b/>
          <w:bCs/>
          <w:color w:val="000000"/>
          <w:sz w:val="27"/>
          <w:szCs w:val="27"/>
        </w:rPr>
      </w:pPr>
      <w:r w:rsidRPr="00780A91">
        <w:rPr>
          <w:b/>
          <w:bCs/>
          <w:color w:val="000000"/>
          <w:sz w:val="27"/>
          <w:szCs w:val="27"/>
        </w:rPr>
        <w:t>3. Gearing Ratios</w:t>
      </w:r>
    </w:p>
    <w:p w14:paraId="32B8ABA3" w14:textId="77777777" w:rsidR="00CC2510" w:rsidRPr="00780A91" w:rsidRDefault="00CC2510" w:rsidP="00780A91">
      <w:pPr>
        <w:pStyle w:val="ListParagraph"/>
        <w:numPr>
          <w:ilvl w:val="0"/>
          <w:numId w:val="34"/>
        </w:numPr>
        <w:spacing w:before="100" w:beforeAutospacing="1" w:after="100" w:afterAutospacing="1"/>
        <w:outlineLvl w:val="3"/>
        <w:rPr>
          <w:b/>
          <w:bCs/>
          <w:color w:val="000000"/>
        </w:rPr>
      </w:pPr>
      <w:r w:rsidRPr="00780A91">
        <w:rPr>
          <w:b/>
          <w:bCs/>
          <w:color w:val="000000"/>
        </w:rPr>
        <w:t>Debt to Equity Ratio</w:t>
      </w:r>
    </w:p>
    <w:p w14:paraId="719D59D6"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Formula</w:t>
      </w:r>
      <w:r w:rsidRPr="00A55376">
        <w:rPr>
          <w:color w:val="000000"/>
        </w:rPr>
        <w:t>: (TotalDebt/Shareholder′</w:t>
      </w:r>
      <w:proofErr w:type="gramStart"/>
      <w:r w:rsidRPr="00A55376">
        <w:rPr>
          <w:color w:val="000000"/>
        </w:rPr>
        <w:t>sEquity)(</w:t>
      </w:r>
      <w:proofErr w:type="gramEnd"/>
      <w:r w:rsidRPr="00A55376">
        <w:rPr>
          <w:color w:val="000000"/>
        </w:rPr>
        <w:t>TotalDebt/Shareholder′sEquity)</w:t>
      </w:r>
    </w:p>
    <w:p w14:paraId="3C8C6DD7"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Example Calculation</w:t>
      </w:r>
      <w:r w:rsidRPr="00A55376">
        <w:rPr>
          <w:color w:val="000000"/>
        </w:rPr>
        <w:t>:</w:t>
      </w:r>
    </w:p>
    <w:p w14:paraId="725E97C3"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1</w:t>
      </w:r>
      <w:r w:rsidRPr="00A55376">
        <w:rPr>
          <w:color w:val="000000"/>
        </w:rPr>
        <w:t>: (€30,000million/€20,000</w:t>
      </w:r>
      <w:proofErr w:type="gramStart"/>
      <w:r w:rsidRPr="00A55376">
        <w:rPr>
          <w:color w:val="000000"/>
        </w:rPr>
        <w:t>million)(</w:t>
      </w:r>
      <w:proofErr w:type="gramEnd"/>
      <w:r w:rsidRPr="00A55376">
        <w:rPr>
          <w:color w:val="000000"/>
        </w:rPr>
        <w:t>€30,000million/€20,000million) = 1.5</w:t>
      </w:r>
    </w:p>
    <w:p w14:paraId="31F0F8B2"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2</w:t>
      </w:r>
      <w:r w:rsidRPr="00A55376">
        <w:rPr>
          <w:color w:val="000000"/>
        </w:rPr>
        <w:t>: (€32,000million/€21,000</w:t>
      </w:r>
      <w:proofErr w:type="gramStart"/>
      <w:r w:rsidRPr="00A55376">
        <w:rPr>
          <w:color w:val="000000"/>
        </w:rPr>
        <w:t>million)(</w:t>
      </w:r>
      <w:proofErr w:type="gramEnd"/>
      <w:r w:rsidRPr="00A55376">
        <w:rPr>
          <w:color w:val="000000"/>
        </w:rPr>
        <w:t>€32,000million/€21,000million) = 1.52</w:t>
      </w:r>
    </w:p>
    <w:p w14:paraId="04818AE0"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3</w:t>
      </w:r>
      <w:r w:rsidRPr="00A55376">
        <w:rPr>
          <w:color w:val="000000"/>
        </w:rPr>
        <w:t>: (€33,000million/€22,000</w:t>
      </w:r>
      <w:proofErr w:type="gramStart"/>
      <w:r w:rsidRPr="00A55376">
        <w:rPr>
          <w:color w:val="000000"/>
        </w:rPr>
        <w:t>million)(</w:t>
      </w:r>
      <w:proofErr w:type="gramEnd"/>
      <w:r w:rsidRPr="00A55376">
        <w:rPr>
          <w:color w:val="000000"/>
        </w:rPr>
        <w:t>€33,000million/€22,000million) = 1.5</w:t>
      </w:r>
    </w:p>
    <w:p w14:paraId="78B96E6A"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4</w:t>
      </w:r>
      <w:r w:rsidRPr="00A55376">
        <w:rPr>
          <w:color w:val="000000"/>
        </w:rPr>
        <w:t>: (€34,000million/€23,000</w:t>
      </w:r>
      <w:proofErr w:type="gramStart"/>
      <w:r w:rsidRPr="00A55376">
        <w:rPr>
          <w:color w:val="000000"/>
        </w:rPr>
        <w:t>million)(</w:t>
      </w:r>
      <w:proofErr w:type="gramEnd"/>
      <w:r w:rsidRPr="00A55376">
        <w:rPr>
          <w:color w:val="000000"/>
        </w:rPr>
        <w:t>€34,000million/€23,000million) = 1.48</w:t>
      </w:r>
    </w:p>
    <w:p w14:paraId="7CCDDDCD"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5</w:t>
      </w:r>
      <w:r w:rsidRPr="00A55376">
        <w:rPr>
          <w:color w:val="000000"/>
        </w:rPr>
        <w:t>: (€35,000million/€24,000</w:t>
      </w:r>
      <w:proofErr w:type="gramStart"/>
      <w:r w:rsidRPr="00A55376">
        <w:rPr>
          <w:color w:val="000000"/>
        </w:rPr>
        <w:t>million)(</w:t>
      </w:r>
      <w:proofErr w:type="gramEnd"/>
      <w:r w:rsidRPr="00A55376">
        <w:rPr>
          <w:color w:val="000000"/>
        </w:rPr>
        <w:t>€35,000million/€24,000million) = 1.46</w:t>
      </w:r>
    </w:p>
    <w:p w14:paraId="00C30713" w14:textId="77777777" w:rsidR="00CC2510" w:rsidRPr="00780A91" w:rsidRDefault="00CC2510" w:rsidP="00780A91">
      <w:pPr>
        <w:pStyle w:val="ListParagraph"/>
        <w:numPr>
          <w:ilvl w:val="0"/>
          <w:numId w:val="34"/>
        </w:numPr>
        <w:spacing w:before="100" w:beforeAutospacing="1" w:after="100" w:afterAutospacing="1"/>
        <w:outlineLvl w:val="3"/>
        <w:rPr>
          <w:b/>
          <w:bCs/>
          <w:color w:val="000000"/>
        </w:rPr>
      </w:pPr>
      <w:r w:rsidRPr="00780A91">
        <w:rPr>
          <w:b/>
          <w:bCs/>
          <w:color w:val="000000"/>
        </w:rPr>
        <w:t>Interest Coverage Ratio</w:t>
      </w:r>
    </w:p>
    <w:p w14:paraId="54F31248"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Formula</w:t>
      </w:r>
      <w:r w:rsidRPr="00A55376">
        <w:rPr>
          <w:color w:val="000000"/>
        </w:rPr>
        <w:t>: (OperatingProfit/</w:t>
      </w:r>
      <w:proofErr w:type="gramStart"/>
      <w:r w:rsidRPr="00A55376">
        <w:rPr>
          <w:color w:val="000000"/>
        </w:rPr>
        <w:t>InterestExpense)(</w:t>
      </w:r>
      <w:proofErr w:type="gramEnd"/>
      <w:r w:rsidRPr="00A55376">
        <w:rPr>
          <w:color w:val="000000"/>
        </w:rPr>
        <w:t>OperatingProfit/InterestExpense)</w:t>
      </w:r>
    </w:p>
    <w:p w14:paraId="0C113EB5"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Example Calculation</w:t>
      </w:r>
      <w:r w:rsidRPr="00A55376">
        <w:rPr>
          <w:color w:val="000000"/>
        </w:rPr>
        <w:t>:</w:t>
      </w:r>
    </w:p>
    <w:p w14:paraId="0C9F6FF0"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1</w:t>
      </w:r>
      <w:r w:rsidRPr="00A55376">
        <w:rPr>
          <w:color w:val="000000"/>
        </w:rPr>
        <w:t>: (€5,500million/€500</w:t>
      </w:r>
      <w:proofErr w:type="gramStart"/>
      <w:r w:rsidRPr="00A55376">
        <w:rPr>
          <w:color w:val="000000"/>
        </w:rPr>
        <w:t>million)(</w:t>
      </w:r>
      <w:proofErr w:type="gramEnd"/>
      <w:r w:rsidRPr="00A55376">
        <w:rPr>
          <w:color w:val="000000"/>
        </w:rPr>
        <w:t>€5,500million/€500million) = 11</w:t>
      </w:r>
    </w:p>
    <w:p w14:paraId="5B95F6EB"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2</w:t>
      </w:r>
      <w:r w:rsidRPr="00A55376">
        <w:rPr>
          <w:color w:val="000000"/>
        </w:rPr>
        <w:t>: (€6,000million/€520</w:t>
      </w:r>
      <w:proofErr w:type="gramStart"/>
      <w:r w:rsidRPr="00A55376">
        <w:rPr>
          <w:color w:val="000000"/>
        </w:rPr>
        <w:t>million)(</w:t>
      </w:r>
      <w:proofErr w:type="gramEnd"/>
      <w:r w:rsidRPr="00A55376">
        <w:rPr>
          <w:color w:val="000000"/>
        </w:rPr>
        <w:t>€6,000million/€520million) = 11.54</w:t>
      </w:r>
    </w:p>
    <w:p w14:paraId="232E8012"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3</w:t>
      </w:r>
      <w:r w:rsidRPr="00A55376">
        <w:rPr>
          <w:color w:val="000000"/>
        </w:rPr>
        <w:t>: (€7,000million/€540</w:t>
      </w:r>
      <w:proofErr w:type="gramStart"/>
      <w:r w:rsidRPr="00A55376">
        <w:rPr>
          <w:color w:val="000000"/>
        </w:rPr>
        <w:t>million)(</w:t>
      </w:r>
      <w:proofErr w:type="gramEnd"/>
      <w:r w:rsidRPr="00A55376">
        <w:rPr>
          <w:color w:val="000000"/>
        </w:rPr>
        <w:t>€7,000million/€540million) = 12.96</w:t>
      </w:r>
    </w:p>
    <w:p w14:paraId="49F3FF31"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4</w:t>
      </w:r>
      <w:r w:rsidRPr="00A55376">
        <w:rPr>
          <w:color w:val="000000"/>
        </w:rPr>
        <w:t>: (€7,200million/€550</w:t>
      </w:r>
      <w:proofErr w:type="gramStart"/>
      <w:r w:rsidRPr="00A55376">
        <w:rPr>
          <w:color w:val="000000"/>
        </w:rPr>
        <w:t>million)(</w:t>
      </w:r>
      <w:proofErr w:type="gramEnd"/>
      <w:r w:rsidRPr="00A55376">
        <w:rPr>
          <w:color w:val="000000"/>
        </w:rPr>
        <w:t>€7,200million/€550million) = 13.09</w:t>
      </w:r>
    </w:p>
    <w:p w14:paraId="3091CDAC"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5</w:t>
      </w:r>
      <w:r w:rsidRPr="00A55376">
        <w:rPr>
          <w:color w:val="000000"/>
        </w:rPr>
        <w:t>: (€7,500million/€560</w:t>
      </w:r>
      <w:proofErr w:type="gramStart"/>
      <w:r w:rsidRPr="00A55376">
        <w:rPr>
          <w:color w:val="000000"/>
        </w:rPr>
        <w:t>million)(</w:t>
      </w:r>
      <w:proofErr w:type="gramEnd"/>
      <w:r w:rsidRPr="00A55376">
        <w:rPr>
          <w:color w:val="000000"/>
        </w:rPr>
        <w:t>€7,500million/€560million) = 13.39</w:t>
      </w:r>
    </w:p>
    <w:p w14:paraId="648C1546" w14:textId="77777777" w:rsidR="00CC2510" w:rsidRPr="00780A91" w:rsidRDefault="00CC2510" w:rsidP="00780A91">
      <w:pPr>
        <w:pStyle w:val="ListParagraph"/>
        <w:numPr>
          <w:ilvl w:val="0"/>
          <w:numId w:val="34"/>
        </w:numPr>
        <w:spacing w:before="100" w:beforeAutospacing="1" w:after="100" w:afterAutospacing="1"/>
        <w:outlineLvl w:val="2"/>
        <w:rPr>
          <w:b/>
          <w:bCs/>
          <w:color w:val="000000"/>
          <w:sz w:val="27"/>
          <w:szCs w:val="27"/>
        </w:rPr>
      </w:pPr>
      <w:r w:rsidRPr="00780A91">
        <w:rPr>
          <w:b/>
          <w:bCs/>
          <w:color w:val="000000"/>
          <w:sz w:val="27"/>
          <w:szCs w:val="27"/>
        </w:rPr>
        <w:t>4. Efficiency Ratios</w:t>
      </w:r>
    </w:p>
    <w:p w14:paraId="6D191DCE" w14:textId="77777777" w:rsidR="00CC2510" w:rsidRPr="00780A91" w:rsidRDefault="00CC2510" w:rsidP="00780A91">
      <w:pPr>
        <w:pStyle w:val="ListParagraph"/>
        <w:numPr>
          <w:ilvl w:val="0"/>
          <w:numId w:val="34"/>
        </w:numPr>
        <w:spacing w:before="100" w:beforeAutospacing="1" w:after="100" w:afterAutospacing="1"/>
        <w:outlineLvl w:val="3"/>
        <w:rPr>
          <w:b/>
          <w:bCs/>
          <w:color w:val="000000"/>
        </w:rPr>
      </w:pPr>
      <w:r w:rsidRPr="00780A91">
        <w:rPr>
          <w:b/>
          <w:bCs/>
          <w:color w:val="000000"/>
        </w:rPr>
        <w:t>Asset Turnover Ratio</w:t>
      </w:r>
    </w:p>
    <w:p w14:paraId="77995FF1"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Formula</w:t>
      </w:r>
      <w:r w:rsidRPr="00A55376">
        <w:rPr>
          <w:color w:val="000000"/>
        </w:rPr>
        <w:t>: (Revenue/</w:t>
      </w:r>
      <w:proofErr w:type="spellStart"/>
      <w:proofErr w:type="gramStart"/>
      <w:r w:rsidRPr="00A55376">
        <w:rPr>
          <w:color w:val="000000"/>
        </w:rPr>
        <w:t>TotalAssets</w:t>
      </w:r>
      <w:proofErr w:type="spellEnd"/>
      <w:r w:rsidRPr="00A55376">
        <w:rPr>
          <w:color w:val="000000"/>
        </w:rPr>
        <w:t>)(</w:t>
      </w:r>
      <w:proofErr w:type="gramEnd"/>
      <w:r w:rsidRPr="00A55376">
        <w:rPr>
          <w:color w:val="000000"/>
        </w:rPr>
        <w:t>Revenue/</w:t>
      </w:r>
      <w:proofErr w:type="spellStart"/>
      <w:r w:rsidRPr="00A55376">
        <w:rPr>
          <w:color w:val="000000"/>
        </w:rPr>
        <w:t>TotalAssets</w:t>
      </w:r>
      <w:proofErr w:type="spellEnd"/>
      <w:r w:rsidRPr="00A55376">
        <w:rPr>
          <w:color w:val="000000"/>
        </w:rPr>
        <w:t>)</w:t>
      </w:r>
    </w:p>
    <w:p w14:paraId="5202A759"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Example Calculation</w:t>
      </w:r>
      <w:r w:rsidRPr="00A55376">
        <w:rPr>
          <w:color w:val="000000"/>
        </w:rPr>
        <w:t>:</w:t>
      </w:r>
    </w:p>
    <w:p w14:paraId="4ADAD27B"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1</w:t>
      </w:r>
      <w:r w:rsidRPr="00A55376">
        <w:rPr>
          <w:color w:val="000000"/>
        </w:rPr>
        <w:t>: (€20,000million/€50,000</w:t>
      </w:r>
      <w:proofErr w:type="gramStart"/>
      <w:r w:rsidRPr="00A55376">
        <w:rPr>
          <w:color w:val="000000"/>
        </w:rPr>
        <w:t>million)(</w:t>
      </w:r>
      <w:proofErr w:type="gramEnd"/>
      <w:r w:rsidRPr="00A55376">
        <w:rPr>
          <w:color w:val="000000"/>
        </w:rPr>
        <w:t>€20,000million/€50,000million) = 0.4</w:t>
      </w:r>
    </w:p>
    <w:p w14:paraId="47C987A8"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2</w:t>
      </w:r>
      <w:r w:rsidRPr="00A55376">
        <w:rPr>
          <w:color w:val="000000"/>
        </w:rPr>
        <w:t>: (€22,000million/€52,000</w:t>
      </w:r>
      <w:proofErr w:type="gramStart"/>
      <w:r w:rsidRPr="00A55376">
        <w:rPr>
          <w:color w:val="000000"/>
        </w:rPr>
        <w:t>million)(</w:t>
      </w:r>
      <w:proofErr w:type="gramEnd"/>
      <w:r w:rsidRPr="00A55376">
        <w:rPr>
          <w:color w:val="000000"/>
        </w:rPr>
        <w:t>€22,000million/€52,000million) = 0.42</w:t>
      </w:r>
    </w:p>
    <w:p w14:paraId="1966231B"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3</w:t>
      </w:r>
      <w:r w:rsidRPr="00A55376">
        <w:rPr>
          <w:color w:val="000000"/>
        </w:rPr>
        <w:t>: (€24,500million/€54,000</w:t>
      </w:r>
      <w:proofErr w:type="gramStart"/>
      <w:r w:rsidRPr="00A55376">
        <w:rPr>
          <w:color w:val="000000"/>
        </w:rPr>
        <w:t>million)(</w:t>
      </w:r>
      <w:proofErr w:type="gramEnd"/>
      <w:r w:rsidRPr="00A55376">
        <w:rPr>
          <w:color w:val="000000"/>
        </w:rPr>
        <w:t>€24,500million/€54,000million) = 0.45</w:t>
      </w:r>
    </w:p>
    <w:p w14:paraId="7E5D8BEF"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4</w:t>
      </w:r>
      <w:r w:rsidRPr="00A55376">
        <w:rPr>
          <w:color w:val="000000"/>
        </w:rPr>
        <w:t>: (€25,000million/€56,000</w:t>
      </w:r>
      <w:proofErr w:type="gramStart"/>
      <w:r w:rsidRPr="00A55376">
        <w:rPr>
          <w:color w:val="000000"/>
        </w:rPr>
        <w:t>million)(</w:t>
      </w:r>
      <w:proofErr w:type="gramEnd"/>
      <w:r w:rsidRPr="00A55376">
        <w:rPr>
          <w:color w:val="000000"/>
        </w:rPr>
        <w:t>€25,000million/€56,000million) = 0.45</w:t>
      </w:r>
    </w:p>
    <w:p w14:paraId="65CE5AD0"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5</w:t>
      </w:r>
      <w:r w:rsidRPr="00A55376">
        <w:rPr>
          <w:color w:val="000000"/>
        </w:rPr>
        <w:t>: (€27,000million/€58,000</w:t>
      </w:r>
      <w:proofErr w:type="gramStart"/>
      <w:r w:rsidRPr="00A55376">
        <w:rPr>
          <w:color w:val="000000"/>
        </w:rPr>
        <w:t>million)(</w:t>
      </w:r>
      <w:proofErr w:type="gramEnd"/>
      <w:r w:rsidRPr="00A55376">
        <w:rPr>
          <w:color w:val="000000"/>
        </w:rPr>
        <w:t>€27,000million/€58,000million) = 0.47</w:t>
      </w:r>
    </w:p>
    <w:p w14:paraId="387EDBAB" w14:textId="77777777" w:rsidR="00CC2510" w:rsidRPr="00780A91" w:rsidRDefault="00CC2510" w:rsidP="00780A91">
      <w:pPr>
        <w:pStyle w:val="ListParagraph"/>
        <w:numPr>
          <w:ilvl w:val="0"/>
          <w:numId w:val="34"/>
        </w:numPr>
        <w:spacing w:before="100" w:beforeAutospacing="1" w:after="100" w:afterAutospacing="1"/>
        <w:outlineLvl w:val="3"/>
        <w:rPr>
          <w:b/>
          <w:bCs/>
          <w:color w:val="000000"/>
        </w:rPr>
      </w:pPr>
      <w:r w:rsidRPr="00780A91">
        <w:rPr>
          <w:b/>
          <w:bCs/>
          <w:color w:val="000000"/>
        </w:rPr>
        <w:t>Inventory Turnover Ratio</w:t>
      </w:r>
    </w:p>
    <w:p w14:paraId="75BDFD7E"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Formula</w:t>
      </w:r>
      <w:r w:rsidRPr="00A55376">
        <w:rPr>
          <w:color w:val="000000"/>
        </w:rPr>
        <w:t>: (CostofGoodsSold/</w:t>
      </w:r>
      <w:proofErr w:type="gramStart"/>
      <w:r w:rsidRPr="00A55376">
        <w:rPr>
          <w:color w:val="000000"/>
        </w:rPr>
        <w:t>AverageInventory)(</w:t>
      </w:r>
      <w:proofErr w:type="gramEnd"/>
      <w:r w:rsidRPr="00A55376">
        <w:rPr>
          <w:color w:val="000000"/>
        </w:rPr>
        <w:t>CostofGoodsSold/AverageInventory)</w:t>
      </w:r>
    </w:p>
    <w:p w14:paraId="14B2CAD4" w14:textId="77777777" w:rsidR="00CC2510" w:rsidRPr="00A55376" w:rsidRDefault="00CC2510" w:rsidP="00780A91">
      <w:pPr>
        <w:numPr>
          <w:ilvl w:val="0"/>
          <w:numId w:val="34"/>
        </w:numPr>
        <w:spacing w:before="100" w:beforeAutospacing="1" w:after="100" w:afterAutospacing="1"/>
        <w:rPr>
          <w:color w:val="000000"/>
        </w:rPr>
      </w:pPr>
      <w:r w:rsidRPr="00A55376">
        <w:rPr>
          <w:b/>
          <w:bCs/>
          <w:color w:val="000000"/>
        </w:rPr>
        <w:t>Example Calculation</w:t>
      </w:r>
      <w:r w:rsidRPr="00A55376">
        <w:rPr>
          <w:color w:val="000000"/>
        </w:rPr>
        <w:t>:</w:t>
      </w:r>
    </w:p>
    <w:p w14:paraId="2A1BEAD4" w14:textId="77777777" w:rsidR="00CC2510" w:rsidRPr="00A55376" w:rsidRDefault="00CC2510" w:rsidP="00780A91">
      <w:pPr>
        <w:numPr>
          <w:ilvl w:val="1"/>
          <w:numId w:val="34"/>
        </w:numPr>
        <w:spacing w:before="100" w:beforeAutospacing="1" w:after="100" w:afterAutospacing="1"/>
        <w:rPr>
          <w:color w:val="000000"/>
        </w:rPr>
      </w:pPr>
      <w:r w:rsidRPr="00A55376">
        <w:rPr>
          <w:b/>
          <w:bCs/>
          <w:color w:val="000000"/>
        </w:rPr>
        <w:t>Year 1</w:t>
      </w:r>
      <w:r w:rsidRPr="00A55376">
        <w:rPr>
          <w:color w:val="000000"/>
        </w:rPr>
        <w:t>: (€8,000million/€4,000</w:t>
      </w:r>
      <w:proofErr w:type="gramStart"/>
      <w:r w:rsidRPr="00A55376">
        <w:rPr>
          <w:color w:val="000000"/>
        </w:rPr>
        <w:t>million)(</w:t>
      </w:r>
      <w:proofErr w:type="gramEnd"/>
      <w:r w:rsidRPr="00A55376">
        <w:rPr>
          <w:color w:val="000000"/>
        </w:rPr>
        <w:t>€8,000million/€4,000million) = 2</w:t>
      </w:r>
    </w:p>
    <w:p w14:paraId="2597E3D6" w14:textId="3503849F" w:rsidR="00DD4E05" w:rsidRPr="00780A91" w:rsidRDefault="003C250C" w:rsidP="00780A91">
      <w:pPr>
        <w:pStyle w:val="ListParagraph"/>
        <w:numPr>
          <w:ilvl w:val="0"/>
          <w:numId w:val="34"/>
        </w:numPr>
        <w:spacing w:before="100" w:beforeAutospacing="1" w:after="100" w:afterAutospacing="1"/>
        <w:outlineLvl w:val="2"/>
        <w:rPr>
          <w:b/>
          <w:bCs/>
          <w:color w:val="000000"/>
          <w:sz w:val="27"/>
          <w:szCs w:val="27"/>
        </w:rPr>
      </w:pPr>
      <w:r w:rsidRPr="00780A91">
        <w:rPr>
          <w:b/>
          <w:bCs/>
          <w:color w:val="000000"/>
          <w:sz w:val="27"/>
          <w:szCs w:val="27"/>
        </w:rPr>
        <w:br/>
      </w:r>
      <w:r w:rsidR="00CC2510" w:rsidRPr="00780A91">
        <w:rPr>
          <w:b/>
          <w:bCs/>
          <w:color w:val="000000"/>
          <w:sz w:val="27"/>
          <w:szCs w:val="27"/>
        </w:rPr>
        <w:t>4.</w:t>
      </w:r>
      <w:r w:rsidR="00DD4E05" w:rsidRPr="00780A91">
        <w:rPr>
          <w:b/>
          <w:bCs/>
          <w:color w:val="000000"/>
          <w:sz w:val="27"/>
          <w:szCs w:val="27"/>
        </w:rPr>
        <w:t xml:space="preserve"> Critical Evaluation of Financial Ratios</w:t>
      </w:r>
    </w:p>
    <w:p w14:paraId="26B50F59" w14:textId="77777777" w:rsidR="00CC2510" w:rsidRPr="00CC2510" w:rsidRDefault="00CC2510" w:rsidP="00780A91">
      <w:pPr>
        <w:pStyle w:val="ListParagraph"/>
        <w:numPr>
          <w:ilvl w:val="0"/>
          <w:numId w:val="34"/>
        </w:numPr>
      </w:pPr>
      <w:r w:rsidRPr="00780A91">
        <w:rPr>
          <w:rFonts w:ascii="-webkit-standard" w:hAnsi="-webkit-standard"/>
          <w:color w:val="000000"/>
          <w:sz w:val="27"/>
          <w:szCs w:val="27"/>
        </w:rPr>
        <w:t>Profitability Analysis and Critical Assessment of Financial Ratios</w:t>
      </w:r>
      <w:r w:rsidRPr="00780A91">
        <w:rPr>
          <w:color w:val="000000"/>
        </w:rPr>
        <w:br/>
      </w:r>
      <w:r w:rsidRPr="00780A91">
        <w:rPr>
          <w:color w:val="000000"/>
        </w:rPr>
        <w:br/>
      </w:r>
      <w:r w:rsidRPr="00780A91">
        <w:rPr>
          <w:rFonts w:ascii="-webkit-standard" w:hAnsi="-webkit-standard"/>
          <w:color w:val="000000"/>
          <w:sz w:val="27"/>
          <w:szCs w:val="27"/>
        </w:rPr>
        <w:t xml:space="preserve">Diageo's profitability during the last five years shows how well the business performed in keeping good margins </w:t>
      </w:r>
      <w:proofErr w:type="gramStart"/>
      <w:r w:rsidRPr="00780A91">
        <w:rPr>
          <w:rFonts w:ascii="-webkit-standard" w:hAnsi="-webkit-standard"/>
          <w:color w:val="000000"/>
          <w:sz w:val="27"/>
          <w:szCs w:val="27"/>
        </w:rPr>
        <w:t>in spite of</w:t>
      </w:r>
      <w:proofErr w:type="gramEnd"/>
      <w:r w:rsidRPr="00780A91">
        <w:rPr>
          <w:rFonts w:ascii="-webkit-standard" w:hAnsi="-webkit-standard"/>
          <w:color w:val="000000"/>
          <w:sz w:val="27"/>
          <w:szCs w:val="27"/>
        </w:rPr>
        <w:t xml:space="preserve"> fluctuating economic conditions. The gross profit margin, which ranges from 59% to 60%, has stayed comparatively constant. This consistency shows that Diageo has been successful in controlling its manufacturing costs and preserving its ability to set premium brand prices. The firm has handled raw material costs adequately, therefore it's possible that the small variations in the margin are due to shifts in the mix of items offered.</w:t>
      </w:r>
    </w:p>
    <w:p w14:paraId="4A9C7244" w14:textId="77777777" w:rsidR="00CC2510" w:rsidRPr="00CC2510" w:rsidRDefault="00CC2510" w:rsidP="00780A91">
      <w:pPr>
        <w:pStyle w:val="ListParagraph"/>
        <w:numPr>
          <w:ilvl w:val="0"/>
          <w:numId w:val="34"/>
        </w:numPr>
      </w:pPr>
      <w:r w:rsidRPr="00780A91">
        <w:rPr>
          <w:rFonts w:ascii="-webkit-standard" w:hAnsi="-webkit-standard"/>
          <w:color w:val="000000"/>
          <w:sz w:val="27"/>
          <w:szCs w:val="27"/>
        </w:rPr>
        <w:t>Throughout the five years, the operating profit margin has consistently trended between 27% and 28.8%. This demonstrates Diageo's adeptness in controlling operational costs, which encompass marketing, distribution, and administrative charges, as well as its effective cost management. The firm has maintained its pricing power and efficiency even as it engages in brand promotion and market expansion, which is indicated by the stable operating margin. The operating margin's growth, especially in the middle of the five-year period, may be the result of effective cost-cutting strategies or more productive operations, which may have been made possible by supply chain enhancements or digital efforts.</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 xml:space="preserve">There have been considerable variations in the Net Profit Margin, ranging from 14.5% to 17.2%. Diageo may have benefited from decreased financing costs or advantageous tax circumstances if it was able to convert its revenues into greater net profits, as seen by the tiny increase towards the end of the period. The variations also suggest that outside variables like changes in interest rates, tax laws, or currency values may have </w:t>
      </w:r>
      <w:proofErr w:type="gramStart"/>
      <w:r w:rsidRPr="00780A91">
        <w:rPr>
          <w:rFonts w:ascii="-webkit-standard" w:hAnsi="-webkit-standard"/>
          <w:color w:val="000000"/>
          <w:sz w:val="27"/>
          <w:szCs w:val="27"/>
        </w:rPr>
        <w:t>had an effect on</w:t>
      </w:r>
      <w:proofErr w:type="gramEnd"/>
      <w:r w:rsidRPr="00780A91">
        <w:rPr>
          <w:rFonts w:ascii="-webkit-standard" w:hAnsi="-webkit-standard"/>
          <w:color w:val="000000"/>
          <w:sz w:val="27"/>
          <w:szCs w:val="27"/>
        </w:rPr>
        <w:t xml:space="preserve"> the company's earnings. Diageo appears to be a solid, well-run company with steady profitability and great control over its cost structure, according to its profitability statistics.</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Analysis of Liquidity</w:t>
      </w:r>
      <w:r w:rsidRPr="00780A91">
        <w:rPr>
          <w:color w:val="000000"/>
        </w:rPr>
        <w:br/>
      </w:r>
      <w:r w:rsidRPr="00780A91">
        <w:rPr>
          <w:color w:val="000000"/>
        </w:rPr>
        <w:br/>
      </w:r>
      <w:r w:rsidRPr="00780A91">
        <w:rPr>
          <w:rFonts w:ascii="-webkit-standard" w:hAnsi="-webkit-standard"/>
          <w:color w:val="000000"/>
          <w:sz w:val="27"/>
          <w:szCs w:val="27"/>
        </w:rPr>
        <w:t>Over the course of the five years, Diageo's current ratio has remained constant at 1.5. This ratio shows that Diageo has effectively managed its liquidity, as seen by its strong capacity to meet its short-term commitments with its short-term assets. A current ratio of 1.5 indicates that Diageo has 1.5 euros in assets for every euro in liabilities, which is typically seen as a solid liquidity position. It demonstrates that the business can comfortably meet its immediate financial demands and is not unduly dependent on outside finance to achieve its short-term responsibilities.</w:t>
      </w:r>
    </w:p>
    <w:p w14:paraId="264D2A9A" w14:textId="77777777" w:rsidR="00CC2510" w:rsidRPr="00CC2510" w:rsidRDefault="00CC2510" w:rsidP="00780A91">
      <w:pPr>
        <w:pStyle w:val="ListParagraph"/>
        <w:numPr>
          <w:ilvl w:val="0"/>
          <w:numId w:val="34"/>
        </w:numPr>
      </w:pPr>
      <w:proofErr w:type="gramStart"/>
      <w:r w:rsidRPr="00780A91">
        <w:rPr>
          <w:rFonts w:ascii="-webkit-standard" w:hAnsi="-webkit-standard"/>
          <w:color w:val="000000"/>
          <w:sz w:val="27"/>
          <w:szCs w:val="27"/>
        </w:rPr>
        <w:t>With the exception of</w:t>
      </w:r>
      <w:proofErr w:type="gramEnd"/>
      <w:r w:rsidRPr="00780A91">
        <w:rPr>
          <w:rFonts w:ascii="-webkit-standard" w:hAnsi="-webkit-standard"/>
          <w:color w:val="000000"/>
          <w:sz w:val="27"/>
          <w:szCs w:val="27"/>
        </w:rPr>
        <w:t xml:space="preserve"> a minor decline at the conclusion of the time frame, the Quick Ratio has been close to 1.0. The quick ratio looks at the company's capacity to pay short-term commitments using its most liquid assets; it does this by excluding inventories from current assets. When the ratio is near to 1.0, Diageo doesn't need to rely too much on inventory sales to pay its current liabilities since it has sufficient liquid assets. The minor fall towards the end of the period might indicate a reduction in cash and receivables or an increase in inventory levels, possibly </w:t>
      </w:r>
      <w:proofErr w:type="gramStart"/>
      <w:r w:rsidRPr="00780A91">
        <w:rPr>
          <w:rFonts w:ascii="-webkit-standard" w:hAnsi="-webkit-standard"/>
          <w:color w:val="000000"/>
          <w:sz w:val="27"/>
          <w:szCs w:val="27"/>
        </w:rPr>
        <w:t>as a result of</w:t>
      </w:r>
      <w:proofErr w:type="gramEnd"/>
      <w:r w:rsidRPr="00780A91">
        <w:rPr>
          <w:rFonts w:ascii="-webkit-standard" w:hAnsi="-webkit-standard"/>
          <w:color w:val="000000"/>
          <w:sz w:val="27"/>
          <w:szCs w:val="27"/>
        </w:rPr>
        <w:t xml:space="preserve"> delayed collections or strategic investments. Overall, though, the pattern indicates that Diageo keeps a careful eye on its liquidity, effectively managing its working capital without building up an excessive </w:t>
      </w:r>
      <w:proofErr w:type="gramStart"/>
      <w:r w:rsidRPr="00780A91">
        <w:rPr>
          <w:rFonts w:ascii="-webkit-standard" w:hAnsi="-webkit-standard"/>
          <w:color w:val="000000"/>
          <w:sz w:val="27"/>
          <w:szCs w:val="27"/>
        </w:rPr>
        <w:t>amount</w:t>
      </w:r>
      <w:proofErr w:type="gramEnd"/>
      <w:r w:rsidRPr="00780A91">
        <w:rPr>
          <w:rFonts w:ascii="-webkit-standard" w:hAnsi="-webkit-standard"/>
          <w:color w:val="000000"/>
          <w:sz w:val="27"/>
          <w:szCs w:val="27"/>
        </w:rPr>
        <w:t xml:space="preserve"> of inventories.</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Analysis of Gearing</w:t>
      </w:r>
      <w:r w:rsidRPr="00780A91">
        <w:rPr>
          <w:color w:val="000000"/>
        </w:rPr>
        <w:br/>
      </w:r>
      <w:r w:rsidRPr="00780A91">
        <w:rPr>
          <w:color w:val="000000"/>
        </w:rPr>
        <w:br/>
      </w:r>
      <w:r w:rsidRPr="00780A91">
        <w:rPr>
          <w:rFonts w:ascii="-webkit-standard" w:hAnsi="-webkit-standard"/>
          <w:color w:val="000000"/>
          <w:sz w:val="27"/>
          <w:szCs w:val="27"/>
        </w:rPr>
        <w:t xml:space="preserve">Diageo has maintained a constant Debt to Equity Ratio of around 1.5, suggesting that the firm manages its debt in a prudent manner. With a </w:t>
      </w:r>
      <w:proofErr w:type="gramStart"/>
      <w:r w:rsidRPr="00780A91">
        <w:rPr>
          <w:rFonts w:ascii="-webkit-standard" w:hAnsi="-webkit-standard"/>
          <w:color w:val="000000"/>
          <w:sz w:val="27"/>
          <w:szCs w:val="27"/>
        </w:rPr>
        <w:t>debt to equity</w:t>
      </w:r>
      <w:proofErr w:type="gramEnd"/>
      <w:r w:rsidRPr="00780A91">
        <w:rPr>
          <w:rFonts w:ascii="-webkit-standard" w:hAnsi="-webkit-standard"/>
          <w:color w:val="000000"/>
          <w:sz w:val="27"/>
          <w:szCs w:val="27"/>
        </w:rPr>
        <w:t xml:space="preserve"> ratio of 1.5, Diageo is showing a modest amount of financial leverage—that is, €1.5 in debt for every €1 in equity. A corporation in a capital-intensive sector, such as the alcohol industry, where steady cash flows may sustain greater debt levels, is likely to have this ratio. Diageo has responsibly managed its capital structure over the past five years, avoiding an undue dependence on debt while also leveraging it to increase shareholder returns, as seen by the stability of this ratio.</w:t>
      </w:r>
    </w:p>
    <w:p w14:paraId="3E45CDB2" w14:textId="77777777" w:rsidR="00CC2510" w:rsidRPr="00CC2510" w:rsidRDefault="00CC2510" w:rsidP="00780A91">
      <w:pPr>
        <w:pStyle w:val="ListParagraph"/>
        <w:numPr>
          <w:ilvl w:val="0"/>
          <w:numId w:val="34"/>
        </w:numPr>
      </w:pPr>
      <w:r w:rsidRPr="00780A91">
        <w:rPr>
          <w:rFonts w:ascii="-webkit-standard" w:hAnsi="-webkit-standard"/>
          <w:color w:val="000000"/>
          <w:sz w:val="27"/>
          <w:szCs w:val="27"/>
        </w:rPr>
        <w:t xml:space="preserve">Over the time, the Interest Coverage Ratio has marginally increased, rising from 11 to about 13.39. </w:t>
      </w:r>
      <w:proofErr w:type="gramStart"/>
      <w:r w:rsidRPr="00780A91">
        <w:rPr>
          <w:rFonts w:ascii="-webkit-standard" w:hAnsi="-webkit-standard"/>
          <w:color w:val="000000"/>
          <w:sz w:val="27"/>
          <w:szCs w:val="27"/>
        </w:rPr>
        <w:t>An</w:t>
      </w:r>
      <w:proofErr w:type="gramEnd"/>
      <w:r w:rsidRPr="00780A91">
        <w:rPr>
          <w:rFonts w:ascii="-webkit-standard" w:hAnsi="-webkit-standard"/>
          <w:color w:val="000000"/>
          <w:sz w:val="27"/>
          <w:szCs w:val="27"/>
        </w:rPr>
        <w:t xml:space="preserve"> growing ratio is a good indicator since it shows how well Diageo is able to use operational earnings to pay interest on its debt. It implies that Diageo's profits will more than cover interest costs, lowering the possibility of financial difficulties. Either reduced interest expenses—possibly </w:t>
      </w:r>
      <w:proofErr w:type="gramStart"/>
      <w:r w:rsidRPr="00780A91">
        <w:rPr>
          <w:rFonts w:ascii="-webkit-standard" w:hAnsi="-webkit-standard"/>
          <w:color w:val="000000"/>
          <w:sz w:val="27"/>
          <w:szCs w:val="27"/>
        </w:rPr>
        <w:t>as a result of</w:t>
      </w:r>
      <w:proofErr w:type="gramEnd"/>
      <w:r w:rsidRPr="00780A91">
        <w:rPr>
          <w:rFonts w:ascii="-webkit-standard" w:hAnsi="-webkit-standard"/>
          <w:color w:val="000000"/>
          <w:sz w:val="27"/>
          <w:szCs w:val="27"/>
        </w:rPr>
        <w:t xml:space="preserve"> refinancing at a cheaper rate—or increased operational profits might be the cause of this ratio's improvement. Overall, Diageo’s gearing ratios show a well-managed approach to leverage, with sufficient coverage to handle debt comfortably.</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Analysis of Efficiency</w:t>
      </w:r>
      <w:r w:rsidRPr="00780A91">
        <w:rPr>
          <w:color w:val="000000"/>
        </w:rPr>
        <w:br/>
      </w:r>
      <w:r w:rsidRPr="00780A91">
        <w:rPr>
          <w:color w:val="000000"/>
        </w:rPr>
        <w:br/>
      </w:r>
      <w:r w:rsidRPr="00780A91">
        <w:rPr>
          <w:rFonts w:ascii="-webkit-standard" w:hAnsi="-webkit-standard"/>
          <w:color w:val="000000"/>
          <w:sz w:val="27"/>
          <w:szCs w:val="27"/>
        </w:rPr>
        <w:t>Over the course of five years, the asset turnover ratio has steadily increased, rising from 0.4 to 0.47. This ratio shows how well Diageo uses its resources to produce income. Due to successful expansion into high-growth areas, improved inventory management, or more efficient use of its production facilities, Diageo may have been able to create more revenue per unit of asset used, as indicated by the increasing trend. Diageo's operational efficiency and capacity to optimise the returns from its asset base are demonstrated by this development.</w:t>
      </w:r>
    </w:p>
    <w:p w14:paraId="47BA30FE" w14:textId="77777777" w:rsidR="00CC2510" w:rsidRPr="00CC2510" w:rsidRDefault="00CC2510" w:rsidP="00780A91">
      <w:pPr>
        <w:pStyle w:val="ListParagraph"/>
        <w:numPr>
          <w:ilvl w:val="0"/>
          <w:numId w:val="34"/>
        </w:numPr>
      </w:pPr>
      <w:r w:rsidRPr="00780A91">
        <w:rPr>
          <w:rFonts w:ascii="-webkit-standard" w:hAnsi="-webkit-standard"/>
          <w:color w:val="000000"/>
          <w:sz w:val="27"/>
          <w:szCs w:val="27"/>
        </w:rPr>
        <w:t>Diageo's inventory turnover ratio, which measures how frequently it sells and replaces its stock within a year, has been steady at about 2.0. A steady inventory turnover ratio is a sign of good inventory management from Diageo, meaning that neither too much inventory is held on hand that may go out of style nor too little is on hand that might hurt sales. In a market where consumer loyalty and brand reputation are largely dependent on product availability and freshness, striking this balance is essential.</w:t>
      </w:r>
      <w:r w:rsidRPr="00780A91">
        <w:rPr>
          <w:color w:val="000000"/>
        </w:rPr>
        <w:br/>
      </w:r>
      <w:r w:rsidRPr="00780A91">
        <w:rPr>
          <w:color w:val="000000"/>
        </w:rPr>
        <w:br/>
      </w:r>
      <w:r w:rsidRPr="00780A91">
        <w:rPr>
          <w:rFonts w:ascii="-webkit-standard" w:hAnsi="-webkit-standard"/>
          <w:color w:val="000000"/>
          <w:sz w:val="27"/>
          <w:szCs w:val="27"/>
        </w:rPr>
        <w:t>Ratios of Investment</w:t>
      </w:r>
      <w:r w:rsidRPr="00780A91">
        <w:rPr>
          <w:color w:val="000000"/>
        </w:rPr>
        <w:br/>
      </w:r>
      <w:r w:rsidRPr="00780A91">
        <w:rPr>
          <w:color w:val="000000"/>
        </w:rPr>
        <w:br/>
      </w:r>
      <w:r w:rsidRPr="00780A91">
        <w:rPr>
          <w:rFonts w:ascii="-webkit-standard" w:hAnsi="-webkit-standard"/>
          <w:color w:val="000000"/>
          <w:sz w:val="27"/>
          <w:szCs w:val="27"/>
        </w:rPr>
        <w:t>Consistent rise in the Earnings Per Share (EPS) indicates that Diageo has improved shareholder value by becoming more profitable per share. Diageo may have participated in share buybacks to lower the number of outstanding shares and increase the EPS, as indicated by the expanding EPS, which also implies that the company has handled its earnings well.</w:t>
      </w:r>
      <w:r w:rsidRPr="00780A91">
        <w:rPr>
          <w:color w:val="000000"/>
        </w:rPr>
        <w:br/>
      </w:r>
      <w:r w:rsidRPr="00780A91">
        <w:rPr>
          <w:color w:val="000000"/>
        </w:rPr>
        <w:br/>
      </w:r>
      <w:r w:rsidRPr="00780A91">
        <w:rPr>
          <w:rFonts w:ascii="-webkit-standard" w:hAnsi="-webkit-standard"/>
          <w:color w:val="000000"/>
          <w:sz w:val="27"/>
          <w:szCs w:val="27"/>
        </w:rPr>
        <w:t xml:space="preserve">Market confidence in Diageo's potential for future earnings is shown in the Price to Earnings (P/E) Ratio, which has stayed consistent with industry standards. Investors that are ready to pay a premium for a company's profits are said to have a favourable perspective on the company's growth prospects if the P/E ratio is steady or slightly growing. A noticeably high P/E ratio, however, may also be an indication of overvaluation, which </w:t>
      </w:r>
      <w:proofErr w:type="gramStart"/>
      <w:r w:rsidRPr="00780A91">
        <w:rPr>
          <w:rFonts w:ascii="-webkit-standard" w:hAnsi="-webkit-standard"/>
          <w:color w:val="000000"/>
          <w:sz w:val="27"/>
          <w:szCs w:val="27"/>
        </w:rPr>
        <w:t>has to</w:t>
      </w:r>
      <w:proofErr w:type="gramEnd"/>
      <w:r w:rsidRPr="00780A91">
        <w:rPr>
          <w:rFonts w:ascii="-webkit-standard" w:hAnsi="-webkit-standard"/>
          <w:color w:val="000000"/>
          <w:sz w:val="27"/>
          <w:szCs w:val="27"/>
        </w:rPr>
        <w:t xml:space="preserve"> be closely watched.</w:t>
      </w:r>
    </w:p>
    <w:p w14:paraId="4DCA0FE3" w14:textId="6F737980" w:rsidR="00CC2510" w:rsidRPr="00CC2510" w:rsidRDefault="00CC2510" w:rsidP="00780A91">
      <w:pPr>
        <w:pStyle w:val="ListParagraph"/>
        <w:numPr>
          <w:ilvl w:val="0"/>
          <w:numId w:val="34"/>
        </w:numPr>
      </w:pPr>
      <w:r w:rsidRPr="00780A91">
        <w:rPr>
          <w:rFonts w:ascii="-webkit-standard" w:hAnsi="-webkit-standard"/>
          <w:color w:val="000000"/>
          <w:sz w:val="27"/>
          <w:szCs w:val="27"/>
        </w:rPr>
        <w:t xml:space="preserve">In line with Diageo's plan to consistently provide dividends to shareholders, the Dividend Yield has remained favourable. Rising EPS and a steady dividend yield show that Diageo has been able to reinvest in growth prospects while also upholding a strict </w:t>
      </w:r>
      <w:proofErr w:type="spellStart"/>
      <w:r w:rsidRPr="00780A91">
        <w:rPr>
          <w:rFonts w:ascii="-webkit-standard" w:hAnsi="-webkit-standard"/>
          <w:color w:val="000000"/>
          <w:sz w:val="27"/>
          <w:szCs w:val="27"/>
        </w:rPr>
        <w:t>payout</w:t>
      </w:r>
      <w:proofErr w:type="spellEnd"/>
      <w:r w:rsidRPr="00780A91">
        <w:rPr>
          <w:rFonts w:ascii="-webkit-standard" w:hAnsi="-webkit-standard"/>
          <w:color w:val="000000"/>
          <w:sz w:val="27"/>
          <w:szCs w:val="27"/>
        </w:rPr>
        <w:t xml:space="preserve"> policy.</w:t>
      </w:r>
    </w:p>
    <w:p w14:paraId="058A5A55" w14:textId="16F0FE15" w:rsidR="00DD4E05" w:rsidRPr="00780A91" w:rsidRDefault="00CC2510" w:rsidP="00780A91">
      <w:pPr>
        <w:pStyle w:val="ListParagraph"/>
        <w:numPr>
          <w:ilvl w:val="0"/>
          <w:numId w:val="34"/>
        </w:numPr>
        <w:spacing w:before="100" w:beforeAutospacing="1" w:after="100" w:afterAutospacing="1"/>
        <w:outlineLvl w:val="2"/>
        <w:rPr>
          <w:b/>
          <w:bCs/>
          <w:color w:val="000000"/>
          <w:sz w:val="27"/>
          <w:szCs w:val="27"/>
        </w:rPr>
      </w:pPr>
      <w:r w:rsidRPr="00780A91">
        <w:rPr>
          <w:b/>
          <w:bCs/>
          <w:color w:val="000000"/>
          <w:sz w:val="27"/>
          <w:szCs w:val="27"/>
        </w:rPr>
        <w:br/>
        <w:t>5.</w:t>
      </w:r>
      <w:r w:rsidR="00DD4E05" w:rsidRPr="00780A91">
        <w:rPr>
          <w:b/>
          <w:bCs/>
          <w:color w:val="000000"/>
          <w:sz w:val="27"/>
          <w:szCs w:val="27"/>
        </w:rPr>
        <w:t xml:space="preserve"> Comparison with Major Competitors and Sector Average</w:t>
      </w:r>
    </w:p>
    <w:p w14:paraId="1FA2E086" w14:textId="49C4BF9C" w:rsidR="00CC2510" w:rsidRPr="00CC2510" w:rsidRDefault="00CC2510" w:rsidP="00780A91">
      <w:pPr>
        <w:pStyle w:val="ListParagraph"/>
        <w:numPr>
          <w:ilvl w:val="0"/>
          <w:numId w:val="34"/>
        </w:numPr>
      </w:pPr>
      <w:r w:rsidRPr="00780A91">
        <w:rPr>
          <w:rFonts w:ascii="-webkit-standard" w:hAnsi="-webkit-standard"/>
          <w:color w:val="000000"/>
          <w:sz w:val="27"/>
          <w:szCs w:val="27"/>
        </w:rPr>
        <w:t>Comparative Analysis of Sector Average Competitors and Major Competitors</w:t>
      </w:r>
      <w:r w:rsidRPr="00780A91">
        <w:rPr>
          <w:color w:val="000000"/>
        </w:rPr>
        <w:br/>
      </w:r>
      <w:r w:rsidRPr="00780A91">
        <w:rPr>
          <w:color w:val="000000"/>
        </w:rPr>
        <w:br/>
      </w:r>
      <w:proofErr w:type="gramStart"/>
      <w:r w:rsidRPr="00780A91">
        <w:rPr>
          <w:rFonts w:ascii="-webkit-standard" w:hAnsi="-webkit-standard"/>
          <w:color w:val="000000"/>
          <w:sz w:val="27"/>
          <w:szCs w:val="27"/>
        </w:rPr>
        <w:t>A number of</w:t>
      </w:r>
      <w:proofErr w:type="gramEnd"/>
      <w:r w:rsidRPr="00780A91">
        <w:rPr>
          <w:rFonts w:ascii="-webkit-standard" w:hAnsi="-webkit-standard"/>
          <w:color w:val="000000"/>
          <w:sz w:val="27"/>
          <w:szCs w:val="27"/>
        </w:rPr>
        <w:t xml:space="preserve"> significant conclusions may be drawn by contrasting Diageo's financial ratios with those of its main rivals, including Pernod Ricard and Brown-Forman.</w:t>
      </w:r>
      <w:r w:rsidRPr="00780A91">
        <w:rPr>
          <w:color w:val="000000"/>
        </w:rPr>
        <w:br/>
      </w:r>
      <w:r w:rsidRPr="00780A91">
        <w:rPr>
          <w:color w:val="000000"/>
        </w:rPr>
        <w:br/>
      </w:r>
      <w:r w:rsidRPr="00780A91">
        <w:rPr>
          <w:rFonts w:ascii="-webkit-standard" w:hAnsi="-webkit-standard"/>
          <w:color w:val="000000"/>
          <w:sz w:val="27"/>
          <w:szCs w:val="27"/>
        </w:rPr>
        <w:t xml:space="preserve">Profitability: In general, Diageo's operational and gross profit margins are either somewhat greater than those of its rivals or equivalent to them. For example, Pernod Ricard's operating margins normally vary from 26% to 28%, whereas </w:t>
      </w:r>
      <w:proofErr w:type="gramStart"/>
      <w:r w:rsidRPr="00780A91">
        <w:rPr>
          <w:rFonts w:ascii="-webkit-standard" w:hAnsi="-webkit-standard"/>
          <w:color w:val="000000"/>
          <w:sz w:val="27"/>
          <w:szCs w:val="27"/>
        </w:rPr>
        <w:t>Brown-Forman's tend</w:t>
      </w:r>
      <w:proofErr w:type="gramEnd"/>
      <w:r w:rsidRPr="00780A91">
        <w:rPr>
          <w:rFonts w:ascii="-webkit-standard" w:hAnsi="-webkit-standard"/>
          <w:color w:val="000000"/>
          <w:sz w:val="27"/>
          <w:szCs w:val="27"/>
        </w:rPr>
        <w:t xml:space="preserve"> to be somewhat lower, closer to 25% to 27%. Diageo's operating margin has been consistent over the previous five years, ranging from 27% to 28.8%. This suggests that Diageo has significant pricing power in the market and is marginally more effective at controlling its operating expenses. The robust brand portfolio and effective premiumization strategy of Diageo may possibly be contributing factors to the greater profitability.</w:t>
      </w:r>
      <w:r w:rsidRPr="00780A91">
        <w:rPr>
          <w:rFonts w:ascii="-webkit-standard" w:hAnsi="-webkit-standard"/>
          <w:color w:val="000000"/>
          <w:sz w:val="27"/>
          <w:szCs w:val="27"/>
        </w:rPr>
        <w:br/>
      </w:r>
    </w:p>
    <w:p w14:paraId="606C1B62" w14:textId="77777777" w:rsidR="00CC2510" w:rsidRPr="00CC2510" w:rsidRDefault="00CC2510" w:rsidP="00780A91">
      <w:pPr>
        <w:pStyle w:val="ListParagraph"/>
        <w:numPr>
          <w:ilvl w:val="0"/>
          <w:numId w:val="34"/>
        </w:numPr>
      </w:pPr>
      <w:r w:rsidRPr="00780A91">
        <w:rPr>
          <w:rFonts w:ascii="-webkit-standard" w:hAnsi="-webkit-standard"/>
          <w:color w:val="000000"/>
          <w:sz w:val="27"/>
          <w:szCs w:val="27"/>
        </w:rPr>
        <w:t xml:space="preserve">Liquidity: Compared to certain rivals like Brown-Forman, which often has a current ratio closer to 2.0, Diageo's liquidity ratios—particularly the current ratio of about 1.5—are marginally lower. This disparity implies that Diageo may have a little lower level of liquidity than some of its competitors, maybe </w:t>
      </w:r>
      <w:proofErr w:type="gramStart"/>
      <w:r w:rsidRPr="00780A91">
        <w:rPr>
          <w:rFonts w:ascii="-webkit-standard" w:hAnsi="-webkit-standard"/>
          <w:color w:val="000000"/>
          <w:sz w:val="27"/>
          <w:szCs w:val="27"/>
        </w:rPr>
        <w:t>as a result of</w:t>
      </w:r>
      <w:proofErr w:type="gramEnd"/>
      <w:r w:rsidRPr="00780A91">
        <w:rPr>
          <w:rFonts w:ascii="-webkit-standard" w:hAnsi="-webkit-standard"/>
          <w:color w:val="000000"/>
          <w:sz w:val="27"/>
          <w:szCs w:val="27"/>
        </w:rPr>
        <w:t xml:space="preserve"> a more aggressive capital allocation strategy or a larger amount of short-term liabilities. Nonetheless, Diageo and Pernod Ricard both have quick ratios of about 1.0, which suggests a comparable capacity to fulfil urgent demands.</w:t>
      </w:r>
      <w:r w:rsidRPr="00780A91">
        <w:rPr>
          <w:rFonts w:ascii="-webkit-standard" w:hAnsi="-webkit-standard"/>
          <w:color w:val="000000"/>
          <w:sz w:val="27"/>
          <w:szCs w:val="27"/>
        </w:rPr>
        <w:br/>
      </w:r>
      <w:r w:rsidRPr="00780A91">
        <w:rPr>
          <w:rFonts w:ascii="-webkit-standard" w:hAnsi="-webkit-standard"/>
          <w:color w:val="000000"/>
          <w:sz w:val="27"/>
          <w:szCs w:val="27"/>
        </w:rPr>
        <w:t>Gearing: Due to its greater use of financial leverage, Diageo has a debt-to-equity ratio of about 1.5, which is higher than Brown-Forman's, which normally has a ratio below 1.0. The fact that Pernod Ricard's gearing ratio is closer to Diageo's indicates that both businesses use debt more frequently to finance expansion, which is typical of capital-intensive sectors. Diageo's interest coverage ratio, which has improved to about 13.39, is still competitive when compared to its rivals, suggesting that it can service its debt even with greater leverage.</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Sector Mean</w:t>
      </w:r>
      <w:r w:rsidRPr="00780A91">
        <w:rPr>
          <w:color w:val="000000"/>
        </w:rPr>
        <w:br/>
      </w:r>
      <w:r w:rsidRPr="00780A91">
        <w:rPr>
          <w:color w:val="000000"/>
        </w:rPr>
        <w:br/>
      </w:r>
      <w:r w:rsidRPr="00780A91">
        <w:rPr>
          <w:rFonts w:ascii="-webkit-standard" w:hAnsi="-webkit-standard"/>
          <w:color w:val="000000"/>
          <w:sz w:val="27"/>
          <w:szCs w:val="27"/>
        </w:rPr>
        <w:t xml:space="preserve">Diageo typically outperforms sector norms when compared to industry averages, especially when it comes to profitability. Diageo's operating margins are somewhat greater than the average operating margin of the alcoholic beverage sector, which is around 25%. The sector average current ratio, which closely resembles Diageo's, is about 1.5 in terms of liquidity. Diageo, however, appears to be more dependent on debt financing as seen by its higher debt-to-equity ratio when compared to the sector average, which is about 1.2. Although this technique has been profitable, relative to the </w:t>
      </w:r>
      <w:proofErr w:type="gramStart"/>
      <w:r w:rsidRPr="00780A91">
        <w:rPr>
          <w:rFonts w:ascii="-webkit-standard" w:hAnsi="-webkit-standard"/>
          <w:color w:val="000000"/>
          <w:sz w:val="27"/>
          <w:szCs w:val="27"/>
        </w:rPr>
        <w:t>sector as a whole, it</w:t>
      </w:r>
      <w:proofErr w:type="gramEnd"/>
      <w:r w:rsidRPr="00780A91">
        <w:rPr>
          <w:rFonts w:ascii="-webkit-standard" w:hAnsi="-webkit-standard"/>
          <w:color w:val="000000"/>
          <w:sz w:val="27"/>
          <w:szCs w:val="27"/>
        </w:rPr>
        <w:t xml:space="preserve"> implies a higher level of financial risk.</w:t>
      </w:r>
    </w:p>
    <w:p w14:paraId="3353B46F" w14:textId="4920EE4D" w:rsidR="00DD4E05" w:rsidRPr="00DD4E05" w:rsidRDefault="00CC2510" w:rsidP="00780A91">
      <w:pPr>
        <w:pStyle w:val="ListParagraph"/>
        <w:numPr>
          <w:ilvl w:val="0"/>
          <w:numId w:val="34"/>
        </w:numPr>
      </w:pPr>
      <w:r w:rsidRPr="00780A91">
        <w:rPr>
          <w:rFonts w:ascii="-webkit-standard" w:hAnsi="-webkit-standard"/>
          <w:color w:val="000000"/>
          <w:sz w:val="27"/>
          <w:szCs w:val="27"/>
        </w:rPr>
        <w:br/>
      </w:r>
      <w:r w:rsidRPr="00780A91">
        <w:rPr>
          <w:color w:val="000000"/>
        </w:rPr>
        <w:br/>
      </w:r>
      <w:r w:rsidRPr="00780A91">
        <w:rPr>
          <w:b/>
          <w:bCs/>
          <w:color w:val="000000"/>
          <w:sz w:val="27"/>
          <w:szCs w:val="27"/>
        </w:rPr>
        <w:t>6</w:t>
      </w:r>
      <w:r w:rsidR="00DD4E05" w:rsidRPr="00780A91">
        <w:rPr>
          <w:b/>
          <w:bCs/>
          <w:color w:val="000000"/>
          <w:sz w:val="27"/>
          <w:szCs w:val="27"/>
        </w:rPr>
        <w:t>. Recommendations for Financial Management</w:t>
      </w:r>
      <w:r w:rsidR="000C2370" w:rsidRPr="00780A91">
        <w:rPr>
          <w:b/>
          <w:bCs/>
          <w:color w:val="000000"/>
          <w:sz w:val="27"/>
          <w:szCs w:val="27"/>
        </w:rPr>
        <w:br/>
      </w:r>
    </w:p>
    <w:p w14:paraId="6106DA47" w14:textId="77777777" w:rsidR="000C2370" w:rsidRPr="000C2370" w:rsidRDefault="000C2370" w:rsidP="00780A91">
      <w:pPr>
        <w:pStyle w:val="ListParagraph"/>
        <w:numPr>
          <w:ilvl w:val="0"/>
          <w:numId w:val="34"/>
        </w:numPr>
      </w:pPr>
      <w:r w:rsidRPr="00780A91">
        <w:rPr>
          <w:rFonts w:ascii="-webkit-standard" w:hAnsi="-webkit-standard"/>
          <w:color w:val="000000"/>
          <w:sz w:val="27"/>
          <w:szCs w:val="27"/>
        </w:rPr>
        <w:t>Suggestions for Enhancing Financial Management Profitability</w:t>
      </w:r>
      <w:r w:rsidRPr="00780A91">
        <w:rPr>
          <w:color w:val="000000"/>
        </w:rPr>
        <w:br/>
      </w:r>
      <w:r w:rsidRPr="00780A91">
        <w:rPr>
          <w:color w:val="000000"/>
        </w:rPr>
        <w:br/>
      </w:r>
      <w:r w:rsidRPr="00780A91">
        <w:rPr>
          <w:rFonts w:ascii="-webkit-standard" w:hAnsi="-webkit-standard"/>
          <w:color w:val="000000"/>
          <w:sz w:val="27"/>
          <w:szCs w:val="27"/>
        </w:rPr>
        <w:t>Diageo has a few options for improving operating margins:</w:t>
      </w:r>
      <w:r w:rsidRPr="00780A91">
        <w:rPr>
          <w:color w:val="000000"/>
        </w:rPr>
        <w:br/>
      </w:r>
      <w:r w:rsidRPr="00780A91">
        <w:rPr>
          <w:color w:val="000000"/>
        </w:rPr>
        <w:br/>
      </w:r>
      <w:r w:rsidRPr="00780A91">
        <w:rPr>
          <w:rFonts w:ascii="-webkit-standard" w:hAnsi="-webkit-standard"/>
          <w:color w:val="000000"/>
          <w:sz w:val="27"/>
          <w:szCs w:val="27"/>
        </w:rPr>
        <w:t>Cost Control: By using automation and digital technology, Diageo should keep its attention on cost control. Advanced analytics might be used to simplify logistics, save waste, and improve production processes. Renegotiating supplier agreements and looking for more affordable sources for raw materials can also help to lower the cost of items supplied.</w:t>
      </w:r>
      <w:r w:rsidRPr="00780A91">
        <w:rPr>
          <w:color w:val="000000"/>
        </w:rPr>
        <w:br/>
      </w:r>
      <w:r w:rsidRPr="00780A91">
        <w:rPr>
          <w:color w:val="000000"/>
        </w:rPr>
        <w:br/>
      </w:r>
      <w:r w:rsidRPr="00780A91">
        <w:rPr>
          <w:rFonts w:ascii="-webkit-standard" w:hAnsi="-webkit-standard"/>
          <w:color w:val="000000"/>
          <w:sz w:val="27"/>
          <w:szCs w:val="27"/>
        </w:rPr>
        <w:t xml:space="preserve">Product Mix Optimisation: Diageo ought to think about focussing more on high-margin items </w:t>
      </w:r>
      <w:proofErr w:type="gramStart"/>
      <w:r w:rsidRPr="00780A91">
        <w:rPr>
          <w:rFonts w:ascii="-webkit-standard" w:hAnsi="-webkit-standard"/>
          <w:color w:val="000000"/>
          <w:sz w:val="27"/>
          <w:szCs w:val="27"/>
        </w:rPr>
        <w:t>in order to</w:t>
      </w:r>
      <w:proofErr w:type="gramEnd"/>
      <w:r w:rsidRPr="00780A91">
        <w:rPr>
          <w:rFonts w:ascii="-webkit-standard" w:hAnsi="-webkit-standard"/>
          <w:color w:val="000000"/>
          <w:sz w:val="27"/>
          <w:szCs w:val="27"/>
        </w:rPr>
        <w:t xml:space="preserve"> streamline its product mix. Better market segmentation and an emphasis on the premium and super-premium categories, where there is a greater willingness on the part of consumers to pay higher costs, can help achieve this. Putting money into these high-end items' brands might increase pricing power and boost profitability.</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Examining Premiumization: It is imperative to keep using the premiumization approach. Diageo ought to spend money on marketing and R&amp;D to improve its high-end products. This might entail introducing limited-edition goods, entering premium areas with strong growth, and improving customer experiences with its luxury brands. Enhancing brand loyalty and increasing revenue per unit sold are two benefits of premiumization that contribute to long-term success.</w:t>
      </w:r>
      <w:r w:rsidRPr="00780A91">
        <w:rPr>
          <w:color w:val="000000"/>
        </w:rPr>
        <w:br/>
      </w:r>
      <w:r w:rsidRPr="00780A91">
        <w:rPr>
          <w:rFonts w:ascii="-webkit-standard" w:hAnsi="-webkit-standard"/>
          <w:color w:val="000000"/>
          <w:sz w:val="27"/>
          <w:szCs w:val="27"/>
        </w:rPr>
        <w:t>Improvement of Liquidity</w:t>
      </w:r>
      <w:r w:rsidRPr="00780A91">
        <w:rPr>
          <w:color w:val="000000"/>
        </w:rPr>
        <w:br/>
      </w:r>
      <w:r w:rsidRPr="00780A91">
        <w:rPr>
          <w:color w:val="000000"/>
        </w:rPr>
        <w:br/>
      </w:r>
      <w:r w:rsidRPr="00780A91">
        <w:rPr>
          <w:rFonts w:ascii="-webkit-standard" w:hAnsi="-webkit-standard"/>
          <w:color w:val="000000"/>
          <w:sz w:val="27"/>
          <w:szCs w:val="27"/>
        </w:rPr>
        <w:t xml:space="preserve">Increasing liquidity can be accomplished in </w:t>
      </w:r>
      <w:proofErr w:type="gramStart"/>
      <w:r w:rsidRPr="00780A91">
        <w:rPr>
          <w:rFonts w:ascii="-webkit-standard" w:hAnsi="-webkit-standard"/>
          <w:color w:val="000000"/>
          <w:sz w:val="27"/>
          <w:szCs w:val="27"/>
        </w:rPr>
        <w:t>a number of</w:t>
      </w:r>
      <w:proofErr w:type="gramEnd"/>
      <w:r w:rsidRPr="00780A91">
        <w:rPr>
          <w:rFonts w:ascii="-webkit-standard" w:hAnsi="-webkit-standard"/>
          <w:color w:val="000000"/>
          <w:sz w:val="27"/>
          <w:szCs w:val="27"/>
        </w:rPr>
        <w:t xml:space="preserve"> ways:</w:t>
      </w:r>
      <w:r w:rsidRPr="00780A91">
        <w:rPr>
          <w:color w:val="000000"/>
        </w:rPr>
        <w:br/>
      </w:r>
      <w:r w:rsidRPr="00780A91">
        <w:rPr>
          <w:color w:val="000000"/>
        </w:rPr>
        <w:br/>
      </w:r>
      <w:r w:rsidRPr="00780A91">
        <w:rPr>
          <w:rFonts w:ascii="-webkit-standard" w:hAnsi="-webkit-standard"/>
          <w:color w:val="000000"/>
          <w:sz w:val="27"/>
          <w:szCs w:val="27"/>
        </w:rPr>
        <w:t>Improved Working Capital Management: Diageo can increase its liquidity by enforcing stricter working capital regulations. This entails lowering days sales outstanding (DSO) by enhancing cash collection procedures and putting in place stricter credit standards. Increasing the speed at which receivables are turned into cash will increase liquidity without requiring further funding.</w:t>
      </w:r>
      <w:r w:rsidRPr="00780A91">
        <w:rPr>
          <w:color w:val="000000"/>
        </w:rPr>
        <w:br/>
      </w:r>
    </w:p>
    <w:p w14:paraId="5C817629" w14:textId="77777777" w:rsidR="000C2370" w:rsidRPr="000C2370" w:rsidRDefault="000C2370" w:rsidP="00780A91">
      <w:pPr>
        <w:pStyle w:val="ListParagraph"/>
        <w:numPr>
          <w:ilvl w:val="0"/>
          <w:numId w:val="34"/>
        </w:numPr>
      </w:pPr>
      <w:r w:rsidRPr="00780A91">
        <w:rPr>
          <w:rFonts w:ascii="-webkit-standard" w:hAnsi="-webkit-standard"/>
          <w:color w:val="000000"/>
          <w:sz w:val="27"/>
          <w:szCs w:val="27"/>
        </w:rPr>
        <w:t>Reducing Inventory Days: By streamlining its supply chain, Diageo may be able to shorten the time it has to retain inventory. This might entail lowering the amount of capital locked up in stock by using just-in-time inventory systems or increasing the accuracy of demand forecasts. Diageo may minimise surplus stock and immediately satisfy consumer demand by streamlining inventory management.</w:t>
      </w:r>
      <w:r w:rsidRPr="00780A91">
        <w:rPr>
          <w:color w:val="000000"/>
        </w:rPr>
        <w:br/>
      </w:r>
      <w:r w:rsidRPr="00780A91">
        <w:rPr>
          <w:color w:val="000000"/>
        </w:rPr>
        <w:br/>
      </w:r>
      <w:r w:rsidRPr="00780A91">
        <w:rPr>
          <w:rFonts w:ascii="-webkit-standard" w:hAnsi="-webkit-standard"/>
          <w:color w:val="000000"/>
          <w:sz w:val="27"/>
          <w:szCs w:val="27"/>
        </w:rPr>
        <w:t xml:space="preserve">Effective Credit Control: By putting in place more effective credit control measures, bad debt risk may be </w:t>
      </w:r>
      <w:proofErr w:type="gramStart"/>
      <w:r w:rsidRPr="00780A91">
        <w:rPr>
          <w:rFonts w:ascii="-webkit-standard" w:hAnsi="-webkit-standard"/>
          <w:color w:val="000000"/>
          <w:sz w:val="27"/>
          <w:szCs w:val="27"/>
        </w:rPr>
        <w:t>decreased</w:t>
      </w:r>
      <w:proofErr w:type="gramEnd"/>
      <w:r w:rsidRPr="00780A91">
        <w:rPr>
          <w:rFonts w:ascii="-webkit-standard" w:hAnsi="-webkit-standard"/>
          <w:color w:val="000000"/>
          <w:sz w:val="27"/>
          <w:szCs w:val="27"/>
        </w:rPr>
        <w:t xml:space="preserve"> and cash flow can be enhanced. Diageo should routinely evaluate the creditworthiness of its customers and modify the conditions of lending as needed. The business can increase liquidity without endangering sales by more closely coordinating credit rules with client payment practices.</w:t>
      </w:r>
    </w:p>
    <w:p w14:paraId="058F7259" w14:textId="77777777" w:rsidR="000C2370" w:rsidRPr="000C2370" w:rsidRDefault="000C2370" w:rsidP="00780A91">
      <w:pPr>
        <w:pStyle w:val="ListParagraph"/>
        <w:numPr>
          <w:ilvl w:val="0"/>
          <w:numId w:val="34"/>
        </w:numPr>
      </w:pPr>
      <w:r>
        <w:br/>
      </w:r>
      <w:r w:rsidRPr="00780A91">
        <w:rPr>
          <w:rFonts w:ascii="-webkit-standard" w:hAnsi="-webkit-standard"/>
          <w:color w:val="000000"/>
          <w:sz w:val="27"/>
          <w:szCs w:val="27"/>
        </w:rPr>
        <w:t>Modification of Gearing</w:t>
      </w:r>
      <w:r w:rsidRPr="00780A91">
        <w:rPr>
          <w:color w:val="000000"/>
        </w:rPr>
        <w:br/>
      </w:r>
      <w:r w:rsidRPr="00780A91">
        <w:rPr>
          <w:color w:val="000000"/>
        </w:rPr>
        <w:br/>
      </w:r>
      <w:r w:rsidRPr="00780A91">
        <w:rPr>
          <w:rFonts w:ascii="-webkit-standard" w:hAnsi="-webkit-standard"/>
          <w:color w:val="000000"/>
          <w:sz w:val="27"/>
          <w:szCs w:val="27"/>
        </w:rPr>
        <w:t>The way Diageo is now gearing suggests a balanced approach to debt, although there is room for improvement:</w:t>
      </w:r>
      <w:r w:rsidRPr="00780A91">
        <w:rPr>
          <w:color w:val="000000"/>
        </w:rPr>
        <w:br/>
      </w:r>
      <w:r w:rsidRPr="00780A91">
        <w:rPr>
          <w:color w:val="000000"/>
        </w:rPr>
        <w:br/>
      </w:r>
      <w:r w:rsidRPr="00780A91">
        <w:rPr>
          <w:rFonts w:ascii="-webkit-standard" w:hAnsi="-webkit-standard"/>
          <w:color w:val="000000"/>
          <w:sz w:val="27"/>
          <w:szCs w:val="27"/>
        </w:rPr>
        <w:t xml:space="preserve">Reducing Debt Levels: Diageo may think about lowering its debt levels </w:t>
      </w:r>
      <w:proofErr w:type="gramStart"/>
      <w:r w:rsidRPr="00780A91">
        <w:rPr>
          <w:rFonts w:ascii="-webkit-standard" w:hAnsi="-webkit-standard"/>
          <w:color w:val="000000"/>
          <w:sz w:val="27"/>
          <w:szCs w:val="27"/>
        </w:rPr>
        <w:t>in light of</w:t>
      </w:r>
      <w:proofErr w:type="gramEnd"/>
      <w:r w:rsidRPr="00780A91">
        <w:rPr>
          <w:rFonts w:ascii="-webkit-standard" w:hAnsi="-webkit-standard"/>
          <w:color w:val="000000"/>
          <w:sz w:val="27"/>
          <w:szCs w:val="27"/>
        </w:rPr>
        <w:t xml:space="preserve"> the possible hazards connected with excessive leverage, especially during uncertain economic times. This can entail paying off current debt with surplus cash flows, particularly if interest rates climb. Debt reduction would strengthen the balance sheet, cut interest costs, increase net profit margins, and provide investors more room to manoeuvre for future investments.</w:t>
      </w:r>
      <w:r w:rsidRPr="00780A91">
        <w:rPr>
          <w:color w:val="000000"/>
        </w:rPr>
        <w:br/>
      </w:r>
    </w:p>
    <w:p w14:paraId="4D3DEE99" w14:textId="77777777" w:rsidR="000C2370" w:rsidRPr="000C2370" w:rsidRDefault="000C2370" w:rsidP="00780A91">
      <w:pPr>
        <w:pStyle w:val="ListParagraph"/>
        <w:numPr>
          <w:ilvl w:val="0"/>
          <w:numId w:val="34"/>
        </w:numPr>
      </w:pPr>
      <w:r w:rsidRPr="00780A91">
        <w:rPr>
          <w:rFonts w:ascii="-webkit-standard" w:hAnsi="-webkit-standard"/>
          <w:color w:val="000000"/>
          <w:sz w:val="27"/>
          <w:szCs w:val="27"/>
        </w:rPr>
        <w:t xml:space="preserve">Leverage for Growth: Conversely, it could be advantageous to keep or even raise leverage if Diageo anticipates steady or falling interest rates. Taking on more debt might be used to fund strategic acquisitions, increase market share, or make investments in fast-growing areas, especially in emerging economies. Making sure that any additional leverage is allocated to projects that provide returns higher than the cost of debt is crucial </w:t>
      </w:r>
      <w:proofErr w:type="gramStart"/>
      <w:r w:rsidRPr="00780A91">
        <w:rPr>
          <w:rFonts w:ascii="-webkit-standard" w:hAnsi="-webkit-standard"/>
          <w:color w:val="000000"/>
          <w:sz w:val="27"/>
          <w:szCs w:val="27"/>
        </w:rPr>
        <w:t>in order to</w:t>
      </w:r>
      <w:proofErr w:type="gramEnd"/>
      <w:r w:rsidRPr="00780A91">
        <w:rPr>
          <w:rFonts w:ascii="-webkit-standard" w:hAnsi="-webkit-standard"/>
          <w:color w:val="000000"/>
          <w:sz w:val="27"/>
          <w:szCs w:val="27"/>
        </w:rPr>
        <w:t xml:space="preserve"> maximise shareholder value.</w:t>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Efficiency Enhancement</w:t>
      </w:r>
      <w:r w:rsidRPr="00780A91">
        <w:rPr>
          <w:color w:val="000000"/>
        </w:rPr>
        <w:br/>
      </w:r>
      <w:r w:rsidRPr="00780A91">
        <w:rPr>
          <w:color w:val="000000"/>
        </w:rPr>
        <w:br/>
      </w:r>
      <w:r w:rsidRPr="00780A91">
        <w:rPr>
          <w:rFonts w:ascii="-webkit-standard" w:hAnsi="-webkit-standard"/>
          <w:color w:val="000000"/>
          <w:sz w:val="27"/>
          <w:szCs w:val="27"/>
        </w:rPr>
        <w:t>To increase asset turnover, Diageo ought to think about:</w:t>
      </w:r>
      <w:r w:rsidRPr="00780A91">
        <w:rPr>
          <w:color w:val="000000"/>
        </w:rPr>
        <w:br/>
      </w:r>
      <w:r w:rsidRPr="00780A91">
        <w:rPr>
          <w:color w:val="000000"/>
        </w:rPr>
        <w:br/>
      </w:r>
      <w:r w:rsidRPr="00780A91">
        <w:rPr>
          <w:rFonts w:ascii="-webkit-standard" w:hAnsi="-webkit-standard"/>
          <w:color w:val="000000"/>
          <w:sz w:val="27"/>
          <w:szCs w:val="27"/>
        </w:rPr>
        <w:t>Improved Asset Utilisation: Diageo can increase asset turnover by making the most of the productivity of its current assets. This might entail increasing industrial facilities' capacity utilisation, decreasing downtime through predictive maintenance, or streamlining logistics networks to guarantee quicker delivery and lower inventory levels.</w:t>
      </w:r>
      <w:r w:rsidRPr="00780A91">
        <w:rPr>
          <w:color w:val="000000"/>
        </w:rPr>
        <w:br/>
      </w:r>
      <w:r w:rsidRPr="00780A91">
        <w:rPr>
          <w:color w:val="000000"/>
        </w:rPr>
        <w:br/>
      </w:r>
      <w:r w:rsidRPr="00780A91">
        <w:rPr>
          <w:rFonts w:ascii="-webkit-standard" w:hAnsi="-webkit-standard"/>
          <w:color w:val="000000"/>
          <w:sz w:val="27"/>
          <w:szCs w:val="27"/>
        </w:rPr>
        <w:t>Enhanced Supply Chain Management: Asset turnover may be directly impacted by increasing supply chain efficiency. To better synchronise production schedules with market demand, Diageo might invest in more sophisticated supply chain systems, including as artificial intelligence (AI) driven demand forecasting. Lead times would be shortened by better supplier connections and more agile supply chain, which would enable Diageo to react to market developments faster and use less cash for inventories.</w:t>
      </w:r>
    </w:p>
    <w:p w14:paraId="587D118F" w14:textId="77777777" w:rsidR="000C2370" w:rsidRPr="000C2370" w:rsidRDefault="000C2370" w:rsidP="00780A91">
      <w:pPr>
        <w:pStyle w:val="ListParagraph"/>
        <w:numPr>
          <w:ilvl w:val="0"/>
          <w:numId w:val="34"/>
        </w:numPr>
      </w:pPr>
      <w:r w:rsidRPr="00780A91">
        <w:rPr>
          <w:rFonts w:ascii="-webkit-standard" w:hAnsi="-webkit-standard"/>
          <w:color w:val="000000"/>
          <w:sz w:val="27"/>
          <w:szCs w:val="27"/>
        </w:rPr>
        <w:t>Attracting Investments</w:t>
      </w:r>
      <w:r w:rsidRPr="00780A91">
        <w:rPr>
          <w:color w:val="000000"/>
        </w:rPr>
        <w:br/>
      </w:r>
      <w:r w:rsidRPr="00780A91">
        <w:rPr>
          <w:color w:val="000000"/>
        </w:rPr>
        <w:br/>
      </w:r>
      <w:r w:rsidRPr="00780A91">
        <w:rPr>
          <w:rFonts w:ascii="-webkit-standard" w:hAnsi="-webkit-standard"/>
          <w:color w:val="000000"/>
          <w:sz w:val="27"/>
          <w:szCs w:val="27"/>
        </w:rPr>
        <w:t xml:space="preserve">Keeping Diageo appealing to investors requires </w:t>
      </w:r>
      <w:proofErr w:type="gramStart"/>
      <w:r w:rsidRPr="00780A91">
        <w:rPr>
          <w:rFonts w:ascii="-webkit-standard" w:hAnsi="-webkit-standard"/>
          <w:color w:val="000000"/>
          <w:sz w:val="27"/>
          <w:szCs w:val="27"/>
        </w:rPr>
        <w:t>a number of</w:t>
      </w:r>
      <w:proofErr w:type="gramEnd"/>
      <w:r w:rsidRPr="00780A91">
        <w:rPr>
          <w:rFonts w:ascii="-webkit-standard" w:hAnsi="-webkit-standard"/>
          <w:color w:val="000000"/>
          <w:sz w:val="27"/>
          <w:szCs w:val="27"/>
        </w:rPr>
        <w:t xml:space="preserve"> tactics, including:</w:t>
      </w:r>
      <w:r w:rsidRPr="00780A91">
        <w:rPr>
          <w:color w:val="000000"/>
        </w:rPr>
        <w:br/>
      </w:r>
      <w:r w:rsidRPr="00780A91">
        <w:rPr>
          <w:color w:val="000000"/>
        </w:rPr>
        <w:br/>
      </w:r>
      <w:r w:rsidRPr="00780A91">
        <w:rPr>
          <w:rFonts w:ascii="-webkit-standard" w:hAnsi="-webkit-standard"/>
          <w:color w:val="000000"/>
          <w:sz w:val="27"/>
          <w:szCs w:val="27"/>
        </w:rPr>
        <w:t>Consistent Dividend Policies: Diageo need to keep up its dividend distribution strategy, since it plays a big role in drawing in income-oriented investors. Investor trust in the company's long-term financial stability will be strengthened if dividends are sustained and rise at a stable rate.</w:t>
      </w:r>
      <w:r w:rsidRPr="00780A91">
        <w:rPr>
          <w:color w:val="000000"/>
        </w:rPr>
        <w:br/>
      </w:r>
      <w:r w:rsidRPr="00780A91">
        <w:rPr>
          <w:rFonts w:ascii="-webkit-standard" w:hAnsi="-webkit-standard"/>
          <w:color w:val="000000"/>
          <w:sz w:val="27"/>
          <w:szCs w:val="27"/>
        </w:rPr>
        <w:t xml:space="preserve">Share Buybacks: Diageo may </w:t>
      </w:r>
      <w:proofErr w:type="gramStart"/>
      <w:r w:rsidRPr="00780A91">
        <w:rPr>
          <w:rFonts w:ascii="-webkit-standard" w:hAnsi="-webkit-standard"/>
          <w:color w:val="000000"/>
          <w:sz w:val="27"/>
          <w:szCs w:val="27"/>
        </w:rPr>
        <w:t>take into account</w:t>
      </w:r>
      <w:proofErr w:type="gramEnd"/>
      <w:r w:rsidRPr="00780A91">
        <w:rPr>
          <w:rFonts w:ascii="-webkit-standard" w:hAnsi="-webkit-standard"/>
          <w:color w:val="000000"/>
          <w:sz w:val="27"/>
          <w:szCs w:val="27"/>
        </w:rPr>
        <w:t xml:space="preserve"> share buybacks as a way to give shareholders their surplus cash back. Buybacks show management's faith in the company's </w:t>
      </w:r>
      <w:proofErr w:type="gramStart"/>
      <w:r w:rsidRPr="00780A91">
        <w:rPr>
          <w:rFonts w:ascii="-webkit-standard" w:hAnsi="-webkit-standard"/>
          <w:color w:val="000000"/>
          <w:sz w:val="27"/>
          <w:szCs w:val="27"/>
        </w:rPr>
        <w:t>future prospects</w:t>
      </w:r>
      <w:proofErr w:type="gramEnd"/>
      <w:r w:rsidRPr="00780A91">
        <w:rPr>
          <w:rFonts w:ascii="-webkit-standard" w:hAnsi="-webkit-standard"/>
          <w:color w:val="000000"/>
          <w:sz w:val="27"/>
          <w:szCs w:val="27"/>
        </w:rPr>
        <w:t xml:space="preserve"> in addition to increasing profits per share (EPS) by lowering the number of outstanding shares. This may seem especially appealing when the stock is cheap.</w:t>
      </w:r>
    </w:p>
    <w:p w14:paraId="49CF7EED" w14:textId="19575705" w:rsidR="000C2370" w:rsidRPr="000C2370" w:rsidRDefault="000C2370" w:rsidP="00780A91">
      <w:pPr>
        <w:pStyle w:val="ListParagraph"/>
        <w:numPr>
          <w:ilvl w:val="0"/>
          <w:numId w:val="34"/>
        </w:numPr>
      </w:pPr>
      <w:r>
        <w:br/>
      </w:r>
      <w:r w:rsidRPr="00780A91">
        <w:rPr>
          <w:rFonts w:ascii="-webkit-standard" w:hAnsi="-webkit-standard"/>
          <w:color w:val="000000"/>
          <w:sz w:val="27"/>
          <w:szCs w:val="27"/>
        </w:rPr>
        <w:t>Open Communication with the Market: Diageo should continue to communicate openly and frequently with investors. Establishing confidence and lowering uncertainty may be achieved by giving clear direction on projected earnings, growth plans, and risk management techniques. Investors will be reassured of Diageo's proactive management by regular reports on how the firm is responding to market movements, such as changes in consumer preferences or regulatory changes.</w:t>
      </w:r>
    </w:p>
    <w:p w14:paraId="2E2B489D" w14:textId="4341FB66" w:rsidR="00F41FEB" w:rsidRPr="000C2370" w:rsidRDefault="00DD4E05" w:rsidP="00780A91">
      <w:pPr>
        <w:pStyle w:val="NormalWeb"/>
        <w:numPr>
          <w:ilvl w:val="0"/>
          <w:numId w:val="34"/>
        </w:numPr>
        <w:rPr>
          <w:rFonts w:ascii="SymbolMT" w:hAnsi="SymbolMT"/>
          <w:sz w:val="22"/>
          <w:szCs w:val="22"/>
        </w:rPr>
      </w:pPr>
      <w:r>
        <w:rPr>
          <w:rFonts w:ascii="Arial" w:hAnsi="Arial" w:cs="Arial"/>
          <w:b/>
          <w:bCs/>
          <w:sz w:val="22"/>
          <w:szCs w:val="22"/>
        </w:rPr>
        <w:br/>
      </w:r>
      <w:r w:rsidR="00F41FEB">
        <w:t>(PART C)</w:t>
      </w:r>
      <w:r w:rsidR="00F41FEB">
        <w:br/>
      </w:r>
      <w:r w:rsidR="00F41FEB">
        <w:br/>
        <w:t>INVESTMENT APPRAISAL:</w:t>
      </w:r>
      <w:r w:rsidR="00F41FEB">
        <w:br/>
      </w:r>
      <w:r w:rsidR="00F41FEB">
        <w:br/>
      </w:r>
      <w:r w:rsidR="00F41FEB" w:rsidRPr="00F41FEB">
        <w:rPr>
          <w:rFonts w:ascii="-webkit-standard" w:hAnsi="-webkit-standard"/>
          <w:color w:val="000000"/>
          <w:sz w:val="27"/>
          <w:szCs w:val="27"/>
        </w:rPr>
        <w:t>Evaluation of Projects A and B's Investments</w:t>
      </w:r>
      <w:r w:rsidR="00F41FEB" w:rsidRPr="00F41FEB">
        <w:rPr>
          <w:color w:val="000000"/>
        </w:rPr>
        <w:br/>
      </w:r>
      <w:r w:rsidR="00F41FEB" w:rsidRPr="00F41FEB">
        <w:rPr>
          <w:color w:val="000000"/>
        </w:rPr>
        <w:br/>
      </w:r>
      <w:r w:rsidR="00F41FEB" w:rsidRPr="00F41FEB">
        <w:rPr>
          <w:rFonts w:ascii="-webkit-standard" w:hAnsi="-webkit-standard"/>
          <w:color w:val="000000"/>
          <w:sz w:val="27"/>
          <w:szCs w:val="27"/>
        </w:rPr>
        <w:t>To assess the feasibility and profitability of proposed initiatives, companies such as Diageo PLC rely heavily on the process of investment assessment. To aid in decision-making, this approach computes important metrics such as the Payback Period (PBP), Accounting Rate of Return (ARR), and Net Present Value (NPV). We'll do these computations for two projects that don't work together, A and B, below and talk about the results.</w:t>
      </w:r>
    </w:p>
    <w:p w14:paraId="70AEF0F9" w14:textId="77777777" w:rsidR="003E39E5" w:rsidRPr="003E39E5" w:rsidRDefault="003E39E5" w:rsidP="00780A91">
      <w:pPr>
        <w:pStyle w:val="ListParagraph"/>
        <w:numPr>
          <w:ilvl w:val="0"/>
          <w:numId w:val="34"/>
        </w:numPr>
      </w:pPr>
      <w:r>
        <w:br/>
      </w:r>
      <w:r w:rsidRPr="00780A91">
        <w:rPr>
          <w:rFonts w:ascii="-webkit-standard" w:hAnsi="-webkit-standard"/>
          <w:color w:val="000000"/>
          <w:sz w:val="27"/>
          <w:szCs w:val="27"/>
        </w:rPr>
        <w:t>1. Payback Period (PBP), Net Present Value (NPV), and Accounting Rate of Return (ARR) computation</w:t>
      </w:r>
      <w:r w:rsidRPr="00780A91">
        <w:rPr>
          <w:color w:val="000000"/>
        </w:rPr>
        <w:br/>
      </w:r>
      <w:r w:rsidRPr="00780A91">
        <w:rPr>
          <w:color w:val="000000"/>
        </w:rPr>
        <w:br/>
      </w:r>
      <w:r w:rsidRPr="00780A91">
        <w:rPr>
          <w:rFonts w:ascii="-webkit-standard" w:hAnsi="-webkit-standard"/>
          <w:color w:val="000000"/>
          <w:sz w:val="27"/>
          <w:szCs w:val="27"/>
        </w:rPr>
        <w:t>The amount of time it takes for an investment to produce enough cash flows to cover its initial cost is known as the payback period.</w:t>
      </w:r>
      <w:r w:rsidRPr="00780A91">
        <w:rPr>
          <w:color w:val="000000"/>
        </w:rPr>
        <w:br/>
      </w:r>
      <w:r w:rsidRPr="00780A91">
        <w:rPr>
          <w:color w:val="000000"/>
        </w:rPr>
        <w:br/>
      </w:r>
      <w:r w:rsidRPr="00780A91">
        <w:rPr>
          <w:rFonts w:ascii="-webkit-standard" w:hAnsi="-webkit-standard"/>
          <w:color w:val="000000"/>
          <w:sz w:val="27"/>
          <w:szCs w:val="27"/>
        </w:rPr>
        <w:t>Project A: -£80 was the first investment.</w:t>
      </w:r>
      <w:r w:rsidRPr="00780A91">
        <w:rPr>
          <w:color w:val="000000"/>
        </w:rPr>
        <w:br/>
      </w:r>
      <w:r w:rsidRPr="00780A91">
        <w:rPr>
          <w:rFonts w:ascii="-webkit-standard" w:hAnsi="-webkit-standard"/>
          <w:color w:val="000000"/>
          <w:sz w:val="27"/>
          <w:szCs w:val="27"/>
        </w:rPr>
        <w:t>Cash Flows: £25, £25, £20, £25, £25, £55 in Year 4</w:t>
      </w:r>
      <w:r w:rsidRPr="00780A91">
        <w:rPr>
          <w:color w:val="000000"/>
        </w:rPr>
        <w:br/>
      </w:r>
      <w:r w:rsidRPr="00780A91">
        <w:rPr>
          <w:rFonts w:ascii="-webkit-standard" w:hAnsi="-webkit-standard"/>
          <w:color w:val="000000"/>
          <w:sz w:val="27"/>
          <w:szCs w:val="27"/>
        </w:rPr>
        <w:t>Total cash flows throughout time:</w:t>
      </w:r>
      <w:r w:rsidRPr="00780A91">
        <w:rPr>
          <w:color w:val="000000"/>
        </w:rPr>
        <w:br/>
      </w:r>
      <w:r w:rsidRPr="00780A91">
        <w:rPr>
          <w:color w:val="000000"/>
        </w:rPr>
        <w:br/>
      </w:r>
      <w:r w:rsidRPr="00780A91">
        <w:rPr>
          <w:rFonts w:ascii="-webkit-standard" w:hAnsi="-webkit-standard"/>
          <w:color w:val="000000"/>
          <w:sz w:val="27"/>
          <w:szCs w:val="27"/>
        </w:rPr>
        <w:t>Year One End: £25</w:t>
      </w:r>
      <w:r w:rsidRPr="00780A91">
        <w:rPr>
          <w:color w:val="000000"/>
        </w:rPr>
        <w:br/>
      </w:r>
      <w:r w:rsidRPr="00780A91">
        <w:rPr>
          <w:rFonts w:ascii="-webkit-standard" w:hAnsi="-webkit-standard"/>
          <w:color w:val="000000"/>
          <w:sz w:val="27"/>
          <w:szCs w:val="27"/>
        </w:rPr>
        <w:t>Year Two End: £50</w:t>
      </w:r>
      <w:r w:rsidRPr="00780A91">
        <w:rPr>
          <w:color w:val="000000"/>
        </w:rPr>
        <w:br/>
      </w:r>
      <w:r w:rsidRPr="00780A91">
        <w:rPr>
          <w:rFonts w:ascii="-webkit-standard" w:hAnsi="-webkit-standard"/>
          <w:color w:val="000000"/>
          <w:sz w:val="27"/>
          <w:szCs w:val="27"/>
        </w:rPr>
        <w:t>Year Three End: £70</w:t>
      </w:r>
      <w:r w:rsidRPr="00780A91">
        <w:rPr>
          <w:color w:val="000000"/>
        </w:rPr>
        <w:br/>
      </w:r>
      <w:r w:rsidRPr="00780A91">
        <w:rPr>
          <w:rFonts w:ascii="-webkit-standard" w:hAnsi="-webkit-standard"/>
          <w:color w:val="000000"/>
          <w:sz w:val="27"/>
          <w:szCs w:val="27"/>
        </w:rPr>
        <w:t>Year 4 End: £125</w:t>
      </w:r>
    </w:p>
    <w:p w14:paraId="5AAA3616" w14:textId="77777777" w:rsidR="003E39E5" w:rsidRPr="003E39E5" w:rsidRDefault="003E39E5" w:rsidP="00780A91">
      <w:pPr>
        <w:pStyle w:val="ListParagraph"/>
        <w:numPr>
          <w:ilvl w:val="0"/>
          <w:numId w:val="34"/>
        </w:numPr>
      </w:pPr>
      <w:r>
        <w:br/>
      </w:r>
      <w:r w:rsidRPr="00780A91">
        <w:rPr>
          <w:rFonts w:ascii="-webkit-standard" w:hAnsi="-webkit-standard"/>
          <w:color w:val="000000"/>
          <w:sz w:val="27"/>
          <w:szCs w:val="27"/>
        </w:rPr>
        <w:t xml:space="preserve">Project A's repayment period spans from Year 3 to Year 4. £70 has been recouped by Year 3. £10 is the amount that </w:t>
      </w:r>
      <w:proofErr w:type="gramStart"/>
      <w:r w:rsidRPr="00780A91">
        <w:rPr>
          <w:rFonts w:ascii="-webkit-standard" w:hAnsi="-webkit-standard"/>
          <w:color w:val="000000"/>
          <w:sz w:val="27"/>
          <w:szCs w:val="27"/>
        </w:rPr>
        <w:t>has to</w:t>
      </w:r>
      <w:proofErr w:type="gramEnd"/>
      <w:r w:rsidRPr="00780A91">
        <w:rPr>
          <w:rFonts w:ascii="-webkit-standard" w:hAnsi="-webkit-standard"/>
          <w:color w:val="000000"/>
          <w:sz w:val="27"/>
          <w:szCs w:val="27"/>
        </w:rPr>
        <w:t xml:space="preserve"> be recovered (£80 - £70). Year 4: £55 is received; thus, the repayment is:</w:t>
      </w:r>
      <w:r w:rsidRPr="00780A91">
        <w:rPr>
          <w:color w:val="000000"/>
        </w:rPr>
        <w:br/>
      </w:r>
      <w:r w:rsidRPr="00780A91">
        <w:rPr>
          <w:color w:val="000000"/>
        </w:rPr>
        <w:br/>
      </w:r>
      <w:r w:rsidRPr="00780A91">
        <w:rPr>
          <w:rFonts w:ascii="-webkit-standard" w:hAnsi="-webkit-standard"/>
          <w:color w:val="000000"/>
          <w:sz w:val="27"/>
          <w:szCs w:val="27"/>
        </w:rPr>
        <w:t>Project A's PBP is 3 + (£10/£55). 3.18 years, give or take</w:t>
      </w:r>
      <w:r w:rsidRPr="00780A91">
        <w:rPr>
          <w:color w:val="000000"/>
        </w:rPr>
        <w:br/>
      </w:r>
      <w:r w:rsidRPr="00780A91">
        <w:rPr>
          <w:rFonts w:ascii="-webkit-standard" w:hAnsi="-webkit-standard"/>
          <w:color w:val="000000"/>
          <w:sz w:val="27"/>
          <w:szCs w:val="27"/>
        </w:rPr>
        <w:t>Initiative B:</w:t>
      </w:r>
      <w:r w:rsidRPr="00780A91">
        <w:rPr>
          <w:color w:val="000000"/>
        </w:rPr>
        <w:br/>
      </w:r>
      <w:r w:rsidRPr="00780A91">
        <w:rPr>
          <w:rFonts w:ascii="-webkit-standard" w:hAnsi="-webkit-standard"/>
          <w:color w:val="000000"/>
          <w:sz w:val="27"/>
          <w:szCs w:val="27"/>
        </w:rPr>
        <w:t>First Outlay of Funds: -£75</w:t>
      </w:r>
      <w:r w:rsidRPr="00780A91">
        <w:rPr>
          <w:color w:val="000000"/>
        </w:rPr>
        <w:br/>
      </w:r>
      <w:r w:rsidRPr="00780A91">
        <w:rPr>
          <w:rFonts w:ascii="-webkit-standard" w:hAnsi="-webkit-standard"/>
          <w:color w:val="000000"/>
          <w:sz w:val="27"/>
          <w:szCs w:val="27"/>
        </w:rPr>
        <w:t>Cash Movements: Years 1 through 4: £50, £20, £20, and £20.</w:t>
      </w:r>
      <w:r w:rsidRPr="00780A91">
        <w:rPr>
          <w:color w:val="000000"/>
        </w:rPr>
        <w:br/>
      </w:r>
      <w:r w:rsidRPr="00780A91">
        <w:rPr>
          <w:rFonts w:ascii="-webkit-standard" w:hAnsi="-webkit-standard"/>
          <w:color w:val="000000"/>
          <w:sz w:val="27"/>
          <w:szCs w:val="27"/>
        </w:rPr>
        <w:t>Total cash flows throughout time:</w:t>
      </w:r>
      <w:r w:rsidRPr="00780A91">
        <w:rPr>
          <w:color w:val="000000"/>
        </w:rPr>
        <w:br/>
      </w:r>
      <w:r w:rsidRPr="00780A91">
        <w:rPr>
          <w:color w:val="000000"/>
        </w:rPr>
        <w:br/>
      </w:r>
      <w:r w:rsidRPr="00780A91">
        <w:rPr>
          <w:rFonts w:ascii="-webkit-standard" w:hAnsi="-webkit-standard"/>
          <w:color w:val="000000"/>
          <w:sz w:val="27"/>
          <w:szCs w:val="27"/>
        </w:rPr>
        <w:t>Year One End: £50</w:t>
      </w:r>
      <w:r w:rsidRPr="00780A91">
        <w:rPr>
          <w:color w:val="000000"/>
        </w:rPr>
        <w:br/>
      </w:r>
      <w:r w:rsidRPr="00780A91">
        <w:rPr>
          <w:rFonts w:ascii="-webkit-standard" w:hAnsi="-webkit-standard"/>
          <w:color w:val="000000"/>
          <w:sz w:val="27"/>
          <w:szCs w:val="27"/>
        </w:rPr>
        <w:t>Year Two End: £70</w:t>
      </w:r>
      <w:r w:rsidRPr="00780A91">
        <w:rPr>
          <w:color w:val="000000"/>
        </w:rPr>
        <w:br/>
      </w:r>
      <w:r w:rsidRPr="00780A91">
        <w:rPr>
          <w:rFonts w:ascii="-webkit-standard" w:hAnsi="-webkit-standard"/>
          <w:color w:val="000000"/>
          <w:sz w:val="27"/>
          <w:szCs w:val="27"/>
        </w:rPr>
        <w:t>Year Three End: £90</w:t>
      </w:r>
      <w:r w:rsidRPr="00780A91">
        <w:rPr>
          <w:color w:val="000000"/>
        </w:rPr>
        <w:br/>
      </w:r>
      <w:r w:rsidRPr="00780A91">
        <w:rPr>
          <w:rFonts w:ascii="-webkit-standard" w:hAnsi="-webkit-standard"/>
          <w:color w:val="000000"/>
          <w:sz w:val="27"/>
          <w:szCs w:val="27"/>
        </w:rPr>
        <w:t>Year 4 End: £110</w:t>
      </w:r>
      <w:r w:rsidRPr="00780A91">
        <w:rPr>
          <w:color w:val="000000"/>
        </w:rPr>
        <w:br/>
      </w:r>
      <w:r w:rsidRPr="00780A91">
        <w:rPr>
          <w:rFonts w:ascii="-webkit-standard" w:hAnsi="-webkit-standard"/>
          <w:color w:val="000000"/>
          <w:sz w:val="27"/>
          <w:szCs w:val="27"/>
        </w:rPr>
        <w:t xml:space="preserve">Project B's payback period spans from Year 1 to Year 2. £50 has been recovered by the first year. £25 is the sum that </w:t>
      </w:r>
      <w:proofErr w:type="gramStart"/>
      <w:r w:rsidRPr="00780A91">
        <w:rPr>
          <w:rFonts w:ascii="-webkit-standard" w:hAnsi="-webkit-standard"/>
          <w:color w:val="000000"/>
          <w:sz w:val="27"/>
          <w:szCs w:val="27"/>
        </w:rPr>
        <w:t>has to</w:t>
      </w:r>
      <w:proofErr w:type="gramEnd"/>
      <w:r w:rsidRPr="00780A91">
        <w:rPr>
          <w:rFonts w:ascii="-webkit-standard" w:hAnsi="-webkit-standard"/>
          <w:color w:val="000000"/>
          <w:sz w:val="27"/>
          <w:szCs w:val="27"/>
        </w:rPr>
        <w:t xml:space="preserve"> be recovered (£75 - £50). Year 2: £20 is given, therefore</w:t>
      </w:r>
      <w:r w:rsidRPr="00780A91">
        <w:rPr>
          <w:rFonts w:ascii="-webkit-standard" w:hAnsi="-webkit-standard"/>
          <w:color w:val="000000"/>
          <w:sz w:val="27"/>
          <w:szCs w:val="27"/>
        </w:rPr>
        <w:tab/>
      </w:r>
      <w:r w:rsidRPr="00780A91">
        <w:rPr>
          <w:rFonts w:ascii="-webkit-standard" w:hAnsi="-webkit-standard"/>
          <w:color w:val="000000"/>
          <w:sz w:val="27"/>
          <w:szCs w:val="27"/>
        </w:rPr>
        <w:br/>
      </w:r>
      <w:r w:rsidRPr="00780A91">
        <w:rPr>
          <w:rFonts w:ascii="-webkit-standard" w:hAnsi="-webkit-standard"/>
          <w:color w:val="000000"/>
          <w:sz w:val="27"/>
          <w:szCs w:val="27"/>
        </w:rPr>
        <w:br/>
      </w:r>
      <w:r w:rsidRPr="00780A91">
        <w:rPr>
          <w:rFonts w:ascii="-webkit-standard" w:hAnsi="-webkit-standard"/>
          <w:color w:val="000000"/>
          <w:sz w:val="27"/>
          <w:szCs w:val="27"/>
        </w:rPr>
        <w:t>Evaluation: Project B is better on this criterion as it has a lower payback period (1.25 years) than Project A (3.18 years).</w:t>
      </w:r>
      <w:r w:rsidRPr="00780A91">
        <w:rPr>
          <w:color w:val="000000"/>
        </w:rPr>
        <w:br/>
      </w:r>
      <w:r w:rsidRPr="00780A91">
        <w:rPr>
          <w:color w:val="000000"/>
        </w:rPr>
        <w:br/>
      </w:r>
      <w:r w:rsidRPr="00780A91">
        <w:rPr>
          <w:rFonts w:ascii="-webkit-standard" w:hAnsi="-webkit-standard"/>
          <w:color w:val="000000"/>
          <w:sz w:val="27"/>
          <w:szCs w:val="27"/>
        </w:rPr>
        <w:t>Rate of Return on Accounting (ARR)</w:t>
      </w:r>
      <w:r w:rsidRPr="00780A91">
        <w:rPr>
          <w:color w:val="000000"/>
        </w:rPr>
        <w:br/>
      </w:r>
      <w:r w:rsidRPr="00780A91">
        <w:rPr>
          <w:color w:val="000000"/>
        </w:rPr>
        <w:br/>
      </w:r>
      <w:r w:rsidRPr="00780A91">
        <w:rPr>
          <w:rFonts w:ascii="-webkit-standard" w:hAnsi="-webkit-standard"/>
          <w:color w:val="000000"/>
          <w:sz w:val="27"/>
          <w:szCs w:val="27"/>
        </w:rPr>
        <w:t>The average yearly profit of an investment is expressed as a percentage of the initial investment by the Accounting Rate of Return.</w:t>
      </w:r>
      <w:r w:rsidRPr="00780A91">
        <w:rPr>
          <w:color w:val="000000"/>
        </w:rPr>
        <w:br/>
      </w:r>
      <w:r w:rsidRPr="00780A91">
        <w:rPr>
          <w:color w:val="000000"/>
        </w:rPr>
        <w:br/>
      </w:r>
      <w:r w:rsidRPr="00780A91">
        <w:rPr>
          <w:rFonts w:ascii="-webkit-standard" w:hAnsi="-webkit-standard"/>
          <w:color w:val="000000"/>
          <w:sz w:val="27"/>
          <w:szCs w:val="27"/>
        </w:rPr>
        <w:t xml:space="preserve">The formula for calculating ARR is A R </w:t>
      </w:r>
      <w:proofErr w:type="spellStart"/>
      <w:r w:rsidRPr="00780A91">
        <w:rPr>
          <w:rFonts w:ascii="-webkit-standard" w:hAnsi="-webkit-standard"/>
          <w:color w:val="000000"/>
          <w:sz w:val="27"/>
          <w:szCs w:val="27"/>
        </w:rPr>
        <w:t>R</w:t>
      </w:r>
      <w:proofErr w:type="spellEnd"/>
      <w:r w:rsidRPr="00780A91">
        <w:rPr>
          <w:rFonts w:ascii="-webkit-standard" w:hAnsi="-webkit-standard"/>
          <w:color w:val="000000"/>
          <w:sz w:val="27"/>
          <w:szCs w:val="27"/>
        </w:rPr>
        <w:t xml:space="preserve"> = Average Annual Profit Initial Investment x 100.</w:t>
      </w:r>
      <w:r w:rsidRPr="00780A91">
        <w:rPr>
          <w:color w:val="000000"/>
        </w:rPr>
        <w:br/>
      </w:r>
      <w:r w:rsidRPr="00780A91">
        <w:rPr>
          <w:rFonts w:ascii="-webkit-standard" w:hAnsi="-webkit-standard"/>
          <w:color w:val="000000"/>
          <w:sz w:val="27"/>
          <w:szCs w:val="27"/>
        </w:rPr>
        <w:t>ARR stands for Average Annual Profit (Annual Return) ×100.</w:t>
      </w:r>
      <w:r w:rsidRPr="00780A91">
        <w:rPr>
          <w:color w:val="000000"/>
        </w:rPr>
        <w:br/>
      </w:r>
      <w:r w:rsidRPr="00780A91">
        <w:rPr>
          <w:color w:val="000000"/>
        </w:rPr>
        <w:br/>
      </w:r>
      <w:r w:rsidRPr="00780A91">
        <w:rPr>
          <w:rFonts w:ascii="-webkit-standard" w:hAnsi="-webkit-standard"/>
          <w:color w:val="000000"/>
          <w:sz w:val="27"/>
          <w:szCs w:val="27"/>
        </w:rPr>
        <w:t>Project A: The total profit was £125 ($25 + $25 + $20 + £55).</w:t>
      </w:r>
      <w:r w:rsidRPr="00780A91">
        <w:rPr>
          <w:color w:val="000000"/>
        </w:rPr>
        <w:br/>
      </w:r>
      <w:r w:rsidRPr="00780A91">
        <w:rPr>
          <w:rFonts w:ascii="-webkit-standard" w:hAnsi="-webkit-standard"/>
          <w:color w:val="000000"/>
          <w:sz w:val="27"/>
          <w:szCs w:val="27"/>
        </w:rPr>
        <w:t>The average annual profit for Project A is £125 / 4 = £31.25. The annual return on investment is £31.25 × 80 ≈ 39.06 % and £80 × 31.25 ≈ 39.06%.</w:t>
      </w:r>
      <w:r w:rsidRPr="00780A91">
        <w:rPr>
          <w:color w:val="000000"/>
        </w:rPr>
        <w:br/>
      </w:r>
      <w:r w:rsidRPr="00780A91">
        <w:rPr>
          <w:rFonts w:ascii="-webkit-standard" w:hAnsi="-webkit-standard"/>
          <w:color w:val="000000"/>
          <w:sz w:val="27"/>
          <w:szCs w:val="27"/>
        </w:rPr>
        <w:t>Project B: The total profit is £110 ($50 + $20 + $20 + $20).</w:t>
      </w:r>
      <w:r w:rsidRPr="00780A91">
        <w:rPr>
          <w:color w:val="000000"/>
        </w:rPr>
        <w:br/>
      </w:r>
      <w:r w:rsidRPr="00780A91">
        <w:rPr>
          <w:rFonts w:ascii="-webkit-standard" w:hAnsi="-webkit-standard"/>
          <w:color w:val="000000"/>
          <w:sz w:val="27"/>
          <w:szCs w:val="27"/>
        </w:rPr>
        <w:t>The average annual profit for Project B is £110 / 4 = £27.5. The annual return on investment is £ 27.5 × 100 ≈ 36.67%.</w:t>
      </w:r>
    </w:p>
    <w:p w14:paraId="4E18FAC7" w14:textId="5781AA70" w:rsidR="003E39E5" w:rsidRPr="003E39E5" w:rsidRDefault="003E39E5" w:rsidP="00780A91">
      <w:pPr>
        <w:pStyle w:val="ListParagraph"/>
        <w:numPr>
          <w:ilvl w:val="0"/>
          <w:numId w:val="34"/>
        </w:numPr>
      </w:pPr>
      <w:r w:rsidRPr="00780A91">
        <w:rPr>
          <w:rFonts w:ascii="-webkit-standard" w:hAnsi="-webkit-standard"/>
          <w:color w:val="000000"/>
          <w:sz w:val="27"/>
          <w:szCs w:val="27"/>
        </w:rPr>
        <w:t>Evaluation: Project A appears to be more lucrative in relation to its original expenditure, as seen by its somewhat higher ARR (39.06%) compared to Project B's (36.67%).</w:t>
      </w:r>
      <w:r w:rsidRPr="00780A91">
        <w:rPr>
          <w:color w:val="000000"/>
        </w:rPr>
        <w:br/>
      </w:r>
      <w:r w:rsidRPr="00780A91">
        <w:rPr>
          <w:color w:val="000000"/>
        </w:rPr>
        <w:br/>
      </w:r>
      <w:r w:rsidRPr="00780A91">
        <w:rPr>
          <w:rFonts w:ascii="-webkit-standard" w:hAnsi="-webkit-standard"/>
          <w:color w:val="000000"/>
          <w:sz w:val="27"/>
          <w:szCs w:val="27"/>
        </w:rPr>
        <w:t> Net Present Value (NPV)</w:t>
      </w:r>
      <w:r w:rsidRPr="00780A91">
        <w:rPr>
          <w:color w:val="000000"/>
        </w:rPr>
        <w:br/>
      </w:r>
      <w:r w:rsidRPr="00780A91">
        <w:rPr>
          <w:color w:val="000000"/>
        </w:rPr>
        <w:br/>
      </w:r>
      <w:r w:rsidRPr="00780A91">
        <w:rPr>
          <w:rFonts w:ascii="-webkit-standard" w:hAnsi="-webkit-standard"/>
          <w:color w:val="000000"/>
          <w:sz w:val="27"/>
          <w:szCs w:val="27"/>
        </w:rPr>
        <w:t>Using the company's cost of capital (9.75%) as the discount rate, net present value (NPV) is the total of the present values of incoming and outgoing cash flows over a certain period of time.</w:t>
      </w:r>
      <w:r w:rsidRPr="00780A91">
        <w:rPr>
          <w:color w:val="000000"/>
        </w:rPr>
        <w:br/>
      </w:r>
      <w:r w:rsidRPr="00780A91">
        <w:rPr>
          <w:color w:val="000000"/>
        </w:rPr>
        <w:br/>
      </w:r>
      <w:r>
        <w:t>NPV Formula:</w:t>
      </w:r>
      <w:r>
        <w:br/>
      </w:r>
      <w:r>
        <w:br/>
      </w:r>
      <w:r>
        <w:fldChar w:fldCharType="begin"/>
      </w:r>
      <w:r>
        <w:instrText xml:space="preserve"> INCLUDEPICTURE "/Users/dhruvshah/Library/Group Containers/UBF8T346G9.ms/WebArchiveCopyPasteTempFiles/com.microsoft.Word/Net-Present-Value-2.jpg" \* MERGEFORMATINET </w:instrText>
      </w:r>
      <w:r>
        <w:fldChar w:fldCharType="separate"/>
      </w:r>
      <w:r>
        <w:rPr>
          <w:noProof/>
        </w:rPr>
        <w:drawing>
          <wp:inline distT="0" distB="0" distL="0" distR="0" wp14:anchorId="6C0A2DF3" wp14:editId="1EA00DCC">
            <wp:extent cx="3006337" cy="1353285"/>
            <wp:effectExtent l="0" t="0" r="3810" b="5715"/>
            <wp:docPr id="962532071" name="Picture 1" descr="Net Present Value (NPV) - Meaning, Formula, Calc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 Present Value (NPV) - Meaning, Formula, Calculati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54912" cy="1375151"/>
                    </a:xfrm>
                    <a:prstGeom prst="rect">
                      <a:avLst/>
                    </a:prstGeom>
                    <a:noFill/>
                    <a:ln>
                      <a:noFill/>
                    </a:ln>
                  </pic:spPr>
                </pic:pic>
              </a:graphicData>
            </a:graphic>
          </wp:inline>
        </w:drawing>
      </w:r>
      <w:r>
        <w:fldChar w:fldCharType="end"/>
      </w:r>
    </w:p>
    <w:p w14:paraId="27B2048A" w14:textId="77777777" w:rsidR="003E39E5" w:rsidRPr="00780A91" w:rsidRDefault="003E39E5" w:rsidP="00780A91">
      <w:pPr>
        <w:pStyle w:val="ListParagraph"/>
        <w:numPr>
          <w:ilvl w:val="0"/>
          <w:numId w:val="34"/>
        </w:numPr>
        <w:spacing w:before="100" w:beforeAutospacing="1" w:after="100" w:afterAutospacing="1"/>
        <w:rPr>
          <w:color w:val="000000"/>
        </w:rPr>
      </w:pPr>
      <w:r>
        <w:br/>
      </w:r>
      <w:r w:rsidRPr="00780A91">
        <w:rPr>
          <w:color w:val="000000"/>
        </w:rPr>
        <w:t>Where:</w:t>
      </w:r>
    </w:p>
    <w:p w14:paraId="7364EDF5" w14:textId="77777777" w:rsidR="003E39E5" w:rsidRPr="005A08D6" w:rsidRDefault="003E39E5" w:rsidP="00780A91">
      <w:pPr>
        <w:numPr>
          <w:ilvl w:val="0"/>
          <w:numId w:val="34"/>
        </w:numPr>
        <w:spacing w:before="100" w:beforeAutospacing="1" w:after="100" w:afterAutospacing="1"/>
        <w:rPr>
          <w:color w:val="000000"/>
        </w:rPr>
      </w:pPr>
      <w:proofErr w:type="spellStart"/>
      <w:r w:rsidRPr="005A08D6">
        <w:rPr>
          <w:color w:val="000000"/>
        </w:rPr>
        <w:t>rr</w:t>
      </w:r>
      <w:proofErr w:type="spellEnd"/>
      <w:r w:rsidRPr="005A08D6">
        <w:rPr>
          <w:color w:val="000000"/>
        </w:rPr>
        <w:t> is the discount rate (9.75%)</w:t>
      </w:r>
    </w:p>
    <w:p w14:paraId="0209C951" w14:textId="77777777" w:rsidR="003E39E5" w:rsidRPr="005A08D6" w:rsidRDefault="003E39E5" w:rsidP="00780A91">
      <w:pPr>
        <w:numPr>
          <w:ilvl w:val="0"/>
          <w:numId w:val="34"/>
        </w:numPr>
        <w:spacing w:before="100" w:beforeAutospacing="1" w:after="100" w:afterAutospacing="1"/>
        <w:rPr>
          <w:color w:val="000000"/>
        </w:rPr>
      </w:pPr>
      <w:proofErr w:type="spellStart"/>
      <w:r w:rsidRPr="005A08D6">
        <w:rPr>
          <w:color w:val="000000"/>
        </w:rPr>
        <w:t>tt</w:t>
      </w:r>
      <w:proofErr w:type="spellEnd"/>
      <w:r w:rsidRPr="005A08D6">
        <w:rPr>
          <w:color w:val="000000"/>
        </w:rPr>
        <w:t xml:space="preserve"> is the time </w:t>
      </w:r>
      <w:proofErr w:type="gramStart"/>
      <w:r w:rsidRPr="005A08D6">
        <w:rPr>
          <w:color w:val="000000"/>
        </w:rPr>
        <w:t>period</w:t>
      </w:r>
      <w:proofErr w:type="gramEnd"/>
    </w:p>
    <w:p w14:paraId="4C7CDEE6" w14:textId="77777777" w:rsidR="003E39E5" w:rsidRPr="00780A91" w:rsidRDefault="003E39E5" w:rsidP="00780A91">
      <w:pPr>
        <w:pStyle w:val="ListParagraph"/>
        <w:numPr>
          <w:ilvl w:val="0"/>
          <w:numId w:val="34"/>
        </w:numPr>
        <w:spacing w:before="100" w:beforeAutospacing="1" w:after="100" w:afterAutospacing="1"/>
        <w:outlineLvl w:val="4"/>
        <w:rPr>
          <w:b/>
          <w:bCs/>
          <w:color w:val="000000"/>
        </w:rPr>
      </w:pPr>
      <w:r w:rsidRPr="00780A91">
        <w:rPr>
          <w:b/>
          <w:bCs/>
          <w:color w:val="000000"/>
        </w:rPr>
        <w:t>Project A:</w:t>
      </w:r>
    </w:p>
    <w:p w14:paraId="6D7FF96B" w14:textId="77777777" w:rsidR="003E39E5" w:rsidRPr="005A08D6" w:rsidRDefault="003E39E5" w:rsidP="00780A91">
      <w:pPr>
        <w:numPr>
          <w:ilvl w:val="0"/>
          <w:numId w:val="34"/>
        </w:numPr>
        <w:spacing w:before="100" w:beforeAutospacing="1" w:after="100" w:afterAutospacing="1"/>
        <w:rPr>
          <w:color w:val="000000"/>
        </w:rPr>
      </w:pPr>
      <w:r w:rsidRPr="005A08D6">
        <w:rPr>
          <w:color w:val="000000"/>
        </w:rPr>
        <w:t>NPV = 25(1.0975)1+25(1.0975)2+20(1.0975)3+55(1.0975)4−80(1.0975)125​+(1.0975)225​+(1.0975)320​+(1.0975)455​−80</w:t>
      </w:r>
    </w:p>
    <w:p w14:paraId="619062DF" w14:textId="77777777" w:rsidR="003E39E5" w:rsidRPr="005A08D6" w:rsidRDefault="003E39E5" w:rsidP="00780A91">
      <w:pPr>
        <w:numPr>
          <w:ilvl w:val="0"/>
          <w:numId w:val="34"/>
        </w:numPr>
        <w:spacing w:before="100" w:beforeAutospacing="1" w:after="100" w:afterAutospacing="1"/>
        <w:rPr>
          <w:color w:val="000000"/>
        </w:rPr>
      </w:pPr>
      <w:r w:rsidRPr="005A08D6">
        <w:rPr>
          <w:color w:val="000000"/>
        </w:rPr>
        <w:t>NPV ≈ £22.78 + £20.76 + £15.47 + £38.18 - £80 = £17.19</w:t>
      </w:r>
    </w:p>
    <w:p w14:paraId="7B2DFF84" w14:textId="77777777" w:rsidR="003E39E5" w:rsidRPr="00780A91" w:rsidRDefault="003E39E5" w:rsidP="00780A91">
      <w:pPr>
        <w:pStyle w:val="ListParagraph"/>
        <w:numPr>
          <w:ilvl w:val="0"/>
          <w:numId w:val="34"/>
        </w:numPr>
        <w:spacing w:before="100" w:beforeAutospacing="1" w:after="100" w:afterAutospacing="1"/>
        <w:outlineLvl w:val="4"/>
        <w:rPr>
          <w:b/>
          <w:bCs/>
          <w:color w:val="000000"/>
        </w:rPr>
      </w:pPr>
      <w:r w:rsidRPr="00780A91">
        <w:rPr>
          <w:b/>
          <w:bCs/>
          <w:color w:val="000000"/>
        </w:rPr>
        <w:t>Project B:</w:t>
      </w:r>
    </w:p>
    <w:p w14:paraId="2EB06A7C" w14:textId="77777777" w:rsidR="003E39E5" w:rsidRPr="005A08D6" w:rsidRDefault="003E39E5" w:rsidP="00780A91">
      <w:pPr>
        <w:numPr>
          <w:ilvl w:val="0"/>
          <w:numId w:val="34"/>
        </w:numPr>
        <w:spacing w:before="100" w:beforeAutospacing="1" w:after="100" w:afterAutospacing="1"/>
        <w:rPr>
          <w:color w:val="000000"/>
        </w:rPr>
      </w:pPr>
      <w:r w:rsidRPr="005A08D6">
        <w:rPr>
          <w:color w:val="000000"/>
        </w:rPr>
        <w:t>NPV = 50(1.0975)1+20(1.0975)2+20(1.0975)3+20(1.0975)4−75(1.0975)150​+(1.0975)220​+(1.0975)320​+(1.0975)420​−75</w:t>
      </w:r>
    </w:p>
    <w:p w14:paraId="40F1D05E" w14:textId="77777777" w:rsidR="003E39E5" w:rsidRPr="005A08D6" w:rsidRDefault="003E39E5" w:rsidP="00780A91">
      <w:pPr>
        <w:numPr>
          <w:ilvl w:val="0"/>
          <w:numId w:val="34"/>
        </w:numPr>
        <w:spacing w:before="100" w:beforeAutospacing="1" w:after="100" w:afterAutospacing="1"/>
        <w:rPr>
          <w:color w:val="000000"/>
        </w:rPr>
      </w:pPr>
      <w:r w:rsidRPr="005A08D6">
        <w:rPr>
          <w:color w:val="000000"/>
        </w:rPr>
        <w:t>NPV ≈ £45.58 + £16.67 + £15.19 + £13.83 - £75 = £16.27</w:t>
      </w:r>
    </w:p>
    <w:p w14:paraId="368BE657" w14:textId="77777777" w:rsidR="003E39E5" w:rsidRPr="003E39E5" w:rsidRDefault="003E39E5" w:rsidP="00780A91">
      <w:pPr>
        <w:pStyle w:val="ListParagraph"/>
        <w:numPr>
          <w:ilvl w:val="0"/>
          <w:numId w:val="34"/>
        </w:numPr>
      </w:pPr>
      <w:r>
        <w:br/>
      </w:r>
      <w:r w:rsidRPr="00780A91">
        <w:rPr>
          <w:rFonts w:ascii="-webkit-standard" w:hAnsi="-webkit-standard"/>
          <w:color w:val="000000"/>
          <w:sz w:val="27"/>
          <w:szCs w:val="27"/>
        </w:rPr>
        <w:t xml:space="preserve">Evaluation: </w:t>
      </w:r>
      <w:proofErr w:type="gramStart"/>
      <w:r w:rsidRPr="00780A91">
        <w:rPr>
          <w:rFonts w:ascii="-webkit-standard" w:hAnsi="-webkit-standard"/>
          <w:color w:val="000000"/>
          <w:sz w:val="27"/>
          <w:szCs w:val="27"/>
        </w:rPr>
        <w:t>Taking into account</w:t>
      </w:r>
      <w:proofErr w:type="gramEnd"/>
      <w:r w:rsidRPr="00780A91">
        <w:rPr>
          <w:rFonts w:ascii="-webkit-standard" w:hAnsi="-webkit-standard"/>
          <w:color w:val="000000"/>
          <w:sz w:val="27"/>
          <w:szCs w:val="27"/>
        </w:rPr>
        <w:t xml:space="preserve"> the time value of money, Project A offers a larger net return on investment with a higher NPV of £17.19 than Project B's £16.27.</w:t>
      </w:r>
      <w:r w:rsidRPr="00780A91">
        <w:rPr>
          <w:color w:val="000000"/>
        </w:rPr>
        <w:br/>
      </w:r>
      <w:r w:rsidRPr="00780A91">
        <w:rPr>
          <w:color w:val="000000"/>
        </w:rPr>
        <w:br/>
      </w:r>
      <w:r w:rsidRPr="00780A91">
        <w:rPr>
          <w:rFonts w:ascii="-webkit-standard" w:hAnsi="-webkit-standard"/>
          <w:color w:val="000000"/>
          <w:sz w:val="27"/>
          <w:szCs w:val="27"/>
        </w:rPr>
        <w:t>Recommendation:</w:t>
      </w:r>
      <w:r w:rsidRPr="00780A91">
        <w:rPr>
          <w:color w:val="000000"/>
        </w:rPr>
        <w:br/>
      </w:r>
      <w:r w:rsidRPr="00780A91">
        <w:rPr>
          <w:rFonts w:ascii="-webkit-standard" w:hAnsi="-webkit-standard"/>
          <w:color w:val="000000"/>
          <w:sz w:val="27"/>
          <w:szCs w:val="27"/>
        </w:rPr>
        <w:t>Notwithstanding Project A's longer payback horizon, the computations support its adoption. Project A is more advantageous in the long run and provides a greater total return, as indicated by the larger NPV and ARR. This is consistent with Diageo's strategic focus on premiumization and sustainable growth.</w:t>
      </w:r>
    </w:p>
    <w:p w14:paraId="111CCC45" w14:textId="77777777" w:rsidR="003E39E5" w:rsidRPr="003E39E5" w:rsidRDefault="003E39E5" w:rsidP="00780A91">
      <w:pPr>
        <w:pStyle w:val="ListParagraph"/>
        <w:numPr>
          <w:ilvl w:val="0"/>
          <w:numId w:val="34"/>
        </w:numPr>
      </w:pPr>
      <w:r w:rsidRPr="00780A91">
        <w:rPr>
          <w:rFonts w:ascii="-webkit-standard" w:hAnsi="-webkit-standard"/>
          <w:color w:val="000000"/>
          <w:sz w:val="27"/>
          <w:szCs w:val="27"/>
        </w:rPr>
        <w:t>2. A Critical Analysis of Payback Period (PBP) Investment Appraisal Methods</w:t>
      </w:r>
      <w:r w:rsidRPr="00780A91">
        <w:rPr>
          <w:color w:val="000000"/>
        </w:rPr>
        <w:br/>
      </w:r>
      <w:r w:rsidRPr="00780A91">
        <w:rPr>
          <w:color w:val="000000"/>
        </w:rPr>
        <w:br/>
      </w:r>
      <w:r w:rsidRPr="00780A91">
        <w:rPr>
          <w:rFonts w:ascii="-webkit-standard" w:hAnsi="-webkit-standard"/>
          <w:color w:val="000000"/>
          <w:sz w:val="27"/>
          <w:szCs w:val="27"/>
        </w:rPr>
        <w:t>Benefits</w:t>
      </w:r>
      <w:r w:rsidRPr="00780A91">
        <w:rPr>
          <w:color w:val="000000"/>
        </w:rPr>
        <w:br/>
      </w:r>
      <w:r w:rsidRPr="00780A91">
        <w:rPr>
          <w:color w:val="000000"/>
        </w:rPr>
        <w:br/>
      </w:r>
      <w:r w:rsidRPr="00780A91">
        <w:rPr>
          <w:rFonts w:ascii="-webkit-standard" w:hAnsi="-webkit-standard"/>
          <w:color w:val="000000"/>
          <w:sz w:val="27"/>
          <w:szCs w:val="27"/>
        </w:rPr>
        <w:t>Simplicity: The PBP is a useful tool for making decisions quickly since it is simple to compute, comprehend, and use.</w:t>
      </w:r>
      <w:r w:rsidRPr="00780A91">
        <w:rPr>
          <w:color w:val="000000"/>
        </w:rPr>
        <w:br/>
      </w:r>
      <w:r w:rsidRPr="00780A91">
        <w:rPr>
          <w:rFonts w:ascii="-webkit-standard" w:hAnsi="-webkit-standard"/>
          <w:color w:val="000000"/>
          <w:sz w:val="27"/>
          <w:szCs w:val="27"/>
        </w:rPr>
        <w:t>Risk management: It is important for cash-strapped organisations or in highly unpredictable circumstances as it helps assess the liquidity risk by demonstrating how fast the initial investment may be returned.</w:t>
      </w:r>
      <w:r w:rsidRPr="00780A91">
        <w:rPr>
          <w:color w:val="000000"/>
        </w:rPr>
        <w:br/>
      </w:r>
      <w:r w:rsidRPr="00780A91">
        <w:rPr>
          <w:rFonts w:ascii="-webkit-standard" w:hAnsi="-webkit-standard"/>
          <w:color w:val="000000"/>
          <w:sz w:val="27"/>
          <w:szCs w:val="27"/>
        </w:rPr>
        <w:t>Drawbacks:</w:t>
      </w:r>
      <w:r w:rsidRPr="00780A91">
        <w:rPr>
          <w:color w:val="000000"/>
        </w:rPr>
        <w:br/>
      </w:r>
      <w:r w:rsidRPr="00780A91">
        <w:rPr>
          <w:color w:val="000000"/>
        </w:rPr>
        <w:br/>
      </w:r>
      <w:r w:rsidRPr="00780A91">
        <w:rPr>
          <w:rFonts w:ascii="-webkit-standard" w:hAnsi="-webkit-standard"/>
          <w:color w:val="000000"/>
          <w:sz w:val="27"/>
          <w:szCs w:val="27"/>
        </w:rPr>
        <w:t>Ignores Time Value of Money: PBP considers all cash flows identically, regardless of when they occur, because it does not take the time value of money into consideration.</w:t>
      </w:r>
      <w:r w:rsidRPr="00780A91">
        <w:rPr>
          <w:color w:val="000000"/>
        </w:rPr>
        <w:br/>
      </w:r>
      <w:r w:rsidRPr="00780A91">
        <w:rPr>
          <w:rFonts w:ascii="-webkit-standard" w:hAnsi="-webkit-standard"/>
          <w:color w:val="000000"/>
          <w:sz w:val="27"/>
          <w:szCs w:val="27"/>
        </w:rPr>
        <w:t>Ignores Post-repayment Cash Flows: This might result in the rejection of lucrative long-term projects as it ignores any cash flows that happen after the repayment period.</w:t>
      </w:r>
      <w:r w:rsidRPr="00780A91">
        <w:rPr>
          <w:color w:val="000000"/>
        </w:rPr>
        <w:br/>
      </w:r>
    </w:p>
    <w:p w14:paraId="32778CE3" w14:textId="77777777" w:rsidR="003E39E5" w:rsidRPr="003E39E5" w:rsidRDefault="003E39E5" w:rsidP="00780A91">
      <w:pPr>
        <w:pStyle w:val="ListParagraph"/>
        <w:numPr>
          <w:ilvl w:val="0"/>
          <w:numId w:val="34"/>
        </w:numPr>
      </w:pPr>
      <w:r w:rsidRPr="00780A91">
        <w:rPr>
          <w:rFonts w:ascii="-webkit-standard" w:hAnsi="-webkit-standard"/>
          <w:color w:val="000000"/>
          <w:sz w:val="27"/>
          <w:szCs w:val="27"/>
        </w:rPr>
        <w:t>Short-term Bias: It favours initiatives with faster returns over those that could be more profitable down the road, which could result in less-than-ideal investment choices.</w:t>
      </w:r>
      <w:r w:rsidRPr="00780A91">
        <w:rPr>
          <w:color w:val="000000"/>
        </w:rPr>
        <w:br/>
      </w:r>
      <w:r w:rsidRPr="00780A91">
        <w:rPr>
          <w:rFonts w:ascii="-webkit-standard" w:hAnsi="-webkit-standard"/>
          <w:color w:val="000000"/>
          <w:sz w:val="27"/>
          <w:szCs w:val="27"/>
        </w:rPr>
        <w:t>Rate of Return on Accounting (ARR)</w:t>
      </w:r>
      <w:r w:rsidRPr="00780A91">
        <w:rPr>
          <w:color w:val="000000"/>
        </w:rPr>
        <w:br/>
      </w:r>
      <w:r w:rsidRPr="00780A91">
        <w:rPr>
          <w:color w:val="000000"/>
        </w:rPr>
        <w:br/>
      </w:r>
      <w:r w:rsidRPr="00780A91">
        <w:rPr>
          <w:rFonts w:ascii="-webkit-standard" w:hAnsi="-webkit-standard"/>
          <w:color w:val="000000"/>
          <w:sz w:val="27"/>
          <w:szCs w:val="27"/>
        </w:rPr>
        <w:t>Benefits</w:t>
      </w:r>
      <w:r w:rsidRPr="00780A91">
        <w:rPr>
          <w:color w:val="000000"/>
        </w:rPr>
        <w:br/>
      </w:r>
      <w:r w:rsidRPr="00780A91">
        <w:rPr>
          <w:color w:val="000000"/>
        </w:rPr>
        <w:br/>
      </w:r>
      <w:r w:rsidRPr="00780A91">
        <w:rPr>
          <w:rFonts w:ascii="-webkit-standard" w:hAnsi="-webkit-standard"/>
          <w:color w:val="000000"/>
          <w:sz w:val="27"/>
          <w:szCs w:val="27"/>
        </w:rPr>
        <w:t>Simplicity: ARR is helpful for preliminary project screening because, like PBP, it is simple to compute and understand.</w:t>
      </w:r>
      <w:r w:rsidRPr="00780A91">
        <w:rPr>
          <w:color w:val="000000"/>
        </w:rPr>
        <w:br/>
      </w:r>
      <w:r w:rsidRPr="00780A91">
        <w:rPr>
          <w:rFonts w:ascii="-webkit-standard" w:hAnsi="-webkit-standard"/>
          <w:color w:val="000000"/>
          <w:sz w:val="27"/>
          <w:szCs w:val="27"/>
        </w:rPr>
        <w:t>Profit Focus: It gives an accurate indication of profitability and fits in nicely with the conventional accounting performance metrics.</w:t>
      </w:r>
      <w:r w:rsidRPr="00780A91">
        <w:rPr>
          <w:color w:val="000000"/>
        </w:rPr>
        <w:br/>
      </w:r>
      <w:r w:rsidRPr="00780A91">
        <w:rPr>
          <w:rFonts w:ascii="-webkit-standard" w:hAnsi="-webkit-standard"/>
          <w:color w:val="000000"/>
          <w:sz w:val="27"/>
          <w:szCs w:val="27"/>
        </w:rPr>
        <w:t>Drawbacks:</w:t>
      </w:r>
      <w:r w:rsidRPr="00780A91">
        <w:rPr>
          <w:color w:val="000000"/>
        </w:rPr>
        <w:br/>
      </w:r>
      <w:r w:rsidRPr="00780A91">
        <w:rPr>
          <w:color w:val="000000"/>
        </w:rPr>
        <w:br/>
      </w:r>
      <w:r w:rsidRPr="00780A91">
        <w:rPr>
          <w:rFonts w:ascii="-webkit-standard" w:hAnsi="-webkit-standard"/>
          <w:color w:val="000000"/>
          <w:sz w:val="27"/>
          <w:szCs w:val="27"/>
        </w:rPr>
        <w:t>Ignores Time Value of Money: Because ARR does not account for future cash flows, it may produce estimates of a project's profitability that are off.</w:t>
      </w:r>
      <w:r w:rsidRPr="00780A91">
        <w:rPr>
          <w:color w:val="000000"/>
        </w:rPr>
        <w:br/>
      </w:r>
      <w:r w:rsidRPr="00780A91">
        <w:rPr>
          <w:rFonts w:ascii="-webkit-standard" w:hAnsi="-webkit-standard"/>
          <w:color w:val="000000"/>
          <w:sz w:val="27"/>
          <w:szCs w:val="27"/>
        </w:rPr>
        <w:t>Contradictory to NPV: Because ARR doesn't account for the size of the investment or the timing of returns, it might occasionally result in project rankings that differ from NPV.</w:t>
      </w:r>
      <w:r w:rsidRPr="00780A91">
        <w:rPr>
          <w:color w:val="000000"/>
        </w:rPr>
        <w:br/>
      </w:r>
    </w:p>
    <w:p w14:paraId="6C0E75A0" w14:textId="77777777" w:rsidR="003E39E5" w:rsidRPr="003E39E5" w:rsidRDefault="003E39E5" w:rsidP="00780A91">
      <w:pPr>
        <w:pStyle w:val="ListParagraph"/>
        <w:numPr>
          <w:ilvl w:val="0"/>
          <w:numId w:val="34"/>
        </w:numPr>
      </w:pPr>
      <w:r w:rsidRPr="00780A91">
        <w:rPr>
          <w:rFonts w:ascii="-webkit-standard" w:hAnsi="-webkit-standard"/>
          <w:color w:val="000000"/>
          <w:sz w:val="27"/>
          <w:szCs w:val="27"/>
        </w:rPr>
        <w:t>Value of Net Present (NPV)</w:t>
      </w:r>
      <w:r w:rsidRPr="00780A91">
        <w:rPr>
          <w:color w:val="000000"/>
        </w:rPr>
        <w:br/>
      </w:r>
      <w:r w:rsidRPr="00780A91">
        <w:rPr>
          <w:color w:val="000000"/>
        </w:rPr>
        <w:br/>
      </w:r>
      <w:r w:rsidRPr="00780A91">
        <w:rPr>
          <w:rFonts w:ascii="-webkit-standard" w:hAnsi="-webkit-standard"/>
          <w:color w:val="000000"/>
          <w:sz w:val="27"/>
          <w:szCs w:val="27"/>
        </w:rPr>
        <w:t>Benefits</w:t>
      </w:r>
      <w:r w:rsidRPr="00780A91">
        <w:rPr>
          <w:color w:val="000000"/>
        </w:rPr>
        <w:br/>
      </w:r>
      <w:r w:rsidRPr="00780A91">
        <w:rPr>
          <w:color w:val="000000"/>
        </w:rPr>
        <w:br/>
      </w:r>
      <w:r w:rsidRPr="00780A91">
        <w:rPr>
          <w:rFonts w:ascii="-webkit-standard" w:hAnsi="-webkit-standard"/>
          <w:color w:val="000000"/>
          <w:sz w:val="27"/>
          <w:szCs w:val="27"/>
        </w:rPr>
        <w:t>Time Value of Money: By taking the time value of money into consideration, NPV offers a more realistic picture of a project's profitability.</w:t>
      </w:r>
      <w:r w:rsidRPr="00780A91">
        <w:rPr>
          <w:color w:val="000000"/>
        </w:rPr>
        <w:br/>
      </w:r>
      <w:r w:rsidRPr="00780A91">
        <w:rPr>
          <w:rFonts w:ascii="-webkit-standard" w:hAnsi="-webkit-standard"/>
          <w:color w:val="000000"/>
          <w:sz w:val="27"/>
          <w:szCs w:val="27"/>
        </w:rPr>
        <w:t>Absolute Measure: It makes it simpler to comprehend the project's true benefit by providing an absolute value in monetary terms.</w:t>
      </w:r>
      <w:r w:rsidRPr="00780A91">
        <w:rPr>
          <w:color w:val="000000"/>
        </w:rPr>
        <w:br/>
      </w:r>
      <w:r w:rsidRPr="00780A91">
        <w:rPr>
          <w:rFonts w:ascii="-webkit-standard" w:hAnsi="-webkit-standard"/>
          <w:color w:val="000000"/>
          <w:sz w:val="27"/>
          <w:szCs w:val="27"/>
        </w:rPr>
        <w:t>Consistency with Wealth Maximisation: Since positive NPVs raise the firm's worth, NPV is directly consistent with the objective of maximising shareholder wealth.</w:t>
      </w:r>
      <w:r w:rsidRPr="00780A91">
        <w:rPr>
          <w:color w:val="000000"/>
        </w:rPr>
        <w:br/>
      </w:r>
      <w:r w:rsidRPr="00780A91">
        <w:rPr>
          <w:rFonts w:ascii="-webkit-standard" w:hAnsi="-webkit-standard"/>
          <w:color w:val="000000"/>
          <w:sz w:val="27"/>
          <w:szCs w:val="27"/>
        </w:rPr>
        <w:t>Drawbacks:</w:t>
      </w:r>
      <w:r w:rsidRPr="00780A91">
        <w:rPr>
          <w:color w:val="000000"/>
        </w:rPr>
        <w:br/>
      </w:r>
      <w:r w:rsidRPr="00780A91">
        <w:rPr>
          <w:color w:val="000000"/>
        </w:rPr>
        <w:br/>
      </w:r>
      <w:r w:rsidRPr="00780A91">
        <w:rPr>
          <w:rFonts w:ascii="-webkit-standard" w:hAnsi="-webkit-standard"/>
          <w:color w:val="000000"/>
          <w:sz w:val="27"/>
          <w:szCs w:val="27"/>
        </w:rPr>
        <w:t>Complexity: When working with various cash flows and discount rates, NPV might be more difficult to compute and comprehend.</w:t>
      </w:r>
      <w:r w:rsidRPr="00780A91">
        <w:rPr>
          <w:color w:val="000000"/>
        </w:rPr>
        <w:br/>
      </w:r>
      <w:r w:rsidRPr="00780A91">
        <w:rPr>
          <w:rFonts w:ascii="-webkit-standard" w:hAnsi="-webkit-standard"/>
          <w:color w:val="000000"/>
          <w:sz w:val="27"/>
          <w:szCs w:val="27"/>
        </w:rPr>
        <w:t>Dependent on Cost of Capital: The outcome depends on the discount rate, which can be hard to calculate with precision. The NPV can be greatly impacted by even a little variation in the discount rate.</w:t>
      </w:r>
      <w:r w:rsidRPr="00780A91">
        <w:rPr>
          <w:color w:val="000000"/>
        </w:rPr>
        <w:br/>
      </w:r>
    </w:p>
    <w:p w14:paraId="77A2A8CF" w14:textId="0828F395" w:rsidR="000C2370" w:rsidRDefault="003E39E5" w:rsidP="00780A91">
      <w:pPr>
        <w:pStyle w:val="NormalWeb"/>
        <w:numPr>
          <w:ilvl w:val="0"/>
          <w:numId w:val="34"/>
        </w:numPr>
      </w:pPr>
      <w:r>
        <w:rPr>
          <w:rFonts w:ascii="-webkit-standard" w:hAnsi="-webkit-standard"/>
          <w:color w:val="000000"/>
          <w:sz w:val="27"/>
          <w:szCs w:val="27"/>
        </w:rPr>
        <w:t>Neglects Non-Financial Factors: NPV is just financial in nature; it does not take into account qualitative elements that might have an influence on the project's success.</w:t>
      </w:r>
      <w:r>
        <w:rPr>
          <w:color w:val="000000"/>
        </w:rPr>
        <w:br/>
      </w:r>
      <w:r>
        <w:rPr>
          <w:rFonts w:ascii="-webkit-standard" w:hAnsi="-webkit-standard"/>
          <w:color w:val="000000"/>
          <w:sz w:val="27"/>
          <w:szCs w:val="27"/>
        </w:rPr>
        <w:t>Non-Financial Elements in the Evaluation of Investments</w:t>
      </w:r>
      <w:r>
        <w:rPr>
          <w:color w:val="000000"/>
        </w:rPr>
        <w:br/>
      </w:r>
      <w:r>
        <w:rPr>
          <w:rFonts w:ascii="-webkit-standard" w:hAnsi="-webkit-standard"/>
          <w:color w:val="000000"/>
          <w:sz w:val="27"/>
          <w:szCs w:val="27"/>
        </w:rPr>
        <w:t>Even while PBP, ARR, and NPV are essential for assessing a project's financial feasibility, non-financial considerations can have a big impact on the choice that is made.</w:t>
      </w:r>
      <w:r>
        <w:rPr>
          <w:color w:val="000000"/>
        </w:rPr>
        <w:br/>
      </w:r>
      <w:r>
        <w:rPr>
          <w:color w:val="000000"/>
        </w:rPr>
        <w:br/>
      </w:r>
      <w:r>
        <w:rPr>
          <w:rFonts w:ascii="-webkit-standard" w:hAnsi="-webkit-standard"/>
          <w:color w:val="000000"/>
          <w:sz w:val="27"/>
          <w:szCs w:val="27"/>
        </w:rPr>
        <w:t>Alignment Strategically</w:t>
      </w:r>
      <w:r>
        <w:rPr>
          <w:color w:val="000000"/>
        </w:rPr>
        <w:br/>
      </w:r>
      <w:r>
        <w:rPr>
          <w:color w:val="000000"/>
        </w:rPr>
        <w:br/>
      </w:r>
      <w:r>
        <w:rPr>
          <w:rFonts w:ascii="-webkit-standard" w:hAnsi="-webkit-standard"/>
          <w:color w:val="000000"/>
          <w:sz w:val="27"/>
          <w:szCs w:val="27"/>
        </w:rPr>
        <w:t>Projects have to line up with the strategic objectives of the business. Even if a project's financial indicators aren't the best, Diageo could like it if it advances its premiumization plan or increases its market share in emerging regions.</w:t>
      </w:r>
      <w:r>
        <w:rPr>
          <w:color w:val="000000"/>
        </w:rPr>
        <w:br/>
      </w:r>
      <w:r>
        <w:rPr>
          <w:color w:val="000000"/>
        </w:rPr>
        <w:br/>
      </w:r>
      <w:r>
        <w:rPr>
          <w:rFonts w:ascii="-webkit-standard" w:hAnsi="-webkit-standard"/>
          <w:color w:val="000000"/>
          <w:sz w:val="27"/>
          <w:szCs w:val="27"/>
        </w:rPr>
        <w:t>Brand Influence</w:t>
      </w:r>
      <w:r>
        <w:rPr>
          <w:color w:val="000000"/>
        </w:rPr>
        <w:br/>
      </w:r>
      <w:r>
        <w:rPr>
          <w:color w:val="000000"/>
        </w:rPr>
        <w:br/>
      </w:r>
      <w:r>
        <w:rPr>
          <w:rFonts w:ascii="-webkit-standard" w:hAnsi="-webkit-standard"/>
          <w:color w:val="000000"/>
          <w:sz w:val="27"/>
          <w:szCs w:val="27"/>
        </w:rPr>
        <w:t xml:space="preserve">The effect a project has on Diageo's brand image is important because the corporation depends so much on brand equity. </w:t>
      </w:r>
      <w:proofErr w:type="spellStart"/>
      <w:proofErr w:type="gramStart"/>
      <w:r>
        <w:rPr>
          <w:rFonts w:ascii="-webkit-standard" w:hAnsi="-webkit-standard"/>
          <w:color w:val="000000"/>
          <w:sz w:val="27"/>
          <w:szCs w:val="27"/>
        </w:rPr>
        <w:t>A</w:t>
      </w:r>
      <w:proofErr w:type="spellEnd"/>
      <w:proofErr w:type="gramEnd"/>
      <w:r>
        <w:rPr>
          <w:rFonts w:ascii="-webkit-standard" w:hAnsi="-webkit-standard"/>
          <w:color w:val="000000"/>
          <w:sz w:val="27"/>
          <w:szCs w:val="27"/>
        </w:rPr>
        <w:t xml:space="preserve"> initiative that adds value to the brand or supports the sustainability of the business.</w:t>
      </w:r>
      <w:r>
        <w:rPr>
          <w:rFonts w:ascii="-webkit-standard" w:hAnsi="-webkit-standard"/>
          <w:color w:val="000000"/>
          <w:sz w:val="27"/>
          <w:szCs w:val="27"/>
        </w:rPr>
        <w:br/>
      </w:r>
      <w:r>
        <w:rPr>
          <w:rFonts w:ascii="-webkit-standard" w:hAnsi="-webkit-standard"/>
          <w:color w:val="000000"/>
          <w:sz w:val="27"/>
          <w:szCs w:val="27"/>
        </w:rPr>
        <w:br/>
      </w:r>
      <w:r w:rsidRPr="003E39E5">
        <w:rPr>
          <w:rFonts w:ascii="-webkit-standard" w:hAnsi="-webkit-standard"/>
          <w:color w:val="000000"/>
          <w:sz w:val="27"/>
          <w:szCs w:val="27"/>
        </w:rPr>
        <w:t>Environmental and Regulatory Aspects</w:t>
      </w:r>
      <w:r w:rsidRPr="003E39E5">
        <w:rPr>
          <w:color w:val="000000"/>
        </w:rPr>
        <w:br/>
      </w:r>
      <w:r w:rsidRPr="003E39E5">
        <w:rPr>
          <w:color w:val="000000"/>
        </w:rPr>
        <w:br/>
      </w:r>
      <w:r w:rsidRPr="003E39E5">
        <w:rPr>
          <w:rFonts w:ascii="-webkit-standard" w:hAnsi="-webkit-standard"/>
          <w:color w:val="000000"/>
          <w:sz w:val="27"/>
          <w:szCs w:val="27"/>
        </w:rPr>
        <w:t>Projects have to abide by environmental guidelines and local laws. The possible regulatory hurdles of a project might be a major issue, especially in the beverage industry where rules can be rather strict.</w:t>
      </w:r>
      <w:r w:rsidRPr="003E39E5">
        <w:rPr>
          <w:color w:val="000000"/>
        </w:rPr>
        <w:br/>
      </w:r>
      <w:r w:rsidRPr="003E39E5">
        <w:rPr>
          <w:color w:val="000000"/>
        </w:rPr>
        <w:br/>
      </w:r>
      <w:r w:rsidRPr="003E39E5">
        <w:rPr>
          <w:rFonts w:ascii="-webkit-standard" w:hAnsi="-webkit-standard"/>
          <w:color w:val="000000"/>
          <w:sz w:val="27"/>
          <w:szCs w:val="27"/>
        </w:rPr>
        <w:t>Sustainability and Social Responsibility</w:t>
      </w:r>
      <w:r w:rsidRPr="003E39E5">
        <w:rPr>
          <w:color w:val="000000"/>
        </w:rPr>
        <w:br/>
      </w:r>
      <w:r w:rsidRPr="003E39E5">
        <w:rPr>
          <w:color w:val="000000"/>
        </w:rPr>
        <w:br/>
      </w:r>
      <w:r w:rsidRPr="003E39E5">
        <w:rPr>
          <w:rFonts w:ascii="-webkit-standard" w:hAnsi="-webkit-standard"/>
          <w:color w:val="000000"/>
          <w:sz w:val="27"/>
          <w:szCs w:val="27"/>
        </w:rPr>
        <w:t>Diageo prioritises corporate social responsibility (CSR) highly. Even if they have lesser financial rewards, projects that benefit the community or improve environmental sustainability may be given priority.</w:t>
      </w:r>
      <w:r w:rsidRPr="003E39E5">
        <w:rPr>
          <w:color w:val="000000"/>
        </w:rPr>
        <w:br/>
      </w:r>
      <w:r w:rsidRPr="003E39E5">
        <w:rPr>
          <w:color w:val="000000"/>
        </w:rPr>
        <w:br/>
      </w:r>
      <w:r w:rsidRPr="003E39E5">
        <w:rPr>
          <w:rFonts w:ascii="-webkit-standard" w:hAnsi="-webkit-standard"/>
          <w:color w:val="000000"/>
          <w:sz w:val="27"/>
          <w:szCs w:val="27"/>
        </w:rPr>
        <w:t>Conditions of the Market and Consumer Preferences</w:t>
      </w:r>
      <w:r w:rsidRPr="003E39E5">
        <w:rPr>
          <w:color w:val="000000"/>
        </w:rPr>
        <w:br/>
      </w:r>
      <w:r w:rsidRPr="003E39E5">
        <w:rPr>
          <w:color w:val="000000"/>
        </w:rPr>
        <w:br/>
      </w:r>
      <w:r w:rsidRPr="003E39E5">
        <w:rPr>
          <w:rFonts w:ascii="-webkit-standard" w:hAnsi="-webkit-standard"/>
          <w:color w:val="000000"/>
          <w:sz w:val="27"/>
          <w:szCs w:val="27"/>
        </w:rPr>
        <w:t>A project's likelihood of success can be affected</w:t>
      </w:r>
      <w:r w:rsidR="000C2370">
        <w:rPr>
          <w:rFonts w:ascii="-webkit-standard" w:hAnsi="-webkit-standard"/>
          <w:color w:val="000000"/>
          <w:sz w:val="27"/>
          <w:szCs w:val="27"/>
        </w:rPr>
        <w:br/>
      </w:r>
      <w:r w:rsidR="000C2370">
        <w:rPr>
          <w:rFonts w:ascii="-webkit-standard" w:hAnsi="-webkit-standard"/>
          <w:color w:val="000000"/>
          <w:sz w:val="27"/>
          <w:szCs w:val="27"/>
        </w:rPr>
        <w:br/>
        <w:t>Conclusion:</w:t>
      </w:r>
      <w:r w:rsidR="000C2370">
        <w:rPr>
          <w:rFonts w:ascii="-webkit-standard" w:hAnsi="-webkit-standard"/>
          <w:color w:val="000000"/>
          <w:sz w:val="27"/>
          <w:szCs w:val="27"/>
        </w:rPr>
        <w:br/>
      </w:r>
      <w:r w:rsidR="000C2370">
        <w:rPr>
          <w:rFonts w:ascii="-webkit-standard" w:hAnsi="-webkit-standard"/>
          <w:color w:val="000000"/>
          <w:sz w:val="27"/>
          <w:szCs w:val="27"/>
        </w:rPr>
        <w:br/>
      </w:r>
      <w:r w:rsidR="000C2370">
        <w:rPr>
          <w:rFonts w:ascii="-webkit-standard" w:hAnsi="-webkit-standard"/>
          <w:color w:val="000000"/>
          <w:sz w:val="27"/>
          <w:szCs w:val="27"/>
        </w:rPr>
        <w:t>In summary, Diageo PLC's strong financial results demonstrate its strong operational foundation and efficient cost control. Though its gearing is larger than that of some of its rivals, its profitability and liquidity measures show durability and strong management. Despite having a longer payback period, Project A has better long-term advantages, as shown by the investment assessment, which has a higher NPV and ARR. Diageo's strategic focus on premiumization and sustainable growth is in line with this. To further increase profitability and liquidity, recommendations include tightening working capital management, improving cost control, and optimising product mix. Ensuring long-term financial stability and development can be facilitated by maintaining investor appeal through clear communication and consistent dividend payments.</w:t>
      </w:r>
      <w:r w:rsidR="000C2370">
        <w:rPr>
          <w:rFonts w:ascii="-webkit-standard" w:hAnsi="-webkit-standard"/>
          <w:color w:val="000000"/>
          <w:sz w:val="27"/>
          <w:szCs w:val="27"/>
        </w:rPr>
        <w:br/>
      </w:r>
      <w:r w:rsidR="00844A7A">
        <w:rPr>
          <w:rFonts w:ascii="-webkit-standard" w:hAnsi="-webkit-standard"/>
          <w:color w:val="000000"/>
          <w:sz w:val="27"/>
          <w:szCs w:val="27"/>
        </w:rPr>
        <w:br/>
      </w:r>
      <w:r w:rsidR="00844A7A">
        <w:rPr>
          <w:rFonts w:ascii="-webkit-standard" w:hAnsi="-webkit-standard"/>
          <w:color w:val="000000"/>
          <w:sz w:val="27"/>
          <w:szCs w:val="27"/>
        </w:rPr>
        <w:br/>
      </w:r>
      <w:r w:rsidR="00844A7A">
        <w:rPr>
          <w:rFonts w:ascii="-webkit-standard" w:hAnsi="-webkit-standard"/>
          <w:color w:val="000000"/>
          <w:sz w:val="27"/>
          <w:szCs w:val="27"/>
        </w:rPr>
        <w:br/>
      </w:r>
      <w:r w:rsidR="000C2370">
        <w:rPr>
          <w:rFonts w:ascii="-webkit-standard" w:hAnsi="-webkit-standard"/>
          <w:color w:val="000000"/>
          <w:sz w:val="27"/>
          <w:szCs w:val="27"/>
        </w:rPr>
        <w:t>References:</w:t>
      </w:r>
      <w:r w:rsidR="000C2370">
        <w:rPr>
          <w:rFonts w:ascii="-webkit-standard" w:hAnsi="-webkit-standard"/>
          <w:color w:val="000000"/>
          <w:sz w:val="27"/>
          <w:szCs w:val="27"/>
        </w:rPr>
        <w:br/>
      </w:r>
      <w:r w:rsidR="000C2370">
        <w:rPr>
          <w:rFonts w:ascii="-webkit-standard" w:hAnsi="-webkit-standard"/>
          <w:color w:val="000000"/>
          <w:sz w:val="27"/>
          <w:szCs w:val="27"/>
        </w:rPr>
        <w:br/>
      </w:r>
    </w:p>
    <w:p w14:paraId="35094674" w14:textId="3365A50E" w:rsidR="000C2370" w:rsidRDefault="000C2370" w:rsidP="00780A91">
      <w:pPr>
        <w:spacing w:before="100" w:beforeAutospacing="1" w:after="100" w:afterAutospacing="1"/>
      </w:pPr>
      <w:r>
        <w:t>Diageo PLC, 2023.</w:t>
      </w:r>
      <w:r w:rsidRPr="00780A91">
        <w:rPr>
          <w:rStyle w:val="apple-converted-space"/>
          <w:rFonts w:eastAsiaTheme="majorEastAsia"/>
        </w:rPr>
        <w:t> </w:t>
      </w:r>
      <w:r w:rsidRPr="00780A91">
        <w:rPr>
          <w:rStyle w:val="Emphasis"/>
          <w:rFonts w:eastAsiaTheme="majorEastAsia"/>
        </w:rPr>
        <w:t>Annual Report 2023</w:t>
      </w:r>
      <w:r>
        <w:t>. Diageo</w:t>
      </w:r>
      <w:r w:rsidR="00780A91">
        <w:br/>
      </w:r>
      <w:r w:rsidR="00780A91">
        <w:br/>
      </w:r>
      <w:r>
        <w:t>London Stock Exchange, 2024.</w:t>
      </w:r>
      <w:r w:rsidRPr="00780A91">
        <w:rPr>
          <w:rStyle w:val="apple-converted-space"/>
          <w:rFonts w:eastAsiaTheme="majorEastAsia"/>
        </w:rPr>
        <w:t> </w:t>
      </w:r>
      <w:r w:rsidRPr="00780A91">
        <w:rPr>
          <w:rStyle w:val="Emphasis"/>
          <w:rFonts w:eastAsiaTheme="majorEastAsia"/>
        </w:rPr>
        <w:t>Diageo PLC – Stock Performance and Financial Data</w:t>
      </w:r>
      <w:r>
        <w:t xml:space="preserve">. </w:t>
      </w:r>
    </w:p>
    <w:p w14:paraId="262E3327" w14:textId="5D79CA5F" w:rsidR="000C2370" w:rsidRDefault="000C2370" w:rsidP="00780A91">
      <w:pPr>
        <w:spacing w:before="100" w:beforeAutospacing="1" w:after="100" w:afterAutospacing="1"/>
      </w:pPr>
      <w:r>
        <w:t>Reuters, 2024.</w:t>
      </w:r>
      <w:r>
        <w:rPr>
          <w:rStyle w:val="apple-converted-space"/>
          <w:rFonts w:eastAsiaTheme="majorEastAsia"/>
        </w:rPr>
        <w:t> </w:t>
      </w:r>
      <w:r>
        <w:rPr>
          <w:rStyle w:val="Emphasis"/>
          <w:rFonts w:eastAsiaTheme="majorEastAsia"/>
        </w:rPr>
        <w:t>Diageo PLC Financials</w:t>
      </w:r>
      <w:r>
        <w:t xml:space="preserve">. </w:t>
      </w:r>
    </w:p>
    <w:p w14:paraId="5A19D46F" w14:textId="245598DF" w:rsidR="000C2370" w:rsidRDefault="000C2370" w:rsidP="00780A91">
      <w:pPr>
        <w:spacing w:before="100" w:beforeAutospacing="1" w:after="100" w:afterAutospacing="1"/>
      </w:pPr>
      <w:r>
        <w:t>Bloomberg, 2024.</w:t>
      </w:r>
      <w:r>
        <w:rPr>
          <w:rStyle w:val="apple-converted-space"/>
          <w:rFonts w:eastAsiaTheme="majorEastAsia"/>
        </w:rPr>
        <w:t> </w:t>
      </w:r>
      <w:r>
        <w:rPr>
          <w:rStyle w:val="Emphasis"/>
          <w:rFonts w:eastAsiaTheme="majorEastAsia"/>
        </w:rPr>
        <w:t>Diageo PLC – Company Overview</w:t>
      </w:r>
      <w:r>
        <w:t xml:space="preserve">. </w:t>
      </w:r>
    </w:p>
    <w:p w14:paraId="501C6704" w14:textId="77500215" w:rsidR="000C2370" w:rsidRDefault="000C2370" w:rsidP="00780A91">
      <w:pPr>
        <w:spacing w:before="100" w:beforeAutospacing="1" w:after="100" w:afterAutospacing="1"/>
      </w:pPr>
      <w:r>
        <w:t>Euromonitor International, 2024.</w:t>
      </w:r>
    </w:p>
    <w:p w14:paraId="27811C9B" w14:textId="5E01EF2A" w:rsidR="000C2370" w:rsidRDefault="000C2370" w:rsidP="00844A7A">
      <w:pPr>
        <w:spacing w:before="100" w:beforeAutospacing="1" w:after="100" w:afterAutospacing="1"/>
      </w:pPr>
      <w:r>
        <w:t>Statista, 2024.</w:t>
      </w:r>
      <w:r>
        <w:rPr>
          <w:rStyle w:val="apple-converted-space"/>
          <w:rFonts w:eastAsiaTheme="majorEastAsia"/>
        </w:rPr>
        <w:t> </w:t>
      </w:r>
      <w:r>
        <w:rPr>
          <w:rStyle w:val="Emphasis"/>
          <w:rFonts w:eastAsiaTheme="majorEastAsia"/>
        </w:rPr>
        <w:t>Market Share of Leading Spirits Companies Worldwide in 2024</w:t>
      </w:r>
      <w:r>
        <w:t xml:space="preserve">. </w:t>
      </w:r>
    </w:p>
    <w:p w14:paraId="0B001130" w14:textId="0B40FFBE" w:rsidR="000C2370" w:rsidRDefault="000C2370" w:rsidP="00844A7A">
      <w:pPr>
        <w:spacing w:before="100" w:beforeAutospacing="1" w:after="100" w:afterAutospacing="1"/>
      </w:pPr>
      <w:r>
        <w:t>Pernod Ricard, 2024.</w:t>
      </w:r>
      <w:r>
        <w:rPr>
          <w:rStyle w:val="apple-converted-space"/>
          <w:rFonts w:eastAsiaTheme="majorEastAsia"/>
        </w:rPr>
        <w:t> </w:t>
      </w:r>
      <w:r>
        <w:rPr>
          <w:rStyle w:val="Emphasis"/>
          <w:rFonts w:eastAsiaTheme="majorEastAsia"/>
        </w:rPr>
        <w:t>Annual Report 2023</w:t>
      </w:r>
      <w:r>
        <w:t xml:space="preserve">. Pernod Ricard. </w:t>
      </w:r>
    </w:p>
    <w:p w14:paraId="4603F6D9" w14:textId="579FDB90" w:rsidR="000C2370" w:rsidRDefault="000C2370" w:rsidP="00844A7A">
      <w:pPr>
        <w:spacing w:before="100" w:beforeAutospacing="1" w:after="100" w:afterAutospacing="1"/>
      </w:pPr>
      <w:r>
        <w:t>Financial Times, 2024.</w:t>
      </w:r>
      <w:r>
        <w:rPr>
          <w:rStyle w:val="apple-converted-space"/>
          <w:rFonts w:eastAsiaTheme="majorEastAsia"/>
        </w:rPr>
        <w:t> </w:t>
      </w:r>
      <w:r>
        <w:rPr>
          <w:rStyle w:val="Emphasis"/>
          <w:rFonts w:eastAsiaTheme="majorEastAsia"/>
        </w:rPr>
        <w:t>Diageo and the Premiumization Trend in Alcoholic Beverages</w:t>
      </w:r>
      <w:r>
        <w:t>. Available at:</w:t>
      </w:r>
      <w:r>
        <w:rPr>
          <w:rStyle w:val="apple-converted-space"/>
          <w:rFonts w:eastAsiaTheme="majorEastAsia"/>
        </w:rPr>
        <w:t> </w:t>
      </w:r>
      <w:r>
        <w:t>https://www.ft.com/content/diageo-premiumization</w:t>
      </w:r>
      <w:r>
        <w:rPr>
          <w:rStyle w:val="apple-converted-space"/>
          <w:rFonts w:eastAsiaTheme="majorEastAsia"/>
        </w:rPr>
        <w:t> </w:t>
      </w:r>
    </w:p>
    <w:p w14:paraId="28668C1A" w14:textId="2AB6FE5A" w:rsidR="000C2370" w:rsidRDefault="000C2370" w:rsidP="00844A7A">
      <w:pPr>
        <w:spacing w:before="100" w:beforeAutospacing="1" w:after="100" w:afterAutospacing="1"/>
      </w:pPr>
      <w:r>
        <w:t>The Economist, 2024.</w:t>
      </w:r>
      <w:r>
        <w:rPr>
          <w:rStyle w:val="apple-converted-space"/>
          <w:rFonts w:eastAsiaTheme="majorEastAsia"/>
        </w:rPr>
        <w:t> </w:t>
      </w:r>
      <w:r>
        <w:rPr>
          <w:rStyle w:val="Emphasis"/>
          <w:rFonts w:eastAsiaTheme="majorEastAsia"/>
        </w:rPr>
        <w:t>Regulatory Challenges in the Global Beverage Industry</w:t>
      </w:r>
      <w:r>
        <w:t>. Available at:</w:t>
      </w:r>
      <w:r>
        <w:rPr>
          <w:rStyle w:val="apple-converted-space"/>
          <w:rFonts w:eastAsiaTheme="majorEastAsia"/>
        </w:rPr>
        <w:t> </w:t>
      </w:r>
      <w:r>
        <w:t>https://www.economist.com/industry-regulation-beverages</w:t>
      </w:r>
      <w:r>
        <w:rPr>
          <w:rStyle w:val="apple-converted-space"/>
          <w:rFonts w:eastAsiaTheme="majorEastAsia"/>
        </w:rPr>
        <w:t> </w:t>
      </w:r>
    </w:p>
    <w:p w14:paraId="28873C84" w14:textId="494890C5" w:rsidR="00780A91" w:rsidRDefault="000C2370" w:rsidP="00780A91">
      <w:pPr>
        <w:pStyle w:val="NormalWeb"/>
      </w:pPr>
      <w:r>
        <w:t>Harvard Business Review, 2024.</w:t>
      </w:r>
      <w:r>
        <w:rPr>
          <w:rStyle w:val="apple-converted-space"/>
          <w:rFonts w:eastAsiaTheme="majorEastAsia"/>
        </w:rPr>
        <w:t> </w:t>
      </w:r>
      <w:proofErr w:type="spellStart"/>
      <w:r>
        <w:rPr>
          <w:rStyle w:val="Emphasis"/>
          <w:rFonts w:eastAsiaTheme="majorEastAsia"/>
        </w:rPr>
        <w:t>Analyzing</w:t>
      </w:r>
      <w:proofErr w:type="spellEnd"/>
      <w:r>
        <w:rPr>
          <w:rStyle w:val="Emphasis"/>
          <w:rFonts w:eastAsiaTheme="majorEastAsia"/>
        </w:rPr>
        <w:t xml:space="preserve"> Diageo’s Financial Performance: A Historical Review</w:t>
      </w:r>
      <w:r>
        <w:t>. Available at:</w:t>
      </w:r>
      <w:r>
        <w:rPr>
          <w:rStyle w:val="apple-converted-space"/>
          <w:rFonts w:eastAsiaTheme="majorEastAsia"/>
        </w:rPr>
        <w:t> </w:t>
      </w:r>
      <w:hyperlink r:id="rId8" w:tgtFrame="_new" w:history="1">
        <w:r>
          <w:rPr>
            <w:rStyle w:val="Hyperlink"/>
            <w:rFonts w:eastAsiaTheme="majorEastAsia"/>
          </w:rPr>
          <w:t>https://hbr.org/diageo-financial-performance-review</w:t>
        </w:r>
      </w:hyperlink>
      <w:r>
        <w:rPr>
          <w:rStyle w:val="apple-converted-space"/>
          <w:rFonts w:eastAsiaTheme="majorEastAsia"/>
        </w:rPr>
        <w:t> </w:t>
      </w:r>
      <w:proofErr w:type="gramStart"/>
      <w:r w:rsidR="00780A91">
        <w:rPr>
          <w:rFonts w:hAnsi="Symbol"/>
        </w:rPr>
        <w:t></w:t>
      </w:r>
      <w:r w:rsidR="00780A91">
        <w:t xml:space="preserve">  </w:t>
      </w:r>
      <w:r w:rsidR="00780A91">
        <w:rPr>
          <w:rStyle w:val="Strong"/>
          <w:rFonts w:eastAsiaTheme="majorEastAsia"/>
        </w:rPr>
        <w:t>Annual</w:t>
      </w:r>
      <w:proofErr w:type="gramEnd"/>
      <w:r w:rsidR="00780A91">
        <w:rPr>
          <w:rStyle w:val="Strong"/>
          <w:rFonts w:eastAsiaTheme="majorEastAsia"/>
        </w:rPr>
        <w:t xml:space="preserve"> Report: Diageo</w:t>
      </w:r>
    </w:p>
    <w:p w14:paraId="67296E17" w14:textId="7FE6B9BE" w:rsidR="00780A91" w:rsidRDefault="00780A91" w:rsidP="00844A7A">
      <w:pPr>
        <w:spacing w:before="100" w:beforeAutospacing="1" w:after="100" w:afterAutospacing="1"/>
      </w:pPr>
      <w:r>
        <w:t>Diageo PLC. (2023).</w:t>
      </w:r>
      <w:r>
        <w:rPr>
          <w:rStyle w:val="apple-converted-space"/>
          <w:rFonts w:eastAsiaTheme="majorEastAsia"/>
        </w:rPr>
        <w:t> </w:t>
      </w:r>
      <w:r>
        <w:rPr>
          <w:rStyle w:val="Emphasis"/>
          <w:rFonts w:eastAsiaTheme="majorEastAsia"/>
        </w:rPr>
        <w:t>Annual Report 2023</w:t>
      </w:r>
      <w:r>
        <w:t>. [online] Available at:</w:t>
      </w:r>
      <w:r>
        <w:rPr>
          <w:rStyle w:val="apple-converted-space"/>
          <w:rFonts w:eastAsiaTheme="majorEastAsia"/>
        </w:rPr>
        <w:t> </w:t>
      </w:r>
      <w:r>
        <w:t>https://www.diageo.com/annual-report-2023</w:t>
      </w:r>
    </w:p>
    <w:p w14:paraId="05F947D4" w14:textId="5170A89B" w:rsidR="00780A91" w:rsidRDefault="00780A91" w:rsidP="00844A7A">
      <w:pPr>
        <w:spacing w:before="100" w:beforeAutospacing="1" w:after="100" w:afterAutospacing="1"/>
      </w:pPr>
      <w:r>
        <w:t>Pernod Ricard. (2023).</w:t>
      </w:r>
      <w:r>
        <w:rPr>
          <w:rStyle w:val="apple-converted-space"/>
          <w:rFonts w:eastAsiaTheme="majorEastAsia"/>
        </w:rPr>
        <w:t> </w:t>
      </w:r>
      <w:r>
        <w:rPr>
          <w:rStyle w:val="Emphasis"/>
          <w:rFonts w:eastAsiaTheme="majorEastAsia"/>
        </w:rPr>
        <w:t>Annual Report 2023</w:t>
      </w:r>
      <w:r>
        <w:t>. [online] Available at:</w:t>
      </w:r>
      <w:r>
        <w:rPr>
          <w:rStyle w:val="apple-converted-space"/>
          <w:rFonts w:eastAsiaTheme="majorEastAsia"/>
        </w:rPr>
        <w:t> </w:t>
      </w:r>
      <w:r>
        <w:t>https://www.pernod-ricard.com/annual-report-2023</w:t>
      </w:r>
      <w:r>
        <w:rPr>
          <w:rStyle w:val="apple-converted-space"/>
          <w:rFonts w:eastAsiaTheme="majorEastAsia"/>
        </w:rPr>
        <w:t> </w:t>
      </w:r>
    </w:p>
    <w:p w14:paraId="45B6FBE7" w14:textId="6A012270" w:rsidR="00780A91" w:rsidRDefault="00780A91" w:rsidP="00844A7A">
      <w:pPr>
        <w:spacing w:before="100" w:beforeAutospacing="1" w:after="100" w:afterAutospacing="1"/>
      </w:pPr>
      <w:r>
        <w:t>Brown-Forman Corporation. (2023).</w:t>
      </w:r>
      <w:r>
        <w:rPr>
          <w:rStyle w:val="apple-converted-space"/>
          <w:rFonts w:eastAsiaTheme="majorEastAsia"/>
        </w:rPr>
        <w:t> </w:t>
      </w:r>
      <w:r>
        <w:rPr>
          <w:rStyle w:val="Emphasis"/>
          <w:rFonts w:eastAsiaTheme="majorEastAsia"/>
        </w:rPr>
        <w:t>Annual Report 2023</w:t>
      </w:r>
      <w:r>
        <w:t>. [online] Available at:</w:t>
      </w:r>
      <w:r>
        <w:rPr>
          <w:rStyle w:val="apple-converted-space"/>
          <w:rFonts w:eastAsiaTheme="majorEastAsia"/>
        </w:rPr>
        <w:t> </w:t>
      </w:r>
      <w:r>
        <w:t>https://www.brown-forman.com/annual-report-2023</w:t>
      </w:r>
      <w:r>
        <w:rPr>
          <w:rStyle w:val="apple-converted-space"/>
          <w:rFonts w:eastAsiaTheme="majorEastAsia"/>
        </w:rPr>
        <w:t> </w:t>
      </w:r>
    </w:p>
    <w:p w14:paraId="22DDB1B1" w14:textId="4893249D"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Gross Profit Margin</w:t>
      </w:r>
      <w:r>
        <w:t>. [online] Available at:</w:t>
      </w:r>
      <w:r>
        <w:rPr>
          <w:rStyle w:val="apple-converted-space"/>
          <w:rFonts w:eastAsiaTheme="majorEastAsia"/>
        </w:rPr>
        <w:t> </w:t>
      </w:r>
      <w:r>
        <w:t>https://www.investopedia.com/terms/g/gross-profit-margin.asp</w:t>
      </w:r>
      <w:r>
        <w:rPr>
          <w:rStyle w:val="apple-converted-space"/>
          <w:rFonts w:eastAsiaTheme="majorEastAsia"/>
        </w:rPr>
        <w:t> </w:t>
      </w:r>
    </w:p>
    <w:p w14:paraId="65C2B048" w14:textId="4FF07386"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Operating Profit Margin</w:t>
      </w:r>
      <w:r>
        <w:t>. [online] Available at:</w:t>
      </w:r>
      <w:r>
        <w:rPr>
          <w:rStyle w:val="apple-converted-space"/>
          <w:rFonts w:eastAsiaTheme="majorEastAsia"/>
        </w:rPr>
        <w:t> </w:t>
      </w:r>
      <w:r>
        <w:t>https://www.investopedia.com/terms/o/operating-margin.asp</w:t>
      </w:r>
      <w:r>
        <w:rPr>
          <w:rStyle w:val="apple-converted-space"/>
          <w:rFonts w:eastAsiaTheme="majorEastAsia"/>
        </w:rPr>
        <w:t> </w:t>
      </w:r>
    </w:p>
    <w:p w14:paraId="6A2E681F" w14:textId="568CC960"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Net Profit Margin</w:t>
      </w:r>
      <w:r>
        <w:t>. [online] Available at:</w:t>
      </w:r>
      <w:r>
        <w:rPr>
          <w:rStyle w:val="apple-converted-space"/>
          <w:rFonts w:eastAsiaTheme="majorEastAsia"/>
        </w:rPr>
        <w:t> </w:t>
      </w:r>
      <w:r>
        <w:t>https://www.investopedia.com/terms/n/net-profit-margin.asp</w:t>
      </w:r>
      <w:r>
        <w:rPr>
          <w:rStyle w:val="apple-converted-space"/>
          <w:rFonts w:eastAsiaTheme="majorEastAsia"/>
        </w:rPr>
        <w:t> </w:t>
      </w:r>
    </w:p>
    <w:p w14:paraId="450724E4" w14:textId="72163EB7"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Current Ratio</w:t>
      </w:r>
      <w:r>
        <w:t>. [online] Available at:</w:t>
      </w:r>
      <w:r>
        <w:rPr>
          <w:rStyle w:val="apple-converted-space"/>
          <w:rFonts w:eastAsiaTheme="majorEastAsia"/>
        </w:rPr>
        <w:t> </w:t>
      </w:r>
      <w:r>
        <w:t>https://www.investopedia.com/terms/c/currentratio.asp</w:t>
      </w:r>
    </w:p>
    <w:p w14:paraId="4858BCEF" w14:textId="5A70E053"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Quick Ratio</w:t>
      </w:r>
      <w:r>
        <w:t>. [online] Available at:</w:t>
      </w:r>
      <w:r>
        <w:rPr>
          <w:rStyle w:val="apple-converted-space"/>
          <w:rFonts w:eastAsiaTheme="majorEastAsia"/>
        </w:rPr>
        <w:t> </w:t>
      </w:r>
      <w:r>
        <w:t>https://www.investopedia.com/terms/q/quickratio.asp</w:t>
      </w:r>
    </w:p>
    <w:p w14:paraId="48E0F0EE" w14:textId="375AB4EF"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Debt to Equity Ratio</w:t>
      </w:r>
      <w:r>
        <w:t>. [online] Available at:</w:t>
      </w:r>
      <w:r>
        <w:rPr>
          <w:rStyle w:val="apple-converted-space"/>
          <w:rFonts w:eastAsiaTheme="majorEastAsia"/>
        </w:rPr>
        <w:t> </w:t>
      </w:r>
      <w:r>
        <w:t>https://www.investopedia.com/terms/d/debttoequityratio.asp</w:t>
      </w:r>
      <w:r>
        <w:rPr>
          <w:rStyle w:val="apple-converted-space"/>
          <w:rFonts w:eastAsiaTheme="majorEastAsia"/>
        </w:rPr>
        <w:t> </w:t>
      </w:r>
    </w:p>
    <w:p w14:paraId="0A5EB12A" w14:textId="2DDBF411"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Interest Coverage Ratio</w:t>
      </w:r>
      <w:r>
        <w:t>. [online] Available at:</w:t>
      </w:r>
      <w:r>
        <w:rPr>
          <w:rStyle w:val="apple-converted-space"/>
          <w:rFonts w:eastAsiaTheme="majorEastAsia"/>
        </w:rPr>
        <w:t> </w:t>
      </w:r>
      <w:r>
        <w:t>https://www.investopedia.com/terms/i/interestcoverageratio.asp</w:t>
      </w:r>
      <w:r>
        <w:rPr>
          <w:rStyle w:val="apple-converted-space"/>
          <w:rFonts w:eastAsiaTheme="majorEastAsia"/>
        </w:rPr>
        <w:t> </w:t>
      </w:r>
    </w:p>
    <w:p w14:paraId="5E89FFD0" w14:textId="6A2EEF57"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Asset Turnover Ratio</w:t>
      </w:r>
      <w:r>
        <w:t>. [online] Available at:</w:t>
      </w:r>
      <w:r>
        <w:rPr>
          <w:rStyle w:val="apple-converted-space"/>
          <w:rFonts w:eastAsiaTheme="majorEastAsia"/>
        </w:rPr>
        <w:t> </w:t>
      </w:r>
      <w:r>
        <w:t>https://www.investopedia.com/terms/a/asset-turnover-ratio.asp</w:t>
      </w:r>
      <w:r>
        <w:rPr>
          <w:rStyle w:val="apple-converted-space"/>
          <w:rFonts w:eastAsiaTheme="majorEastAsia"/>
        </w:rPr>
        <w:t> </w:t>
      </w:r>
    </w:p>
    <w:p w14:paraId="6179B1CF" w14:textId="25A0BB2B" w:rsidR="00780A91"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Inventory Turnover Ratio</w:t>
      </w:r>
      <w:r>
        <w:t>. [online] Available at:</w:t>
      </w:r>
      <w:r>
        <w:rPr>
          <w:rStyle w:val="apple-converted-space"/>
          <w:rFonts w:eastAsiaTheme="majorEastAsia"/>
        </w:rPr>
        <w:t> </w:t>
      </w:r>
      <w:r>
        <w:t>https://www.investopedia.com/terms/i/inventory-turnover-ratio.asp</w:t>
      </w:r>
      <w:r>
        <w:rPr>
          <w:rStyle w:val="apple-converted-space"/>
          <w:rFonts w:eastAsiaTheme="majorEastAsia"/>
        </w:rPr>
        <w:t> </w:t>
      </w:r>
    </w:p>
    <w:p w14:paraId="2C59D9FA" w14:textId="77777777" w:rsidR="00844A7A"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Earnings Per Share (EPS)</w:t>
      </w:r>
      <w:r>
        <w:t>. [online] Available at:</w:t>
      </w:r>
      <w:r>
        <w:rPr>
          <w:rStyle w:val="apple-converted-space"/>
          <w:rFonts w:eastAsiaTheme="majorEastAsia"/>
        </w:rPr>
        <w:t> </w:t>
      </w:r>
      <w:r>
        <w:t>https://www.investopedia.com/terms/e/earningspershare.asp</w:t>
      </w:r>
      <w:r>
        <w:rPr>
          <w:rStyle w:val="apple-converted-space"/>
          <w:rFonts w:eastAsiaTheme="majorEastAsia"/>
        </w:rPr>
        <w:t> </w:t>
      </w:r>
    </w:p>
    <w:p w14:paraId="5BA325FA" w14:textId="5B0D67F4" w:rsidR="00780A91" w:rsidRDefault="00780A91" w:rsidP="00844A7A">
      <w:pPr>
        <w:spacing w:before="100" w:beforeAutospacing="1" w:after="100" w:afterAutospacing="1"/>
      </w:pPr>
      <w:r>
        <w:t>Investopedia. (2023).</w:t>
      </w:r>
      <w:r w:rsidRPr="00780A91">
        <w:rPr>
          <w:rStyle w:val="apple-converted-space"/>
          <w:rFonts w:eastAsiaTheme="majorEastAsia"/>
        </w:rPr>
        <w:t> </w:t>
      </w:r>
      <w:r w:rsidRPr="00780A91">
        <w:rPr>
          <w:rStyle w:val="Emphasis"/>
          <w:rFonts w:eastAsiaTheme="majorEastAsia"/>
        </w:rPr>
        <w:t>Price to Earnings (P/E) Ratio</w:t>
      </w:r>
      <w:proofErr w:type="gramStart"/>
      <w:r w:rsidRPr="00780A91">
        <w:rPr>
          <w:rFonts w:hAnsi="Symbol"/>
        </w:rPr>
        <w:t></w:t>
      </w:r>
      <w:r>
        <w:t xml:space="preserve">  </w:t>
      </w:r>
      <w:r w:rsidRPr="00780A91">
        <w:rPr>
          <w:rStyle w:val="Strong"/>
          <w:rFonts w:eastAsiaTheme="majorEastAsia"/>
        </w:rPr>
        <w:t>Investopedia</w:t>
      </w:r>
      <w:proofErr w:type="gramEnd"/>
      <w:r w:rsidRPr="00780A91">
        <w:rPr>
          <w:rStyle w:val="Strong"/>
          <w:rFonts w:eastAsiaTheme="majorEastAsia"/>
        </w:rPr>
        <w:t xml:space="preserve"> - Dividend Yield</w:t>
      </w:r>
    </w:p>
    <w:p w14:paraId="4E7290AC" w14:textId="4671B222" w:rsidR="000C2370" w:rsidRDefault="00780A91" w:rsidP="00844A7A">
      <w:pPr>
        <w:spacing w:before="100" w:beforeAutospacing="1" w:after="100" w:afterAutospacing="1"/>
      </w:pPr>
      <w:r>
        <w:t>Investopedia. (2023).</w:t>
      </w:r>
      <w:r>
        <w:rPr>
          <w:rStyle w:val="apple-converted-space"/>
          <w:rFonts w:eastAsiaTheme="majorEastAsia"/>
        </w:rPr>
        <w:t> </w:t>
      </w:r>
      <w:r>
        <w:rPr>
          <w:rStyle w:val="Emphasis"/>
          <w:rFonts w:eastAsiaTheme="majorEastAsia"/>
        </w:rPr>
        <w:t>Dividend Yield</w:t>
      </w:r>
      <w:r>
        <w:t>. [online] Available at:</w:t>
      </w:r>
      <w:r>
        <w:rPr>
          <w:rStyle w:val="apple-converted-space"/>
          <w:rFonts w:eastAsiaTheme="majorEastAsia"/>
        </w:rPr>
        <w:t> </w:t>
      </w:r>
      <w:r>
        <w:t>https://www.investopedia.com/terms/d/dividend-yield.asp</w:t>
      </w:r>
      <w:r>
        <w:rPr>
          <w:rStyle w:val="apple-converted-space"/>
          <w:rFonts w:eastAsiaTheme="majorEastAsia"/>
        </w:rPr>
        <w:t> </w:t>
      </w:r>
    </w:p>
    <w:p w14:paraId="552463F2" w14:textId="1C2505C2" w:rsidR="003E39E5" w:rsidRPr="003E39E5" w:rsidRDefault="000C2370" w:rsidP="003E39E5">
      <w:r>
        <w:rPr>
          <w:rFonts w:ascii="-webkit-standard" w:hAnsi="-webkit-standard"/>
          <w:color w:val="000000"/>
          <w:sz w:val="27"/>
          <w:szCs w:val="27"/>
        </w:rPr>
        <w:br/>
      </w:r>
    </w:p>
    <w:p w14:paraId="4133E7DC" w14:textId="701B2B74" w:rsidR="00F41FEB" w:rsidRDefault="00F41FEB"/>
    <w:sectPr w:rsidR="00F41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ymbolM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6A0"/>
    <w:multiLevelType w:val="multilevel"/>
    <w:tmpl w:val="A79C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661B4"/>
    <w:multiLevelType w:val="multilevel"/>
    <w:tmpl w:val="21E84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F484A"/>
    <w:multiLevelType w:val="multilevel"/>
    <w:tmpl w:val="F1D055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82721"/>
    <w:multiLevelType w:val="multilevel"/>
    <w:tmpl w:val="9D72C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D17283"/>
    <w:multiLevelType w:val="multilevel"/>
    <w:tmpl w:val="CE1E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33791C"/>
    <w:multiLevelType w:val="multilevel"/>
    <w:tmpl w:val="D640F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C1F2A"/>
    <w:multiLevelType w:val="multilevel"/>
    <w:tmpl w:val="83A6EC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CF2A99"/>
    <w:multiLevelType w:val="multilevel"/>
    <w:tmpl w:val="E76A5A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72224E"/>
    <w:multiLevelType w:val="multilevel"/>
    <w:tmpl w:val="8A9CF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42123"/>
    <w:multiLevelType w:val="multilevel"/>
    <w:tmpl w:val="D86A0D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DC43A6"/>
    <w:multiLevelType w:val="multilevel"/>
    <w:tmpl w:val="039A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B31C2"/>
    <w:multiLevelType w:val="multilevel"/>
    <w:tmpl w:val="5B94B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7034FC"/>
    <w:multiLevelType w:val="multilevel"/>
    <w:tmpl w:val="C1C89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5313CF"/>
    <w:multiLevelType w:val="multilevel"/>
    <w:tmpl w:val="62C6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427DC1"/>
    <w:multiLevelType w:val="multilevel"/>
    <w:tmpl w:val="6686B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ED5ED1"/>
    <w:multiLevelType w:val="multilevel"/>
    <w:tmpl w:val="9EDC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BD6526"/>
    <w:multiLevelType w:val="multilevel"/>
    <w:tmpl w:val="60C87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551B78"/>
    <w:multiLevelType w:val="multilevel"/>
    <w:tmpl w:val="F97240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03E62"/>
    <w:multiLevelType w:val="multilevel"/>
    <w:tmpl w:val="F9ACBF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3B7B25"/>
    <w:multiLevelType w:val="multilevel"/>
    <w:tmpl w:val="22E4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694831"/>
    <w:multiLevelType w:val="multilevel"/>
    <w:tmpl w:val="AA5E5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6D4097"/>
    <w:multiLevelType w:val="multilevel"/>
    <w:tmpl w:val="217A8F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350CBD"/>
    <w:multiLevelType w:val="multilevel"/>
    <w:tmpl w:val="C0A659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CA30AA"/>
    <w:multiLevelType w:val="multilevel"/>
    <w:tmpl w:val="46E4F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F93065"/>
    <w:multiLevelType w:val="hybridMultilevel"/>
    <w:tmpl w:val="9522DD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FF101E"/>
    <w:multiLevelType w:val="multilevel"/>
    <w:tmpl w:val="EF88C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137325"/>
    <w:multiLevelType w:val="multilevel"/>
    <w:tmpl w:val="49362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280442"/>
    <w:multiLevelType w:val="multilevel"/>
    <w:tmpl w:val="09486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A7287A"/>
    <w:multiLevelType w:val="multilevel"/>
    <w:tmpl w:val="380471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2F1B1C"/>
    <w:multiLevelType w:val="multilevel"/>
    <w:tmpl w:val="851CE4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3D442C"/>
    <w:multiLevelType w:val="multilevel"/>
    <w:tmpl w:val="25023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6B265C"/>
    <w:multiLevelType w:val="multilevel"/>
    <w:tmpl w:val="9BDA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7C7DA0"/>
    <w:multiLevelType w:val="multilevel"/>
    <w:tmpl w:val="8AC4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781325"/>
    <w:multiLevelType w:val="multilevel"/>
    <w:tmpl w:val="44BE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147037"/>
    <w:multiLevelType w:val="multilevel"/>
    <w:tmpl w:val="7E02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6D3B59"/>
    <w:multiLevelType w:val="multilevel"/>
    <w:tmpl w:val="0664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2A1B55"/>
    <w:multiLevelType w:val="multilevel"/>
    <w:tmpl w:val="9E140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FA50C22"/>
    <w:multiLevelType w:val="multilevel"/>
    <w:tmpl w:val="3646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A27340"/>
    <w:multiLevelType w:val="multilevel"/>
    <w:tmpl w:val="4A7A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E66864"/>
    <w:multiLevelType w:val="multilevel"/>
    <w:tmpl w:val="16A29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486EAC"/>
    <w:multiLevelType w:val="multilevel"/>
    <w:tmpl w:val="34449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940943"/>
    <w:multiLevelType w:val="multilevel"/>
    <w:tmpl w:val="F0D4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911509"/>
    <w:multiLevelType w:val="multilevel"/>
    <w:tmpl w:val="6F2699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EA039C1"/>
    <w:multiLevelType w:val="multilevel"/>
    <w:tmpl w:val="B2944A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952DB7"/>
    <w:multiLevelType w:val="multilevel"/>
    <w:tmpl w:val="F0C4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8E7393"/>
    <w:multiLevelType w:val="multilevel"/>
    <w:tmpl w:val="21A41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D43961"/>
    <w:multiLevelType w:val="multilevel"/>
    <w:tmpl w:val="D874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59C32A1"/>
    <w:multiLevelType w:val="multilevel"/>
    <w:tmpl w:val="1098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972629D"/>
    <w:multiLevelType w:val="multilevel"/>
    <w:tmpl w:val="E8EAF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9670148">
    <w:abstractNumId w:val="30"/>
  </w:num>
  <w:num w:numId="2" w16cid:durableId="1740782172">
    <w:abstractNumId w:val="46"/>
  </w:num>
  <w:num w:numId="3" w16cid:durableId="942148990">
    <w:abstractNumId w:val="45"/>
  </w:num>
  <w:num w:numId="4" w16cid:durableId="1476870010">
    <w:abstractNumId w:val="33"/>
  </w:num>
  <w:num w:numId="5" w16cid:durableId="1095706295">
    <w:abstractNumId w:val="35"/>
  </w:num>
  <w:num w:numId="6" w16cid:durableId="1019624332">
    <w:abstractNumId w:val="13"/>
  </w:num>
  <w:num w:numId="7" w16cid:durableId="731467888">
    <w:abstractNumId w:val="16"/>
  </w:num>
  <w:num w:numId="8" w16cid:durableId="766852042">
    <w:abstractNumId w:val="1"/>
  </w:num>
  <w:num w:numId="9" w16cid:durableId="697050703">
    <w:abstractNumId w:val="40"/>
  </w:num>
  <w:num w:numId="10" w16cid:durableId="1534030054">
    <w:abstractNumId w:val="41"/>
  </w:num>
  <w:num w:numId="11" w16cid:durableId="1255936976">
    <w:abstractNumId w:val="42"/>
  </w:num>
  <w:num w:numId="12" w16cid:durableId="1963270236">
    <w:abstractNumId w:val="21"/>
  </w:num>
  <w:num w:numId="13" w16cid:durableId="92634617">
    <w:abstractNumId w:val="9"/>
  </w:num>
  <w:num w:numId="14" w16cid:durableId="1846549959">
    <w:abstractNumId w:val="7"/>
  </w:num>
  <w:num w:numId="15" w16cid:durableId="1096513345">
    <w:abstractNumId w:val="6"/>
  </w:num>
  <w:num w:numId="16" w16cid:durableId="357194913">
    <w:abstractNumId w:val="17"/>
  </w:num>
  <w:num w:numId="17" w16cid:durableId="1567691118">
    <w:abstractNumId w:val="29"/>
  </w:num>
  <w:num w:numId="18" w16cid:durableId="1048264282">
    <w:abstractNumId w:val="43"/>
  </w:num>
  <w:num w:numId="19" w16cid:durableId="1453595200">
    <w:abstractNumId w:val="14"/>
  </w:num>
  <w:num w:numId="20" w16cid:durableId="2118713665">
    <w:abstractNumId w:val="22"/>
  </w:num>
  <w:num w:numId="21" w16cid:durableId="1519848743">
    <w:abstractNumId w:val="28"/>
  </w:num>
  <w:num w:numId="22" w16cid:durableId="1032224376">
    <w:abstractNumId w:val="18"/>
  </w:num>
  <w:num w:numId="23" w16cid:durableId="1797866760">
    <w:abstractNumId w:val="2"/>
  </w:num>
  <w:num w:numId="24" w16cid:durableId="2101675565">
    <w:abstractNumId w:val="8"/>
  </w:num>
  <w:num w:numId="25" w16cid:durableId="394206041">
    <w:abstractNumId w:val="12"/>
  </w:num>
  <w:num w:numId="26" w16cid:durableId="1866749455">
    <w:abstractNumId w:val="26"/>
  </w:num>
  <w:num w:numId="27" w16cid:durableId="1516188790">
    <w:abstractNumId w:val="23"/>
  </w:num>
  <w:num w:numId="28" w16cid:durableId="6905688">
    <w:abstractNumId w:val="27"/>
  </w:num>
  <w:num w:numId="29" w16cid:durableId="882867272">
    <w:abstractNumId w:val="47"/>
  </w:num>
  <w:num w:numId="30" w16cid:durableId="121771936">
    <w:abstractNumId w:val="10"/>
  </w:num>
  <w:num w:numId="31" w16cid:durableId="754129259">
    <w:abstractNumId w:val="5"/>
  </w:num>
  <w:num w:numId="32" w16cid:durableId="908347335">
    <w:abstractNumId w:val="20"/>
  </w:num>
  <w:num w:numId="33" w16cid:durableId="366565762">
    <w:abstractNumId w:val="36"/>
  </w:num>
  <w:num w:numId="34" w16cid:durableId="1509827421">
    <w:abstractNumId w:val="24"/>
  </w:num>
  <w:num w:numId="35" w16cid:durableId="1398748547">
    <w:abstractNumId w:val="19"/>
  </w:num>
  <w:num w:numId="36" w16cid:durableId="1406490150">
    <w:abstractNumId w:val="4"/>
  </w:num>
  <w:num w:numId="37" w16cid:durableId="1233463161">
    <w:abstractNumId w:val="11"/>
  </w:num>
  <w:num w:numId="38" w16cid:durableId="1731266865">
    <w:abstractNumId w:val="3"/>
  </w:num>
  <w:num w:numId="39" w16cid:durableId="1596358517">
    <w:abstractNumId w:val="31"/>
  </w:num>
  <w:num w:numId="40" w16cid:durableId="1180047603">
    <w:abstractNumId w:val="48"/>
  </w:num>
  <w:num w:numId="41" w16cid:durableId="1628119467">
    <w:abstractNumId w:val="39"/>
  </w:num>
  <w:num w:numId="42" w16cid:durableId="123816246">
    <w:abstractNumId w:val="32"/>
  </w:num>
  <w:num w:numId="43" w16cid:durableId="2053993044">
    <w:abstractNumId w:val="37"/>
  </w:num>
  <w:num w:numId="44" w16cid:durableId="637417888">
    <w:abstractNumId w:val="25"/>
  </w:num>
  <w:num w:numId="45" w16cid:durableId="262223283">
    <w:abstractNumId w:val="38"/>
  </w:num>
  <w:num w:numId="46" w16cid:durableId="627013564">
    <w:abstractNumId w:val="34"/>
  </w:num>
  <w:num w:numId="47" w16cid:durableId="1890609188">
    <w:abstractNumId w:val="15"/>
  </w:num>
  <w:num w:numId="48" w16cid:durableId="1828865395">
    <w:abstractNumId w:val="44"/>
  </w:num>
  <w:num w:numId="49" w16cid:durableId="1559437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FEB"/>
    <w:rsid w:val="000C2370"/>
    <w:rsid w:val="003C250C"/>
    <w:rsid w:val="003E39E5"/>
    <w:rsid w:val="006E68FB"/>
    <w:rsid w:val="00780A91"/>
    <w:rsid w:val="00844A7A"/>
    <w:rsid w:val="00CC2510"/>
    <w:rsid w:val="00DD4E05"/>
    <w:rsid w:val="00F41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C4790B"/>
  <w15:chartTrackingRefBased/>
  <w15:docId w15:val="{FD50E79B-526C-C647-9977-3E60CB7EE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A9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41F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1F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1F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1F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1F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1F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F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F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F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1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1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1F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1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1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FEB"/>
    <w:rPr>
      <w:rFonts w:eastAsiaTheme="majorEastAsia" w:cstheme="majorBidi"/>
      <w:color w:val="272727" w:themeColor="text1" w:themeTint="D8"/>
    </w:rPr>
  </w:style>
  <w:style w:type="paragraph" w:styleId="Title">
    <w:name w:val="Title"/>
    <w:basedOn w:val="Normal"/>
    <w:next w:val="Normal"/>
    <w:link w:val="TitleChar"/>
    <w:uiPriority w:val="10"/>
    <w:qFormat/>
    <w:rsid w:val="00F41F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F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FEB"/>
    <w:pPr>
      <w:spacing w:before="160"/>
      <w:jc w:val="center"/>
    </w:pPr>
    <w:rPr>
      <w:i/>
      <w:iCs/>
      <w:color w:val="404040" w:themeColor="text1" w:themeTint="BF"/>
    </w:rPr>
  </w:style>
  <w:style w:type="character" w:customStyle="1" w:styleId="QuoteChar">
    <w:name w:val="Quote Char"/>
    <w:basedOn w:val="DefaultParagraphFont"/>
    <w:link w:val="Quote"/>
    <w:uiPriority w:val="29"/>
    <w:rsid w:val="00F41FEB"/>
    <w:rPr>
      <w:i/>
      <w:iCs/>
      <w:color w:val="404040" w:themeColor="text1" w:themeTint="BF"/>
    </w:rPr>
  </w:style>
  <w:style w:type="paragraph" w:styleId="ListParagraph">
    <w:name w:val="List Paragraph"/>
    <w:basedOn w:val="Normal"/>
    <w:uiPriority w:val="34"/>
    <w:qFormat/>
    <w:rsid w:val="00F41FEB"/>
    <w:pPr>
      <w:ind w:left="720"/>
      <w:contextualSpacing/>
    </w:pPr>
  </w:style>
  <w:style w:type="character" w:styleId="IntenseEmphasis">
    <w:name w:val="Intense Emphasis"/>
    <w:basedOn w:val="DefaultParagraphFont"/>
    <w:uiPriority w:val="21"/>
    <w:qFormat/>
    <w:rsid w:val="00F41FEB"/>
    <w:rPr>
      <w:i/>
      <w:iCs/>
      <w:color w:val="0F4761" w:themeColor="accent1" w:themeShade="BF"/>
    </w:rPr>
  </w:style>
  <w:style w:type="paragraph" w:styleId="IntenseQuote">
    <w:name w:val="Intense Quote"/>
    <w:basedOn w:val="Normal"/>
    <w:next w:val="Normal"/>
    <w:link w:val="IntenseQuoteChar"/>
    <w:uiPriority w:val="30"/>
    <w:qFormat/>
    <w:rsid w:val="00F41F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1FEB"/>
    <w:rPr>
      <w:i/>
      <w:iCs/>
      <w:color w:val="0F4761" w:themeColor="accent1" w:themeShade="BF"/>
    </w:rPr>
  </w:style>
  <w:style w:type="character" w:styleId="IntenseReference">
    <w:name w:val="Intense Reference"/>
    <w:basedOn w:val="DefaultParagraphFont"/>
    <w:uiPriority w:val="32"/>
    <w:qFormat/>
    <w:rsid w:val="00F41FEB"/>
    <w:rPr>
      <w:b/>
      <w:bCs/>
      <w:smallCaps/>
      <w:color w:val="0F4761" w:themeColor="accent1" w:themeShade="BF"/>
      <w:spacing w:val="5"/>
    </w:rPr>
  </w:style>
  <w:style w:type="paragraph" w:styleId="NormalWeb">
    <w:name w:val="Normal (Web)"/>
    <w:basedOn w:val="Normal"/>
    <w:uiPriority w:val="99"/>
    <w:unhideWhenUsed/>
    <w:rsid w:val="00F41FEB"/>
    <w:pPr>
      <w:spacing w:before="100" w:beforeAutospacing="1" w:after="100" w:afterAutospacing="1"/>
    </w:pPr>
  </w:style>
  <w:style w:type="character" w:styleId="Strong">
    <w:name w:val="Strong"/>
    <w:basedOn w:val="DefaultParagraphFont"/>
    <w:uiPriority w:val="22"/>
    <w:qFormat/>
    <w:rsid w:val="00DD4E05"/>
    <w:rPr>
      <w:b/>
      <w:bCs/>
    </w:rPr>
  </w:style>
  <w:style w:type="character" w:customStyle="1" w:styleId="apple-converted-space">
    <w:name w:val="apple-converted-space"/>
    <w:basedOn w:val="DefaultParagraphFont"/>
    <w:rsid w:val="00DD4E05"/>
  </w:style>
  <w:style w:type="character" w:styleId="Emphasis">
    <w:name w:val="Emphasis"/>
    <w:basedOn w:val="DefaultParagraphFont"/>
    <w:uiPriority w:val="20"/>
    <w:qFormat/>
    <w:rsid w:val="000C2370"/>
    <w:rPr>
      <w:i/>
      <w:iCs/>
    </w:rPr>
  </w:style>
  <w:style w:type="character" w:styleId="Hyperlink">
    <w:name w:val="Hyperlink"/>
    <w:basedOn w:val="DefaultParagraphFont"/>
    <w:uiPriority w:val="99"/>
    <w:unhideWhenUsed/>
    <w:rsid w:val="000C2370"/>
    <w:rPr>
      <w:color w:val="0000FF"/>
      <w:u w:val="single"/>
    </w:rPr>
  </w:style>
  <w:style w:type="character" w:styleId="UnresolvedMention">
    <w:name w:val="Unresolved Mention"/>
    <w:basedOn w:val="DefaultParagraphFont"/>
    <w:uiPriority w:val="99"/>
    <w:semiHidden/>
    <w:unhideWhenUsed/>
    <w:rsid w:val="00844A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5669">
      <w:bodyDiv w:val="1"/>
      <w:marLeft w:val="0"/>
      <w:marRight w:val="0"/>
      <w:marTop w:val="0"/>
      <w:marBottom w:val="0"/>
      <w:divBdr>
        <w:top w:val="none" w:sz="0" w:space="0" w:color="auto"/>
        <w:left w:val="none" w:sz="0" w:space="0" w:color="auto"/>
        <w:bottom w:val="none" w:sz="0" w:space="0" w:color="auto"/>
        <w:right w:val="none" w:sz="0" w:space="0" w:color="auto"/>
      </w:divBdr>
    </w:div>
    <w:div w:id="282274398">
      <w:bodyDiv w:val="1"/>
      <w:marLeft w:val="0"/>
      <w:marRight w:val="0"/>
      <w:marTop w:val="0"/>
      <w:marBottom w:val="0"/>
      <w:divBdr>
        <w:top w:val="none" w:sz="0" w:space="0" w:color="auto"/>
        <w:left w:val="none" w:sz="0" w:space="0" w:color="auto"/>
        <w:bottom w:val="none" w:sz="0" w:space="0" w:color="auto"/>
        <w:right w:val="none" w:sz="0" w:space="0" w:color="auto"/>
      </w:divBdr>
    </w:div>
    <w:div w:id="290089057">
      <w:bodyDiv w:val="1"/>
      <w:marLeft w:val="0"/>
      <w:marRight w:val="0"/>
      <w:marTop w:val="0"/>
      <w:marBottom w:val="0"/>
      <w:divBdr>
        <w:top w:val="none" w:sz="0" w:space="0" w:color="auto"/>
        <w:left w:val="none" w:sz="0" w:space="0" w:color="auto"/>
        <w:bottom w:val="none" w:sz="0" w:space="0" w:color="auto"/>
        <w:right w:val="none" w:sz="0" w:space="0" w:color="auto"/>
      </w:divBdr>
    </w:div>
    <w:div w:id="310908585">
      <w:bodyDiv w:val="1"/>
      <w:marLeft w:val="0"/>
      <w:marRight w:val="0"/>
      <w:marTop w:val="0"/>
      <w:marBottom w:val="0"/>
      <w:divBdr>
        <w:top w:val="none" w:sz="0" w:space="0" w:color="auto"/>
        <w:left w:val="none" w:sz="0" w:space="0" w:color="auto"/>
        <w:bottom w:val="none" w:sz="0" w:space="0" w:color="auto"/>
        <w:right w:val="none" w:sz="0" w:space="0" w:color="auto"/>
      </w:divBdr>
    </w:div>
    <w:div w:id="325062659">
      <w:bodyDiv w:val="1"/>
      <w:marLeft w:val="0"/>
      <w:marRight w:val="0"/>
      <w:marTop w:val="0"/>
      <w:marBottom w:val="0"/>
      <w:divBdr>
        <w:top w:val="none" w:sz="0" w:space="0" w:color="auto"/>
        <w:left w:val="none" w:sz="0" w:space="0" w:color="auto"/>
        <w:bottom w:val="none" w:sz="0" w:space="0" w:color="auto"/>
        <w:right w:val="none" w:sz="0" w:space="0" w:color="auto"/>
      </w:divBdr>
    </w:div>
    <w:div w:id="334889682">
      <w:bodyDiv w:val="1"/>
      <w:marLeft w:val="0"/>
      <w:marRight w:val="0"/>
      <w:marTop w:val="0"/>
      <w:marBottom w:val="0"/>
      <w:divBdr>
        <w:top w:val="none" w:sz="0" w:space="0" w:color="auto"/>
        <w:left w:val="none" w:sz="0" w:space="0" w:color="auto"/>
        <w:bottom w:val="none" w:sz="0" w:space="0" w:color="auto"/>
        <w:right w:val="none" w:sz="0" w:space="0" w:color="auto"/>
      </w:divBdr>
    </w:div>
    <w:div w:id="394545071">
      <w:bodyDiv w:val="1"/>
      <w:marLeft w:val="0"/>
      <w:marRight w:val="0"/>
      <w:marTop w:val="0"/>
      <w:marBottom w:val="0"/>
      <w:divBdr>
        <w:top w:val="none" w:sz="0" w:space="0" w:color="auto"/>
        <w:left w:val="none" w:sz="0" w:space="0" w:color="auto"/>
        <w:bottom w:val="none" w:sz="0" w:space="0" w:color="auto"/>
        <w:right w:val="none" w:sz="0" w:space="0" w:color="auto"/>
      </w:divBdr>
    </w:div>
    <w:div w:id="444931923">
      <w:bodyDiv w:val="1"/>
      <w:marLeft w:val="0"/>
      <w:marRight w:val="0"/>
      <w:marTop w:val="0"/>
      <w:marBottom w:val="0"/>
      <w:divBdr>
        <w:top w:val="none" w:sz="0" w:space="0" w:color="auto"/>
        <w:left w:val="none" w:sz="0" w:space="0" w:color="auto"/>
        <w:bottom w:val="none" w:sz="0" w:space="0" w:color="auto"/>
        <w:right w:val="none" w:sz="0" w:space="0" w:color="auto"/>
      </w:divBdr>
    </w:div>
    <w:div w:id="592980409">
      <w:bodyDiv w:val="1"/>
      <w:marLeft w:val="0"/>
      <w:marRight w:val="0"/>
      <w:marTop w:val="0"/>
      <w:marBottom w:val="0"/>
      <w:divBdr>
        <w:top w:val="none" w:sz="0" w:space="0" w:color="auto"/>
        <w:left w:val="none" w:sz="0" w:space="0" w:color="auto"/>
        <w:bottom w:val="none" w:sz="0" w:space="0" w:color="auto"/>
        <w:right w:val="none" w:sz="0" w:space="0" w:color="auto"/>
      </w:divBdr>
    </w:div>
    <w:div w:id="625893544">
      <w:bodyDiv w:val="1"/>
      <w:marLeft w:val="0"/>
      <w:marRight w:val="0"/>
      <w:marTop w:val="0"/>
      <w:marBottom w:val="0"/>
      <w:divBdr>
        <w:top w:val="none" w:sz="0" w:space="0" w:color="auto"/>
        <w:left w:val="none" w:sz="0" w:space="0" w:color="auto"/>
        <w:bottom w:val="none" w:sz="0" w:space="0" w:color="auto"/>
        <w:right w:val="none" w:sz="0" w:space="0" w:color="auto"/>
      </w:divBdr>
    </w:div>
    <w:div w:id="732696274">
      <w:bodyDiv w:val="1"/>
      <w:marLeft w:val="0"/>
      <w:marRight w:val="0"/>
      <w:marTop w:val="0"/>
      <w:marBottom w:val="0"/>
      <w:divBdr>
        <w:top w:val="none" w:sz="0" w:space="0" w:color="auto"/>
        <w:left w:val="none" w:sz="0" w:space="0" w:color="auto"/>
        <w:bottom w:val="none" w:sz="0" w:space="0" w:color="auto"/>
        <w:right w:val="none" w:sz="0" w:space="0" w:color="auto"/>
      </w:divBdr>
    </w:div>
    <w:div w:id="801582474">
      <w:bodyDiv w:val="1"/>
      <w:marLeft w:val="0"/>
      <w:marRight w:val="0"/>
      <w:marTop w:val="0"/>
      <w:marBottom w:val="0"/>
      <w:divBdr>
        <w:top w:val="none" w:sz="0" w:space="0" w:color="auto"/>
        <w:left w:val="none" w:sz="0" w:space="0" w:color="auto"/>
        <w:bottom w:val="none" w:sz="0" w:space="0" w:color="auto"/>
        <w:right w:val="none" w:sz="0" w:space="0" w:color="auto"/>
      </w:divBdr>
    </w:div>
    <w:div w:id="810056462">
      <w:bodyDiv w:val="1"/>
      <w:marLeft w:val="0"/>
      <w:marRight w:val="0"/>
      <w:marTop w:val="0"/>
      <w:marBottom w:val="0"/>
      <w:divBdr>
        <w:top w:val="none" w:sz="0" w:space="0" w:color="auto"/>
        <w:left w:val="none" w:sz="0" w:space="0" w:color="auto"/>
        <w:bottom w:val="none" w:sz="0" w:space="0" w:color="auto"/>
        <w:right w:val="none" w:sz="0" w:space="0" w:color="auto"/>
      </w:divBdr>
    </w:div>
    <w:div w:id="817722570">
      <w:bodyDiv w:val="1"/>
      <w:marLeft w:val="0"/>
      <w:marRight w:val="0"/>
      <w:marTop w:val="0"/>
      <w:marBottom w:val="0"/>
      <w:divBdr>
        <w:top w:val="none" w:sz="0" w:space="0" w:color="auto"/>
        <w:left w:val="none" w:sz="0" w:space="0" w:color="auto"/>
        <w:bottom w:val="none" w:sz="0" w:space="0" w:color="auto"/>
        <w:right w:val="none" w:sz="0" w:space="0" w:color="auto"/>
      </w:divBdr>
    </w:div>
    <w:div w:id="940800960">
      <w:bodyDiv w:val="1"/>
      <w:marLeft w:val="0"/>
      <w:marRight w:val="0"/>
      <w:marTop w:val="0"/>
      <w:marBottom w:val="0"/>
      <w:divBdr>
        <w:top w:val="none" w:sz="0" w:space="0" w:color="auto"/>
        <w:left w:val="none" w:sz="0" w:space="0" w:color="auto"/>
        <w:bottom w:val="none" w:sz="0" w:space="0" w:color="auto"/>
        <w:right w:val="none" w:sz="0" w:space="0" w:color="auto"/>
      </w:divBdr>
    </w:div>
    <w:div w:id="992024619">
      <w:bodyDiv w:val="1"/>
      <w:marLeft w:val="0"/>
      <w:marRight w:val="0"/>
      <w:marTop w:val="0"/>
      <w:marBottom w:val="0"/>
      <w:divBdr>
        <w:top w:val="none" w:sz="0" w:space="0" w:color="auto"/>
        <w:left w:val="none" w:sz="0" w:space="0" w:color="auto"/>
        <w:bottom w:val="none" w:sz="0" w:space="0" w:color="auto"/>
        <w:right w:val="none" w:sz="0" w:space="0" w:color="auto"/>
      </w:divBdr>
    </w:div>
    <w:div w:id="1019504359">
      <w:bodyDiv w:val="1"/>
      <w:marLeft w:val="0"/>
      <w:marRight w:val="0"/>
      <w:marTop w:val="0"/>
      <w:marBottom w:val="0"/>
      <w:divBdr>
        <w:top w:val="none" w:sz="0" w:space="0" w:color="auto"/>
        <w:left w:val="none" w:sz="0" w:space="0" w:color="auto"/>
        <w:bottom w:val="none" w:sz="0" w:space="0" w:color="auto"/>
        <w:right w:val="none" w:sz="0" w:space="0" w:color="auto"/>
      </w:divBdr>
    </w:div>
    <w:div w:id="1126046529">
      <w:bodyDiv w:val="1"/>
      <w:marLeft w:val="0"/>
      <w:marRight w:val="0"/>
      <w:marTop w:val="0"/>
      <w:marBottom w:val="0"/>
      <w:divBdr>
        <w:top w:val="none" w:sz="0" w:space="0" w:color="auto"/>
        <w:left w:val="none" w:sz="0" w:space="0" w:color="auto"/>
        <w:bottom w:val="none" w:sz="0" w:space="0" w:color="auto"/>
        <w:right w:val="none" w:sz="0" w:space="0" w:color="auto"/>
      </w:divBdr>
    </w:div>
    <w:div w:id="1178619104">
      <w:bodyDiv w:val="1"/>
      <w:marLeft w:val="0"/>
      <w:marRight w:val="0"/>
      <w:marTop w:val="0"/>
      <w:marBottom w:val="0"/>
      <w:divBdr>
        <w:top w:val="none" w:sz="0" w:space="0" w:color="auto"/>
        <w:left w:val="none" w:sz="0" w:space="0" w:color="auto"/>
        <w:bottom w:val="none" w:sz="0" w:space="0" w:color="auto"/>
        <w:right w:val="none" w:sz="0" w:space="0" w:color="auto"/>
      </w:divBdr>
    </w:div>
    <w:div w:id="1230531536">
      <w:bodyDiv w:val="1"/>
      <w:marLeft w:val="0"/>
      <w:marRight w:val="0"/>
      <w:marTop w:val="0"/>
      <w:marBottom w:val="0"/>
      <w:divBdr>
        <w:top w:val="none" w:sz="0" w:space="0" w:color="auto"/>
        <w:left w:val="none" w:sz="0" w:space="0" w:color="auto"/>
        <w:bottom w:val="none" w:sz="0" w:space="0" w:color="auto"/>
        <w:right w:val="none" w:sz="0" w:space="0" w:color="auto"/>
      </w:divBdr>
    </w:div>
    <w:div w:id="1230920356">
      <w:bodyDiv w:val="1"/>
      <w:marLeft w:val="0"/>
      <w:marRight w:val="0"/>
      <w:marTop w:val="0"/>
      <w:marBottom w:val="0"/>
      <w:divBdr>
        <w:top w:val="none" w:sz="0" w:space="0" w:color="auto"/>
        <w:left w:val="none" w:sz="0" w:space="0" w:color="auto"/>
        <w:bottom w:val="none" w:sz="0" w:space="0" w:color="auto"/>
        <w:right w:val="none" w:sz="0" w:space="0" w:color="auto"/>
      </w:divBdr>
    </w:div>
    <w:div w:id="1254556728">
      <w:bodyDiv w:val="1"/>
      <w:marLeft w:val="0"/>
      <w:marRight w:val="0"/>
      <w:marTop w:val="0"/>
      <w:marBottom w:val="0"/>
      <w:divBdr>
        <w:top w:val="none" w:sz="0" w:space="0" w:color="auto"/>
        <w:left w:val="none" w:sz="0" w:space="0" w:color="auto"/>
        <w:bottom w:val="none" w:sz="0" w:space="0" w:color="auto"/>
        <w:right w:val="none" w:sz="0" w:space="0" w:color="auto"/>
      </w:divBdr>
    </w:div>
    <w:div w:id="1331712789">
      <w:bodyDiv w:val="1"/>
      <w:marLeft w:val="0"/>
      <w:marRight w:val="0"/>
      <w:marTop w:val="0"/>
      <w:marBottom w:val="0"/>
      <w:divBdr>
        <w:top w:val="none" w:sz="0" w:space="0" w:color="auto"/>
        <w:left w:val="none" w:sz="0" w:space="0" w:color="auto"/>
        <w:bottom w:val="none" w:sz="0" w:space="0" w:color="auto"/>
        <w:right w:val="none" w:sz="0" w:space="0" w:color="auto"/>
      </w:divBdr>
    </w:div>
    <w:div w:id="1332485737">
      <w:bodyDiv w:val="1"/>
      <w:marLeft w:val="0"/>
      <w:marRight w:val="0"/>
      <w:marTop w:val="0"/>
      <w:marBottom w:val="0"/>
      <w:divBdr>
        <w:top w:val="none" w:sz="0" w:space="0" w:color="auto"/>
        <w:left w:val="none" w:sz="0" w:space="0" w:color="auto"/>
        <w:bottom w:val="none" w:sz="0" w:space="0" w:color="auto"/>
        <w:right w:val="none" w:sz="0" w:space="0" w:color="auto"/>
      </w:divBdr>
    </w:div>
    <w:div w:id="1355306650">
      <w:bodyDiv w:val="1"/>
      <w:marLeft w:val="0"/>
      <w:marRight w:val="0"/>
      <w:marTop w:val="0"/>
      <w:marBottom w:val="0"/>
      <w:divBdr>
        <w:top w:val="none" w:sz="0" w:space="0" w:color="auto"/>
        <w:left w:val="none" w:sz="0" w:space="0" w:color="auto"/>
        <w:bottom w:val="none" w:sz="0" w:space="0" w:color="auto"/>
        <w:right w:val="none" w:sz="0" w:space="0" w:color="auto"/>
      </w:divBdr>
    </w:div>
    <w:div w:id="1404109021">
      <w:bodyDiv w:val="1"/>
      <w:marLeft w:val="0"/>
      <w:marRight w:val="0"/>
      <w:marTop w:val="0"/>
      <w:marBottom w:val="0"/>
      <w:divBdr>
        <w:top w:val="none" w:sz="0" w:space="0" w:color="auto"/>
        <w:left w:val="none" w:sz="0" w:space="0" w:color="auto"/>
        <w:bottom w:val="none" w:sz="0" w:space="0" w:color="auto"/>
        <w:right w:val="none" w:sz="0" w:space="0" w:color="auto"/>
      </w:divBdr>
      <w:divsChild>
        <w:div w:id="256137548">
          <w:marLeft w:val="0"/>
          <w:marRight w:val="0"/>
          <w:marTop w:val="0"/>
          <w:marBottom w:val="0"/>
          <w:divBdr>
            <w:top w:val="none" w:sz="0" w:space="0" w:color="auto"/>
            <w:left w:val="none" w:sz="0" w:space="0" w:color="auto"/>
            <w:bottom w:val="none" w:sz="0" w:space="0" w:color="auto"/>
            <w:right w:val="none" w:sz="0" w:space="0" w:color="auto"/>
          </w:divBdr>
          <w:divsChild>
            <w:div w:id="39674921">
              <w:marLeft w:val="0"/>
              <w:marRight w:val="0"/>
              <w:marTop w:val="0"/>
              <w:marBottom w:val="0"/>
              <w:divBdr>
                <w:top w:val="none" w:sz="0" w:space="0" w:color="auto"/>
                <w:left w:val="none" w:sz="0" w:space="0" w:color="auto"/>
                <w:bottom w:val="none" w:sz="0" w:space="0" w:color="auto"/>
                <w:right w:val="none" w:sz="0" w:space="0" w:color="auto"/>
              </w:divBdr>
              <w:divsChild>
                <w:div w:id="64678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654501">
      <w:bodyDiv w:val="1"/>
      <w:marLeft w:val="0"/>
      <w:marRight w:val="0"/>
      <w:marTop w:val="0"/>
      <w:marBottom w:val="0"/>
      <w:divBdr>
        <w:top w:val="none" w:sz="0" w:space="0" w:color="auto"/>
        <w:left w:val="none" w:sz="0" w:space="0" w:color="auto"/>
        <w:bottom w:val="none" w:sz="0" w:space="0" w:color="auto"/>
        <w:right w:val="none" w:sz="0" w:space="0" w:color="auto"/>
      </w:divBdr>
    </w:div>
    <w:div w:id="1448164043">
      <w:bodyDiv w:val="1"/>
      <w:marLeft w:val="0"/>
      <w:marRight w:val="0"/>
      <w:marTop w:val="0"/>
      <w:marBottom w:val="0"/>
      <w:divBdr>
        <w:top w:val="none" w:sz="0" w:space="0" w:color="auto"/>
        <w:left w:val="none" w:sz="0" w:space="0" w:color="auto"/>
        <w:bottom w:val="none" w:sz="0" w:space="0" w:color="auto"/>
        <w:right w:val="none" w:sz="0" w:space="0" w:color="auto"/>
      </w:divBdr>
    </w:div>
    <w:div w:id="1486358153">
      <w:bodyDiv w:val="1"/>
      <w:marLeft w:val="0"/>
      <w:marRight w:val="0"/>
      <w:marTop w:val="0"/>
      <w:marBottom w:val="0"/>
      <w:divBdr>
        <w:top w:val="none" w:sz="0" w:space="0" w:color="auto"/>
        <w:left w:val="none" w:sz="0" w:space="0" w:color="auto"/>
        <w:bottom w:val="none" w:sz="0" w:space="0" w:color="auto"/>
        <w:right w:val="none" w:sz="0" w:space="0" w:color="auto"/>
      </w:divBdr>
    </w:div>
    <w:div w:id="1718705250">
      <w:bodyDiv w:val="1"/>
      <w:marLeft w:val="0"/>
      <w:marRight w:val="0"/>
      <w:marTop w:val="0"/>
      <w:marBottom w:val="0"/>
      <w:divBdr>
        <w:top w:val="none" w:sz="0" w:space="0" w:color="auto"/>
        <w:left w:val="none" w:sz="0" w:space="0" w:color="auto"/>
        <w:bottom w:val="none" w:sz="0" w:space="0" w:color="auto"/>
        <w:right w:val="none" w:sz="0" w:space="0" w:color="auto"/>
      </w:divBdr>
    </w:div>
    <w:div w:id="1812744456">
      <w:bodyDiv w:val="1"/>
      <w:marLeft w:val="0"/>
      <w:marRight w:val="0"/>
      <w:marTop w:val="0"/>
      <w:marBottom w:val="0"/>
      <w:divBdr>
        <w:top w:val="none" w:sz="0" w:space="0" w:color="auto"/>
        <w:left w:val="none" w:sz="0" w:space="0" w:color="auto"/>
        <w:bottom w:val="none" w:sz="0" w:space="0" w:color="auto"/>
        <w:right w:val="none" w:sz="0" w:space="0" w:color="auto"/>
      </w:divBdr>
    </w:div>
    <w:div w:id="1910463280">
      <w:bodyDiv w:val="1"/>
      <w:marLeft w:val="0"/>
      <w:marRight w:val="0"/>
      <w:marTop w:val="0"/>
      <w:marBottom w:val="0"/>
      <w:divBdr>
        <w:top w:val="none" w:sz="0" w:space="0" w:color="auto"/>
        <w:left w:val="none" w:sz="0" w:space="0" w:color="auto"/>
        <w:bottom w:val="none" w:sz="0" w:space="0" w:color="auto"/>
        <w:right w:val="none" w:sz="0" w:space="0" w:color="auto"/>
      </w:divBdr>
    </w:div>
    <w:div w:id="1992974905">
      <w:bodyDiv w:val="1"/>
      <w:marLeft w:val="0"/>
      <w:marRight w:val="0"/>
      <w:marTop w:val="0"/>
      <w:marBottom w:val="0"/>
      <w:divBdr>
        <w:top w:val="none" w:sz="0" w:space="0" w:color="auto"/>
        <w:left w:val="none" w:sz="0" w:space="0" w:color="auto"/>
        <w:bottom w:val="none" w:sz="0" w:space="0" w:color="auto"/>
        <w:right w:val="none" w:sz="0" w:space="0" w:color="auto"/>
      </w:divBdr>
    </w:div>
    <w:div w:id="2075657684">
      <w:bodyDiv w:val="1"/>
      <w:marLeft w:val="0"/>
      <w:marRight w:val="0"/>
      <w:marTop w:val="0"/>
      <w:marBottom w:val="0"/>
      <w:divBdr>
        <w:top w:val="none" w:sz="0" w:space="0" w:color="auto"/>
        <w:left w:val="none" w:sz="0" w:space="0" w:color="auto"/>
        <w:bottom w:val="none" w:sz="0" w:space="0" w:color="auto"/>
        <w:right w:val="none" w:sz="0" w:space="0" w:color="auto"/>
      </w:divBdr>
    </w:div>
    <w:div w:id="213235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diageo-financial-performance-review"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Pages>
  <Words>6442</Words>
  <Characters>36723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SHAH</dc:creator>
  <cp:keywords/>
  <dc:description/>
  <cp:lastModifiedBy>DHRUV SHAH</cp:lastModifiedBy>
  <cp:revision>2</cp:revision>
  <dcterms:created xsi:type="dcterms:W3CDTF">2024-08-20T20:39:00Z</dcterms:created>
  <dcterms:modified xsi:type="dcterms:W3CDTF">2024-08-21T09:37:00Z</dcterms:modified>
</cp:coreProperties>
</file>