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9"/>
        <w:jc w:val="both"/>
        <w:rPr>
          <w:rFonts w:asciiTheme="majorHAnsi" w:hAnsiTheme="majorHAnsi"/>
          <w:b/>
          <w:sz w:val="36"/>
          <w:szCs w:val="36"/>
          <w:lang w:val="en-US"/>
        </w:rPr>
      </w:pPr>
      <w:r>
        <w:rPr>
          <w:rFonts w:asciiTheme="majorHAnsi" w:hAnsiTheme="majorHAnsi"/>
          <w:b/>
          <w:sz w:val="36"/>
          <w:szCs w:val="36"/>
          <w:u w:val="single"/>
          <w:lang w:val="en-US"/>
        </w:rPr>
        <w:t>Assignment title:</w:t>
      </w:r>
      <w:r>
        <w:rPr>
          <w:rFonts w:asciiTheme="majorHAnsi" w:hAnsiTheme="majorHAnsi"/>
          <w:b/>
          <w:sz w:val="36"/>
          <w:szCs w:val="36"/>
          <w:lang w:val="en-US"/>
        </w:rPr>
        <w:t xml:space="preserve"> Community Engagement </w:t>
      </w:r>
      <w:r>
        <w:rPr>
          <w:rFonts w:hint="default" w:asciiTheme="majorHAnsi" w:hAnsiTheme="majorHAnsi"/>
          <w:b/>
          <w:sz w:val="36"/>
          <w:szCs w:val="36"/>
          <w:lang w:val="en-US"/>
        </w:rPr>
        <w:t xml:space="preserve">Assessment 1 </w:t>
      </w:r>
    </w:p>
    <w:p>
      <w:pPr>
        <w:pStyle w:val="9"/>
        <w:jc w:val="both"/>
        <w:rPr>
          <w:rFonts w:asciiTheme="majorHAnsi" w:hAnsiTheme="majorHAnsi"/>
          <w:b/>
          <w:sz w:val="36"/>
          <w:szCs w:val="36"/>
          <w:lang w:val="en-US"/>
        </w:rPr>
      </w:pPr>
      <w:r>
        <w:rPr>
          <w:rFonts w:asciiTheme="majorHAnsi" w:hAnsiTheme="majorHAnsi"/>
          <w:b/>
          <w:sz w:val="36"/>
          <w:szCs w:val="36"/>
          <w:lang w:val="en-US"/>
        </w:rPr>
        <w:t xml:space="preserve">Programme: </w:t>
      </w:r>
      <w:r>
        <w:rPr>
          <w:rFonts w:asciiTheme="majorHAnsi" w:hAnsiTheme="majorHAnsi"/>
          <w:b/>
          <w:sz w:val="36"/>
          <w:szCs w:val="36"/>
        </w:rPr>
        <w:tab/>
      </w:r>
      <w:r>
        <w:rPr>
          <w:rFonts w:asciiTheme="majorHAnsi" w:hAnsiTheme="majorHAnsi"/>
          <w:b/>
          <w:sz w:val="36"/>
          <w:szCs w:val="36"/>
        </w:rPr>
        <w:tab/>
      </w:r>
      <w:r>
        <w:rPr>
          <w:rFonts w:asciiTheme="majorHAnsi" w:hAnsiTheme="majorHAnsi"/>
          <w:b/>
          <w:sz w:val="36"/>
          <w:szCs w:val="36"/>
          <w:lang w:val="en-US"/>
        </w:rPr>
        <w:t>BA Business Management</w:t>
      </w:r>
    </w:p>
    <w:p>
      <w:pPr>
        <w:pStyle w:val="9"/>
        <w:jc w:val="both"/>
        <w:rPr>
          <w:rFonts w:asciiTheme="majorHAnsi" w:hAnsiTheme="majorHAnsi"/>
          <w:b/>
          <w:sz w:val="36"/>
          <w:szCs w:val="36"/>
          <w:lang w:val="en-US"/>
        </w:rPr>
      </w:pPr>
      <w:r>
        <w:rPr>
          <w:rFonts w:asciiTheme="majorHAnsi" w:hAnsiTheme="majorHAnsi"/>
          <w:b/>
          <w:sz w:val="36"/>
          <w:szCs w:val="36"/>
          <w:lang w:val="en-US"/>
        </w:rPr>
        <w:t>Module code:   LCBB4002</w:t>
      </w:r>
    </w:p>
    <w:p>
      <w:pPr>
        <w:pStyle w:val="9"/>
        <w:rPr>
          <w:rFonts w:asciiTheme="majorHAnsi" w:hAnsiTheme="majorHAnsi"/>
          <w:sz w:val="36"/>
          <w:szCs w:val="36"/>
          <w:lang w:val="en-US"/>
        </w:rPr>
      </w:pPr>
    </w:p>
    <w:p>
      <w:pPr>
        <w:pStyle w:val="9"/>
        <w:rPr>
          <w:rFonts w:asciiTheme="majorHAnsi" w:hAnsiTheme="majorHAnsi"/>
          <w:sz w:val="36"/>
          <w:szCs w:val="36"/>
          <w:lang w:val="en-US"/>
        </w:rPr>
      </w:pPr>
    </w:p>
    <w:p>
      <w:pPr>
        <w:pStyle w:val="9"/>
        <w:rPr>
          <w:rFonts w:asciiTheme="majorHAnsi" w:hAnsiTheme="majorHAnsi"/>
          <w:sz w:val="36"/>
          <w:szCs w:val="36"/>
          <w:lang w:val="en-US"/>
        </w:rPr>
      </w:pPr>
    </w:p>
    <w:p>
      <w:pPr>
        <w:pStyle w:val="9"/>
        <w:jc w:val="both"/>
        <w:rPr>
          <w:rFonts w:asciiTheme="majorHAnsi" w:hAnsiTheme="majorHAnsi"/>
          <w:sz w:val="36"/>
          <w:szCs w:val="36"/>
          <w:lang w:val="en-US"/>
        </w:rPr>
      </w:pPr>
      <w:r>
        <w:rPr>
          <w:rFonts w:asciiTheme="majorHAnsi" w:hAnsiTheme="majorHAnsi"/>
          <w:b/>
          <w:sz w:val="36"/>
          <w:szCs w:val="36"/>
          <w:u w:val="single"/>
          <w:lang w:val="en-US"/>
        </w:rPr>
        <w:t>Student name:</w:t>
      </w:r>
      <w:r>
        <w:rPr>
          <w:rFonts w:asciiTheme="majorHAnsi" w:hAnsiTheme="majorHAnsi"/>
          <w:sz w:val="36"/>
          <w:szCs w:val="36"/>
          <w:lang w:val="en-US"/>
        </w:rPr>
        <w:t xml:space="preserve"> </w:t>
      </w:r>
      <w:r>
        <w:rPr>
          <w:rFonts w:asciiTheme="majorHAnsi" w:hAnsiTheme="majorHAnsi"/>
          <w:sz w:val="36"/>
          <w:szCs w:val="36"/>
          <w:lang w:val="en-US"/>
        </w:rPr>
        <w:tab/>
      </w:r>
      <w:r>
        <w:rPr>
          <w:rFonts w:asciiTheme="majorHAnsi" w:hAnsiTheme="majorHAnsi"/>
          <w:sz w:val="36"/>
          <w:szCs w:val="36"/>
          <w:lang w:val="en-US"/>
        </w:rPr>
        <w:t xml:space="preserve">  </w:t>
      </w:r>
      <w:r>
        <w:rPr>
          <w:rFonts w:asciiTheme="majorHAnsi" w:hAnsiTheme="majorHAnsi"/>
          <w:b/>
          <w:bCs/>
          <w:sz w:val="36"/>
          <w:szCs w:val="36"/>
          <w:lang w:val="en-US"/>
        </w:rPr>
        <w:t>Bilyana Todorova</w:t>
      </w:r>
    </w:p>
    <w:p>
      <w:pPr>
        <w:pStyle w:val="9"/>
        <w:jc w:val="both"/>
        <w:rPr>
          <w:rFonts w:asciiTheme="majorHAnsi" w:hAnsiTheme="majorHAnsi"/>
          <w:b/>
          <w:bCs/>
          <w:sz w:val="36"/>
          <w:szCs w:val="36"/>
          <w:lang w:val="en-US"/>
        </w:rPr>
      </w:pPr>
      <w:r>
        <w:rPr>
          <w:rFonts w:asciiTheme="majorHAnsi" w:hAnsiTheme="majorHAnsi"/>
          <w:b/>
          <w:sz w:val="36"/>
          <w:szCs w:val="36"/>
          <w:u w:val="single"/>
          <w:lang w:val="en-US"/>
        </w:rPr>
        <w:t>Student Number:</w:t>
      </w:r>
      <w:r>
        <w:rPr>
          <w:rFonts w:asciiTheme="majorHAnsi" w:hAnsiTheme="majorHAnsi"/>
          <w:sz w:val="36"/>
          <w:szCs w:val="36"/>
          <w:lang w:val="en-US"/>
        </w:rPr>
        <w:t xml:space="preserve"> </w:t>
      </w:r>
      <w:r>
        <w:rPr>
          <w:rFonts w:asciiTheme="majorHAnsi" w:hAnsiTheme="majorHAnsi"/>
          <w:sz w:val="36"/>
          <w:szCs w:val="36"/>
        </w:rPr>
        <w:tab/>
      </w:r>
      <w:r>
        <w:rPr>
          <w:rFonts w:asciiTheme="majorHAnsi" w:hAnsiTheme="majorHAnsi"/>
          <w:b/>
          <w:bCs/>
          <w:sz w:val="36"/>
          <w:szCs w:val="36"/>
          <w:lang w:val="en-US"/>
        </w:rPr>
        <w:t>2010307</w:t>
      </w:r>
    </w:p>
    <w:p>
      <w:pPr>
        <w:jc w:val="both"/>
        <w:rPr>
          <w:rFonts w:cs="Arial" w:asciiTheme="majorHAnsi" w:hAnsiTheme="majorHAnsi"/>
          <w:b/>
          <w:bCs/>
          <w:sz w:val="36"/>
          <w:szCs w:val="36"/>
          <w:u w:val="none"/>
          <w:lang w:val="en-US"/>
        </w:rPr>
      </w:pPr>
      <w:r>
        <w:rPr>
          <w:rFonts w:cs="Arial" w:asciiTheme="majorHAnsi" w:hAnsiTheme="majorHAnsi"/>
          <w:b/>
          <w:bCs/>
          <w:sz w:val="36"/>
          <w:szCs w:val="36"/>
          <w:u w:val="single"/>
          <w:lang w:val="en-US"/>
        </w:rPr>
        <w:t>Lecture Name:</w:t>
      </w:r>
      <w:r>
        <w:rPr>
          <w:rFonts w:cs="Arial" w:asciiTheme="majorHAnsi" w:hAnsiTheme="majorHAnsi"/>
          <w:b/>
          <w:bCs/>
          <w:sz w:val="36"/>
          <w:szCs w:val="36"/>
          <w:u w:val="none"/>
          <w:lang w:val="en-US"/>
        </w:rPr>
        <w:t xml:space="preserve">     Riaz Bhhati</w:t>
      </w:r>
    </w:p>
    <w:p>
      <w:pPr>
        <w:jc w:val="both"/>
        <w:rPr>
          <w:rFonts w:cs="Arial" w:asciiTheme="majorHAnsi" w:hAnsiTheme="majorHAnsi"/>
          <w:b/>
          <w:bCs/>
          <w:sz w:val="36"/>
          <w:szCs w:val="36"/>
          <w:u w:val="none"/>
          <w:lang w:val="en-US"/>
        </w:rPr>
      </w:pPr>
    </w:p>
    <w:p>
      <w:pPr>
        <w:jc w:val="both"/>
        <w:rPr>
          <w:rFonts w:cs="Arial" w:asciiTheme="majorHAnsi" w:hAnsiTheme="majorHAnsi"/>
          <w:b/>
          <w:bCs/>
          <w:sz w:val="36"/>
          <w:szCs w:val="36"/>
          <w:u w:val="none"/>
          <w:lang w:val="en-US"/>
        </w:rPr>
      </w:pPr>
    </w:p>
    <w:p>
      <w:pPr>
        <w:jc w:val="both"/>
        <w:rPr>
          <w:rFonts w:cs="Arial" w:asciiTheme="majorHAnsi" w:hAnsiTheme="majorHAnsi"/>
          <w:b/>
          <w:bCs/>
          <w:sz w:val="36"/>
          <w:szCs w:val="36"/>
          <w:u w:val="none"/>
          <w:lang w:val="en-US"/>
        </w:rPr>
      </w:pPr>
    </w:p>
    <w:p>
      <w:pPr>
        <w:jc w:val="both"/>
        <w:rPr>
          <w:rFonts w:cs="Arial" w:asciiTheme="majorHAnsi" w:hAnsiTheme="majorHAnsi"/>
          <w:b/>
          <w:bCs/>
          <w:sz w:val="36"/>
          <w:szCs w:val="36"/>
          <w:u w:val="none"/>
          <w:lang w:val="en-US"/>
        </w:rPr>
      </w:pPr>
    </w:p>
    <w:p>
      <w:pPr>
        <w:jc w:val="both"/>
        <w:rPr>
          <w:rFonts w:cs="Arial" w:asciiTheme="majorHAnsi" w:hAnsiTheme="majorHAnsi"/>
          <w:b/>
          <w:bCs/>
          <w:sz w:val="36"/>
          <w:szCs w:val="36"/>
          <w:u w:val="none"/>
          <w:lang w:val="en-US"/>
        </w:rPr>
      </w:pPr>
    </w:p>
    <w:p>
      <w:pPr>
        <w:jc w:val="both"/>
        <w:rPr>
          <w:rFonts w:cs="Arial" w:asciiTheme="majorHAnsi" w:hAnsiTheme="majorHAnsi"/>
          <w:b/>
          <w:bCs/>
          <w:sz w:val="36"/>
          <w:szCs w:val="36"/>
          <w:u w:val="none"/>
          <w:lang w:val="en-US"/>
        </w:rPr>
      </w:pPr>
    </w:p>
    <w:p>
      <w:pPr>
        <w:jc w:val="both"/>
        <w:rPr>
          <w:rFonts w:cs="Arial" w:asciiTheme="majorHAnsi" w:hAnsiTheme="majorHAnsi"/>
          <w:b/>
          <w:bCs/>
          <w:sz w:val="36"/>
          <w:szCs w:val="36"/>
          <w:u w:val="none"/>
          <w:lang w:val="en-US"/>
        </w:rPr>
      </w:pPr>
    </w:p>
    <w:p>
      <w:pPr>
        <w:jc w:val="both"/>
        <w:rPr>
          <w:rFonts w:cs="Arial" w:asciiTheme="majorHAnsi" w:hAnsiTheme="majorHAnsi"/>
          <w:b/>
          <w:bCs/>
          <w:sz w:val="36"/>
          <w:szCs w:val="36"/>
          <w:u w:val="none"/>
          <w:lang w:val="en-US"/>
        </w:rPr>
      </w:pPr>
    </w:p>
    <w:p>
      <w:pPr>
        <w:jc w:val="both"/>
        <w:rPr>
          <w:rFonts w:cs="Arial" w:asciiTheme="majorHAnsi" w:hAnsiTheme="majorHAnsi"/>
          <w:b/>
          <w:bCs/>
          <w:sz w:val="36"/>
          <w:szCs w:val="36"/>
          <w:u w:val="none"/>
          <w:lang w:val="en-US"/>
        </w:rPr>
      </w:pPr>
    </w:p>
    <w:p>
      <w:pPr>
        <w:jc w:val="both"/>
        <w:rPr>
          <w:rFonts w:cs="Arial" w:asciiTheme="majorHAnsi" w:hAnsiTheme="majorHAnsi"/>
          <w:b/>
          <w:bCs/>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bookmarkStart w:id="0" w:name="_GoBack"/>
      <w:bookmarkEnd w:id="0"/>
      <w:r>
        <w:rPr>
          <w:rFonts w:hint="default" w:ascii="Calibri" w:hAnsi="Calibri" w:eastAsia="SimSun" w:cs="Calibri"/>
          <w:b/>
          <w:bCs/>
          <w:i w:val="0"/>
          <w:caps w:val="0"/>
          <w:color w:val="202124"/>
          <w:spacing w:val="0"/>
          <w:sz w:val="36"/>
          <w:szCs w:val="36"/>
          <w:u w:val="none"/>
          <w:lang w:val="en-US"/>
        </w:rPr>
        <w:t>‘’</w:t>
      </w:r>
      <w:r>
        <w:rPr>
          <w:rFonts w:ascii="Calibri" w:hAnsi="Calibri" w:eastAsia="SimSun" w:cs="Calibri"/>
          <w:b/>
          <w:bCs/>
          <w:i w:val="0"/>
          <w:caps w:val="0"/>
          <w:color w:val="202124"/>
          <w:spacing w:val="0"/>
          <w:sz w:val="36"/>
          <w:szCs w:val="36"/>
          <w:u w:val="none"/>
        </w:rPr>
        <w:t>Charities for people with mental health problems</w:t>
      </w:r>
      <w:r>
        <w:rPr>
          <w:rFonts w:hint="default" w:ascii="Calibri" w:hAnsi="Calibri" w:eastAsia="SimSun" w:cs="Calibri"/>
          <w:b/>
          <w:bCs/>
          <w:i w:val="0"/>
          <w:caps w:val="0"/>
          <w:color w:val="202124"/>
          <w:spacing w:val="0"/>
          <w:sz w:val="36"/>
          <w:szCs w:val="36"/>
          <w:u w:val="none"/>
          <w:lang w:val="en-US"/>
        </w:rPr>
        <w:t>’’</w:t>
      </w: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6"/>
          <w:szCs w:val="36"/>
          <w:u w:val="none"/>
          <w:lang w:val="en-US"/>
        </w:rPr>
      </w:pPr>
    </w:p>
    <w:p>
      <w:pPr>
        <w:jc w:val="both"/>
        <w:rPr>
          <w:rFonts w:hint="default" w:ascii="Calibri" w:hAnsi="Calibri" w:eastAsia="SimSun" w:cs="Calibri"/>
          <w:b/>
          <w:bCs/>
          <w:i w:val="0"/>
          <w:caps w:val="0"/>
          <w:color w:val="202124"/>
          <w:spacing w:val="0"/>
          <w:sz w:val="32"/>
          <w:szCs w:val="32"/>
          <w:u w:val="none"/>
          <w:lang w:val="en-US"/>
        </w:rPr>
      </w:pPr>
      <w:r>
        <w:rPr>
          <w:rFonts w:hint="default" w:ascii="Calibri" w:hAnsi="Calibri" w:eastAsia="SimSun" w:cs="Calibri"/>
          <w:b/>
          <w:bCs/>
          <w:i w:val="0"/>
          <w:caps w:val="0"/>
          <w:color w:val="202124"/>
          <w:spacing w:val="0"/>
          <w:sz w:val="32"/>
          <w:szCs w:val="32"/>
          <w:u w:val="none"/>
          <w:lang w:val="en-US"/>
        </w:rPr>
        <w:t>Introduction:</w:t>
      </w:r>
    </w:p>
    <w:p>
      <w:pPr>
        <w:jc w:val="both"/>
        <w:rPr>
          <w:rFonts w:hint="default" w:ascii="Calibri" w:hAnsi="Calibri" w:eastAsia="SimSun" w:cs="Calibri"/>
          <w:b/>
          <w:bCs/>
          <w:i w:val="0"/>
          <w:caps w:val="0"/>
          <w:color w:val="202124"/>
          <w:spacing w:val="0"/>
          <w:sz w:val="24"/>
          <w:szCs w:val="24"/>
          <w:u w:val="none"/>
          <w:lang w:val="en-US"/>
        </w:rPr>
      </w:pPr>
    </w:p>
    <w:p>
      <w:pPr>
        <w:jc w:val="both"/>
        <w:rPr>
          <w:rFonts w:hint="default" w:ascii="Calibri" w:hAnsi="Calibri" w:eastAsia="SimSun" w:cs="Calibri"/>
          <w:b/>
          <w:bCs/>
          <w:i w:val="0"/>
          <w:caps w:val="0"/>
          <w:color w:val="202124"/>
          <w:spacing w:val="0"/>
          <w:sz w:val="24"/>
          <w:szCs w:val="24"/>
          <w:u w:val="none"/>
          <w:lang w:val="en-US"/>
        </w:rPr>
      </w:pPr>
    </w:p>
    <w:p>
      <w:pPr>
        <w:rPr>
          <w:rFonts w:hint="default"/>
          <w:sz w:val="24"/>
          <w:szCs w:val="24"/>
          <w:lang w:val="en-US"/>
        </w:rPr>
      </w:pPr>
      <w:r>
        <w:rPr>
          <w:sz w:val="24"/>
          <w:szCs w:val="24"/>
          <w:lang w:val="en-US"/>
        </w:rPr>
        <w:t xml:space="preserve">The organization of day care programs for individuals with serious mental ailment is among the ranges for which there are not sufficient </w:t>
      </w:r>
      <w:r>
        <w:rPr>
          <w:rFonts w:hint="default"/>
          <w:sz w:val="24"/>
          <w:szCs w:val="24"/>
          <w:lang w:val="en-US"/>
        </w:rPr>
        <w:t>well-trained making a difference experts in Bulgaria. That's why the opening of day care centers and the organization of recovery programs in them could be a challenge for both experts and the organization of the social help and wellbeing care framework. The term "day center" in later a long time has ended up particularly popular within the field of social help in Bulgaria, counting within the field of psychosocial restoration of individuals enduring from serious mental disarranges.Its broad utilize has contributed to obscuring its boundaries and There are as of now noteworthy errors within the translation and usage of this concept by distinctive agents of the making a difference callings. The reasons for this disparity are, on the one hand, related to the need of traditions in Bulgaria within the development and usage of social benefit programs within the community, and on the other - the ever-increasing political and civic weight for deinstitutionalization of administrations and the require for urgent utilize of these services, technologies within the field of social administrations. Within the to begin with portion of this article, the creators survey the existing socio-historical and hypothetical prerequisites for the development and improvement of day care centers for individuals with serious mental clutters.</w:t>
      </w:r>
    </w:p>
    <w:p>
      <w:pPr>
        <w:rPr>
          <w:rFonts w:hint="default"/>
          <w:sz w:val="24"/>
          <w:szCs w:val="24"/>
          <w:lang w:val="en-US"/>
        </w:rPr>
      </w:pPr>
    </w:p>
    <w:p>
      <w:pPr>
        <w:rPr>
          <w:sz w:val="24"/>
          <w:szCs w:val="24"/>
        </w:rPr>
      </w:pPr>
      <w:r>
        <w:rPr>
          <w:sz w:val="24"/>
          <w:szCs w:val="24"/>
        </w:rPr>
        <w:t xml:space="preserve">Analysis of the project / Organisation’s </w:t>
      </w:r>
    </w:p>
    <w:p>
      <w:pPr>
        <w:rPr>
          <w:sz w:val="24"/>
          <w:szCs w:val="24"/>
        </w:rPr>
      </w:pPr>
    </w:p>
    <w:p>
      <w:pPr>
        <w:rPr>
          <w:rFonts w:hint="default"/>
          <w:b/>
          <w:bCs/>
          <w:sz w:val="32"/>
          <w:szCs w:val="32"/>
          <w:lang w:val="en-US"/>
        </w:rPr>
      </w:pPr>
      <w:r>
        <w:rPr>
          <w:rFonts w:hint="default"/>
          <w:b/>
          <w:bCs/>
          <w:sz w:val="32"/>
          <w:szCs w:val="32"/>
          <w:lang w:val="en-US"/>
        </w:rPr>
        <w:t>Socio-historical and theoretical prerequisites</w:t>
      </w:r>
    </w:p>
    <w:p>
      <w:pPr>
        <w:rPr>
          <w:rFonts w:hint="default"/>
          <w:b/>
          <w:bCs/>
          <w:sz w:val="32"/>
          <w:szCs w:val="32"/>
          <w:lang w:val="en-US"/>
        </w:rPr>
      </w:pPr>
    </w:p>
    <w:p>
      <w:pPr>
        <w:rPr>
          <w:rFonts w:hint="default"/>
          <w:sz w:val="24"/>
          <w:szCs w:val="24"/>
          <w:lang w:val="en-US"/>
        </w:rPr>
      </w:pPr>
      <w:r>
        <w:rPr>
          <w:rFonts w:hint="default"/>
          <w:sz w:val="24"/>
          <w:szCs w:val="24"/>
          <w:lang w:val="en-US"/>
        </w:rPr>
        <w:t>We are seeing an increment within the number of day care centers all through the nation. As of February 28, 2007, there are 2,205 enrollments in organizations providing social administrations within the Enlist of Social Benefit Providers3, kept up by the Social Help Office. Of these, 435 are for the arrangement of the "day center" benefit. The hour of these centers is for elderly individuals (in retirement age), portion - for individuals with settlements, and another portion, planning for children. Clearly, the require for numerous diverse bunches can not be distinguished; it is consistent to accept the distinction within the administrations advertised. At that point what is it conceivable for such a diverse service to be called within the same way: a day center? When searching for an answer to this address, you may to begin with turn to the history of accepting this sort of benefit, as well as to a consider of wants that are met. We'll center for the most part on today's centers for individuals with serious mental clutters. The thought of a day center for individuals with extreme mental disarranges may be a child of at slightest three guardians. One is the wellbeing care framework, the other is the social help framework, and the third is the individuals themselves, who feel that they require modern and more differing openings for recuperation than conventional treatment programs in psychiatric educate offer. All three guardians proceed to demand that the common child meet most of their desires, which leads to perplexity and pressure in certain circumstances. How did the current circumstance come around? From a healthcare point of view, the day center is the successor to the day healing center ward (or day healing center). Agreeing to Schene (Schene, 2001), the primary healing center without beds was opened in 1932 in Moscow. The reason for this development was the need of cash. The initiative was taken rapidly within the Joined together States (1935) and Awesome Britain (1938). The makers of this unused approach had diverse thought processes: developing good faith (particularly after the Moment World War) around the treatment of mental clutters not as it were with natural but moreover with psychotherapeutic implies; mindfulness of the limitations forced by the inflexible, closed structure of psychiatric healing centers; the ability of day care units to bolster the method of lessening the number of beds in psychiatric clinics (portion of the deinstitutionalisation prepare). At a few point, the number of terms utilized to indicate the benefit increments essentially: day administrations, day healing center, halfway healing center, day center, day clinic, day treatment, day care and halfway hospitalization. It seems critical to us this assortment of terms because they cloud comparative administrations, called in an unexpected way totally different nations (or indeed inside one nation). A definition of "halfway hospitalization" permits us to see a few essential highlights common to all such administrations: "outpatient treatment program, which incorporates symptomatic, restorative and psychiatric exercises, as well as those related to planning for business, aiming for patients with extreme mental disorders; these patients require facilitated, seriously and comprehensive treatment given by a multidisciplinary group, which isn't ordinarily given in an outpatient clinical setting. ” Afterward within the day, treatment programs started to center on organizing restoration administrations pointed at recouping and overcoming the disorder, rather than simply preventing hospitalization. A great outline of this thought is the taking after passage from a commentary by Drake (Drake, 1998): “The mental wellbeing framework in Modern Hampshire had changed drastically within the 1990s. The number of beds within the as it were state clinic had dropped to about 100, and the community mental wellbeing framework was exceedingly regarded for the bolster programs developed… But the most bunches incl</w:t>
      </w:r>
      <w:r>
        <w:rPr>
          <w:rFonts w:hint="default"/>
          <w:sz w:val="24"/>
          <w:szCs w:val="24"/>
          <w:lang w:val="en-US"/>
        </w:rPr>
        <w:t>uded - buyers, family individuals, clinicians and directors - were not fulfilled from objectives such as stabilizing [the side effects] and keeping up the clinical change accomplished. Taking after the philosophy of "recuperation" (Anthony, 1993), individuals of the bunches included accepted that people with mental clutters seem learn to oversee their possess sickness and reestablish typical working in their lives. In line with the philosophy of recuperation, the detailing of a assortment of objectives reflected a return to typical working, going past the objectives of controlling side effects and decreasing the number of hospitalizations; shoppers preferred goals such as functioning in the normal roles of older individuals, independent living, community integration, self-help and improving the quality of life… ”.</w:t>
      </w:r>
    </w:p>
    <w:p>
      <w:pPr>
        <w:rPr>
          <w:rFonts w:hint="default"/>
          <w:sz w:val="24"/>
          <w:szCs w:val="24"/>
          <w:lang w:val="en-US"/>
        </w:rPr>
      </w:pPr>
      <w:r>
        <w:rPr>
          <w:rFonts w:hint="default"/>
          <w:sz w:val="24"/>
          <w:szCs w:val="24"/>
          <w:lang w:val="en-US"/>
        </w:rPr>
        <w:t xml:space="preserve">Be that as it may, good faith approximately a positive guess for mental clutters may be a moderately late marvel. For centuries, extreme mental disarranges have been seen as an irreversible weakening. What happens to individuals who cannot be cured by specialists and who have genuine challenges in taking care of themselves, but who still don't kick the bucket? Customarily, individuals with extreme mental disarranges get care inside their amplified family (if they are not forceful and if their condition isn't as well serious so that they got to be bolted up in an fitting institution). The urbanization and section of ladies into the labor showcase (exterior of family business) makes it troublesome or nearly inconceivable to see after individuals with serious mental clutters at domestic. There are as of now points of reference - these are the care for children (mainstream day care centers for children showed up in Europe within the late 18th and early 19th centuries) and the elderly. These days, these are kindergartens, day care centers for children with uncommon needs (incapacities or illnesses), pensioner's clubs, day care centers for the elderly. Variances within the understanding of the part of the state, open and charitable organizations, as well as the casualties themselves and their families, have checked the improvement of social policy over the final two centuries. This is often how the arrangements formally proposed by the social bolster framework emerge. In other cases, patients and their relatives are constrained to look for modern arrangements on their claim. This is often the other source of present day day care centers - shared bolster programs that give themselves with individuals with extreme psychiatric clutters. This approach started with the creation of the Wellspring House in 1948 in Modern York. The authors are a bunch of psychiatric patients from Rowland State Psychiatric Clinic. They made the WANA organization - "We Are Not Alone". In quintessence, WANA could be a self-help gather. Individuals or members, as clients of these programs are called, spend essentially all day together. They cook, eat together, watch out of the room, etc. In common, the Clubhouse demonstrate (truly the term interprets as "Club House"; other variations that reflect what is happening there are "The House That Holds the Club" or "The House That Has the Club") expect that all house support assignments and the every day exercises are performed similarly by the staff and the members. The most objective of these programs is to center on the work, instruction of supporting people whose lives have been drastically demolished and who require the bolster of others who accept that recuperation from a mental clutter is conceivable for everybody. Concurring to Fallon (2007), day care centers incorporate “programs, administrations, and openings planned to assist individuals with physical or mental inabilities stay in their communities. In other circumstances, these individuals may require regulation or long-term care and recovery. Day care for grown-ups has two primary purposes. The primary is to supply an elective to organization arrangement. The moment is to allow rest to caregivers. There are two primary sorts of day care for grown-ups. One is based on the therapeutic show and the other on the social demonstrate. The therapeutic show gives comprehensive restorative, helpful and recovery every day administrations. The social demonstrate offers exercises carried out beneath supervision, back from others who utilize the center, company and rest. Both models offer assistance grown-ups and those with unremitting issues to stay autonomous to the degree conceivable, for as long as possible. ” Clearly, the complex nature of the day center benefit could be a obligatory include. </w:t>
      </w:r>
    </w:p>
    <w:p>
      <w:pPr>
        <w:rPr>
          <w:rFonts w:hint="default"/>
          <w:sz w:val="24"/>
          <w:szCs w:val="24"/>
          <w:lang w:val="en-US"/>
        </w:rPr>
      </w:pPr>
    </w:p>
    <w:p>
      <w:pPr>
        <w:rPr>
          <w:rFonts w:hint="default"/>
          <w:sz w:val="24"/>
          <w:szCs w:val="24"/>
          <w:lang w:val="en-US"/>
        </w:rPr>
      </w:pPr>
      <w:r>
        <w:rPr>
          <w:rFonts w:hint="default"/>
          <w:b/>
          <w:bCs/>
          <w:sz w:val="28"/>
          <w:szCs w:val="28"/>
          <w:lang w:val="en-US"/>
        </w:rPr>
        <w:t>Hypothetical prerequisites</w:t>
      </w:r>
      <w:r>
        <w:rPr>
          <w:rFonts w:hint="default"/>
          <w:sz w:val="24"/>
          <w:szCs w:val="24"/>
          <w:lang w:val="en-US"/>
        </w:rPr>
        <w:t>:</w:t>
      </w:r>
    </w:p>
    <w:p>
      <w:pPr>
        <w:rPr>
          <w:rFonts w:hint="default"/>
          <w:sz w:val="24"/>
          <w:szCs w:val="24"/>
          <w:lang w:val="en-US"/>
        </w:rPr>
      </w:pPr>
      <w:r>
        <w:rPr>
          <w:rFonts w:hint="default"/>
          <w:sz w:val="24"/>
          <w:szCs w:val="24"/>
          <w:lang w:val="en-US"/>
        </w:rPr>
        <w:t>It has been built up since the time of classical exploratory brain research that the nearness of a certain (nonspecific) combination of negative psychosocial components might lead to a behavioral clutter, counting having a propsychotic impact, ie. to incite the improvement of insane decompensation, particularly in organically inclined people. Separately, other such groups of stars of outside and inside variables may have an antipsychotic or preventive impact. These are circumstances that within the first option piece, and within the moment favor the sign of normal (and more versatile than insane) ways of mental security against the results of essential harm caused by the infection handle or psychosocial injury.</w:t>
      </w:r>
    </w:p>
    <w:p>
      <w:pPr>
        <w:rPr>
          <w:rFonts w:hint="default"/>
          <w:sz w:val="24"/>
          <w:szCs w:val="24"/>
          <w:lang w:val="en-US"/>
        </w:rPr>
      </w:pPr>
      <w:r>
        <w:rPr>
          <w:rFonts w:hint="default"/>
          <w:sz w:val="24"/>
          <w:szCs w:val="24"/>
          <w:lang w:val="en-US"/>
        </w:rPr>
        <w:t xml:space="preserve">Consequently the conclusion that the essential, endogenous clutter in its clinical appearances is to a great extent psychogenic in nature. The conclusion around the helpful part of psychosocial mediations within the so-called from classical European psychiatry "endogenous psychoses". Treatment through mental and social interventions in this case isn't caught on as a remedy (within the sense of dispensing with the essential illness prepare), but as emolument for impeded work and accomplishing a few level of adjust by minimizing or killing the chance (propsychotic) components emerging. from the center. Within the nonappearance of such variables (or minimization of their impact) the substance of the term "secured environment" is to a great extent depleted. This concept is prevalent both in terms of the physical parameters of the environment and in terms of its psychosocial characteristics. The part of day care centers is to supply such a secured environment in which people with mental disarranges feel comfortable testing with unused social parts, securing unused abilities, creating their potential, accepting the back and help they require, and hence neutralizes the impairing forms and propensities emerging from the infection. </w:t>
      </w:r>
    </w:p>
    <w:p>
      <w:pPr>
        <w:rPr>
          <w:rFonts w:hint="default"/>
          <w:sz w:val="24"/>
          <w:szCs w:val="24"/>
          <w:lang w:val="en-US"/>
        </w:rPr>
      </w:pPr>
      <w:r>
        <w:rPr>
          <w:rFonts w:hint="default"/>
          <w:sz w:val="24"/>
          <w:szCs w:val="24"/>
          <w:lang w:val="en-US"/>
        </w:rPr>
        <w:t xml:space="preserve">1. Preparing in social abilities. The exercises in this sort of programs are pointed at the down to earth procurement of aptitudes fundamental for free living and in specific offer preparing within the taking after ranges: controlling the indications of mental ailment, self-medication, communication abilities and work look skills. </w:t>
      </w:r>
    </w:p>
    <w:p>
      <w:pPr>
        <w:rPr>
          <w:rFonts w:hint="default"/>
          <w:sz w:val="24"/>
          <w:szCs w:val="24"/>
          <w:lang w:val="en-US"/>
        </w:rPr>
      </w:pPr>
      <w:r>
        <w:rPr>
          <w:rFonts w:hint="default"/>
          <w:sz w:val="24"/>
          <w:szCs w:val="24"/>
          <w:lang w:val="en-US"/>
        </w:rPr>
        <w:t xml:space="preserve"> 2. Social contacts. The program gives an opportunity to meet essential needs from association with other individuals (having a place to a bunch) through joint exercises, to structure and make sense of free time, to effectively hone social parts in a secured environment and others.</w:t>
      </w:r>
    </w:p>
    <w:p>
      <w:pPr>
        <w:rPr>
          <w:rFonts w:hint="default"/>
          <w:sz w:val="24"/>
          <w:szCs w:val="24"/>
          <w:lang w:val="en-US"/>
        </w:rPr>
      </w:pPr>
      <w:r>
        <w:rPr>
          <w:rFonts w:hint="default"/>
          <w:sz w:val="24"/>
          <w:szCs w:val="24"/>
          <w:lang w:val="en-US"/>
        </w:rPr>
        <w:t>3. Craftsmanship treatment (craftsmanship treatment) and engaging treatment. Advertising programs in this region give an opportunity to hone origin through inventiveness and create the imaginative potential of clients.</w:t>
      </w:r>
    </w:p>
    <w:p>
      <w:pPr>
        <w:rPr>
          <w:rFonts w:hint="default"/>
          <w:sz w:val="24"/>
          <w:szCs w:val="24"/>
          <w:lang w:val="en-US"/>
        </w:rPr>
      </w:pPr>
      <w:r>
        <w:rPr>
          <w:rFonts w:hint="default"/>
          <w:sz w:val="24"/>
          <w:szCs w:val="24"/>
          <w:lang w:val="en-US"/>
        </w:rPr>
        <w:t xml:space="preserve"> 4. Preparing in regular aptitudes - cooking and living. The program gives recuperation (separately re-acquisition) and preparing of essential aptitudes required to manage with the maintenance of way of: life fetched arranging, shopping, cooking and serving, eating together, serving, cleaning, clothing and individual cleanliness propensities.</w:t>
      </w:r>
    </w:p>
    <w:p>
      <w:pPr>
        <w:rPr>
          <w:rFonts w:hint="default"/>
          <w:sz w:val="24"/>
          <w:szCs w:val="24"/>
          <w:lang w:val="en-US"/>
        </w:rPr>
      </w:pPr>
    </w:p>
    <w:p>
      <w:pPr>
        <w:numPr>
          <w:ilvl w:val="0"/>
          <w:numId w:val="1"/>
        </w:numPr>
        <w:rPr>
          <w:rFonts w:hint="default"/>
          <w:sz w:val="24"/>
          <w:szCs w:val="24"/>
          <w:lang w:val="en-US"/>
        </w:rPr>
      </w:pPr>
      <w:r>
        <w:rPr>
          <w:rFonts w:hint="default"/>
          <w:sz w:val="24"/>
          <w:szCs w:val="24"/>
          <w:lang w:val="en-US"/>
        </w:rPr>
        <w:t>Mental counseling and psycho-training. Accentuation in this sort of programs is preparing clients in strife determination abilities, joining forces in managing with enthusiastic emergencies, giving data approximately the working of the mental device within the standard and pathology, preparing to recognize the prodromes of a unused maniacal scene, giving data approximately the working of the framework of wellbeing and social administrations, etc. A few of the exercises in this sort of programs are pointed at teaching the relatives of individuals with lasting mental clutters to decrease the level of negative enthusiastic expression within the family, giving data approximately the course of mental sickness and giving bolster in managing with emergencies.</w:t>
      </w:r>
    </w:p>
    <w:p>
      <w:pPr>
        <w:numPr>
          <w:ilvl w:val="0"/>
          <w:numId w:val="1"/>
        </w:numPr>
        <w:rPr>
          <w:rFonts w:hint="default"/>
          <w:sz w:val="24"/>
          <w:szCs w:val="24"/>
          <w:lang w:val="en-US"/>
        </w:rPr>
      </w:pPr>
      <w:r>
        <w:rPr>
          <w:rFonts w:hint="default"/>
          <w:sz w:val="24"/>
          <w:szCs w:val="24"/>
          <w:lang w:val="en-US"/>
        </w:rPr>
        <w:t>Preparing in work aptitudes and securing of common (non-specific) work propensities. The programs in this heading utilize two of the advanced approaches in labor recovery, to be specific: transitional work and upheld business. Programs of this sort give bolster to clients within the prepare of dynamic work look and maintenance, as well as for maintenance within the work environment, counting through intervention with bosses, social, wellbeing, regulatory and other administrations. The part of the program is to a great extent to encourage the arrangement of a benevolent environment that will permit the wiped out individual to require dangers and explore with unused social parts and pick up encounter within the part of laborer. Inside this sort of programs can be organized ensured workshops on the show of social endeavors.</w:t>
      </w:r>
    </w:p>
    <w:p>
      <w:pPr>
        <w:numPr>
          <w:numId w:val="0"/>
        </w:numPr>
        <w:rPr>
          <w:rFonts w:hint="default"/>
          <w:sz w:val="24"/>
          <w:szCs w:val="24"/>
          <w:lang w:val="en-US"/>
        </w:rPr>
      </w:pPr>
    </w:p>
    <w:p>
      <w:pPr>
        <w:numPr>
          <w:numId w:val="0"/>
        </w:numPr>
        <w:rPr>
          <w:rFonts w:hint="default"/>
          <w:b/>
          <w:bCs/>
          <w:sz w:val="32"/>
          <w:szCs w:val="32"/>
          <w:lang w:val="en-US"/>
        </w:rPr>
      </w:pPr>
      <w:r>
        <w:rPr>
          <w:rFonts w:hint="default"/>
          <w:b/>
          <w:bCs/>
          <w:sz w:val="32"/>
          <w:szCs w:val="32"/>
          <w:lang w:val="en-US"/>
        </w:rPr>
        <w:t>Conclusion:</w:t>
      </w:r>
    </w:p>
    <w:p>
      <w:pPr>
        <w:numPr>
          <w:numId w:val="0"/>
        </w:numPr>
        <w:rPr>
          <w:rFonts w:hint="default"/>
          <w:b w:val="0"/>
          <w:bCs w:val="0"/>
          <w:sz w:val="24"/>
          <w:szCs w:val="24"/>
          <w:lang w:val="en-US"/>
        </w:rPr>
      </w:pPr>
      <w:r>
        <w:rPr>
          <w:rFonts w:hint="default"/>
          <w:b w:val="0"/>
          <w:bCs w:val="0"/>
          <w:sz w:val="24"/>
          <w:szCs w:val="24"/>
          <w:lang w:val="en-US"/>
        </w:rPr>
        <w:t>The administration of the programs passes from the hands of the experts into the hands of the clients of the services. Increasing the specificity in setting objectives; characterizing practical, but adequately yearning objectives, around which to organize the person restoration plan. Shifting the center from creating restoration programs to empowering recuperation. This implies much more adaptability at each point within the benefit cycle. Vocational restoration (word related treatment) programs ought to be supplanted by genuine paid business programs.</w:t>
      </w:r>
    </w:p>
    <w:p>
      <w:pPr>
        <w:numPr>
          <w:numId w:val="0"/>
        </w:numPr>
        <w:rPr>
          <w:rFonts w:hint="default"/>
          <w:b w:val="0"/>
          <w:bCs w:val="0"/>
          <w:sz w:val="24"/>
          <w:szCs w:val="24"/>
          <w:lang w:val="en-US"/>
        </w:rPr>
      </w:pPr>
      <w:r>
        <w:rPr>
          <w:rFonts w:hint="default"/>
          <w:b w:val="0"/>
          <w:bCs w:val="0"/>
          <w:sz w:val="24"/>
          <w:szCs w:val="24"/>
          <w:lang w:val="en-US"/>
        </w:rPr>
        <w:t>In my supposition, these day care centers, which create programs for this sort of clients, will slowly be changed into "restoration and social integration centers" (concurring to the terminology of social administrations in Bulgaria), with the accentuation not on compensating the shortfalls of experts inside of day care, and on reinforcing the recuperation by engaging, including and guaranteeing support within the most extensive conceivable run of exercises in their characteristic environment. The day center may be a generally non-specific innovation, inside the complex psychiatric care of individuals with extreme mental sickness. This can be what makes the day center so troublesome to characterize - indicated by numerous diverse concepts and counting a assortment of programs and administrations. The day center was born as the successor of the psychiatric clinic and bears numerous of its highlights. At the same time, it was made to offer an elective to healing center treatment for a certain bunch of patients. Over time, the thought of the mission of day care centers changes. Anthony and co-authors point out: "Deinstitutionalization has opened the entryways of educate and literally given individuals medicines for their solutions when they take off. Be that as it may, recovery is attempting to open the entryways of the community and offer assistance individuals discover medicines for their lives. This is often the advancement of the thought of a day center - from a straightforward elective to a 24-hour remain in a clinic ward to a springboard for independ.</w:t>
      </w:r>
    </w:p>
    <w:p>
      <w:pPr>
        <w:numPr>
          <w:numId w:val="0"/>
        </w:numPr>
        <w:rPr>
          <w:rFonts w:hint="default"/>
          <w:b w:val="0"/>
          <w:bCs w:val="0"/>
          <w:sz w:val="24"/>
          <w:szCs w:val="24"/>
          <w:lang w:val="en-US"/>
        </w:rPr>
      </w:pPr>
    </w:p>
    <w:p>
      <w:pPr>
        <w:numPr>
          <w:numId w:val="0"/>
        </w:numPr>
        <w:rPr>
          <w:rFonts w:hint="default"/>
          <w:b w:val="0"/>
          <w:bCs w:val="0"/>
          <w:sz w:val="24"/>
          <w:szCs w:val="24"/>
          <w:lang w:val="en-US"/>
        </w:rPr>
      </w:pPr>
    </w:p>
    <w:p>
      <w:pPr>
        <w:numPr>
          <w:numId w:val="0"/>
        </w:numPr>
        <w:rPr>
          <w:rFonts w:hint="default"/>
          <w:b w:val="0"/>
          <w:bCs w:val="0"/>
          <w:sz w:val="24"/>
          <w:szCs w:val="24"/>
          <w:lang w:val="en-US"/>
        </w:rPr>
      </w:pPr>
    </w:p>
    <w:p>
      <w:pPr>
        <w:numPr>
          <w:numId w:val="0"/>
        </w:numPr>
        <w:rPr>
          <w:rFonts w:hint="default"/>
          <w:b w:val="0"/>
          <w:bCs w:val="0"/>
          <w:sz w:val="24"/>
          <w:szCs w:val="24"/>
          <w:lang w:val="en-US"/>
        </w:rPr>
      </w:pPr>
    </w:p>
    <w:p>
      <w:pPr>
        <w:numPr>
          <w:numId w:val="0"/>
        </w:numPr>
        <w:rPr>
          <w:rFonts w:hint="default"/>
          <w:b w:val="0"/>
          <w:bCs w:val="0"/>
          <w:sz w:val="24"/>
          <w:szCs w:val="24"/>
          <w:lang w:val="en-US"/>
        </w:rPr>
      </w:pPr>
    </w:p>
    <w:p>
      <w:pPr>
        <w:numPr>
          <w:numId w:val="0"/>
        </w:numPr>
        <w:rPr>
          <w:rFonts w:hint="default"/>
          <w:b w:val="0"/>
          <w:bCs w:val="0"/>
          <w:sz w:val="24"/>
          <w:szCs w:val="24"/>
          <w:lang w:val="en-US"/>
        </w:rPr>
      </w:pPr>
      <w:r>
        <w:rPr>
          <w:rFonts w:hint="default"/>
          <w:b w:val="0"/>
          <w:bCs w:val="0"/>
          <w:sz w:val="24"/>
          <w:szCs w:val="24"/>
          <w:lang w:val="en-US"/>
        </w:rPr>
        <w:t>Literature:</w:t>
      </w:r>
    </w:p>
    <w:p>
      <w:pPr>
        <w:numPr>
          <w:numId w:val="0"/>
        </w:numPr>
        <w:rPr>
          <w:rFonts w:hint="default"/>
          <w:b w:val="0"/>
          <w:bCs w:val="0"/>
          <w:sz w:val="24"/>
          <w:szCs w:val="24"/>
          <w:lang w:val="en-US"/>
        </w:rPr>
      </w:pPr>
    </w:p>
    <w:p>
      <w:pPr>
        <w:numPr>
          <w:numId w:val="0"/>
        </w:numPr>
        <w:rPr>
          <w:rFonts w:hint="default"/>
          <w:b w:val="0"/>
          <w:bCs w:val="0"/>
          <w:sz w:val="24"/>
          <w:szCs w:val="24"/>
          <w:lang w:val="en-US"/>
        </w:rPr>
      </w:pPr>
      <w:r>
        <w:rPr>
          <w:rFonts w:hint="default"/>
          <w:b w:val="0"/>
          <w:bCs w:val="0"/>
          <w:sz w:val="24"/>
          <w:szCs w:val="24"/>
          <w:lang w:val="en-US"/>
        </w:rPr>
        <w:t>1. Germanov, D., J. Katsarova, P. Karaginev. Technologies for ensuring the integration of people with chronic mental illness in the competitive labor market in the context of the modern understanding of the nature and role of psychosocial rehabilitation programs. In: Bulletin of the Bulgarian Psychiatric Association; issue 2/2004.</w:t>
      </w:r>
    </w:p>
    <w:p>
      <w:pPr>
        <w:numPr>
          <w:numId w:val="0"/>
        </w:numPr>
        <w:rPr>
          <w:rFonts w:hint="default"/>
          <w:b w:val="0"/>
          <w:bCs w:val="0"/>
          <w:sz w:val="24"/>
          <w:szCs w:val="24"/>
          <w:lang w:val="en-US"/>
        </w:rPr>
      </w:pPr>
    </w:p>
    <w:p>
      <w:pPr>
        <w:numPr>
          <w:numId w:val="0"/>
        </w:numPr>
        <w:rPr>
          <w:rFonts w:hint="default"/>
          <w:b w:val="0"/>
          <w:bCs w:val="0"/>
          <w:sz w:val="24"/>
          <w:szCs w:val="24"/>
          <w:lang w:val="en-US"/>
        </w:rPr>
      </w:pPr>
      <w:r>
        <w:rPr>
          <w:rFonts w:hint="default"/>
          <w:b w:val="0"/>
          <w:bCs w:val="0"/>
          <w:sz w:val="24"/>
          <w:szCs w:val="24"/>
          <w:lang w:val="en-US"/>
        </w:rPr>
        <w:t>2. Sotirov, V., I. Lazarova, D. Germanov, J. Katsarova, V. Velichkova. The implementation of programs for psychosocial rehabilitation in the Bulgarian context. In: Bulletin of the Bulgarian Psychiatric Association; issue 3/4, 2004.</w:t>
      </w:r>
    </w:p>
    <w:p>
      <w:pPr>
        <w:numPr>
          <w:numId w:val="0"/>
        </w:numPr>
        <w:rPr>
          <w:rFonts w:hint="default"/>
          <w:b w:val="0"/>
          <w:bCs w:val="0"/>
          <w:sz w:val="24"/>
          <w:szCs w:val="24"/>
          <w:lang w:val="en-US"/>
        </w:rPr>
      </w:pPr>
    </w:p>
    <w:p>
      <w:pPr>
        <w:numPr>
          <w:numId w:val="0"/>
        </w:numPr>
        <w:rPr>
          <w:rFonts w:hint="default"/>
          <w:b w:val="0"/>
          <w:bCs w:val="0"/>
          <w:sz w:val="24"/>
          <w:szCs w:val="24"/>
          <w:lang w:val="en-US"/>
        </w:rPr>
      </w:pPr>
      <w:r>
        <w:rPr>
          <w:rFonts w:hint="default"/>
          <w:b w:val="0"/>
          <w:bCs w:val="0"/>
          <w:sz w:val="24"/>
          <w:szCs w:val="24"/>
          <w:lang w:val="en-US"/>
        </w:rPr>
        <w:t>3. Menzos, S. Psychodynamic models in psychiatry. p.16, Steno, 2002, Varna ”.</w:t>
      </w:r>
    </w:p>
    <w:p>
      <w:pPr>
        <w:numPr>
          <w:numId w:val="0"/>
        </w:numPr>
        <w:rPr>
          <w:rFonts w:hint="default"/>
          <w:b w:val="0"/>
          <w:bCs w:val="0"/>
          <w:sz w:val="24"/>
          <w:szCs w:val="24"/>
          <w:lang w:val="en-US"/>
        </w:rPr>
      </w:pPr>
    </w:p>
    <w:p>
      <w:pPr>
        <w:numPr>
          <w:numId w:val="0"/>
        </w:numPr>
        <w:rPr>
          <w:rFonts w:hint="default"/>
          <w:b w:val="0"/>
          <w:bCs w:val="0"/>
          <w:sz w:val="24"/>
          <w:szCs w:val="24"/>
          <w:lang w:val="en-US"/>
        </w:rPr>
      </w:pPr>
      <w:r>
        <w:rPr>
          <w:rFonts w:hint="default"/>
          <w:b w:val="0"/>
          <w:bCs w:val="0"/>
          <w:sz w:val="24"/>
          <w:szCs w:val="24"/>
          <w:lang w:val="en-US"/>
        </w:rPr>
        <w:t>4. Petkov, V. Quality of life in patients with chronic schizophrenia. Doctoral</w:t>
      </w:r>
    </w:p>
    <w:p>
      <w:pPr>
        <w:numPr>
          <w:numId w:val="0"/>
        </w:numPr>
        <w:rPr>
          <w:rFonts w:hint="default"/>
          <w:b w:val="0"/>
          <w:bCs w:val="0"/>
          <w:sz w:val="24"/>
          <w:szCs w:val="24"/>
          <w:lang w:val="en-US"/>
        </w:rPr>
      </w:pPr>
    </w:p>
    <w:p>
      <w:pPr>
        <w:numPr>
          <w:numId w:val="0"/>
        </w:numPr>
        <w:rPr>
          <w:rFonts w:hint="default"/>
          <w:b w:val="0"/>
          <w:bCs w:val="0"/>
          <w:sz w:val="24"/>
          <w:szCs w:val="24"/>
          <w:lang w:val="en-US"/>
        </w:rPr>
      </w:pPr>
      <w:r>
        <w:rPr>
          <w:rFonts w:hint="default"/>
          <w:b w:val="0"/>
          <w:bCs w:val="0"/>
          <w:sz w:val="24"/>
          <w:szCs w:val="24"/>
          <w:lang w:val="en-US"/>
        </w:rPr>
        <w:t>dissertation, 1999, Sofia</w:t>
      </w:r>
    </w:p>
    <w:p>
      <w:pPr>
        <w:numPr>
          <w:numId w:val="0"/>
        </w:numPr>
        <w:rPr>
          <w:rFonts w:hint="default"/>
          <w:b w:val="0"/>
          <w:bCs w:val="0"/>
          <w:sz w:val="24"/>
          <w:szCs w:val="24"/>
          <w:lang w:val="en-US"/>
        </w:rPr>
      </w:pPr>
      <w:r>
        <w:rPr>
          <w:rFonts w:hint="default"/>
          <w:b w:val="0"/>
          <w:bCs w:val="0"/>
          <w:sz w:val="24"/>
          <w:szCs w:val="24"/>
          <w:lang w:val="en-US"/>
        </w:rPr>
        <w:t>5.    Anthony, W.A., Cohen, M.R., Farkas, M.D., Gagne, C. (2002). Psychiatric Rehabilitation, 2nd</w:t>
      </w:r>
    </w:p>
    <w:p>
      <w:pPr>
        <w:numPr>
          <w:numId w:val="0"/>
        </w:numPr>
        <w:rPr>
          <w:rFonts w:hint="default"/>
          <w:b w:val="0"/>
          <w:bCs w:val="0"/>
          <w:sz w:val="24"/>
          <w:szCs w:val="24"/>
          <w:lang w:val="en-US"/>
        </w:rPr>
      </w:pPr>
      <w:r>
        <w:rPr>
          <w:rFonts w:hint="default"/>
          <w:b w:val="0"/>
          <w:bCs w:val="0"/>
          <w:sz w:val="24"/>
          <w:szCs w:val="24"/>
          <w:lang w:val="en-US"/>
        </w:rPr>
        <w:t>edition. Boston, MA: Boston University, Center for Psychiatric Rehabilitation.</w:t>
      </w:r>
    </w:p>
    <w:p>
      <w:pPr>
        <w:numPr>
          <w:numId w:val="0"/>
        </w:numPr>
        <w:rPr>
          <w:rFonts w:hint="default"/>
          <w:b w:val="0"/>
          <w:bCs w:val="0"/>
          <w:sz w:val="24"/>
          <w:szCs w:val="24"/>
          <w:lang w:val="en-US"/>
        </w:rPr>
      </w:pPr>
      <w:r>
        <w:rPr>
          <w:rFonts w:hint="default"/>
          <w:b w:val="0"/>
          <w:bCs w:val="0"/>
          <w:sz w:val="24"/>
          <w:szCs w:val="24"/>
          <w:lang w:val="en-US"/>
        </w:rPr>
        <w:t>6.   Deborah R. Becker, M.Ed.; Gary R. Bond, Ph.D.; Daniel McCarthy, M.Ed.; Daniel Thompson, M.S.W.; Haiyi Xie, Ph.D.; Gregory J. McHugo, Ph.D.; Robert E. Drake, M.D., Ph.D.: Converting</w:t>
      </w:r>
    </w:p>
    <w:p>
      <w:pPr>
        <w:numPr>
          <w:numId w:val="0"/>
        </w:numPr>
        <w:rPr>
          <w:rFonts w:hint="default"/>
          <w:b w:val="0"/>
          <w:bCs w:val="0"/>
          <w:sz w:val="24"/>
          <w:szCs w:val="24"/>
          <w:lang w:val="en-US"/>
        </w:rPr>
      </w:pPr>
      <w:r>
        <w:rPr>
          <w:rFonts w:hint="default"/>
          <w:b w:val="0"/>
          <w:bCs w:val="0"/>
          <w:sz w:val="24"/>
          <w:szCs w:val="24"/>
          <w:lang w:val="en-US"/>
        </w:rPr>
        <w:t> </w:t>
      </w:r>
    </w:p>
    <w:p>
      <w:pPr>
        <w:numPr>
          <w:numId w:val="0"/>
        </w:numPr>
        <w:rPr>
          <w:rFonts w:hint="default"/>
          <w:b w:val="0"/>
          <w:bCs w:val="0"/>
          <w:sz w:val="24"/>
          <w:szCs w:val="24"/>
          <w:lang w:val="en-US"/>
        </w:rPr>
      </w:pPr>
      <w:r>
        <w:rPr>
          <w:rFonts w:hint="default"/>
          <w:b w:val="0"/>
          <w:bCs w:val="0"/>
          <w:sz w:val="24"/>
          <w:szCs w:val="24"/>
          <w:lang w:val="en-US"/>
        </w:rPr>
        <w:t>Day Treatment Centers to Supported Employment Programs in Rhode Island; Psychiatric Services; March 2001, Vol. 52 No. 3.</w:t>
      </w:r>
    </w:p>
    <w:p>
      <w:pPr>
        <w:numPr>
          <w:numId w:val="0"/>
        </w:numPr>
        <w:rPr>
          <w:rFonts w:hint="default"/>
          <w:b w:val="0"/>
          <w:bCs w:val="0"/>
          <w:sz w:val="24"/>
          <w:szCs w:val="24"/>
          <w:lang w:val="en-US"/>
        </w:rPr>
      </w:pPr>
      <w:r>
        <w:rPr>
          <w:rFonts w:hint="default"/>
          <w:b w:val="0"/>
          <w:bCs w:val="0"/>
          <w:sz w:val="24"/>
          <w:szCs w:val="24"/>
          <w:lang w:val="en-US"/>
        </w:rPr>
        <w:t>7.    Drake, Robert E.: A brief history of the individual placement and support model. Psychiatric Rehabilitation Journal, Summer 98, Vol. 22 Issue 1.</w:t>
      </w:r>
    </w:p>
    <w:p>
      <w:pPr>
        <w:numPr>
          <w:numId w:val="0"/>
        </w:numPr>
        <w:rPr>
          <w:rFonts w:hint="default"/>
          <w:b w:val="0"/>
          <w:bCs w:val="0"/>
          <w:sz w:val="24"/>
          <w:szCs w:val="24"/>
          <w:lang w:val="en-US"/>
        </w:rPr>
      </w:pPr>
      <w:r>
        <w:rPr>
          <w:rFonts w:hint="default"/>
          <w:b w:val="0"/>
          <w:bCs w:val="0"/>
          <w:sz w:val="24"/>
          <w:szCs w:val="24"/>
          <w:lang w:val="en-US"/>
        </w:rPr>
        <w:t>8.    Fallon, L. Fleming Jr., M.D., Dr.PH: The Encyclopedia of Surgery; http://www.surgeryencyclopedia.com/A-Ce/Adult-Day-Care.html; 2007</w:t>
      </w:r>
    </w:p>
    <w:p>
      <w:pPr>
        <w:numPr>
          <w:numId w:val="0"/>
        </w:numPr>
        <w:rPr>
          <w:rFonts w:hint="default"/>
          <w:b w:val="0"/>
          <w:bCs w:val="0"/>
          <w:sz w:val="24"/>
          <w:szCs w:val="24"/>
          <w:lang w:val="en-US"/>
        </w:rPr>
      </w:pPr>
      <w:r>
        <w:rPr>
          <w:rFonts w:hint="default"/>
          <w:b w:val="0"/>
          <w:bCs w:val="0"/>
          <w:sz w:val="24"/>
          <w:szCs w:val="24"/>
          <w:lang w:val="en-US"/>
        </w:rPr>
        <w:t>9.    McCarthy, D., Thompson, D., and Olson, S.: Planning a statewide project to convert day treatment to supported employment; Psychiatric Rehabilitation Journal; Summer 98, Vol. 22, Issue 1.</w:t>
      </w:r>
    </w:p>
    <w:p>
      <w:pPr>
        <w:numPr>
          <w:numId w:val="0"/>
        </w:numPr>
        <w:rPr>
          <w:rFonts w:hint="default"/>
          <w:b w:val="0"/>
          <w:bCs w:val="0"/>
          <w:sz w:val="24"/>
          <w:szCs w:val="24"/>
          <w:lang w:val="en-US"/>
        </w:rPr>
      </w:pPr>
      <w:r>
        <w:rPr>
          <w:rFonts w:hint="default"/>
          <w:b w:val="0"/>
          <w:bCs w:val="0"/>
          <w:sz w:val="24"/>
          <w:szCs w:val="24"/>
          <w:lang w:val="en-US"/>
        </w:rPr>
        <w:t>10. Marshall, M. (2005): How effective are different types of day care services for people with severe mental disorders?; Copenhagen, WHO Regional Office for Europe (Health Evidence Network report; http://www.euro.who.int/Document/E87317.pdf).</w:t>
      </w:r>
    </w:p>
    <w:p>
      <w:pPr>
        <w:numPr>
          <w:numId w:val="0"/>
        </w:numPr>
        <w:rPr>
          <w:rFonts w:hint="default"/>
          <w:b w:val="0"/>
          <w:bCs w:val="0"/>
          <w:sz w:val="24"/>
          <w:szCs w:val="24"/>
          <w:lang w:val="en-US"/>
        </w:rPr>
      </w:pPr>
      <w:r>
        <w:rPr>
          <w:rFonts w:hint="default"/>
          <w:b w:val="0"/>
          <w:bCs w:val="0"/>
          <w:sz w:val="24"/>
          <w:szCs w:val="24"/>
          <w:lang w:val="en-US"/>
        </w:rPr>
        <w:t>11.  Rosen A., Barfoot K., Newton L.: Day care and occupation: structured rehabilitation and recovery programmes and work. In: Thornicroft G, Szmukler G, editors. Textbook of community psychiatry. Oxford: Oxford University Press; 2001. (Rosen &amp; Barfoot, 2001).</w:t>
      </w:r>
    </w:p>
    <w:p>
      <w:pPr>
        <w:numPr>
          <w:numId w:val="0"/>
        </w:numPr>
        <w:rPr>
          <w:rFonts w:hint="default"/>
          <w:b w:val="0"/>
          <w:bCs w:val="0"/>
          <w:sz w:val="24"/>
          <w:szCs w:val="24"/>
          <w:lang w:val="en-US"/>
        </w:rPr>
      </w:pPr>
      <w:r>
        <w:rPr>
          <w:rFonts w:hint="default"/>
          <w:b w:val="0"/>
          <w:bCs w:val="0"/>
          <w:sz w:val="24"/>
          <w:szCs w:val="24"/>
          <w:lang w:val="en-US"/>
        </w:rPr>
        <w:t>12. Schene, A.: Partial hospitalisation, in Thornicroft G. &amp; Szmukler G. (2001) Textbook of Community Psychiatry. Oxford University Press, Oxford.</w:t>
      </w:r>
    </w:p>
    <w:p>
      <w:pPr>
        <w:numPr>
          <w:numId w:val="0"/>
        </w:numPr>
        <w:rPr>
          <w:rFonts w:hint="default"/>
          <w:b w:val="0"/>
          <w:bCs w:val="0"/>
          <w:sz w:val="24"/>
          <w:szCs w:val="24"/>
          <w:lang w:val="en-US"/>
        </w:rPr>
      </w:pPr>
      <w:r>
        <w:rPr>
          <w:rFonts w:hint="default"/>
          <w:b w:val="0"/>
          <w:bCs w:val="0"/>
          <w:sz w:val="24"/>
          <w:szCs w:val="24"/>
          <w:lang w:val="en-US"/>
        </w:rPr>
        <w:t>13.  The International Center for Clubhouse Development; http://www.iccd.org/article.asp?articleID=3</w:t>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 w:name="Lat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Calibri">
    <w:panose1 w:val="020F0502020204030204"/>
    <w:charset w:val="00"/>
    <w:family w:val="auto"/>
    <w:pitch w:val="default"/>
    <w:sig w:usb0="E0002AFF" w:usb1="C000247B" w:usb2="00000009" w:usb3="00000000" w:csb0="200001F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E205226"/>
    <w:multiLevelType w:val="singleLevel"/>
    <w:tmpl w:val="FE205226"/>
    <w:lvl w:ilvl="0" w:tentative="0">
      <w:start w:val="5"/>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E013579"/>
    <w:rsid w:val="3E013579"/>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5">
    <w:name w:val="Default Paragraph Font"/>
    <w:semiHidden/>
    <w:uiPriority w:val="0"/>
  </w:style>
  <w:style w:type="table" w:default="1" w:styleId="8">
    <w:name w:val="Normal Table"/>
    <w:semiHidden/>
    <w:uiPriority w:val="0"/>
    <w:tblPr>
      <w:tblLayout w:type="fixed"/>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szCs w:val="18"/>
    </w:rPr>
  </w:style>
  <w:style w:type="paragraph" w:styleId="3">
    <w:name w:val="header"/>
    <w:basedOn w:val="1"/>
    <w:uiPriority w:val="0"/>
    <w:pPr>
      <w:tabs>
        <w:tab w:val="center" w:pos="4153"/>
        <w:tab w:val="right" w:pos="8306"/>
      </w:tabs>
      <w:snapToGrid w:val="0"/>
    </w:pPr>
    <w:rPr>
      <w:sz w:val="18"/>
      <w:szCs w:val="18"/>
    </w:rPr>
  </w:style>
  <w:style w:type="paragraph" w:styleId="4">
    <w:name w:val="Normal (Web)"/>
    <w:uiPriority w:val="0"/>
    <w:pPr>
      <w:spacing w:before="0" w:beforeAutospacing="1" w:after="0" w:afterAutospacing="1"/>
      <w:ind w:left="0" w:right="0"/>
      <w:jc w:val="left"/>
    </w:pPr>
    <w:rPr>
      <w:kern w:val="0"/>
      <w:sz w:val="24"/>
      <w:szCs w:val="24"/>
      <w:lang w:val="en-US" w:eastAsia="zh-CN" w:bidi="ar"/>
    </w:rPr>
  </w:style>
  <w:style w:type="character" w:styleId="6">
    <w:name w:val="Emphasis"/>
    <w:basedOn w:val="5"/>
    <w:qFormat/>
    <w:uiPriority w:val="0"/>
    <w:rPr>
      <w:i/>
      <w:iCs/>
    </w:rPr>
  </w:style>
  <w:style w:type="character" w:styleId="7">
    <w:name w:val="Hyperlink"/>
    <w:basedOn w:val="5"/>
    <w:uiPriority w:val="0"/>
    <w:rPr>
      <w:color w:val="0000FF"/>
      <w:u w:val="single"/>
    </w:rPr>
  </w:style>
  <w:style w:type="paragraph" w:customStyle="1" w:styleId="9">
    <w:name w:val="Default"/>
    <w:qFormat/>
    <w:uiPriority w:val="0"/>
    <w:pPr>
      <w:autoSpaceDE w:val="0"/>
      <w:autoSpaceDN w:val="0"/>
      <w:adjustRightInd w:val="0"/>
      <w:spacing w:after="0" w:line="240" w:lineRule="auto"/>
    </w:pPr>
    <w:rPr>
      <w:rFonts w:ascii="Arial" w:hAnsi="Arial" w:cs="Arial" w:eastAsiaTheme="minorHAnsi"/>
      <w:color w:val="000000"/>
      <w:sz w:val="24"/>
      <w:szCs w:val="24"/>
      <w:lang w:val="bg-BG" w:eastAsia="en-US" w:bidi="ar-SA"/>
    </w:r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456</TotalTime>
  <ScaleCrop>false</ScaleCrop>
  <LinksUpToDate>false</LinksUpToDate>
  <CharactersWithSpaces>0</CharactersWithSpaces>
  <Application>WPS Office_10.2.0.7646_F1E327BC-269C-435d-A152-05C5408002CA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2020-12-10T07:49:00Z</dcterms:created>
  <dc:creator>G 50-30</dc:creator>
  <cp:lastModifiedBy>G 50-30</cp:lastModifiedBy>
  <dcterms:modified xsi:type="dcterms:W3CDTF">2020-12-10T18:25:30Z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1033-10.2.0.7646</vt:lpwstr>
  </property>
</Properties>
</file>