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media/image1.jpeg" ContentType="image/jpeg"/>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media/image2.jpeg" ContentType="image/jpeg"/>
  <Override PartName="/word/media/image3.jpeg" ContentType="image/jpeg"/>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media/image4.jpeg" ContentType="image/jpeg"/>
  <Override PartName="/word/header8.xml" ContentType="application/vnd.openxmlformats-officedocument.wordprocessingml.header+xml"/>
  <Override PartName="/word/footer8.xml" ContentType="application/vnd.openxmlformats-officedocument.wordprocessingml.footer+xml"/>
  <Override PartName="/word/media/image5.jpeg" ContentType="image/jpeg"/>
  <Override PartName="/word/header9.xml" ContentType="application/vnd.openxmlformats-officedocument.wordprocessingml.header+xml"/>
  <Override PartName="/word/footer9.xml" ContentType="application/vnd.openxmlformats-officedocument.wordprocessingml.footer+xml"/>
  <Override PartName="/word/media/image6.jpeg" ContentType="image/jpeg"/>
  <Override PartName="/word/media/image7.jpeg" ContentType="image/jpeg"/>
  <Override PartName="/word/header10.xml" ContentType="application/vnd.openxmlformats-officedocument.wordprocessingml.header+xml"/>
  <Override PartName="/word/footer10.xml" ContentType="application/vnd.openxmlformats-officedocument.wordprocessingml.footer+xml"/>
  <Override PartName="/word/media/image8.jpeg" ContentType="image/jpeg"/>
  <Override PartName="/word/media/image9.jpeg" ContentType="image/jpeg"/>
  <Override PartName="/word/header11.xml" ContentType="application/vnd.openxmlformats-officedocument.wordprocessingml.header+xml"/>
  <Override PartName="/word/footer11.xml" ContentType="application/vnd.openxmlformats-officedocument.wordprocessingml.footer+xml"/>
  <Override PartName="/word/media/image10.jpeg" ContentType="image/jpeg"/>
  <Override PartName="/word/media/image11.jpeg" ContentType="image/jpeg"/>
  <Override PartName="/word/media/image12.jpeg" ContentType="image/jpeg"/>
  <Override PartName="/word/media/image13.jpeg" ContentType="image/jpeg"/>
  <Override PartName="/word/header12.xml" ContentType="application/vnd.openxmlformats-officedocument.wordprocessingml.header+xml"/>
  <Override PartName="/word/footer12.xml" ContentType="application/vnd.openxmlformats-officedocument.wordprocessingml.footer+xml"/>
  <Override PartName="/word/media/image14.jpeg" ContentType="image/jpeg"/>
  <Override PartName="/word/header13.xml" ContentType="application/vnd.openxmlformats-officedocument.wordprocessingml.header+xml"/>
  <Override PartName="/word/footer13.xml" ContentType="application/vnd.openxmlformats-officedocument.wordprocessingml.footer+xml"/>
  <Override PartName="/word/media/image15.jpeg" ContentType="image/jpeg"/>
  <Override PartName="/word/header14.xml" ContentType="application/vnd.openxmlformats-officedocument.wordprocessingml.header+xml"/>
  <Override PartName="/word/footer14.xml" ContentType="application/vnd.openxmlformats-officedocument.wordprocessingml.footer+xml"/>
  <Override PartName="/word/media/image16.jpeg" ContentType="image/jpeg"/>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b w:val="1"/>
          <w:bCs w:val="1"/>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72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HPCA7019</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w:t>
            </w:r>
            <w:r>
              <w:rPr>
                <w:rFonts w:ascii="Arial" w:hAnsi="Arial"/>
                <w:sz w:val="22"/>
                <w:szCs w:val="22"/>
                <w:rtl w:val="0"/>
                <w:lang w:val="en-US"/>
              </w:rPr>
              <w:t>Sacred Skies</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rtl w:val="0"/>
                <w:lang w:val="en-US"/>
              </w:rPr>
              <w:t>The Prehistorical Boscawen-un Stone Circle: magic in the landscape</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14th May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This assignment is for the       1</w:t>
            </w:r>
            <w:r>
              <w:rPr>
                <w:rFonts w:ascii="Arial" w:hAnsi="Arial"/>
                <w:sz w:val="22"/>
                <w:szCs w:val="22"/>
                <w:u w:color="000000"/>
                <w:shd w:val="nil" w:color="auto" w:fill="auto"/>
                <w:vertAlign w:val="superscript"/>
                <w:rtl w:val="0"/>
              </w:rPr>
              <w:t xml:space="preserve">st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4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left"/>
        <w:sectPr>
          <w:headerReference w:type="default" r:id="rId5"/>
          <w:footerReference w:type="default" r:id="rId6"/>
          <w:pgSz w:w="12240" w:h="15840"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Trebuchet MS" w:cs="Trebuchet MS" w:hAnsi="Trebuchet MS" w:eastAsia="Trebuchet MS"/>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Trebuchet MS" w:cs="Trebuchet MS" w:hAnsi="Trebuchet MS" w:eastAsia="Trebuchet MS"/>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r>
        <w:rPr>
          <w:rFonts w:ascii="Palatino" w:hAnsi="Palatino"/>
          <w:sz w:val="32"/>
          <w:szCs w:val="32"/>
          <w:rtl w:val="0"/>
          <w:lang w:val="en-US"/>
        </w:rPr>
        <w:t>The Prehistorical Boscawen-un Stone Circle: magic in the landscape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(final word count: 5248)</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Boscawen-un is a stone circle near St. Buryan in the far west of Cornwall, England, UK.  This field study explored if there was a significance to the prehistorical alignment of the Boscawen-un stone circle.  An interest in the site arose from </w:t>
      </w:r>
      <w:r>
        <w:rPr>
          <w:rFonts w:ascii="Palatino" w:hAnsi="Palatino"/>
          <w:sz w:val="22"/>
          <w:szCs w:val="22"/>
          <w:rtl w:val="0"/>
          <w:lang w:val="de-DE"/>
        </w:rPr>
        <w:t>Peter Herring</w:t>
      </w:r>
      <w:r>
        <w:rPr>
          <w:rFonts w:ascii="Palatino" w:hAnsi="Palatino" w:hint="default"/>
          <w:sz w:val="22"/>
          <w:szCs w:val="22"/>
          <w:rtl w:val="1"/>
        </w:rPr>
        <w:t>’</w:t>
      </w:r>
      <w:r>
        <w:rPr>
          <w:rFonts w:ascii="Palatino" w:hAnsi="Palatino"/>
          <w:sz w:val="22"/>
          <w:szCs w:val="22"/>
          <w:rtl w:val="0"/>
          <w:lang w:val="en-US"/>
        </w:rPr>
        <w:t>s archaeological assessment</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as well as Carolyn Ke</w:t>
      </w:r>
      <w:r>
        <w:rPr>
          <w:rFonts w:ascii="Palatino" w:hAnsi="Palatino"/>
          <w:sz w:val="22"/>
          <w:szCs w:val="22"/>
          <w:rtl w:val="0"/>
        </w:rPr>
        <w:t>nnett</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en-US"/>
        </w:rPr>
        <w:t xml:space="preserve"> astronomical examination. </w:t>
      </w:r>
      <w:r>
        <w:rPr>
          <w:rFonts w:ascii="Palatino" w:cs="Palatino" w:hAnsi="Palatino" w:eastAsia="Palatino"/>
          <w:sz w:val="22"/>
          <w:szCs w:val="22"/>
          <w:vertAlign w:val="superscript"/>
        </w:rPr>
        <w:footnoteReference w:id="1"/>
      </w:r>
      <w:r>
        <w:rPr>
          <w:rFonts w:ascii="Palatino" w:hAnsi="Palatino"/>
          <w:sz w:val="22"/>
          <w:szCs w:val="22"/>
          <w:rtl w:val="0"/>
          <w:lang w:val="en-US"/>
        </w:rPr>
        <w:t xml:space="preserve">  There are variable interpretations of the prehistorical alignment, which this essay will explore.  </w:t>
      </w:r>
      <w:r>
        <w:rPr>
          <w:rFonts w:ascii="Palatino" w:hAnsi="Palatino"/>
          <w:sz w:val="22"/>
          <w:szCs w:val="22"/>
          <w:rtl w:val="0"/>
          <w:lang w:val="en-US"/>
        </w:rPr>
        <w:t xml:space="preserve">The </w:t>
      </w:r>
      <w:r>
        <w:rPr>
          <w:rFonts w:ascii="Palatino" w:hAnsi="Palatino"/>
          <w:sz w:val="22"/>
          <w:szCs w:val="22"/>
          <w:rtl w:val="0"/>
          <w:lang w:val="en-US"/>
        </w:rPr>
        <w:t xml:space="preserve">riches of </w:t>
      </w:r>
      <w:r>
        <w:rPr>
          <w:rFonts w:ascii="Palatino" w:hAnsi="Palatino"/>
          <w:sz w:val="22"/>
          <w:szCs w:val="22"/>
          <w:rtl w:val="0"/>
          <w:lang w:val="en-US"/>
        </w:rPr>
        <w:t xml:space="preserve">the Boscawen-un landscape are described by </w:t>
      </w:r>
      <w:r>
        <w:rPr>
          <w:rFonts w:ascii="Palatino" w:hAnsi="Palatino"/>
          <w:sz w:val="22"/>
          <w:szCs w:val="22"/>
          <w:rtl w:val="0"/>
          <w:lang w:val="en-US"/>
        </w:rPr>
        <w:t xml:space="preserve">Craig </w:t>
      </w:r>
      <w:r>
        <w:rPr>
          <w:rFonts w:ascii="Palatino" w:hAnsi="Palatino"/>
          <w:sz w:val="22"/>
          <w:szCs w:val="22"/>
          <w:rtl w:val="0"/>
          <w:lang w:val="en-US"/>
        </w:rPr>
        <w:t xml:space="preserve">Weatherhill and </w:t>
      </w:r>
      <w:r>
        <w:rPr>
          <w:rFonts w:ascii="Palatino" w:hAnsi="Palatino"/>
          <w:sz w:val="22"/>
          <w:szCs w:val="22"/>
          <w:rtl w:val="0"/>
          <w:lang w:val="en-US"/>
        </w:rPr>
        <w:t xml:space="preserve">Ian </w:t>
      </w:r>
      <w:r>
        <w:rPr>
          <w:rFonts w:ascii="Palatino" w:hAnsi="Palatino"/>
          <w:sz w:val="22"/>
          <w:szCs w:val="22"/>
          <w:rtl w:val="0"/>
          <w:lang w:val="it-IT"/>
        </w:rPr>
        <w:t>McNeil Cook</w:t>
      </w:r>
      <w:r>
        <w:rPr>
          <w:rFonts w:ascii="Palatino" w:hAnsi="Palatino"/>
          <w:sz w:val="22"/>
          <w:szCs w:val="22"/>
          <w:rtl w:val="0"/>
          <w:lang w:val="en-US"/>
        </w:rPr>
        <w:t>, who further discussed the possible hypotheses of landscape and stone circles as magical places</w:t>
      </w:r>
      <w:r>
        <w:rPr>
          <w:rFonts w:ascii="Palatino" w:hAnsi="Palatino"/>
          <w:sz w:val="22"/>
          <w:szCs w:val="22"/>
          <w:rtl w:val="0"/>
        </w:rPr>
        <w:t xml:space="preserve">.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This study focused on examining the Boscawen-un stone circle, particularly the central,</w:t>
      </w:r>
      <w:r>
        <w:rPr>
          <w:rFonts w:ascii="Palatino" w:hAnsi="Palatino"/>
          <w:sz w:val="22"/>
          <w:szCs w:val="22"/>
          <w:rtl w:val="0"/>
          <w:lang w:val="da-DK"/>
        </w:rPr>
        <w:t xml:space="preserve"> </w:t>
      </w:r>
      <w:r>
        <w:rPr>
          <w:rFonts w:ascii="Palatino" w:hAnsi="Palatino"/>
          <w:sz w:val="22"/>
          <w:szCs w:val="22"/>
          <w:rtl w:val="0"/>
          <w:lang w:val="en-US"/>
        </w:rPr>
        <w:t xml:space="preserve">eastern and quartz stones.  Furthermore, the naked-eye </w:t>
      </w:r>
      <w:r>
        <w:rPr>
          <w:rFonts w:ascii="Palatino" w:hAnsi="Palatino"/>
          <w:sz w:val="22"/>
          <w:szCs w:val="22"/>
          <w:rtl w:val="0"/>
          <w:lang w:val="en-US"/>
        </w:rPr>
        <w:t>landscape</w:t>
      </w:r>
      <w:r>
        <w:rPr>
          <w:rFonts w:ascii="Palatino" w:hAnsi="Palatino"/>
          <w:sz w:val="22"/>
          <w:szCs w:val="22"/>
          <w:rtl w:val="0"/>
          <w:lang w:val="en-US"/>
        </w:rPr>
        <w:t xml:space="preserve"> will be discussed, along with the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of the Boscawen-un stone circle.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was described by Isis Brook as the </w:t>
      </w:r>
      <w:r>
        <w:rPr>
          <w:rFonts w:ascii="Palatino" w:hAnsi="Palatino" w:hint="default"/>
          <w:sz w:val="22"/>
          <w:szCs w:val="22"/>
          <w:rtl w:val="0"/>
          <w:lang w:val="en-US"/>
        </w:rPr>
        <w:t>‘</w:t>
      </w:r>
      <w:r>
        <w:rPr>
          <w:rFonts w:ascii="Palatino" w:hAnsi="Palatino"/>
          <w:sz w:val="22"/>
          <w:szCs w:val="22"/>
          <w:rtl w:val="0"/>
          <w:lang w:val="en-US"/>
        </w:rPr>
        <w:t xml:space="preserve">spirit of a place' or </w:t>
      </w:r>
      <w:r>
        <w:rPr>
          <w:rFonts w:ascii="Palatino" w:hAnsi="Palatino" w:hint="default"/>
          <w:sz w:val="22"/>
          <w:szCs w:val="22"/>
          <w:rtl w:val="0"/>
          <w:lang w:val="en-US"/>
        </w:rPr>
        <w:t>‘</w:t>
      </w:r>
      <w:r>
        <w:rPr>
          <w:rFonts w:ascii="Palatino" w:hAnsi="Palatino"/>
          <w:sz w:val="22"/>
          <w:szCs w:val="22"/>
          <w:rtl w:val="0"/>
          <w:lang w:val="en-US"/>
        </w:rPr>
        <w:t>sense of a place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
      </w:r>
      <w:r>
        <w:rPr>
          <w:rFonts w:ascii="Palatino" w:hAnsi="Palatino"/>
          <w:sz w:val="22"/>
          <w:szCs w:val="22"/>
          <w:rtl w:val="0"/>
          <w:lang w:val="en-US"/>
        </w:rPr>
        <w:t xml:space="preserve">  Brook described how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expressed many phenomenologies, albeit this essay in particular explore</w:t>
      </w:r>
      <w:r>
        <w:rPr>
          <w:rFonts w:ascii="Palatino" w:hAnsi="Palatino"/>
          <w:sz w:val="22"/>
          <w:szCs w:val="22"/>
          <w:rtl w:val="0"/>
          <w:lang w:val="da-DK"/>
        </w:rPr>
        <w:t>d</w:t>
      </w:r>
      <w:r>
        <w:rPr>
          <w:rFonts w:ascii="Palatino" w:hAnsi="Palatino"/>
          <w:sz w:val="22"/>
          <w:szCs w:val="22"/>
          <w:rtl w:val="0"/>
          <w:lang w:val="en-US"/>
        </w:rPr>
        <w:t xml:space="preserve"> the Boscawen-un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in the aspects of essence/character and vibrancy/energy fields.  As mentioned by Aubrey Burl, conclusions should not be drawn from single sites, or if solitary measured.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With awareness of this, the study found that the Boscawen-un stone circle was a place of vibrancy, magic and awe in the landscape, which conceivably enchanted prehistoric man, as it, in the present day, enchanted this contemporary human.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7"/>
          <w:footerReference w:type="default" r:id="rId8"/>
          <w:pgSz w:w="12240" w:h="15840"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w:t>
      </w:r>
      <w:r>
        <w:rPr>
          <w:rFonts w:ascii="Palatino" w:hAnsi="Palatino"/>
          <w:sz w:val="22"/>
          <w:szCs w:val="22"/>
          <w:rtl w:val="0"/>
          <w:lang w:val="en-US"/>
        </w:rPr>
        <w:t xml:space="preserve">qualitative field study was </w:t>
      </w:r>
      <w:r>
        <w:rPr>
          <w:rFonts w:ascii="Palatino" w:hAnsi="Palatino"/>
          <w:sz w:val="22"/>
          <w:szCs w:val="22"/>
          <w:rtl w:val="0"/>
          <w:lang w:val="en-US"/>
        </w:rPr>
        <w:t xml:space="preserve">completed </w:t>
      </w:r>
      <w:r>
        <w:rPr>
          <w:rFonts w:ascii="Palatino" w:hAnsi="Palatino"/>
          <w:sz w:val="22"/>
          <w:szCs w:val="22"/>
          <w:rtl w:val="0"/>
          <w:lang w:val="en-US"/>
        </w:rPr>
        <w:t>from 14 March to 27</w:t>
      </w:r>
      <w:r>
        <w:rPr>
          <w:rFonts w:ascii="Palatino" w:hAnsi="Palatino"/>
          <w:sz w:val="22"/>
          <w:szCs w:val="22"/>
          <w:rtl w:val="0"/>
        </w:rPr>
        <w:t xml:space="preserve"> </w:t>
      </w:r>
      <w:r>
        <w:rPr>
          <w:rFonts w:ascii="Palatino" w:hAnsi="Palatino"/>
          <w:sz w:val="22"/>
          <w:szCs w:val="22"/>
          <w:rtl w:val="0"/>
          <w:lang w:val="en-US"/>
        </w:rPr>
        <w:t>April</w:t>
      </w:r>
      <w:r>
        <w:rPr>
          <w:rFonts w:ascii="Palatino" w:hAnsi="Palatino"/>
          <w:sz w:val="22"/>
          <w:szCs w:val="22"/>
          <w:rtl w:val="0"/>
          <w:lang w:val="en-US"/>
        </w:rPr>
        <w:t xml:space="preserve"> 2021</w:t>
      </w:r>
      <w:r>
        <w:rPr>
          <w:rFonts w:ascii="Palatino" w:hAnsi="Palatino"/>
          <w:sz w:val="22"/>
          <w:szCs w:val="22"/>
          <w:rtl w:val="0"/>
          <w:lang w:val="en-US"/>
        </w:rPr>
        <w:t xml:space="preserve">.  Judith Bell and Stephen Waters raised the aspect of the purpose of studies.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The purpose of this essay and field work study was to analyse and discuss current scholarships against the most significant findings at Boscawen-un: 1) Fertility and Light, and 2) Genius Loci.  Monique Hennick et.al. described the cycles of qualitative research as a framework for conducting an interpretive approach, </w:t>
      </w:r>
      <w:r>
        <w:rPr>
          <w:rFonts w:ascii="Palatino" w:cs="Palatino" w:hAnsi="Palatino" w:eastAsia="Palatino"/>
          <w:sz w:val="22"/>
          <w:szCs w:val="22"/>
          <w:vertAlign w:val="superscript"/>
        </w:rPr>
        <w:footnoteReference w:id="6"/>
      </w:r>
      <w:r>
        <w:rPr>
          <w:rFonts w:ascii="Palatino" w:hAnsi="Palatino"/>
          <w:sz w:val="22"/>
          <w:szCs w:val="22"/>
          <w:rtl w:val="0"/>
          <w:lang w:val="en-US"/>
        </w:rPr>
        <w:t xml:space="preserve"> which can be utilised in a comprehensive study, to: </w:t>
      </w:r>
      <w:r>
        <w:rPr>
          <w:rFonts w:ascii="Palatino" w:hAnsi="Palatino" w:hint="default"/>
          <w:sz w:val="22"/>
          <w:szCs w:val="22"/>
          <w:rtl w:val="0"/>
          <w:lang w:val="en-US"/>
        </w:rPr>
        <w:t xml:space="preserve">‘… </w:t>
      </w:r>
      <w:r>
        <w:rPr>
          <w:rFonts w:ascii="Palatino" w:hAnsi="Palatino"/>
          <w:sz w:val="22"/>
          <w:szCs w:val="22"/>
          <w:rtl w:val="0"/>
          <w:lang w:val="en-US"/>
        </w:rPr>
        <w:t>embrace the perspectives of the study population and the context in which they live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This field work </w:t>
      </w:r>
      <w:r>
        <w:rPr>
          <w:rFonts w:ascii="Palatino" w:hAnsi="Palatino"/>
          <w:sz w:val="22"/>
          <w:szCs w:val="22"/>
          <w:rtl w:val="0"/>
          <w:lang w:val="da-DK"/>
        </w:rPr>
        <w:t>examined</w:t>
      </w:r>
      <w:r>
        <w:rPr>
          <w:rFonts w:ascii="Palatino" w:hAnsi="Palatino"/>
          <w:sz w:val="22"/>
          <w:szCs w:val="22"/>
          <w:rtl w:val="0"/>
          <w:lang w:val="en-US"/>
        </w:rPr>
        <w:t xml:space="preserve"> the Neolithic people and the Megalithic structures that they built.  The field </w:t>
      </w:r>
      <w:r>
        <mc:AlternateContent>
          <mc:Choice Requires="wpg">
            <w:drawing xmlns:a="http://schemas.openxmlformats.org/drawingml/2006/main">
              <wp:anchor distT="152400" distB="152400" distL="152400" distR="152400" simplePos="0" relativeHeight="251664384" behindDoc="0" locked="0" layoutInCell="1" allowOverlap="1">
                <wp:simplePos x="0" y="0"/>
                <wp:positionH relativeFrom="page">
                  <wp:posOffset>732907</wp:posOffset>
                </wp:positionH>
                <wp:positionV relativeFrom="page">
                  <wp:posOffset>4249265</wp:posOffset>
                </wp:positionV>
                <wp:extent cx="5952141" cy="2947380"/>
                <wp:effectExtent l="0" t="0" r="0" b="0"/>
                <wp:wrapTopAndBottom distT="152400" distB="152400"/>
                <wp:docPr id="1073741834" name="officeArt object"/>
                <wp:cNvGraphicFramePr/>
                <a:graphic xmlns:a="http://schemas.openxmlformats.org/drawingml/2006/main">
                  <a:graphicData uri="http://schemas.microsoft.com/office/word/2010/wordprocessingGroup">
                    <wpg:wgp>
                      <wpg:cNvGrpSpPr/>
                      <wpg:grpSpPr>
                        <a:xfrm>
                          <a:off x="0" y="0"/>
                          <a:ext cx="5952141" cy="2947380"/>
                          <a:chOff x="12907" y="0"/>
                          <a:chExt cx="5952140" cy="2947379"/>
                        </a:xfrm>
                      </wpg:grpSpPr>
                      <wpg:grpSp>
                        <wpg:cNvPr id="1073741830" name="Group 1073741830"/>
                        <wpg:cNvGrpSpPr/>
                        <wpg:grpSpPr>
                          <a:xfrm>
                            <a:off x="12907" y="0"/>
                            <a:ext cx="3117328" cy="2936326"/>
                            <a:chOff x="12907" y="0"/>
                            <a:chExt cx="3117327" cy="2936325"/>
                          </a:xfrm>
                        </wpg:grpSpPr>
                        <wpg:grpSp>
                          <wpg:cNvPr id="1073741828" name="Group 1073741828"/>
                          <wpg:cNvGrpSpPr/>
                          <wpg:grpSpPr>
                            <a:xfrm>
                              <a:off x="14495" y="0"/>
                              <a:ext cx="3099031" cy="2548583"/>
                              <a:chOff x="14495" y="0"/>
                              <a:chExt cx="3099030" cy="2548582"/>
                            </a:xfrm>
                          </wpg:grpSpPr>
                          <pic:pic xmlns:pic="http://schemas.openxmlformats.org/drawingml/2006/picture">
                            <pic:nvPicPr>
                              <pic:cNvPr id="1073741826" name="Bowcawen Un.png"/>
                              <pic:cNvPicPr>
                                <a:picLocks noChangeAspect="1"/>
                              </pic:cNvPicPr>
                            </pic:nvPicPr>
                            <pic:blipFill>
                              <a:blip r:embed="rId9">
                                <a:extLst/>
                              </a:blip>
                              <a:srcRect l="3029" t="0" r="3029" b="0"/>
                              <a:stretch>
                                <a:fillRect/>
                              </a:stretch>
                            </pic:blipFill>
                            <pic:spPr>
                              <a:xfrm>
                                <a:off x="82469" y="0"/>
                                <a:ext cx="3031057" cy="2520001"/>
                              </a:xfrm>
                              <a:prstGeom prst="rect">
                                <a:avLst/>
                              </a:prstGeom>
                              <a:ln w="12700" cap="flat">
                                <a:noFill/>
                                <a:miter lim="400000"/>
                              </a:ln>
                              <a:effectLst/>
                            </pic:spPr>
                          </pic:pic>
                          <wps:wsp>
                            <wps:cNvPr id="1073741827" name="Shape 1073741827"/>
                            <wps:cNvSpPr/>
                            <wps:spPr>
                              <a:xfrm>
                                <a:off x="14495" y="2013736"/>
                                <a:ext cx="563327" cy="534847"/>
                              </a:xfrm>
                              <a:prstGeom prst="star5">
                                <a:avLst>
                                  <a:gd name="adj" fmla="val 19100"/>
                                  <a:gd name="hf" fmla="val 105146"/>
                                  <a:gd name="vf" fmla="val 110557"/>
                                </a:avLst>
                              </a:prstGeom>
                              <a:noFill/>
                              <a:ln w="9525" cap="flat">
                                <a:solidFill>
                                  <a:srgbClr val="000000"/>
                                </a:solidFill>
                                <a:prstDash val="solid"/>
                                <a:miter lim="400000"/>
                              </a:ln>
                              <a:effectLst/>
                            </wps:spPr>
                            <wps:bodyPr/>
                          </wps:wsp>
                        </wpg:grpSp>
                        <wps:wsp>
                          <wps:cNvPr id="1073741829" name="Shape 1073741829"/>
                          <wps:cNvSpPr txBox="1"/>
                          <wps:spPr>
                            <a:xfrm>
                              <a:off x="12907" y="2655847"/>
                              <a:ext cx="3117328" cy="280479"/>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Map of the south of the United Kingdom showing a green star at the area Boscawen-un in the far west.  Map: Google Maps, 7th May 2021.</w:t>
                                </w:r>
                              </w:p>
                            </w:txbxContent>
                          </wps:txbx>
                          <wps:bodyPr wrap="square" lIns="0" tIns="0" rIns="0" bIns="0" numCol="1" anchor="t">
                            <a:noAutofit/>
                          </wps:bodyPr>
                        </wps:wsp>
                      </wpg:grpSp>
                      <wpg:grpSp>
                        <wpg:cNvPr id="1073741833" name="Group 1073741833"/>
                        <wpg:cNvGrpSpPr/>
                        <wpg:grpSpPr>
                          <a:xfrm>
                            <a:off x="3356343" y="0"/>
                            <a:ext cx="2608705" cy="2947380"/>
                            <a:chOff x="0" y="0"/>
                            <a:chExt cx="2608703" cy="2947379"/>
                          </a:xfrm>
                        </wpg:grpSpPr>
                        <pic:pic xmlns:pic="http://schemas.openxmlformats.org/drawingml/2006/picture">
                          <pic:nvPicPr>
                            <pic:cNvPr id="1073741831" name="107922635_612759742709836_5731282976361669305_n.jpg"/>
                            <pic:cNvPicPr>
                              <a:picLocks noChangeAspect="1"/>
                            </pic:cNvPicPr>
                          </pic:nvPicPr>
                          <pic:blipFill>
                            <a:blip r:embed="rId10">
                              <a:extLst/>
                            </a:blip>
                            <a:srcRect l="850" t="0" r="850" b="0"/>
                            <a:stretch>
                              <a:fillRect/>
                            </a:stretch>
                          </pic:blipFill>
                          <pic:spPr>
                            <a:xfrm>
                              <a:off x="0" y="0"/>
                              <a:ext cx="2608704" cy="2653828"/>
                            </a:xfrm>
                            <a:prstGeom prst="rect">
                              <a:avLst/>
                            </a:prstGeom>
                            <a:ln w="12700" cap="flat">
                              <a:noFill/>
                              <a:miter lim="400000"/>
                            </a:ln>
                            <a:effectLst/>
                          </pic:spPr>
                        </pic:pic>
                        <wps:wsp>
                          <wps:cNvPr id="1073741832" name="Shape 1073741832"/>
                          <wps:cNvSpPr txBox="1"/>
                          <wps:spPr>
                            <a:xfrm>
                              <a:off x="0" y="2672556"/>
                              <a:ext cx="2581405" cy="274824"/>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Air photo of the Boscawen-un</w:t>
                                </w:r>
                                <w:r>
                                  <w:rPr>
                                    <w:rFonts w:ascii="Palatino" w:hAnsi="Palatino"/>
                                    <w:i w:val="1"/>
                                    <w:iCs w:val="1"/>
                                    <w:sz w:val="16"/>
                                    <w:szCs w:val="16"/>
                                    <w:rtl w:val="0"/>
                                  </w:rPr>
                                  <w:t>.</w:t>
                                </w:r>
                                <w:r>
                                  <w:rPr>
                                    <w:rFonts w:ascii="Palatino" w:hAnsi="Palatino"/>
                                    <w:i w:val="1"/>
                                    <w:iCs w:val="1"/>
                                    <w:sz w:val="16"/>
                                    <w:szCs w:val="16"/>
                                    <w:rtl w:val="0"/>
                                    <w:lang w:val="en-US"/>
                                  </w:rPr>
                                  <w:t xml:space="preserve"> </w:t>
                                </w:r>
                                <w:r>
                                  <w:rPr>
                                    <w:rFonts w:ascii="Palatino" w:hAnsi="Palatino"/>
                                    <w:i w:val="1"/>
                                    <w:iCs w:val="1"/>
                                    <w:sz w:val="16"/>
                                    <w:szCs w:val="16"/>
                                    <w:rtl w:val="0"/>
                                    <w:lang w:val="it-IT"/>
                                  </w:rPr>
                                  <w:t xml:space="preserve">Photo: </w:t>
                                </w:r>
                                <w:r>
                                  <w:rPr>
                                    <w:rFonts w:ascii="Palatino" w:hAnsi="Palatino"/>
                                    <w:i w:val="1"/>
                                    <w:iCs w:val="1"/>
                                    <w:sz w:val="16"/>
                                    <w:szCs w:val="16"/>
                                    <w:rtl w:val="0"/>
                                    <w:lang w:val="en-US"/>
                                  </w:rPr>
                                  <w:t>David Rabram.</w:t>
                                </w:r>
                              </w:p>
                            </w:txbxContent>
                          </wps:txbx>
                          <wps:bodyPr wrap="square" lIns="0" tIns="0" rIns="0" bIns="0" numCol="1" anchor="t">
                            <a:noAutofit/>
                          </wps:bodyPr>
                        </wps:wsp>
                      </wpg:grpSp>
                    </wpg:wgp>
                  </a:graphicData>
                </a:graphic>
              </wp:anchor>
            </w:drawing>
          </mc:Choice>
          <mc:Fallback>
            <w:pict>
              <v:group id="_x0000_s1026" style="visibility:visible;position:absolute;margin-left:57.7pt;margin-top:334.6pt;width:468.7pt;height:232.1pt;z-index:251664384;mso-position-horizontal:absolute;mso-position-horizontal-relative:page;mso-position-vertical:absolute;mso-position-vertical-relative:page;mso-wrap-distance-left:12.0pt;mso-wrap-distance-top:12.0pt;mso-wrap-distance-right:12.0pt;mso-wrap-distance-bottom:12.0pt;" coordorigin="12907,0" coordsize="5952140,2947380">
                <w10:wrap type="topAndBottom" side="bothSides" anchorx="page" anchory="page"/>
                <v:group id="_x0000_s1027" style="position:absolute;left:12907;top:0;width:3117327;height:2936325;" coordorigin="12907,0" coordsize="3117328,2936325">
                  <v:group id="_x0000_s1028" style="position:absolute;left:14495;top:0;width:3099030;height:2548582;" coordorigin="14495,0" coordsize="3099030,2548582">
                    <v:shape id="_x0000_s1029" type="#_x0000_t75" style="position:absolute;left:82470;top:0;width:3031056;height:2520000;">
                      <v:imagedata r:id="rId9" o:title="Bowcawen Un.png" cropleft="3.0%" cropright="3.0%"/>
                    </v:shape>
                    <v:shape id="_x0000_s1030" type="#_x0000_t12" style="position:absolute;left:14495;top:2013736;width:563327;height:534846;">
                      <v:fill on="f"/>
                      <v:stroke filltype="solid" color="#000000" opacity="100.0%" weight="0.8pt" dashstyle="solid" endcap="flat" miterlimit="400.0%" joinstyle="miter" linestyle="single" startarrow="none" startarrowwidth="medium" startarrowlength="medium" endarrow="none" endarrowwidth="medium" endarrowlength="medium"/>
                    </v:shape>
                  </v:group>
                  <v:shape id="_x0000_s1031" type="#_x0000_t202" style="position:absolute;left:12907;top:2655848;width:3117327;height:28047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Map of the south of the United Kingdom showing a green star at the area Boscawen-un in the far west.  Map: Google Maps, 7th May 2021.</w:t>
                          </w:r>
                        </w:p>
                      </w:txbxContent>
                    </v:textbox>
                  </v:shape>
                </v:group>
                <v:group id="_x0000_s1032" style="position:absolute;left:3356344;top:0;width:2608703;height:2947380;" coordorigin="0,0" coordsize="2608703,2947380">
                  <v:shape id="_x0000_s1033" type="#_x0000_t75" style="position:absolute;left:0;top:0;width:2608703;height:2653828;">
                    <v:imagedata r:id="rId10" o:title="107922635_612759742709836_5731282976361669305_n.jpg" cropleft="0.9%" cropright="0.9%" cropbottom="0.0%"/>
                  </v:shape>
                  <v:shape id="_x0000_s1034" type="#_x0000_t202" style="position:absolute;left:0;top:2672556;width:2581404;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Air photo of the Boscawen-un</w:t>
                          </w:r>
                          <w:r>
                            <w:rPr>
                              <w:rFonts w:ascii="Palatino" w:hAnsi="Palatino"/>
                              <w:i w:val="1"/>
                              <w:iCs w:val="1"/>
                              <w:sz w:val="16"/>
                              <w:szCs w:val="16"/>
                              <w:rtl w:val="0"/>
                            </w:rPr>
                            <w:t>.</w:t>
                          </w:r>
                          <w:r>
                            <w:rPr>
                              <w:rFonts w:ascii="Palatino" w:hAnsi="Palatino"/>
                              <w:i w:val="1"/>
                              <w:iCs w:val="1"/>
                              <w:sz w:val="16"/>
                              <w:szCs w:val="16"/>
                              <w:rtl w:val="0"/>
                              <w:lang w:val="en-US"/>
                            </w:rPr>
                            <w:t xml:space="preserve"> </w:t>
                          </w:r>
                          <w:r>
                            <w:rPr>
                              <w:rFonts w:ascii="Palatino" w:hAnsi="Palatino"/>
                              <w:i w:val="1"/>
                              <w:iCs w:val="1"/>
                              <w:sz w:val="16"/>
                              <w:szCs w:val="16"/>
                              <w:rtl w:val="0"/>
                              <w:lang w:val="it-IT"/>
                            </w:rPr>
                            <w:t xml:space="preserve">Photo: </w:t>
                          </w:r>
                          <w:r>
                            <w:rPr>
                              <w:rFonts w:ascii="Palatino" w:hAnsi="Palatino"/>
                              <w:i w:val="1"/>
                              <w:iCs w:val="1"/>
                              <w:sz w:val="16"/>
                              <w:szCs w:val="16"/>
                              <w:rtl w:val="0"/>
                              <w:lang w:val="en-US"/>
                            </w:rPr>
                            <w:t>David Rabram.</w:t>
                          </w:r>
                        </w:p>
                      </w:txbxContent>
                    </v:textbox>
                  </v:shape>
                </v:group>
              </v:group>
            </w:pict>
          </mc:Fallback>
        </mc:AlternateContent>
      </w:r>
      <w:r>
        <w:rPr>
          <w:rFonts w:ascii="Palatino" w:hAnsi="Palatino"/>
          <w:sz w:val="22"/>
          <w:szCs w:val="22"/>
          <w:rtl w:val="0"/>
          <w:lang w:val="en-US"/>
        </w:rPr>
        <w:t xml:space="preserve">work included four site visits to the Boscawen-un stone circle throughout the above mentioned period, on various times of day, including one visit during sunset and into the darkness of night, at the time of the April super </w:t>
      </w:r>
      <w:r>
        <w:rPr>
          <w:rFonts w:ascii="Palatino" w:hAnsi="Palatino"/>
          <w:sz w:val="22"/>
          <w:szCs w:val="22"/>
          <w:rtl w:val="0"/>
          <w:lang w:val="en-US"/>
        </w:rPr>
        <w:t xml:space="preserve">full </w:t>
      </w:r>
      <w:r>
        <w:rPr>
          <w:rFonts w:ascii="Palatino" w:hAnsi="Palatino"/>
          <w:sz w:val="22"/>
          <w:szCs w:val="22"/>
          <w:rtl w:val="0"/>
          <w:lang w:val="en-US"/>
        </w:rPr>
        <w:t xml:space="preserve">moon, also known as </w:t>
      </w:r>
      <w:r>
        <w:rPr>
          <w:rFonts w:ascii="Palatino" w:hAnsi="Palatino" w:hint="default"/>
          <w:sz w:val="22"/>
          <w:szCs w:val="22"/>
          <w:rtl w:val="0"/>
          <w:lang w:val="en-US"/>
        </w:rPr>
        <w:t>‘</w:t>
      </w:r>
      <w:r>
        <w:rPr>
          <w:rFonts w:ascii="Palatino" w:hAnsi="Palatino"/>
          <w:sz w:val="22"/>
          <w:szCs w:val="22"/>
          <w:rtl w:val="0"/>
          <w:lang w:val="en-US"/>
        </w:rPr>
        <w:t>Pink Moon</w:t>
      </w:r>
      <w:r>
        <w:rPr>
          <w:rFonts w:ascii="Palatino" w:hAnsi="Palatino" w:hint="default"/>
          <w:sz w:val="22"/>
          <w:szCs w:val="22"/>
          <w:rtl w:val="0"/>
          <w:lang w:val="en-US"/>
        </w:rPr>
        <w:t>’</w:t>
      </w:r>
      <w:r>
        <w:rPr>
          <w:rFonts w:ascii="Palatino" w:hAnsi="Palatino"/>
          <w:sz w:val="22"/>
          <w:szCs w:val="22"/>
          <w:rtl w:val="0"/>
          <w:lang w:val="en-US"/>
        </w:rPr>
        <w:t xml:space="preserve">, on 26/27 April 2021.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w:t>
      </w:r>
      <w:r>
        <w:rPr>
          <w:rFonts w:ascii="Palatino" w:hAnsi="Palatino"/>
          <w:sz w:val="22"/>
          <w:szCs w:val="22"/>
          <w:rtl w:val="0"/>
          <w:lang w:val="en-US"/>
        </w:rPr>
        <w:t>For safety reasons, I was accompanied by my husband during all the field work</w:t>
      </w:r>
      <w:r>
        <w:rPr>
          <w:rFonts w:ascii="Palatino" w:hAnsi="Palatino"/>
          <w:sz w:val="22"/>
          <w:szCs w:val="22"/>
          <w:rtl w:val="0"/>
          <w:lang w:val="en-US"/>
        </w:rPr>
        <w:t>, for which I would like to express my greatest gratitude</w:t>
      </w:r>
      <w:r>
        <w:rPr>
          <w:rFonts w:ascii="Palatino" w:hAnsi="Palatino"/>
          <w:sz w:val="22"/>
          <w:szCs w:val="22"/>
          <w:rtl w:val="0"/>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1"/>
          <w:footerReference w:type="default" r:id="rId12"/>
          <w:pgSz w:w="12240" w:h="15840" w:orient="portrait"/>
          <w:pgMar w:top="1134" w:right="1134" w:bottom="720" w:left="1134" w:header="567" w:footer="720"/>
          <w:bidi w:val="0"/>
        </w:sectPr>
      </w:pPr>
      <w:r>
        <w:rPr>
          <w:rFonts w:ascii="Palatino" w:cs="Palatino" w:hAnsi="Palatino" w:eastAsia="Palatino"/>
          <w:sz w:val="22"/>
          <w:szCs w:val="22"/>
          <w:rtl w:val="0"/>
        </w:rPr>
        <w:tab/>
        <w:t xml:space="preserve">Boscawen-un stone circle is situated near the village of St. Buryan, </w:t>
      </w:r>
      <w:r>
        <w:rPr>
          <w:rFonts w:ascii="Palatino" w:hAnsi="Palatino"/>
          <w:sz w:val="22"/>
          <w:szCs w:val="22"/>
          <w:rtl w:val="0"/>
          <w:lang w:val="en-US"/>
        </w:rPr>
        <w:t>at the heart of the West Penwith peninsula</w:t>
      </w:r>
      <w:r>
        <w:rPr>
          <w:rFonts w:ascii="Palatino" w:hAnsi="Palatino"/>
          <w:sz w:val="22"/>
          <w:szCs w:val="22"/>
          <w:rtl w:val="0"/>
          <w:lang w:val="en-US"/>
        </w:rPr>
        <w:t xml:space="preserve">, in the county of Cornwall in South West England, United Kingdom (Fig. 1 and Fig. 2).   Longitude 50.089844; Latitude -5.619318; Elevation 125.5; Grid reference SW412274; </w:t>
      </w:r>
      <w:r>
        <w:rPr>
          <w:rFonts w:ascii="Palatino" w:hAnsi="Palatino"/>
          <w:sz w:val="22"/>
          <w:szCs w:val="22"/>
          <w:rtl w:val="0"/>
          <w:lang w:val="en-US"/>
        </w:rPr>
        <w:t>///ticked.buzzer.relishes</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9"/>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For the</w:t>
      </w:r>
      <w:r>
        <w:rPr>
          <w:rFonts w:ascii="Palatino" w:hAnsi="Palatino"/>
          <w:sz w:val="22"/>
          <w:szCs w:val="22"/>
          <w:rtl w:val="0"/>
          <w:lang w:val="en-US"/>
        </w:rPr>
        <w:t xml:space="preserve"> field work, </w:t>
      </w:r>
      <w:r>
        <w:rPr>
          <w:rFonts w:ascii="Palatino" w:hAnsi="Palatino"/>
          <w:sz w:val="22"/>
          <w:szCs w:val="22"/>
          <w:rtl w:val="0"/>
          <w:lang w:val="en-US"/>
        </w:rPr>
        <w:t xml:space="preserve">a </w:t>
      </w:r>
      <w:r>
        <w:rPr>
          <w:rFonts w:ascii="Palatino" w:hAnsi="Palatino"/>
          <w:sz w:val="22"/>
          <w:szCs w:val="22"/>
          <w:rtl w:val="0"/>
          <w:lang w:val="en-US"/>
        </w:rPr>
        <w:t xml:space="preserve">SUUNTO compass and </w:t>
      </w:r>
      <w:r>
        <w:rPr>
          <w:rFonts w:ascii="Palatino" w:hAnsi="Palatino"/>
          <w:sz w:val="22"/>
          <w:szCs w:val="22"/>
          <w:rtl w:val="0"/>
          <w:lang w:val="en-US"/>
        </w:rPr>
        <w:t xml:space="preserve">SUUNTO </w:t>
      </w:r>
      <w:r>
        <w:rPr>
          <w:rFonts w:ascii="Palatino" w:hAnsi="Palatino"/>
          <w:sz w:val="22"/>
          <w:szCs w:val="22"/>
          <w:rtl w:val="0"/>
        </w:rPr>
        <w:t xml:space="preserve">clinometer, </w:t>
      </w:r>
      <w:r>
        <w:rPr>
          <w:rFonts w:ascii="Palatino" w:hAnsi="Palatino"/>
          <w:sz w:val="22"/>
          <w:szCs w:val="22"/>
          <w:rtl w:val="0"/>
          <w:lang w:val="en-US"/>
        </w:rPr>
        <w:t xml:space="preserve">two </w:t>
      </w:r>
      <w:r>
        <w:rPr>
          <w:rFonts w:ascii="Palatino" w:hAnsi="Palatino"/>
          <w:sz w:val="22"/>
          <w:szCs w:val="22"/>
          <w:rtl w:val="0"/>
        </w:rPr>
        <w:t>pendulum</w:t>
      </w:r>
      <w:r>
        <w:rPr>
          <w:rFonts w:ascii="Palatino" w:hAnsi="Palatino"/>
          <w:sz w:val="22"/>
          <w:szCs w:val="22"/>
          <w:rtl w:val="0"/>
          <w:lang w:val="en-US"/>
        </w:rPr>
        <w:t>s</w:t>
      </w:r>
      <w:r>
        <w:rPr>
          <w:rFonts w:ascii="Palatino" w:hAnsi="Palatino"/>
          <w:sz w:val="22"/>
          <w:szCs w:val="22"/>
          <w:rtl w:val="0"/>
          <w:lang w:val="en-US"/>
        </w:rPr>
        <w:t xml:space="preserve">, binoculars, </w:t>
      </w:r>
      <w:r>
        <w:rPr>
          <w:rFonts w:ascii="Palatino" w:hAnsi="Palatino"/>
          <w:sz w:val="22"/>
          <w:szCs w:val="22"/>
          <w:rtl w:val="0"/>
          <w:lang w:val="en-US"/>
        </w:rPr>
        <w:t xml:space="preserve">a </w:t>
      </w:r>
      <w:r>
        <w:rPr>
          <w:rFonts w:ascii="Palatino" w:hAnsi="Palatino"/>
          <w:sz w:val="22"/>
          <w:szCs w:val="22"/>
          <w:rtl w:val="0"/>
          <w:lang w:val="fr-FR"/>
        </w:rPr>
        <w:t xml:space="preserve">journal, </w:t>
      </w:r>
      <w:r>
        <w:rPr>
          <w:rFonts w:ascii="Palatino" w:hAnsi="Palatino"/>
          <w:sz w:val="22"/>
          <w:szCs w:val="22"/>
          <w:rtl w:val="0"/>
          <w:lang w:val="en-US"/>
        </w:rPr>
        <w:t xml:space="preserve">a </w:t>
      </w:r>
      <w:r>
        <w:rPr>
          <w:rFonts w:ascii="Palatino" w:hAnsi="Palatino"/>
          <w:sz w:val="22"/>
          <w:szCs w:val="22"/>
          <w:rtl w:val="0"/>
          <w:lang w:val="fr-FR"/>
        </w:rPr>
        <w:t>GPS</w:t>
      </w:r>
      <w:r>
        <w:rPr>
          <w:rFonts w:ascii="Palatino" w:hAnsi="Palatino"/>
          <w:sz w:val="22"/>
          <w:szCs w:val="22"/>
          <w:rtl w:val="0"/>
          <w:lang w:val="en-US"/>
        </w:rPr>
        <w:t xml:space="preserve"> and</w:t>
      </w:r>
      <w:r>
        <w:rPr>
          <w:rFonts w:ascii="Palatino" w:hAnsi="Palatino"/>
          <w:sz w:val="22"/>
          <w:szCs w:val="22"/>
          <w:rtl w:val="0"/>
        </w:rPr>
        <w:t xml:space="preserve"> a</w:t>
      </w:r>
      <w:r>
        <w:rPr>
          <w:rFonts w:ascii="Palatino" w:hAnsi="Palatino"/>
          <w:sz w:val="22"/>
          <w:szCs w:val="22"/>
          <w:rtl w:val="0"/>
          <w:lang w:val="en-US"/>
        </w:rPr>
        <w:t>n</w:t>
      </w:r>
      <w:r>
        <w:rPr>
          <w:rFonts w:ascii="Palatino" w:hAnsi="Palatino"/>
          <w:sz w:val="22"/>
          <w:szCs w:val="22"/>
          <w:rtl w:val="0"/>
          <w:lang w:val="it-IT"/>
        </w:rPr>
        <w:t xml:space="preserve"> iPhone camera</w:t>
      </w:r>
      <w:r>
        <w:rPr>
          <w:rFonts w:ascii="Palatino" w:hAnsi="Palatino"/>
          <w:sz w:val="22"/>
          <w:szCs w:val="22"/>
          <w:rtl w:val="0"/>
          <w:lang w:val="en-US"/>
        </w:rPr>
        <w:t xml:space="preserve"> were used</w:t>
      </w:r>
      <w:r>
        <w:rPr>
          <w:rFonts w:ascii="Palatino" w:hAnsi="Palatino"/>
          <w:sz w:val="22"/>
          <w:szCs w:val="22"/>
          <w:rtl w:val="0"/>
        </w:rPr>
        <w:t>.</w:t>
      </w:r>
      <w:r>
        <w:rPr>
          <w:rFonts w:ascii="Palatino" w:hAnsi="Palatino"/>
          <w:sz w:val="22"/>
          <w:szCs w:val="22"/>
          <w:rtl w:val="0"/>
          <w:lang w:val="en-US"/>
        </w:rPr>
        <w:t xml:space="preserve">  The binoculars were utilised only to aid pinpointing of landscape features, which were then explored with the naked eye, as the supposed method of the Neolithic human.  Due to the Covid-19, an off-site study of Boscawen-un took place in my home in Cornwall, using the journal records, calculation spreadsheets, the </w:t>
      </w:r>
      <w:r>
        <w:rPr>
          <w:rFonts w:ascii="Palatino" w:hAnsi="Palatino"/>
          <w:sz w:val="22"/>
          <w:szCs w:val="22"/>
          <w:rtl w:val="0"/>
          <w:lang w:val="en-US"/>
        </w:rPr>
        <w:t>software</w:t>
      </w:r>
      <w:r>
        <w:rPr>
          <w:rFonts w:ascii="Palatino" w:hAnsi="Palatino"/>
          <w:sz w:val="22"/>
          <w:szCs w:val="22"/>
          <w:rtl w:val="0"/>
          <w:lang w:val="en-US"/>
        </w:rPr>
        <w:t>s</w:t>
      </w:r>
      <w:r>
        <w:rPr>
          <w:rFonts w:ascii="Palatino" w:hAnsi="Palatino"/>
          <w:sz w:val="22"/>
          <w:szCs w:val="22"/>
          <w:rtl w:val="0"/>
        </w:rPr>
        <w:t xml:space="preserve"> </w:t>
      </w:r>
      <w:r>
        <w:rPr>
          <w:rFonts w:ascii="Palatino" w:hAnsi="Palatino"/>
          <w:i w:val="1"/>
          <w:iCs w:val="1"/>
          <w:sz w:val="22"/>
          <w:szCs w:val="22"/>
          <w:rtl w:val="0"/>
          <w:lang w:val="it-IT"/>
        </w:rPr>
        <w:t>Stellarium</w:t>
      </w:r>
      <w:r>
        <w:rPr>
          <w:rFonts w:ascii="Palatino" w:hAnsi="Palatino"/>
          <w:sz w:val="22"/>
          <w:szCs w:val="22"/>
          <w:rtl w:val="0"/>
          <w:lang w:val="en-US"/>
        </w:rPr>
        <w:t xml:space="preserve">, the web-interfaces </w:t>
      </w:r>
      <w:r>
        <w:rPr>
          <w:rFonts w:ascii="Palatino" w:hAnsi="Palatino"/>
          <w:i w:val="1"/>
          <w:iCs w:val="1"/>
          <w:sz w:val="22"/>
          <w:szCs w:val="22"/>
          <w:rtl w:val="0"/>
          <w:lang w:val="en-US"/>
        </w:rPr>
        <w:t>HeyWhatsThat,</w:t>
      </w:r>
      <w:r>
        <w:rPr>
          <w:rFonts w:ascii="Palatino" w:hAnsi="Palatino"/>
          <w:sz w:val="22"/>
          <w:szCs w:val="22"/>
          <w:rtl w:val="0"/>
          <w:lang w:val="en-US"/>
        </w:rPr>
        <w:t xml:space="preserve"> NASA</w:t>
      </w:r>
      <w:r>
        <w:rPr>
          <w:rFonts w:ascii="Palatino" w:hAnsi="Palatino" w:hint="default"/>
          <w:sz w:val="22"/>
          <w:szCs w:val="22"/>
          <w:rtl w:val="0"/>
          <w:lang w:val="en-US"/>
        </w:rPr>
        <w:t>’</w:t>
      </w:r>
      <w:r>
        <w:rPr>
          <w:rFonts w:ascii="Palatino" w:hAnsi="Palatino"/>
          <w:sz w:val="22"/>
          <w:szCs w:val="22"/>
          <w:rtl w:val="0"/>
          <w:lang w:val="en-US"/>
        </w:rPr>
        <w:t xml:space="preserve">s </w:t>
      </w:r>
      <w:r>
        <w:rPr>
          <w:rFonts w:ascii="Palatino" w:hAnsi="Palatino"/>
          <w:i w:val="1"/>
          <w:iCs w:val="1"/>
          <w:sz w:val="22"/>
          <w:szCs w:val="22"/>
          <w:rtl w:val="0"/>
          <w:lang w:val="en-US"/>
        </w:rPr>
        <w:t>HORIZONS</w:t>
      </w:r>
      <w:r>
        <w:rPr>
          <w:rFonts w:ascii="Palatino" w:hAnsi="Palatino"/>
          <w:sz w:val="22"/>
          <w:szCs w:val="22"/>
          <w:rtl w:val="0"/>
          <w:lang w:val="en-US"/>
        </w:rPr>
        <w:t xml:space="preserve"> and </w:t>
      </w:r>
      <w:r>
        <w:rPr>
          <w:rFonts w:ascii="Palatino" w:hAnsi="Palatino"/>
          <w:i w:val="1"/>
          <w:iCs w:val="1"/>
          <w:sz w:val="22"/>
          <w:szCs w:val="22"/>
          <w:rtl w:val="0"/>
          <w:lang w:val="en-US"/>
        </w:rPr>
        <w:t>Sun.Earth.Tools</w:t>
      </w:r>
      <w:r>
        <w:rPr>
          <w:rFonts w:ascii="Palatino" w:hAnsi="Palatino"/>
          <w:sz w:val="22"/>
          <w:szCs w:val="22"/>
          <w:rtl w:val="0"/>
          <w:lang w:val="en-US"/>
        </w:rPr>
        <w:t xml:space="preserve"> to explore alignment, movement and shadow measurements taken on site. </w:t>
      </w:r>
      <w:r>
        <w:rPr>
          <w:rFonts w:ascii="Palatino" w:cs="Palatino" w:hAnsi="Palatino" w:eastAsia="Palatino"/>
          <w:sz w:val="22"/>
          <w:szCs w:val="22"/>
          <w:vertAlign w:val="superscript"/>
        </w:rPr>
        <w:footnoteReference w:id="1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Phenomenology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da-DK"/>
        </w:rPr>
        <w:t xml:space="preserve">Christopher Tilley </w:t>
      </w:r>
      <w:r>
        <w:rPr>
          <w:rFonts w:ascii="Palatino" w:hAnsi="Palatino"/>
          <w:sz w:val="22"/>
          <w:szCs w:val="22"/>
          <w:rtl w:val="0"/>
          <w:lang w:val="en-US"/>
        </w:rPr>
        <w:t>described phenomenology by how it aims, not to define, but to recognise an individuals</w:t>
      </w:r>
      <w:r>
        <w:rPr>
          <w:rFonts w:ascii="Palatino" w:hAnsi="Palatino" w:hint="default"/>
          <w:sz w:val="22"/>
          <w:szCs w:val="22"/>
          <w:rtl w:val="0"/>
          <w:lang w:val="en-US"/>
        </w:rPr>
        <w:t xml:space="preserve">’ </w:t>
      </w:r>
      <w:r>
        <w:rPr>
          <w:rFonts w:ascii="Palatino" w:hAnsi="Palatino"/>
          <w:sz w:val="22"/>
          <w:szCs w:val="22"/>
          <w:rtl w:val="0"/>
          <w:lang w:val="en-US"/>
        </w:rPr>
        <w:t xml:space="preserve">physical and psychological reality exactly as it may be experienced. </w:t>
      </w:r>
      <w:r>
        <w:rPr>
          <w:rFonts w:ascii="Palatino" w:cs="Palatino" w:hAnsi="Palatino" w:eastAsia="Palatino"/>
          <w:sz w:val="22"/>
          <w:szCs w:val="22"/>
          <w:vertAlign w:val="superscript"/>
        </w:rPr>
        <w:footnoteReference w:id="11"/>
      </w:r>
      <w:r>
        <w:rPr>
          <w:rFonts w:ascii="Palatino" w:hAnsi="Palatino"/>
          <w:sz w:val="22"/>
          <w:szCs w:val="22"/>
          <w:rtl w:val="0"/>
          <w:lang w:val="en-US"/>
        </w:rPr>
        <w:t xml:space="preserve">  Without specifics of </w:t>
      </w:r>
      <w:r>
        <w:rPr>
          <w:rFonts w:ascii="Palatino" w:hAnsi="Palatino" w:hint="default"/>
          <w:sz w:val="22"/>
          <w:szCs w:val="22"/>
          <w:rtl w:val="0"/>
          <w:lang w:val="en-US"/>
        </w:rPr>
        <w:t>‘</w:t>
      </w:r>
      <w:r>
        <w:rPr>
          <w:rFonts w:ascii="Palatino" w:hAnsi="Palatino"/>
          <w:sz w:val="22"/>
          <w:szCs w:val="22"/>
          <w:rtl w:val="0"/>
          <w:lang w:val="en-US"/>
        </w:rPr>
        <w:t>how</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 xml:space="preserve">must' and </w:t>
      </w:r>
      <w:r>
        <w:rPr>
          <w:rFonts w:ascii="Palatino" w:hAnsi="Palatino" w:hint="default"/>
          <w:sz w:val="22"/>
          <w:szCs w:val="22"/>
          <w:rtl w:val="0"/>
          <w:lang w:val="en-US"/>
        </w:rPr>
        <w:t>‘</w:t>
      </w:r>
      <w:r>
        <w:rPr>
          <w:rFonts w:ascii="Palatino" w:hAnsi="Palatino"/>
          <w:sz w:val="22"/>
          <w:szCs w:val="22"/>
          <w:rtl w:val="0"/>
          <w:lang w:val="en-US"/>
        </w:rPr>
        <w:t xml:space="preserve">should', phenomenology, in contrast, focused on individual </w:t>
      </w:r>
      <w:r>
        <w:rPr>
          <w:rFonts w:ascii="Palatino" w:hAnsi="Palatino"/>
          <w:sz w:val="22"/>
          <w:szCs w:val="22"/>
          <w:rtl w:val="0"/>
          <w:lang w:val="da-DK"/>
        </w:rPr>
        <w:t xml:space="preserve">flow of </w:t>
      </w:r>
      <w:r>
        <w:rPr>
          <w:rFonts w:ascii="Palatino" w:hAnsi="Palatino"/>
          <w:sz w:val="22"/>
          <w:szCs w:val="22"/>
          <w:rtl w:val="0"/>
          <w:lang w:val="en-US"/>
        </w:rPr>
        <w:t>thought</w:t>
      </w:r>
      <w:r>
        <w:rPr>
          <w:rFonts w:ascii="Palatino" w:hAnsi="Palatino"/>
          <w:sz w:val="22"/>
          <w:szCs w:val="22"/>
          <w:rtl w:val="0"/>
          <w:lang w:val="da-DK"/>
        </w:rPr>
        <w:t>s</w:t>
      </w:r>
      <w:r>
        <w:rPr>
          <w:rFonts w:ascii="Palatino" w:hAnsi="Palatino"/>
          <w:sz w:val="22"/>
          <w:szCs w:val="22"/>
          <w:rtl w:val="0"/>
          <w:lang w:val="en-US"/>
        </w:rPr>
        <w:t xml:space="preserve">, and </w:t>
      </w:r>
      <w:r>
        <w:rPr>
          <w:rFonts w:ascii="Palatino" w:hAnsi="Palatino"/>
          <w:sz w:val="22"/>
          <w:szCs w:val="22"/>
          <w:rtl w:val="0"/>
          <w:lang w:val="da-DK"/>
        </w:rPr>
        <w:t>on</w:t>
      </w:r>
      <w:r>
        <w:rPr>
          <w:rFonts w:ascii="Palatino" w:hAnsi="Palatino"/>
          <w:sz w:val="22"/>
          <w:szCs w:val="22"/>
          <w:rtl w:val="0"/>
          <w:lang w:val="en-US"/>
        </w:rPr>
        <w:t xml:space="preserve"> simply being: </w:t>
      </w:r>
      <w:r>
        <w:rPr>
          <w:rFonts w:ascii="Palatino" w:hAnsi="Palatino" w:hint="default"/>
          <w:sz w:val="22"/>
          <w:szCs w:val="22"/>
          <w:rtl w:val="0"/>
          <w:lang w:val="en-US"/>
        </w:rPr>
        <w:t>‘</w:t>
      </w:r>
      <w:r>
        <w:rPr>
          <w:rFonts w:ascii="Palatino" w:hAnsi="Palatino"/>
          <w:sz w:val="22"/>
          <w:szCs w:val="22"/>
          <w:rtl w:val="0"/>
          <w:lang w:val="en-US"/>
        </w:rPr>
        <w:t>It is rather a bodily presence in the world and a bodily awareness of it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2"/>
      </w:r>
      <w:r>
        <w:rPr>
          <w:rFonts w:ascii="Palatino" w:hAnsi="Palatino"/>
          <w:sz w:val="22"/>
          <w:szCs w:val="22"/>
          <w:rtl w:val="0"/>
          <w:lang w:val="en-US"/>
        </w:rPr>
        <w:t xml:space="preserve">  This was echoed by Brian E. Neubauer et.al. who described phenomenology as the examination of a person</w:t>
      </w:r>
      <w:r>
        <w:rPr>
          <w:rFonts w:ascii="Palatino" w:hAnsi="Palatino" w:hint="default"/>
          <w:sz w:val="22"/>
          <w:szCs w:val="22"/>
          <w:rtl w:val="0"/>
          <w:lang w:val="en-US"/>
        </w:rPr>
        <w:t>’</w:t>
      </w:r>
      <w:r>
        <w:rPr>
          <w:rFonts w:ascii="Palatino" w:hAnsi="Palatino"/>
          <w:sz w:val="22"/>
          <w:szCs w:val="22"/>
          <w:rtl w:val="0"/>
          <w:lang w:val="en-US"/>
        </w:rPr>
        <w:t xml:space="preserve">s lived reality in their subjective world. </w:t>
      </w:r>
      <w:r>
        <w:rPr>
          <w:rFonts w:ascii="Palatino" w:cs="Palatino" w:hAnsi="Palatino" w:eastAsia="Palatino"/>
          <w:sz w:val="22"/>
          <w:szCs w:val="22"/>
          <w:vertAlign w:val="superscript"/>
        </w:rPr>
        <w:footnoteReference w:id="13"/>
      </w:r>
      <w:r>
        <w:rPr>
          <w:rFonts w:ascii="Palatino" w:hAnsi="Palatino"/>
          <w:sz w:val="22"/>
          <w:szCs w:val="22"/>
          <w:rtl w:val="0"/>
          <w:lang w:val="en-US"/>
        </w:rPr>
        <w:t xml:space="preserve">  </w:t>
      </w:r>
      <w:r>
        <w:rPr>
          <w:rFonts w:ascii="Palatino" w:hAnsi="Palatino"/>
          <w:sz w:val="22"/>
          <w:szCs w:val="22"/>
          <w:rtl w:val="0"/>
          <w:lang w:val="en-US"/>
        </w:rPr>
        <w:t>Th</w:t>
      </w:r>
      <w:r>
        <w:rPr>
          <w:rFonts w:ascii="Palatino" w:hAnsi="Palatino"/>
          <w:sz w:val="22"/>
          <w:szCs w:val="22"/>
          <w:rtl w:val="0"/>
          <w:lang w:val="en-US"/>
        </w:rPr>
        <w:t>is</w:t>
      </w:r>
      <w:r>
        <w:rPr>
          <w:rFonts w:ascii="Palatino" w:hAnsi="Palatino"/>
          <w:sz w:val="22"/>
          <w:szCs w:val="22"/>
          <w:rtl w:val="0"/>
          <w:lang w:val="en-US"/>
        </w:rPr>
        <w:t xml:space="preserve"> study included a reflexive aspect of </w:t>
      </w:r>
      <w:r>
        <w:rPr>
          <w:rFonts w:ascii="Palatino" w:hAnsi="Palatino"/>
          <w:sz w:val="22"/>
          <w:szCs w:val="22"/>
          <w:rtl w:val="0"/>
          <w:lang w:val="en-US"/>
        </w:rPr>
        <w:t xml:space="preserve">exploring </w:t>
      </w:r>
      <w:r>
        <w:rPr>
          <w:rFonts w:ascii="Palatino" w:hAnsi="Palatino"/>
          <w:sz w:val="22"/>
          <w:szCs w:val="22"/>
          <w:rtl w:val="0"/>
          <w:lang w:val="en-US"/>
        </w:rPr>
        <w:t xml:space="preserve">the </w:t>
      </w:r>
      <w:r>
        <w:rPr>
          <w:rFonts w:ascii="Palatino" w:hAnsi="Palatino"/>
          <w:sz w:val="22"/>
          <w:szCs w:val="22"/>
          <w:rtl w:val="0"/>
          <w:lang w:val="en-US"/>
        </w:rPr>
        <w:t xml:space="preserve">phenomenology of </w:t>
      </w:r>
      <w:r>
        <w:rPr>
          <w:rFonts w:ascii="Palatino" w:hAnsi="Palatino" w:hint="default"/>
          <w:sz w:val="22"/>
          <w:szCs w:val="22"/>
          <w:rtl w:val="1"/>
        </w:rPr>
        <w:t>‘</w:t>
      </w:r>
      <w:r>
        <w:rPr>
          <w:rFonts w:ascii="Palatino" w:hAnsi="Palatino"/>
          <w:sz w:val="22"/>
          <w:szCs w:val="22"/>
          <w:rtl w:val="0"/>
          <w:lang w:val="da-DK"/>
        </w:rPr>
        <w:t>G</w:t>
      </w:r>
      <w:r>
        <w:rPr>
          <w:rFonts w:ascii="Palatino" w:hAnsi="Palatino"/>
          <w:sz w:val="22"/>
          <w:szCs w:val="22"/>
          <w:rtl w:val="0"/>
        </w:rPr>
        <w:t xml:space="preserve">enius </w:t>
      </w:r>
      <w:r>
        <w:rPr>
          <w:rFonts w:ascii="Palatino" w:hAnsi="Palatino"/>
          <w:sz w:val="22"/>
          <w:szCs w:val="22"/>
          <w:rtl w:val="0"/>
          <w:lang w:val="da-DK"/>
        </w:rPr>
        <w:t>L</w:t>
      </w:r>
      <w:r>
        <w:rPr>
          <w:rFonts w:ascii="Palatino" w:hAnsi="Palatino"/>
          <w:sz w:val="22"/>
          <w:szCs w:val="22"/>
          <w:rtl w:val="0"/>
        </w:rPr>
        <w:t>oci</w:t>
      </w:r>
      <w:r>
        <w:rPr>
          <w:rFonts w:ascii="Palatino" w:hAnsi="Palatino" w:hint="default"/>
          <w:sz w:val="22"/>
          <w:szCs w:val="22"/>
          <w:rtl w:val="1"/>
        </w:rPr>
        <w:t>’</w:t>
      </w:r>
      <w:r>
        <w:rPr>
          <w:rFonts w:ascii="Palatino" w:hAnsi="Palatino"/>
          <w:sz w:val="22"/>
          <w:szCs w:val="22"/>
          <w:rtl w:val="0"/>
        </w:rPr>
        <w:t xml:space="preserve">. </w:t>
      </w:r>
      <w:r>
        <w:rPr>
          <w:rFonts w:ascii="Palatino" w:hAnsi="Palatino" w:hint="default"/>
          <w:sz w:val="22"/>
          <w:szCs w:val="22"/>
          <w:rtl w:val="0"/>
          <w:lang w:val="en-US"/>
        </w:rPr>
        <w:t xml:space="preserve"> ‘</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was described by Brook as the </w:t>
      </w:r>
      <w:r>
        <w:rPr>
          <w:rFonts w:ascii="Palatino" w:hAnsi="Palatino" w:hint="default"/>
          <w:sz w:val="22"/>
          <w:szCs w:val="22"/>
          <w:rtl w:val="0"/>
          <w:lang w:val="en-US"/>
        </w:rPr>
        <w:t>‘</w:t>
      </w:r>
      <w:r>
        <w:rPr>
          <w:rFonts w:ascii="Palatino" w:hAnsi="Palatino"/>
          <w:sz w:val="22"/>
          <w:szCs w:val="22"/>
          <w:rtl w:val="0"/>
          <w:lang w:val="en-US"/>
        </w:rPr>
        <w:t>sense of place</w:t>
      </w:r>
      <w:r>
        <w:rPr>
          <w:rFonts w:ascii="Palatino" w:hAnsi="Palatino" w:hint="default"/>
          <w:sz w:val="22"/>
          <w:szCs w:val="22"/>
          <w:rtl w:val="0"/>
          <w:lang w:val="en-US"/>
        </w:rPr>
        <w:t xml:space="preserve">’ </w:t>
      </w:r>
      <w:r>
        <w:rPr>
          <w:rFonts w:ascii="Palatino" w:hAnsi="Palatino"/>
          <w:sz w:val="22"/>
          <w:szCs w:val="22"/>
          <w:rtl w:val="0"/>
          <w:lang w:val="en-US"/>
        </w:rPr>
        <w:t xml:space="preserve">or the </w:t>
      </w:r>
      <w:r>
        <w:rPr>
          <w:rFonts w:ascii="Palatino" w:hAnsi="Palatino" w:hint="default"/>
          <w:sz w:val="22"/>
          <w:szCs w:val="22"/>
          <w:rtl w:val="0"/>
          <w:lang w:val="en-US"/>
        </w:rPr>
        <w:t>‘</w:t>
      </w:r>
      <w:r>
        <w:rPr>
          <w:rFonts w:ascii="Palatino" w:hAnsi="Palatino"/>
          <w:sz w:val="22"/>
          <w:szCs w:val="22"/>
          <w:rtl w:val="0"/>
          <w:lang w:val="en-US"/>
        </w:rPr>
        <w:t>spirit of place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4"/>
      </w:r>
      <w:r>
        <w:rPr>
          <w:rFonts w:ascii="Palatino" w:hAnsi="Palatino"/>
          <w:sz w:val="22"/>
          <w:szCs w:val="22"/>
          <w:rtl w:val="0"/>
          <w:lang w:val="en-US"/>
        </w:rPr>
        <w:t xml:space="preserve">  Throughout the visits to the Boscawen-un stone circle, I journaled personal phenomenological experiences; along with practicing dowsing, the use of a quartz and a heamatite handheld dowser/pendulum, as a technique for discovery of and searching for aspects such as energies, water or unseen influences.  </w:t>
      </w:r>
      <w:r>
        <w:rPr>
          <w:rFonts w:ascii="Palatino" w:hAnsi="Palatino"/>
          <w:sz w:val="22"/>
          <w:szCs w:val="22"/>
          <w:rtl w:val="0"/>
          <w:lang w:val="da-DK"/>
        </w:rPr>
        <w:t>O</w:t>
      </w:r>
      <w:r>
        <w:rPr>
          <w:rFonts w:ascii="Palatino" w:hAnsi="Palatino"/>
          <w:sz w:val="22"/>
          <w:szCs w:val="22"/>
          <w:rtl w:val="0"/>
          <w:lang w:val="en-US"/>
        </w:rPr>
        <w:t xml:space="preserve">n two occasions, I </w:t>
      </w:r>
      <w:r>
        <w:rPr>
          <w:rFonts w:ascii="Palatino" w:hAnsi="Palatino"/>
          <w:sz w:val="22"/>
          <w:szCs w:val="22"/>
          <w:rtl w:val="0"/>
          <w:lang w:val="en-US"/>
        </w:rPr>
        <w:t>dowsed</w:t>
      </w:r>
      <w:r>
        <w:rPr>
          <w:rFonts w:ascii="Palatino" w:hAnsi="Palatino"/>
          <w:sz w:val="22"/>
          <w:szCs w:val="22"/>
          <w:rtl w:val="0"/>
          <w:lang w:val="en-US"/>
        </w:rPr>
        <w:t xml:space="preserve"> each stone</w:t>
      </w:r>
      <w:r>
        <w:rPr>
          <w:rFonts w:ascii="Palatino" w:hAnsi="Palatino"/>
          <w:sz w:val="22"/>
          <w:szCs w:val="22"/>
          <w:rtl w:val="0"/>
          <w:lang w:val="da-DK"/>
        </w:rPr>
        <w:t xml:space="preserve"> in the</w:t>
      </w:r>
      <w:r>
        <w:rPr>
          <w:rFonts w:ascii="Palatino" w:hAnsi="Palatino"/>
          <w:sz w:val="22"/>
          <w:szCs w:val="22"/>
          <w:rtl w:val="0"/>
          <w:lang w:val="en-US"/>
        </w:rPr>
        <w:t xml:space="preserve"> circle from the inside of the circle </w:t>
      </w:r>
      <w:r>
        <w:rPr>
          <w:rFonts w:ascii="Palatino" w:hAnsi="Palatino"/>
          <w:sz w:val="22"/>
          <w:szCs w:val="22"/>
          <w:rtl w:val="0"/>
          <w:lang w:val="da-DK"/>
        </w:rPr>
        <w:t xml:space="preserve">and </w:t>
      </w:r>
      <w:r>
        <w:rPr>
          <w:rFonts w:ascii="Palatino" w:hAnsi="Palatino"/>
          <w:sz w:val="22"/>
          <w:szCs w:val="22"/>
          <w:rtl w:val="0"/>
          <w:lang w:val="en-US"/>
        </w:rPr>
        <w:t>from the outside of the circle</w:t>
      </w:r>
      <w:r>
        <w:rPr>
          <w:rFonts w:ascii="Palatino" w:hAnsi="Palatino"/>
          <w:sz w:val="22"/>
          <w:szCs w:val="22"/>
          <w:rtl w:val="0"/>
          <w:lang w:val="da-DK"/>
        </w:rPr>
        <w:t xml:space="preserve"> </w:t>
      </w:r>
      <w:r>
        <w:rPr>
          <w:rFonts w:ascii="Palatino" w:hAnsi="Palatino"/>
          <w:sz w:val="22"/>
          <w:szCs w:val="22"/>
          <w:rtl w:val="0"/>
          <w:lang w:val="en-US"/>
        </w:rPr>
        <w:t xml:space="preserve">first with the amethyst pendulum; </w:t>
      </w:r>
      <w:r>
        <w:rPr>
          <w:rFonts w:ascii="Palatino" w:hAnsi="Palatino"/>
          <w:sz w:val="22"/>
          <w:szCs w:val="22"/>
          <w:rtl w:val="0"/>
          <w:lang w:val="da-DK"/>
        </w:rPr>
        <w:t>and then repeated the</w:t>
      </w:r>
      <w:r>
        <w:rPr>
          <w:rFonts w:ascii="Palatino" w:hAnsi="Palatino"/>
          <w:sz w:val="22"/>
          <w:szCs w:val="22"/>
          <w:rtl w:val="0"/>
          <w:lang w:val="en-US"/>
        </w:rPr>
        <w:t xml:space="preserve"> approach with</w:t>
      </w:r>
      <w:r>
        <w:rPr>
          <w:rFonts w:ascii="Palatino" w:hAnsi="Palatino"/>
          <w:sz w:val="22"/>
          <w:szCs w:val="22"/>
          <w:rtl w:val="0"/>
          <w:lang w:val="en-US"/>
        </w:rPr>
        <w:t xml:space="preserve"> the heamatite pendulum.</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Reflexivity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As Kim Etherington described, by using reflexivity in research, we make the study personal. </w:t>
      </w:r>
      <w:r>
        <w:rPr>
          <w:rFonts w:ascii="Palatino" w:cs="Palatino" w:hAnsi="Palatino" w:eastAsia="Palatino"/>
          <w:sz w:val="22"/>
          <w:szCs w:val="22"/>
          <w:vertAlign w:val="superscript"/>
        </w:rPr>
        <w:footnoteReference w:id="15"/>
      </w:r>
      <w:r>
        <w:rPr>
          <w:rFonts w:ascii="Palatino" w:hAnsi="Palatino"/>
          <w:sz w:val="22"/>
          <w:szCs w:val="22"/>
          <w:rtl w:val="0"/>
          <w:lang w:val="en-US"/>
        </w:rPr>
        <w:t xml:space="preserve">  When doing so a researcher must become aware of and recognise how personal beliefs, life circumstances and values may influence research and outcome, whilst at the same time have the ability to understand the many ways of recognising, perceiving and utilising reflexivity in research. </w:t>
      </w:r>
      <w:r>
        <w:rPr>
          <w:rFonts w:ascii="Palatino" w:cs="Palatino" w:hAnsi="Palatino" w:eastAsia="Palatino"/>
          <w:sz w:val="22"/>
          <w:szCs w:val="22"/>
          <w:vertAlign w:val="superscript"/>
        </w:rPr>
        <w:footnoteReference w:id="16"/>
      </w:r>
      <w:r>
        <w:rPr>
          <w:rFonts w:ascii="Palatino" w:hAnsi="Palatino"/>
          <w:sz w:val="22"/>
          <w:szCs w:val="22"/>
          <w:rtl w:val="0"/>
          <w:lang w:val="en-US"/>
        </w:rPr>
        <w:t xml:space="preserve">  The Cornish landscape, nature and the sky in general, have always invoked a </w:t>
      </w:r>
      <w:r>
        <w:rPr>
          <w:rFonts w:ascii="Palatino" w:hAnsi="Palatino" w:hint="default"/>
          <w:sz w:val="22"/>
          <w:szCs w:val="22"/>
          <w:rtl w:val="0"/>
          <w:lang w:val="en-US"/>
        </w:rPr>
        <w:t>‘</w:t>
      </w:r>
      <w:r>
        <w:rPr>
          <w:rFonts w:ascii="Palatino" w:hAnsi="Palatino"/>
          <w:sz w:val="22"/>
          <w:szCs w:val="22"/>
          <w:rtl w:val="0"/>
          <w:lang w:val="en-US"/>
        </w:rPr>
        <w:t>sense of being</w:t>
      </w:r>
      <w:r>
        <w:rPr>
          <w:rFonts w:ascii="Palatino" w:hAnsi="Palatino" w:hint="default"/>
          <w:sz w:val="22"/>
          <w:szCs w:val="22"/>
          <w:rtl w:val="0"/>
          <w:lang w:val="en-US"/>
        </w:rPr>
        <w:t xml:space="preserve">’ </w:t>
      </w:r>
      <w:r>
        <w:rPr>
          <w:rFonts w:ascii="Palatino" w:hAnsi="Palatino"/>
          <w:sz w:val="22"/>
          <w:szCs w:val="22"/>
          <w:rtl w:val="0"/>
          <w:lang w:val="en-US"/>
        </w:rPr>
        <w:t xml:space="preserve">within me.  </w:t>
      </w:r>
      <w:r>
        <w:rPr>
          <w:rFonts w:ascii="Palatino" w:hAnsi="Palatino"/>
          <w:sz w:val="22"/>
          <w:szCs w:val="22"/>
          <w:rtl w:val="0"/>
          <w:lang w:val="en-US"/>
        </w:rPr>
        <w:t xml:space="preserve">I am a 53 year old female, with </w:t>
      </w:r>
      <w:r>
        <w:rPr>
          <w:rFonts w:ascii="Palatino" w:hAnsi="Palatino"/>
          <w:sz w:val="22"/>
          <w:szCs w:val="22"/>
          <w:rtl w:val="0"/>
          <w:lang w:val="en-US"/>
        </w:rPr>
        <w:t xml:space="preserve">an engaging </w:t>
      </w:r>
      <w:r>
        <w:rPr>
          <w:rFonts w:ascii="Palatino" w:hAnsi="Palatino"/>
          <w:sz w:val="22"/>
          <w:szCs w:val="22"/>
          <w:rtl w:val="0"/>
          <w:lang w:val="en-US"/>
        </w:rPr>
        <w:t>interest in phenomen</w:t>
      </w:r>
      <w:r>
        <w:rPr>
          <w:rFonts w:ascii="Palatino" w:hAnsi="Palatino"/>
          <w:sz w:val="22"/>
          <w:szCs w:val="22"/>
          <w:rtl w:val="0"/>
          <w:lang w:val="en-US"/>
        </w:rPr>
        <w:t>ology</w:t>
      </w:r>
      <w:r>
        <w:rPr>
          <w:rFonts w:ascii="Palatino" w:hAnsi="Palatino"/>
          <w:sz w:val="22"/>
          <w:szCs w:val="22"/>
          <w:rtl w:val="0"/>
          <w:lang w:val="en-US"/>
        </w:rPr>
        <w:t xml:space="preserve"> through having studied </w:t>
      </w:r>
      <w:r>
        <w:rPr>
          <w:rFonts w:ascii="Palatino" w:hAnsi="Palatino"/>
          <w:sz w:val="22"/>
          <w:szCs w:val="22"/>
          <w:rtl w:val="0"/>
          <w:lang w:val="en-US"/>
        </w:rPr>
        <w:t xml:space="preserve">animal and human behaviour, </w:t>
      </w:r>
      <w:r>
        <w:rPr>
          <w:rFonts w:ascii="Palatino" w:hAnsi="Palatino"/>
          <w:sz w:val="22"/>
          <w:szCs w:val="22"/>
          <w:rtl w:val="0"/>
          <w:lang w:val="en-US"/>
        </w:rPr>
        <w:t>psychology and anatomy/physiology for many years.</w:t>
      </w:r>
      <w:r>
        <w:rPr>
          <w:rFonts w:ascii="Palatino" w:hAnsi="Palatino"/>
          <w:sz w:val="22"/>
          <w:szCs w:val="22"/>
          <w:rtl w:val="0"/>
          <w:lang w:val="en-US"/>
        </w:rPr>
        <w:t xml:space="preserve">  Through life I have experienced </w:t>
      </w:r>
      <w:r>
        <w:rPr>
          <w:rFonts w:ascii="Palatino" w:hAnsi="Palatino"/>
          <w:sz w:val="22"/>
          <w:szCs w:val="22"/>
          <w:rtl w:val="0"/>
          <w:lang w:val="en-US"/>
        </w:rPr>
        <w:t xml:space="preserve">a sensitivity towards </w:t>
      </w:r>
      <w:r>
        <w:rPr>
          <w:rFonts w:ascii="Palatino" w:hAnsi="Palatino"/>
          <w:sz w:val="22"/>
          <w:szCs w:val="22"/>
          <w:rtl w:val="0"/>
          <w:lang w:val="en-US"/>
        </w:rPr>
        <w:t>the world around me.  My personal beliefs, values, behaviours and sensitivities may be subject to bias in this study, and I therefore maintained a conscious awareness of this throughout the field work, analysis and 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nl-NL"/>
        </w:rPr>
        <w:t xml:space="preserve">Boscawen-un stone </w:t>
      </w:r>
      <w:r>
        <w:rPr>
          <w:rFonts w:ascii="Palatino" w:hAnsi="Palatino"/>
          <w:sz w:val="22"/>
          <w:szCs w:val="22"/>
          <w:rtl w:val="0"/>
          <w:lang w:val="en-US"/>
        </w:rPr>
        <w:t>was the main site of the field work study, and t</w:t>
      </w:r>
      <w:r>
        <w:rPr>
          <w:rFonts w:ascii="Palatino" w:hAnsi="Palatino"/>
          <w:sz w:val="22"/>
          <w:szCs w:val="22"/>
          <w:rtl w:val="0"/>
          <w:lang w:val="en-US"/>
        </w:rPr>
        <w:t>he field work measurements, findings and journal were the primary sources.  This essay will discuss these in reference to secondary sources.  Carolyn Ke</w:t>
      </w:r>
      <w:r>
        <w:rPr>
          <w:rFonts w:ascii="Palatino" w:hAnsi="Palatino"/>
          <w:sz w:val="22"/>
          <w:szCs w:val="22"/>
          <w:rtl w:val="0"/>
        </w:rPr>
        <w:t>nnett</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en-US"/>
        </w:rPr>
        <w:t xml:space="preserve"> astronomical examination of Boscawen-un Stone Circle</w:t>
      </w:r>
      <w:r>
        <w:rPr>
          <w:rFonts w:ascii="Palatino" w:hAnsi="Palatino"/>
          <w:sz w:val="22"/>
          <w:szCs w:val="22"/>
          <w:rtl w:val="0"/>
          <w:lang w:val="en-US"/>
        </w:rPr>
        <w:t xml:space="preserve"> in 2016/17 analysed </w:t>
      </w:r>
      <w:r>
        <w:rPr>
          <w:rFonts w:ascii="Palatino" w:hAnsi="Palatino"/>
          <w:sz w:val="22"/>
          <w:szCs w:val="22"/>
          <w:rtl w:val="0"/>
          <w:lang w:val="it-IT"/>
        </w:rPr>
        <w:t xml:space="preserve">astronomical </w:t>
      </w:r>
      <w:r>
        <w:rPr>
          <w:rFonts w:ascii="Palatino" w:hAnsi="Palatino"/>
          <w:sz w:val="22"/>
          <w:szCs w:val="22"/>
          <w:rtl w:val="0"/>
          <w:lang w:val="en-US"/>
        </w:rPr>
        <w:t>alignments</w:t>
      </w:r>
      <w:r>
        <w:rPr>
          <w:rFonts w:ascii="Palatino" w:hAnsi="Palatino"/>
          <w:sz w:val="22"/>
          <w:szCs w:val="22"/>
          <w:rtl w:val="0"/>
        </w:rPr>
        <w:t xml:space="preserve">. </w:t>
      </w:r>
      <w:r>
        <w:rPr>
          <w:rFonts w:ascii="Palatino" w:cs="Palatino" w:hAnsi="Palatino" w:eastAsia="Palatino"/>
          <w:sz w:val="22"/>
          <w:szCs w:val="22"/>
          <w:vertAlign w:val="superscript"/>
        </w:rPr>
        <w:footnoteReference w:id="17"/>
      </w:r>
      <w:r>
        <w:rPr>
          <w:rFonts w:ascii="Palatino" w:hAnsi="Palatino"/>
          <w:sz w:val="22"/>
          <w:szCs w:val="22"/>
          <w:rtl w:val="0"/>
          <w:lang w:val="en-US"/>
        </w:rPr>
        <w:t xml:space="preserve">  The dissertation discussed</w:t>
      </w:r>
      <w:r>
        <w:rPr>
          <w:rFonts w:ascii="Palatino" w:hAnsi="Palatino"/>
          <w:sz w:val="22"/>
          <w:szCs w:val="22"/>
          <w:rtl w:val="0"/>
          <w:lang w:val="en-US"/>
        </w:rPr>
        <w:t>,</w:t>
      </w:r>
      <w:r>
        <w:rPr>
          <w:rFonts w:ascii="Palatino" w:hAnsi="Palatino"/>
          <w:sz w:val="22"/>
          <w:szCs w:val="22"/>
          <w:rtl w:val="0"/>
          <w:lang w:val="en-US"/>
        </w:rPr>
        <w:t xml:space="preserve"> for example</w:t>
      </w:r>
      <w:r>
        <w:rPr>
          <w:rFonts w:ascii="Palatino" w:hAnsi="Palatino"/>
          <w:sz w:val="22"/>
          <w:szCs w:val="22"/>
          <w:rtl w:val="0"/>
          <w:lang w:val="en-US"/>
        </w:rPr>
        <w:t>,</w:t>
      </w:r>
      <w:r>
        <w:rPr>
          <w:rFonts w:ascii="Palatino" w:hAnsi="Palatino"/>
          <w:sz w:val="22"/>
          <w:szCs w:val="22"/>
          <w:rtl w:val="0"/>
          <w:lang w:val="en-US"/>
        </w:rPr>
        <w:t xml:space="preserve"> the leaning central stone and its alignment to the sun</w:t>
      </w:r>
      <w:r>
        <w:rPr>
          <w:rFonts w:ascii="Palatino" w:hAnsi="Palatino"/>
          <w:sz w:val="22"/>
          <w:szCs w:val="22"/>
          <w:rtl w:val="0"/>
          <w:lang w:val="en-US"/>
        </w:rPr>
        <w:t>, with further particular reference to the art work on this central stone a</w:t>
      </w:r>
      <w:r>
        <w:rPr>
          <w:rFonts w:ascii="Palatino" w:hAnsi="Palatino"/>
          <w:sz w:val="22"/>
          <w:szCs w:val="22"/>
          <w:rtl w:val="0"/>
          <w:lang w:val="da-DK"/>
        </w:rPr>
        <w:t>s</w:t>
      </w:r>
      <w:r>
        <w:rPr>
          <w:rFonts w:ascii="Palatino" w:hAnsi="Palatino"/>
          <w:sz w:val="22"/>
          <w:szCs w:val="22"/>
          <w:rtl w:val="0"/>
          <w:lang w:val="en-US"/>
        </w:rPr>
        <w:t xml:space="preserve"> illuminated on the summer solstice.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Kennett concluded that there was a summer solstice alignment, there w</w:t>
      </w:r>
      <w:r>
        <w:rPr>
          <w:rFonts w:ascii="Palatino" w:hAnsi="Palatino"/>
          <w:sz w:val="22"/>
          <w:szCs w:val="22"/>
          <w:rtl w:val="0"/>
          <w:lang w:val="da-DK"/>
        </w:rPr>
        <w:t>ere, however,</w:t>
      </w:r>
      <w:r>
        <w:rPr>
          <w:rFonts w:ascii="Palatino" w:hAnsi="Palatino"/>
          <w:sz w:val="22"/>
          <w:szCs w:val="22"/>
          <w:rtl w:val="0"/>
          <w:lang w:val="en-US"/>
        </w:rPr>
        <w:t xml:space="preserve"> no</w:t>
      </w:r>
      <w:r>
        <w:rPr>
          <w:rFonts w:ascii="Palatino" w:hAnsi="Palatino"/>
          <w:sz w:val="22"/>
          <w:szCs w:val="22"/>
          <w:rtl w:val="0"/>
          <w:lang w:val="da-DK"/>
        </w:rPr>
        <w:t xml:space="preserve"> </w:t>
      </w:r>
      <w:r>
        <w:rPr>
          <w:rFonts w:ascii="Palatino" w:hAnsi="Palatino"/>
          <w:sz w:val="22"/>
          <w:szCs w:val="22"/>
          <w:rtl w:val="0"/>
          <w:lang w:val="en-US"/>
        </w:rPr>
        <w:t xml:space="preserve">conclusive evidence for </w:t>
      </w:r>
      <w:r>
        <w:rPr>
          <w:rFonts w:ascii="Palatino" w:hAnsi="Palatino"/>
          <w:sz w:val="22"/>
          <w:szCs w:val="22"/>
          <w:rtl w:val="0"/>
          <w:lang w:val="en-US"/>
        </w:rPr>
        <w:t xml:space="preserve">the equinox </w:t>
      </w:r>
      <w:r>
        <w:rPr>
          <w:rFonts w:ascii="Palatino" w:hAnsi="Palatino"/>
          <w:sz w:val="22"/>
          <w:szCs w:val="22"/>
          <w:rtl w:val="0"/>
          <w:lang w:val="en-US"/>
        </w:rPr>
        <w:t>or cross quarter days being aligned.  The auther further concluded that stellar alignments were difficult to define without knowing the accurate dating of the site</w:t>
      </w:r>
      <w:r>
        <w:rPr>
          <w:rFonts w:ascii="Palatino" w:hAnsi="Palatino"/>
          <w:sz w:val="22"/>
          <w:szCs w:val="22"/>
          <w:rtl w:val="0"/>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9"/>
      </w:r>
      <w:r>
        <w:rPr>
          <w:rFonts w:ascii="Palatino" w:hAnsi="Palatino"/>
          <w:sz w:val="22"/>
          <w:szCs w:val="22"/>
          <w:rtl w:val="0"/>
          <w:lang w:val="en-US"/>
        </w:rPr>
        <w:t xml:space="preserve">  Sir Norman Lockyer did, however, find stellar alignments when he visited Boscawen-un</w:t>
      </w:r>
      <w:r>
        <w:rPr>
          <w:rFonts w:ascii="Palatino" w:hAnsi="Palatino"/>
          <w:sz w:val="22"/>
          <w:szCs w:val="22"/>
          <w:rtl w:val="0"/>
          <w:lang w:val="da-DK"/>
        </w:rPr>
        <w:t xml:space="preserve">, as </w:t>
      </w:r>
      <w:r>
        <w:rPr>
          <w:rFonts w:ascii="Palatino" w:hAnsi="Palatino"/>
          <w:sz w:val="22"/>
          <w:szCs w:val="22"/>
          <w:rtl w:val="0"/>
          <w:lang w:val="en-US"/>
        </w:rPr>
        <w:t xml:space="preserve">discussed in the book originally published in 1906. </w:t>
      </w:r>
      <w:r>
        <w:rPr>
          <w:rFonts w:ascii="Palatino" w:cs="Palatino" w:hAnsi="Palatino" w:eastAsia="Palatino"/>
          <w:sz w:val="22"/>
          <w:szCs w:val="22"/>
          <w:vertAlign w:val="superscript"/>
        </w:rPr>
        <w:footnoteReference w:id="20"/>
      </w:r>
      <w:r>
        <w:rPr>
          <w:rFonts w:ascii="Palatino" w:hAnsi="Palatino"/>
          <w:sz w:val="22"/>
          <w:szCs w:val="22"/>
          <w:rtl w:val="0"/>
          <w:lang w:val="en-US"/>
        </w:rPr>
        <w:t xml:space="preserve">  Contrary to Kennett, Lockyer did not mention an alignment of the summer solstice, although the author discussed the </w:t>
      </w:r>
      <w:r>
        <w:rPr>
          <w:rFonts w:ascii="Palatino" w:hAnsi="Palatino" w:hint="default"/>
          <w:sz w:val="22"/>
          <w:szCs w:val="22"/>
          <w:rtl w:val="0"/>
          <w:lang w:val="en-US"/>
        </w:rPr>
        <w:t>‘</w:t>
      </w:r>
      <w:r>
        <w:rPr>
          <w:rFonts w:ascii="Palatino" w:hAnsi="Palatino"/>
          <w:sz w:val="22"/>
          <w:szCs w:val="22"/>
          <w:rtl w:val="0"/>
          <w:lang w:val="en-US"/>
        </w:rPr>
        <w:t>May sun</w:t>
      </w:r>
      <w:r>
        <w:rPr>
          <w:rFonts w:ascii="Palatino" w:hAnsi="Palatino" w:hint="default"/>
          <w:sz w:val="22"/>
          <w:szCs w:val="22"/>
          <w:rtl w:val="0"/>
          <w:lang w:val="en-US"/>
        </w:rPr>
        <w:t xml:space="preserve">’ </w:t>
      </w:r>
      <w:r>
        <w:rPr>
          <w:rFonts w:ascii="Palatino" w:hAnsi="Palatino"/>
          <w:sz w:val="22"/>
          <w:szCs w:val="22"/>
          <w:rtl w:val="0"/>
          <w:lang w:val="en-US"/>
        </w:rPr>
        <w:t xml:space="preserve">rising at the centre of the circle as seen from the quartz stone.  Lockyer further supports this theory, describing an astronomical alignment associated with what the author terms as a </w:t>
      </w:r>
      <w:r>
        <w:rPr>
          <w:rFonts w:ascii="Palatino" w:hAnsi="Palatino" w:hint="default"/>
          <w:sz w:val="22"/>
          <w:szCs w:val="22"/>
          <w:rtl w:val="0"/>
          <w:lang w:val="en-US"/>
        </w:rPr>
        <w:t>‘</w:t>
      </w:r>
      <w:r>
        <w:rPr>
          <w:rFonts w:ascii="Palatino" w:hAnsi="Palatino"/>
          <w:sz w:val="22"/>
          <w:szCs w:val="22"/>
          <w:rtl w:val="0"/>
          <w:lang w:val="en-US"/>
        </w:rPr>
        <w:t>May-year worship</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1"/>
      </w:r>
      <w:r>
        <w:rPr>
          <w:rFonts w:ascii="Palatino" w:hAnsi="Palatino"/>
          <w:sz w:val="22"/>
          <w:szCs w:val="22"/>
          <w:rtl w:val="0"/>
          <w:lang w:val="en-US"/>
        </w:rPr>
        <w:t xml:space="preserve">  Lockyer</w:t>
      </w:r>
      <w:r>
        <w:rPr>
          <w:rFonts w:ascii="Palatino" w:hAnsi="Palatino" w:hint="default"/>
          <w:sz w:val="22"/>
          <w:szCs w:val="22"/>
          <w:rtl w:val="0"/>
          <w:lang w:val="en-US"/>
        </w:rPr>
        <w:t>’</w:t>
      </w:r>
      <w:r>
        <w:rPr>
          <w:rFonts w:ascii="Palatino" w:hAnsi="Palatino"/>
          <w:sz w:val="22"/>
          <w:szCs w:val="22"/>
          <w:rtl w:val="0"/>
          <w:lang w:val="en-US"/>
        </w:rPr>
        <w:t>s findings have been criticised, for instance by Kennett, who discussed the accuracy and in-accuracy of several of Lockyer</w:t>
      </w:r>
      <w:r>
        <w:rPr>
          <w:rFonts w:ascii="Palatino" w:hAnsi="Palatino" w:hint="default"/>
          <w:sz w:val="22"/>
          <w:szCs w:val="22"/>
          <w:rtl w:val="0"/>
          <w:lang w:val="en-US"/>
        </w:rPr>
        <w:t>’</w:t>
      </w:r>
      <w:r>
        <w:rPr>
          <w:rFonts w:ascii="Palatino" w:hAnsi="Palatino"/>
          <w:sz w:val="22"/>
          <w:szCs w:val="22"/>
          <w:rtl w:val="0"/>
          <w:lang w:val="en-US"/>
        </w:rPr>
        <w:t xml:space="preserve">s findings. </w:t>
      </w:r>
      <w:r>
        <w:rPr>
          <w:rFonts w:ascii="Palatino" w:cs="Palatino" w:hAnsi="Palatino" w:eastAsia="Palatino"/>
          <w:sz w:val="22"/>
          <w:szCs w:val="22"/>
          <w:vertAlign w:val="superscript"/>
        </w:rPr>
        <w:footnoteReference w:id="22"/>
      </w:r>
      <w:r>
        <w:rPr>
          <w:rFonts w:ascii="Palatino" w:hAnsi="Palatino"/>
          <w:sz w:val="22"/>
          <w:szCs w:val="22"/>
          <w:rtl w:val="0"/>
          <w:lang w:val="en-US"/>
        </w:rPr>
        <w:t xml:space="preserve">  </w:t>
      </w:r>
      <w:r>
        <w:rPr>
          <w:rFonts w:ascii="Palatino" w:hAnsi="Palatino"/>
          <w:sz w:val="22"/>
          <w:szCs w:val="22"/>
          <w:rtl w:val="0"/>
          <w:lang w:val="en-US"/>
        </w:rPr>
        <w:t xml:space="preserve">Light and shadows were not discussed by </w:t>
      </w:r>
      <w:r>
        <w:rPr>
          <w:rFonts w:ascii="Palatino" w:hAnsi="Palatino"/>
          <w:sz w:val="22"/>
          <w:szCs w:val="22"/>
          <w:rtl w:val="0"/>
          <w:lang w:val="da-DK"/>
        </w:rPr>
        <w:t>neither scholars</w:t>
      </w:r>
      <w:r>
        <w:rPr>
          <w:rFonts w:ascii="Palatino" w:hAnsi="Palatino"/>
          <w:sz w:val="22"/>
          <w:szCs w:val="22"/>
          <w:rtl w:val="0"/>
        </w:rPr>
        <w:t xml:space="preserve">.  </w:t>
      </w:r>
      <w:r>
        <w:rPr>
          <w:rFonts w:ascii="Palatino" w:hAnsi="Palatino"/>
          <w:sz w:val="22"/>
          <w:szCs w:val="22"/>
          <w:rtl w:val="0"/>
          <w:lang w:val="en-US"/>
        </w:rPr>
        <w:t xml:space="preserve">The scholarships indicated the difficulty in defining accurate and definite astronomical alignments.  Burl argued that the Neolithic people were interested in the events of the sky, </w:t>
      </w:r>
      <w:r>
        <w:rPr>
          <w:rFonts w:ascii="Palatino" w:hAnsi="Palatino"/>
          <w:sz w:val="22"/>
          <w:szCs w:val="22"/>
          <w:rtl w:val="0"/>
          <w:lang w:val="da-DK"/>
        </w:rPr>
        <w:t>however,</w:t>
      </w:r>
      <w:r>
        <w:rPr>
          <w:rFonts w:ascii="Palatino" w:hAnsi="Palatino"/>
          <w:sz w:val="22"/>
          <w:szCs w:val="22"/>
          <w:rtl w:val="0"/>
          <w:lang w:val="en-US"/>
        </w:rPr>
        <w:t xml:space="preserve"> argued that though astronomical alignments may have been an important part of prehistoric studies, they are</w:t>
      </w:r>
      <w:r>
        <w:rPr>
          <w:rFonts w:ascii="Palatino" w:hAnsi="Palatino"/>
          <w:sz w:val="22"/>
          <w:szCs w:val="22"/>
          <w:rtl w:val="0"/>
          <w:lang w:val="da-DK"/>
        </w:rPr>
        <w:t xml:space="preserve"> </w:t>
      </w:r>
      <w:r>
        <w:rPr>
          <w:rFonts w:ascii="Palatino" w:hAnsi="Palatino"/>
          <w:sz w:val="22"/>
          <w:szCs w:val="22"/>
          <w:rtl w:val="0"/>
          <w:lang w:val="en-US"/>
        </w:rPr>
        <w:t xml:space="preserve">only a part. </w:t>
      </w:r>
      <w:r>
        <w:rPr>
          <w:rFonts w:ascii="Palatino" w:cs="Palatino" w:hAnsi="Palatino" w:eastAsia="Palatino"/>
          <w:sz w:val="22"/>
          <w:szCs w:val="22"/>
          <w:vertAlign w:val="superscript"/>
        </w:rPr>
        <w:footnoteReference w:id="23"/>
      </w:r>
      <w:r>
        <w:rPr>
          <w:rFonts w:ascii="Palatino" w:hAnsi="Palatino"/>
          <w:sz w:val="22"/>
          <w:szCs w:val="22"/>
          <w:rtl w:val="0"/>
          <w:lang w:val="en-US"/>
        </w:rPr>
        <w:t xml:space="preserve">  Peter Herring</w:t>
      </w:r>
      <w:r>
        <w:rPr>
          <w:rFonts w:ascii="Palatino" w:hAnsi="Palatino" w:hint="default"/>
          <w:sz w:val="22"/>
          <w:szCs w:val="22"/>
          <w:rtl w:val="0"/>
          <w:lang w:val="en-US"/>
        </w:rPr>
        <w:t>’</w:t>
      </w:r>
      <w:r>
        <w:rPr>
          <w:rFonts w:ascii="Palatino" w:hAnsi="Palatino"/>
          <w:sz w:val="22"/>
          <w:szCs w:val="22"/>
          <w:rtl w:val="0"/>
          <w:lang w:val="en-US"/>
        </w:rPr>
        <w:t xml:space="preserve">s archaeological assessment described the significance of the prehistorical alignment of Boscawen-un as a ceremonial monument. </w:t>
      </w:r>
      <w:r>
        <w:rPr>
          <w:rFonts w:ascii="Palatino" w:cs="Palatino" w:hAnsi="Palatino" w:eastAsia="Palatino"/>
          <w:sz w:val="22"/>
          <w:szCs w:val="22"/>
          <w:vertAlign w:val="superscript"/>
        </w:rPr>
        <w:footnoteReference w:id="24"/>
      </w:r>
      <w:r>
        <w:rPr>
          <w:rFonts w:ascii="Palatino" w:hAnsi="Palatino"/>
          <w:sz w:val="22"/>
          <w:szCs w:val="22"/>
          <w:rtl w:val="0"/>
          <w:lang w:val="en-US"/>
        </w:rPr>
        <w:t xml:space="preserve">  Herring discussed six aspects that seemed deliberately aligned, four of which are discussed in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3"/>
          <w:footerReference w:type="default" r:id="rId14"/>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site itself in the landscape, the learning of the central stone, </w:t>
      </w:r>
      <w:r>
        <w:rPr>
          <w:rFonts w:ascii="Palatino" w:hAnsi="Palatino"/>
          <w:sz w:val="22"/>
          <w:szCs w:val="22"/>
          <w:rtl w:val="0"/>
          <w:lang w:val="en-US"/>
        </w:rPr>
        <w:t>the axe art work on the central stone</w:t>
      </w:r>
      <w:r>
        <w:rPr>
          <w:rFonts w:ascii="Palatino" w:hAnsi="Palatino"/>
          <w:sz w:val="22"/>
          <w:szCs w:val="22"/>
          <w:rtl w:val="0"/>
          <w:lang w:val="en-US"/>
        </w:rPr>
        <w:t xml:space="preserve"> and the large quartz stone. </w:t>
      </w:r>
      <w:r>
        <w:rPr>
          <w:rFonts w:ascii="Palatino" w:cs="Palatino" w:hAnsi="Palatino" w:eastAsia="Palatino"/>
          <w:sz w:val="22"/>
          <w:szCs w:val="22"/>
          <w:vertAlign w:val="superscript"/>
        </w:rPr>
        <w:footnoteReference w:id="2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Landscape can hold a magical </w:t>
      </w:r>
      <w:r>
        <w:rPr>
          <w:rFonts w:ascii="Palatino" w:hAnsi="Palatino" w:hint="default"/>
          <w:sz w:val="22"/>
          <w:szCs w:val="22"/>
          <w:rtl w:val="0"/>
          <w:lang w:val="en-US"/>
        </w:rPr>
        <w:t>‘</w:t>
      </w:r>
      <w:r>
        <w:rPr>
          <w:rFonts w:ascii="Palatino" w:hAnsi="Palatino"/>
          <w:sz w:val="22"/>
          <w:szCs w:val="22"/>
          <w:rtl w:val="0"/>
          <w:lang w:val="en-US"/>
        </w:rPr>
        <w:t xml:space="preserve">sense' and </w:t>
      </w:r>
      <w:r>
        <w:rPr>
          <w:rFonts w:ascii="Palatino" w:hAnsi="Palatino" w:hint="default"/>
          <w:sz w:val="22"/>
          <w:szCs w:val="22"/>
          <w:rtl w:val="0"/>
          <w:lang w:val="en-US"/>
        </w:rPr>
        <w:t>‘</w:t>
      </w:r>
      <w:r>
        <w:rPr>
          <w:rFonts w:ascii="Palatino" w:hAnsi="Palatino"/>
          <w:sz w:val="22"/>
          <w:szCs w:val="22"/>
          <w:rtl w:val="0"/>
          <w:lang w:val="en-US"/>
        </w:rPr>
        <w:t>spirit</w:t>
      </w:r>
      <w:r>
        <w:rPr>
          <w:rFonts w:ascii="Palatino" w:hAnsi="Palatino" w:hint="default"/>
          <w:sz w:val="22"/>
          <w:szCs w:val="22"/>
          <w:rtl w:val="0"/>
          <w:lang w:val="en-US"/>
        </w:rPr>
        <w:t>’</w:t>
      </w:r>
      <w:r>
        <w:rPr>
          <w:rFonts w:ascii="Palatino" w:hAnsi="Palatino"/>
          <w:sz w:val="22"/>
          <w:szCs w:val="22"/>
          <w:rtl w:val="0"/>
          <w:lang w:val="en-US"/>
        </w:rPr>
        <w:t xml:space="preserve">, and </w:t>
      </w:r>
      <w:r>
        <w:rPr>
          <w:rFonts w:ascii="Palatino" w:hAnsi="Palatino"/>
          <w:sz w:val="22"/>
          <w:szCs w:val="22"/>
          <w:rtl w:val="0"/>
          <w:lang w:val="da-DK"/>
        </w:rPr>
        <w:t>the</w:t>
      </w:r>
      <w:r>
        <w:rPr>
          <w:rFonts w:ascii="Palatino" w:hAnsi="Palatino"/>
          <w:sz w:val="22"/>
          <w:szCs w:val="22"/>
          <w:rtl w:val="0"/>
          <w:lang w:val="en-US"/>
        </w:rPr>
        <w:t xml:space="preserve"> phenomenologies were described by Brook as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w:t>
      </w:r>
      <w:r>
        <w:rPr>
          <w:rFonts w:ascii="Palatino" w:hAnsi="Palatino"/>
          <w:sz w:val="22"/>
          <w:szCs w:val="22"/>
          <w:rtl w:val="0"/>
          <w:lang w:val="en-US"/>
        </w:rPr>
        <w:t xml:space="preserve">, whereas Tilley discussed places as </w:t>
      </w:r>
      <w:r>
        <w:rPr>
          <w:rFonts w:ascii="Palatino" w:hAnsi="Palatino" w:hint="default"/>
          <w:sz w:val="22"/>
          <w:szCs w:val="22"/>
          <w:rtl w:val="0"/>
          <w:lang w:val="en-US"/>
        </w:rPr>
        <w:t>‘</w:t>
      </w:r>
      <w:r>
        <w:rPr>
          <w:rFonts w:ascii="Palatino" w:hAnsi="Palatino"/>
          <w:sz w:val="22"/>
          <w:szCs w:val="22"/>
          <w:rtl w:val="0"/>
          <w:lang w:val="en-US"/>
        </w:rPr>
        <w:t>super-natural</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6"/>
      </w:r>
      <w:r>
        <w:rPr>
          <w:rFonts w:ascii="Palatino" w:hAnsi="Palatino"/>
          <w:sz w:val="22"/>
          <w:szCs w:val="22"/>
          <w:rtl w:val="0"/>
          <w:lang w:val="en-US"/>
        </w:rPr>
        <w:t xml:space="preserve">  Natural energy fields have been measured </w:t>
      </w:r>
      <w:r>
        <w:rPr>
          <w:rFonts w:ascii="Palatino" w:hAnsi="Palatino"/>
          <w:sz w:val="22"/>
          <w:szCs w:val="22"/>
          <w:rtl w:val="0"/>
          <w:lang w:val="da-DK"/>
        </w:rPr>
        <w:t>at stone circles</w:t>
      </w:r>
      <w:r>
        <w:rPr>
          <w:rFonts w:ascii="Palatino" w:hAnsi="Palatino"/>
          <w:sz w:val="22"/>
          <w:szCs w:val="22"/>
          <w:rtl w:val="0"/>
          <w:lang w:val="en-US"/>
        </w:rPr>
        <w:t xml:space="preserve">, and stones have given electric shocks to sensitive dowsers. </w:t>
      </w:r>
      <w:r>
        <w:rPr>
          <w:rFonts w:ascii="Palatino" w:cs="Palatino" w:hAnsi="Palatino" w:eastAsia="Palatino"/>
          <w:sz w:val="22"/>
          <w:szCs w:val="22"/>
          <w:vertAlign w:val="superscript"/>
        </w:rPr>
        <w:footnoteReference w:id="27"/>
      </w:r>
      <w:r>
        <w:rPr>
          <w:rFonts w:ascii="Palatino" w:hAnsi="Palatino"/>
          <w:sz w:val="22"/>
          <w:szCs w:val="22"/>
          <w:rtl w:val="0"/>
          <w:lang w:val="en-US"/>
        </w:rPr>
        <w:t xml:space="preserve">  Freddy Silva described how the sensing of energies arising from the ground and falling from the sky emerged to enable creation of a structure as a: </w:t>
      </w:r>
      <w:r>
        <w:rPr>
          <w:rFonts w:ascii="Palatino" w:hAnsi="Palatino" w:hint="default"/>
          <w:sz w:val="22"/>
          <w:szCs w:val="22"/>
          <w:rtl w:val="0"/>
          <w:lang w:val="en-US"/>
        </w:rPr>
        <w:t xml:space="preserve">‘… </w:t>
      </w:r>
      <w:r>
        <w:rPr>
          <w:rFonts w:ascii="Palatino" w:hAnsi="Palatino"/>
          <w:sz w:val="22"/>
          <w:szCs w:val="22"/>
          <w:rtl w:val="0"/>
          <w:lang w:val="en-US"/>
        </w:rPr>
        <w:t>sacred marriage in sky-ground dualism</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8"/>
      </w:r>
      <w:r>
        <w:rPr>
          <w:rFonts w:ascii="Palatino" w:hAnsi="Palatino"/>
          <w:sz w:val="22"/>
          <w:szCs w:val="22"/>
          <w:rtl w:val="0"/>
          <w:lang w:val="en-US"/>
        </w:rPr>
        <w:t xml:space="preserve">  The phenomenology of magic in the landscape was, in a more elementary way, explored by Tilley, who</w:t>
      </w:r>
      <w:r>
        <w:rPr>
          <w:rFonts w:ascii="Palatino" w:hAnsi="Palatino"/>
          <w:sz w:val="22"/>
          <w:szCs w:val="22"/>
          <w:rtl w:val="0"/>
          <w:lang w:val="da-DK"/>
        </w:rPr>
        <w:t>,</w:t>
      </w:r>
      <w:r>
        <w:rPr>
          <w:rFonts w:ascii="Palatino" w:hAnsi="Palatino"/>
          <w:sz w:val="22"/>
          <w:szCs w:val="22"/>
          <w:rtl w:val="0"/>
          <w:lang w:val="en-US"/>
        </w:rPr>
        <w:t xml:space="preserve"> specifically the area of West Penwith where the Boscawen-un is situated, observed key features of: </w:t>
      </w:r>
      <w:r>
        <w:rPr>
          <w:rFonts w:ascii="Palatino" w:hAnsi="Palatino" w:hint="default"/>
          <w:sz w:val="22"/>
          <w:szCs w:val="22"/>
          <w:rtl w:val="0"/>
          <w:lang w:val="en-US"/>
        </w:rPr>
        <w:t xml:space="preserve">‘… </w:t>
      </w:r>
      <w:r>
        <w:rPr>
          <w:rFonts w:ascii="Palatino" w:hAnsi="Palatino"/>
          <w:sz w:val="22"/>
          <w:szCs w:val="22"/>
          <w:rtl w:val="0"/>
          <w:lang w:val="en-US"/>
        </w:rPr>
        <w:t>fire, water, stone, birth, death and the regeneration of life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9"/>
      </w:r>
      <w:r>
        <w:rPr>
          <w:rFonts w:ascii="Palatino" w:hAnsi="Palatino"/>
          <w:sz w:val="22"/>
          <w:szCs w:val="22"/>
          <w:rtl w:val="0"/>
          <w:lang w:val="en-US"/>
        </w:rPr>
        <w:t xml:space="preserve">  Tilley described how various stones offer multi-dimensional experiences </w:t>
      </w:r>
      <w:r>
        <w:rPr>
          <w:rFonts w:ascii="Palatino" w:cs="Palatino" w:hAnsi="Palatino" w:eastAsia="Palatino"/>
          <w:sz w:val="22"/>
          <w:szCs w:val="22"/>
          <w:vertAlign w:val="superscript"/>
        </w:rPr>
        <w:footnoteReference w:id="30"/>
      </w:r>
      <w:r>
        <w:rPr>
          <w:rFonts w:ascii="Palatino" w:hAnsi="Palatino"/>
          <w:sz w:val="22"/>
          <w:szCs w:val="22"/>
          <w:rtl w:val="0"/>
          <w:lang w:val="da-DK"/>
        </w:rPr>
        <w:t>, and q</w:t>
      </w:r>
      <w:r>
        <w:rPr>
          <w:rFonts w:ascii="Palatino" w:hAnsi="Palatino"/>
          <w:sz w:val="22"/>
          <w:szCs w:val="22"/>
          <w:rtl w:val="0"/>
          <w:lang w:val="en-US"/>
        </w:rPr>
        <w:t xml:space="preserve">uartz </w:t>
      </w:r>
      <w:r>
        <w:rPr>
          <w:rFonts w:ascii="Palatino" w:hAnsi="Palatino"/>
          <w:sz w:val="22"/>
          <w:szCs w:val="22"/>
          <w:rtl w:val="0"/>
          <w:lang w:val="da-DK"/>
        </w:rPr>
        <w:t xml:space="preserve">in particular </w:t>
      </w:r>
      <w:r>
        <w:rPr>
          <w:rFonts w:ascii="Palatino" w:hAnsi="Palatino"/>
          <w:sz w:val="22"/>
          <w:szCs w:val="22"/>
          <w:rtl w:val="0"/>
          <w:lang w:val="en-US"/>
        </w:rPr>
        <w:t xml:space="preserve">was described widely by many scholars, for example for use in rituals, for having feminine qualities, for being a lunar deity, for resembling frozen water and even for being a gateway to other dimensions. </w:t>
      </w:r>
      <w:r>
        <w:rPr>
          <w:rFonts w:ascii="Palatino" w:cs="Palatino" w:hAnsi="Palatino" w:eastAsia="Palatino"/>
          <w:sz w:val="22"/>
          <w:szCs w:val="22"/>
          <w:vertAlign w:val="superscript"/>
        </w:rPr>
        <w:footnoteReference w:id="31"/>
      </w:r>
      <w:r>
        <w:rPr>
          <w:rFonts w:ascii="Palatino" w:hAnsi="Palatino"/>
          <w:sz w:val="22"/>
          <w:szCs w:val="22"/>
          <w:rtl w:val="0"/>
          <w:lang w:val="en-US"/>
        </w:rPr>
        <w:t xml:space="preserve">  Healing qualities of stones was </w:t>
      </w:r>
      <w:r>
        <w:rPr>
          <w:rFonts w:ascii="Palatino" w:hAnsi="Palatino"/>
          <w:sz w:val="22"/>
          <w:szCs w:val="22"/>
          <w:rtl w:val="0"/>
          <w:lang w:val="da-DK"/>
        </w:rPr>
        <w:t xml:space="preserve">discussed </w:t>
      </w:r>
      <w:r>
        <w:rPr>
          <w:rFonts w:ascii="Palatino" w:hAnsi="Palatino"/>
          <w:sz w:val="22"/>
          <w:szCs w:val="22"/>
          <w:rtl w:val="0"/>
          <w:lang w:val="en-US"/>
        </w:rPr>
        <w:t>by Paul Devereux</w:t>
      </w:r>
      <w:r>
        <w:rPr>
          <w:rFonts w:ascii="Palatino" w:hAnsi="Palatino"/>
          <w:sz w:val="22"/>
          <w:szCs w:val="22"/>
          <w:rtl w:val="0"/>
          <w:lang w:val="da-DK"/>
        </w:rPr>
        <w:t xml:space="preserve">, as </w:t>
      </w:r>
      <w:r>
        <w:rPr>
          <w:rFonts w:ascii="Palatino" w:hAnsi="Palatino"/>
          <w:sz w:val="22"/>
          <w:szCs w:val="22"/>
          <w:rtl w:val="0"/>
          <w:lang w:val="en-US"/>
        </w:rPr>
        <w:t xml:space="preserve">the stones of prehistoric structures were associated with healing properties and energy. </w:t>
      </w:r>
      <w:r>
        <w:rPr>
          <w:rFonts w:ascii="Palatino" w:cs="Palatino" w:hAnsi="Palatino" w:eastAsia="Palatino"/>
          <w:sz w:val="22"/>
          <w:szCs w:val="22"/>
          <w:vertAlign w:val="superscript"/>
        </w:rPr>
        <w:footnoteReference w:id="32"/>
      </w:r>
      <w:r>
        <w:rPr>
          <w:rFonts w:ascii="Palatino" w:hAnsi="Palatino"/>
          <w:sz w:val="22"/>
          <w:szCs w:val="22"/>
          <w:rtl w:val="0"/>
          <w:lang w:val="en-US"/>
        </w:rPr>
        <w:t xml:space="preserve">  Even-though </w:t>
      </w:r>
      <w:r>
        <w:rPr>
          <w:rFonts w:ascii="Palatino" w:hAnsi="Palatino"/>
          <w:sz w:val="22"/>
          <w:szCs w:val="22"/>
          <w:rtl w:val="0"/>
          <w:lang w:val="da-DK"/>
        </w:rPr>
        <w:t>q</w:t>
      </w:r>
      <w:r>
        <w:rPr>
          <w:rFonts w:ascii="Palatino" w:hAnsi="Palatino"/>
          <w:sz w:val="22"/>
          <w:szCs w:val="22"/>
          <w:rtl w:val="0"/>
          <w:lang w:val="en-US"/>
        </w:rPr>
        <w:t>uartz holds predominant properties and features as described, only Lockyer discussed the quartz at the Boscawen-un</w:t>
      </w:r>
      <w:r>
        <w:rPr>
          <w:rFonts w:ascii="Palatino" w:hAnsi="Palatino"/>
          <w:sz w:val="22"/>
          <w:szCs w:val="22"/>
          <w:rtl w:val="0"/>
          <w:lang w:val="da-DK"/>
        </w:rPr>
        <w:t>, however only</w:t>
      </w:r>
      <w:r>
        <w:rPr>
          <w:rFonts w:ascii="Palatino" w:hAnsi="Palatino"/>
          <w:sz w:val="22"/>
          <w:szCs w:val="22"/>
          <w:rtl w:val="0"/>
          <w:lang w:val="en-US"/>
        </w:rPr>
        <w:t xml:space="preserve"> with a significance to the rising May-sun. </w:t>
      </w:r>
      <w:r>
        <w:rPr>
          <w:rFonts w:ascii="Palatino" w:cs="Palatino" w:hAnsi="Palatino" w:eastAsia="Palatino"/>
          <w:sz w:val="22"/>
          <w:szCs w:val="22"/>
          <w:vertAlign w:val="superscript"/>
        </w:rPr>
        <w:footnoteReference w:id="3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It has been described how four surviving stone circles in the area of Boscawen-un, (West Penwith), all have 19 stones. </w:t>
      </w:r>
      <w:r>
        <w:rPr>
          <w:rFonts w:ascii="Palatino" w:cs="Palatino" w:hAnsi="Palatino" w:eastAsia="Palatino"/>
          <w:sz w:val="22"/>
          <w:szCs w:val="22"/>
          <w:vertAlign w:val="superscript"/>
        </w:rPr>
        <w:footnoteReference w:id="34"/>
      </w:r>
      <w:r>
        <w:rPr>
          <w:rFonts w:ascii="Palatino" w:hAnsi="Palatino"/>
          <w:sz w:val="22"/>
          <w:szCs w:val="22"/>
          <w:rtl w:val="0"/>
          <w:lang w:val="en-US"/>
        </w:rPr>
        <w:t xml:space="preserve">  Though not addressed, perhaps surprisingly, with any significance by any of the above mentioned scholars, the number 19 could be astronomically related to the moon. </w:t>
      </w:r>
      <w:r>
        <w:rPr>
          <w:rFonts w:ascii="Palatino" w:cs="Palatino" w:hAnsi="Palatino" w:eastAsia="Palatino"/>
          <w:sz w:val="22"/>
          <w:szCs w:val="22"/>
          <w:vertAlign w:val="superscript"/>
        </w:rPr>
        <w:footnoteReference w:id="35"/>
      </w:r>
      <w:r>
        <w:rPr>
          <w:rFonts w:ascii="Palatino" w:hAnsi="Palatino"/>
          <w:sz w:val="22"/>
          <w:szCs w:val="22"/>
          <w:rtl w:val="0"/>
          <w:lang w:val="en-US"/>
        </w:rPr>
        <w:t xml:space="preserve">  Furthermore, geometry, numbers and shapes have been discussed as important to the Neolithic human</w:t>
      </w:r>
      <w:r>
        <w:rPr>
          <w:rFonts w:ascii="Palatino" w:hAnsi="Palatino"/>
          <w:sz w:val="22"/>
          <w:szCs w:val="22"/>
          <w:rtl w:val="0"/>
          <w:lang w:val="da-DK"/>
        </w:rPr>
        <w:t xml:space="preserve">, </w:t>
      </w:r>
      <w:r>
        <w:rPr>
          <w:rFonts w:ascii="Palatino" w:hAnsi="Palatino"/>
          <w:sz w:val="22"/>
          <w:szCs w:val="22"/>
          <w:rtl w:val="0"/>
          <w:lang w:val="en-US"/>
        </w:rPr>
        <w:t xml:space="preserve">for instance, </w:t>
      </w:r>
      <w:r>
        <w:rPr>
          <w:rFonts w:ascii="Palatino" w:hAnsi="Palatino"/>
          <w:sz w:val="22"/>
          <w:szCs w:val="22"/>
          <w:rtl w:val="0"/>
          <w:lang w:val="pt-PT"/>
        </w:rPr>
        <w:t xml:space="preserve">Freddy Silva </w:t>
      </w:r>
      <w:r>
        <w:rPr>
          <w:rFonts w:ascii="Palatino" w:hAnsi="Palatino"/>
          <w:sz w:val="22"/>
          <w:szCs w:val="22"/>
          <w:rtl w:val="0"/>
          <w:lang w:val="da-DK"/>
        </w:rPr>
        <w:t>who argued</w:t>
      </w:r>
      <w:r>
        <w:rPr>
          <w:rFonts w:ascii="Palatino" w:hAnsi="Palatino"/>
          <w:sz w:val="22"/>
          <w:szCs w:val="22"/>
          <w:rtl w:val="0"/>
        </w:rPr>
        <w:t xml:space="preserve">: </w:t>
      </w:r>
      <w:r>
        <w:rPr>
          <w:rFonts w:ascii="Palatino" w:hAnsi="Palatino" w:hint="default"/>
          <w:sz w:val="22"/>
          <w:szCs w:val="22"/>
          <w:rtl w:val="1"/>
        </w:rPr>
        <w:t>‘</w:t>
      </w:r>
      <w:r>
        <w:rPr>
          <w:rFonts w:ascii="Palatino" w:hAnsi="Palatino"/>
          <w:sz w:val="22"/>
          <w:szCs w:val="22"/>
          <w:rtl w:val="0"/>
          <w:lang w:val="en-US"/>
        </w:rPr>
        <w:t xml:space="preserve">Essential geometry is a whirlpool of conscious energy manifesting toward solid form. </w:t>
      </w:r>
      <w:r>
        <w:rPr>
          <w:rFonts w:ascii="Palatino" w:hAnsi="Palatino"/>
          <w:sz w:val="22"/>
          <w:szCs w:val="22"/>
          <w:rtl w:val="0"/>
          <w:lang w:val="en-US"/>
        </w:rPr>
        <w:t xml:space="preserve"> </w:t>
      </w:r>
      <w:r>
        <w:rPr>
          <w:rFonts w:ascii="Palatino" w:hAnsi="Palatino"/>
          <w:sz w:val="22"/>
          <w:szCs w:val="22"/>
          <w:rtl w:val="0"/>
          <w:lang w:val="en-US"/>
        </w:rPr>
        <w:t>It is the ultimate language of life.</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6"/>
      </w:r>
      <w:r>
        <w:rPr>
          <w:rFonts w:ascii="Palatino" w:hAnsi="Palatino"/>
          <w:sz w:val="22"/>
          <w:szCs w:val="22"/>
          <w:rtl w:val="0"/>
          <w:lang w:val="en-US"/>
        </w:rPr>
        <w:t xml:space="preserve">  Anthony M. Perks and Darlene Marie Bailey discussed the theory of stone circle</w:t>
      </w:r>
      <w:r>
        <w:rPr>
          <w:rFonts w:ascii="Palatino" w:hAnsi="Palatino" w:hint="default"/>
          <w:sz w:val="22"/>
          <w:szCs w:val="22"/>
          <w:rtl w:val="0"/>
          <w:lang w:val="en-US"/>
        </w:rPr>
        <w:t>’</w:t>
      </w:r>
      <w:r>
        <w:rPr>
          <w:rFonts w:ascii="Palatino" w:hAnsi="Palatino"/>
          <w:sz w:val="22"/>
          <w:szCs w:val="22"/>
          <w:rtl w:val="0"/>
          <w:lang w:val="en-US"/>
        </w:rPr>
        <w:t xml:space="preserve">s resemblance to human anatomy, whilst Nigel Pennick suggests that the round shape of sun and the moon gave the circle a cosmic relation.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Importance of round or flat stone circles, the shape of the individual stones, the cardinal alignments and the alignments between sites in the landscape have all had a significance. </w:t>
      </w:r>
      <w:r>
        <w:rPr>
          <w:rFonts w:ascii="Palatino" w:cs="Palatino" w:hAnsi="Palatino" w:eastAsia="Palatino"/>
          <w:sz w:val="22"/>
          <w:szCs w:val="22"/>
          <w:vertAlign w:val="superscript"/>
        </w:rPr>
        <w:footnoteReference w:id="38"/>
      </w:r>
      <w:r>
        <w:rPr>
          <w:rFonts w:ascii="Palatino" w:hAnsi="Palatino"/>
          <w:sz w:val="22"/>
          <w:szCs w:val="22"/>
          <w:rtl w:val="0"/>
          <w:lang w:val="en-US"/>
        </w:rPr>
        <w:t xml:space="preserve">  Herring describe</w:t>
      </w:r>
      <w:r>
        <w:rPr>
          <w:rFonts w:ascii="Palatino" w:hAnsi="Palatino"/>
          <w:sz w:val="22"/>
          <w:szCs w:val="22"/>
          <w:rtl w:val="0"/>
          <w:lang w:val="da-DK"/>
        </w:rPr>
        <w:t>d</w:t>
      </w:r>
      <w:r>
        <w:rPr>
          <w:rFonts w:ascii="Palatino" w:hAnsi="Palatino"/>
          <w:sz w:val="22"/>
          <w:szCs w:val="22"/>
          <w:rtl w:val="0"/>
          <w:lang w:val="en-US"/>
        </w:rPr>
        <w:t xml:space="preserve"> a large variation</w:t>
      </w:r>
      <w:r>
        <w:rPr>
          <w:rFonts w:ascii="Palatino" w:hAnsi="Palatino"/>
          <w:sz w:val="22"/>
          <w:szCs w:val="22"/>
          <w:rtl w:val="0"/>
          <w:lang w:val="da-DK"/>
        </w:rPr>
        <w:t xml:space="preserve"> in</w:t>
      </w:r>
      <w:r>
        <w:rPr>
          <w:rFonts w:ascii="Palatino" w:hAnsi="Palatino"/>
          <w:sz w:val="22"/>
          <w:szCs w:val="22"/>
          <w:rtl w:val="0"/>
          <w:lang w:val="en-US"/>
        </w:rPr>
        <w:t xml:space="preserve"> features of the stones in the Boscawen-un stone circle. </w:t>
      </w:r>
      <w:r>
        <w:rPr>
          <w:rFonts w:ascii="Palatino" w:cs="Palatino" w:hAnsi="Palatino" w:eastAsia="Palatino"/>
          <w:sz w:val="22"/>
          <w:szCs w:val="22"/>
          <w:vertAlign w:val="superscript"/>
        </w:rPr>
        <w:footnoteReference w:id="39"/>
      </w:r>
      <w:r>
        <w:rPr>
          <w:rFonts w:ascii="Palatino" w:hAnsi="Palatino"/>
          <w:sz w:val="22"/>
          <w:szCs w:val="22"/>
          <w:rtl w:val="0"/>
          <w:lang w:val="en-US"/>
        </w:rPr>
        <w:t xml:space="preserve">  As Herring</w:t>
      </w:r>
      <w:r>
        <w:rPr>
          <w:rFonts w:ascii="Palatino" w:hAnsi="Palatino" w:hint="default"/>
          <w:sz w:val="22"/>
          <w:szCs w:val="22"/>
          <w:rtl w:val="0"/>
          <w:lang w:val="en-US"/>
        </w:rPr>
        <w:t>’</w:t>
      </w:r>
      <w:r>
        <w:rPr>
          <w:rFonts w:ascii="Palatino" w:hAnsi="Palatino"/>
          <w:sz w:val="22"/>
          <w:szCs w:val="22"/>
          <w:rtl w:val="0"/>
          <w:lang w:val="en-US"/>
        </w:rPr>
        <w:t xml:space="preserve">s work was an archaeological assessment, there were no specific meaning or aim to interpret the variation of stones.  There was, however, a </w:t>
      </w:r>
      <w:r>
        <w:rPr>
          <w:rFonts w:ascii="Palatino" w:hAnsi="Palatino"/>
          <w:sz w:val="22"/>
          <w:szCs w:val="22"/>
          <w:rtl w:val="0"/>
          <w:lang w:val="da-DK"/>
        </w:rPr>
        <w:t xml:space="preserve">discussed </w:t>
      </w:r>
      <w:r>
        <w:rPr>
          <w:rFonts w:ascii="Palatino" w:hAnsi="Palatino"/>
          <w:sz w:val="22"/>
          <w:szCs w:val="22"/>
          <w:rtl w:val="0"/>
          <w:lang w:val="en-US"/>
        </w:rPr>
        <w:t xml:space="preserve">variation in the interpretation of the art work on the central stone, which Herring described as: </w:t>
      </w:r>
      <w:r>
        <w:rPr>
          <w:rFonts w:ascii="Palatino" w:hAnsi="Palatino" w:hint="default"/>
          <w:sz w:val="22"/>
          <w:szCs w:val="22"/>
          <w:rtl w:val="0"/>
          <w:lang w:val="en-US"/>
        </w:rPr>
        <w:t>‘</w:t>
      </w:r>
      <w:r>
        <w:rPr>
          <w:rFonts w:ascii="Palatino" w:hAnsi="Palatino"/>
          <w:sz w:val="22"/>
          <w:szCs w:val="22"/>
          <w:rtl w:val="0"/>
          <w:lang w:val="en-US"/>
        </w:rPr>
        <w:t>axe</w:t>
      </w:r>
      <w:r>
        <w:rPr>
          <w:rFonts w:ascii="Palatino" w:hAnsi="Palatino" w:hint="default"/>
          <w:sz w:val="22"/>
          <w:szCs w:val="22"/>
          <w:rtl w:val="0"/>
          <w:lang w:val="en-US"/>
        </w:rPr>
        <w:t>’</w:t>
      </w:r>
      <w:r>
        <w:rPr>
          <w:rFonts w:ascii="Palatino" w:hAnsi="Palatino"/>
          <w:sz w:val="22"/>
          <w:szCs w:val="22"/>
          <w:rtl w:val="0"/>
          <w:lang w:val="en-US"/>
        </w:rPr>
        <w:t xml:space="preserve">, and Kennett described as: </w:t>
      </w:r>
      <w:r>
        <w:rPr>
          <w:rFonts w:ascii="Palatino" w:hAnsi="Palatino" w:hint="default"/>
          <w:sz w:val="22"/>
          <w:szCs w:val="22"/>
          <w:rtl w:val="0"/>
          <w:lang w:val="en-US"/>
        </w:rPr>
        <w:t>‘</w:t>
      </w:r>
      <w:r>
        <w:rPr>
          <w:rFonts w:ascii="Palatino" w:hAnsi="Palatino"/>
          <w:sz w:val="22"/>
          <w:szCs w:val="22"/>
          <w:rtl w:val="0"/>
          <w:lang w:val="en-US"/>
        </w:rPr>
        <w:t>edge of foot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Kennett further described the art being illuminated by the sun at the summer solstice. </w:t>
      </w:r>
      <w:r>
        <w:rPr>
          <w:rFonts w:ascii="Palatino" w:cs="Palatino" w:hAnsi="Palatino" w:eastAsia="Palatino"/>
          <w:sz w:val="22"/>
          <w:szCs w:val="22"/>
          <w:vertAlign w:val="superscript"/>
        </w:rPr>
        <w:footnoteReference w:id="41"/>
      </w:r>
      <w:r>
        <w:rPr>
          <w:rFonts w:ascii="Palatino" w:hAnsi="Palatino"/>
          <w:sz w:val="22"/>
          <w:szCs w:val="22"/>
          <w:rtl w:val="0"/>
          <w:lang w:val="en-US"/>
        </w:rPr>
        <w:t xml:space="preserve">  The theory of </w:t>
      </w:r>
      <w:r>
        <w:rPr>
          <w:rFonts w:ascii="Palatino" w:hAnsi="Palatino" w:hint="default"/>
          <w:sz w:val="22"/>
          <w:szCs w:val="22"/>
          <w:rtl w:val="0"/>
          <w:lang w:val="en-US"/>
        </w:rPr>
        <w:t>‘</w:t>
      </w:r>
      <w:r>
        <w:rPr>
          <w:rFonts w:ascii="Palatino" w:hAnsi="Palatino"/>
          <w:sz w:val="22"/>
          <w:szCs w:val="22"/>
          <w:rtl w:val="0"/>
          <w:lang w:val="en-US"/>
        </w:rPr>
        <w:t>foot</w:t>
      </w:r>
      <w:r>
        <w:rPr>
          <w:rFonts w:ascii="Palatino" w:hAnsi="Palatino" w:hint="default"/>
          <w:sz w:val="22"/>
          <w:szCs w:val="22"/>
          <w:rtl w:val="0"/>
          <w:lang w:val="en-US"/>
        </w:rPr>
        <w:t xml:space="preserve">’ </w:t>
      </w:r>
      <w:r>
        <w:rPr>
          <w:rFonts w:ascii="Palatino" w:hAnsi="Palatino"/>
          <w:sz w:val="22"/>
          <w:szCs w:val="22"/>
          <w:rtl w:val="0"/>
          <w:lang w:val="en-US"/>
        </w:rPr>
        <w:t xml:space="preserve">originated from similar stone art, and the central stone at Boscawen-un was scanned, which indicated support for the theory. </w:t>
      </w:r>
      <w:r>
        <w:rPr>
          <w:rFonts w:ascii="Palatino" w:cs="Palatino" w:hAnsi="Palatino" w:eastAsia="Palatino"/>
          <w:sz w:val="22"/>
          <w:szCs w:val="22"/>
          <w:vertAlign w:val="superscript"/>
        </w:rPr>
        <w:footnoteReference w:id="42"/>
      </w:r>
      <w:r>
        <w:rPr>
          <w:rFonts w:ascii="Palatino" w:hAnsi="Palatino"/>
          <w:sz w:val="22"/>
          <w:szCs w:val="22"/>
          <w:rtl w:val="0"/>
          <w:lang w:val="en-US"/>
        </w:rPr>
        <w:t xml:space="preserve">  The illumination of the art work at the summer solstice was also mentioned by McNeil Cooke, who, however</w:t>
      </w:r>
      <w:r>
        <w:rPr>
          <w:rFonts w:ascii="Palatino" w:hAnsi="Palatino"/>
          <w:sz w:val="22"/>
          <w:szCs w:val="22"/>
          <w:rtl w:val="0"/>
          <w:lang w:val="da-DK"/>
        </w:rPr>
        <w:t>,</w:t>
      </w:r>
      <w:r>
        <w:rPr>
          <w:rFonts w:ascii="Palatino" w:hAnsi="Palatino"/>
          <w:sz w:val="22"/>
          <w:szCs w:val="22"/>
          <w:rtl w:val="0"/>
          <w:lang w:val="en-US"/>
        </w:rPr>
        <w:t xml:space="preserve"> described the artwork as axes, adding that both the illumination and the axes are possible symbols of fertility, life and death. </w:t>
      </w:r>
      <w:r>
        <w:rPr>
          <w:rFonts w:ascii="Palatino" w:cs="Palatino" w:hAnsi="Palatino" w:eastAsia="Palatino"/>
          <w:sz w:val="22"/>
          <w:szCs w:val="22"/>
          <w:vertAlign w:val="superscript"/>
        </w:rPr>
        <w:footnoteReference w:id="43"/>
      </w:r>
      <w:r>
        <w:rPr>
          <w:rFonts w:ascii="Palatino" w:hAnsi="Palatino"/>
          <w:sz w:val="22"/>
          <w:szCs w:val="22"/>
          <w:rtl w:val="0"/>
          <w:lang w:val="en-US"/>
        </w:rPr>
        <w:t xml:space="preserve">  Weatherhill</w:t>
      </w:r>
      <w:r>
        <w:rPr>
          <w:rFonts w:ascii="Palatino" w:hAnsi="Palatino"/>
          <w:sz w:val="22"/>
          <w:szCs w:val="22"/>
          <w:rtl w:val="0"/>
          <w:lang w:val="da-DK"/>
        </w:rPr>
        <w:t xml:space="preserve"> </w:t>
      </w:r>
      <w:r>
        <w:rPr>
          <w:rFonts w:ascii="Palatino" w:hAnsi="Palatino"/>
          <w:sz w:val="22"/>
          <w:szCs w:val="22"/>
          <w:rtl w:val="0"/>
          <w:lang w:val="en-US"/>
        </w:rPr>
        <w:t xml:space="preserve">described the axe as an important tool used for </w:t>
      </w:r>
      <w:r>
        <w:rPr>
          <w:rFonts w:ascii="Palatino" w:hAnsi="Palatino"/>
          <w:sz w:val="22"/>
          <w:szCs w:val="22"/>
          <w:rtl w:val="0"/>
          <w:lang w:val="en-US"/>
        </w:rPr>
        <w:t xml:space="preserve">both </w:t>
      </w:r>
      <w:r>
        <w:rPr>
          <w:rFonts w:ascii="Palatino" w:hAnsi="Palatino"/>
          <w:sz w:val="22"/>
          <w:szCs w:val="22"/>
          <w:rtl w:val="0"/>
          <w:lang w:val="en-US"/>
        </w:rPr>
        <w:t xml:space="preserve">hard labour, but also for rituals and prestige, which could support the theory of the art on the central stone being axes. </w:t>
      </w:r>
      <w:r>
        <w:rPr>
          <w:rFonts w:ascii="Palatino" w:cs="Palatino" w:hAnsi="Palatino" w:eastAsia="Palatino"/>
          <w:sz w:val="22"/>
          <w:szCs w:val="22"/>
          <w:vertAlign w:val="superscript"/>
        </w:rPr>
        <w:footnoteReference w:id="44"/>
      </w:r>
      <w:r>
        <w:rPr>
          <w:rFonts w:ascii="Palatino" w:hAnsi="Palatino"/>
          <w:sz w:val="22"/>
          <w:szCs w:val="22"/>
          <w:rtl w:val="0"/>
          <w:lang w:val="en-US"/>
        </w:rPr>
        <w:t xml:space="preserve">  The author</w:t>
      </w:r>
      <w:r>
        <w:rPr>
          <w:rFonts w:ascii="Palatino" w:hAnsi="Palatino"/>
          <w:sz w:val="22"/>
          <w:szCs w:val="22"/>
          <w:rtl w:val="0"/>
        </w:rPr>
        <w:t xml:space="preserve"> </w:t>
      </w:r>
      <w:r>
        <w:rPr>
          <w:rFonts w:ascii="Palatino" w:hAnsi="Palatino"/>
          <w:sz w:val="22"/>
          <w:szCs w:val="22"/>
          <w:rtl w:val="0"/>
          <w:lang w:val="en-US"/>
        </w:rPr>
        <w:t>described how 4500BC to 2000BC was a time where the population was increasing, farmland established and boats being built, and Cornish axes were significant tools.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5"/>
          <w:footerReference w:type="default" r:id="rId16"/>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Boscawen-un stone circle has 19 stones (Fig. 3).  The stones in the circle have various sizes, however the central stone, which was placed slightly SW off the centre, and the quartz placed at 260</w:t>
      </w:r>
      <w:r>
        <w:rPr>
          <w:rFonts w:ascii="Palatino" w:hAnsi="Palatino" w:hint="default"/>
          <w:sz w:val="22"/>
          <w:szCs w:val="22"/>
          <w:rtl w:val="0"/>
          <w:lang w:val="en-US"/>
        </w:rPr>
        <w:t xml:space="preserve">º </w:t>
      </w:r>
      <w:r>
        <w:rPr>
          <w:rFonts w:ascii="Palatino" w:hAnsi="Palatino"/>
          <w:sz w:val="22"/>
          <w:szCs w:val="22"/>
          <w:rtl w:val="0"/>
          <w:lang w:val="en-US"/>
        </w:rPr>
        <w:t>SW in the circle, are noticeably exceptional when first arriving at the stone circle.  All of the stones are granite, apart from one large quartz, a huge block measuring 305cm in diameter, standing 132cm tall (Fig. 4).  All stones seem upright by the naked-eye, apart from the obvious leaning central stone (Fig. 5).  This</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5408" behindDoc="0" locked="0" layoutInCell="1" allowOverlap="1">
                <wp:simplePos x="0" y="0"/>
                <wp:positionH relativeFrom="margin">
                  <wp:posOffset>0</wp:posOffset>
                </wp:positionH>
                <wp:positionV relativeFrom="line">
                  <wp:posOffset>218852</wp:posOffset>
                </wp:positionV>
                <wp:extent cx="6324602" cy="2823128"/>
                <wp:effectExtent l="0" t="0" r="0" b="0"/>
                <wp:wrapTopAndBottom distT="152400" distB="152400"/>
                <wp:docPr id="1073741844" name="officeArt object"/>
                <wp:cNvGraphicFramePr/>
                <a:graphic xmlns:a="http://schemas.openxmlformats.org/drawingml/2006/main">
                  <a:graphicData uri="http://schemas.microsoft.com/office/word/2010/wordprocessingGroup">
                    <wpg:wgp>
                      <wpg:cNvGrpSpPr/>
                      <wpg:grpSpPr>
                        <a:xfrm>
                          <a:off x="0" y="0"/>
                          <a:ext cx="6324602" cy="2823128"/>
                          <a:chOff x="0" y="0"/>
                          <a:chExt cx="6324601" cy="2823127"/>
                        </a:xfrm>
                      </wpg:grpSpPr>
                      <wpg:grpSp>
                        <wpg:cNvPr id="1073741837" name="Group 1073741837"/>
                        <wpg:cNvGrpSpPr/>
                        <wpg:grpSpPr>
                          <a:xfrm>
                            <a:off x="0" y="149156"/>
                            <a:ext cx="2527082" cy="2607294"/>
                            <a:chOff x="33198" y="238056"/>
                            <a:chExt cx="2527081" cy="2607292"/>
                          </a:xfrm>
                        </wpg:grpSpPr>
                        <pic:pic xmlns:pic="http://schemas.openxmlformats.org/drawingml/2006/picture">
                          <pic:nvPicPr>
                            <pic:cNvPr id="1073741835" name="boscawen-un-plan.png"/>
                            <pic:cNvPicPr>
                              <a:picLocks noChangeAspect="1"/>
                            </pic:cNvPicPr>
                          </pic:nvPicPr>
                          <pic:blipFill>
                            <a:blip r:embed="rId17">
                              <a:extLst/>
                            </a:blip>
                            <a:stretch>
                              <a:fillRect/>
                            </a:stretch>
                          </pic:blipFill>
                          <pic:spPr>
                            <a:xfrm>
                              <a:off x="33198" y="238056"/>
                              <a:ext cx="2527082" cy="2271915"/>
                            </a:xfrm>
                            <a:prstGeom prst="rect">
                              <a:avLst/>
                            </a:prstGeom>
                            <a:ln w="12700" cap="flat">
                              <a:noFill/>
                              <a:miter lim="400000"/>
                            </a:ln>
                            <a:effectLst/>
                          </pic:spPr>
                        </pic:pic>
                        <wps:wsp>
                          <wps:cNvPr id="1073741836" name="Shape 1073741836"/>
                          <wps:cNvSpPr txBox="1"/>
                          <wps:spPr>
                            <a:xfrm>
                              <a:off x="45898" y="2509970"/>
                              <a:ext cx="2378350" cy="335380"/>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3</w:t>
                                </w:r>
                                <w:r>
                                  <w:rPr>
                                    <w:rFonts w:ascii="Palatino" w:hAnsi="Palatino"/>
                                    <w:i w:val="1"/>
                                    <w:iCs w:val="1"/>
                                    <w:sz w:val="16"/>
                                    <w:szCs w:val="16"/>
                                    <w:rtl w:val="0"/>
                                  </w:rPr>
                                  <w:t xml:space="preserve">.  </w:t>
                                </w:r>
                                <w:r>
                                  <w:rPr>
                                    <w:rFonts w:ascii="Palatino" w:hAnsi="Palatino"/>
                                    <w:i w:val="1"/>
                                    <w:iCs w:val="1"/>
                                    <w:sz w:val="16"/>
                                    <w:szCs w:val="16"/>
                                    <w:rtl w:val="0"/>
                                    <w:lang w:val="en-US"/>
                                  </w:rPr>
                                  <w:t>Boscawen-un stone circle drawing.  Drawing</w:t>
                                </w:r>
                                <w:r>
                                  <w:rPr>
                                    <w:rFonts w:ascii="Palatino" w:hAnsi="Palatino"/>
                                    <w:i w:val="1"/>
                                    <w:iCs w:val="1"/>
                                    <w:sz w:val="16"/>
                                    <w:szCs w:val="16"/>
                                    <w:rtl w:val="0"/>
                                    <w:lang w:val="en-US"/>
                                  </w:rPr>
                                  <w:t>: Victoria County History</w:t>
                                </w:r>
                                <w:r>
                                  <w:rPr>
                                    <w:rFonts w:ascii="Palatino" w:hAnsi="Palatino"/>
                                    <w:i w:val="1"/>
                                    <w:iCs w:val="1"/>
                                    <w:sz w:val="16"/>
                                    <w:szCs w:val="16"/>
                                    <w:rtl w:val="0"/>
                                    <w:lang w:val="en-US"/>
                                  </w:rPr>
                                  <w:t>.</w:t>
                                </w:r>
                              </w:p>
                            </w:txbxContent>
                          </wps:txbx>
                          <wps:bodyPr wrap="square" lIns="0" tIns="0" rIns="0" bIns="0" numCol="1" anchor="t">
                            <a:noAutofit/>
                          </wps:bodyPr>
                        </wps:wsp>
                      </wpg:grpSp>
                      <wpg:grpSp>
                        <wpg:cNvPr id="1073741840" name="Group 1073741840"/>
                        <wpg:cNvGrpSpPr/>
                        <wpg:grpSpPr>
                          <a:xfrm>
                            <a:off x="4524601" y="0"/>
                            <a:ext cx="1800001" cy="2823128"/>
                            <a:chOff x="0" y="0"/>
                            <a:chExt cx="1800000" cy="2823127"/>
                          </a:xfrm>
                        </wpg:grpSpPr>
                        <pic:pic xmlns:pic="http://schemas.openxmlformats.org/drawingml/2006/picture">
                          <pic:nvPicPr>
                            <pic:cNvPr id="1073741838" name="IMG_0593.jpeg"/>
                            <pic:cNvPicPr>
                              <a:picLocks noChangeAspect="1"/>
                            </pic:cNvPicPr>
                          </pic:nvPicPr>
                          <pic:blipFill>
                            <a:blip r:embed="rId18">
                              <a:extLst/>
                            </a:blip>
                            <a:stretch>
                              <a:fillRect/>
                            </a:stretch>
                          </pic:blipFill>
                          <pic:spPr>
                            <a:xfrm>
                              <a:off x="0" y="0"/>
                              <a:ext cx="1800001" cy="2400001"/>
                            </a:xfrm>
                            <a:prstGeom prst="rect">
                              <a:avLst/>
                            </a:prstGeom>
                            <a:ln w="12700" cap="flat">
                              <a:noFill/>
                              <a:miter lim="400000"/>
                            </a:ln>
                            <a:effectLst/>
                          </pic:spPr>
                        </pic:pic>
                        <wps:wsp>
                          <wps:cNvPr id="1073741839" name="Shape 1073741839"/>
                          <wps:cNvSpPr txBox="1"/>
                          <wps:spPr>
                            <a:xfrm>
                              <a:off x="9725" y="2403336"/>
                              <a:ext cx="1774200" cy="419792"/>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5</w:t>
                                </w:r>
                                <w:r>
                                  <w:rPr>
                                    <w:rFonts w:ascii="Palatino" w:hAnsi="Palatino"/>
                                    <w:i w:val="1"/>
                                    <w:iCs w:val="1"/>
                                    <w:sz w:val="16"/>
                                    <w:szCs w:val="16"/>
                                    <w:rtl w:val="0"/>
                                  </w:rPr>
                                  <w:t xml:space="preserve">.  </w:t>
                                </w:r>
                                <w:r>
                                  <w:rPr>
                                    <w:rFonts w:ascii="Palatino" w:hAnsi="Palatino"/>
                                    <w:i w:val="1"/>
                                    <w:iCs w:val="1"/>
                                    <w:sz w:val="16"/>
                                    <w:szCs w:val="16"/>
                                    <w:rtl w:val="0"/>
                                    <w:lang w:val="en-US"/>
                                  </w:rPr>
                                  <w:t>The leaning, tall, central stone in the moonlight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wps:txbx>
                          <wps:bodyPr wrap="square" lIns="0" tIns="0" rIns="0" bIns="0" numCol="1" anchor="t">
                            <a:noAutofit/>
                          </wps:bodyPr>
                        </wps:wsp>
                      </wpg:grpSp>
                      <wpg:grpSp>
                        <wpg:cNvPr id="1073741843" name="Group 1073741843"/>
                        <wpg:cNvGrpSpPr/>
                        <wpg:grpSpPr>
                          <a:xfrm>
                            <a:off x="2610060" y="0"/>
                            <a:ext cx="1800001" cy="2823128"/>
                            <a:chOff x="0" y="0"/>
                            <a:chExt cx="1800000" cy="2823127"/>
                          </a:xfrm>
                        </wpg:grpSpPr>
                        <pic:pic xmlns:pic="http://schemas.openxmlformats.org/drawingml/2006/picture">
                          <pic:nvPicPr>
                            <pic:cNvPr id="1073741841" name="IMG_0451.jpeg"/>
                            <pic:cNvPicPr>
                              <a:picLocks noChangeAspect="1"/>
                            </pic:cNvPicPr>
                          </pic:nvPicPr>
                          <pic:blipFill>
                            <a:blip r:embed="rId19">
                              <a:extLst/>
                            </a:blip>
                            <a:stretch>
                              <a:fillRect/>
                            </a:stretch>
                          </pic:blipFill>
                          <pic:spPr>
                            <a:xfrm>
                              <a:off x="0" y="0"/>
                              <a:ext cx="1800001" cy="2400001"/>
                            </a:xfrm>
                            <a:prstGeom prst="rect">
                              <a:avLst/>
                            </a:prstGeom>
                            <a:ln w="12700" cap="flat">
                              <a:noFill/>
                              <a:miter lim="400000"/>
                            </a:ln>
                            <a:effectLst/>
                          </pic:spPr>
                        </pic:pic>
                        <wps:wsp>
                          <wps:cNvPr id="1073741842" name="Shape 1073741842"/>
                          <wps:cNvSpPr txBox="1"/>
                          <wps:spPr>
                            <a:xfrm>
                              <a:off x="0" y="2403335"/>
                              <a:ext cx="1800001" cy="419793"/>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de-DE"/>
                                  </w:rPr>
                                  <w:t>Figure</w:t>
                                </w:r>
                                <w:r>
                                  <w:rPr>
                                    <w:rFonts w:ascii="Palatino" w:hAnsi="Palatino"/>
                                    <w:i w:val="1"/>
                                    <w:iCs w:val="1"/>
                                    <w:sz w:val="16"/>
                                    <w:szCs w:val="16"/>
                                    <w:rtl w:val="0"/>
                                    <w:lang w:val="en-US"/>
                                  </w:rPr>
                                  <w:t xml:space="preserve"> 4</w:t>
                                </w:r>
                                <w:r>
                                  <w:rPr>
                                    <w:rFonts w:ascii="Palatino" w:hAnsi="Palatino"/>
                                    <w:i w:val="1"/>
                                    <w:iCs w:val="1"/>
                                    <w:sz w:val="16"/>
                                    <w:szCs w:val="16"/>
                                    <w:rtl w:val="0"/>
                                  </w:rPr>
                                  <w:t xml:space="preserve">.  </w:t>
                                </w:r>
                                <w:r>
                                  <w:rPr>
                                    <w:rFonts w:ascii="Palatino" w:hAnsi="Palatino"/>
                                    <w:i w:val="1"/>
                                    <w:iCs w:val="1"/>
                                    <w:sz w:val="16"/>
                                    <w:szCs w:val="16"/>
                                    <w:rtl w:val="0"/>
                                    <w:lang w:val="en-US"/>
                                  </w:rPr>
                                  <w:t>The huge block of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14</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wps:txbx>
                          <wps:bodyPr wrap="square" lIns="0" tIns="0" rIns="0" bIns="0" numCol="1" anchor="t">
                            <a:noAutofit/>
                          </wps:bodyPr>
                        </wps:wsp>
                      </wpg:grpSp>
                    </wpg:wgp>
                  </a:graphicData>
                </a:graphic>
              </wp:anchor>
            </w:drawing>
          </mc:Choice>
          <mc:Fallback>
            <w:pict>
              <v:group id="_x0000_s1035" style="visibility:visible;position:absolute;margin-left:0.0pt;margin-top:17.2pt;width:498.0pt;height:222.3pt;z-index:251665408;mso-position-horizontal:absolute;mso-position-horizontal-relative:margin;mso-position-vertical:absolute;mso-position-vertical-relative:line;mso-wrap-distance-left:12.0pt;mso-wrap-distance-top:12.0pt;mso-wrap-distance-right:12.0pt;mso-wrap-distance-bottom:12.0pt;" coordorigin="0,0" coordsize="6324602,2823128">
                <w10:wrap type="topAndBottom" side="bothSides" anchorx="margin"/>
                <v:group id="_x0000_s1036" style="position:absolute;left:0;top:149157;width:2527082;height:2607293;" coordorigin="33198,238057" coordsize="2527082,2607292">
                  <v:shape id="_x0000_s1037" type="#_x0000_t75" style="position:absolute;left:33198;top:238057;width:2527082;height:2271914;">
                    <v:imagedata r:id="rId17" o:title="boscawen-un-plan.png"/>
                  </v:shape>
                  <v:shape id="_x0000_s1038" type="#_x0000_t202" style="position:absolute;left:45898;top:2509971;width:2378349;height:33537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3</w:t>
                          </w:r>
                          <w:r>
                            <w:rPr>
                              <w:rFonts w:ascii="Palatino" w:hAnsi="Palatino"/>
                              <w:i w:val="1"/>
                              <w:iCs w:val="1"/>
                              <w:sz w:val="16"/>
                              <w:szCs w:val="16"/>
                              <w:rtl w:val="0"/>
                            </w:rPr>
                            <w:t xml:space="preserve">.  </w:t>
                          </w:r>
                          <w:r>
                            <w:rPr>
                              <w:rFonts w:ascii="Palatino" w:hAnsi="Palatino"/>
                              <w:i w:val="1"/>
                              <w:iCs w:val="1"/>
                              <w:sz w:val="16"/>
                              <w:szCs w:val="16"/>
                              <w:rtl w:val="0"/>
                              <w:lang w:val="en-US"/>
                            </w:rPr>
                            <w:t>Boscawen-un stone circle drawing.  Drawing</w:t>
                          </w:r>
                          <w:r>
                            <w:rPr>
                              <w:rFonts w:ascii="Palatino" w:hAnsi="Palatino"/>
                              <w:i w:val="1"/>
                              <w:iCs w:val="1"/>
                              <w:sz w:val="16"/>
                              <w:szCs w:val="16"/>
                              <w:rtl w:val="0"/>
                              <w:lang w:val="en-US"/>
                            </w:rPr>
                            <w:t>: Victoria County History</w:t>
                          </w:r>
                          <w:r>
                            <w:rPr>
                              <w:rFonts w:ascii="Palatino" w:hAnsi="Palatino"/>
                              <w:i w:val="1"/>
                              <w:iCs w:val="1"/>
                              <w:sz w:val="16"/>
                              <w:szCs w:val="16"/>
                              <w:rtl w:val="0"/>
                              <w:lang w:val="en-US"/>
                            </w:rPr>
                            <w:t>.</w:t>
                          </w:r>
                        </w:p>
                      </w:txbxContent>
                    </v:textbox>
                  </v:shape>
                </v:group>
                <v:group id="_x0000_s1039" style="position:absolute;left:4524602;top:0;width:1800000;height:2823128;" coordorigin="0,0" coordsize="1800000,2823128">
                  <v:shape id="_x0000_s1040" type="#_x0000_t75" style="position:absolute;left:0;top:0;width:1800000;height:2400000;">
                    <v:imagedata r:id="rId18" o:title="IMG_0593.jpeg"/>
                  </v:shape>
                  <v:shape id="_x0000_s1041" type="#_x0000_t202" style="position:absolute;left:9726;top:2403336;width:1774199;height:4197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5</w:t>
                          </w:r>
                          <w:r>
                            <w:rPr>
                              <w:rFonts w:ascii="Palatino" w:hAnsi="Palatino"/>
                              <w:i w:val="1"/>
                              <w:iCs w:val="1"/>
                              <w:sz w:val="16"/>
                              <w:szCs w:val="16"/>
                              <w:rtl w:val="0"/>
                            </w:rPr>
                            <w:t xml:space="preserve">.  </w:t>
                          </w:r>
                          <w:r>
                            <w:rPr>
                              <w:rFonts w:ascii="Palatino" w:hAnsi="Palatino"/>
                              <w:i w:val="1"/>
                              <w:iCs w:val="1"/>
                              <w:sz w:val="16"/>
                              <w:szCs w:val="16"/>
                              <w:rtl w:val="0"/>
                              <w:lang w:val="en-US"/>
                            </w:rPr>
                            <w:t>The leaning, tall, central stone in the moonlight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v:textbox>
                  </v:shape>
                </v:group>
                <v:group id="_x0000_s1042" style="position:absolute;left:2610060;top:0;width:1800000;height:2823128;" coordorigin="0,0" coordsize="1800000,2823128">
                  <v:shape id="_x0000_s1043" type="#_x0000_t75" style="position:absolute;left:0;top:0;width:1800000;height:2400000;">
                    <v:imagedata r:id="rId19" o:title="IMG_0451.jpeg"/>
                  </v:shape>
                  <v:shape id="_x0000_s1044" type="#_x0000_t202" style="position:absolute;left:0;top:2403336;width:1800000;height:4197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de-DE"/>
                            </w:rPr>
                            <w:t>Figure</w:t>
                          </w:r>
                          <w:r>
                            <w:rPr>
                              <w:rFonts w:ascii="Palatino" w:hAnsi="Palatino"/>
                              <w:i w:val="1"/>
                              <w:iCs w:val="1"/>
                              <w:sz w:val="16"/>
                              <w:szCs w:val="16"/>
                              <w:rtl w:val="0"/>
                              <w:lang w:val="en-US"/>
                            </w:rPr>
                            <w:t xml:space="preserve"> 4</w:t>
                          </w:r>
                          <w:r>
                            <w:rPr>
                              <w:rFonts w:ascii="Palatino" w:hAnsi="Palatino"/>
                              <w:i w:val="1"/>
                              <w:iCs w:val="1"/>
                              <w:sz w:val="16"/>
                              <w:szCs w:val="16"/>
                              <w:rtl w:val="0"/>
                            </w:rPr>
                            <w:t xml:space="preserve">.  </w:t>
                          </w:r>
                          <w:r>
                            <w:rPr>
                              <w:rFonts w:ascii="Palatino" w:hAnsi="Palatino"/>
                              <w:i w:val="1"/>
                              <w:iCs w:val="1"/>
                              <w:sz w:val="16"/>
                              <w:szCs w:val="16"/>
                              <w:rtl w:val="0"/>
                              <w:lang w:val="en-US"/>
                            </w:rPr>
                            <w:t>The huge block of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14</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it-IT"/>
                            </w:rPr>
                            <w:t xml:space="preserve">.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v:textbox>
                  </v:shape>
                </v:group>
              </v:group>
            </w:pict>
          </mc:Fallback>
        </mc:AlternateContent>
      </w:r>
      <w:r>
        <w:rPr>
          <w:rFonts w:ascii="Palatino" w:hAnsi="Palatino"/>
          <w:sz w:val="22"/>
          <w:szCs w:val="22"/>
          <w:rtl w:val="0"/>
          <w:lang w:val="en-US"/>
        </w:rPr>
        <w:t xml:space="preserve"> </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central stone was furthermore significantly larger than any of the other stones, measured to  be 275cm long, and leaning towards ENE.  A significant observation was that the central stone, the quartz, along with the stones placed E and NE in the circle, were all triangular axe shaped, as discussed in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0"/>
          <w:footerReference w:type="default" r:id="rId21"/>
          <w:pgSz w:w="12240" w:h="15840" w:orient="portrait"/>
          <w:pgMar w:top="1134" w:right="1134" w:bottom="720" w:left="1134" w:header="567" w:footer="720"/>
          <w:bidi w:val="0"/>
        </w:sectPr>
      </w:pPr>
      <w:r>
        <w:rPr>
          <w:rFonts w:ascii="Palatino" w:cs="Palatino" w:hAnsi="Palatino" w:eastAsia="Palatino"/>
          <w:sz w:val="22"/>
          <w:szCs w:val="22"/>
          <w:rtl w:val="0"/>
        </w:rPr>
        <w:tab/>
        <w:t xml:space="preserve">The Boscawen-un stone circle, as well as the Merry Maidens stone circle, naked eye visible from Boscawen-un, have 19 stones.  There are </w:t>
      </w:r>
      <w:r>
        <w:rPr>
          <w:rFonts w:ascii="Palatino" w:hAnsi="Palatino"/>
          <w:sz w:val="22"/>
          <w:szCs w:val="22"/>
          <w:rtl w:val="0"/>
          <w:lang w:val="en-US"/>
        </w:rPr>
        <w:t xml:space="preserve">further </w:t>
      </w:r>
      <w:r>
        <w:rPr>
          <w:rFonts w:ascii="Palatino" w:hAnsi="Palatino"/>
          <w:sz w:val="22"/>
          <w:szCs w:val="22"/>
          <w:rtl w:val="0"/>
          <w:lang w:val="da-DK"/>
        </w:rPr>
        <w:t xml:space="preserve">two </w:t>
      </w:r>
      <w:r>
        <w:rPr>
          <w:rFonts w:ascii="Palatino" w:hAnsi="Palatino"/>
          <w:sz w:val="22"/>
          <w:szCs w:val="22"/>
          <w:rtl w:val="0"/>
          <w:lang w:val="en-US"/>
        </w:rPr>
        <w:t xml:space="preserve">stone circles in the area, which also have 19 stones </w:t>
      </w:r>
      <w:r>
        <w:rPr>
          <w:rFonts w:ascii="Palatino" w:cs="Palatino" w:hAnsi="Palatino" w:eastAsia="Palatino"/>
          <w:sz w:val="22"/>
          <w:szCs w:val="22"/>
          <w:vertAlign w:val="superscript"/>
        </w:rPr>
        <w:footnoteReference w:id="45"/>
      </w:r>
      <w:r>
        <w:rPr>
          <w:rFonts w:ascii="Palatino" w:hAnsi="Palatino"/>
          <w:sz w:val="22"/>
          <w:szCs w:val="22"/>
          <w:rtl w:val="0"/>
          <w:lang w:val="en-US"/>
        </w:rPr>
        <w:t xml:space="preserve">, thus it could be considered that </w:t>
      </w:r>
      <w:r>
        <w:rPr>
          <w:rFonts w:ascii="Palatino" w:hAnsi="Palatino" w:hint="default"/>
          <w:sz w:val="22"/>
          <w:szCs w:val="22"/>
          <w:rtl w:val="0"/>
          <w:lang w:val="en-US"/>
        </w:rPr>
        <w:t>’</w:t>
      </w:r>
      <w:r>
        <w:rPr>
          <w:rFonts w:ascii="Palatino" w:hAnsi="Palatino"/>
          <w:sz w:val="22"/>
          <w:szCs w:val="22"/>
          <w:rtl w:val="0"/>
          <w:lang w:val="en-US"/>
        </w:rPr>
        <w:t>19</w:t>
      </w:r>
      <w:r>
        <w:rPr>
          <w:rFonts w:ascii="Palatino" w:hAnsi="Palatino" w:hint="default"/>
          <w:sz w:val="22"/>
          <w:szCs w:val="22"/>
          <w:rtl w:val="0"/>
          <w:lang w:val="en-US"/>
        </w:rPr>
        <w:t xml:space="preserve">’ </w:t>
      </w:r>
      <w:r>
        <w:rPr>
          <w:rFonts w:ascii="Palatino" w:hAnsi="Palatino"/>
          <w:sz w:val="22"/>
          <w:szCs w:val="22"/>
          <w:rtl w:val="0"/>
          <w:lang w:val="en-US"/>
        </w:rPr>
        <w:t xml:space="preserve">had a significance, however not considered in </w:t>
      </w:r>
      <w:r>
        <w:rPr>
          <w:rFonts w:ascii="Palatino" w:hAnsi="Palatino"/>
          <w:sz w:val="22"/>
          <w:szCs w:val="22"/>
          <w:rtl w:val="0"/>
          <w:lang w:val="da-DK"/>
        </w:rPr>
        <w:t xml:space="preserve">the </w:t>
      </w:r>
      <w:r>
        <w:rPr>
          <w:rFonts w:ascii="Palatino" w:hAnsi="Palatino"/>
          <w:sz w:val="22"/>
          <w:szCs w:val="22"/>
          <w:rtl w:val="0"/>
          <w:lang w:val="en-US"/>
        </w:rPr>
        <w:t xml:space="preserve">papers quoted in the literature review.  The </w:t>
      </w:r>
      <w:r>
        <w:rPr>
          <w:rFonts w:ascii="Palatino" w:hAnsi="Palatino" w:hint="default"/>
          <w:sz w:val="22"/>
          <w:szCs w:val="22"/>
          <w:rtl w:val="0"/>
          <w:lang w:val="en-US"/>
        </w:rPr>
        <w:t>’</w:t>
      </w:r>
      <w:r>
        <w:rPr>
          <w:rFonts w:ascii="Palatino" w:hAnsi="Palatino"/>
          <w:sz w:val="22"/>
          <w:szCs w:val="22"/>
          <w:rtl w:val="0"/>
          <w:lang w:val="en-US"/>
        </w:rPr>
        <w:t>19</w:t>
      </w:r>
      <w:r>
        <w:rPr>
          <w:rFonts w:ascii="Palatino" w:hAnsi="Palatino" w:hint="default"/>
          <w:sz w:val="22"/>
          <w:szCs w:val="22"/>
          <w:rtl w:val="0"/>
          <w:lang w:val="en-US"/>
        </w:rPr>
        <w:t xml:space="preserve">’ </w:t>
      </w:r>
      <w:r>
        <w:rPr>
          <w:rFonts w:ascii="Palatino" w:hAnsi="Palatino"/>
          <w:sz w:val="22"/>
          <w:szCs w:val="22"/>
          <w:rtl w:val="0"/>
          <w:lang w:val="en-US"/>
        </w:rPr>
        <w:t xml:space="preserve">stones could be astronomically related to the metonic cycle: the 19-year cycle of the moon. </w:t>
      </w:r>
      <w:r>
        <w:rPr>
          <w:rFonts w:ascii="Palatino" w:cs="Palatino" w:hAnsi="Palatino" w:eastAsia="Palatino"/>
          <w:sz w:val="22"/>
          <w:szCs w:val="22"/>
          <w:vertAlign w:val="superscript"/>
        </w:rPr>
        <w:footnoteReference w:id="46"/>
      </w:r>
      <w:r>
        <w:rPr>
          <w:rFonts w:ascii="Palatino" w:hAnsi="Palatino"/>
          <w:sz w:val="22"/>
          <w:szCs w:val="22"/>
          <w:rtl w:val="0"/>
          <w:lang w:val="en-US"/>
        </w:rPr>
        <w:t xml:space="preserve">  It could, however, be discussed whether the Neolithic man had access to such wisdom.  It was known that wisdom, particular about the sky, was held by Shamans or Priests and passed through generations </w:t>
      </w:r>
      <w:r>
        <w:rPr>
          <w:rFonts w:ascii="Palatino" w:cs="Palatino" w:hAnsi="Palatino" w:eastAsia="Palatino"/>
          <w:sz w:val="22"/>
          <w:szCs w:val="22"/>
          <w:vertAlign w:val="superscript"/>
        </w:rPr>
        <w:footnoteReference w:id="47"/>
      </w:r>
      <w:r>
        <w:rPr>
          <w:rFonts w:ascii="Palatino" w:hAnsi="Palatino"/>
          <w:sz w:val="22"/>
          <w:szCs w:val="22"/>
          <w:rtl w:val="0"/>
          <w:lang w:val="en-US"/>
        </w:rPr>
        <w:t xml:space="preserve">, meaning that the calculation of moon cycles may have been passed to the builders of stone circles.  Furthermore, bones with line marks have been found, which could indicate that knowledge and calculation of the lunar calendar were gained. </w:t>
      </w:r>
      <w:r>
        <w:rPr>
          <w:rFonts w:ascii="Palatino" w:cs="Palatino" w:hAnsi="Palatino" w:eastAsia="Palatino"/>
          <w:sz w:val="22"/>
          <w:szCs w:val="22"/>
          <w:vertAlign w:val="superscript"/>
        </w:rPr>
        <w:footnoteReference w:id="48"/>
      </w:r>
      <w:r>
        <w:rPr>
          <w:rFonts w:ascii="Palatino" w:hAnsi="Palatino"/>
          <w:sz w:val="22"/>
          <w:szCs w:val="22"/>
          <w:rtl w:val="0"/>
          <w:lang w:val="en-US"/>
        </w:rPr>
        <w:t xml:space="preserve">  These bones have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been found all over Europe and date back to 34.000-10.000BC</w:t>
      </w:r>
      <w:r>
        <w:rPr>
          <w:rFonts w:ascii="Palatino" w:hAnsi="Palatino"/>
          <w:sz w:val="22"/>
          <w:szCs w:val="22"/>
          <w:rtl w:val="0"/>
          <w:lang w:val="da-DK"/>
        </w:rPr>
        <w:t xml:space="preserve"> </w:t>
      </w:r>
      <w:r>
        <w:rPr>
          <w:rFonts w:ascii="Palatino" w:cs="Palatino" w:hAnsi="Palatino" w:eastAsia="Palatino"/>
          <w:sz w:val="22"/>
          <w:szCs w:val="22"/>
          <w:vertAlign w:val="superscript"/>
        </w:rPr>
        <w:footnoteReference w:id="49"/>
      </w:r>
      <w:r>
        <w:rPr>
          <w:rFonts w:ascii="Palatino" w:hAnsi="Palatino"/>
          <w:sz w:val="22"/>
          <w:szCs w:val="22"/>
          <w:rtl w:val="0"/>
          <w:lang w:val="en-US"/>
        </w:rPr>
        <w:t>, thus this knowledge could have survived to be utilised by the Neolithic 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2"/>
          <w:footerReference w:type="default" r:id="rId23"/>
          <w:pgSz w:w="12240" w:h="15840" w:orient="portrait"/>
          <w:pgMar w:top="1134" w:right="1134" w:bottom="720" w:left="1134" w:header="567" w:footer="720"/>
          <w:bidi w:val="0"/>
        </w:sectPr>
      </w:pPr>
      <w:r>
        <w:rPr>
          <w:rFonts w:ascii="Palatino" w:cs="Palatino" w:hAnsi="Palatino" w:eastAsia="Palatino"/>
          <w:sz w:val="22"/>
          <w:szCs w:val="22"/>
          <w:rtl w:val="0"/>
        </w:rPr>
        <w:tab/>
        <w:t>The field work observed the main naked eye views to be the Merry Maidens stone circle, the St. Buryan Church, the sea, and the nearby Creeg-an-Tol (Fig. 6).  Creeg-an-Tol is a huge stone feature</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7456" behindDoc="0" locked="0" layoutInCell="1" allowOverlap="1">
                <wp:simplePos x="0" y="0"/>
                <wp:positionH relativeFrom="margin">
                  <wp:posOffset>1021822</wp:posOffset>
                </wp:positionH>
                <wp:positionV relativeFrom="line">
                  <wp:posOffset>187778</wp:posOffset>
                </wp:positionV>
                <wp:extent cx="4288755" cy="6090871"/>
                <wp:effectExtent l="0" t="0" r="0" b="0"/>
                <wp:wrapTopAndBottom distT="152400" distB="152400"/>
                <wp:docPr id="1073741851" name="officeArt object"/>
                <wp:cNvGraphicFramePr/>
                <a:graphic xmlns:a="http://schemas.openxmlformats.org/drawingml/2006/main">
                  <a:graphicData uri="http://schemas.microsoft.com/office/word/2010/wordprocessingGroup">
                    <wpg:wgp>
                      <wpg:cNvGrpSpPr/>
                      <wpg:grpSpPr>
                        <a:xfrm>
                          <a:off x="0" y="0"/>
                          <a:ext cx="4288755" cy="6090871"/>
                          <a:chOff x="0" y="0"/>
                          <a:chExt cx="4288754" cy="6090870"/>
                        </a:xfrm>
                      </wpg:grpSpPr>
                      <wpg:grpSp>
                        <wpg:cNvPr id="1073741849" name="Group 1073741849"/>
                        <wpg:cNvGrpSpPr/>
                        <wpg:grpSpPr>
                          <a:xfrm>
                            <a:off x="-1" y="-1"/>
                            <a:ext cx="4288756" cy="5718340"/>
                            <a:chOff x="0" y="0"/>
                            <a:chExt cx="4288754" cy="5718338"/>
                          </a:xfrm>
                        </wpg:grpSpPr>
                        <pic:pic xmlns:pic="http://schemas.openxmlformats.org/drawingml/2006/picture">
                          <pic:nvPicPr>
                            <pic:cNvPr id="1073741845" name="IMG_4731.jpeg"/>
                            <pic:cNvPicPr>
                              <a:picLocks noChangeAspect="1"/>
                            </pic:cNvPicPr>
                          </pic:nvPicPr>
                          <pic:blipFill>
                            <a:blip r:embed="rId24">
                              <a:extLst/>
                            </a:blip>
                            <a:stretch>
                              <a:fillRect/>
                            </a:stretch>
                          </pic:blipFill>
                          <pic:spPr>
                            <a:xfrm>
                              <a:off x="0" y="0"/>
                              <a:ext cx="4288755" cy="5718339"/>
                            </a:xfrm>
                            <a:prstGeom prst="rect">
                              <a:avLst/>
                            </a:prstGeom>
                            <a:ln w="12700" cap="flat">
                              <a:noFill/>
                              <a:miter lim="400000"/>
                            </a:ln>
                            <a:effectLst/>
                          </pic:spPr>
                        </pic:pic>
                        <wps:wsp>
                          <wps:cNvPr id="1073741846" name="Shape 1073741846"/>
                          <wps:cNvSpPr/>
                          <wps:spPr>
                            <a:xfrm>
                              <a:off x="1437612" y="945466"/>
                              <a:ext cx="753054" cy="202695"/>
                            </a:xfrm>
                            <a:prstGeom prst="ellipse">
                              <a:avLst/>
                            </a:prstGeom>
                            <a:noFill/>
                            <a:ln w="25400" cap="flat">
                              <a:solidFill>
                                <a:srgbClr val="FF2600"/>
                              </a:solidFill>
                              <a:prstDash val="solid"/>
                              <a:round/>
                            </a:ln>
                            <a:effectLst/>
                          </wps:spPr>
                          <wps:bodyPr/>
                        </wps:wsp>
                        <wps:wsp>
                          <wps:cNvPr id="1073741847" name="Shape 1073741847"/>
                          <wps:cNvSpPr/>
                          <wps:spPr>
                            <a:xfrm>
                              <a:off x="2991157" y="618622"/>
                              <a:ext cx="362976" cy="202695"/>
                            </a:xfrm>
                            <a:prstGeom prst="ellipse">
                              <a:avLst/>
                            </a:prstGeom>
                            <a:noFill/>
                            <a:ln w="25400" cap="flat">
                              <a:solidFill>
                                <a:srgbClr val="4EA734"/>
                              </a:solidFill>
                              <a:prstDash val="solid"/>
                              <a:round/>
                            </a:ln>
                            <a:effectLst/>
                          </wps:spPr>
                          <wps:bodyPr/>
                        </wps:wsp>
                        <wps:wsp>
                          <wps:cNvPr id="1073741848" name="Shape 1073741848"/>
                          <wps:cNvSpPr/>
                          <wps:spPr>
                            <a:xfrm>
                              <a:off x="651505" y="664335"/>
                              <a:ext cx="875958" cy="227564"/>
                            </a:xfrm>
                            <a:prstGeom prst="ellipse">
                              <a:avLst/>
                            </a:prstGeom>
                            <a:noFill/>
                            <a:ln w="25400" cap="flat">
                              <a:solidFill>
                                <a:schemeClr val="accent1"/>
                              </a:solidFill>
                              <a:prstDash val="solid"/>
                              <a:round/>
                            </a:ln>
                            <a:effectLst/>
                          </wps:spPr>
                          <wps:bodyPr/>
                        </wps:wsp>
                      </wpg:grpSp>
                      <wps:wsp>
                        <wps:cNvPr id="1073741850" name="Shape 1073741850"/>
                        <wps:cNvSpPr txBox="1"/>
                        <wps:spPr>
                          <a:xfrm>
                            <a:off x="-1" y="5718338"/>
                            <a:ext cx="4288756" cy="372533"/>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6</w:t>
                              </w:r>
                              <w:r>
                                <w:rPr>
                                  <w:rFonts w:ascii="Palatino" w:hAnsi="Palatino"/>
                                  <w:i w:val="1"/>
                                  <w:iCs w:val="1"/>
                                  <w:sz w:val="16"/>
                                  <w:szCs w:val="16"/>
                                  <w:rtl w:val="0"/>
                                </w:rPr>
                                <w:t xml:space="preserve">.  </w:t>
                              </w:r>
                              <w:r>
                                <w:rPr>
                                  <w:rFonts w:ascii="Palatino" w:hAnsi="Palatino"/>
                                  <w:i w:val="1"/>
                                  <w:iCs w:val="1"/>
                                  <w:sz w:val="16"/>
                                  <w:szCs w:val="16"/>
                                  <w:rtl w:val="0"/>
                                  <w:lang w:val="en-US"/>
                                </w:rPr>
                                <w:t>The water basins if Creeg-an-Tol with Boscawen-un nearby (red circle), Merry Maiden stone circle (green circle) and the sea in the distance (blue circle)</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16</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45" style="visibility:visible;position:absolute;margin-left:80.5pt;margin-top:14.8pt;width:337.7pt;height:479.6pt;z-index:251667456;mso-position-horizontal:absolute;mso-position-horizontal-relative:margin;mso-position-vertical:absolute;mso-position-vertical-relative:line;mso-wrap-distance-left:12.0pt;mso-wrap-distance-top:12.0pt;mso-wrap-distance-right:12.0pt;mso-wrap-distance-bottom:12.0pt;" coordorigin="0,0" coordsize="4288754,6090870">
                <w10:wrap type="topAndBottom" side="bothSides" anchorx="margin"/>
                <v:group id="_x0000_s1046" style="position:absolute;left:0;top:0;width:4288754;height:5718339;" coordorigin="0,0" coordsize="4288754,5718339">
                  <v:shape id="_x0000_s1047" type="#_x0000_t75" style="position:absolute;left:0;top:0;width:4288754;height:5718338;">
                    <v:imagedata r:id="rId24" o:title="IMG_4731.jpeg"/>
                  </v:shape>
                  <v:oval id="_x0000_s1048" style="position:absolute;left:1437612;top:945467;width:753053;height:202694;">
                    <v:fill on="f"/>
                    <v:stroke filltype="solid" color="#FF2600" opacity="100.0%" weight="2.0pt" dashstyle="solid" endcap="flat" joinstyle="round" linestyle="single" startarrow="none" startarrowwidth="medium" startarrowlength="medium" endarrow="none" endarrowwidth="medium" endarrowlength="medium"/>
                  </v:oval>
                  <v:oval id="_x0000_s1049" style="position:absolute;left:2991157;top:618623;width:362976;height:202694;">
                    <v:fill on="f"/>
                    <v:stroke filltype="solid" color="#4EA734" opacity="100.0%" weight="2.0pt" dashstyle="solid" endcap="flat" joinstyle="round" linestyle="single" startarrow="none" startarrowwidth="medium" startarrowlength="medium" endarrow="none" endarrowwidth="medium" endarrowlength="medium"/>
                  </v:oval>
                  <v:oval id="_x0000_s1050" style="position:absolute;left:651505;top:664335;width:875957;height:227563;">
                    <v:fill on="f"/>
                    <v:stroke filltype="solid" color="#4F81BD" opacity="100.0%" weight="2.0pt" dashstyle="solid" endcap="flat" joinstyle="round" linestyle="single" startarrow="none" startarrowwidth="medium" startarrowlength="medium" endarrow="none" endarrowwidth="medium" endarrowlength="medium"/>
                  </v:oval>
                </v:group>
                <v:shape id="_x0000_s1051" type="#_x0000_t202" style="position:absolute;left:0;top:5718339;width:4288754;height:37253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6</w:t>
                        </w:r>
                        <w:r>
                          <w:rPr>
                            <w:rFonts w:ascii="Palatino" w:hAnsi="Palatino"/>
                            <w:i w:val="1"/>
                            <w:iCs w:val="1"/>
                            <w:sz w:val="16"/>
                            <w:szCs w:val="16"/>
                            <w:rtl w:val="0"/>
                          </w:rPr>
                          <w:t xml:space="preserve">.  </w:t>
                        </w:r>
                        <w:r>
                          <w:rPr>
                            <w:rFonts w:ascii="Palatino" w:hAnsi="Palatino"/>
                            <w:i w:val="1"/>
                            <w:iCs w:val="1"/>
                            <w:sz w:val="16"/>
                            <w:szCs w:val="16"/>
                            <w:rtl w:val="0"/>
                            <w:lang w:val="en-US"/>
                          </w:rPr>
                          <w:t>The water basins if Creeg-an-Tol with Boscawen-un nearby (red circle), Merry Maiden stone circle (green circle) and the sea in the distance (blue circle)</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16</w:t>
                        </w:r>
                        <w:r>
                          <w:rPr>
                            <w:rFonts w:ascii="Palatino" w:hAnsi="Palatino"/>
                            <w:i w:val="1"/>
                            <w:iCs w:val="1"/>
                            <w:sz w:val="16"/>
                            <w:szCs w:val="16"/>
                            <w:rtl w:val="0"/>
                          </w:rPr>
                          <w:t>.</w:t>
                        </w:r>
                        <w:r>
                          <w:rPr>
                            <w:rFonts w:ascii="Palatino" w:hAnsi="Palatino"/>
                            <w:i w:val="1"/>
                            <w:iCs w:val="1"/>
                            <w:sz w:val="16"/>
                            <w:szCs w:val="16"/>
                            <w:rtl w:val="0"/>
                            <w:lang w:val="en-US"/>
                          </w:rPr>
                          <w:t>47</w:t>
                        </w:r>
                        <w:r>
                          <w:rPr>
                            <w:rFonts w:ascii="Palatino" w:hAnsi="Palatino"/>
                            <w:i w:val="1"/>
                            <w:iCs w:val="1"/>
                            <w:sz w:val="16"/>
                            <w:szCs w:val="16"/>
                            <w:rtl w:val="0"/>
                            <w:lang w:val="da-DK"/>
                          </w:rPr>
                          <w:t>. Photo: Tina Jensen Friis Auster.</w:t>
                        </w:r>
                      </w:p>
                    </w:txbxContent>
                  </v:textbox>
                </v:shape>
              </v:group>
            </w:pict>
          </mc:Fallback>
        </mc:AlternateContent>
      </w:r>
      <w:r>
        <w:rPr>
          <w:rFonts w:ascii="Palatino" w:hAnsi="Palatino"/>
          <w:sz w:val="22"/>
          <w:szCs w:val="22"/>
          <w:rtl w:val="0"/>
          <w:lang w:val="en-US"/>
        </w:rPr>
        <w:t xml:space="preserve"> NNW from </w:t>
      </w:r>
      <w:r>
        <w:rPr>
          <w:rFonts w:ascii="Palatino" w:hAnsi="Palatino"/>
          <w:sz w:val="22"/>
          <w:szCs w:val="22"/>
          <w:rtl w:val="0"/>
          <w:lang w:val="en-US"/>
        </w:rPr>
        <w:t xml:space="preserve">Boscawen-un and placed slightly higher in the landscape, featuring a few </w:t>
      </w:r>
      <w:r>
        <w:rPr>
          <w:rFonts w:ascii="Palatino" w:hAnsi="Palatino"/>
          <w:sz w:val="22"/>
          <w:szCs w:val="22"/>
          <w:rtl w:val="0"/>
          <w:lang w:val="en-US"/>
        </w:rPr>
        <w:t xml:space="preserve">large </w:t>
      </w:r>
      <w:r>
        <w:rPr>
          <w:rFonts w:ascii="Palatino" w:hAnsi="Palatino"/>
          <w:sz w:val="22"/>
          <w:szCs w:val="22"/>
          <w:rtl w:val="0"/>
          <w:lang w:val="en-US"/>
        </w:rPr>
        <w:t>basins which</w:t>
      </w:r>
      <w:r>
        <w:rPr>
          <w:rFonts w:ascii="Palatino" w:hAnsi="Palatino"/>
          <w:sz w:val="22"/>
          <w:szCs w:val="22"/>
          <w:rtl w:val="0"/>
          <w:lang w:val="en-US"/>
        </w:rPr>
        <w:t xml:space="preserve"> was suggested to collect rainwater and expose quartz crystals. </w:t>
      </w:r>
      <w:r>
        <w:rPr>
          <w:rFonts w:ascii="Palatino" w:cs="Palatino" w:hAnsi="Palatino" w:eastAsia="Palatino"/>
          <w:sz w:val="22"/>
          <w:szCs w:val="22"/>
          <w:vertAlign w:val="superscript"/>
        </w:rPr>
        <w:footnoteReference w:id="50"/>
      </w:r>
      <w:r>
        <w:rPr>
          <w:rFonts w:ascii="Palatino" w:hAnsi="Palatino"/>
          <w:sz w:val="22"/>
          <w:szCs w:val="22"/>
          <w:rtl w:val="0"/>
          <w:lang w:val="en-US"/>
        </w:rPr>
        <w:t xml:space="preserve">  H</w:t>
      </w:r>
      <w:r>
        <w:rPr>
          <w:rFonts w:ascii="Palatino" w:hAnsi="Palatino"/>
          <w:sz w:val="22"/>
          <w:szCs w:val="22"/>
          <w:rtl w:val="0"/>
          <w:lang w:val="en-US"/>
        </w:rPr>
        <w:t xml:space="preserve">ealing </w:t>
      </w:r>
      <w:r>
        <w:rPr>
          <w:rFonts w:ascii="Palatino" w:hAnsi="Palatino"/>
          <w:sz w:val="22"/>
          <w:szCs w:val="22"/>
          <w:rtl w:val="0"/>
          <w:lang w:val="en-US"/>
        </w:rPr>
        <w:t>wa</w:t>
      </w:r>
      <w:r>
        <w:rPr>
          <w:rFonts w:ascii="Palatino" w:hAnsi="Palatino"/>
          <w:sz w:val="22"/>
          <w:szCs w:val="22"/>
          <w:rtl w:val="0"/>
          <w:lang w:val="en-US"/>
        </w:rPr>
        <w:t>s connected to</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stone and water</w:t>
      </w:r>
      <w:r>
        <w:rPr>
          <w:rFonts w:ascii="Palatino" w:hAnsi="Palatino"/>
          <w:sz w:val="22"/>
          <w:szCs w:val="22"/>
          <w:rtl w:val="0"/>
          <w:lang w:val="en-US"/>
        </w:rPr>
        <w:t xml:space="preserve">, and femininity connected with water </w:t>
      </w:r>
      <w:r>
        <w:rPr>
          <w:rFonts w:ascii="Palatino" w:cs="Palatino" w:hAnsi="Palatino" w:eastAsia="Palatino"/>
          <w:sz w:val="22"/>
          <w:szCs w:val="22"/>
          <w:vertAlign w:val="superscript"/>
        </w:rPr>
        <w:footnoteReference w:id="51"/>
      </w:r>
      <w:r>
        <w:rPr>
          <w:rFonts w:ascii="Palatino" w:hAnsi="Palatino"/>
          <w:sz w:val="22"/>
          <w:szCs w:val="22"/>
          <w:rtl w:val="0"/>
          <w:lang w:val="en-US"/>
        </w:rPr>
        <w:t xml:space="preserve">, further it was argued that stones would get healing properties if water was sprinkled on them.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The sea may have been visible from the stone circle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albeit visible from Creeg-an-Tol (Fig. 6).  It has been described that the oldest sites in Europe appear around coastal areas, that the Neolithic human was building boats, and that access to the sea was an important feature in Neolithic life. </w:t>
      </w:r>
      <w:r>
        <w:rPr>
          <w:rFonts w:ascii="Palatino" w:cs="Palatino" w:hAnsi="Palatino" w:eastAsia="Palatino"/>
          <w:sz w:val="22"/>
          <w:szCs w:val="22"/>
          <w:vertAlign w:val="superscript"/>
        </w:rPr>
        <w:footnoteReference w:id="54"/>
      </w:r>
      <w:r>
        <w:rPr>
          <w:rFonts w:ascii="Palatino" w:hAnsi="Palatino"/>
          <w:sz w:val="22"/>
          <w:szCs w:val="22"/>
          <w:rtl w:val="0"/>
          <w:lang w:val="en-US"/>
        </w:rPr>
        <w:t xml:space="preserve">   Thus, the stone circle may have been built as a monument, making a statement in the landscape </w:t>
      </w:r>
      <w:r>
        <w:rPr>
          <w:rFonts w:ascii="Palatino" w:cs="Palatino" w:hAnsi="Palatino" w:eastAsia="Palatino"/>
          <w:sz w:val="22"/>
          <w:szCs w:val="22"/>
          <w:vertAlign w:val="superscript"/>
        </w:rPr>
        <w:footnoteReference w:id="55"/>
      </w:r>
      <w:r>
        <w:rPr>
          <w:rFonts w:ascii="Palatino" w:hAnsi="Palatino"/>
          <w:sz w:val="22"/>
          <w:szCs w:val="22"/>
          <w:rtl w:val="0"/>
          <w:lang w:val="en-US"/>
        </w:rPr>
        <w:t>, and with a significance to water and to the sea.</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5"/>
          <w:footerReference w:type="default" r:id="rId26"/>
          <w:pgSz w:w="12240" w:h="15840" w:orient="portrait"/>
          <w:pgMar w:top="1134" w:right="1134" w:bottom="720" w:left="1134" w:header="567" w:footer="720"/>
          <w:bidi w:val="0"/>
        </w:sectPr>
      </w:pPr>
      <w:r>
        <w:rPr>
          <w:rFonts w:ascii="Palatino" w:cs="Palatino" w:hAnsi="Palatino" w:eastAsia="Palatino"/>
          <w:sz w:val="22"/>
          <w:szCs w:val="22"/>
          <w:rtl w:val="0"/>
        </w:rPr>
        <w:tab/>
        <w:t xml:space="preserve">The Boscawen-un is not a perfect circle, but a flat circle.  Perks &amp; Bailey argued that the flatness of some stone circles can be related to the female womb. </w:t>
      </w:r>
      <w:r>
        <w:rPr>
          <w:rFonts w:ascii="Palatino" w:cs="Palatino" w:hAnsi="Palatino" w:eastAsia="Palatino"/>
          <w:sz w:val="22"/>
          <w:szCs w:val="22"/>
          <w:vertAlign w:val="superscript"/>
        </w:rPr>
        <w:footnoteReference w:id="56"/>
      </w:r>
      <w:r>
        <w:rPr>
          <w:rFonts w:ascii="Palatino" w:hAnsi="Palatino"/>
          <w:sz w:val="22"/>
          <w:szCs w:val="22"/>
          <w:rtl w:val="0"/>
          <w:lang w:val="en-US"/>
        </w:rPr>
        <w:t xml:space="preserve">  The Merry Maidens stone circle (Fig. 7)</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8480" behindDoc="0" locked="0" layoutInCell="1" allowOverlap="1">
                <wp:simplePos x="0" y="0"/>
                <wp:positionH relativeFrom="margin">
                  <wp:posOffset>1835180</wp:posOffset>
                </wp:positionH>
                <wp:positionV relativeFrom="line">
                  <wp:posOffset>183693</wp:posOffset>
                </wp:positionV>
                <wp:extent cx="2662039" cy="2302039"/>
                <wp:effectExtent l="0" t="0" r="0" b="0"/>
                <wp:wrapTopAndBottom distT="152400" distB="152400"/>
                <wp:docPr id="1073741854" name="officeArt object"/>
                <wp:cNvGraphicFramePr/>
                <a:graphic xmlns:a="http://schemas.openxmlformats.org/drawingml/2006/main">
                  <a:graphicData uri="http://schemas.microsoft.com/office/word/2010/wordprocessingGroup">
                    <wpg:wgp>
                      <wpg:cNvGrpSpPr/>
                      <wpg:grpSpPr>
                        <a:xfrm>
                          <a:off x="0" y="0"/>
                          <a:ext cx="2662039" cy="2302039"/>
                          <a:chOff x="0" y="0"/>
                          <a:chExt cx="2662038" cy="2302038"/>
                        </a:xfrm>
                      </wpg:grpSpPr>
                      <pic:pic xmlns:pic="http://schemas.openxmlformats.org/drawingml/2006/picture">
                        <pic:nvPicPr>
                          <pic:cNvPr id="1073741852" name="IMG_0489.jpeg"/>
                          <pic:cNvPicPr>
                            <a:picLocks noChangeAspect="1"/>
                          </pic:cNvPicPr>
                        </pic:nvPicPr>
                        <pic:blipFill>
                          <a:blip r:embed="rId27">
                            <a:extLst/>
                          </a:blip>
                          <a:stretch>
                            <a:fillRect/>
                          </a:stretch>
                        </pic:blipFill>
                        <pic:spPr>
                          <a:xfrm>
                            <a:off x="0" y="0"/>
                            <a:ext cx="2662039" cy="1996529"/>
                          </a:xfrm>
                          <a:prstGeom prst="rect">
                            <a:avLst/>
                          </a:prstGeom>
                          <a:ln w="12700" cap="flat">
                            <a:noFill/>
                            <a:miter lim="400000"/>
                          </a:ln>
                          <a:effectLst/>
                        </pic:spPr>
                      </pic:pic>
                      <wps:wsp>
                        <wps:cNvPr id="1073741853" name="Shape 1073741853"/>
                        <wps:cNvSpPr txBox="1"/>
                        <wps:spPr>
                          <a:xfrm>
                            <a:off x="0" y="1996528"/>
                            <a:ext cx="2662039" cy="305511"/>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7</w:t>
                              </w:r>
                              <w:r>
                                <w:rPr>
                                  <w:rFonts w:ascii="Palatino" w:hAnsi="Palatino"/>
                                  <w:i w:val="1"/>
                                  <w:iCs w:val="1"/>
                                  <w:sz w:val="16"/>
                                  <w:szCs w:val="16"/>
                                  <w:rtl w:val="0"/>
                                </w:rPr>
                                <w:t xml:space="preserve">.  </w:t>
                              </w:r>
                              <w:r>
                                <w:rPr>
                                  <w:rFonts w:ascii="Palatino" w:hAnsi="Palatino"/>
                                  <w:i w:val="1"/>
                                  <w:iCs w:val="1"/>
                                  <w:sz w:val="16"/>
                                  <w:szCs w:val="16"/>
                                  <w:rtl w:val="0"/>
                                  <w:lang w:val="en-US"/>
                                </w:rPr>
                                <w:t>The Merry Maiden stone circle</w:t>
                              </w:r>
                              <w:r>
                                <w:rPr>
                                  <w:rFonts w:ascii="Palatino" w:hAnsi="Palatino"/>
                                  <w:i w:val="1"/>
                                  <w:iCs w:val="1"/>
                                  <w:sz w:val="16"/>
                                  <w:szCs w:val="16"/>
                                  <w:rtl w:val="0"/>
                                  <w:lang w:val="en-US"/>
                                </w:rPr>
                                <w:t>.  Saturday</w:t>
                              </w:r>
                              <w:r>
                                <w:rPr>
                                  <w:rFonts w:ascii="Palatino" w:hAnsi="Palatino"/>
                                  <w:i w:val="1"/>
                                  <w:iCs w:val="1"/>
                                  <w:sz w:val="16"/>
                                  <w:szCs w:val="16"/>
                                  <w:rtl w:val="0"/>
                                  <w:lang w:val="en-US"/>
                                </w:rPr>
                                <w:t xml:space="preserve">, </w:t>
                              </w:r>
                              <w:r>
                                <w:rPr>
                                  <w:rFonts w:ascii="Palatino" w:hAnsi="Palatino"/>
                                  <w:i w:val="1"/>
                                  <w:iCs w:val="1"/>
                                  <w:sz w:val="16"/>
                                  <w:szCs w:val="16"/>
                                  <w:rtl w:val="0"/>
                                </w:rPr>
                                <w:t>24</w:t>
                              </w:r>
                              <w:r>
                                <w:rPr>
                                  <w:rFonts w:ascii="Palatino" w:hAnsi="Palatino"/>
                                  <w:i w:val="1"/>
                                  <w:iCs w:val="1"/>
                                  <w:sz w:val="16"/>
                                  <w:szCs w:val="16"/>
                                  <w:rtl w:val="0"/>
                                  <w:lang w:val="en-US"/>
                                </w:rPr>
                                <w:t>.04.</w:t>
                              </w:r>
                              <w:r>
                                <w:rPr>
                                  <w:rFonts w:ascii="Palatino" w:hAnsi="Palatino"/>
                                  <w:i w:val="1"/>
                                  <w:iCs w:val="1"/>
                                  <w:sz w:val="16"/>
                                  <w:szCs w:val="16"/>
                                  <w:rtl w:val="0"/>
                                </w:rPr>
                                <w:t>21</w:t>
                              </w:r>
                              <w:r>
                                <w:rPr>
                                  <w:rFonts w:ascii="Palatino" w:hAnsi="Palatino"/>
                                  <w:i w:val="1"/>
                                  <w:iCs w:val="1"/>
                                  <w:sz w:val="16"/>
                                  <w:szCs w:val="16"/>
                                  <w:rtl w:val="0"/>
                                  <w:lang w:val="en-US"/>
                                </w:rPr>
                                <w:t xml:space="preserve">, </w:t>
                              </w:r>
                              <w:r>
                                <w:rPr>
                                  <w:rFonts w:ascii="Palatino" w:hAnsi="Palatino"/>
                                  <w:i w:val="1"/>
                                  <w:iCs w:val="1"/>
                                  <w:sz w:val="16"/>
                                  <w:szCs w:val="16"/>
                                  <w:rtl w:val="0"/>
                                  <w:lang w:val="it-IT"/>
                                </w:rPr>
                                <w:t xml:space="preserve">16:23.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wps:txbx>
                        <wps:bodyPr wrap="square" lIns="0" tIns="0" rIns="0" bIns="0" numCol="1" anchor="t">
                          <a:noAutofit/>
                        </wps:bodyPr>
                      </wps:wsp>
                    </wpg:wgp>
                  </a:graphicData>
                </a:graphic>
              </wp:anchor>
            </w:drawing>
          </mc:Choice>
          <mc:Fallback>
            <w:pict>
              <v:group id="_x0000_s1052" style="visibility:visible;position:absolute;margin-left:144.5pt;margin-top:14.5pt;width:209.6pt;height:181.3pt;z-index:251668480;mso-position-horizontal:absolute;mso-position-horizontal-relative:margin;mso-position-vertical:absolute;mso-position-vertical-relative:line;mso-wrap-distance-left:12.0pt;mso-wrap-distance-top:12.0pt;mso-wrap-distance-right:12.0pt;mso-wrap-distance-bottom:12.0pt;" coordorigin="0,0" coordsize="2662038,2302038">
                <w10:wrap type="topAndBottom" side="bothSides" anchorx="margin"/>
                <v:shape id="_x0000_s1053" type="#_x0000_t75" style="position:absolute;left:0;top:0;width:2662038;height:1996528;">
                  <v:imagedata r:id="rId27" o:title="IMG_0489.jpeg"/>
                </v:shape>
                <v:shape id="_x0000_s1054" type="#_x0000_t202" style="position:absolute;left:0;top:1996528;width:2662038;height:3055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7</w:t>
                        </w:r>
                        <w:r>
                          <w:rPr>
                            <w:rFonts w:ascii="Palatino" w:hAnsi="Palatino"/>
                            <w:i w:val="1"/>
                            <w:iCs w:val="1"/>
                            <w:sz w:val="16"/>
                            <w:szCs w:val="16"/>
                            <w:rtl w:val="0"/>
                          </w:rPr>
                          <w:t xml:space="preserve">.  </w:t>
                        </w:r>
                        <w:r>
                          <w:rPr>
                            <w:rFonts w:ascii="Palatino" w:hAnsi="Palatino"/>
                            <w:i w:val="1"/>
                            <w:iCs w:val="1"/>
                            <w:sz w:val="16"/>
                            <w:szCs w:val="16"/>
                            <w:rtl w:val="0"/>
                            <w:lang w:val="en-US"/>
                          </w:rPr>
                          <w:t>The Merry Maiden stone circle</w:t>
                        </w:r>
                        <w:r>
                          <w:rPr>
                            <w:rFonts w:ascii="Palatino" w:hAnsi="Palatino"/>
                            <w:i w:val="1"/>
                            <w:iCs w:val="1"/>
                            <w:sz w:val="16"/>
                            <w:szCs w:val="16"/>
                            <w:rtl w:val="0"/>
                            <w:lang w:val="en-US"/>
                          </w:rPr>
                          <w:t>.  Saturday</w:t>
                        </w:r>
                        <w:r>
                          <w:rPr>
                            <w:rFonts w:ascii="Palatino" w:hAnsi="Palatino"/>
                            <w:i w:val="1"/>
                            <w:iCs w:val="1"/>
                            <w:sz w:val="16"/>
                            <w:szCs w:val="16"/>
                            <w:rtl w:val="0"/>
                            <w:lang w:val="en-US"/>
                          </w:rPr>
                          <w:t xml:space="preserve">, </w:t>
                        </w:r>
                        <w:r>
                          <w:rPr>
                            <w:rFonts w:ascii="Palatino" w:hAnsi="Palatino"/>
                            <w:i w:val="1"/>
                            <w:iCs w:val="1"/>
                            <w:sz w:val="16"/>
                            <w:szCs w:val="16"/>
                            <w:rtl w:val="0"/>
                          </w:rPr>
                          <w:t>24</w:t>
                        </w:r>
                        <w:r>
                          <w:rPr>
                            <w:rFonts w:ascii="Palatino" w:hAnsi="Palatino"/>
                            <w:i w:val="1"/>
                            <w:iCs w:val="1"/>
                            <w:sz w:val="16"/>
                            <w:szCs w:val="16"/>
                            <w:rtl w:val="0"/>
                            <w:lang w:val="en-US"/>
                          </w:rPr>
                          <w:t>.04.</w:t>
                        </w:r>
                        <w:r>
                          <w:rPr>
                            <w:rFonts w:ascii="Palatino" w:hAnsi="Palatino"/>
                            <w:i w:val="1"/>
                            <w:iCs w:val="1"/>
                            <w:sz w:val="16"/>
                            <w:szCs w:val="16"/>
                            <w:rtl w:val="0"/>
                          </w:rPr>
                          <w:t>21</w:t>
                        </w:r>
                        <w:r>
                          <w:rPr>
                            <w:rFonts w:ascii="Palatino" w:hAnsi="Palatino"/>
                            <w:i w:val="1"/>
                            <w:iCs w:val="1"/>
                            <w:sz w:val="16"/>
                            <w:szCs w:val="16"/>
                            <w:rtl w:val="0"/>
                            <w:lang w:val="en-US"/>
                          </w:rPr>
                          <w:t xml:space="preserve">, </w:t>
                        </w:r>
                        <w:r>
                          <w:rPr>
                            <w:rFonts w:ascii="Palatino" w:hAnsi="Palatino"/>
                            <w:i w:val="1"/>
                            <w:iCs w:val="1"/>
                            <w:sz w:val="16"/>
                            <w:szCs w:val="16"/>
                            <w:rtl w:val="0"/>
                            <w:lang w:val="it-IT"/>
                          </w:rPr>
                          <w:t xml:space="preserve">16:23. Photo: </w:t>
                        </w:r>
                        <w:r>
                          <w:rPr>
                            <w:rFonts w:ascii="Palatino" w:hAnsi="Palatino"/>
                            <w:i w:val="1"/>
                            <w:iCs w:val="1"/>
                            <w:sz w:val="16"/>
                            <w:szCs w:val="16"/>
                            <w:rtl w:val="0"/>
                            <w:lang w:val="en-US"/>
                          </w:rPr>
                          <w:t>Adrian</w:t>
                        </w:r>
                        <w:r>
                          <w:rPr>
                            <w:rFonts w:ascii="Palatino" w:hAnsi="Palatino"/>
                            <w:i w:val="1"/>
                            <w:iCs w:val="1"/>
                            <w:sz w:val="16"/>
                            <w:szCs w:val="16"/>
                            <w:rtl w:val="0"/>
                          </w:rPr>
                          <w:t xml:space="preserve"> Auster.</w:t>
                        </w:r>
                      </w:p>
                    </w:txbxContent>
                  </v:textbox>
                </v:shape>
              </v:group>
            </w:pict>
          </mc:Fallback>
        </mc:AlternateContent>
      </w:r>
      <w:r>
        <w:rPr>
          <w:rFonts w:ascii="Palatino" w:hAnsi="Palatino"/>
          <w:sz w:val="22"/>
          <w:szCs w:val="22"/>
          <w:rtl w:val="0"/>
          <w:lang w:val="en-US"/>
        </w:rPr>
        <w:t xml:space="preserve"> however is a perfect round circle, and </w:t>
      </w:r>
      <w:r>
        <w:rPr>
          <w:rFonts w:ascii="Palatino" w:hAnsi="Palatino"/>
          <w:sz w:val="22"/>
          <w:szCs w:val="22"/>
          <w:rtl w:val="0"/>
          <w:lang w:val="en-US"/>
        </w:rPr>
        <w:t>Perks &amp; Bailey</w:t>
      </w:r>
      <w:r>
        <w:rPr>
          <w:rFonts w:ascii="Palatino" w:hAnsi="Palatino"/>
          <w:sz w:val="22"/>
          <w:szCs w:val="22"/>
          <w:rtl w:val="0"/>
          <w:lang w:val="en-US"/>
        </w:rPr>
        <w:t xml:space="preserve"> indicate</w:t>
      </w:r>
      <w:r>
        <w:rPr>
          <w:rFonts w:ascii="Palatino" w:hAnsi="Palatino"/>
          <w:sz w:val="22"/>
          <w:szCs w:val="22"/>
          <w:rtl w:val="0"/>
          <w:lang w:val="da-DK"/>
        </w:rPr>
        <w:t>d</w:t>
      </w:r>
      <w:r>
        <w:rPr>
          <w:rFonts w:ascii="Palatino" w:hAnsi="Palatino"/>
          <w:sz w:val="22"/>
          <w:szCs w:val="22"/>
          <w:rtl w:val="0"/>
          <w:lang w:val="en-US"/>
        </w:rPr>
        <w:t xml:space="preserve"> that this could have signified birth. </w:t>
      </w:r>
      <w:r>
        <w:rPr>
          <w:rFonts w:ascii="Palatino" w:cs="Palatino" w:hAnsi="Palatino" w:eastAsia="Palatino"/>
          <w:sz w:val="22"/>
          <w:szCs w:val="22"/>
          <w:vertAlign w:val="superscript"/>
        </w:rPr>
        <w:footnoteReference w:id="57"/>
      </w:r>
      <w:r>
        <w:rPr>
          <w:rFonts w:ascii="Palatino" w:hAnsi="Palatino"/>
          <w:sz w:val="22"/>
          <w:szCs w:val="22"/>
          <w:rtl w:val="0"/>
          <w:lang w:val="en-US"/>
        </w:rPr>
        <w:t xml:space="preserve"> They further describe</w:t>
      </w:r>
      <w:r>
        <w:rPr>
          <w:rFonts w:ascii="Palatino" w:hAnsi="Palatino"/>
          <w:sz w:val="22"/>
          <w:szCs w:val="22"/>
          <w:rtl w:val="0"/>
          <w:lang w:val="da-DK"/>
        </w:rPr>
        <w:t>d</w:t>
      </w:r>
      <w:r>
        <w:rPr>
          <w:rFonts w:ascii="Palatino" w:hAnsi="Palatino"/>
          <w:sz w:val="22"/>
          <w:szCs w:val="22"/>
          <w:rtl w:val="0"/>
          <w:lang w:val="en-US"/>
        </w:rPr>
        <w:t xml:space="preserve"> how areas and </w:t>
      </w:r>
      <w:r>
        <w:rPr>
          <w:rFonts w:ascii="Palatino" w:hAnsi="Palatino"/>
          <w:sz w:val="22"/>
          <w:szCs w:val="22"/>
          <w:rtl w:val="0"/>
          <w:lang w:val="da-DK"/>
        </w:rPr>
        <w:t xml:space="preserve">individual </w:t>
      </w:r>
      <w:r>
        <w:rPr>
          <w:rFonts w:ascii="Palatino" w:hAnsi="Palatino"/>
          <w:sz w:val="22"/>
          <w:szCs w:val="22"/>
          <w:rtl w:val="0"/>
          <w:lang w:val="en-US"/>
        </w:rPr>
        <w:t xml:space="preserve">stones could signify human anatomy.  The theory of relating stone circles to anatomy was supported by Pennick, who argued that stones and rocks were bones of Mother Earth </w:t>
      </w:r>
      <w:r>
        <w:rPr>
          <w:rFonts w:ascii="Palatino" w:cs="Palatino" w:hAnsi="Palatino" w:eastAsia="Palatino"/>
          <w:sz w:val="22"/>
          <w:szCs w:val="22"/>
          <w:vertAlign w:val="superscript"/>
        </w:rPr>
        <w:footnoteReference w:id="58"/>
      </w:r>
      <w:r>
        <w:rPr>
          <w:rFonts w:ascii="Palatino" w:hAnsi="Palatino"/>
          <w:sz w:val="22"/>
          <w:szCs w:val="22"/>
          <w:rtl w:val="0"/>
          <w:lang w:val="en-US"/>
        </w:rPr>
        <w:t xml:space="preserve">, as well as Rodney Collin analogising the circle with the spiral of the solar plexus. </w:t>
      </w:r>
      <w:r>
        <w:rPr>
          <w:rFonts w:ascii="Palatino" w:cs="Palatino" w:hAnsi="Palatino" w:eastAsia="Palatino"/>
          <w:sz w:val="22"/>
          <w:szCs w:val="22"/>
          <w:vertAlign w:val="superscript"/>
        </w:rPr>
        <w:footnoteReference w:id="59"/>
      </w:r>
      <w:r>
        <w:rPr>
          <w:rFonts w:ascii="Palatino" w:hAnsi="Palatino"/>
          <w:sz w:val="22"/>
          <w:szCs w:val="22"/>
          <w:rtl w:val="0"/>
          <w:lang w:val="en-US"/>
        </w:rPr>
        <w:t xml:space="preserve">  </w:t>
      </w:r>
      <w:r>
        <w:rPr>
          <w:rFonts w:ascii="Palatino" w:hAnsi="Palatino"/>
          <w:sz w:val="22"/>
          <w:szCs w:val="22"/>
          <w:rtl w:val="0"/>
          <w:lang w:val="da-DK"/>
        </w:rPr>
        <w:t>Furthermore</w:t>
      </w:r>
      <w:r>
        <w:rPr>
          <w:rFonts w:ascii="Palatino" w:hAnsi="Palatino"/>
          <w:sz w:val="22"/>
          <w:szCs w:val="22"/>
          <w:rtl w:val="0"/>
          <w:lang w:val="en-US"/>
        </w:rPr>
        <w:t xml:space="preserve">, the Boscawen-un, the Merry Maidens and the St. Buryan Church, which was believed to have an alignment significance to both stone circles </w:t>
      </w:r>
      <w:r>
        <w:rPr>
          <w:rFonts w:ascii="Palatino" w:cs="Palatino" w:hAnsi="Palatino" w:eastAsia="Palatino"/>
          <w:sz w:val="22"/>
          <w:szCs w:val="22"/>
          <w:vertAlign w:val="superscript"/>
        </w:rPr>
        <w:footnoteReference w:id="60"/>
      </w:r>
      <w:r>
        <w:rPr>
          <w:rFonts w:ascii="Palatino" w:hAnsi="Palatino"/>
          <w:sz w:val="22"/>
          <w:szCs w:val="22"/>
          <w:rtl w:val="0"/>
          <w:lang w:val="en-US"/>
        </w:rPr>
        <w:t>, forms a feminine triangle in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landscape (Fig. 8).  Such use of </w:t>
      </w:r>
      <w:r>
        <w:rPr>
          <w:rFonts w:ascii="Palatino" w:hAnsi="Palatino"/>
          <w:sz w:val="22"/>
          <w:szCs w:val="22"/>
          <w:rtl w:val="0"/>
          <w:lang w:val="pt-PT"/>
        </w:rPr>
        <w:t>Pythagoras</w:t>
      </w:r>
      <w:r>
        <w:rPr>
          <w:rFonts w:ascii="Palatino" w:hAnsi="Palatino"/>
          <w:outline w:val="0"/>
          <w:color w:val="4c5155"/>
          <w:sz w:val="22"/>
          <w:szCs w:val="22"/>
          <w:rtl w:val="0"/>
          <w:lang w:val="ru-RU"/>
          <w14:textFill>
            <w14:solidFill>
              <w14:srgbClr w14:val="4D5156"/>
            </w14:solidFill>
          </w14:textFill>
        </w:rPr>
        <w:t xml:space="preserve">' </w:t>
      </w:r>
      <w:r>
        <w:rPr>
          <w:rFonts w:ascii="Palatino" w:hAnsi="Palatino"/>
          <w:sz w:val="22"/>
          <w:szCs w:val="22"/>
          <w:rtl w:val="0"/>
          <w:lang w:val="en-US"/>
        </w:rPr>
        <w:t>theorem</w:t>
      </w:r>
      <w:r>
        <w:rPr>
          <w:rFonts w:ascii="Palatino" w:hAnsi="Palatino"/>
          <w:sz w:val="22"/>
          <w:szCs w:val="22"/>
          <w:rtl w:val="0"/>
          <w:lang w:val="en-US"/>
        </w:rPr>
        <w:t xml:space="preserve"> triangular features in the landscape have been</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9504" behindDoc="0" locked="0" layoutInCell="1" allowOverlap="1">
                <wp:simplePos x="0" y="0"/>
                <wp:positionH relativeFrom="margin">
                  <wp:posOffset>1906550</wp:posOffset>
                </wp:positionH>
                <wp:positionV relativeFrom="line">
                  <wp:posOffset>185350</wp:posOffset>
                </wp:positionV>
                <wp:extent cx="2392193" cy="2734367"/>
                <wp:effectExtent l="0" t="0" r="0" b="0"/>
                <wp:wrapTopAndBottom distT="152400" distB="152400"/>
                <wp:docPr id="1073741859" name="officeArt object"/>
                <wp:cNvGraphicFramePr/>
                <a:graphic xmlns:a="http://schemas.openxmlformats.org/drawingml/2006/main">
                  <a:graphicData uri="http://schemas.microsoft.com/office/word/2010/wordprocessingGroup">
                    <wpg:wgp>
                      <wpg:cNvGrpSpPr/>
                      <wpg:grpSpPr>
                        <a:xfrm>
                          <a:off x="0" y="0"/>
                          <a:ext cx="2392193" cy="2734367"/>
                          <a:chOff x="0" y="0"/>
                          <a:chExt cx="2392192" cy="2734366"/>
                        </a:xfrm>
                      </wpg:grpSpPr>
                      <wpg:grpSp>
                        <wpg:cNvPr id="1073741857" name="Group 1073741857"/>
                        <wpg:cNvGrpSpPr/>
                        <wpg:grpSpPr>
                          <a:xfrm>
                            <a:off x="0" y="-1"/>
                            <a:ext cx="2392193" cy="2323934"/>
                            <a:chOff x="0" y="0"/>
                            <a:chExt cx="2392192" cy="2323932"/>
                          </a:xfrm>
                        </wpg:grpSpPr>
                        <pic:pic xmlns:pic="http://schemas.openxmlformats.org/drawingml/2006/picture">
                          <pic:nvPicPr>
                            <pic:cNvPr id="1073741855" name="Screenshot 2021-05-08 at 13.04.19.png"/>
                            <pic:cNvPicPr>
                              <a:picLocks noChangeAspect="1"/>
                            </pic:cNvPicPr>
                          </pic:nvPicPr>
                          <pic:blipFill>
                            <a:blip r:embed="rId28">
                              <a:extLst/>
                            </a:blip>
                            <a:srcRect l="23121" t="8202" r="25257" b="11559"/>
                            <a:stretch>
                              <a:fillRect/>
                            </a:stretch>
                          </pic:blipFill>
                          <pic:spPr>
                            <a:xfrm>
                              <a:off x="0" y="0"/>
                              <a:ext cx="2392193" cy="2323933"/>
                            </a:xfrm>
                            <a:prstGeom prst="rect">
                              <a:avLst/>
                            </a:prstGeom>
                            <a:ln w="12700" cap="flat">
                              <a:noFill/>
                              <a:miter lim="400000"/>
                            </a:ln>
                            <a:effectLst/>
                          </pic:spPr>
                        </pic:pic>
                        <wps:wsp>
                          <wps:cNvPr id="1073741856" name="Shape 1073741856"/>
                          <wps:cNvSpPr/>
                          <wps:spPr>
                            <a:xfrm>
                              <a:off x="281983" y="152996"/>
                              <a:ext cx="1819333" cy="203070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56" y="0"/>
                                  </a:moveTo>
                                  <a:lnTo>
                                    <a:pt x="21600" y="21600"/>
                                  </a:lnTo>
                                  <a:lnTo>
                                    <a:pt x="0" y="12919"/>
                                  </a:lnTo>
                                  <a:lnTo>
                                    <a:pt x="2056" y="0"/>
                                  </a:lnTo>
                                  <a:close/>
                                </a:path>
                              </a:pathLst>
                            </a:custGeom>
                            <a:noFill/>
                            <a:ln w="63500" cap="flat">
                              <a:solidFill>
                                <a:srgbClr val="000000"/>
                              </a:solidFill>
                              <a:prstDash val="solid"/>
                              <a:miter lim="400000"/>
                            </a:ln>
                            <a:effectLst/>
                          </wps:spPr>
                          <wps:bodyPr/>
                        </wps:wsp>
                      </wpg:grpSp>
                      <wps:wsp>
                        <wps:cNvPr id="1073741858" name="Shape 1073741858"/>
                        <wps:cNvSpPr txBox="1"/>
                        <wps:spPr>
                          <a:xfrm>
                            <a:off x="0" y="2323931"/>
                            <a:ext cx="2392193" cy="410436"/>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8</w:t>
                              </w:r>
                              <w:r>
                                <w:rPr>
                                  <w:rFonts w:ascii="Palatino" w:hAnsi="Palatino"/>
                                  <w:i w:val="1"/>
                                  <w:iCs w:val="1"/>
                                  <w:sz w:val="16"/>
                                  <w:szCs w:val="16"/>
                                  <w:rtl w:val="0"/>
                                </w:rPr>
                                <w:t xml:space="preserve">.  </w:t>
                              </w:r>
                              <w:r>
                                <w:rPr>
                                  <w:rFonts w:ascii="Palatino" w:hAnsi="Palatino"/>
                                  <w:i w:val="1"/>
                                  <w:iCs w:val="1"/>
                                  <w:sz w:val="16"/>
                                  <w:szCs w:val="16"/>
                                  <w:rtl w:val="0"/>
                                  <w:lang w:val="en-US"/>
                                </w:rPr>
                                <w:t>The Boscawen-un (upper), the St. Buryan Church (middle), and the Merry Maiden (lower) triangle</w:t>
                              </w:r>
                              <w:r>
                                <w:rPr>
                                  <w:rFonts w:ascii="Palatino" w:hAnsi="Palatino"/>
                                  <w:i w:val="1"/>
                                  <w:iCs w:val="1"/>
                                  <w:sz w:val="16"/>
                                  <w:szCs w:val="16"/>
                                  <w:rtl w:val="0"/>
                                </w:rPr>
                                <w:t xml:space="preserve">.  </w:t>
                              </w:r>
                              <w:r>
                                <w:rPr>
                                  <w:rFonts w:ascii="Palatino" w:hAnsi="Palatino"/>
                                  <w:i w:val="1"/>
                                  <w:iCs w:val="1"/>
                                  <w:sz w:val="16"/>
                                  <w:szCs w:val="16"/>
                                  <w:rtl w:val="0"/>
                                  <w:lang w:val="en-US"/>
                                </w:rPr>
                                <w:t>Map</w:t>
                              </w:r>
                              <w:r>
                                <w:rPr>
                                  <w:rFonts w:ascii="Palatino" w:hAnsi="Palatino"/>
                                  <w:i w:val="1"/>
                                  <w:iCs w:val="1"/>
                                  <w:sz w:val="16"/>
                                  <w:szCs w:val="16"/>
                                  <w:rtl w:val="0"/>
                                </w:rPr>
                                <w:t xml:space="preserve">: </w:t>
                              </w:r>
                              <w:r>
                                <w:rPr>
                                  <w:rFonts w:ascii="Palatino" w:hAnsi="Palatino"/>
                                  <w:i w:val="1"/>
                                  <w:iCs w:val="1"/>
                                  <w:sz w:val="16"/>
                                  <w:szCs w:val="16"/>
                                  <w:rtl w:val="0"/>
                                  <w:lang w:val="en-US"/>
                                </w:rPr>
                                <w:t>Google Maps</w:t>
                              </w:r>
                              <w:r>
                                <w:rPr>
                                  <w:rFonts w:ascii="Palatino" w:hAnsi="Palatino"/>
                                  <w:i w:val="1"/>
                                  <w:iCs w:val="1"/>
                                  <w:sz w:val="16"/>
                                  <w:szCs w:val="16"/>
                                  <w:rtl w:val="0"/>
                                </w:rPr>
                                <w:t>.</w:t>
                              </w:r>
                            </w:p>
                          </w:txbxContent>
                        </wps:txbx>
                        <wps:bodyPr wrap="square" lIns="0" tIns="0" rIns="0" bIns="0" numCol="1" anchor="t">
                          <a:noAutofit/>
                        </wps:bodyPr>
                      </wps:wsp>
                    </wpg:wgp>
                  </a:graphicData>
                </a:graphic>
              </wp:anchor>
            </w:drawing>
          </mc:Choice>
          <mc:Fallback>
            <w:pict>
              <v:group id="_x0000_s1055" style="visibility:visible;position:absolute;margin-left:150.1pt;margin-top:14.6pt;width:188.4pt;height:215.3pt;z-index:251669504;mso-position-horizontal:absolute;mso-position-horizontal-relative:margin;mso-position-vertical:absolute;mso-position-vertical-relative:line;mso-wrap-distance-left:12.0pt;mso-wrap-distance-top:12.0pt;mso-wrap-distance-right:12.0pt;mso-wrap-distance-bottom:12.0pt;" coordorigin="0,0" coordsize="2392192,2734366">
                <w10:wrap type="topAndBottom" side="bothSides" anchorx="margin"/>
                <v:group id="_x0000_s1056" style="position:absolute;left:0;top:0;width:2392192;height:2323932;" coordorigin="0,0" coordsize="2392192,2323932">
                  <v:shape id="_x0000_s1057" type="#_x0000_t75" style="position:absolute;left:0;top:0;width:2392192;height:2323932;">
                    <v:imagedata r:id="rId28" o:title="Screenshot 2021-05-08 at 13.04.19.png" cropleft="23.1%" cropright="25.3%" croptop="8.2%" cropbottom="11.6%"/>
                  </v:shape>
                  <v:shape id="_x0000_s1058" style="position:absolute;left:281984;top:152997;width:1819332;height:2030705;" coordorigin="0,0" coordsize="21600,21600" path="M 2056,0 L 21600,21600 L 0,12919 L 2056,0 X E">
                    <v:fill on="f"/>
                    <v:stroke filltype="solid" color="#000000" opacity="100.0%" weight="5.0pt" dashstyle="solid" endcap="flat" miterlimit="400.0%" joinstyle="miter" linestyle="single" startarrow="none" startarrowwidth="medium" startarrowlength="medium" endarrow="none" endarrowwidth="medium" endarrowlength="medium"/>
                  </v:shape>
                </v:group>
                <v:shape id="_x0000_s1059" type="#_x0000_t202" style="position:absolute;left:0;top:2323932;width:2392192;height:4104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8</w:t>
                        </w:r>
                        <w:r>
                          <w:rPr>
                            <w:rFonts w:ascii="Palatino" w:hAnsi="Palatino"/>
                            <w:i w:val="1"/>
                            <w:iCs w:val="1"/>
                            <w:sz w:val="16"/>
                            <w:szCs w:val="16"/>
                            <w:rtl w:val="0"/>
                          </w:rPr>
                          <w:t xml:space="preserve">.  </w:t>
                        </w:r>
                        <w:r>
                          <w:rPr>
                            <w:rFonts w:ascii="Palatino" w:hAnsi="Palatino"/>
                            <w:i w:val="1"/>
                            <w:iCs w:val="1"/>
                            <w:sz w:val="16"/>
                            <w:szCs w:val="16"/>
                            <w:rtl w:val="0"/>
                            <w:lang w:val="en-US"/>
                          </w:rPr>
                          <w:t>The Boscawen-un (upper), the St. Buryan Church (middle), and the Merry Maiden (lower) triangle</w:t>
                        </w:r>
                        <w:r>
                          <w:rPr>
                            <w:rFonts w:ascii="Palatino" w:hAnsi="Palatino"/>
                            <w:i w:val="1"/>
                            <w:iCs w:val="1"/>
                            <w:sz w:val="16"/>
                            <w:szCs w:val="16"/>
                            <w:rtl w:val="0"/>
                          </w:rPr>
                          <w:t xml:space="preserve">.  </w:t>
                        </w:r>
                        <w:r>
                          <w:rPr>
                            <w:rFonts w:ascii="Palatino" w:hAnsi="Palatino"/>
                            <w:i w:val="1"/>
                            <w:iCs w:val="1"/>
                            <w:sz w:val="16"/>
                            <w:szCs w:val="16"/>
                            <w:rtl w:val="0"/>
                            <w:lang w:val="en-US"/>
                          </w:rPr>
                          <w:t>Map</w:t>
                        </w:r>
                        <w:r>
                          <w:rPr>
                            <w:rFonts w:ascii="Palatino" w:hAnsi="Palatino"/>
                            <w:i w:val="1"/>
                            <w:iCs w:val="1"/>
                            <w:sz w:val="16"/>
                            <w:szCs w:val="16"/>
                            <w:rtl w:val="0"/>
                          </w:rPr>
                          <w:t xml:space="preserve">: </w:t>
                        </w:r>
                        <w:r>
                          <w:rPr>
                            <w:rFonts w:ascii="Palatino" w:hAnsi="Palatino"/>
                            <w:i w:val="1"/>
                            <w:iCs w:val="1"/>
                            <w:sz w:val="16"/>
                            <w:szCs w:val="16"/>
                            <w:rtl w:val="0"/>
                            <w:lang w:val="en-US"/>
                          </w:rPr>
                          <w:t>Google Maps</w:t>
                        </w:r>
                        <w:r>
                          <w:rPr>
                            <w:rFonts w:ascii="Palatino" w:hAnsi="Palatino"/>
                            <w:i w:val="1"/>
                            <w:iCs w:val="1"/>
                            <w:sz w:val="16"/>
                            <w:szCs w:val="16"/>
                            <w:rtl w:val="0"/>
                          </w:rPr>
                          <w:t>.</w:t>
                        </w:r>
                      </w:p>
                    </w:txbxContent>
                  </v:textbox>
                </v:shape>
              </v:group>
            </w:pict>
          </mc:Fallback>
        </mc:AlternateContent>
      </w:r>
      <w:r>
        <w:rPr>
          <w:rFonts w:ascii="Palatino" w:hAnsi="Palatino"/>
          <w:sz w:val="22"/>
          <w:szCs w:val="22"/>
          <w:rtl w:val="0"/>
          <w:lang w:val="en-US"/>
        </w:rPr>
        <w:t xml:space="preserve"> discussed </w:t>
      </w:r>
      <w:r>
        <w:rPr>
          <w:rFonts w:ascii="Palatino" w:cs="Palatino" w:hAnsi="Palatino" w:eastAsia="Palatino"/>
          <w:sz w:val="22"/>
          <w:szCs w:val="22"/>
          <w:vertAlign w:val="superscript"/>
        </w:rPr>
        <w:footnoteReference w:id="61"/>
      </w:r>
      <w:r>
        <w:rPr>
          <w:rFonts w:ascii="Palatino" w:hAnsi="Palatino"/>
          <w:sz w:val="22"/>
          <w:szCs w:val="22"/>
          <w:rtl w:val="0"/>
          <w:lang w:val="en-US"/>
        </w:rPr>
        <w:t>, and further to this are the axe triangular shapes of 4 stones, and the triangular axe artwork on the central stone.  All of which could indicate that Boscawen-un was a place of significance, related to fertility and birth.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Magic in the landscape: Light and Fertility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As compared with Kennett, this field work showed no </w:t>
      </w:r>
      <w:r>
        <w:rPr>
          <w:rFonts w:ascii="Palatino" w:hAnsi="Palatino"/>
          <w:sz w:val="22"/>
          <w:szCs w:val="22"/>
          <w:rtl w:val="0"/>
          <w:lang w:val="da-DK"/>
        </w:rPr>
        <w:t>definite</w:t>
      </w:r>
      <w:r>
        <w:rPr>
          <w:rFonts w:ascii="Palatino" w:hAnsi="Palatino"/>
          <w:sz w:val="22"/>
          <w:szCs w:val="22"/>
          <w:rtl w:val="0"/>
          <w:lang w:val="en-US"/>
        </w:rPr>
        <w:t xml:space="preserve"> astrological alignments of the stones within the stone circle from the direction, azimuth and declination measurements. </w:t>
      </w:r>
      <w:r>
        <w:rPr>
          <w:rFonts w:ascii="Palatino" w:cs="Palatino" w:hAnsi="Palatino" w:eastAsia="Palatino"/>
          <w:sz w:val="22"/>
          <w:szCs w:val="22"/>
          <w:vertAlign w:val="superscript"/>
        </w:rPr>
        <w:footnoteReference w:id="62"/>
      </w:r>
      <w:r>
        <w:rPr>
          <w:rFonts w:ascii="Palatino" w:hAnsi="Palatino"/>
          <w:sz w:val="22"/>
          <w:szCs w:val="22"/>
          <w:rtl w:val="0"/>
          <w:lang w:val="en-US"/>
        </w:rPr>
        <w:t xml:space="preserve">  A</w:t>
      </w:r>
      <w:r>
        <w:rPr>
          <w:rFonts w:ascii="Palatino" w:hAnsi="Palatino"/>
          <w:sz w:val="22"/>
          <w:szCs w:val="22"/>
          <w:rtl w:val="0"/>
          <w:lang w:val="da-DK"/>
        </w:rPr>
        <w:t xml:space="preserve">n interesting </w:t>
      </w:r>
      <w:r>
        <w:rPr>
          <w:rFonts w:ascii="Palatino" w:hAnsi="Palatino"/>
          <w:sz w:val="22"/>
          <w:szCs w:val="22"/>
          <w:rtl w:val="0"/>
          <w:lang w:val="en-US"/>
        </w:rPr>
        <w:t xml:space="preserve"> stellar aspect could be the presence of the fixed star Vega at 3000BC, explored using S</w:t>
      </w:r>
      <w:r>
        <w:rPr>
          <w:rFonts w:ascii="Palatino" w:hAnsi="Palatino"/>
          <w:i w:val="1"/>
          <w:iCs w:val="1"/>
          <w:sz w:val="22"/>
          <w:szCs w:val="22"/>
          <w:rtl w:val="0"/>
          <w:lang w:val="en-US"/>
        </w:rPr>
        <w:t xml:space="preserve">tellarium </w:t>
      </w:r>
      <w:r>
        <w:rPr>
          <w:rFonts w:ascii="Palatino" w:cs="Palatino" w:hAnsi="Palatino" w:eastAsia="Palatino"/>
          <w:i w:val="1"/>
          <w:iCs w:val="1"/>
          <w:sz w:val="22"/>
          <w:szCs w:val="22"/>
          <w:vertAlign w:val="superscript"/>
        </w:rPr>
        <w:footnoteReference w:id="63"/>
      </w:r>
      <w:r>
        <w:rPr>
          <w:rFonts w:ascii="Palatino" w:hAnsi="Palatino"/>
          <w:sz w:val="22"/>
          <w:szCs w:val="22"/>
          <w:rtl w:val="0"/>
          <w:lang w:val="en-US"/>
        </w:rPr>
        <w:t>, and this bright</w:t>
      </w:r>
      <w:r>
        <w:rPr>
          <w:rFonts w:ascii="Palatino" w:hAnsi="Palatino"/>
          <w:sz w:val="22"/>
          <w:szCs w:val="22"/>
          <w:rtl w:val="0"/>
          <w:lang w:val="da-DK"/>
        </w:rPr>
        <w:t>, fixed</w:t>
      </w:r>
      <w:r>
        <w:rPr>
          <w:rFonts w:ascii="Palatino" w:hAnsi="Palatino"/>
          <w:sz w:val="22"/>
          <w:szCs w:val="22"/>
          <w:rtl w:val="0"/>
          <w:lang w:val="en-US"/>
        </w:rPr>
        <w:t xml:space="preserve"> star could have had a significance of awe (Fig. 9).</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72576" behindDoc="0" locked="0" layoutInCell="1" allowOverlap="1">
                <wp:simplePos x="0" y="0"/>
                <wp:positionH relativeFrom="margin">
                  <wp:posOffset>1568339</wp:posOffset>
                </wp:positionH>
                <wp:positionV relativeFrom="line">
                  <wp:posOffset>183631</wp:posOffset>
                </wp:positionV>
                <wp:extent cx="3054121" cy="2142892"/>
                <wp:effectExtent l="0" t="0" r="0" b="0"/>
                <wp:wrapTopAndBottom distT="152400" distB="152400"/>
                <wp:docPr id="1073741864" name="officeArt object"/>
                <wp:cNvGraphicFramePr/>
                <a:graphic xmlns:a="http://schemas.openxmlformats.org/drawingml/2006/main">
                  <a:graphicData uri="http://schemas.microsoft.com/office/word/2010/wordprocessingGroup">
                    <wpg:wgp>
                      <wpg:cNvGrpSpPr/>
                      <wpg:grpSpPr>
                        <a:xfrm>
                          <a:off x="0" y="0"/>
                          <a:ext cx="3054121" cy="2142892"/>
                          <a:chOff x="14495" y="0"/>
                          <a:chExt cx="3054120" cy="2142891"/>
                        </a:xfrm>
                      </wpg:grpSpPr>
                      <wpg:grpSp>
                        <wpg:cNvPr id="1073741862" name="Group 1073741862"/>
                        <wpg:cNvGrpSpPr/>
                        <wpg:grpSpPr>
                          <a:xfrm>
                            <a:off x="127106" y="-1"/>
                            <a:ext cx="2941510" cy="2142893"/>
                            <a:chOff x="0" y="0"/>
                            <a:chExt cx="2941509" cy="2142891"/>
                          </a:xfrm>
                        </wpg:grpSpPr>
                        <pic:pic xmlns:pic="http://schemas.openxmlformats.org/drawingml/2006/picture">
                          <pic:nvPicPr>
                            <pic:cNvPr id="1073741860" name="Screenshot 2021-05-09 at 10.20.33-filtered.png"/>
                            <pic:cNvPicPr>
                              <a:picLocks noChangeAspect="1"/>
                            </pic:cNvPicPr>
                          </pic:nvPicPr>
                          <pic:blipFill>
                            <a:blip r:embed="rId29">
                              <a:extLst/>
                            </a:blip>
                            <a:stretch>
                              <a:fillRect/>
                            </a:stretch>
                          </pic:blipFill>
                          <pic:spPr>
                            <a:xfrm>
                              <a:off x="0" y="0"/>
                              <a:ext cx="2941510" cy="1838444"/>
                            </a:xfrm>
                            <a:prstGeom prst="rect">
                              <a:avLst/>
                            </a:prstGeom>
                            <a:ln w="12700" cap="flat">
                              <a:noFill/>
                              <a:miter lim="400000"/>
                            </a:ln>
                            <a:effectLst/>
                          </pic:spPr>
                        </pic:pic>
                        <wps:wsp>
                          <wps:cNvPr id="1073741861" name="Shape 1073741861"/>
                          <wps:cNvSpPr txBox="1"/>
                          <wps:spPr>
                            <a:xfrm>
                              <a:off x="0" y="1833363"/>
                              <a:ext cx="2941510" cy="309529"/>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9</w:t>
                                </w:r>
                                <w:r>
                                  <w:rPr>
                                    <w:rFonts w:ascii="Palatino" w:hAnsi="Palatino"/>
                                    <w:i w:val="1"/>
                                    <w:iCs w:val="1"/>
                                    <w:sz w:val="16"/>
                                    <w:szCs w:val="16"/>
                                    <w:rtl w:val="0"/>
                                  </w:rPr>
                                  <w:t xml:space="preserve">.  </w:t>
                                </w:r>
                                <w:r>
                                  <w:rPr>
                                    <w:rFonts w:ascii="Palatino" w:hAnsi="Palatino"/>
                                    <w:i w:val="1"/>
                                    <w:iCs w:val="1"/>
                                    <w:sz w:val="16"/>
                                    <w:szCs w:val="16"/>
                                    <w:rtl w:val="0"/>
                                    <w:lang w:val="en-US"/>
                                  </w:rPr>
                                  <w:t>The fixed star Vega in the sky at Spring Equinox, 15th April 3000BC</w:t>
                                </w:r>
                                <w:r>
                                  <w:rPr>
                                    <w:rFonts w:ascii="Palatino" w:hAnsi="Palatino"/>
                                    <w:i w:val="1"/>
                                    <w:iCs w:val="1"/>
                                    <w:sz w:val="16"/>
                                    <w:szCs w:val="16"/>
                                    <w:rtl w:val="0"/>
                                  </w:rPr>
                                  <w:t xml:space="preserve">.  </w:t>
                                </w:r>
                                <w:r>
                                  <w:rPr>
                                    <w:rFonts w:ascii="Palatino" w:hAnsi="Palatino"/>
                                    <w:i w:val="1"/>
                                    <w:iCs w:val="1"/>
                                    <w:sz w:val="16"/>
                                    <w:szCs w:val="16"/>
                                    <w:rtl w:val="0"/>
                                    <w:lang w:val="en-US"/>
                                  </w:rPr>
                                  <w:t>Credit</w:t>
                                </w:r>
                                <w:r>
                                  <w:rPr>
                                    <w:rFonts w:ascii="Palatino" w:hAnsi="Palatino"/>
                                    <w:i w:val="1"/>
                                    <w:iCs w:val="1"/>
                                    <w:sz w:val="16"/>
                                    <w:szCs w:val="16"/>
                                    <w:rtl w:val="0"/>
                                  </w:rPr>
                                  <w:t>:</w:t>
                                </w:r>
                                <w:r>
                                  <w:rPr>
                                    <w:rFonts w:ascii="Palatino" w:hAnsi="Palatino"/>
                                    <w:i w:val="1"/>
                                    <w:iCs w:val="1"/>
                                    <w:sz w:val="16"/>
                                    <w:szCs w:val="16"/>
                                    <w:rtl w:val="0"/>
                                    <w:lang w:val="en-US"/>
                                  </w:rPr>
                                  <w:t xml:space="preserve"> Stellarium</w:t>
                                </w:r>
                                <w:r>
                                  <w:rPr>
                                    <w:rFonts w:ascii="Palatino" w:hAnsi="Palatino"/>
                                    <w:i w:val="1"/>
                                    <w:iCs w:val="1"/>
                                    <w:sz w:val="16"/>
                                    <w:szCs w:val="16"/>
                                    <w:rtl w:val="0"/>
                                  </w:rPr>
                                  <w:t>.</w:t>
                                </w:r>
                              </w:p>
                            </w:txbxContent>
                          </wps:txbx>
                          <wps:bodyPr wrap="square" lIns="0" tIns="0" rIns="0" bIns="0" numCol="1" anchor="t">
                            <a:noAutofit/>
                          </wps:bodyPr>
                        </wps:wsp>
                      </wpg:grpSp>
                      <wps:wsp>
                        <wps:cNvPr id="1073741863" name="Shape 1073741863"/>
                        <wps:cNvSpPr/>
                        <wps:spPr>
                          <a:xfrm>
                            <a:off x="14495" y="748723"/>
                            <a:ext cx="563327" cy="534847"/>
                          </a:xfrm>
                          <a:prstGeom prst="star5">
                            <a:avLst>
                              <a:gd name="adj" fmla="val 19100"/>
                              <a:gd name="hf" fmla="val 105146"/>
                              <a:gd name="vf" fmla="val 110557"/>
                            </a:avLst>
                          </a:prstGeom>
                          <a:noFill/>
                          <a:ln w="9525" cap="flat">
                            <a:solidFill>
                              <a:srgbClr val="FFFB00"/>
                            </a:solidFill>
                            <a:prstDash val="solid"/>
                            <a:miter lim="400000"/>
                          </a:ln>
                          <a:effectLst/>
                        </wps:spPr>
                        <wps:bodyPr/>
                      </wps:wsp>
                    </wpg:wgp>
                  </a:graphicData>
                </a:graphic>
              </wp:anchor>
            </w:drawing>
          </mc:Choice>
          <mc:Fallback>
            <w:pict>
              <v:group id="_x0000_s1060" style="visibility:visible;position:absolute;margin-left:123.5pt;margin-top:14.5pt;width:240.5pt;height:168.7pt;z-index:251672576;mso-position-horizontal:absolute;mso-position-horizontal-relative:margin;mso-position-vertical:absolute;mso-position-vertical-relative:line;mso-wrap-distance-left:12.0pt;mso-wrap-distance-top:12.0pt;mso-wrap-distance-right:12.0pt;mso-wrap-distance-bottom:12.0pt;" coordorigin="14495,0" coordsize="3054120,2142892">
                <w10:wrap type="topAndBottom" side="bothSides" anchorx="margin"/>
                <v:group id="_x0000_s1061" style="position:absolute;left:127106;top:0;width:2941509;height:2142892;" coordorigin="0,0" coordsize="2941509,2142892">
                  <v:shape id="_x0000_s1062" type="#_x0000_t75" style="position:absolute;left:0;top:0;width:2941509;height:1838443;">
                    <v:imagedata r:id="rId29" o:title="Screenshot 2021-05-09 at 10.20.33-filtered.png"/>
                  </v:shape>
                  <v:shape id="_x0000_s1063" type="#_x0000_t202" style="position:absolute;left:0;top:1833363;width:2941509;height:3095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9</w:t>
                          </w:r>
                          <w:r>
                            <w:rPr>
                              <w:rFonts w:ascii="Palatino" w:hAnsi="Palatino"/>
                              <w:i w:val="1"/>
                              <w:iCs w:val="1"/>
                              <w:sz w:val="16"/>
                              <w:szCs w:val="16"/>
                              <w:rtl w:val="0"/>
                            </w:rPr>
                            <w:t xml:space="preserve">.  </w:t>
                          </w:r>
                          <w:r>
                            <w:rPr>
                              <w:rFonts w:ascii="Palatino" w:hAnsi="Palatino"/>
                              <w:i w:val="1"/>
                              <w:iCs w:val="1"/>
                              <w:sz w:val="16"/>
                              <w:szCs w:val="16"/>
                              <w:rtl w:val="0"/>
                              <w:lang w:val="en-US"/>
                            </w:rPr>
                            <w:t>The fixed star Vega in the sky at Spring Equinox, 15th April 3000BC</w:t>
                          </w:r>
                          <w:r>
                            <w:rPr>
                              <w:rFonts w:ascii="Palatino" w:hAnsi="Palatino"/>
                              <w:i w:val="1"/>
                              <w:iCs w:val="1"/>
                              <w:sz w:val="16"/>
                              <w:szCs w:val="16"/>
                              <w:rtl w:val="0"/>
                            </w:rPr>
                            <w:t xml:space="preserve">.  </w:t>
                          </w:r>
                          <w:r>
                            <w:rPr>
                              <w:rFonts w:ascii="Palatino" w:hAnsi="Palatino"/>
                              <w:i w:val="1"/>
                              <w:iCs w:val="1"/>
                              <w:sz w:val="16"/>
                              <w:szCs w:val="16"/>
                              <w:rtl w:val="0"/>
                              <w:lang w:val="en-US"/>
                            </w:rPr>
                            <w:t>Credit</w:t>
                          </w:r>
                          <w:r>
                            <w:rPr>
                              <w:rFonts w:ascii="Palatino" w:hAnsi="Palatino"/>
                              <w:i w:val="1"/>
                              <w:iCs w:val="1"/>
                              <w:sz w:val="16"/>
                              <w:szCs w:val="16"/>
                              <w:rtl w:val="0"/>
                            </w:rPr>
                            <w:t>:</w:t>
                          </w:r>
                          <w:r>
                            <w:rPr>
                              <w:rFonts w:ascii="Palatino" w:hAnsi="Palatino"/>
                              <w:i w:val="1"/>
                              <w:iCs w:val="1"/>
                              <w:sz w:val="16"/>
                              <w:szCs w:val="16"/>
                              <w:rtl w:val="0"/>
                              <w:lang w:val="en-US"/>
                            </w:rPr>
                            <w:t xml:space="preserve"> Stellarium</w:t>
                          </w:r>
                          <w:r>
                            <w:rPr>
                              <w:rFonts w:ascii="Palatino" w:hAnsi="Palatino"/>
                              <w:i w:val="1"/>
                              <w:iCs w:val="1"/>
                              <w:sz w:val="16"/>
                              <w:szCs w:val="16"/>
                              <w:rtl w:val="0"/>
                            </w:rPr>
                            <w:t>.</w:t>
                          </w:r>
                        </w:p>
                      </w:txbxContent>
                    </v:textbox>
                  </v:shape>
                </v:group>
                <v:shape id="_x0000_s1064" type="#_x0000_t12" style="position:absolute;left:14495;top:748723;width:563327;height:534846;">
                  <v:fill on="f"/>
                  <v:stroke filltype="solid" color="#FFFB00" opacity="100.0%" weight="0.8pt" dashstyle="solid" endcap="flat" miterlimit="400.0%" joinstyle="miter" linestyle="single" startarrow="none" startarrowwidth="medium" startarrowlength="medium" endarrow="none" endarrowwidth="medium" endarrowlength="medium"/>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30"/>
          <w:footerReference w:type="default" r:id="rId31"/>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Kennett further argued that </w:t>
      </w:r>
      <w:r>
        <w:rPr>
          <w:rFonts w:ascii="Palatino" w:hAnsi="Palatino"/>
          <w:sz w:val="22"/>
          <w:szCs w:val="22"/>
          <w:rtl w:val="0"/>
          <w:lang w:val="en-US"/>
        </w:rPr>
        <w:t xml:space="preserve">there was no </w:t>
      </w:r>
      <w:r>
        <w:rPr>
          <w:rFonts w:ascii="Palatino" w:hAnsi="Palatino"/>
          <w:sz w:val="22"/>
          <w:szCs w:val="22"/>
          <w:rtl w:val="0"/>
          <w:lang w:val="en-US"/>
        </w:rPr>
        <w:t>definite</w:t>
      </w:r>
      <w:r>
        <w:rPr>
          <w:rFonts w:ascii="Palatino" w:hAnsi="Palatino"/>
          <w:sz w:val="22"/>
          <w:szCs w:val="22"/>
          <w:rtl w:val="0"/>
        </w:rPr>
        <w:t xml:space="preserve"> </w:t>
      </w:r>
      <w:r>
        <w:rPr>
          <w:rFonts w:ascii="Palatino" w:hAnsi="Palatino"/>
          <w:sz w:val="22"/>
          <w:szCs w:val="22"/>
          <w:rtl w:val="0"/>
          <w:lang w:val="en-US"/>
        </w:rPr>
        <w:t>indications</w:t>
      </w:r>
      <w:r>
        <w:rPr>
          <w:rFonts w:ascii="Palatino" w:hAnsi="Palatino"/>
          <w:sz w:val="22"/>
          <w:szCs w:val="22"/>
          <w:rtl w:val="0"/>
          <w:lang w:val="pt-PT"/>
        </w:rPr>
        <w:t xml:space="preserve"> for equinox</w:t>
      </w:r>
      <w:r>
        <w:rPr>
          <w:rFonts w:ascii="Palatino" w:hAnsi="Palatino"/>
          <w:sz w:val="22"/>
          <w:szCs w:val="22"/>
          <w:rtl w:val="0"/>
          <w:lang w:val="en-US"/>
        </w:rPr>
        <w:t xml:space="preserve"> alignments. </w:t>
      </w:r>
      <w:r>
        <w:rPr>
          <w:rFonts w:ascii="Palatino" w:cs="Palatino" w:hAnsi="Palatino" w:eastAsia="Palatino"/>
          <w:sz w:val="22"/>
          <w:szCs w:val="22"/>
          <w:vertAlign w:val="superscript"/>
        </w:rPr>
        <w:footnoteReference w:id="64"/>
      </w:r>
      <w:r>
        <w:rPr>
          <w:rFonts w:ascii="Palatino" w:hAnsi="Palatino"/>
          <w:sz w:val="22"/>
          <w:szCs w:val="22"/>
          <w:rtl w:val="0"/>
          <w:lang w:val="en-US"/>
        </w:rPr>
        <w:t xml:space="preserve">  T</w:t>
      </w:r>
      <w:r>
        <w:rPr>
          <w:rFonts w:ascii="Palatino" w:hAnsi="Palatino"/>
          <w:sz w:val="22"/>
          <w:szCs w:val="22"/>
          <w:rtl w:val="0"/>
          <w:lang w:val="en-US"/>
        </w:rPr>
        <w:t>his study focus</w:t>
      </w:r>
      <w:r>
        <w:rPr>
          <w:rFonts w:ascii="Palatino" w:hAnsi="Palatino"/>
          <w:sz w:val="22"/>
          <w:szCs w:val="22"/>
          <w:rtl w:val="0"/>
          <w:lang w:val="en-US"/>
        </w:rPr>
        <w:t>ed</w:t>
      </w:r>
      <w:r>
        <w:rPr>
          <w:rFonts w:ascii="Palatino" w:hAnsi="Palatino"/>
          <w:sz w:val="22"/>
          <w:szCs w:val="22"/>
          <w:rtl w:val="0"/>
          <w:lang w:val="en-US"/>
        </w:rPr>
        <w:t xml:space="preserve"> on the </w:t>
      </w:r>
      <w:r>
        <w:rPr>
          <w:rFonts w:ascii="Palatino" w:hAnsi="Palatino"/>
          <w:sz w:val="22"/>
          <w:szCs w:val="22"/>
          <w:rtl w:val="0"/>
          <w:lang w:val="en-US"/>
        </w:rPr>
        <w:t>central stone and E</w:t>
      </w:r>
      <w:r>
        <w:rPr>
          <w:rFonts w:ascii="Palatino" w:hAnsi="Palatino"/>
          <w:sz w:val="22"/>
          <w:szCs w:val="22"/>
          <w:rtl w:val="0"/>
          <w:lang w:val="en-US"/>
        </w:rPr>
        <w:t>ast/</w:t>
      </w:r>
      <w:r>
        <w:rPr>
          <w:rFonts w:ascii="Palatino" w:hAnsi="Palatino"/>
          <w:sz w:val="22"/>
          <w:szCs w:val="22"/>
          <w:rtl w:val="0"/>
          <w:lang w:val="en-US"/>
        </w:rPr>
        <w:t>W</w:t>
      </w:r>
      <w:r>
        <w:rPr>
          <w:rFonts w:ascii="Palatino" w:hAnsi="Palatino"/>
          <w:sz w:val="22"/>
          <w:szCs w:val="22"/>
          <w:rtl w:val="0"/>
          <w:lang w:val="en-US"/>
        </w:rPr>
        <w:t>est alignments of the stone circle</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 xml:space="preserve">a measured </w:t>
      </w:r>
      <w:r>
        <w:rPr>
          <w:rFonts w:ascii="Palatino" w:hAnsi="Palatino"/>
          <w:sz w:val="22"/>
          <w:szCs w:val="22"/>
          <w:rtl w:val="0"/>
          <w:lang w:val="en-US"/>
        </w:rPr>
        <w:t>azimuth of 89</w:t>
      </w:r>
      <w:r>
        <w:rPr>
          <w:rFonts w:ascii="Palatino" w:hAnsi="Palatino" w:hint="default"/>
          <w:sz w:val="22"/>
          <w:szCs w:val="22"/>
          <w:rtl w:val="0"/>
        </w:rPr>
        <w:t>º</w:t>
      </w:r>
      <w:r>
        <w:rPr>
          <w:rFonts w:ascii="Palatino" w:hAnsi="Palatino"/>
          <w:sz w:val="22"/>
          <w:szCs w:val="22"/>
          <w:rtl w:val="0"/>
          <w:lang w:val="en-US"/>
        </w:rPr>
        <w:t xml:space="preserve">, </w:t>
      </w:r>
      <w:r>
        <w:rPr>
          <w:rFonts w:ascii="Palatino" w:hAnsi="Palatino"/>
          <w:sz w:val="22"/>
          <w:szCs w:val="22"/>
          <w:rtl w:val="0"/>
          <w:lang w:val="da-DK"/>
        </w:rPr>
        <w:t>altitude of 0.33</w:t>
      </w:r>
      <w:r>
        <w:rPr>
          <w:rFonts w:ascii="Palatino" w:hAnsi="Palatino" w:hint="default"/>
          <w:sz w:val="22"/>
          <w:szCs w:val="22"/>
          <w:rtl w:val="0"/>
        </w:rPr>
        <w:t>º</w:t>
      </w:r>
      <w:r>
        <w:rPr>
          <w:rFonts w:ascii="Palatino" w:hAnsi="Palatino"/>
          <w:sz w:val="22"/>
          <w:szCs w:val="22"/>
          <w:rtl w:val="0"/>
          <w:lang w:val="da-DK"/>
        </w:rPr>
        <w:t xml:space="preserve"> as </w:t>
      </w:r>
      <w:r>
        <w:rPr>
          <w:rFonts w:ascii="Palatino" w:hAnsi="Palatino"/>
          <w:sz w:val="22"/>
          <w:szCs w:val="22"/>
          <w:rtl w:val="0"/>
          <w:lang w:val="en-US"/>
        </w:rPr>
        <w:t xml:space="preserve">confirmed by </w:t>
      </w:r>
      <w:r>
        <w:rPr>
          <w:rFonts w:ascii="Palatino" w:hAnsi="Palatino"/>
          <w:i w:val="1"/>
          <w:iCs w:val="1"/>
          <w:sz w:val="22"/>
          <w:szCs w:val="22"/>
          <w:rtl w:val="0"/>
          <w:lang w:val="en-US"/>
        </w:rPr>
        <w:t>HeyWhatsThat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5"/>
      </w:r>
      <w:r>
        <w:rPr>
          <w:rFonts w:ascii="Palatino" w:hAnsi="Palatino"/>
          <w:sz w:val="22"/>
          <w:szCs w:val="22"/>
          <w:rtl w:val="0"/>
          <w:lang w:val="en-US"/>
        </w:rPr>
        <w:t>,</w:t>
      </w:r>
      <w:r>
        <w:rPr>
          <w:rFonts w:ascii="Palatino" w:hAnsi="Palatino"/>
          <w:sz w:val="22"/>
          <w:szCs w:val="22"/>
          <w:rtl w:val="0"/>
          <w:lang w:val="en-US"/>
        </w:rPr>
        <w:t xml:space="preserve"> and a declination </w:t>
      </w:r>
      <w:r>
        <w:rPr>
          <w:rFonts w:ascii="Palatino" w:hAnsi="Palatino"/>
          <w:sz w:val="22"/>
          <w:szCs w:val="22"/>
          <w:rtl w:val="0"/>
          <w:lang w:val="en-US"/>
        </w:rPr>
        <w:t>of</w:t>
      </w:r>
      <w:r>
        <w:rPr>
          <w:rFonts w:ascii="Palatino" w:hAnsi="Palatino"/>
          <w:sz w:val="22"/>
          <w:szCs w:val="22"/>
          <w:rtl w:val="0"/>
        </w:rPr>
        <w:t xml:space="preserve"> 9.05</w:t>
      </w:r>
      <w:r>
        <w:rPr>
          <w:rFonts w:ascii="Palatino" w:hAnsi="Palatino" w:hint="default"/>
          <w:sz w:val="22"/>
          <w:szCs w:val="22"/>
          <w:rtl w:val="0"/>
        </w:rPr>
        <w:t xml:space="preserve">º </w:t>
      </w:r>
      <w:r>
        <w:rPr>
          <w:rFonts w:ascii="Palatino" w:hAnsi="Palatino"/>
          <w:sz w:val="22"/>
          <w:szCs w:val="22"/>
          <w:rtl w:val="0"/>
          <w:lang w:val="en-US"/>
        </w:rPr>
        <w:t>(8.05</w:t>
      </w:r>
      <w:r>
        <w:rPr>
          <w:rFonts w:ascii="Palatino" w:hAnsi="Palatino" w:hint="default"/>
          <w:sz w:val="22"/>
          <w:szCs w:val="22"/>
          <w:rtl w:val="0"/>
        </w:rPr>
        <w:t>º</w:t>
      </w:r>
      <w:r>
        <w:rPr>
          <w:rFonts w:ascii="Palatino" w:hAnsi="Palatino"/>
          <w:sz w:val="22"/>
          <w:szCs w:val="22"/>
          <w:rtl w:val="0"/>
          <w:lang w:val="en-US"/>
        </w:rPr>
        <w:t>-10.05</w:t>
      </w:r>
      <w:r>
        <w:rPr>
          <w:rFonts w:ascii="Palatino" w:hAnsi="Palatino" w:hint="default"/>
          <w:sz w:val="22"/>
          <w:szCs w:val="22"/>
          <w:rtl w:val="0"/>
        </w:rPr>
        <w:t>º</w:t>
      </w:r>
      <w:r>
        <w:rPr>
          <w:rFonts w:ascii="Palatino" w:hAnsi="Palatino"/>
          <w:sz w:val="22"/>
          <w:szCs w:val="22"/>
          <w:rtl w:val="0"/>
          <w:lang w:val="en-US"/>
        </w:rPr>
        <w:t xml:space="preserve"> </w:t>
      </w:r>
      <w:r>
        <w:rPr>
          <w:rFonts w:ascii="Palatino" w:hAnsi="Palatino"/>
          <w:sz w:val="22"/>
          <w:szCs w:val="22"/>
          <w:rtl w:val="0"/>
          <w:lang w:val="en-US"/>
        </w:rPr>
        <w:t>with a +/- error of 1</w:t>
      </w:r>
      <w:r>
        <w:rPr>
          <w:rFonts w:ascii="Palatino" w:hAnsi="Palatino" w:hint="default"/>
          <w:sz w:val="22"/>
          <w:szCs w:val="22"/>
          <w:rtl w:val="0"/>
        </w:rPr>
        <w:t>º</w:t>
      </w:r>
      <w:r>
        <w:rPr>
          <w:rFonts w:ascii="Palatino" w:hAnsi="Palatino"/>
          <w:sz w:val="22"/>
          <w:szCs w:val="22"/>
          <w:rtl w:val="0"/>
          <w:lang w:val="en-US"/>
        </w:rPr>
        <w:t>)</w:t>
      </w:r>
      <w:r>
        <w:rPr>
          <w:rFonts w:ascii="Palatino" w:hAnsi="Palatino"/>
          <w:sz w:val="22"/>
          <w:szCs w:val="22"/>
          <w:rtl w:val="0"/>
        </w:rPr>
        <w:t>.</w:t>
      </w:r>
      <w:r>
        <w:rPr>
          <w:rFonts w:ascii="Palatino" w:hAnsi="Palatino"/>
          <w:sz w:val="22"/>
          <w:szCs w:val="22"/>
          <w:rtl w:val="0"/>
          <w:lang w:val="en-US"/>
        </w:rPr>
        <w:t xml:space="preserve">  This measurement indicated that the sun would rise and set over the east and the west stones between 9th April-16th April and 26th August-2nd September.</w:t>
      </w:r>
      <w:r>
        <w:rPr>
          <w:rFonts w:ascii="Palatino" w:hAnsi="Palatino"/>
          <w:sz w:val="22"/>
          <w:szCs w:val="22"/>
          <w:rtl w:val="0"/>
          <w:lang w:val="da-DK"/>
        </w:rPr>
        <w:t xml:space="preserve"> </w:t>
      </w:r>
      <w:r>
        <w:rPr>
          <w:rFonts w:ascii="Palatino" w:cs="Palatino" w:hAnsi="Palatino" w:eastAsia="Palatino"/>
          <w:sz w:val="22"/>
          <w:szCs w:val="22"/>
          <w:vertAlign w:val="superscript"/>
        </w:rPr>
        <w:footnoteReference w:id="66"/>
      </w:r>
      <w:r>
        <w:rPr>
          <w:rFonts w:ascii="Palatino" w:hAnsi="Palatino"/>
          <w:sz w:val="22"/>
          <w:szCs w:val="22"/>
          <w:rtl w:val="0"/>
          <w:lang w:val="en-US"/>
        </w:rPr>
        <w:t xml:space="preserve">  Using the NASA </w:t>
      </w:r>
      <w:r>
        <w:rPr>
          <w:rFonts w:ascii="Palatino" w:hAnsi="Palatino"/>
          <w:i w:val="1"/>
          <w:iCs w:val="1"/>
          <w:sz w:val="22"/>
          <w:szCs w:val="22"/>
          <w:rtl w:val="0"/>
          <w:lang w:val="en-US"/>
        </w:rPr>
        <w:t>HORIZONS</w:t>
      </w:r>
      <w:r>
        <w:rPr>
          <w:rFonts w:ascii="Palatino" w:hAnsi="Palatino"/>
          <w:sz w:val="22"/>
          <w:szCs w:val="22"/>
          <w:rtl w:val="0"/>
          <w:lang w:val="en-US"/>
        </w:rPr>
        <w:t xml:space="preserve"> web-interface, it could be calculated that the Equinox would fall within those dates at 3000BC, for instance, the Spring Equinox 3000BC fell on the 15th April. </w:t>
      </w:r>
      <w:r>
        <w:rPr>
          <w:rFonts w:ascii="Palatino" w:cs="Palatino" w:hAnsi="Palatino" w:eastAsia="Palatino"/>
          <w:sz w:val="22"/>
          <w:szCs w:val="22"/>
          <w:vertAlign w:val="superscript"/>
        </w:rPr>
        <w:footnoteReference w:id="67"/>
      </w:r>
      <w:r>
        <w:rPr>
          <w:rFonts w:ascii="Palatino" w:hAnsi="Palatino"/>
          <w:sz w:val="22"/>
          <w:szCs w:val="22"/>
          <w:rtl w:val="0"/>
          <w:lang w:val="en-US"/>
        </w:rPr>
        <w:t xml:space="preserve">  Furthermore, when visiting the stone circle on Sunday 18 April from 14.00h to 19.30h, </w:t>
      </w:r>
      <w:r>
        <w:rPr>
          <w:rFonts w:ascii="Palatino" w:hAnsi="Palatino"/>
          <w:sz w:val="22"/>
          <w:szCs w:val="22"/>
          <w:rtl w:val="0"/>
          <w:lang w:val="en-US"/>
        </w:rPr>
        <w:t>it was</w:t>
      </w:r>
      <w:r>
        <w:rPr>
          <w:rFonts w:ascii="Palatino" w:hAnsi="Palatino"/>
          <w:sz w:val="22"/>
          <w:szCs w:val="22"/>
          <w:rtl w:val="0"/>
          <w:lang w:val="en-US"/>
        </w:rPr>
        <w:t>,</w:t>
      </w:r>
      <w:r>
        <w:rPr>
          <w:rFonts w:ascii="Palatino" w:hAnsi="Palatino"/>
          <w:sz w:val="22"/>
          <w:szCs w:val="22"/>
          <w:rtl w:val="0"/>
        </w:rPr>
        <w:t xml:space="preserve"> at 18.54</w:t>
      </w:r>
      <w:r>
        <w:rPr>
          <w:rFonts w:ascii="Palatino" w:hAnsi="Palatino"/>
          <w:sz w:val="22"/>
          <w:szCs w:val="22"/>
          <w:rtl w:val="0"/>
          <w:lang w:val="en-US"/>
        </w:rPr>
        <w:t>h, recorded that the central stone cast long shadows towards the east and south-east stones.  D</w:t>
      </w:r>
      <w:r>
        <w:rPr>
          <w:rFonts w:ascii="Palatino" w:hAnsi="Palatino"/>
          <w:sz w:val="22"/>
          <w:szCs w:val="22"/>
          <w:rtl w:val="0"/>
          <w:lang w:val="en-US"/>
        </w:rPr>
        <w:t>ue to the leaning of the central stone it has a sundial feature and</w:t>
      </w:r>
      <w:r>
        <w:rPr>
          <w:rFonts w:ascii="Palatino" w:hAnsi="Palatino"/>
          <w:sz w:val="22"/>
          <w:szCs w:val="22"/>
          <w:rtl w:val="0"/>
          <w:lang w:val="en-US"/>
        </w:rPr>
        <w:t xml:space="preserve"> </w:t>
      </w:r>
      <w:r>
        <w:rPr>
          <w:rFonts w:ascii="Palatino" w:hAnsi="Palatino"/>
          <w:sz w:val="22"/>
          <w:szCs w:val="22"/>
          <w:rtl w:val="0"/>
          <w:lang w:val="en-US"/>
        </w:rPr>
        <w:t>cast shadows</w:t>
      </w:r>
      <w:r>
        <w:rPr>
          <w:rFonts w:ascii="Palatino" w:hAnsi="Palatino"/>
          <w:sz w:val="22"/>
          <w:szCs w:val="22"/>
          <w:rtl w:val="0"/>
          <w:lang w:val="en-US"/>
        </w:rPr>
        <w:t xml:space="preserve"> </w:t>
      </w:r>
      <w:r>
        <w:rPr>
          <w:rFonts w:ascii="Palatino" w:hAnsi="Palatino"/>
          <w:sz w:val="22"/>
          <w:szCs w:val="22"/>
          <w:rtl w:val="0"/>
        </w:rPr>
        <w:t xml:space="preserve">(Fig. </w:t>
      </w:r>
      <w:r>
        <w:rPr>
          <w:rFonts w:ascii="Palatino" w:hAnsi="Palatino"/>
          <w:sz w:val="22"/>
          <w:szCs w:val="22"/>
          <w:rtl w:val="0"/>
          <w:lang w:val="en-US"/>
        </w:rPr>
        <w:t xml:space="preserve">10); using the web interface </w:t>
      </w:r>
      <w:r>
        <w:rPr>
          <w:rFonts w:ascii="Palatino" w:hAnsi="Palatino"/>
          <w:i w:val="1"/>
          <w:iCs w:val="1"/>
          <w:sz w:val="22"/>
          <w:szCs w:val="22"/>
          <w:rtl w:val="0"/>
          <w:lang w:val="en-US"/>
        </w:rPr>
        <w:t>Sun.Earth.Tools</w:t>
      </w:r>
      <w:r>
        <w:rPr>
          <w:rFonts w:ascii="Palatino" w:hAnsi="Palatino"/>
          <w:sz w:val="22"/>
          <w:szCs w:val="22"/>
          <w:rtl w:val="0"/>
          <w:lang w:val="en-US"/>
        </w:rPr>
        <w:t xml:space="preserve"> a calculation of the shadows cast by the sun are shown in Fig. 11 </w:t>
      </w:r>
      <w:r>
        <w:rPr>
          <w:rFonts w:ascii="Palatino" w:cs="Palatino" w:hAnsi="Palatino" w:eastAsia="Palatino"/>
          <w:sz w:val="22"/>
          <w:szCs w:val="22"/>
          <w:vertAlign w:val="superscript"/>
        </w:rPr>
        <w:footnoteReference w:id="68"/>
      </w:r>
      <w:r>
        <w:rPr>
          <w:rFonts w:ascii="Palatino" w:hAnsi="Palatino"/>
          <w:sz w:val="22"/>
          <w:szCs w:val="22"/>
          <w:rtl w:val="0"/>
          <w:lang w:val="en-US"/>
        </w:rPr>
        <w:t xml:space="preserve">.  </w:t>
      </w:r>
      <w:r>
        <w:rPr>
          <w:rFonts w:ascii="Palatino" w:hAnsi="Palatino"/>
          <w:sz w:val="22"/>
          <w:szCs w:val="22"/>
          <w:rtl w:val="0"/>
          <w:lang w:val="en-US"/>
        </w:rPr>
        <w:t>Furthermore, both the E and SE stones, towards</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1312" behindDoc="0" locked="0" layoutInCell="1" allowOverlap="1">
                <wp:simplePos x="0" y="0"/>
                <wp:positionH relativeFrom="margin">
                  <wp:posOffset>0</wp:posOffset>
                </wp:positionH>
                <wp:positionV relativeFrom="line">
                  <wp:posOffset>178769</wp:posOffset>
                </wp:positionV>
                <wp:extent cx="6488397" cy="4151059"/>
                <wp:effectExtent l="0" t="0" r="0" b="0"/>
                <wp:wrapTopAndBottom distT="152400" distB="152400"/>
                <wp:docPr id="1073741873" name="officeArt object"/>
                <wp:cNvGraphicFramePr/>
                <a:graphic xmlns:a="http://schemas.openxmlformats.org/drawingml/2006/main">
                  <a:graphicData uri="http://schemas.microsoft.com/office/word/2010/wordprocessingGroup">
                    <wpg:wgp>
                      <wpg:cNvGrpSpPr/>
                      <wpg:grpSpPr>
                        <a:xfrm>
                          <a:off x="0" y="0"/>
                          <a:ext cx="6488397" cy="4151059"/>
                          <a:chOff x="0" y="0"/>
                          <a:chExt cx="6488396" cy="4151058"/>
                        </a:xfrm>
                      </wpg:grpSpPr>
                      <wpg:grpSp>
                        <wpg:cNvPr id="1073741867" name="Group 1073741867"/>
                        <wpg:cNvGrpSpPr/>
                        <wpg:grpSpPr>
                          <a:xfrm>
                            <a:off x="3030314" y="152399"/>
                            <a:ext cx="3458083" cy="3968863"/>
                            <a:chOff x="69174" y="0"/>
                            <a:chExt cx="3458081" cy="3968861"/>
                          </a:xfrm>
                        </wpg:grpSpPr>
                        <pic:pic xmlns:pic="http://schemas.openxmlformats.org/drawingml/2006/picture">
                          <pic:nvPicPr>
                            <pic:cNvPr id="1073741865" name="Screenshot 2021-05-02 at 12.55.13.png"/>
                            <pic:cNvPicPr>
                              <a:picLocks noChangeAspect="1"/>
                            </pic:cNvPicPr>
                          </pic:nvPicPr>
                          <pic:blipFill>
                            <a:blip r:embed="rId32">
                              <a:extLst/>
                            </a:blip>
                            <a:srcRect l="36404" t="44487" r="42005" b="18859"/>
                            <a:stretch>
                              <a:fillRect/>
                            </a:stretch>
                          </pic:blipFill>
                          <pic:spPr>
                            <a:xfrm>
                              <a:off x="69284" y="0"/>
                              <a:ext cx="3457868" cy="3668962"/>
                            </a:xfrm>
                            <a:prstGeom prst="rect">
                              <a:avLst/>
                            </a:prstGeom>
                            <a:ln w="12700" cap="flat">
                              <a:noFill/>
                              <a:miter lim="400000"/>
                            </a:ln>
                            <a:effectLst/>
                          </pic:spPr>
                        </pic:pic>
                        <wps:wsp>
                          <wps:cNvPr id="1073741866" name="Shape 1073741866"/>
                          <wps:cNvSpPr txBox="1"/>
                          <wps:spPr>
                            <a:xfrm>
                              <a:off x="69174" y="3669109"/>
                              <a:ext cx="3458083" cy="299753"/>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11</w:t>
                                </w:r>
                                <w:r>
                                  <w:rPr>
                                    <w:rFonts w:ascii="Palatino" w:hAnsi="Palatino"/>
                                    <w:i w:val="1"/>
                                    <w:iCs w:val="1"/>
                                    <w:sz w:val="16"/>
                                    <w:szCs w:val="16"/>
                                    <w:rtl w:val="0"/>
                                  </w:rPr>
                                  <w:t xml:space="preserve">.  </w:t>
                                </w:r>
                                <w:r>
                                  <w:rPr>
                                    <w:rFonts w:ascii="Palatino" w:hAnsi="Palatino"/>
                                    <w:i w:val="1"/>
                                    <w:iCs w:val="1"/>
                                    <w:sz w:val="16"/>
                                    <w:szCs w:val="16"/>
                                    <w:rtl w:val="0"/>
                                    <w:lang w:val="en-US"/>
                                  </w:rPr>
                                  <w:t>Boscawen-un stone Sun Position and Shadow Casting from NW to SE.  Photo</w:t>
                                </w:r>
                                <w:r>
                                  <w:rPr>
                                    <w:rFonts w:ascii="Palatino" w:hAnsi="Palatino"/>
                                    <w:i w:val="1"/>
                                    <w:iCs w:val="1"/>
                                    <w:sz w:val="16"/>
                                    <w:szCs w:val="16"/>
                                    <w:rtl w:val="0"/>
                                  </w:rPr>
                                  <w:t xml:space="preserve">: </w:t>
                                </w:r>
                                <w:r>
                                  <w:rPr>
                                    <w:rFonts w:ascii="Palatino" w:hAnsi="Palatino"/>
                                    <w:i w:val="1"/>
                                    <w:iCs w:val="1"/>
                                    <w:sz w:val="16"/>
                                    <w:szCs w:val="16"/>
                                    <w:rtl w:val="0"/>
                                    <w:lang w:val="en-US"/>
                                  </w:rPr>
                                  <w:t>Sun.Earth.Tools.</w:t>
                                </w:r>
                              </w:p>
                            </w:txbxContent>
                          </wps:txbx>
                          <wps:bodyPr wrap="square" lIns="0" tIns="0" rIns="0" bIns="0" numCol="1" anchor="t">
                            <a:noAutofit/>
                          </wps:bodyPr>
                        </wps:wsp>
                      </wpg:grpSp>
                      <wpg:grpSp>
                        <wpg:cNvPr id="1073741872" name="Group 1073741872"/>
                        <wpg:cNvGrpSpPr/>
                        <wpg:grpSpPr>
                          <a:xfrm>
                            <a:off x="0" y="-1"/>
                            <a:ext cx="2865580" cy="4151060"/>
                            <a:chOff x="0" y="0"/>
                            <a:chExt cx="2865578" cy="4151058"/>
                          </a:xfrm>
                        </wpg:grpSpPr>
                        <wpg:grpSp>
                          <wpg:cNvPr id="1073741870" name="Group 1073741870"/>
                          <wpg:cNvGrpSpPr/>
                          <wpg:grpSpPr>
                            <a:xfrm>
                              <a:off x="0" y="0"/>
                              <a:ext cx="2865580" cy="3820773"/>
                              <a:chOff x="0" y="0"/>
                              <a:chExt cx="2865579" cy="3820772"/>
                            </a:xfrm>
                          </wpg:grpSpPr>
                          <pic:pic xmlns:pic="http://schemas.openxmlformats.org/drawingml/2006/picture">
                            <pic:nvPicPr>
                              <pic:cNvPr id="1073741868" name="IMG_4789.jpeg"/>
                              <pic:cNvPicPr>
                                <a:picLocks noChangeAspect="1"/>
                              </pic:cNvPicPr>
                            </pic:nvPicPr>
                            <pic:blipFill>
                              <a:blip r:embed="rId33">
                                <a:extLst/>
                              </a:blip>
                              <a:srcRect l="0" t="0" r="0" b="0"/>
                              <a:stretch>
                                <a:fillRect/>
                              </a:stretch>
                            </pic:blipFill>
                            <pic:spPr>
                              <a:xfrm>
                                <a:off x="0" y="0"/>
                                <a:ext cx="2865579" cy="3820773"/>
                              </a:xfrm>
                              <a:prstGeom prst="rect">
                                <a:avLst/>
                              </a:prstGeom>
                              <a:ln w="12700" cap="flat">
                                <a:noFill/>
                                <a:miter lim="400000"/>
                              </a:ln>
                              <a:effectLst/>
                            </pic:spPr>
                          </pic:pic>
                          <pic:pic xmlns:pic="http://schemas.openxmlformats.org/drawingml/2006/picture">
                            <pic:nvPicPr>
                              <pic:cNvPr id="1073741869" name="IMG_4912.jpeg"/>
                              <pic:cNvPicPr>
                                <a:picLocks noChangeAspect="1"/>
                              </pic:cNvPicPr>
                            </pic:nvPicPr>
                            <pic:blipFill>
                              <a:blip r:embed="rId34">
                                <a:extLst/>
                              </a:blip>
                              <a:stretch>
                                <a:fillRect/>
                              </a:stretch>
                            </pic:blipFill>
                            <pic:spPr>
                              <a:xfrm>
                                <a:off x="1991862" y="2655816"/>
                                <a:ext cx="873718" cy="1164957"/>
                              </a:xfrm>
                              <a:prstGeom prst="rect">
                                <a:avLst/>
                              </a:prstGeom>
                              <a:ln w="12700" cap="flat">
                                <a:noFill/>
                                <a:miter lim="400000"/>
                              </a:ln>
                              <a:effectLst/>
                            </pic:spPr>
                          </pic:pic>
                        </wpg:grpSp>
                        <wps:wsp>
                          <wps:cNvPr id="1073741871" name="Shape 1073741871"/>
                          <wps:cNvSpPr txBox="1"/>
                          <wps:spPr>
                            <a:xfrm>
                              <a:off x="0" y="3820771"/>
                              <a:ext cx="2840845" cy="33028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10</w:t>
                                </w:r>
                                <w:r>
                                  <w:rPr>
                                    <w:rFonts w:ascii="Palatino" w:hAnsi="Palatino"/>
                                    <w:i w:val="1"/>
                                    <w:iCs w:val="1"/>
                                    <w:sz w:val="16"/>
                                    <w:szCs w:val="16"/>
                                    <w:rtl w:val="0"/>
                                    <w:lang w:val="en-US"/>
                                  </w:rPr>
                                  <w:t>.  Shadow cast by central stone towards E and SE.  Sunday 17.02.21, 18.54. Photo: Tina Jensen Friis Auster.</w:t>
                                </w:r>
                              </w:p>
                            </w:txbxContent>
                          </wps:txbx>
                          <wps:bodyPr wrap="square" lIns="0" tIns="0" rIns="0" bIns="0" numCol="1" anchor="t">
                            <a:noAutofit/>
                          </wps:bodyPr>
                        </wps:wsp>
                      </wpg:grpSp>
                    </wpg:wgp>
                  </a:graphicData>
                </a:graphic>
              </wp:anchor>
            </w:drawing>
          </mc:Choice>
          <mc:Fallback>
            <w:pict>
              <v:group id="_x0000_s1065" style="visibility:visible;position:absolute;margin-left:0.0pt;margin-top:14.1pt;width:510.9pt;height:326.9pt;z-index:251661312;mso-position-horizontal:absolute;mso-position-horizontal-relative:margin;mso-position-vertical:absolute;mso-position-vertical-relative:line;mso-wrap-distance-left:12.0pt;mso-wrap-distance-top:12.0pt;mso-wrap-distance-right:12.0pt;mso-wrap-distance-bottom:12.0pt;" coordorigin="0,0" coordsize="6488396,4151058">
                <w10:wrap type="topAndBottom" side="bothSides" anchorx="margin"/>
                <v:group id="_x0000_s1066" style="position:absolute;left:3030315;top:152400;width:3458082;height:3968862;" coordorigin="69175,0" coordsize="3458081,3968862">
                  <v:shape id="_x0000_s1067" type="#_x0000_t75" style="position:absolute;left:69284;top:0;width:3457867;height:3668961;">
                    <v:imagedata r:id="rId32" o:title="Screenshot 2021-05-02 at 12.55.13.png" cropleft="36.4%" cropright="42.0%" croptop="44.5%" cropbottom="18.9%"/>
                  </v:shape>
                  <v:shape id="_x0000_s1068" type="#_x0000_t202" style="position:absolute;left:69175;top:3669109;width:3458082;height:2997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11</w:t>
                          </w:r>
                          <w:r>
                            <w:rPr>
                              <w:rFonts w:ascii="Palatino" w:hAnsi="Palatino"/>
                              <w:i w:val="1"/>
                              <w:iCs w:val="1"/>
                              <w:sz w:val="16"/>
                              <w:szCs w:val="16"/>
                              <w:rtl w:val="0"/>
                            </w:rPr>
                            <w:t xml:space="preserve">.  </w:t>
                          </w:r>
                          <w:r>
                            <w:rPr>
                              <w:rFonts w:ascii="Palatino" w:hAnsi="Palatino"/>
                              <w:i w:val="1"/>
                              <w:iCs w:val="1"/>
                              <w:sz w:val="16"/>
                              <w:szCs w:val="16"/>
                              <w:rtl w:val="0"/>
                              <w:lang w:val="en-US"/>
                            </w:rPr>
                            <w:t>Boscawen-un stone Sun Position and Shadow Casting from NW to SE.  Photo</w:t>
                          </w:r>
                          <w:r>
                            <w:rPr>
                              <w:rFonts w:ascii="Palatino" w:hAnsi="Palatino"/>
                              <w:i w:val="1"/>
                              <w:iCs w:val="1"/>
                              <w:sz w:val="16"/>
                              <w:szCs w:val="16"/>
                              <w:rtl w:val="0"/>
                            </w:rPr>
                            <w:t xml:space="preserve">: </w:t>
                          </w:r>
                          <w:r>
                            <w:rPr>
                              <w:rFonts w:ascii="Palatino" w:hAnsi="Palatino"/>
                              <w:i w:val="1"/>
                              <w:iCs w:val="1"/>
                              <w:sz w:val="16"/>
                              <w:szCs w:val="16"/>
                              <w:rtl w:val="0"/>
                              <w:lang w:val="en-US"/>
                            </w:rPr>
                            <w:t>Sun.Earth.Tools.</w:t>
                          </w:r>
                        </w:p>
                      </w:txbxContent>
                    </v:textbox>
                  </v:shape>
                </v:group>
                <v:group id="_x0000_s1069" style="position:absolute;left:0;top:0;width:2865579;height:4151058;" coordorigin="0,0" coordsize="2865579,4151058">
                  <v:group id="_x0000_s1070" style="position:absolute;left:0;top:0;width:2865579;height:3820772;" coordorigin="0,0" coordsize="2865579,3820772">
                    <v:shape id="_x0000_s1071" type="#_x0000_t75" style="position:absolute;left:0;top:0;width:2865579;height:3820772;">
                      <v:imagedata r:id="rId33" o:title="IMG_4789.jpeg"/>
                    </v:shape>
                    <v:shape id="_x0000_s1072" type="#_x0000_t75" style="position:absolute;left:1991863;top:2655817;width:873717;height:1164956;">
                      <v:imagedata r:id="rId34" o:title="IMG_4912.jpeg"/>
                    </v:shape>
                  </v:group>
                  <v:shape id="_x0000_s1073" type="#_x0000_t202" style="position:absolute;left:0;top:3820772;width:2840844;height:3302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10</w:t>
                          </w:r>
                          <w:r>
                            <w:rPr>
                              <w:rFonts w:ascii="Palatino" w:hAnsi="Palatino"/>
                              <w:i w:val="1"/>
                              <w:iCs w:val="1"/>
                              <w:sz w:val="16"/>
                              <w:szCs w:val="16"/>
                              <w:rtl w:val="0"/>
                              <w:lang w:val="en-US"/>
                            </w:rPr>
                            <w:t>.  Shadow cast by central stone towards E and SE.  Sunday 17.02.21, 18.54. Photo: Tina Jensen Friis Auster.</w:t>
                          </w:r>
                        </w:p>
                      </w:txbxContent>
                    </v:textbox>
                  </v:shape>
                </v:group>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35"/>
          <w:footerReference w:type="default" r:id="rId36"/>
          <w:pgSz w:w="12240" w:h="15840" w:orient="portrait"/>
          <w:pgMar w:top="1134" w:right="1134" w:bottom="720" w:left="1134" w:header="567" w:footer="720"/>
          <w:bidi w:val="0"/>
        </w:sectPr>
      </w:pPr>
      <w:r>
        <w:rPr>
          <w:rFonts w:ascii="Palatino" w:hAnsi="Palatino"/>
          <w:sz w:val="22"/>
          <w:szCs w:val="22"/>
          <w:rtl w:val="0"/>
          <w:lang w:val="en-US"/>
        </w:rPr>
        <w:t>which</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 xml:space="preserve">among other, </w:t>
      </w:r>
      <w:r>
        <w:rPr>
          <w:rFonts w:ascii="Palatino" w:hAnsi="Palatino"/>
          <w:sz w:val="22"/>
          <w:szCs w:val="22"/>
          <w:rtl w:val="0"/>
          <w:lang w:val="en-US"/>
        </w:rPr>
        <w:t xml:space="preserve">the shadows are cast, have cracks, in which the </w:t>
      </w:r>
      <w:r>
        <w:rPr>
          <w:rFonts w:ascii="Palatino" w:hAnsi="Palatino"/>
          <w:sz w:val="22"/>
          <w:szCs w:val="22"/>
          <w:rtl w:val="0"/>
          <w:lang w:val="en-US"/>
        </w:rPr>
        <w:t>shadow may reach or enter at a</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certain time and </w:t>
      </w:r>
      <w:r>
        <w:rPr>
          <w:rFonts w:ascii="Palatino" w:hAnsi="Palatino"/>
          <w:sz w:val="22"/>
          <w:szCs w:val="22"/>
          <w:rtl w:val="0"/>
          <w:lang w:val="en-US"/>
        </w:rPr>
        <w:t>date (Fig. 12 and Fig. 13).</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71552" behindDoc="0" locked="0" layoutInCell="1" allowOverlap="1">
                <wp:simplePos x="0" y="0"/>
                <wp:positionH relativeFrom="margin">
                  <wp:posOffset>1631652</wp:posOffset>
                </wp:positionH>
                <wp:positionV relativeFrom="line">
                  <wp:posOffset>184079</wp:posOffset>
                </wp:positionV>
                <wp:extent cx="3141663" cy="2628130"/>
                <wp:effectExtent l="0" t="0" r="0" b="0"/>
                <wp:wrapTopAndBottom distT="152400" distB="152400"/>
                <wp:docPr id="1073741878" name="officeArt object"/>
                <wp:cNvGraphicFramePr/>
                <a:graphic xmlns:a="http://schemas.openxmlformats.org/drawingml/2006/main">
                  <a:graphicData uri="http://schemas.microsoft.com/office/word/2010/wordprocessingGroup">
                    <wpg:wgp>
                      <wpg:cNvGrpSpPr/>
                      <wpg:grpSpPr>
                        <a:xfrm>
                          <a:off x="0" y="0"/>
                          <a:ext cx="3141663" cy="2628130"/>
                          <a:chOff x="0" y="0"/>
                          <a:chExt cx="3141662" cy="2628129"/>
                        </a:xfrm>
                      </wpg:grpSpPr>
                      <wpg:grpSp>
                        <wpg:cNvPr id="1073741876" name="Group 1073741876"/>
                        <wpg:cNvGrpSpPr/>
                        <wpg:grpSpPr>
                          <a:xfrm>
                            <a:off x="0" y="0"/>
                            <a:ext cx="3141663" cy="2241108"/>
                            <a:chOff x="0" y="0"/>
                            <a:chExt cx="3141662" cy="2241107"/>
                          </a:xfrm>
                        </wpg:grpSpPr>
                        <pic:pic xmlns:pic="http://schemas.openxmlformats.org/drawingml/2006/picture">
                          <pic:nvPicPr>
                            <pic:cNvPr id="1073741874" name="IMG_4877.jpeg"/>
                            <pic:cNvPicPr>
                              <a:picLocks noChangeAspect="1"/>
                            </pic:cNvPicPr>
                          </pic:nvPicPr>
                          <pic:blipFill>
                            <a:blip r:embed="rId37">
                              <a:extLst/>
                            </a:blip>
                            <a:srcRect l="0" t="0" r="9584" b="0"/>
                            <a:stretch>
                              <a:fillRect/>
                            </a:stretch>
                          </pic:blipFill>
                          <pic:spPr>
                            <a:xfrm>
                              <a:off x="0" y="0"/>
                              <a:ext cx="1519726" cy="2241108"/>
                            </a:xfrm>
                            <a:prstGeom prst="rect">
                              <a:avLst/>
                            </a:prstGeom>
                            <a:ln w="12700" cap="flat">
                              <a:noFill/>
                              <a:miter lim="400000"/>
                            </a:ln>
                            <a:effectLst/>
                          </pic:spPr>
                        </pic:pic>
                        <pic:pic xmlns:pic="http://schemas.openxmlformats.org/drawingml/2006/picture">
                          <pic:nvPicPr>
                            <pic:cNvPr id="1073741875" name="IMG_4908-filtered.jpeg"/>
                            <pic:cNvPicPr>
                              <a:picLocks noChangeAspect="1"/>
                            </pic:cNvPicPr>
                          </pic:nvPicPr>
                          <pic:blipFill>
                            <a:blip r:embed="rId38">
                              <a:extLst/>
                            </a:blip>
                            <a:srcRect l="33252" t="22134" r="12451" b="17818"/>
                            <a:stretch>
                              <a:fillRect/>
                            </a:stretch>
                          </pic:blipFill>
                          <pic:spPr>
                            <a:xfrm>
                              <a:off x="1621890" y="0"/>
                              <a:ext cx="1519773" cy="2241016"/>
                            </a:xfrm>
                            <a:prstGeom prst="rect">
                              <a:avLst/>
                            </a:prstGeom>
                            <a:ln w="12700" cap="flat">
                              <a:noFill/>
                              <a:miter lim="400000"/>
                            </a:ln>
                            <a:effectLst/>
                          </pic:spPr>
                        </pic:pic>
                      </wpg:grpSp>
                      <wps:wsp>
                        <wps:cNvPr id="1073741877" name="Shape 1073741877"/>
                        <wps:cNvSpPr txBox="1"/>
                        <wps:spPr>
                          <a:xfrm>
                            <a:off x="1626802" y="2223008"/>
                            <a:ext cx="1464061" cy="405122"/>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13</w:t>
                              </w:r>
                              <w:r>
                                <w:rPr>
                                  <w:rFonts w:ascii="Palatino" w:hAnsi="Palatino"/>
                                  <w:i w:val="1"/>
                                  <w:iCs w:val="1"/>
                                  <w:sz w:val="16"/>
                                  <w:szCs w:val="16"/>
                                  <w:rtl w:val="0"/>
                                </w:rPr>
                                <w:t xml:space="preserve">.  </w:t>
                              </w:r>
                              <w:r>
                                <w:rPr>
                                  <w:rFonts w:ascii="Palatino" w:hAnsi="Palatino"/>
                                  <w:i w:val="1"/>
                                  <w:iCs w:val="1"/>
                                  <w:sz w:val="16"/>
                                  <w:szCs w:val="16"/>
                                  <w:rtl w:val="0"/>
                                  <w:lang w:val="en-US"/>
                                </w:rPr>
                                <w:t>Crack in the South East stone</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74" style="visibility:visible;position:absolute;margin-left:128.5pt;margin-top:14.5pt;width:247.4pt;height:206.9pt;z-index:251671552;mso-position-horizontal:absolute;mso-position-horizontal-relative:margin;mso-position-vertical:absolute;mso-position-vertical-relative:line;mso-wrap-distance-left:12.0pt;mso-wrap-distance-top:12.0pt;mso-wrap-distance-right:12.0pt;mso-wrap-distance-bottom:12.0pt;" coordorigin="0,0" coordsize="3141662,2628130">
                <w10:wrap type="topAndBottom" side="bothSides" anchorx="margin"/>
                <v:group id="_x0000_s1075" style="position:absolute;left:0;top:0;width:3141662;height:2241107;" coordorigin="0,0" coordsize="3141662,2241107">
                  <v:shape id="_x0000_s1076" type="#_x0000_t75" style="position:absolute;left:0;top:0;width:1519725;height:2241107;">
                    <v:imagedata r:id="rId37" o:title="IMG_4877.jpeg" cropright="9.6%"/>
                  </v:shape>
                  <v:shape id="_x0000_s1077" type="#_x0000_t75" style="position:absolute;left:1621891;top:0;width:1519772;height:2241015;">
                    <v:imagedata r:id="rId38" o:title="IMG_4908-filtered.jpeg" cropleft="33.3%" cropright="12.5%" croptop="22.1%" cropbottom="17.8%"/>
                  </v:shape>
                </v:group>
                <v:shape id="_x0000_s1078" type="#_x0000_t202" style="position:absolute;left:1626802;top:2223008;width:1464060;height:40512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13</w:t>
                        </w:r>
                        <w:r>
                          <w:rPr>
                            <w:rFonts w:ascii="Palatino" w:hAnsi="Palatino"/>
                            <w:i w:val="1"/>
                            <w:iCs w:val="1"/>
                            <w:sz w:val="16"/>
                            <w:szCs w:val="16"/>
                            <w:rtl w:val="0"/>
                          </w:rPr>
                          <w:t xml:space="preserve">.  </w:t>
                        </w:r>
                        <w:r>
                          <w:rPr>
                            <w:rFonts w:ascii="Palatino" w:hAnsi="Palatino"/>
                            <w:i w:val="1"/>
                            <w:iCs w:val="1"/>
                            <w:sz w:val="16"/>
                            <w:szCs w:val="16"/>
                            <w:rtl w:val="0"/>
                            <w:lang w:val="en-US"/>
                          </w:rPr>
                          <w:t>Crack in the South East stone</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13</w:t>
                        </w:r>
                        <w:r>
                          <w:rPr>
                            <w:rFonts w:ascii="Palatino" w:hAnsi="Palatino"/>
                            <w:i w:val="1"/>
                            <w:iCs w:val="1"/>
                            <w:sz w:val="16"/>
                            <w:szCs w:val="16"/>
                            <w:rtl w:val="0"/>
                            <w:lang w:val="da-DK"/>
                          </w:rPr>
                          <w:t>. Photo: Tina Jensen Friis Auster.</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The sun could have risen and set in a line from</w:t>
      </w:r>
      <w:r>
        <w:rPr>
          <w:rFonts w:ascii="Palatino" w:hAnsi="Palatino"/>
          <w:sz w:val="22"/>
          <w:szCs w:val="22"/>
          <w:rtl w:val="0"/>
          <w:lang w:val="en-US"/>
        </w:rPr>
        <w:t xml:space="preserve"> </w:t>
      </w:r>
      <w:r>
        <w:rPr>
          <w:rFonts w:ascii="Palatino" w:hAnsi="Palatino"/>
          <w:sz w:val="22"/>
          <w:szCs w:val="22"/>
          <w:rtl w:val="0"/>
          <w:lang w:val="en-US"/>
        </w:rPr>
        <w:t>the central stone east and west on equinox in 3000BC, along with casting shadows, possibl</w:t>
      </w:r>
      <w:r>
        <w:rPr>
          <w:rFonts w:ascii="Palatino" w:hAnsi="Palatino"/>
          <w:sz w:val="22"/>
          <w:szCs w:val="22"/>
          <w:rtl w:val="0"/>
          <w:lang w:val="en-US"/>
        </w:rPr>
        <w:t>y</w:t>
      </w:r>
      <w:r>
        <w:rPr>
          <w:rFonts w:ascii="Palatino" w:hAnsi="Palatino"/>
          <w:sz w:val="22"/>
          <w:szCs w:val="22"/>
          <w:rtl w:val="0"/>
          <w:lang w:val="en-US"/>
        </w:rPr>
        <w:t xml:space="preserve"> aligning with cracks in the eastern stones. </w:t>
      </w:r>
      <w:r>
        <w:rPr>
          <w:rFonts w:ascii="Palatino" w:hAnsi="Palatino"/>
          <w:sz w:val="22"/>
          <w:szCs w:val="22"/>
          <w:rtl w:val="0"/>
          <w:lang w:val="en-US"/>
        </w:rPr>
        <w:t xml:space="preserve"> Both findings could indicate that the stone circle could have been built with Spring as a significance, Spring being a sign of fertility and new life.  As mentioned by Weatherhill, farming had become a way of living in the Neolithic period. </w:t>
      </w:r>
      <w:r>
        <w:rPr>
          <w:rFonts w:ascii="Palatino" w:cs="Palatino" w:hAnsi="Palatino" w:eastAsia="Palatino"/>
          <w:sz w:val="22"/>
          <w:szCs w:val="22"/>
          <w:vertAlign w:val="superscript"/>
        </w:rPr>
        <w:footnoteReference w:id="69"/>
      </w:r>
      <w:r>
        <w:rPr>
          <w:rFonts w:ascii="Palatino" w:hAnsi="Palatino"/>
          <w:sz w:val="22"/>
          <w:szCs w:val="22"/>
          <w:rtl w:val="0"/>
          <w:lang w:val="en-US"/>
        </w:rPr>
        <w:t xml:space="preserve">  Thus, the people of the</w:t>
      </w:r>
      <w:r>
        <mc:AlternateContent>
          <mc:Choice Requires="wps">
            <w:drawing xmlns:a="http://schemas.openxmlformats.org/drawingml/2006/main">
              <wp:anchor distT="152400" distB="152400" distL="152400" distR="152400" simplePos="0" relativeHeight="251673600" behindDoc="0" locked="0" layoutInCell="1" allowOverlap="1">
                <wp:simplePos x="0" y="0"/>
                <wp:positionH relativeFrom="page">
                  <wp:posOffset>2351652</wp:posOffset>
                </wp:positionH>
                <wp:positionV relativeFrom="page">
                  <wp:posOffset>3279540</wp:posOffset>
                </wp:positionV>
                <wp:extent cx="1464060" cy="405122"/>
                <wp:effectExtent l="0" t="0" r="0" b="0"/>
                <wp:wrapTopAndBottom distT="152400" distB="152400"/>
                <wp:docPr id="1073741886" name="officeArt object"/>
                <wp:cNvGraphicFramePr/>
                <a:graphic xmlns:a="http://schemas.openxmlformats.org/drawingml/2006/main">
                  <a:graphicData uri="http://schemas.microsoft.com/office/word/2010/wordprocessingShape">
                    <wps:wsp>
                      <wps:cNvSpPr txBox="1"/>
                      <wps:spPr>
                        <a:xfrm>
                          <a:off x="0" y="0"/>
                          <a:ext cx="1464060" cy="405122"/>
                        </a:xfrm>
                        <a:prstGeom prst="rect">
                          <a:avLst/>
                        </a:prstGeom>
                        <a:noFill/>
                        <a:ln w="12700" cap="flat">
                          <a:noFill/>
                          <a:miter lim="400000"/>
                        </a:ln>
                        <a:effectLst/>
                      </wps:spPr>
                      <wps:txbx>
                        <w:txbxContent>
                          <w:p>
                            <w:pPr>
                              <w:pStyle w:val="Caption"/>
                              <w:tabs>
                                <w:tab w:val="left" w:pos="1440"/>
                              </w:tabs>
                              <w:spacing w:line="216" w:lineRule="auto"/>
                            </w:pPr>
                            <w:r>
                              <w:rPr>
                                <w:rFonts w:ascii="Palatino" w:hAnsi="Palatino"/>
                                <w:i w:val="1"/>
                                <w:iCs w:val="1"/>
                                <w:sz w:val="16"/>
                                <w:szCs w:val="16"/>
                                <w:rtl w:val="0"/>
                                <w:lang w:val="en-US"/>
                              </w:rPr>
                              <w:t>Figure 12.  Crack in the East stone.  Saturday 24.04.21, 15.03. Photo: Tina Jensen Friis Auster.</w:t>
                            </w:r>
                          </w:p>
                        </w:txbxContent>
                      </wps:txbx>
                      <wps:bodyPr wrap="square" lIns="0" tIns="0" rIns="0" bIns="0" numCol="1" anchor="t">
                        <a:noAutofit/>
                      </wps:bodyPr>
                    </wps:wsp>
                  </a:graphicData>
                </a:graphic>
              </wp:anchor>
            </w:drawing>
          </mc:Choice>
          <mc:Fallback>
            <w:pict>
              <v:shape id="_x0000_s1079" type="#_x0000_t202" style="visibility:visible;position:absolute;margin-left:185.2pt;margin-top:258.2pt;width:115.3pt;height:31.9pt;z-index:25167360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s>
                        <w:spacing w:line="216" w:lineRule="auto"/>
                      </w:pPr>
                      <w:r>
                        <w:rPr>
                          <w:rFonts w:ascii="Palatino" w:hAnsi="Palatino"/>
                          <w:i w:val="1"/>
                          <w:iCs w:val="1"/>
                          <w:sz w:val="16"/>
                          <w:szCs w:val="16"/>
                          <w:rtl w:val="0"/>
                          <w:lang w:val="en-US"/>
                        </w:rPr>
                        <w:t>Figure 12.  Crack in the East stone.  Saturday 24.04.21, 15.03.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 time may have used the E/W stone alignment sunrise/sunset, and the cast shadows, as messages from the stone circle to alert the Equinox, in order to prepare land or animals for Spring and Autumn.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39"/>
          <w:footerReference w:type="default" r:id="rId40"/>
          <w:pgSz w:w="12240" w:h="15840" w:orient="portrait"/>
          <w:pgMar w:top="1134" w:right="1134" w:bottom="720" w:left="1134" w:header="567" w:footer="720"/>
          <w:bidi w:val="0"/>
        </w:sectPr>
      </w:pPr>
      <w:r>
        <w:rPr>
          <w:rFonts w:ascii="Palatino" w:cs="Palatino" w:hAnsi="Palatino" w:eastAsia="Palatino"/>
          <w:sz w:val="22"/>
          <w:szCs w:val="22"/>
          <w:rtl w:val="0"/>
        </w:rPr>
        <w:tab/>
        <w:t xml:space="preserve">Lockyer found that the sun would rise over the stone circle as seen from the quartz on May-sun. </w:t>
      </w:r>
      <w:r>
        <w:rPr>
          <w:rFonts w:ascii="Palatino" w:cs="Palatino" w:hAnsi="Palatino" w:eastAsia="Palatino"/>
          <w:sz w:val="22"/>
          <w:szCs w:val="22"/>
          <w:vertAlign w:val="superscript"/>
        </w:rPr>
        <w:footnoteReference w:id="70"/>
      </w:r>
      <w:r>
        <w:rPr>
          <w:rFonts w:ascii="Palatino" w:hAnsi="Palatino"/>
          <w:sz w:val="22"/>
          <w:szCs w:val="22"/>
          <w:rtl w:val="0"/>
          <w:lang w:val="en-US"/>
        </w:rPr>
        <w:t xml:space="preserve">  The Quartz had an amazing shine and sparkle even when observed in the March and April sunlight during this study, as well as in the moonlight, (Fig. 14 and Fig. 15), which could indicate an alignment</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margin">
                  <wp:posOffset>963437</wp:posOffset>
                </wp:positionH>
                <wp:positionV relativeFrom="line">
                  <wp:posOffset>178199</wp:posOffset>
                </wp:positionV>
                <wp:extent cx="4967453" cy="3051501"/>
                <wp:effectExtent l="0" t="0" r="0" b="0"/>
                <wp:wrapThrough wrapText="bothSides" distL="152400" distR="152400">
                  <wp:wrapPolygon edited="1">
                    <wp:start x="0" y="0"/>
                    <wp:lineTo x="21600" y="0"/>
                    <wp:lineTo x="21600" y="21600"/>
                    <wp:lineTo x="0" y="21600"/>
                    <wp:lineTo x="0" y="0"/>
                  </wp:wrapPolygon>
                </wp:wrapThrough>
                <wp:docPr id="1073741885" name="officeArt object"/>
                <wp:cNvGraphicFramePr/>
                <a:graphic xmlns:a="http://schemas.openxmlformats.org/drawingml/2006/main">
                  <a:graphicData uri="http://schemas.microsoft.com/office/word/2010/wordprocessingGroup">
                    <wpg:wgp>
                      <wpg:cNvGrpSpPr/>
                      <wpg:grpSpPr>
                        <a:xfrm>
                          <a:off x="0" y="0"/>
                          <a:ext cx="4967453" cy="3051501"/>
                          <a:chOff x="-152399" y="0"/>
                          <a:chExt cx="4967452" cy="3051500"/>
                        </a:xfrm>
                      </wpg:grpSpPr>
                      <wpg:grpSp>
                        <wpg:cNvPr id="1073741881" name="Group 1073741881"/>
                        <wpg:cNvGrpSpPr/>
                        <wpg:grpSpPr>
                          <a:xfrm>
                            <a:off x="-152400" y="-1"/>
                            <a:ext cx="2323581" cy="3051502"/>
                            <a:chOff x="0" y="0"/>
                            <a:chExt cx="2323580" cy="3051500"/>
                          </a:xfrm>
                        </wpg:grpSpPr>
                        <pic:pic xmlns:pic="http://schemas.openxmlformats.org/drawingml/2006/picture">
                          <pic:nvPicPr>
                            <pic:cNvPr id="1073741879" name="IMG_4742.jpeg"/>
                            <pic:cNvPicPr>
                              <a:picLocks noChangeAspect="1"/>
                            </pic:cNvPicPr>
                          </pic:nvPicPr>
                          <pic:blipFill>
                            <a:blip r:embed="rId41">
                              <a:extLst/>
                            </a:blip>
                            <a:stretch>
                              <a:fillRect/>
                            </a:stretch>
                          </pic:blipFill>
                          <pic:spPr>
                            <a:xfrm>
                              <a:off x="2978" y="0"/>
                              <a:ext cx="2077980" cy="2770640"/>
                            </a:xfrm>
                            <a:prstGeom prst="rect">
                              <a:avLst/>
                            </a:prstGeom>
                            <a:ln w="12700" cap="flat">
                              <a:noFill/>
                              <a:miter lim="400000"/>
                            </a:ln>
                            <a:effectLst/>
                          </pic:spPr>
                        </pic:pic>
                        <wps:wsp>
                          <wps:cNvPr id="1073741880" name="Shape 1073741880"/>
                          <wps:cNvSpPr txBox="1"/>
                          <wps:spPr>
                            <a:xfrm>
                              <a:off x="0" y="2779211"/>
                              <a:ext cx="2323581" cy="272290"/>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14</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 xml:space="preserve">Sunday </w:t>
                                </w:r>
                                <w:r>
                                  <w:rPr>
                                    <w:rFonts w:ascii="Palatino" w:hAnsi="Palatino"/>
                                    <w:i w:val="1"/>
                                    <w:iCs w:val="1"/>
                                    <w:sz w:val="16"/>
                                    <w:szCs w:val="16"/>
                                    <w:rtl w:val="0"/>
                                  </w:rPr>
                                  <w:t>1</w:t>
                                </w:r>
                                <w:r>
                                  <w:rPr>
                                    <w:rFonts w:ascii="Palatino" w:hAnsi="Palatino"/>
                                    <w:i w:val="1"/>
                                    <w:iCs w:val="1"/>
                                    <w:sz w:val="16"/>
                                    <w:szCs w:val="16"/>
                                    <w:rtl w:val="0"/>
                                    <w:lang w:val="en-US"/>
                                  </w:rPr>
                                  <w:t>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w:t>
                                </w:r>
                                <w:r>
                                  <w:rPr>
                                    <w:rFonts w:ascii="Palatino" w:hAnsi="Palatino"/>
                                    <w:i w:val="1"/>
                                    <w:iCs w:val="1"/>
                                    <w:sz w:val="16"/>
                                    <w:szCs w:val="16"/>
                                    <w:rtl w:val="0"/>
                                    <w:lang w:val="en-US"/>
                                  </w:rPr>
                                  <w:t>7</w:t>
                                </w:r>
                                <w:r>
                                  <w:rPr>
                                    <w:rFonts w:ascii="Palatino" w:hAnsi="Palatino"/>
                                    <w:i w:val="1"/>
                                    <w:iCs w:val="1"/>
                                    <w:sz w:val="16"/>
                                    <w:szCs w:val="16"/>
                                    <w:rtl w:val="0"/>
                                  </w:rPr>
                                  <w:t>.</w:t>
                                </w:r>
                                <w:r>
                                  <w:rPr>
                                    <w:rFonts w:ascii="Palatino" w:hAnsi="Palatino"/>
                                    <w:i w:val="1"/>
                                    <w:iCs w:val="1"/>
                                    <w:sz w:val="16"/>
                                    <w:szCs w:val="16"/>
                                    <w:rtl w:val="0"/>
                                    <w:lang w:val="en-US"/>
                                  </w:rPr>
                                  <w:t>04</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grpSp>
                        <wpg:cNvPr id="1073741884" name="Group 1073741884"/>
                        <wpg:cNvGrpSpPr/>
                        <wpg:grpSpPr>
                          <a:xfrm>
                            <a:off x="2448853" y="0"/>
                            <a:ext cx="2366200" cy="3039712"/>
                            <a:chOff x="0" y="0"/>
                            <a:chExt cx="2366198" cy="3039711"/>
                          </a:xfrm>
                        </wpg:grpSpPr>
                        <pic:pic xmlns:pic="http://schemas.openxmlformats.org/drawingml/2006/picture">
                          <pic:nvPicPr>
                            <pic:cNvPr id="1073741882" name="IMG_4922.jpeg"/>
                            <pic:cNvPicPr>
                              <a:picLocks noChangeAspect="1"/>
                            </pic:cNvPicPr>
                          </pic:nvPicPr>
                          <pic:blipFill>
                            <a:blip r:embed="rId42">
                              <a:extLst/>
                            </a:blip>
                            <a:stretch>
                              <a:fillRect/>
                            </a:stretch>
                          </pic:blipFill>
                          <pic:spPr>
                            <a:xfrm>
                              <a:off x="10308" y="0"/>
                              <a:ext cx="2077980" cy="2770640"/>
                            </a:xfrm>
                            <a:prstGeom prst="rect">
                              <a:avLst/>
                            </a:prstGeom>
                            <a:ln w="12700" cap="flat">
                              <a:noFill/>
                              <a:miter lim="400000"/>
                            </a:ln>
                            <a:effectLst/>
                          </pic:spPr>
                        </pic:pic>
                        <wps:wsp>
                          <wps:cNvPr id="1073741883" name="Shape 1073741883"/>
                          <wps:cNvSpPr txBox="1"/>
                          <wps:spPr>
                            <a:xfrm>
                              <a:off x="-1" y="2779211"/>
                              <a:ext cx="2366200" cy="260501"/>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15</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16</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wgp>
                  </a:graphicData>
                </a:graphic>
              </wp:anchor>
            </w:drawing>
          </mc:Choice>
          <mc:Fallback>
            <w:pict>
              <v:group id="_x0000_s1080" style="visibility:visible;position:absolute;margin-left:75.9pt;margin-top:14.0pt;width:391.1pt;height:240.3pt;z-index:251660288;mso-position-horizontal:absolute;mso-position-horizontal-relative:margin;mso-position-vertical:absolute;mso-position-vertical-relative:line;mso-wrap-distance-left:12.0pt;mso-wrap-distance-top:12.0pt;mso-wrap-distance-right:12.0pt;mso-wrap-distance-bottom:12.0pt;" coordorigin="-152400,0" coordsize="4967452,3051500">
                <w10:wrap type="through" side="bothSides" anchorx="margin"/>
                <v:group id="_x0000_s1081" style="position:absolute;left:-152400;top:0;width:2323581;height:3051500;" coordorigin="0,0" coordsize="2323581,3051500">
                  <v:shape id="_x0000_s1082" type="#_x0000_t75" style="position:absolute;left:2978;top:0;width:2077979;height:2770639;">
                    <v:imagedata r:id="rId41" o:title="IMG_4742.jpeg"/>
                  </v:shape>
                  <v:shape id="_x0000_s1083" type="#_x0000_t202" style="position:absolute;left:0;top:2779211;width:2323581;height:27228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14</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 xml:space="preserve">Sunday </w:t>
                          </w:r>
                          <w:r>
                            <w:rPr>
                              <w:rFonts w:ascii="Palatino" w:hAnsi="Palatino"/>
                              <w:i w:val="1"/>
                              <w:iCs w:val="1"/>
                              <w:sz w:val="16"/>
                              <w:szCs w:val="16"/>
                              <w:rtl w:val="0"/>
                            </w:rPr>
                            <w:t>1</w:t>
                          </w:r>
                          <w:r>
                            <w:rPr>
                              <w:rFonts w:ascii="Palatino" w:hAnsi="Palatino"/>
                              <w:i w:val="1"/>
                              <w:iCs w:val="1"/>
                              <w:sz w:val="16"/>
                              <w:szCs w:val="16"/>
                              <w:rtl w:val="0"/>
                              <w:lang w:val="en-US"/>
                            </w:rPr>
                            <w:t>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w:t>
                          </w:r>
                          <w:r>
                            <w:rPr>
                              <w:rFonts w:ascii="Palatino" w:hAnsi="Palatino"/>
                              <w:i w:val="1"/>
                              <w:iCs w:val="1"/>
                              <w:sz w:val="16"/>
                              <w:szCs w:val="16"/>
                              <w:rtl w:val="0"/>
                              <w:lang w:val="en-US"/>
                            </w:rPr>
                            <w:t>7</w:t>
                          </w:r>
                          <w:r>
                            <w:rPr>
                              <w:rFonts w:ascii="Palatino" w:hAnsi="Palatino"/>
                              <w:i w:val="1"/>
                              <w:iCs w:val="1"/>
                              <w:sz w:val="16"/>
                              <w:szCs w:val="16"/>
                              <w:rtl w:val="0"/>
                            </w:rPr>
                            <w:t>.</w:t>
                          </w:r>
                          <w:r>
                            <w:rPr>
                              <w:rFonts w:ascii="Palatino" w:hAnsi="Palatino"/>
                              <w:i w:val="1"/>
                              <w:iCs w:val="1"/>
                              <w:sz w:val="16"/>
                              <w:szCs w:val="16"/>
                              <w:rtl w:val="0"/>
                              <w:lang w:val="en-US"/>
                            </w:rPr>
                            <w:t>04</w:t>
                          </w:r>
                          <w:r>
                            <w:rPr>
                              <w:rFonts w:ascii="Palatino" w:hAnsi="Palatino"/>
                              <w:i w:val="1"/>
                              <w:iCs w:val="1"/>
                              <w:sz w:val="16"/>
                              <w:szCs w:val="16"/>
                              <w:rtl w:val="0"/>
                              <w:lang w:val="da-DK"/>
                            </w:rPr>
                            <w:t>. Photo: Tina Jensen Friis Auster.</w:t>
                          </w:r>
                        </w:p>
                      </w:txbxContent>
                    </v:textbox>
                  </v:shape>
                </v:group>
                <v:group id="_x0000_s1084" style="position:absolute;left:2448854;top:0;width:2366198;height:3039711;" coordorigin="0,0" coordsize="2366198,3039711">
                  <v:shape id="_x0000_s1085" type="#_x0000_t75" style="position:absolute;left:10308;top:0;width:2077979;height:2770639;">
                    <v:imagedata r:id="rId42" o:title="IMG_4922.jpeg"/>
                  </v:shape>
                  <v:shape id="_x0000_s1086" type="#_x0000_t202" style="position:absolute;left:0;top:2779211;width:2366198;height:26050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15</w:t>
                          </w:r>
                          <w:r>
                            <w:rPr>
                              <w:rFonts w:ascii="Palatino" w:hAnsi="Palatino"/>
                              <w:i w:val="1"/>
                              <w:iCs w:val="1"/>
                              <w:sz w:val="16"/>
                              <w:szCs w:val="16"/>
                              <w:rtl w:val="0"/>
                            </w:rPr>
                            <w:t xml:space="preserve">.  </w:t>
                          </w:r>
                          <w:r>
                            <w:rPr>
                              <w:rFonts w:ascii="Palatino" w:hAnsi="Palatino"/>
                              <w:i w:val="1"/>
                              <w:iCs w:val="1"/>
                              <w:sz w:val="16"/>
                              <w:szCs w:val="16"/>
                              <w:rtl w:val="0"/>
                              <w:lang w:val="en-US"/>
                            </w:rPr>
                            <w:t>The shine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16</w:t>
                          </w:r>
                          <w:r>
                            <w:rPr>
                              <w:rFonts w:ascii="Palatino" w:hAnsi="Palatino"/>
                              <w:i w:val="1"/>
                              <w:iCs w:val="1"/>
                              <w:sz w:val="16"/>
                              <w:szCs w:val="16"/>
                              <w:rtl w:val="0"/>
                              <w:lang w:val="da-DK"/>
                            </w:rPr>
                            <w:t>. Photo: Tina Jensen Friis Auster.</w:t>
                          </w:r>
                        </w:p>
                      </w:txbxContent>
                    </v:textbox>
                  </v:shape>
                </v:group>
              </v:group>
            </w:pict>
          </mc:Fallback>
        </mc:AlternateContent>
      </w:r>
      <w:r>
        <w:rPr>
          <w:rFonts w:ascii="Palatino" w:hAnsi="Palatino"/>
          <w:sz w:val="22"/>
          <w:szCs w:val="22"/>
          <w:rtl w:val="0"/>
          <w:lang w:val="en-US"/>
        </w:rPr>
        <w:t xml:space="preserve"> </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relationship to the sun, to the moon or to light.  Quartz was described as a stone with possible magical properties, for instance: the smoothness in texture </w:t>
      </w:r>
      <w:r>
        <w:rPr>
          <w:rFonts w:ascii="Palatino" w:cs="Palatino" w:hAnsi="Palatino" w:eastAsia="Palatino"/>
          <w:sz w:val="22"/>
          <w:szCs w:val="22"/>
          <w:vertAlign w:val="superscript"/>
        </w:rPr>
        <w:footnoteReference w:id="71"/>
      </w:r>
      <w:r>
        <w:rPr>
          <w:rFonts w:ascii="Palatino" w:hAnsi="Palatino"/>
          <w:sz w:val="22"/>
          <w:szCs w:val="22"/>
          <w:rtl w:val="0"/>
          <w:lang w:val="en-US"/>
        </w:rPr>
        <w:t xml:space="preserve">, often found at prehistoric ritual sites </w:t>
      </w:r>
      <w:r>
        <w:rPr>
          <w:rFonts w:ascii="Palatino" w:cs="Palatino" w:hAnsi="Palatino" w:eastAsia="Palatino"/>
          <w:sz w:val="22"/>
          <w:szCs w:val="22"/>
          <w:vertAlign w:val="superscript"/>
        </w:rPr>
        <w:footnoteReference w:id="72"/>
      </w:r>
      <w:r>
        <w:rPr>
          <w:rFonts w:ascii="Palatino" w:hAnsi="Palatino"/>
          <w:sz w:val="22"/>
          <w:szCs w:val="22"/>
          <w:rtl w:val="0"/>
          <w:lang w:val="en-US"/>
        </w:rPr>
        <w:t xml:space="preserve">, argued to hold light and magic. </w:t>
      </w:r>
      <w:r>
        <w:rPr>
          <w:rFonts w:ascii="Palatino" w:cs="Palatino" w:hAnsi="Palatino" w:eastAsia="Palatino"/>
          <w:sz w:val="22"/>
          <w:szCs w:val="22"/>
          <w:vertAlign w:val="superscript"/>
        </w:rPr>
        <w:footnoteReference w:id="73"/>
      </w:r>
      <w:r>
        <w:rPr>
          <w:rFonts w:ascii="Palatino" w:hAnsi="Palatino"/>
          <w:sz w:val="22"/>
          <w:szCs w:val="22"/>
          <w:rtl w:val="0"/>
          <w:lang w:val="en-US"/>
        </w:rPr>
        <w:t xml:space="preserve">  When examining the quartz stone at Boscawen-un, a natural sun-art was discovered on its north-eastern side.  The art looked like a sunset or a sunrise in orange colours (Fig. 16 and Fig. 17).  This natural art on the quartz stone had not been </w:t>
      </w:r>
      <w:r>
        <w:rPr>
          <w:rFonts w:ascii="Palatino" w:hAnsi="Palatino"/>
          <w:sz w:val="22"/>
          <w:szCs w:val="22"/>
          <w:rtl w:val="0"/>
          <w:lang w:val="en-US"/>
        </w:rPr>
        <w:t>previously</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6432" behindDoc="0" locked="0" layoutInCell="1" allowOverlap="1">
                <wp:simplePos x="0" y="0"/>
                <wp:positionH relativeFrom="margin">
                  <wp:posOffset>506336</wp:posOffset>
                </wp:positionH>
                <wp:positionV relativeFrom="line">
                  <wp:posOffset>182392</wp:posOffset>
                </wp:positionV>
                <wp:extent cx="5319727" cy="3262397"/>
                <wp:effectExtent l="0" t="0" r="0" b="0"/>
                <wp:wrapTopAndBottom distT="152400" distB="152400"/>
                <wp:docPr id="1073741893" name="officeArt object"/>
                <wp:cNvGraphicFramePr/>
                <a:graphic xmlns:a="http://schemas.openxmlformats.org/drawingml/2006/main">
                  <a:graphicData uri="http://schemas.microsoft.com/office/word/2010/wordprocessingGroup">
                    <wpg:wgp>
                      <wpg:cNvGrpSpPr/>
                      <wpg:grpSpPr>
                        <a:xfrm>
                          <a:off x="0" y="0"/>
                          <a:ext cx="5319727" cy="3262397"/>
                          <a:chOff x="0" y="0"/>
                          <a:chExt cx="5319726" cy="3262396"/>
                        </a:xfrm>
                      </wpg:grpSpPr>
                      <wpg:grpSp>
                        <wpg:cNvPr id="1073741889" name="Group 1073741889"/>
                        <wpg:cNvGrpSpPr/>
                        <wpg:grpSpPr>
                          <a:xfrm>
                            <a:off x="0" y="-1"/>
                            <a:ext cx="2908575" cy="2420834"/>
                            <a:chOff x="0" y="0"/>
                            <a:chExt cx="2908574" cy="2420832"/>
                          </a:xfrm>
                        </wpg:grpSpPr>
                        <pic:pic xmlns:pic="http://schemas.openxmlformats.org/drawingml/2006/picture">
                          <pic:nvPicPr>
                            <pic:cNvPr id="1073741887" name="IMG_4749.jpeg"/>
                            <pic:cNvPicPr>
                              <a:picLocks noChangeAspect="1"/>
                            </pic:cNvPicPr>
                          </pic:nvPicPr>
                          <pic:blipFill>
                            <a:blip r:embed="rId43">
                              <a:extLst/>
                            </a:blip>
                            <a:stretch>
                              <a:fillRect/>
                            </a:stretch>
                          </pic:blipFill>
                          <pic:spPr>
                            <a:xfrm>
                              <a:off x="0" y="0"/>
                              <a:ext cx="2861346" cy="2146010"/>
                            </a:xfrm>
                            <a:prstGeom prst="rect">
                              <a:avLst/>
                            </a:prstGeom>
                            <a:ln w="12700" cap="flat">
                              <a:noFill/>
                              <a:miter lim="400000"/>
                            </a:ln>
                            <a:effectLst/>
                          </pic:spPr>
                        </pic:pic>
                        <wps:wsp>
                          <wps:cNvPr id="1073741888" name="Shape 1073741888"/>
                          <wps:cNvSpPr txBox="1"/>
                          <wps:spPr>
                            <a:xfrm>
                              <a:off x="0" y="2146008"/>
                              <a:ext cx="2908575" cy="274825"/>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16</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17</w:t>
                                </w:r>
                                <w:r>
                                  <w:rPr>
                                    <w:rFonts w:ascii="Palatino" w:hAnsi="Palatino"/>
                                    <w:i w:val="1"/>
                                    <w:iCs w:val="1"/>
                                    <w:sz w:val="16"/>
                                    <w:szCs w:val="16"/>
                                    <w:rtl w:val="0"/>
                                  </w:rPr>
                                  <w:t>.</w:t>
                                </w:r>
                                <w:r>
                                  <w:rPr>
                                    <w:rFonts w:ascii="Palatino" w:hAnsi="Palatino"/>
                                    <w:i w:val="1"/>
                                    <w:iCs w:val="1"/>
                                    <w:sz w:val="16"/>
                                    <w:szCs w:val="16"/>
                                    <w:rtl w:val="0"/>
                                    <w:lang w:val="en-US"/>
                                  </w:rPr>
                                  <w:t>10</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grpSp>
                        <wpg:cNvPr id="1073741892" name="Group 1073741892"/>
                        <wpg:cNvGrpSpPr/>
                        <wpg:grpSpPr>
                          <a:xfrm>
                            <a:off x="3186022" y="0"/>
                            <a:ext cx="2133705" cy="3262397"/>
                            <a:chOff x="0" y="0"/>
                            <a:chExt cx="2133703" cy="3262396"/>
                          </a:xfrm>
                        </wpg:grpSpPr>
                        <pic:pic xmlns:pic="http://schemas.openxmlformats.org/drawingml/2006/picture">
                          <pic:nvPicPr>
                            <pic:cNvPr id="1073741890" name="IMG_4880.jpeg"/>
                            <pic:cNvPicPr>
                              <a:picLocks noChangeAspect="1"/>
                            </pic:cNvPicPr>
                          </pic:nvPicPr>
                          <pic:blipFill>
                            <a:blip r:embed="rId44">
                              <a:extLst/>
                            </a:blip>
                            <a:stretch>
                              <a:fillRect/>
                            </a:stretch>
                          </pic:blipFill>
                          <pic:spPr>
                            <a:xfrm>
                              <a:off x="0" y="0"/>
                              <a:ext cx="2133704" cy="2844939"/>
                            </a:xfrm>
                            <a:prstGeom prst="rect">
                              <a:avLst/>
                            </a:prstGeom>
                            <a:ln w="12700" cap="flat">
                              <a:noFill/>
                              <a:miter lim="400000"/>
                            </a:ln>
                            <a:effectLst/>
                          </pic:spPr>
                        </pic:pic>
                        <wps:wsp>
                          <wps:cNvPr id="1073741891" name="Shape 1073741891"/>
                          <wps:cNvSpPr txBox="1"/>
                          <wps:spPr>
                            <a:xfrm>
                              <a:off x="0" y="2844937"/>
                              <a:ext cx="2133704" cy="417460"/>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17</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15</w:t>
                                </w:r>
                                <w:r>
                                  <w:rPr>
                                    <w:rFonts w:ascii="Palatino" w:hAnsi="Palatino"/>
                                    <w:i w:val="1"/>
                                    <w:iCs w:val="1"/>
                                    <w:sz w:val="16"/>
                                    <w:szCs w:val="16"/>
                                    <w:rtl w:val="0"/>
                                  </w:rPr>
                                  <w:t>.</w:t>
                                </w:r>
                                <w:r>
                                  <w:rPr>
                                    <w:rFonts w:ascii="Palatino" w:hAnsi="Palatino"/>
                                    <w:i w:val="1"/>
                                    <w:iCs w:val="1"/>
                                    <w:sz w:val="16"/>
                                    <w:szCs w:val="16"/>
                                    <w:rtl w:val="0"/>
                                    <w:lang w:val="en-US"/>
                                  </w:rPr>
                                  <w:t>22</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grpSp>
                    </wpg:wgp>
                  </a:graphicData>
                </a:graphic>
              </wp:anchor>
            </w:drawing>
          </mc:Choice>
          <mc:Fallback>
            <w:pict>
              <v:group id="_x0000_s1087" style="visibility:visible;position:absolute;margin-left:39.9pt;margin-top:14.4pt;width:418.9pt;height:256.9pt;z-index:251666432;mso-position-horizontal:absolute;mso-position-horizontal-relative:margin;mso-position-vertical:absolute;mso-position-vertical-relative:line;mso-wrap-distance-left:12.0pt;mso-wrap-distance-top:12.0pt;mso-wrap-distance-right:12.0pt;mso-wrap-distance-bottom:12.0pt;" coordorigin="0,0" coordsize="5319726,3262397">
                <w10:wrap type="topAndBottom" side="bothSides" anchorx="margin"/>
                <v:group id="_x0000_s1088" style="position:absolute;left:0;top:0;width:2908574;height:2420832;" coordorigin="0,0" coordsize="2908574,2420832">
                  <v:shape id="_x0000_s1089" type="#_x0000_t75" style="position:absolute;left:0;top:0;width:2861346;height:2146009;">
                    <v:imagedata r:id="rId43" o:title="IMG_4749.jpeg"/>
                  </v:shape>
                  <v:shape id="_x0000_s1090" type="#_x0000_t202" style="position:absolute;left:0;top:2146009;width:2908574;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16</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 in sunlight</w:t>
                          </w:r>
                          <w:r>
                            <w:rPr>
                              <w:rFonts w:ascii="Palatino" w:hAnsi="Palatino"/>
                              <w:i w:val="1"/>
                              <w:iCs w:val="1"/>
                              <w:sz w:val="16"/>
                              <w:szCs w:val="16"/>
                              <w:rtl w:val="0"/>
                            </w:rPr>
                            <w:t xml:space="preserve">.  </w:t>
                          </w:r>
                          <w:r>
                            <w:rPr>
                              <w:rFonts w:ascii="Palatino" w:hAnsi="Palatino"/>
                              <w:i w:val="1"/>
                              <w:iCs w:val="1"/>
                              <w:sz w:val="16"/>
                              <w:szCs w:val="16"/>
                              <w:rtl w:val="0"/>
                              <w:lang w:val="en-US"/>
                            </w:rPr>
                            <w:t>Sunday 18</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17</w:t>
                          </w:r>
                          <w:r>
                            <w:rPr>
                              <w:rFonts w:ascii="Palatino" w:hAnsi="Palatino"/>
                              <w:i w:val="1"/>
                              <w:iCs w:val="1"/>
                              <w:sz w:val="16"/>
                              <w:szCs w:val="16"/>
                              <w:rtl w:val="0"/>
                            </w:rPr>
                            <w:t>.</w:t>
                          </w:r>
                          <w:r>
                            <w:rPr>
                              <w:rFonts w:ascii="Palatino" w:hAnsi="Palatino"/>
                              <w:i w:val="1"/>
                              <w:iCs w:val="1"/>
                              <w:sz w:val="16"/>
                              <w:szCs w:val="16"/>
                              <w:rtl w:val="0"/>
                              <w:lang w:val="en-US"/>
                            </w:rPr>
                            <w:t>10</w:t>
                          </w:r>
                          <w:r>
                            <w:rPr>
                              <w:rFonts w:ascii="Palatino" w:hAnsi="Palatino"/>
                              <w:i w:val="1"/>
                              <w:iCs w:val="1"/>
                              <w:sz w:val="16"/>
                              <w:szCs w:val="16"/>
                              <w:rtl w:val="0"/>
                              <w:lang w:val="da-DK"/>
                            </w:rPr>
                            <w:t>. Photo: Tina Jensen Friis Auster.</w:t>
                          </w:r>
                        </w:p>
                      </w:txbxContent>
                    </v:textbox>
                  </v:shape>
                </v:group>
                <v:group id="_x0000_s1091" style="position:absolute;left:3186023;top:0;width:2133704;height:3262397;" coordorigin="0,0" coordsize="2133704,3262397">
                  <v:shape id="_x0000_s1092" type="#_x0000_t75" style="position:absolute;left:0;top:0;width:2133704;height:2844938;">
                    <v:imagedata r:id="rId44" o:title="IMG_4880.jpeg"/>
                  </v:shape>
                  <v:shape id="_x0000_s1093" type="#_x0000_t202" style="position:absolute;left:0;top:2844938;width:2133704;height:41745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17</w:t>
                          </w:r>
                          <w:r>
                            <w:rPr>
                              <w:rFonts w:ascii="Palatino" w:hAnsi="Palatino"/>
                              <w:i w:val="1"/>
                              <w:iCs w:val="1"/>
                              <w:sz w:val="16"/>
                              <w:szCs w:val="16"/>
                              <w:rtl w:val="0"/>
                            </w:rPr>
                            <w:t xml:space="preserve">.  </w:t>
                          </w:r>
                          <w:r>
                            <w:rPr>
                              <w:rFonts w:ascii="Palatino" w:hAnsi="Palatino"/>
                              <w:i w:val="1"/>
                              <w:iCs w:val="1"/>
                              <w:sz w:val="16"/>
                              <w:szCs w:val="16"/>
                              <w:rtl w:val="0"/>
                              <w:lang w:val="en-US"/>
                            </w:rPr>
                            <w:t>The natural stone art of the Quartz</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15</w:t>
                          </w:r>
                          <w:r>
                            <w:rPr>
                              <w:rFonts w:ascii="Palatino" w:hAnsi="Palatino"/>
                              <w:i w:val="1"/>
                              <w:iCs w:val="1"/>
                              <w:sz w:val="16"/>
                              <w:szCs w:val="16"/>
                              <w:rtl w:val="0"/>
                            </w:rPr>
                            <w:t>.</w:t>
                          </w:r>
                          <w:r>
                            <w:rPr>
                              <w:rFonts w:ascii="Palatino" w:hAnsi="Palatino"/>
                              <w:i w:val="1"/>
                              <w:iCs w:val="1"/>
                              <w:sz w:val="16"/>
                              <w:szCs w:val="16"/>
                              <w:rtl w:val="0"/>
                              <w:lang w:val="en-US"/>
                            </w:rPr>
                            <w:t>22</w:t>
                          </w:r>
                          <w:r>
                            <w:rPr>
                              <w:rFonts w:ascii="Palatino" w:hAnsi="Palatino"/>
                              <w:i w:val="1"/>
                              <w:iCs w:val="1"/>
                              <w:sz w:val="16"/>
                              <w:szCs w:val="16"/>
                              <w:rtl w:val="0"/>
                              <w:lang w:val="da-DK"/>
                            </w:rPr>
                            <w:t>. Photo: Tina Jensen Friis Auster.</w:t>
                          </w:r>
                        </w:p>
                      </w:txbxContent>
                    </v:textbox>
                  </v:shape>
                </v:group>
              </v:group>
            </w:pict>
          </mc:Fallback>
        </mc:AlternateContent>
      </w:r>
      <w:r>
        <w:rPr>
          <w:rFonts w:ascii="Palatino" w:hAnsi="Palatino"/>
          <w:sz w:val="22"/>
          <w:szCs w:val="22"/>
          <w:rtl w:val="0"/>
          <w:lang w:val="en-US"/>
        </w:rPr>
        <w:t xml:space="preserve"> discussed, though during the field work, it radiated a strong sense of power and magic, particular with the afternoon sun over it; and the quartz stone, if observed standing alone, signified a monument in its own right.  Furthermore, quartz was also recognised as a feminine stone </w:t>
      </w:r>
      <w:r>
        <w:rPr>
          <w:rFonts w:ascii="Palatino" w:cs="Palatino" w:hAnsi="Palatino" w:eastAsia="Palatino"/>
          <w:sz w:val="22"/>
          <w:szCs w:val="22"/>
          <w:vertAlign w:val="superscript"/>
        </w:rPr>
        <w:footnoteReference w:id="74"/>
      </w:r>
      <w:r>
        <w:rPr>
          <w:rFonts w:ascii="Palatino" w:hAnsi="Palatino"/>
          <w:sz w:val="22"/>
          <w:szCs w:val="22"/>
          <w:rtl w:val="0"/>
          <w:lang w:val="en-US"/>
        </w:rPr>
        <w:t>, which could indicate that the light reflected on the stone was a sign of fertility and life.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During the field study trips to Boscawen-un, sunlight and moonlight illuminated the stones in various places at various times, though as mentioned, some illuminations seemed more significant than others.  The field work located the artwork, which Kennett described would be illuminated at Summer solstice; </w:t>
      </w:r>
      <w:r>
        <w:rPr>
          <w:rFonts w:ascii="Palatino" w:cs="Palatino" w:hAnsi="Palatino" w:eastAsia="Palatino"/>
          <w:sz w:val="22"/>
          <w:szCs w:val="22"/>
          <w:vertAlign w:val="superscript"/>
        </w:rPr>
        <w:footnoteReference w:id="75"/>
      </w:r>
      <w:r>
        <w:rPr>
          <w:rFonts w:ascii="Palatino" w:hAnsi="Palatino"/>
          <w:sz w:val="22"/>
          <w:szCs w:val="22"/>
          <w:rtl w:val="0"/>
          <w:lang w:val="en-US"/>
        </w:rPr>
        <w:t xml:space="preserve"> however, as only part of the artwork will be illuminated, the significance of this illumination could be argued.  Several authors, however, mention the art work on the central stone as an interesting aspect of the stone and the Boscawen-un. </w:t>
      </w:r>
      <w:r>
        <w:rPr>
          <w:rFonts w:ascii="Palatino" w:cs="Palatino" w:hAnsi="Palatino" w:eastAsia="Palatino"/>
          <w:sz w:val="22"/>
          <w:szCs w:val="22"/>
          <w:vertAlign w:val="superscript"/>
        </w:rPr>
        <w:footnoteReference w:id="76"/>
      </w:r>
      <w:r>
        <w:rPr>
          <w:rFonts w:ascii="Palatino" w:hAnsi="Palatino"/>
          <w:sz w:val="22"/>
          <w:szCs w:val="22"/>
          <w:rtl w:val="0"/>
          <w:lang w:val="en-US"/>
        </w:rPr>
        <w:t xml:space="preserve">  Measurements from the field study indicated that the artwork, although very difficult to identify, could be said to face NE on the central stone at ground level.  This was supported by McNeil Cooke, describing the art first seen as shadows, then, when taking a closer look, as two long triangular axe heads. </w:t>
      </w:r>
      <w:r>
        <w:rPr>
          <w:rFonts w:ascii="Palatino" w:cs="Palatino" w:hAnsi="Palatino" w:eastAsia="Palatino"/>
          <w:sz w:val="22"/>
          <w:szCs w:val="22"/>
          <w:vertAlign w:val="superscript"/>
        </w:rPr>
        <w:footnoteReference w:id="77"/>
      </w:r>
      <w:r>
        <w:rPr>
          <w:rFonts w:ascii="Palatino" w:hAnsi="Palatino"/>
          <w:sz w:val="22"/>
          <w:szCs w:val="22"/>
          <w:rtl w:val="0"/>
          <w:lang w:val="en-US"/>
        </w:rPr>
        <w:t xml:space="preserve">  This was discussed by Kennett who argued the artwork to be that of two feet. </w:t>
      </w:r>
      <w:r>
        <w:rPr>
          <w:rFonts w:ascii="Palatino" w:cs="Palatino" w:hAnsi="Palatino" w:eastAsia="Palatino"/>
          <w:sz w:val="22"/>
          <w:szCs w:val="22"/>
          <w:vertAlign w:val="superscript"/>
        </w:rPr>
        <w:footnoteReference w:id="78"/>
      </w:r>
      <w:r>
        <w:rPr>
          <w:rFonts w:ascii="Palatino" w:hAnsi="Palatino"/>
          <w:sz w:val="22"/>
          <w:szCs w:val="22"/>
          <w:rtl w:val="0"/>
          <w:lang w:val="en-US"/>
        </w:rPr>
        <w:t xml:space="preserve">  Both authors were justifiable; however, as four stones in the circle were also the axe shaped, it could be argued that the axe theme could have been repeated as artwork on the central stones.  Furthermore, axes are mentioned as having a feminine traits as a symbol of the pubic triangle, indicating a fertility significance to the stone circle alignment. </w:t>
      </w:r>
      <w:r>
        <w:rPr>
          <w:rFonts w:ascii="Palatino" w:cs="Palatino" w:hAnsi="Palatino" w:eastAsia="Palatino"/>
          <w:sz w:val="22"/>
          <w:szCs w:val="22"/>
          <w:vertAlign w:val="superscript"/>
        </w:rPr>
        <w:footnoteReference w:id="79"/>
      </w:r>
      <w:r>
        <w:rPr>
          <w:rFonts w:ascii="Palatino" w:hAnsi="Palatino"/>
          <w:sz w:val="22"/>
          <w:szCs w:val="22"/>
          <w:rtl w:val="0"/>
          <w:lang w:val="en-US"/>
        </w:rPr>
        <w:t xml:space="preserve">  Similarly, the measured NE direction of the art work coincides with five NE patterns:  a) the NE sun path would cause an inner illumination of stones, b) a NE shadow casting from the central stone would occur as the sun travelled through the sky, c) a NE natural sun art work on the quartz stone, d) a crack depicting a triangle on the NE side of the east stone, and e) four recumbent stones on the NE side of the circle.  There were no NE naked-eye alignments to be seen when looking NE into the landscape from the stone circle, however several authors describe an alignment with another stone circle further away: Men-an-Tol, a shape of stone that could be signifying fertility. </w:t>
      </w:r>
      <w:r>
        <w:rPr>
          <w:rFonts w:ascii="Palatino" w:cs="Palatino" w:hAnsi="Palatino" w:eastAsia="Palatino"/>
          <w:sz w:val="22"/>
          <w:szCs w:val="22"/>
          <w:vertAlign w:val="superscript"/>
        </w:rPr>
        <w:footnoteReference w:id="80"/>
      </w:r>
      <w:r>
        <w:rPr>
          <w:rFonts w:ascii="Palatino" w:hAnsi="Palatino"/>
          <w:sz w:val="22"/>
          <w:szCs w:val="22"/>
          <w:rtl w:val="0"/>
          <w:lang w:val="en-US"/>
        </w:rPr>
        <w:t xml:space="preserve">  Adding to this, was the aspect of the measured alignment to equinox, and the observation of the four axe shaped stones in the circle (central, E, NE, quartz) placed into the ground in order to resemble human growth. </w:t>
      </w:r>
      <w:r>
        <w:rPr>
          <w:rFonts w:ascii="Palatino" w:cs="Palatino" w:hAnsi="Palatino" w:eastAsia="Palatino"/>
          <w:sz w:val="22"/>
          <w:szCs w:val="22"/>
          <w:vertAlign w:val="superscript"/>
        </w:rPr>
        <w:footnoteReference w:id="81"/>
      </w:r>
      <w:r>
        <w:rPr>
          <w:rFonts w:ascii="Palatino" w:hAnsi="Palatino"/>
          <w:sz w:val="22"/>
          <w:szCs w:val="22"/>
          <w:rtl w:val="0"/>
          <w:lang w:val="en-US"/>
        </w:rPr>
        <w:t xml:space="preserve">  Thus, the following nine observed features of the Boscawen-un stone circle could be interpreted as related to fertility, new life or rebirth:</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discovered NE direction aspects the stone circle and its alignment with Men-an-Tol,</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measured equinox alignment, along with sun illuminations and shadow castings,</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 xml:space="preserve">four, feminine and human growth, axe shaped stones in the ground </w:t>
      </w:r>
      <w:r>
        <w:rPr>
          <w:rFonts w:ascii="Palatino" w:cs="Palatino" w:hAnsi="Palatino" w:eastAsia="Palatino"/>
          <w:sz w:val="22"/>
          <w:szCs w:val="22"/>
          <w:vertAlign w:val="superscript"/>
        </w:rPr>
        <w:footnoteReference w:id="82"/>
      </w:r>
      <w:r>
        <w:rPr>
          <w:rFonts w:ascii="Palatino" w:hAnsi="Palatino"/>
          <w:sz w:val="22"/>
          <w:szCs w:val="22"/>
          <w:rtl w:val="0"/>
          <w:lang w:val="en-US"/>
        </w:rPr>
        <w:t>,</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masculine features of the central stone,</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 xml:space="preserve">feminine axe symbolism of the art on the central stone </w:t>
      </w:r>
      <w:r>
        <w:rPr>
          <w:rFonts w:ascii="Palatino" w:cs="Palatino" w:hAnsi="Palatino" w:eastAsia="Palatino"/>
          <w:sz w:val="22"/>
          <w:szCs w:val="22"/>
          <w:vertAlign w:val="superscript"/>
        </w:rPr>
        <w:footnoteReference w:id="83"/>
      </w:r>
      <w:r>
        <w:rPr>
          <w:rFonts w:ascii="Palatino" w:hAnsi="Palatino"/>
          <w:sz w:val="22"/>
          <w:szCs w:val="22"/>
          <w:rtl w:val="0"/>
          <w:lang w:val="en-US"/>
        </w:rPr>
        <w:t>,</w:t>
      </w:r>
    </w:p>
    <w:p>
      <w:pPr>
        <w:pStyle w:val="Body"/>
        <w:numPr>
          <w:ilvl w:val="0"/>
          <w:numId w:val="2"/>
        </w:numPr>
        <w:spacing w:before="0" w:line="264" w:lineRule="auto"/>
        <w:rPr>
          <w:rFonts w:ascii="Palatino" w:hAnsi="Palatino"/>
          <w:sz w:val="22"/>
          <w:szCs w:val="22"/>
        </w:rPr>
      </w:pPr>
      <w:r>
        <w:rPr>
          <w:rFonts w:ascii="Palatino" w:hAnsi="Palatino"/>
          <w:sz w:val="22"/>
          <w:szCs w:val="22"/>
          <w:rtl w:val="0"/>
        </w:rPr>
        <w:t>feminine</w:t>
      </w:r>
      <w:r>
        <w:rPr>
          <w:rFonts w:ascii="Palatino" w:hAnsi="Palatino"/>
          <w:sz w:val="22"/>
          <w:szCs w:val="22"/>
          <w:rtl w:val="0"/>
          <w:lang w:val="en-US"/>
        </w:rPr>
        <w:t xml:space="preserve"> properties of quartz </w:t>
      </w:r>
      <w:r>
        <w:rPr>
          <w:rFonts w:ascii="Palatino" w:cs="Palatino" w:hAnsi="Palatino" w:eastAsia="Palatino"/>
          <w:sz w:val="22"/>
          <w:szCs w:val="22"/>
          <w:vertAlign w:val="superscript"/>
        </w:rPr>
        <w:footnoteReference w:id="84"/>
      </w:r>
      <w:r>
        <w:rPr>
          <w:rFonts w:ascii="Palatino" w:hAnsi="Palatino"/>
          <w:sz w:val="22"/>
          <w:szCs w:val="22"/>
          <w:rtl w:val="0"/>
          <w:lang w:val="en-US"/>
        </w:rPr>
        <w:t>, along with the sun art on the quartz,</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 xml:space="preserve">feminine aspect of stone circle resembling human female anatomy and its naked eye view to the Merry Maidens stone circle, resembling birth </w:t>
      </w:r>
      <w:r>
        <w:rPr>
          <w:rFonts w:ascii="Palatino" w:cs="Palatino" w:hAnsi="Palatino" w:eastAsia="Palatino"/>
          <w:sz w:val="22"/>
          <w:szCs w:val="22"/>
          <w:vertAlign w:val="superscript"/>
        </w:rPr>
        <w:footnoteReference w:id="85"/>
      </w:r>
      <w:r>
        <w:rPr>
          <w:rFonts w:ascii="Palatino" w:hAnsi="Palatino"/>
          <w:sz w:val="22"/>
          <w:szCs w:val="22"/>
          <w:rtl w:val="0"/>
          <w:lang w:val="en-US"/>
        </w:rPr>
        <w:t>.</w:t>
      </w:r>
    </w:p>
    <w:p>
      <w:pPr>
        <w:pStyle w:val="Body"/>
        <w:numPr>
          <w:ilvl w:val="0"/>
          <w:numId w:val="2"/>
        </w:numPr>
        <w:spacing w:before="0" w:line="264" w:lineRule="auto"/>
        <w:rPr>
          <w:rFonts w:ascii="Palatino" w:hAnsi="Palatino"/>
          <w:sz w:val="22"/>
          <w:szCs w:val="22"/>
          <w:lang w:val="en-US"/>
        </w:rPr>
      </w:pPr>
      <w:r>
        <w:rPr>
          <w:rFonts w:ascii="Palatino" w:hAnsi="Palatino"/>
          <w:sz w:val="22"/>
          <w:szCs w:val="22"/>
          <w:rtl w:val="0"/>
          <w:lang w:val="en-US"/>
        </w:rPr>
        <w:t xml:space="preserve">triangular landscape feature </w:t>
      </w:r>
      <w:r>
        <w:rPr>
          <w:rFonts w:ascii="Palatino" w:cs="Palatino" w:hAnsi="Palatino" w:eastAsia="Palatino"/>
          <w:sz w:val="22"/>
          <w:szCs w:val="22"/>
          <w:vertAlign w:val="superscript"/>
        </w:rPr>
        <w:footnoteReference w:id="86"/>
      </w:r>
      <w:r>
        <w:rPr>
          <w:rFonts w:ascii="Palatino" w:hAnsi="Palatino"/>
          <w:sz w:val="22"/>
          <w:szCs w:val="22"/>
          <w:rtl w:val="0"/>
          <w:lang w:val="en-US"/>
        </w:rPr>
        <w:t>, along with the triangular crack on the E stone, and further along with the flatness of the Boscawen-un/roundness of the Merry Maidens, and</w:t>
      </w:r>
    </w:p>
    <w:p>
      <w:pPr>
        <w:pStyle w:val="Body"/>
        <w:numPr>
          <w:ilvl w:val="0"/>
          <w:numId w:val="2"/>
        </w:numPr>
        <w:spacing w:before="0" w:line="264" w:lineRule="auto"/>
        <w:rPr>
          <w:rFonts w:ascii="Palatino" w:hAnsi="Palatino"/>
          <w:sz w:val="22"/>
          <w:szCs w:val="22"/>
          <w:lang w:val="en-US"/>
        </w:rPr>
        <w:sectPr>
          <w:headerReference w:type="default" r:id="rId45"/>
          <w:footerReference w:type="default" r:id="rId46"/>
          <w:pgSz w:w="12240" w:h="15840" w:orient="portrait"/>
          <w:pgMar w:top="1134" w:right="1134" w:bottom="720" w:left="1134" w:header="567" w:footer="720"/>
          <w:bidi w:val="0"/>
        </w:sectPr>
      </w:pPr>
      <w:r>
        <w:rPr>
          <w:rFonts w:ascii="Palatino" w:hAnsi="Palatino"/>
          <w:sz w:val="22"/>
          <w:szCs w:val="22"/>
          <w:rtl w:val="0"/>
          <w:lang w:val="en-US"/>
        </w:rPr>
        <w:t xml:space="preserve">Creeg-an-Tol nearby holding sacred, feminine water. </w:t>
      </w:r>
      <w:r>
        <w:rPr>
          <w:rFonts w:ascii="Palatino" w:cs="Palatino" w:hAnsi="Palatino" w:eastAsia="Palatino"/>
          <w:sz w:val="22"/>
          <w:szCs w:val="22"/>
          <w:vertAlign w:val="superscript"/>
        </w:rPr>
        <w:footnoteReference w:id="87"/>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As described by McNeil Cooke, s</w:t>
      </w:r>
      <w:r>
        <w:rPr>
          <w:rFonts w:ascii="Palatino" w:hAnsi="Palatino"/>
          <w:sz w:val="22"/>
          <w:szCs w:val="22"/>
          <w:rtl w:val="0"/>
          <w:lang w:val="en-US"/>
        </w:rPr>
        <w:t>urvival was of primary concern to prehistoric human</w:t>
      </w:r>
      <w:r>
        <w:rPr>
          <w:rFonts w:ascii="Palatino" w:hAnsi="Palatino"/>
          <w:sz w:val="22"/>
          <w:szCs w:val="22"/>
          <w:rtl w:val="0"/>
          <w:lang w:val="en-US"/>
        </w:rPr>
        <w:t xml:space="preserve">, thus fertility of the human, the land, the animals and the sea was essential. </w:t>
      </w:r>
      <w:r>
        <w:rPr>
          <w:rFonts w:ascii="Palatino" w:cs="Palatino" w:hAnsi="Palatino" w:eastAsia="Palatino"/>
          <w:sz w:val="22"/>
          <w:szCs w:val="22"/>
          <w:vertAlign w:val="superscript"/>
        </w:rPr>
        <w:footnoteReference w:id="8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discovered alignment with the equinox sunset and sunrise and </w:t>
      </w:r>
      <w:r>
        <w:rPr>
          <w:rFonts w:ascii="Palatino" w:hAnsi="Palatino"/>
          <w:sz w:val="22"/>
          <w:szCs w:val="22"/>
          <w:rtl w:val="0"/>
          <w:lang w:val="en-US"/>
        </w:rPr>
        <w:t>casting of shadows</w:t>
      </w:r>
      <w:r>
        <w:rPr>
          <w:rFonts w:ascii="Palatino" w:hAnsi="Palatino"/>
          <w:sz w:val="22"/>
          <w:szCs w:val="22"/>
          <w:rtl w:val="0"/>
          <w:lang w:val="en-US"/>
        </w:rPr>
        <w:t xml:space="preserve">, the light, both sunlight, moonlight and the shine and the sparkle on stones </w:t>
      </w:r>
      <w:r>
        <w:rPr>
          <w:rFonts w:ascii="Palatino" w:hAnsi="Palatino"/>
          <w:sz w:val="22"/>
          <w:szCs w:val="22"/>
          <w:rtl w:val="0"/>
          <w:lang w:val="en-US"/>
        </w:rPr>
        <w:t>that light create</w:t>
      </w:r>
      <w:r>
        <w:rPr>
          <w:rFonts w:ascii="Palatino" w:hAnsi="Palatino"/>
          <w:sz w:val="22"/>
          <w:szCs w:val="22"/>
          <w:rtl w:val="0"/>
          <w:lang w:val="en-US"/>
        </w:rPr>
        <w:t xml:space="preserve">d, in particular on the quartz, could signify an alignment which has a significance to light.  With light comes life.  The discovered fertility aspect could indicate a significance to new life or rebirth.  Both Lewis-Williams &amp; Pearce and Tilley &amp; Bennett described how neolithic man would mimic what they experience in their world in the builds. </w:t>
      </w:r>
      <w:r>
        <w:rPr>
          <w:rFonts w:ascii="Palatino" w:cs="Palatino" w:hAnsi="Palatino" w:eastAsia="Palatino"/>
          <w:sz w:val="22"/>
          <w:szCs w:val="22"/>
          <w:vertAlign w:val="superscript"/>
        </w:rPr>
        <w:footnoteReference w:id="89"/>
      </w:r>
      <w:r>
        <w:rPr>
          <w:rFonts w:ascii="Palatino" w:hAnsi="Palatino"/>
          <w:sz w:val="22"/>
          <w:szCs w:val="22"/>
          <w:rtl w:val="0"/>
          <w:lang w:val="en-US"/>
        </w:rPr>
        <w:t xml:space="preserve">  Perhaps the stone circle was a picture of the awe and wonder of the cosmos, of fertility and life in nature, of death, light and rebirth.  The stone circle could have been experienced and seen as a powerful place to be human.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Magic in the landscape: Genius Loci</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right="283"/>
        <w:rPr>
          <w:rFonts w:ascii="Palatino" w:cs="Palatino" w:hAnsi="Palatino" w:eastAsia="Palatino"/>
          <w:sz w:val="22"/>
          <w:szCs w:val="22"/>
        </w:rPr>
      </w:pPr>
      <w:r>
        <w:rPr>
          <w:rFonts w:ascii="Palatino" w:hAnsi="Palatino"/>
          <w:sz w:val="22"/>
          <w:szCs w:val="22"/>
          <w:rtl w:val="0"/>
          <w:lang w:val="en-US"/>
        </w:rPr>
        <w:t xml:space="preserve">We visited the Boscawen-un stone circle on the evening of the full moon, Monday the 26th April 2021, from 19.50h to 22.00h, and I recorded the following in my reflective journal.  As mentioned in the methodology, I was accompanied by my husband, hence the use of </w:t>
      </w:r>
      <w:r>
        <w:rPr>
          <w:rFonts w:ascii="Palatino" w:hAnsi="Palatino" w:hint="default"/>
          <w:sz w:val="22"/>
          <w:szCs w:val="22"/>
          <w:rtl w:val="0"/>
          <w:lang w:val="en-US"/>
        </w:rPr>
        <w:t>‘</w:t>
      </w:r>
      <w:r>
        <w:rPr>
          <w:rFonts w:ascii="Palatino" w:hAnsi="Palatino"/>
          <w:sz w:val="22"/>
          <w:szCs w:val="22"/>
          <w:rtl w:val="0"/>
          <w:lang w:val="en-US"/>
        </w:rPr>
        <w:t>we</w:t>
      </w:r>
      <w:r>
        <w:rPr>
          <w:rFonts w:ascii="Palatino" w:hAnsi="Palatino" w:hint="default"/>
          <w:sz w:val="22"/>
          <w:szCs w:val="22"/>
          <w:rtl w:val="0"/>
          <w:lang w:val="en-US"/>
        </w:rPr>
        <w:t xml:space="preserve">’ </w:t>
      </w:r>
      <w:r>
        <w:rPr>
          <w:rFonts w:ascii="Palatino" w:hAnsi="Palatino"/>
          <w:sz w:val="22"/>
          <w:szCs w:val="22"/>
          <w:rtl w:val="0"/>
          <w:lang w:val="en-US"/>
        </w:rPr>
        <w:t>in the following: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sz w:val="22"/>
          <w:szCs w:val="22"/>
        </w:rPr>
      </w:pPr>
      <w:r>
        <w:rPr>
          <w:rFonts w:ascii="Palatino" w:hAnsi="Palatino"/>
          <w:sz w:val="22"/>
          <w:szCs w:val="22"/>
          <w:rtl w:val="0"/>
          <w:lang w:val="en-US"/>
        </w:rPr>
        <w:t>The beautiful, large, spring full moon rise over the stone circle with such magnitude and sense of awe, accompanied by drum sounds from visiting pagans, that it makes me wonder if this was indeed a place of meeting or celebration in prehistoric times.  We are sat leaning up against our individual stones in the moonlit landscape, and it can easily be imagined that such moon events would have taken place at stone circles (Fig. 18).</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2336" behindDoc="0" locked="0" layoutInCell="1" allowOverlap="1">
                <wp:simplePos x="0" y="0"/>
                <wp:positionH relativeFrom="margin">
                  <wp:posOffset>0</wp:posOffset>
                </wp:positionH>
                <wp:positionV relativeFrom="line">
                  <wp:posOffset>187641</wp:posOffset>
                </wp:positionV>
                <wp:extent cx="6332400" cy="2573857"/>
                <wp:effectExtent l="0" t="0" r="0" b="0"/>
                <wp:wrapTopAndBottom distT="152400" distB="152400"/>
                <wp:docPr id="1073741896" name="officeArt object"/>
                <wp:cNvGraphicFramePr/>
                <a:graphic xmlns:a="http://schemas.openxmlformats.org/drawingml/2006/main">
                  <a:graphicData uri="http://schemas.microsoft.com/office/word/2010/wordprocessingGroup">
                    <wpg:wgp>
                      <wpg:cNvGrpSpPr/>
                      <wpg:grpSpPr>
                        <a:xfrm>
                          <a:off x="0" y="0"/>
                          <a:ext cx="6332400" cy="2573857"/>
                          <a:chOff x="0" y="0"/>
                          <a:chExt cx="6332399" cy="2573856"/>
                        </a:xfrm>
                      </wpg:grpSpPr>
                      <pic:pic xmlns:pic="http://schemas.openxmlformats.org/drawingml/2006/picture">
                        <pic:nvPicPr>
                          <pic:cNvPr id="1073741894" name="IMG_4943.jpeg"/>
                          <pic:cNvPicPr>
                            <a:picLocks noChangeAspect="1"/>
                          </pic:cNvPicPr>
                        </pic:nvPicPr>
                        <pic:blipFill>
                          <a:blip r:embed="rId47">
                            <a:extLst/>
                          </a:blip>
                          <a:stretch>
                            <a:fillRect/>
                          </a:stretch>
                        </pic:blipFill>
                        <pic:spPr>
                          <a:xfrm>
                            <a:off x="0" y="0"/>
                            <a:ext cx="6332400" cy="2304365"/>
                          </a:xfrm>
                          <a:prstGeom prst="rect">
                            <a:avLst/>
                          </a:prstGeom>
                          <a:ln w="12700" cap="flat">
                            <a:noFill/>
                            <a:miter lim="400000"/>
                          </a:ln>
                          <a:effectLst/>
                        </pic:spPr>
                      </pic:pic>
                      <wps:wsp>
                        <wps:cNvPr id="1073741895" name="Shape 1073741895"/>
                        <wps:cNvSpPr txBox="1"/>
                        <wps:spPr>
                          <a:xfrm>
                            <a:off x="0" y="2299032"/>
                            <a:ext cx="6332400" cy="274825"/>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18</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Boscawen-un with the Supermoon, </w:t>
                              </w:r>
                              <w:r>
                                <w:rPr>
                                  <w:rFonts w:ascii="Palatino" w:hAnsi="Palatino" w:hint="default"/>
                                  <w:i w:val="1"/>
                                  <w:iCs w:val="1"/>
                                  <w:sz w:val="16"/>
                                  <w:szCs w:val="16"/>
                                  <w:rtl w:val="0"/>
                                  <w:lang w:val="en-US"/>
                                </w:rPr>
                                <w:t>‘</w:t>
                              </w:r>
                              <w:r>
                                <w:rPr>
                                  <w:rFonts w:ascii="Palatino" w:hAnsi="Palatino"/>
                                  <w:i w:val="1"/>
                                  <w:iCs w:val="1"/>
                                  <w:sz w:val="16"/>
                                  <w:szCs w:val="16"/>
                                  <w:rtl w:val="0"/>
                                  <w:lang w:val="en-US"/>
                                </w:rPr>
                                <w:t>Pink Moon</w:t>
                              </w:r>
                              <w:r>
                                <w:rPr>
                                  <w:rFonts w:ascii="Palatino" w:hAnsi="Palatino" w:hint="default"/>
                                  <w:i w:val="1"/>
                                  <w:iCs w:val="1"/>
                                  <w:sz w:val="16"/>
                                  <w:szCs w:val="16"/>
                                  <w:rtl w:val="0"/>
                                  <w:lang w:val="en-US"/>
                                </w:rPr>
                                <w:t>’</w:t>
                              </w:r>
                              <w:r>
                                <w:rPr>
                                  <w:rFonts w:ascii="Palatino" w:hAnsi="Palatino"/>
                                  <w:i w:val="1"/>
                                  <w:iCs w:val="1"/>
                                  <w:sz w:val="16"/>
                                  <w:szCs w:val="16"/>
                                  <w:rtl w:val="0"/>
                                  <w:lang w:val="en-US"/>
                                </w:rPr>
                                <w:t>, the April Full Moon rising and the lights of the Sunset, as seen sat leaning up against the North Stone</w:t>
                              </w:r>
                              <w:r>
                                <w:rPr>
                                  <w:rFonts w:ascii="Palatino" w:hAnsi="Palatino"/>
                                  <w:i w:val="1"/>
                                  <w:iCs w:val="1"/>
                                  <w:sz w:val="16"/>
                                  <w:szCs w:val="16"/>
                                  <w:rtl w:val="0"/>
                                </w:rPr>
                                <w:t xml:space="preserve">.  </w:t>
                              </w:r>
                              <w:r>
                                <w:rPr>
                                  <w:rFonts w:ascii="Palatino" w:hAnsi="Palatino"/>
                                  <w:i w:val="1"/>
                                  <w:iCs w:val="1"/>
                                  <w:sz w:val="16"/>
                                  <w:szCs w:val="16"/>
                                  <w:rtl w:val="0"/>
                                  <w:lang w:val="en-US"/>
                                </w:rPr>
                                <w:t>Monday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57</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94" style="visibility:visible;position:absolute;margin-left:0.0pt;margin-top:14.8pt;width:498.6pt;height:202.7pt;z-index:251662336;mso-position-horizontal:absolute;mso-position-horizontal-relative:margin;mso-position-vertical:absolute;mso-position-vertical-relative:line;mso-wrap-distance-left:12.0pt;mso-wrap-distance-top:12.0pt;mso-wrap-distance-right:12.0pt;mso-wrap-distance-bottom:12.0pt;" coordorigin="0,0" coordsize="6332400,2573856">
                <w10:wrap type="topAndBottom" side="bothSides" anchorx="margin"/>
                <v:shape id="_x0000_s1095" type="#_x0000_t75" style="position:absolute;left:0;top:0;width:6332400;height:2304365;">
                  <v:imagedata r:id="rId47" o:title="IMG_4943.jpeg"/>
                </v:shape>
                <v:shape id="_x0000_s1096" type="#_x0000_t202" style="position:absolute;left:0;top:2299033;width:6332400;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18</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Boscawen-un with the Supermoon, </w:t>
                        </w:r>
                        <w:r>
                          <w:rPr>
                            <w:rFonts w:ascii="Palatino" w:hAnsi="Palatino" w:hint="default"/>
                            <w:i w:val="1"/>
                            <w:iCs w:val="1"/>
                            <w:sz w:val="16"/>
                            <w:szCs w:val="16"/>
                            <w:rtl w:val="0"/>
                            <w:lang w:val="en-US"/>
                          </w:rPr>
                          <w:t>‘</w:t>
                        </w:r>
                        <w:r>
                          <w:rPr>
                            <w:rFonts w:ascii="Palatino" w:hAnsi="Palatino"/>
                            <w:i w:val="1"/>
                            <w:iCs w:val="1"/>
                            <w:sz w:val="16"/>
                            <w:szCs w:val="16"/>
                            <w:rtl w:val="0"/>
                            <w:lang w:val="en-US"/>
                          </w:rPr>
                          <w:t>Pink Moon</w:t>
                        </w:r>
                        <w:r>
                          <w:rPr>
                            <w:rFonts w:ascii="Palatino" w:hAnsi="Palatino" w:hint="default"/>
                            <w:i w:val="1"/>
                            <w:iCs w:val="1"/>
                            <w:sz w:val="16"/>
                            <w:szCs w:val="16"/>
                            <w:rtl w:val="0"/>
                            <w:lang w:val="en-US"/>
                          </w:rPr>
                          <w:t>’</w:t>
                        </w:r>
                        <w:r>
                          <w:rPr>
                            <w:rFonts w:ascii="Palatino" w:hAnsi="Palatino"/>
                            <w:i w:val="1"/>
                            <w:iCs w:val="1"/>
                            <w:sz w:val="16"/>
                            <w:szCs w:val="16"/>
                            <w:rtl w:val="0"/>
                            <w:lang w:val="en-US"/>
                          </w:rPr>
                          <w:t>, the April Full Moon rising and the lights of the Sunset, as seen sat leaning up against the North Stone</w:t>
                        </w:r>
                        <w:r>
                          <w:rPr>
                            <w:rFonts w:ascii="Palatino" w:hAnsi="Palatino"/>
                            <w:i w:val="1"/>
                            <w:iCs w:val="1"/>
                            <w:sz w:val="16"/>
                            <w:szCs w:val="16"/>
                            <w:rtl w:val="0"/>
                          </w:rPr>
                          <w:t xml:space="preserve">.  </w:t>
                        </w:r>
                        <w:r>
                          <w:rPr>
                            <w:rFonts w:ascii="Palatino" w:hAnsi="Palatino"/>
                            <w:i w:val="1"/>
                            <w:iCs w:val="1"/>
                            <w:sz w:val="16"/>
                            <w:szCs w:val="16"/>
                            <w:rtl w:val="0"/>
                            <w:lang w:val="en-US"/>
                          </w:rPr>
                          <w:t>Monday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20</w:t>
                        </w:r>
                        <w:r>
                          <w:rPr>
                            <w:rFonts w:ascii="Palatino" w:hAnsi="Palatino"/>
                            <w:i w:val="1"/>
                            <w:iCs w:val="1"/>
                            <w:sz w:val="16"/>
                            <w:szCs w:val="16"/>
                            <w:rtl w:val="0"/>
                          </w:rPr>
                          <w:t>.</w:t>
                        </w:r>
                        <w:r>
                          <w:rPr>
                            <w:rFonts w:ascii="Palatino" w:hAnsi="Palatino"/>
                            <w:i w:val="1"/>
                            <w:iCs w:val="1"/>
                            <w:sz w:val="16"/>
                            <w:szCs w:val="16"/>
                            <w:rtl w:val="0"/>
                            <w:lang w:val="en-US"/>
                          </w:rPr>
                          <w:t>57</w:t>
                        </w:r>
                        <w:r>
                          <w:rPr>
                            <w:rFonts w:ascii="Palatino" w:hAnsi="Palatino"/>
                            <w:i w:val="1"/>
                            <w:iCs w:val="1"/>
                            <w:sz w:val="16"/>
                            <w:szCs w:val="16"/>
                            <w:rtl w:val="0"/>
                            <w:lang w:val="da-DK"/>
                          </w:rPr>
                          <w:t>. Photo: Tina Jensen Friis Auster.</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right="283"/>
        <w:rPr>
          <w:rFonts w:ascii="Palatino" w:cs="Palatino" w:hAnsi="Palatino" w:eastAsia="Palatino"/>
          <w:sz w:val="22"/>
          <w:szCs w:val="22"/>
        </w:rPr>
      </w:pPr>
      <w:r>
        <w:rPr>
          <w:rFonts w:ascii="Palatino" w:hAnsi="Palatino"/>
          <w:sz w:val="22"/>
          <w:szCs w:val="22"/>
          <w:rtl w:val="0"/>
          <w:lang w:val="en-US"/>
        </w:rPr>
        <w:t xml:space="preserve">Herring similarly suggested the site as a ceremonial place in his assessment description of the Boscawen-un. </w:t>
      </w:r>
      <w:r>
        <w:rPr>
          <w:rFonts w:ascii="Palatino" w:cs="Palatino" w:hAnsi="Palatino" w:eastAsia="Palatino"/>
          <w:sz w:val="22"/>
          <w:szCs w:val="22"/>
          <w:vertAlign w:val="superscript"/>
        </w:rPr>
        <w:footnoteReference w:id="90"/>
      </w:r>
      <w:r>
        <w:rPr>
          <w:rFonts w:ascii="Palatino" w:hAnsi="Palatino"/>
          <w:sz w:val="22"/>
          <w:szCs w:val="22"/>
          <w:rtl w:val="0"/>
          <w:lang w:val="en-US"/>
        </w:rPr>
        <w:t xml:space="preserve">  It was astonishing to experience that a structure built 4000-7000 years ago had the preserved ability to impress and attract contemporary humans.  My journal continues: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sectPr>
          <w:headerReference w:type="default" r:id="rId48"/>
          <w:footerReference w:type="default" r:id="rId49"/>
          <w:pgSz w:w="12240" w:h="15840" w:orient="portrait"/>
          <w:pgMar w:top="1134" w:right="1134" w:bottom="720" w:left="1134" w:header="567" w:footer="720"/>
          <w:bidi w:val="0"/>
        </w:sectPr>
      </w:pPr>
      <w:r>
        <w:rPr>
          <w:rFonts w:ascii="Palatino" w:hAnsi="Palatino"/>
          <w:sz w:val="22"/>
          <w:szCs w:val="22"/>
          <w:rtl w:val="0"/>
          <w:lang w:val="en-US"/>
        </w:rPr>
        <w:t>Visitors to the stone circle this evening are slowly becoming too cold and leave for warm cars and homes, and we are now alone with the stone circle and the moon.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sz w:val="22"/>
          <w:szCs w:val="22"/>
        </w:rPr>
      </w:pPr>
      <w:r>
        <w:rPr>
          <w:rFonts w:ascii="Palatino" w:hAnsi="Palatino"/>
          <w:sz w:val="22"/>
          <w:szCs w:val="22"/>
          <w:rtl w:val="0"/>
          <w:lang w:val="en-US"/>
        </w:rPr>
        <w:t>Beautiful shadows are cast by the moon</w:t>
      </w:r>
      <w:r>
        <w:rPr>
          <w:rFonts w:ascii="Palatino" w:hAnsi="Palatino" w:hint="default"/>
          <w:sz w:val="22"/>
          <w:szCs w:val="22"/>
          <w:rtl w:val="0"/>
          <w:lang w:val="en-US"/>
        </w:rPr>
        <w:t>’</w:t>
      </w:r>
      <w:r>
        <w:rPr>
          <w:rFonts w:ascii="Palatino" w:hAnsi="Palatino"/>
          <w:sz w:val="22"/>
          <w:szCs w:val="22"/>
          <w:rtl w:val="0"/>
          <w:lang w:val="en-US"/>
        </w:rPr>
        <w:t xml:space="preserve">s light, and it is powerful to watch how the moon casts its light, first on the inside of the north western stones and outside of the south eastern stones.  An illumination of stones which slowly change as the moon travel through the sky.  As we, ourselves, become too cold, we unwillingly leave this beautiful sight.  We walk past Creeg-an-Tol on the way to the main road, and turn for a moment to look back at the stone circle.  The large April full moon and a beautiful moonlit sea in the horizon over the stone circle (Fig. 19) makes us both go </w:t>
      </w:r>
      <w:r>
        <w:rPr>
          <w:rFonts w:ascii="Palatino" w:hAnsi="Palatino" w:hint="default"/>
          <w:sz w:val="22"/>
          <w:szCs w:val="22"/>
          <w:rtl w:val="0"/>
          <w:lang w:val="en-US"/>
        </w:rPr>
        <w:t>‘</w:t>
      </w:r>
      <w:r>
        <w:rPr>
          <w:rFonts w:ascii="Palatino" w:hAnsi="Palatino"/>
          <w:sz w:val="22"/>
          <w:szCs w:val="22"/>
          <w:rtl w:val="0"/>
          <w:lang w:val="en-US"/>
        </w:rPr>
        <w:t>wow</w:t>
      </w:r>
      <w:r>
        <w:rPr>
          <w:rFonts w:ascii="Palatino" w:hAnsi="Palatino" w:hint="default"/>
          <w:sz w:val="22"/>
          <w:szCs w:val="22"/>
          <w:rtl w:val="0"/>
          <w:lang w:val="en-US"/>
        </w:rPr>
        <w:t>’</w:t>
      </w:r>
      <w:r>
        <w:rPr>
          <w:rFonts w:ascii="Palatino" w:hAnsi="Palatino"/>
          <w:sz w:val="22"/>
          <w:szCs w:val="22"/>
          <w:rtl w:val="0"/>
          <w:lang w:val="en-US"/>
        </w:rPr>
        <w:t>.  Once again we are embraced by awe of the art of nature.</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63360" behindDoc="0" locked="0" layoutInCell="1" allowOverlap="1">
                <wp:simplePos x="0" y="0"/>
                <wp:positionH relativeFrom="margin">
                  <wp:posOffset>1638956</wp:posOffset>
                </wp:positionH>
                <wp:positionV relativeFrom="line">
                  <wp:posOffset>181727</wp:posOffset>
                </wp:positionV>
                <wp:extent cx="3054487" cy="4347473"/>
                <wp:effectExtent l="0" t="0" r="0" b="0"/>
                <wp:wrapTopAndBottom distT="152400" distB="152400"/>
                <wp:docPr id="1073741899" name="officeArt object"/>
                <wp:cNvGraphicFramePr/>
                <a:graphic xmlns:a="http://schemas.openxmlformats.org/drawingml/2006/main">
                  <a:graphicData uri="http://schemas.microsoft.com/office/word/2010/wordprocessingGroup">
                    <wpg:wgp>
                      <wpg:cNvGrpSpPr/>
                      <wpg:grpSpPr>
                        <a:xfrm>
                          <a:off x="0" y="0"/>
                          <a:ext cx="3054487" cy="4347473"/>
                          <a:chOff x="0" y="0"/>
                          <a:chExt cx="3054486" cy="4347472"/>
                        </a:xfrm>
                      </wpg:grpSpPr>
                      <pic:pic xmlns:pic="http://schemas.openxmlformats.org/drawingml/2006/picture">
                        <pic:nvPicPr>
                          <pic:cNvPr id="1073741897" name="IMG_0616.jpeg"/>
                          <pic:cNvPicPr>
                            <a:picLocks noChangeAspect="1"/>
                          </pic:cNvPicPr>
                        </pic:nvPicPr>
                        <pic:blipFill>
                          <a:blip r:embed="rId50">
                            <a:extLst/>
                          </a:blip>
                          <a:stretch>
                            <a:fillRect/>
                          </a:stretch>
                        </pic:blipFill>
                        <pic:spPr>
                          <a:xfrm>
                            <a:off x="0" y="0"/>
                            <a:ext cx="3054487" cy="4072650"/>
                          </a:xfrm>
                          <a:prstGeom prst="rect">
                            <a:avLst/>
                          </a:prstGeom>
                          <a:ln w="12700" cap="flat">
                            <a:noFill/>
                            <a:miter lim="400000"/>
                          </a:ln>
                          <a:effectLst/>
                        </pic:spPr>
                      </pic:pic>
                      <wps:wsp>
                        <wps:cNvPr id="1073741898" name="Shape 1073741898"/>
                        <wps:cNvSpPr txBox="1"/>
                        <wps:spPr>
                          <a:xfrm>
                            <a:off x="0" y="4072649"/>
                            <a:ext cx="3054487" cy="274824"/>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19</w:t>
                              </w:r>
                              <w:r>
                                <w:rPr>
                                  <w:rFonts w:ascii="Palatino" w:hAnsi="Palatino"/>
                                  <w:i w:val="1"/>
                                  <w:iCs w:val="1"/>
                                  <w:sz w:val="16"/>
                                  <w:szCs w:val="16"/>
                                  <w:rtl w:val="0"/>
                                </w:rPr>
                                <w:t xml:space="preserve">.  </w:t>
                              </w:r>
                              <w:r>
                                <w:rPr>
                                  <w:rFonts w:ascii="Palatino" w:hAnsi="Palatino"/>
                                  <w:i w:val="1"/>
                                  <w:iCs w:val="1"/>
                                  <w:sz w:val="16"/>
                                  <w:szCs w:val="16"/>
                                  <w:rtl w:val="0"/>
                                  <w:lang w:val="en-US"/>
                                </w:rPr>
                                <w:t>The shine of the full moon into the sea</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22</w:t>
                              </w:r>
                              <w:r>
                                <w:rPr>
                                  <w:rFonts w:ascii="Palatino" w:hAnsi="Palatino"/>
                                  <w:i w:val="1"/>
                                  <w:iCs w:val="1"/>
                                  <w:sz w:val="16"/>
                                  <w:szCs w:val="16"/>
                                  <w:rtl w:val="0"/>
                                </w:rPr>
                                <w:t>.</w:t>
                              </w:r>
                              <w:r>
                                <w:rPr>
                                  <w:rFonts w:ascii="Palatino" w:hAnsi="Palatino"/>
                                  <w:i w:val="1"/>
                                  <w:iCs w:val="1"/>
                                  <w:sz w:val="16"/>
                                  <w:szCs w:val="16"/>
                                  <w:rtl w:val="0"/>
                                  <w:lang w:val="en-US"/>
                                </w:rPr>
                                <w:t>00</w:t>
                              </w:r>
                              <w:r>
                                <w:rPr>
                                  <w:rFonts w:ascii="Palatino" w:hAnsi="Palatino"/>
                                  <w:i w:val="1"/>
                                  <w:iCs w:val="1"/>
                                  <w:sz w:val="16"/>
                                  <w:szCs w:val="16"/>
                                  <w:rtl w:val="0"/>
                                  <w:lang w:val="da-DK"/>
                                </w:rPr>
                                <w:t>. Photo: Tina Jensen Friis Auster.</w:t>
                              </w:r>
                            </w:p>
                          </w:txbxContent>
                        </wps:txbx>
                        <wps:bodyPr wrap="square" lIns="0" tIns="0" rIns="0" bIns="0" numCol="1" anchor="t">
                          <a:noAutofit/>
                        </wps:bodyPr>
                      </wps:wsp>
                    </wpg:wgp>
                  </a:graphicData>
                </a:graphic>
              </wp:anchor>
            </w:drawing>
          </mc:Choice>
          <mc:Fallback>
            <w:pict>
              <v:group id="_x0000_s1097" style="visibility:visible;position:absolute;margin-left:129.1pt;margin-top:14.3pt;width:240.5pt;height:342.3pt;z-index:251663360;mso-position-horizontal:absolute;mso-position-horizontal-relative:margin;mso-position-vertical:absolute;mso-position-vertical-relative:line;mso-wrap-distance-left:12.0pt;mso-wrap-distance-top:12.0pt;mso-wrap-distance-right:12.0pt;mso-wrap-distance-bottom:12.0pt;" coordorigin="0,0" coordsize="3054487,4347473">
                <w10:wrap type="topAndBottom" side="bothSides" anchorx="margin"/>
                <v:shape id="_x0000_s1098" type="#_x0000_t75" style="position:absolute;left:0;top:0;width:3054487;height:4072649;">
                  <v:imagedata r:id="rId50" o:title="IMG_0616.jpeg"/>
                </v:shape>
                <v:shape id="_x0000_s1099" type="#_x0000_t202" style="position:absolute;left:0;top:4072649;width:3054487;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19</w:t>
                        </w:r>
                        <w:r>
                          <w:rPr>
                            <w:rFonts w:ascii="Palatino" w:hAnsi="Palatino"/>
                            <w:i w:val="1"/>
                            <w:iCs w:val="1"/>
                            <w:sz w:val="16"/>
                            <w:szCs w:val="16"/>
                            <w:rtl w:val="0"/>
                          </w:rPr>
                          <w:t xml:space="preserve">.  </w:t>
                        </w:r>
                        <w:r>
                          <w:rPr>
                            <w:rFonts w:ascii="Palatino" w:hAnsi="Palatino"/>
                            <w:i w:val="1"/>
                            <w:iCs w:val="1"/>
                            <w:sz w:val="16"/>
                            <w:szCs w:val="16"/>
                            <w:rtl w:val="0"/>
                            <w:lang w:val="en-US"/>
                          </w:rPr>
                          <w:t>The shine of the full moon into the sea</w:t>
                        </w:r>
                        <w:r>
                          <w:rPr>
                            <w:rFonts w:ascii="Palatino" w:hAnsi="Palatino"/>
                            <w:i w:val="1"/>
                            <w:iCs w:val="1"/>
                            <w:sz w:val="16"/>
                            <w:szCs w:val="16"/>
                            <w:rtl w:val="0"/>
                          </w:rPr>
                          <w:t xml:space="preserve">.  </w:t>
                        </w:r>
                        <w:r>
                          <w:rPr>
                            <w:rFonts w:ascii="Palatino" w:hAnsi="Palatino"/>
                            <w:i w:val="1"/>
                            <w:iCs w:val="1"/>
                            <w:sz w:val="16"/>
                            <w:szCs w:val="16"/>
                            <w:rtl w:val="0"/>
                            <w:lang w:val="en-US"/>
                          </w:rPr>
                          <w:t>Monday 26</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 xml:space="preserve">.21, </w:t>
                        </w:r>
                        <w:r>
                          <w:rPr>
                            <w:rFonts w:ascii="Palatino" w:hAnsi="Palatino"/>
                            <w:i w:val="1"/>
                            <w:iCs w:val="1"/>
                            <w:sz w:val="16"/>
                            <w:szCs w:val="16"/>
                            <w:rtl w:val="0"/>
                            <w:lang w:val="en-US"/>
                          </w:rPr>
                          <w:t>22</w:t>
                        </w:r>
                        <w:r>
                          <w:rPr>
                            <w:rFonts w:ascii="Palatino" w:hAnsi="Palatino"/>
                            <w:i w:val="1"/>
                            <w:iCs w:val="1"/>
                            <w:sz w:val="16"/>
                            <w:szCs w:val="16"/>
                            <w:rtl w:val="0"/>
                          </w:rPr>
                          <w:t>.</w:t>
                        </w:r>
                        <w:r>
                          <w:rPr>
                            <w:rFonts w:ascii="Palatino" w:hAnsi="Palatino"/>
                            <w:i w:val="1"/>
                            <w:iCs w:val="1"/>
                            <w:sz w:val="16"/>
                            <w:szCs w:val="16"/>
                            <w:rtl w:val="0"/>
                            <w:lang w:val="en-US"/>
                          </w:rPr>
                          <w:t>00</w:t>
                        </w:r>
                        <w:r>
                          <w:rPr>
                            <w:rFonts w:ascii="Palatino" w:hAnsi="Palatino"/>
                            <w:i w:val="1"/>
                            <w:iCs w:val="1"/>
                            <w:sz w:val="16"/>
                            <w:szCs w:val="16"/>
                            <w:rtl w:val="0"/>
                            <w:lang w:val="da-DK"/>
                          </w:rPr>
                          <w:t>. Photo: Tina Jensen Friis Auster.</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right="283"/>
        <w:sectPr>
          <w:headerReference w:type="default" r:id="rId51"/>
          <w:footerReference w:type="default" r:id="rId52"/>
          <w:pgSz w:w="12240" w:h="15840" w:orient="portrait"/>
          <w:pgMar w:top="1134" w:right="1134" w:bottom="720" w:left="1134" w:header="567" w:footer="720"/>
          <w:bidi w:val="0"/>
        </w:sectPr>
      </w:pPr>
      <w:r>
        <w:rPr>
          <w:rFonts w:ascii="Palatino" w:hAnsi="Palatino"/>
          <w:sz w:val="22"/>
          <w:szCs w:val="22"/>
          <w:rtl w:val="0"/>
          <w:lang w:val="en-US"/>
        </w:rPr>
        <w:t xml:space="preserve">It was not possible to see this moonlit sea from the circle, however it could be imagined that Neolithic man may have stood on the larger stones in the circle, which would have enabled a view to the sea from such naturally raised vantage points.  This evening and night visit was indeed very powerful, but every time I visited the Boscawen-un, I sensed vibrancy and essence.  There were a strong and high energetic sense of an outside circular energy spinning fast around the circle, as if it was protecting the circle.  This sensation of protection was supported by Pennick. </w:t>
      </w:r>
      <w:r>
        <w:rPr>
          <w:rFonts w:ascii="Palatino" w:cs="Palatino" w:hAnsi="Palatino" w:eastAsia="Palatino"/>
          <w:sz w:val="22"/>
          <w:szCs w:val="22"/>
          <w:vertAlign w:val="superscript"/>
        </w:rPr>
        <w:footnoteReference w:id="91"/>
      </w:r>
      <w:r>
        <w:rPr>
          <w:rFonts w:ascii="Palatino" w:hAnsi="Palatino"/>
          <w:sz w:val="22"/>
          <w:szCs w:val="22"/>
          <w:rtl w:val="0"/>
          <w:lang w:val="en-US"/>
        </w:rPr>
        <w:t xml:space="preserve">  When standing outside the circle, a significant pull was experienced, as if the stone circle was pulling me inside the circle.  When entering the circle, this energy became still and felt very protective.  A sensation of the solar plexus area was also repeatedly strong and significant.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right="283"/>
        <w:rPr>
          <w:rFonts w:ascii="Palatino" w:cs="Palatino" w:hAnsi="Palatino" w:eastAsia="Palatino"/>
          <w:sz w:val="22"/>
          <w:szCs w:val="22"/>
          <w:u w:val="none"/>
        </w:rPr>
      </w:pPr>
      <w:r>
        <w:rPr>
          <w:rFonts w:ascii="Palatino" w:hAnsi="Palatino"/>
          <w:sz w:val="22"/>
          <w:szCs w:val="22"/>
          <w:rtl w:val="0"/>
          <w:lang w:val="en-US"/>
        </w:rPr>
        <w:t xml:space="preserve">phenomenological experiences of awe and wonder along with the powerful and protective energies of the Boscawen-un certainly indicated a significance of the alignment in relation to the phenomena of the sense of place.  As mentioned by Tilley, Brook and Tilley &amp; Bennett, places hold multidimensional experiences and a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hAnsi="Palatino"/>
          <w:sz w:val="22"/>
          <w:szCs w:val="22"/>
          <w:rtl w:val="0"/>
          <w:lang w:val="en-US"/>
        </w:rPr>
        <w:t xml:space="preserve">which, for instance, could be vibrancy, power and essence </w:t>
      </w:r>
      <w:r>
        <w:rPr>
          <w:rFonts w:ascii="Palatino" w:cs="Palatino" w:hAnsi="Palatino" w:eastAsia="Palatino"/>
          <w:sz w:val="22"/>
          <w:szCs w:val="22"/>
          <w:vertAlign w:val="superscript"/>
        </w:rPr>
        <w:footnoteReference w:id="92"/>
      </w:r>
      <w:r>
        <w:rPr>
          <w:rFonts w:ascii="Palatino" w:hAnsi="Palatino"/>
          <w:sz w:val="22"/>
          <w:szCs w:val="22"/>
          <w:rtl w:val="0"/>
          <w:lang w:val="en-US"/>
        </w:rPr>
        <w:t xml:space="preserve">; further to this, energies have been measured on neolithic sites. </w:t>
      </w:r>
      <w:r>
        <w:rPr>
          <w:rFonts w:ascii="Palatino" w:cs="Palatino" w:hAnsi="Palatino" w:eastAsia="Palatino"/>
          <w:sz w:val="22"/>
          <w:szCs w:val="22"/>
          <w:vertAlign w:val="superscript"/>
        </w:rPr>
        <w:footnoteReference w:id="93"/>
      </w:r>
      <w:r>
        <w:rPr>
          <w:rFonts w:ascii="Palatino" w:hAnsi="Palatino"/>
          <w:sz w:val="22"/>
          <w:szCs w:val="22"/>
          <w:rtl w:val="0"/>
          <w:lang w:val="en-US"/>
        </w:rPr>
        <w:t xml:space="preserve">  As mentioned in the methodology my technique for measuring possible energies was, apart from the sense of place, as described above, also through dowsing (Fig. 20).  All stones</w:t>
      </w:r>
      <w:r>
        <w:rPr>
          <w:rFonts w:ascii="Palatino" w:cs="Palatino" w:hAnsi="Palatino" w:eastAsia="Palatino"/>
          <w:sz w:val="22"/>
          <w:szCs w:val="22"/>
        </w:rPr>
        <mc:AlternateContent>
          <mc:Choice Requires="wpg">
            <w:drawing xmlns:a="http://schemas.openxmlformats.org/drawingml/2006/main">
              <wp:anchor distT="152400" distB="152400" distL="152400" distR="152400" simplePos="0" relativeHeight="251670528" behindDoc="0" locked="0" layoutInCell="1" allowOverlap="1">
                <wp:simplePos x="0" y="0"/>
                <wp:positionH relativeFrom="margin">
                  <wp:posOffset>1512535</wp:posOffset>
                </wp:positionH>
                <wp:positionV relativeFrom="line">
                  <wp:posOffset>180511</wp:posOffset>
                </wp:positionV>
                <wp:extent cx="3307330" cy="4692217"/>
                <wp:effectExtent l="0" t="0" r="0" b="0"/>
                <wp:wrapTopAndBottom distT="152400" distB="152400"/>
                <wp:docPr id="1073741902" name="officeArt object"/>
                <wp:cNvGraphicFramePr/>
                <a:graphic xmlns:a="http://schemas.openxmlformats.org/drawingml/2006/main">
                  <a:graphicData uri="http://schemas.microsoft.com/office/word/2010/wordprocessingGroup">
                    <wpg:wgp>
                      <wpg:cNvGrpSpPr/>
                      <wpg:grpSpPr>
                        <a:xfrm>
                          <a:off x="0" y="0"/>
                          <a:ext cx="3307330" cy="4692217"/>
                          <a:chOff x="0" y="0"/>
                          <a:chExt cx="3307329" cy="4692216"/>
                        </a:xfrm>
                      </wpg:grpSpPr>
                      <pic:pic xmlns:pic="http://schemas.openxmlformats.org/drawingml/2006/picture">
                        <pic:nvPicPr>
                          <pic:cNvPr id="1073741900" name="IMG_0472.jpeg"/>
                          <pic:cNvPicPr>
                            <a:picLocks noChangeAspect="1"/>
                          </pic:cNvPicPr>
                        </pic:nvPicPr>
                        <pic:blipFill>
                          <a:blip r:embed="rId53">
                            <a:extLst/>
                          </a:blip>
                          <a:stretch>
                            <a:fillRect/>
                          </a:stretch>
                        </pic:blipFill>
                        <pic:spPr>
                          <a:xfrm>
                            <a:off x="0" y="0"/>
                            <a:ext cx="3307330" cy="4409774"/>
                          </a:xfrm>
                          <a:prstGeom prst="rect">
                            <a:avLst/>
                          </a:prstGeom>
                          <a:ln w="12700" cap="flat">
                            <a:noFill/>
                            <a:miter lim="400000"/>
                          </a:ln>
                          <a:effectLst/>
                        </pic:spPr>
                      </pic:pic>
                      <wps:wsp>
                        <wps:cNvPr id="1073741901" name="Shape 1073741901"/>
                        <wps:cNvSpPr txBox="1"/>
                        <wps:spPr>
                          <a:xfrm>
                            <a:off x="0" y="4417393"/>
                            <a:ext cx="3307330" cy="274824"/>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20</w:t>
                              </w:r>
                              <w:r>
                                <w:rPr>
                                  <w:rFonts w:ascii="Palatino" w:hAnsi="Palatino"/>
                                  <w:i w:val="1"/>
                                  <w:iCs w:val="1"/>
                                  <w:sz w:val="16"/>
                                  <w:szCs w:val="16"/>
                                  <w:rtl w:val="0"/>
                                </w:rPr>
                                <w:t xml:space="preserve">.  </w:t>
                              </w:r>
                              <w:r>
                                <w:rPr>
                                  <w:rFonts w:ascii="Palatino" w:hAnsi="Palatino"/>
                                  <w:i w:val="1"/>
                                  <w:iCs w:val="1"/>
                                  <w:sz w:val="16"/>
                                  <w:szCs w:val="16"/>
                                  <w:rtl w:val="0"/>
                                  <w:lang w:val="en-US"/>
                                </w:rPr>
                                <w:t>Dowsing the Quartz stone</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15</w:t>
                              </w:r>
                              <w:r>
                                <w:rPr>
                                  <w:rFonts w:ascii="Palatino" w:hAnsi="Palatino"/>
                                  <w:i w:val="1"/>
                                  <w:iCs w:val="1"/>
                                  <w:sz w:val="16"/>
                                  <w:szCs w:val="16"/>
                                  <w:rtl w:val="0"/>
                                  <w:lang w:val="en-US"/>
                                </w:rPr>
                                <w:t>.</w:t>
                              </w:r>
                              <w:r>
                                <w:rPr>
                                  <w:rFonts w:ascii="Palatino" w:hAnsi="Palatino"/>
                                  <w:i w:val="1"/>
                                  <w:iCs w:val="1"/>
                                  <w:sz w:val="16"/>
                                  <w:szCs w:val="16"/>
                                  <w:rtl w:val="0"/>
                                  <w:lang w:val="it-IT"/>
                                </w:rPr>
                                <w:t xml:space="preserve">28. Photo: </w:t>
                              </w:r>
                              <w:r>
                                <w:rPr>
                                  <w:rFonts w:ascii="Palatino" w:hAnsi="Palatino"/>
                                  <w:i w:val="1"/>
                                  <w:iCs w:val="1"/>
                                  <w:sz w:val="16"/>
                                  <w:szCs w:val="16"/>
                                  <w:rtl w:val="0"/>
                                  <w:lang w:val="en-US"/>
                                </w:rPr>
                                <w:t>Adrian</w:t>
                              </w:r>
                              <w:r>
                                <w:rPr>
                                  <w:rFonts w:ascii="Palatino" w:hAnsi="Palatino"/>
                                  <w:i w:val="1"/>
                                  <w:iCs w:val="1"/>
                                  <w:sz w:val="16"/>
                                  <w:szCs w:val="16"/>
                                  <w:rtl w:val="0"/>
                                  <w:lang w:val="de-DE"/>
                                </w:rPr>
                                <w:t xml:space="preserve"> Auster</w:t>
                              </w:r>
                              <w:r>
                                <w:rPr>
                                  <w:rFonts w:ascii="Palatino" w:hAnsi="Palatino"/>
                                  <w:i w:val="1"/>
                                  <w:iCs w:val="1"/>
                                  <w:sz w:val="16"/>
                                  <w:szCs w:val="16"/>
                                  <w:rtl w:val="0"/>
                                  <w:lang w:val="en-US"/>
                                </w:rPr>
                                <w:t>.</w:t>
                              </w:r>
                            </w:p>
                          </w:txbxContent>
                        </wps:txbx>
                        <wps:bodyPr wrap="square" lIns="0" tIns="0" rIns="0" bIns="0" numCol="1" anchor="t">
                          <a:noAutofit/>
                        </wps:bodyPr>
                      </wps:wsp>
                    </wpg:wgp>
                  </a:graphicData>
                </a:graphic>
              </wp:anchor>
            </w:drawing>
          </mc:Choice>
          <mc:Fallback>
            <w:pict>
              <v:group id="_x0000_s1100" style="visibility:visible;position:absolute;margin-left:119.1pt;margin-top:14.2pt;width:260.4pt;height:369.5pt;z-index:251670528;mso-position-horizontal:absolute;mso-position-horizontal-relative:margin;mso-position-vertical:absolute;mso-position-vertical-relative:line;mso-wrap-distance-left:12.0pt;mso-wrap-distance-top:12.0pt;mso-wrap-distance-right:12.0pt;mso-wrap-distance-bottom:12.0pt;" coordorigin="0,0" coordsize="3307330,4692217">
                <w10:wrap type="topAndBottom" side="bothSides" anchorx="margin"/>
                <v:shape id="_x0000_s1101" type="#_x0000_t75" style="position:absolute;left:0;top:0;width:3307330;height:4409773;">
                  <v:imagedata r:id="rId53" o:title="IMG_0472.jpeg"/>
                </v:shape>
                <v:shape id="_x0000_s1102" type="#_x0000_t202" style="position:absolute;left:0;top:4417393;width:3307330;height:27482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it-IT"/>
                          </w:rPr>
                          <w:t xml:space="preserve">Figure </w:t>
                        </w:r>
                        <w:r>
                          <w:rPr>
                            <w:rFonts w:ascii="Palatino" w:hAnsi="Palatino"/>
                            <w:i w:val="1"/>
                            <w:iCs w:val="1"/>
                            <w:sz w:val="16"/>
                            <w:szCs w:val="16"/>
                            <w:rtl w:val="0"/>
                            <w:lang w:val="en-US"/>
                          </w:rPr>
                          <w:t>20</w:t>
                        </w:r>
                        <w:r>
                          <w:rPr>
                            <w:rFonts w:ascii="Palatino" w:hAnsi="Palatino"/>
                            <w:i w:val="1"/>
                            <w:iCs w:val="1"/>
                            <w:sz w:val="16"/>
                            <w:szCs w:val="16"/>
                            <w:rtl w:val="0"/>
                          </w:rPr>
                          <w:t xml:space="preserve">.  </w:t>
                        </w:r>
                        <w:r>
                          <w:rPr>
                            <w:rFonts w:ascii="Palatino" w:hAnsi="Palatino"/>
                            <w:i w:val="1"/>
                            <w:iCs w:val="1"/>
                            <w:sz w:val="16"/>
                            <w:szCs w:val="16"/>
                            <w:rtl w:val="0"/>
                            <w:lang w:val="en-US"/>
                          </w:rPr>
                          <w:t>Dowsing the Quartz stone</w:t>
                        </w:r>
                        <w:r>
                          <w:rPr>
                            <w:rFonts w:ascii="Palatino" w:hAnsi="Palatino"/>
                            <w:i w:val="1"/>
                            <w:iCs w:val="1"/>
                            <w:sz w:val="16"/>
                            <w:szCs w:val="16"/>
                            <w:rtl w:val="0"/>
                          </w:rPr>
                          <w:t xml:space="preserve">.  </w:t>
                        </w:r>
                        <w:r>
                          <w:rPr>
                            <w:rFonts w:ascii="Palatino" w:hAnsi="Palatino"/>
                            <w:i w:val="1"/>
                            <w:iCs w:val="1"/>
                            <w:sz w:val="16"/>
                            <w:szCs w:val="16"/>
                            <w:rtl w:val="0"/>
                            <w:lang w:val="en-US"/>
                          </w:rPr>
                          <w:t>Saturday 24</w:t>
                        </w:r>
                        <w:r>
                          <w:rPr>
                            <w:rFonts w:ascii="Palatino" w:hAnsi="Palatino"/>
                            <w:i w:val="1"/>
                            <w:iCs w:val="1"/>
                            <w:sz w:val="16"/>
                            <w:szCs w:val="16"/>
                            <w:rtl w:val="0"/>
                          </w:rPr>
                          <w:t>.0</w:t>
                        </w:r>
                        <w:r>
                          <w:rPr>
                            <w:rFonts w:ascii="Palatino" w:hAnsi="Palatino"/>
                            <w:i w:val="1"/>
                            <w:iCs w:val="1"/>
                            <w:sz w:val="16"/>
                            <w:szCs w:val="16"/>
                            <w:rtl w:val="0"/>
                            <w:lang w:val="en-US"/>
                          </w:rPr>
                          <w:t>4</w:t>
                        </w:r>
                        <w:r>
                          <w:rPr>
                            <w:rFonts w:ascii="Palatino" w:hAnsi="Palatino"/>
                            <w:i w:val="1"/>
                            <w:iCs w:val="1"/>
                            <w:sz w:val="16"/>
                            <w:szCs w:val="16"/>
                            <w:rtl w:val="0"/>
                          </w:rPr>
                          <w:t>.21, 15</w:t>
                        </w:r>
                        <w:r>
                          <w:rPr>
                            <w:rFonts w:ascii="Palatino" w:hAnsi="Palatino"/>
                            <w:i w:val="1"/>
                            <w:iCs w:val="1"/>
                            <w:sz w:val="16"/>
                            <w:szCs w:val="16"/>
                            <w:rtl w:val="0"/>
                            <w:lang w:val="en-US"/>
                          </w:rPr>
                          <w:t>.</w:t>
                        </w:r>
                        <w:r>
                          <w:rPr>
                            <w:rFonts w:ascii="Palatino" w:hAnsi="Palatino"/>
                            <w:i w:val="1"/>
                            <w:iCs w:val="1"/>
                            <w:sz w:val="16"/>
                            <w:szCs w:val="16"/>
                            <w:rtl w:val="0"/>
                            <w:lang w:val="it-IT"/>
                          </w:rPr>
                          <w:t xml:space="preserve">28. Photo: </w:t>
                        </w:r>
                        <w:r>
                          <w:rPr>
                            <w:rFonts w:ascii="Palatino" w:hAnsi="Palatino"/>
                            <w:i w:val="1"/>
                            <w:iCs w:val="1"/>
                            <w:sz w:val="16"/>
                            <w:szCs w:val="16"/>
                            <w:rtl w:val="0"/>
                            <w:lang w:val="en-US"/>
                          </w:rPr>
                          <w:t>Adrian</w:t>
                        </w:r>
                        <w:r>
                          <w:rPr>
                            <w:rFonts w:ascii="Palatino" w:hAnsi="Palatino"/>
                            <w:i w:val="1"/>
                            <w:iCs w:val="1"/>
                            <w:sz w:val="16"/>
                            <w:szCs w:val="16"/>
                            <w:rtl w:val="0"/>
                            <w:lang w:val="de-DE"/>
                          </w:rPr>
                          <w:t xml:space="preserve"> Auster</w:t>
                        </w:r>
                        <w:r>
                          <w:rPr>
                            <w:rFonts w:ascii="Palatino" w:hAnsi="Palatino"/>
                            <w:i w:val="1"/>
                            <w:iCs w:val="1"/>
                            <w:sz w:val="16"/>
                            <w:szCs w:val="16"/>
                            <w:rtl w:val="0"/>
                            <w:lang w:val="en-US"/>
                          </w:rPr>
                          <w:t>.</w:t>
                        </w:r>
                      </w:p>
                    </w:txbxContent>
                  </v:textbox>
                </v:shape>
              </v:group>
            </w:pict>
          </mc:Fallback>
        </mc:AlternateContent>
      </w:r>
      <w:r>
        <w:rPr>
          <w:rFonts w:ascii="Palatino" w:hAnsi="Palatino"/>
          <w:sz w:val="22"/>
          <w:szCs w:val="22"/>
          <w:rtl w:val="0"/>
          <w:lang w:val="en-US"/>
        </w:rPr>
        <w:t xml:space="preserve"> showed a north/west swing on the inside of the circle, though on the outside of the circle, the pendulum did not move, which could be in support of the sense of an outside and inside energy field.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54"/>
          <w:footerReference w:type="default" r:id="rId55"/>
          <w:pgSz w:w="12240" w:h="15840" w:orient="portrait"/>
          <w:pgMar w:top="1134" w:right="1134" w:bottom="720" w:left="1134" w:header="567" w:footer="720"/>
          <w:bidi w:val="0"/>
        </w:sectPr>
      </w:pPr>
      <w:r>
        <w:rPr>
          <w:rFonts w:ascii="Palatino" w:cs="Palatino" w:hAnsi="Palatino" w:eastAsia="Palatino"/>
          <w:sz w:val="22"/>
          <w:szCs w:val="22"/>
          <w:u w:val="none"/>
          <w:rtl w:val="0"/>
        </w:rPr>
        <w:tab/>
        <w:t>Where</w:t>
      </w:r>
      <w:r>
        <w:rPr>
          <w:rFonts w:ascii="Palatino" w:hAnsi="Palatino"/>
          <w:sz w:val="22"/>
          <w:szCs w:val="22"/>
          <w:rtl w:val="0"/>
          <w:lang w:val="en-US"/>
        </w:rPr>
        <w:t xml:space="preserve"> it was difficult to define astrological and cosmological alignments to the Boscawen-un stone circle, it could be argued that the stone circle was built with a relation to awe of the skies.  The circle and the stones could have held significance in relation to the sun, moon, stars, light and shadow, and the site</w:t>
      </w:r>
      <w:r>
        <w:rPr>
          <w:rFonts w:ascii="Palatino" w:hAnsi="Palatino" w:hint="default"/>
          <w:sz w:val="22"/>
          <w:szCs w:val="22"/>
          <w:rtl w:val="0"/>
          <w:lang w:val="en-US"/>
        </w:rPr>
        <w:t>’</w:t>
      </w:r>
      <w:r>
        <w:rPr>
          <w:rFonts w:ascii="Palatino" w:hAnsi="Palatino"/>
          <w:sz w:val="22"/>
          <w:szCs w:val="22"/>
          <w:rtl w:val="0"/>
          <w:lang w:val="en-US"/>
        </w:rPr>
        <w:t xml:space="preserve">s position in the landscape could signify a place of ritual.  The circle, the individual stones and the surrounding landscape had a sense of a phenomenological significance of alignment as found through the measured energetic fields and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analysed the field study of the </w:t>
      </w:r>
      <w:r>
        <w:rPr>
          <w:rFonts w:ascii="Palatino" w:hAnsi="Palatino"/>
          <w:sz w:val="22"/>
          <w:szCs w:val="22"/>
          <w:rtl w:val="0"/>
          <w:lang w:val="en-US"/>
        </w:rPr>
        <w:t>Boscawen-un stone circle</w:t>
      </w:r>
      <w:r>
        <w:rPr>
          <w:rFonts w:ascii="Palatino" w:hAnsi="Palatino"/>
          <w:sz w:val="22"/>
          <w:szCs w:val="22"/>
          <w:rtl w:val="0"/>
          <w:lang w:val="en-US"/>
        </w:rPr>
        <w:t xml:space="preserve">, </w:t>
      </w:r>
      <w:r>
        <w:rPr>
          <w:rFonts w:ascii="Palatino" w:hAnsi="Palatino"/>
          <w:sz w:val="22"/>
          <w:szCs w:val="22"/>
          <w:rtl w:val="0"/>
          <w:lang w:val="en-US"/>
        </w:rPr>
        <w:t>near the village of St. Buryan, at the heart of the West Penwith peninsula, in the county of Cornwall in South West England, United Kingdom</w:t>
      </w:r>
      <w:r>
        <w:rPr>
          <w:rFonts w:ascii="Palatino" w:hAnsi="Palatino"/>
          <w:sz w:val="22"/>
          <w:szCs w:val="22"/>
          <w:rtl w:val="0"/>
          <w:lang w:val="en-US"/>
        </w:rPr>
        <w:t xml:space="preserve">, </w:t>
      </w:r>
      <w:r>
        <w:rPr>
          <w:rFonts w:ascii="Palatino" w:hAnsi="Palatino"/>
          <w:sz w:val="22"/>
          <w:szCs w:val="22"/>
          <w:rtl w:val="0"/>
          <w:lang w:val="en-US"/>
        </w:rPr>
        <w:t xml:space="preserve">completed </w:t>
      </w:r>
      <w:r>
        <w:rPr>
          <w:rFonts w:ascii="Palatino" w:hAnsi="Palatino"/>
          <w:sz w:val="22"/>
          <w:szCs w:val="22"/>
          <w:rtl w:val="0"/>
          <w:lang w:val="en-US"/>
        </w:rPr>
        <w:t>from 14 March to 27</w:t>
      </w:r>
      <w:r>
        <w:rPr>
          <w:rFonts w:ascii="Palatino" w:hAnsi="Palatino"/>
          <w:sz w:val="22"/>
          <w:szCs w:val="22"/>
          <w:rtl w:val="0"/>
        </w:rPr>
        <w:t xml:space="preserve"> </w:t>
      </w:r>
      <w:r>
        <w:rPr>
          <w:rFonts w:ascii="Palatino" w:hAnsi="Palatino"/>
          <w:sz w:val="22"/>
          <w:szCs w:val="22"/>
          <w:rtl w:val="0"/>
          <w:lang w:val="en-US"/>
        </w:rPr>
        <w:t>April</w:t>
      </w:r>
      <w:r>
        <w:rPr>
          <w:rFonts w:ascii="Palatino" w:hAnsi="Palatino"/>
          <w:sz w:val="22"/>
          <w:szCs w:val="22"/>
          <w:rtl w:val="0"/>
        </w:rPr>
        <w:t xml:space="preserve"> 202</w:t>
      </w:r>
      <w:r>
        <w:rPr>
          <w:rFonts w:ascii="Palatino" w:hAnsi="Palatino"/>
          <w:sz w:val="22"/>
          <w:szCs w:val="22"/>
          <w:rtl w:val="0"/>
          <w:lang w:val="en-US"/>
        </w:rPr>
        <w:t>1.  Previous</w:t>
      </w:r>
      <w:r>
        <w:rPr>
          <w:rFonts w:ascii="Palatino" w:hAnsi="Palatino"/>
          <w:sz w:val="22"/>
          <w:szCs w:val="22"/>
          <w:rtl w:val="0"/>
        </w:rPr>
        <w:t xml:space="preserve"> </w:t>
      </w:r>
      <w:r>
        <w:rPr>
          <w:rFonts w:ascii="Palatino" w:hAnsi="Palatino"/>
          <w:sz w:val="22"/>
          <w:szCs w:val="22"/>
          <w:rtl w:val="0"/>
          <w:lang w:val="en-US"/>
        </w:rPr>
        <w:t xml:space="preserve">reports and </w:t>
      </w:r>
      <w:r>
        <w:rPr>
          <w:rFonts w:ascii="Palatino" w:hAnsi="Palatino"/>
          <w:sz w:val="22"/>
          <w:szCs w:val="22"/>
          <w:rtl w:val="0"/>
          <w:lang w:val="en-US"/>
        </w:rPr>
        <w:t>scholarships</w:t>
      </w:r>
      <w:r>
        <w:rPr>
          <w:rFonts w:ascii="Palatino" w:hAnsi="Palatino"/>
          <w:sz w:val="22"/>
          <w:szCs w:val="22"/>
          <w:rtl w:val="0"/>
          <w:lang w:val="en-US"/>
        </w:rPr>
        <w:t xml:space="preserve"> on the Boscawen-un stone circle</w:t>
      </w:r>
      <w:r>
        <w:rPr>
          <w:rFonts w:ascii="Palatino" w:hAnsi="Palatino"/>
          <w:sz w:val="22"/>
          <w:szCs w:val="22"/>
          <w:rtl w:val="0"/>
          <w:lang w:val="en-US"/>
        </w:rPr>
        <w:t xml:space="preserve"> indicated the difficulty in defining accurate and definite alignments</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94"/>
      </w:r>
      <w:r>
        <w:rPr>
          <w:rFonts w:ascii="Palatino" w:hAnsi="Palatino"/>
          <w:sz w:val="22"/>
          <w:szCs w:val="22"/>
          <w:rtl w:val="0"/>
          <w:lang w:val="en-US"/>
        </w:rPr>
        <w:t>, and the significance of the alignment of the circle was discussed.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study discovered an alignment with the 3000BC equinox sunset and sunrise and the </w:t>
      </w:r>
      <w:r>
        <w:rPr>
          <w:rFonts w:ascii="Palatino" w:hAnsi="Palatino"/>
          <w:sz w:val="22"/>
          <w:szCs w:val="22"/>
          <w:rtl w:val="0"/>
          <w:lang w:val="en-US"/>
        </w:rPr>
        <w:t>casting of shadows</w:t>
      </w:r>
      <w:r>
        <w:rPr>
          <w:rFonts w:ascii="Palatino" w:hAnsi="Palatino"/>
          <w:sz w:val="22"/>
          <w:szCs w:val="22"/>
          <w:rtl w:val="0"/>
          <w:lang w:val="en-US"/>
        </w:rPr>
        <w:t xml:space="preserve"> onto the eastern stones, which indicated </w:t>
      </w:r>
      <w:r>
        <w:rPr>
          <w:rFonts w:ascii="Palatino" w:hAnsi="Palatino"/>
          <w:sz w:val="22"/>
          <w:szCs w:val="22"/>
          <w:rtl w:val="0"/>
          <w:lang w:val="en-US"/>
        </w:rPr>
        <w:t xml:space="preserve">that </w:t>
      </w:r>
      <w:r>
        <w:rPr>
          <w:rFonts w:ascii="Palatino" w:hAnsi="Palatino"/>
          <w:sz w:val="22"/>
          <w:szCs w:val="22"/>
          <w:rtl w:val="0"/>
          <w:lang w:val="en-US"/>
        </w:rPr>
        <w:t>Boscawen-un</w:t>
      </w:r>
      <w:r>
        <w:rPr>
          <w:rFonts w:ascii="Palatino" w:hAnsi="Palatino"/>
          <w:sz w:val="22"/>
          <w:szCs w:val="22"/>
          <w:rtl w:val="0"/>
        </w:rPr>
        <w:t xml:space="preserve"> </w:t>
      </w:r>
      <w:r>
        <w:rPr>
          <w:rFonts w:ascii="Palatino" w:hAnsi="Palatino"/>
          <w:sz w:val="22"/>
          <w:szCs w:val="22"/>
          <w:rtl w:val="0"/>
          <w:lang w:val="en-US"/>
        </w:rPr>
        <w:t>could have been</w:t>
      </w:r>
      <w:r>
        <w:rPr>
          <w:rFonts w:ascii="Palatino" w:hAnsi="Palatino"/>
          <w:sz w:val="22"/>
          <w:szCs w:val="22"/>
          <w:rtl w:val="0"/>
          <w:lang w:val="en-US"/>
        </w:rPr>
        <w:t xml:space="preserve"> built with a relation to the skies</w:t>
      </w:r>
      <w:r>
        <w:rPr>
          <w:rFonts w:ascii="Palatino" w:hAnsi="Palatino"/>
          <w:sz w:val="22"/>
          <w:szCs w:val="22"/>
          <w:rtl w:val="0"/>
          <w:lang w:val="en-US"/>
        </w:rPr>
        <w:t>.  The observed light, both sunlight and moonlight, along with the shine and the sparkle, which</w:t>
      </w:r>
      <w:r>
        <w:rPr>
          <w:rFonts w:ascii="Palatino" w:hAnsi="Palatino"/>
          <w:sz w:val="22"/>
          <w:szCs w:val="22"/>
          <w:rtl w:val="0"/>
          <w:lang w:val="en-US"/>
        </w:rPr>
        <w:t xml:space="preserve"> light create</w:t>
      </w:r>
      <w:r>
        <w:rPr>
          <w:rFonts w:ascii="Palatino" w:hAnsi="Palatino"/>
          <w:sz w:val="22"/>
          <w:szCs w:val="22"/>
          <w:rtl w:val="0"/>
          <w:lang w:val="en-US"/>
        </w:rPr>
        <w:t xml:space="preserve">d </w:t>
      </w:r>
      <w:r>
        <w:rPr>
          <w:rFonts w:ascii="Palatino" w:hAnsi="Palatino"/>
          <w:sz w:val="22"/>
          <w:szCs w:val="22"/>
          <w:rtl w:val="0"/>
        </w:rPr>
        <w:t xml:space="preserve">on </w:t>
      </w:r>
      <w:r>
        <w:rPr>
          <w:rFonts w:ascii="Palatino" w:hAnsi="Palatino"/>
          <w:sz w:val="22"/>
          <w:szCs w:val="22"/>
          <w:rtl w:val="0"/>
          <w:lang w:val="en-US"/>
        </w:rPr>
        <w:t xml:space="preserve">the </w:t>
      </w:r>
      <w:r>
        <w:rPr>
          <w:rFonts w:ascii="Palatino" w:hAnsi="Palatino"/>
          <w:sz w:val="22"/>
          <w:szCs w:val="22"/>
          <w:rtl w:val="0"/>
          <w:lang w:val="en-US"/>
        </w:rPr>
        <w:t>stone</w:t>
      </w:r>
      <w:r>
        <w:rPr>
          <w:rFonts w:ascii="Palatino" w:hAnsi="Palatino"/>
          <w:sz w:val="22"/>
          <w:szCs w:val="22"/>
          <w:rtl w:val="0"/>
          <w:lang w:val="en-US"/>
        </w:rPr>
        <w:t xml:space="preserve">s, could all signify an alignment which had a significance to the sun, the moon and to light.  With light comes life, fertility and rebirth, which were important survival factors to the Neolithic man </w:t>
      </w:r>
      <w:r>
        <w:rPr>
          <w:rFonts w:ascii="Palatino" w:cs="Palatino" w:hAnsi="Palatino" w:eastAsia="Palatino"/>
          <w:sz w:val="22"/>
          <w:szCs w:val="22"/>
          <w:vertAlign w:val="superscript"/>
        </w:rPr>
        <w:footnoteReference w:id="95"/>
      </w:r>
      <w:r>
        <w:rPr>
          <w:rFonts w:ascii="Palatino" w:hAnsi="Palatino"/>
          <w:sz w:val="22"/>
          <w:szCs w:val="22"/>
          <w:rtl w:val="0"/>
          <w:lang w:val="en-US"/>
        </w:rPr>
        <w:t xml:space="preserve">, and thus could indicate a significance of the alignment.  The measured NE direction features of the stone circle, including: three artworks, sun path, shadow casting and four recumbent stones, could reflect a further relation of </w:t>
      </w:r>
      <w:r>
        <w:rPr>
          <w:rFonts w:ascii="Palatino" w:hAnsi="Palatino"/>
          <w:sz w:val="22"/>
          <w:szCs w:val="22"/>
          <w:rtl w:val="0"/>
          <w:lang w:val="en-US"/>
        </w:rPr>
        <w:t>fertility</w:t>
      </w:r>
      <w:r>
        <w:rPr>
          <w:rFonts w:ascii="Palatino" w:hAnsi="Palatino"/>
          <w:sz w:val="22"/>
          <w:szCs w:val="22"/>
          <w:rtl w:val="0"/>
          <w:lang w:val="en-US"/>
        </w:rPr>
        <w:t xml:space="preserve"> to the significance of alignment.  With the additional observation of four feminine/human growth axe shaped stones in the circle (central, E, NE, quartz), as well as the observations made in the surrounding landscape, a total of nine observed features could be interpreted as related to fertility or rebirth.  Most of which found support in existing scholarships </w:t>
      </w:r>
      <w:r>
        <w:rPr>
          <w:rFonts w:ascii="Palatino" w:cs="Palatino" w:hAnsi="Palatino" w:eastAsia="Palatino"/>
          <w:sz w:val="22"/>
          <w:szCs w:val="22"/>
          <w:vertAlign w:val="superscript"/>
        </w:rPr>
        <w:footnoteReference w:id="96"/>
      </w:r>
      <w:r>
        <w:rPr>
          <w:rFonts w:ascii="Palatino" w:hAnsi="Palatino"/>
          <w:sz w:val="22"/>
          <w:szCs w:val="22"/>
          <w:rtl w:val="0"/>
          <w:lang w:val="en-US"/>
        </w:rPr>
        <w:t>, some of which not discussed previously.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examination of the Boscawen-un stone circle in relation to phenomenology </w:t>
      </w:r>
      <w:r>
        <w:rPr>
          <w:rFonts w:ascii="Palatino" w:cs="Palatino" w:hAnsi="Palatino" w:eastAsia="Palatino"/>
          <w:sz w:val="22"/>
          <w:szCs w:val="22"/>
          <w:vertAlign w:val="superscript"/>
        </w:rPr>
        <w:footnoteReference w:id="97"/>
      </w:r>
      <w:r>
        <w:rPr>
          <w:rFonts w:ascii="Palatino" w:hAnsi="Palatino"/>
          <w:sz w:val="22"/>
          <w:szCs w:val="22"/>
          <w:rtl w:val="0"/>
          <w:lang w:val="en-US"/>
        </w:rPr>
        <w:t xml:space="preserve">, and </w:t>
      </w:r>
      <w:r>
        <w:rPr>
          <w:rFonts w:ascii="Palatino" w:hAnsi="Palatino" w:hint="default"/>
          <w:sz w:val="22"/>
          <w:szCs w:val="22"/>
          <w:rtl w:val="0"/>
          <w:lang w:val="en-US"/>
        </w:rPr>
        <w:t>‘</w:t>
      </w:r>
      <w:r>
        <w:rPr>
          <w:rFonts w:ascii="Palatino" w:hAnsi="Palatino"/>
          <w:sz w:val="22"/>
          <w:szCs w:val="22"/>
          <w:rtl w:val="0"/>
          <w:lang w:val="en-US"/>
        </w:rPr>
        <w:t>Genius Loci</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98"/>
      </w:r>
      <w:r>
        <w:rPr>
          <w:rFonts w:ascii="Palatino" w:hAnsi="Palatino"/>
          <w:sz w:val="22"/>
          <w:szCs w:val="22"/>
          <w:rtl w:val="0"/>
          <w:lang w:val="en-US"/>
        </w:rPr>
        <w:t xml:space="preserve">, further found that the circle and the surrounding landscape seemed to have a phenomenological significance of alignment in relation to energetic fields and </w:t>
      </w:r>
      <w:r>
        <w:rPr>
          <w:rFonts w:ascii="Palatino" w:hAnsi="Palatino" w:hint="default"/>
          <w:sz w:val="22"/>
          <w:szCs w:val="22"/>
          <w:rtl w:val="0"/>
          <w:lang w:val="en-US"/>
        </w:rPr>
        <w:t>‘</w:t>
      </w:r>
      <w:r>
        <w:rPr>
          <w:rFonts w:ascii="Palatino" w:hAnsi="Palatino"/>
          <w:sz w:val="22"/>
          <w:szCs w:val="22"/>
          <w:rtl w:val="0"/>
          <w:lang w:val="en-US"/>
        </w:rPr>
        <w:t>sense of place</w:t>
      </w:r>
      <w:r>
        <w:rPr>
          <w:rFonts w:ascii="Palatino" w:hAnsi="Palatino" w:hint="default"/>
          <w:sz w:val="22"/>
          <w:szCs w:val="22"/>
          <w:rtl w:val="0"/>
          <w:lang w:val="en-US"/>
        </w:rPr>
        <w:t>’</w:t>
      </w:r>
      <w:r>
        <w:rPr>
          <w:rFonts w:ascii="Palatino" w:hAnsi="Palatino"/>
          <w:sz w:val="22"/>
          <w:szCs w:val="22"/>
          <w:rtl w:val="0"/>
          <w:lang w:val="en-US"/>
        </w:rPr>
        <w:t xml:space="preserve">.  Those phenomenologies were felt as awe, wonder, protection and vibrancy as well as a significant </w:t>
      </w:r>
      <w:r>
        <w:rPr>
          <w:rFonts w:ascii="Palatino" w:hAnsi="Palatino"/>
          <w:sz w:val="22"/>
          <w:szCs w:val="22"/>
          <w:rtl w:val="0"/>
          <w:lang w:val="fr-FR"/>
        </w:rPr>
        <w:t xml:space="preserve">sensation </w:t>
      </w:r>
      <w:r>
        <w:rPr>
          <w:rFonts w:ascii="Palatino" w:hAnsi="Palatino"/>
          <w:sz w:val="22"/>
          <w:szCs w:val="22"/>
          <w:rtl w:val="0"/>
          <w:lang w:val="en-US"/>
        </w:rPr>
        <w:t>in the region of</w:t>
      </w:r>
      <w:r>
        <w:rPr>
          <w:rFonts w:ascii="Palatino" w:hAnsi="Palatino"/>
          <w:sz w:val="22"/>
          <w:szCs w:val="22"/>
          <w:rtl w:val="0"/>
          <w:lang w:val="en-US"/>
        </w:rPr>
        <w:t xml:space="preserve"> the solar plexus</w:t>
      </w:r>
      <w:r>
        <w:rPr>
          <w:rFonts w:ascii="Palatino" w:hAnsi="Palatino"/>
          <w:sz w:val="22"/>
          <w:szCs w:val="22"/>
          <w:rtl w:val="0"/>
          <w:lang w:val="en-US"/>
        </w:rPr>
        <w:t>.  The stone circle could have been experienced and seen as a place of awe and a powerful place to be human.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most fascinating discovery in this field study was the </w:t>
      </w:r>
      <w:r>
        <w:rPr>
          <w:rFonts w:ascii="Palatino" w:hAnsi="Palatino"/>
          <w:sz w:val="22"/>
          <w:szCs w:val="22"/>
          <w:rtl w:val="0"/>
          <w:lang w:val="en-US"/>
        </w:rPr>
        <w:t xml:space="preserve">astonishing experience that </w:t>
      </w:r>
      <w:r>
        <w:rPr>
          <w:rFonts w:ascii="Palatino" w:hAnsi="Palatino"/>
          <w:sz w:val="22"/>
          <w:szCs w:val="22"/>
          <w:rtl w:val="0"/>
          <w:lang w:val="en-US"/>
        </w:rPr>
        <w:t>a placement of stones into a circle, a</w:t>
      </w:r>
      <w:r>
        <w:rPr>
          <w:rFonts w:ascii="Palatino" w:hAnsi="Palatino"/>
          <w:sz w:val="22"/>
          <w:szCs w:val="22"/>
          <w:rtl w:val="0"/>
          <w:lang w:val="en-US"/>
        </w:rPr>
        <w:t xml:space="preserve"> structure built 4000-7000 years ago</w:t>
      </w:r>
      <w:r>
        <w:rPr>
          <w:rFonts w:ascii="Palatino" w:hAnsi="Palatino"/>
          <w:sz w:val="22"/>
          <w:szCs w:val="22"/>
          <w:rtl w:val="0"/>
          <w:lang w:val="en-US"/>
        </w:rPr>
        <w:t xml:space="preserve">, was yet able </w:t>
      </w:r>
      <w:r>
        <w:rPr>
          <w:rFonts w:ascii="Palatino" w:hAnsi="Palatino"/>
          <w:sz w:val="22"/>
          <w:szCs w:val="22"/>
          <w:rtl w:val="0"/>
          <w:lang w:val="en-US"/>
        </w:rPr>
        <w:t xml:space="preserve">to </w:t>
      </w:r>
      <w:r>
        <w:rPr>
          <w:rFonts w:ascii="Palatino" w:hAnsi="Palatino"/>
          <w:sz w:val="22"/>
          <w:szCs w:val="22"/>
          <w:rtl w:val="0"/>
          <w:lang w:val="en-US"/>
        </w:rPr>
        <w:t>inspire awe, impact</w:t>
      </w:r>
      <w:r>
        <w:rPr>
          <w:rFonts w:ascii="Palatino" w:hAnsi="Palatino"/>
          <w:sz w:val="22"/>
          <w:szCs w:val="22"/>
          <w:rtl w:val="0"/>
          <w:lang w:val="en-US"/>
        </w:rPr>
        <w:t xml:space="preserve"> and attract contemporary humans</w:t>
      </w:r>
      <w:r>
        <w:rPr>
          <w:rFonts w:ascii="Palatino" w:hAnsi="Palatino"/>
          <w:sz w:val="22"/>
          <w:szCs w:val="22"/>
          <w:rtl w:val="0"/>
          <w:lang w:val="en-US"/>
        </w:rPr>
        <w:t>, myself included</w:t>
      </w:r>
      <w:r>
        <w:rPr>
          <w:rFonts w:ascii="Palatino" w:hAnsi="Palatino"/>
          <w:sz w:val="22"/>
          <w:szCs w:val="22"/>
          <w:rtl w:val="0"/>
        </w:rPr>
        <w:t>.</w:t>
      </w:r>
      <w:r>
        <w:rPr>
          <w:rFonts w:ascii="Palatino" w:hAnsi="Palatino"/>
          <w:sz w:val="22"/>
          <w:szCs w:val="22"/>
          <w:rtl w:val="0"/>
          <w:lang w:val="en-US"/>
        </w:rPr>
        <w:t xml:space="preserve">  It would be captivating if the Neolithic humans who spent their precious time, energy and skill to build such an amazing monument, had the skill to travel in time to experience the present day humans</w:t>
      </w:r>
      <w:r>
        <w:rPr>
          <w:rFonts w:ascii="Palatino" w:hAnsi="Palatino" w:hint="default"/>
          <w:sz w:val="22"/>
          <w:szCs w:val="22"/>
          <w:rtl w:val="0"/>
          <w:lang w:val="en-US"/>
        </w:rPr>
        <w:t xml:space="preserve">’ </w:t>
      </w:r>
      <w:r>
        <w:rPr>
          <w:rFonts w:ascii="Palatino" w:hAnsi="Palatino"/>
          <w:sz w:val="22"/>
          <w:szCs w:val="22"/>
          <w:rtl w:val="0"/>
          <w:lang w:val="en-US"/>
        </w:rPr>
        <w:t>attempts to uncover the stone circles</w:t>
      </w:r>
      <w:r>
        <w:rPr>
          <w:rFonts w:ascii="Palatino" w:hAnsi="Palatino" w:hint="default"/>
          <w:sz w:val="22"/>
          <w:szCs w:val="22"/>
          <w:rtl w:val="0"/>
          <w:lang w:val="en-US"/>
        </w:rPr>
        <w:t xml:space="preserve">’ </w:t>
      </w:r>
      <w:r>
        <w:rPr>
          <w:rFonts w:ascii="Palatino" w:hAnsi="Palatino"/>
          <w:sz w:val="22"/>
          <w:szCs w:val="22"/>
          <w:rtl w:val="0"/>
          <w:lang w:val="en-US"/>
        </w:rPr>
        <w:t>mysteries, and share their knowledge.  I would be all ears.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56"/>
          <w:footerReference w:type="default" r:id="rId57"/>
          <w:pgSz w:w="12240" w:h="15840"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rPr>
          <w:rFonts w:ascii="Palatino" w:cs="Palatino" w:hAnsi="Palatino" w:eastAsia="Palatino"/>
          <w:b w:val="0"/>
          <w:bCs w:val="0"/>
          <w:sz w:val="22"/>
          <w:szCs w:val="22"/>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rPr>
          <w:rFonts w:ascii="Palatino" w:cs="Palatino" w:hAnsi="Palatino" w:eastAsia="Palatino"/>
          <w:b w:val="0"/>
          <w:bCs w:val="0"/>
          <w:sz w:val="22"/>
          <w:szCs w:val="22"/>
        </w:rPr>
      </w:pPr>
    </w:p>
    <w:p>
      <w:pPr>
        <w:pStyle w:val="Footnote"/>
        <w:rPr>
          <w:sz w:val="22"/>
          <w:szCs w:val="22"/>
        </w:rPr>
      </w:pPr>
      <w:r>
        <w:rPr>
          <w:sz w:val="22"/>
          <w:szCs w:val="22"/>
          <w:rtl w:val="0"/>
          <w:lang w:val="en-US"/>
        </w:rPr>
        <w:t xml:space="preserve">Bell, </w:t>
      </w:r>
      <w:r>
        <w:rPr>
          <w:sz w:val="22"/>
          <w:szCs w:val="22"/>
          <w:rtl w:val="0"/>
          <w:lang w:val="en-US"/>
        </w:rPr>
        <w:t xml:space="preserve">Judith </w:t>
      </w:r>
      <w:r>
        <w:rPr>
          <w:sz w:val="22"/>
          <w:szCs w:val="22"/>
          <w:rtl w:val="0"/>
          <w:lang w:val="en-US"/>
        </w:rPr>
        <w:t xml:space="preserve">and Stephen Waters, </w:t>
      </w:r>
      <w:r>
        <w:rPr>
          <w:i w:val="1"/>
          <w:iCs w:val="1"/>
          <w:sz w:val="22"/>
          <w:szCs w:val="22"/>
          <w:rtl w:val="0"/>
          <w:lang w:val="en-US"/>
        </w:rPr>
        <w:t>Doing Your Research Project</w:t>
      </w:r>
      <w:r>
        <w:rPr>
          <w:sz w:val="22"/>
          <w:szCs w:val="22"/>
          <w:rtl w:val="0"/>
          <w:lang w:val="en-US"/>
        </w:rPr>
        <w:t>, 7</w:t>
      </w:r>
      <w:r>
        <w:rPr>
          <w:sz w:val="22"/>
          <w:szCs w:val="22"/>
          <w:vertAlign w:val="superscript"/>
          <w:rtl w:val="0"/>
          <w:lang w:val="en-US"/>
        </w:rPr>
        <w:t>th</w:t>
      </w:r>
      <w:r>
        <w:rPr>
          <w:sz w:val="22"/>
          <w:szCs w:val="22"/>
          <w:rtl w:val="0"/>
          <w:lang w:val="en-US"/>
        </w:rPr>
        <w:t xml:space="preserve"> edn. (London: Open University Press, McGraw-Hill Education, 2018).</w:t>
      </w:r>
    </w:p>
    <w:p>
      <w:pPr>
        <w:pStyle w:val="Footnote"/>
        <w:rPr>
          <w:sz w:val="22"/>
          <w:szCs w:val="22"/>
        </w:rPr>
      </w:pPr>
    </w:p>
    <w:p>
      <w:pPr>
        <w:pStyle w:val="Footnote"/>
        <w:rPr>
          <w:sz w:val="22"/>
          <w:szCs w:val="22"/>
        </w:rPr>
      </w:pPr>
      <w:r>
        <w:rPr>
          <w:sz w:val="22"/>
          <w:szCs w:val="22"/>
          <w:rtl w:val="0"/>
          <w:lang w:val="en-US"/>
        </w:rPr>
        <w:t xml:space="preserve">Brook, </w:t>
      </w:r>
      <w:r>
        <w:rPr>
          <w:sz w:val="22"/>
          <w:szCs w:val="22"/>
          <w:rtl w:val="0"/>
        </w:rPr>
        <w:t>Isis</w:t>
      </w:r>
      <w:r>
        <w:rPr>
          <w:sz w:val="22"/>
          <w:szCs w:val="22"/>
          <w:rtl w:val="0"/>
          <w:lang w:val="en-US"/>
        </w:rPr>
        <w:t xml:space="preserve">, </w:t>
      </w:r>
      <w:r>
        <w:rPr>
          <w:sz w:val="22"/>
          <w:szCs w:val="22"/>
          <w:rtl w:val="0"/>
          <w:lang w:val="en-US"/>
        </w:rPr>
        <w:t>‘</w:t>
      </w:r>
      <w:r>
        <w:rPr>
          <w:sz w:val="22"/>
          <w:szCs w:val="22"/>
          <w:rtl w:val="0"/>
          <w:lang w:val="en-US"/>
        </w:rPr>
        <w:t xml:space="preserve">Can </w:t>
      </w:r>
      <w:r>
        <w:rPr>
          <w:sz w:val="22"/>
          <w:szCs w:val="22"/>
          <w:rtl w:val="0"/>
          <w:lang w:val="en-US"/>
        </w:rPr>
        <w:t>‘</w:t>
      </w:r>
      <w:r>
        <w:rPr>
          <w:sz w:val="22"/>
          <w:szCs w:val="22"/>
          <w:rtl w:val="0"/>
          <w:lang w:val="en-US"/>
        </w:rPr>
        <w:t>Spirit Of Place</w:t>
      </w:r>
      <w:r>
        <w:rPr>
          <w:sz w:val="22"/>
          <w:szCs w:val="22"/>
          <w:rtl w:val="0"/>
          <w:lang w:val="en-US"/>
        </w:rPr>
        <w:t xml:space="preserve">’ </w:t>
      </w:r>
      <w:r>
        <w:rPr>
          <w:sz w:val="22"/>
          <w:szCs w:val="22"/>
          <w:rtl w:val="0"/>
          <w:lang w:val="en-US"/>
        </w:rPr>
        <w:t>Be A Guide To Ethical Building</w:t>
      </w:r>
      <w:r>
        <w:rPr>
          <w:sz w:val="22"/>
          <w:szCs w:val="22"/>
          <w:rtl w:val="0"/>
          <w:lang w:val="en-US"/>
        </w:rPr>
        <w:t>’</w:t>
      </w:r>
      <w:r>
        <w:rPr>
          <w:sz w:val="22"/>
          <w:szCs w:val="22"/>
          <w:rtl w:val="0"/>
          <w:lang w:val="en-US"/>
        </w:rPr>
        <w:t xml:space="preserve">, in W. Fox, </w:t>
      </w:r>
      <w:r>
        <w:rPr>
          <w:i w:val="1"/>
          <w:iCs w:val="1"/>
          <w:sz w:val="22"/>
          <w:szCs w:val="22"/>
          <w:rtl w:val="0"/>
          <w:lang w:val="en-US"/>
        </w:rPr>
        <w:t>Ethics And The Built Environment</w:t>
      </w:r>
      <w:r>
        <w:rPr>
          <w:sz w:val="22"/>
          <w:szCs w:val="22"/>
          <w:rtl w:val="0"/>
          <w:lang w:val="en-US"/>
        </w:rPr>
        <w:t xml:space="preserve"> (London: Routledge, 2000), 139-151.</w:t>
      </w:r>
    </w:p>
    <w:p>
      <w:pPr>
        <w:pStyle w:val="Footnote"/>
        <w:rPr>
          <w:sz w:val="22"/>
          <w:szCs w:val="22"/>
        </w:rPr>
      </w:pPr>
    </w:p>
    <w:p>
      <w:pPr>
        <w:pStyle w:val="Footnote"/>
        <w:rPr>
          <w:sz w:val="22"/>
          <w:szCs w:val="22"/>
        </w:rPr>
      </w:pPr>
      <w:r>
        <w:rPr>
          <w:sz w:val="22"/>
          <w:szCs w:val="22"/>
          <w:rtl w:val="0"/>
          <w:lang w:val="en-US"/>
        </w:rPr>
        <w:t xml:space="preserve">Burl, </w:t>
      </w:r>
      <w:r>
        <w:rPr>
          <w:sz w:val="22"/>
          <w:szCs w:val="22"/>
          <w:rtl w:val="0"/>
        </w:rPr>
        <w:t>Aubrey</w:t>
      </w:r>
      <w:r>
        <w:rPr>
          <w:sz w:val="22"/>
          <w:szCs w:val="22"/>
          <w:rtl w:val="0"/>
          <w:lang w:val="en-US"/>
        </w:rPr>
        <w:t xml:space="preserve">, </w:t>
      </w:r>
      <w:r>
        <w:rPr>
          <w:sz w:val="22"/>
          <w:szCs w:val="22"/>
          <w:rtl w:val="0"/>
          <w:lang w:val="en-US"/>
        </w:rPr>
        <w:t>‘</w:t>
      </w:r>
      <w:r>
        <w:rPr>
          <w:sz w:val="22"/>
          <w:szCs w:val="22"/>
          <w:rtl w:val="0"/>
          <w:lang w:val="en-US"/>
        </w:rPr>
        <w:t>The Sun, The Moon, And Megaliths, Archaeo-Astronomy And The Standing Stones Of Northern Ireland</w:t>
      </w:r>
      <w:r>
        <w:rPr>
          <w:sz w:val="22"/>
          <w:szCs w:val="22"/>
          <w:rtl w:val="0"/>
          <w:lang w:val="en-US"/>
        </w:rPr>
        <w:t>’</w:t>
      </w:r>
      <w:r>
        <w:rPr>
          <w:sz w:val="22"/>
          <w:szCs w:val="22"/>
          <w:rtl w:val="0"/>
          <w:lang w:val="en-US"/>
        </w:rPr>
        <w:t xml:space="preserve">, </w:t>
      </w:r>
      <w:r>
        <w:rPr>
          <w:i w:val="1"/>
          <w:iCs w:val="1"/>
          <w:sz w:val="22"/>
          <w:szCs w:val="22"/>
          <w:rtl w:val="0"/>
          <w:lang w:val="en-US"/>
        </w:rPr>
        <w:t>Ulster Journal of Archaeology</w:t>
      </w:r>
      <w:r>
        <w:rPr>
          <w:sz w:val="22"/>
          <w:szCs w:val="22"/>
          <w:rtl w:val="0"/>
          <w:lang w:val="en-US"/>
        </w:rPr>
        <w:t>, 50 (1987), 7-20 &lt;www.jstor.org/stable/20567995&gt; [assessed 9th April 2021).</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rPr>
          <w:rFonts w:ascii="Palatino" w:cs="Palatino" w:hAnsi="Palatino" w:eastAsia="Palatino"/>
          <w:b w:val="0"/>
          <w:bCs w:val="0"/>
          <w:sz w:val="22"/>
          <w:szCs w:val="22"/>
        </w:rPr>
      </w:pPr>
    </w:p>
    <w:p>
      <w:pPr>
        <w:pStyle w:val="Footnote"/>
        <w:rPr>
          <w:sz w:val="22"/>
          <w:szCs w:val="22"/>
        </w:rPr>
      </w:pPr>
      <w:r>
        <w:rPr>
          <w:sz w:val="22"/>
          <w:szCs w:val="22"/>
          <w:rtl w:val="0"/>
        </w:rPr>
        <w:t>Đ</w:t>
      </w:r>
      <w:r>
        <w:rPr>
          <w:sz w:val="22"/>
          <w:szCs w:val="22"/>
          <w:rtl w:val="0"/>
        </w:rPr>
        <w:t>ermek</w:t>
      </w:r>
      <w:r>
        <w:rPr>
          <w:sz w:val="22"/>
          <w:szCs w:val="22"/>
          <w:rtl w:val="0"/>
          <w:lang w:val="en-US"/>
        </w:rPr>
        <w:t xml:space="preserve">, </w:t>
      </w:r>
      <w:r>
        <w:rPr>
          <w:sz w:val="22"/>
          <w:szCs w:val="22"/>
          <w:rtl w:val="0"/>
        </w:rPr>
        <w:t>An</w:t>
      </w:r>
      <w:r>
        <w:rPr>
          <w:sz w:val="22"/>
          <w:szCs w:val="22"/>
          <w:rtl w:val="0"/>
        </w:rPr>
        <w:t>đ</w:t>
      </w:r>
      <w:r>
        <w:rPr>
          <w:sz w:val="22"/>
          <w:szCs w:val="22"/>
          <w:rtl w:val="0"/>
        </w:rPr>
        <w:t>elko</w:t>
      </w:r>
      <w:r>
        <w:rPr>
          <w:sz w:val="22"/>
          <w:szCs w:val="22"/>
          <w:rtl w:val="0"/>
          <w:lang w:val="en-US"/>
        </w:rPr>
        <w:t xml:space="preserve">, </w:t>
      </w:r>
      <w:r>
        <w:rPr>
          <w:sz w:val="22"/>
          <w:szCs w:val="22"/>
          <w:rtl w:val="0"/>
          <w:lang w:val="en-US"/>
        </w:rPr>
        <w:t>‘</w:t>
      </w:r>
      <w:r>
        <w:rPr>
          <w:sz w:val="22"/>
          <w:szCs w:val="22"/>
          <w:rtl w:val="0"/>
          <w:lang w:val="de-DE"/>
        </w:rPr>
        <w:t>Stonehenge Triangle</w:t>
      </w:r>
      <w:r>
        <w:rPr>
          <w:sz w:val="22"/>
          <w:szCs w:val="22"/>
          <w:rtl w:val="0"/>
          <w:lang w:val="en-US"/>
        </w:rPr>
        <w:t>’</w:t>
      </w:r>
      <w:r>
        <w:rPr>
          <w:sz w:val="22"/>
          <w:szCs w:val="22"/>
          <w:rtl w:val="0"/>
          <w:lang w:val="en-US"/>
        </w:rPr>
        <w:t xml:space="preserve">, </w:t>
      </w:r>
      <w:r>
        <w:rPr>
          <w:i w:val="1"/>
          <w:iCs w:val="1"/>
          <w:sz w:val="22"/>
          <w:szCs w:val="22"/>
          <w:rtl w:val="0"/>
          <w:lang w:val="de-DE"/>
        </w:rPr>
        <w:t>STUDIA MYTHOLOGICA SLAVICA</w:t>
      </w:r>
      <w:r>
        <w:rPr>
          <w:i w:val="1"/>
          <w:iCs w:val="1"/>
          <w:sz w:val="22"/>
          <w:szCs w:val="22"/>
          <w:rtl w:val="0"/>
          <w:lang w:val="en-US"/>
        </w:rPr>
        <w:t>,</w:t>
      </w:r>
      <w:r>
        <w:rPr>
          <w:sz w:val="22"/>
          <w:szCs w:val="22"/>
          <w:rtl w:val="0"/>
          <w:lang w:val="it-IT"/>
        </w:rPr>
        <w:t xml:space="preserve"> XVI </w:t>
      </w:r>
      <w:r>
        <w:rPr>
          <w:sz w:val="22"/>
          <w:szCs w:val="22"/>
          <w:rtl w:val="0"/>
          <w:lang w:val="en-US"/>
        </w:rPr>
        <w:t>(</w:t>
      </w:r>
      <w:r>
        <w:rPr>
          <w:sz w:val="22"/>
          <w:szCs w:val="22"/>
          <w:rtl w:val="0"/>
        </w:rPr>
        <w:t>2013</w:t>
      </w:r>
      <w:r>
        <w:rPr>
          <w:sz w:val="22"/>
          <w:szCs w:val="22"/>
          <w:rtl w:val="0"/>
          <w:lang w:val="en-US"/>
        </w:rPr>
        <w:t>)</w:t>
      </w:r>
      <w:r>
        <w:rPr>
          <w:sz w:val="22"/>
          <w:szCs w:val="22"/>
          <w:rtl w:val="0"/>
        </w:rPr>
        <w:t>, 47-53</w:t>
      </w:r>
      <w:r>
        <w:rPr>
          <w:sz w:val="22"/>
          <w:szCs w:val="22"/>
          <w:rtl w:val="0"/>
          <w:lang w:val="en-US"/>
        </w:rPr>
        <w:t>, p. 47 &lt;</w:t>
      </w:r>
      <w:r>
        <w:rPr>
          <w:sz w:val="22"/>
          <w:szCs w:val="22"/>
          <w:rtl w:val="0"/>
        </w:rPr>
        <w:t>http://sms.zrc-sazu.si/pdf/16/03-sms16-djermek.pdf</w:t>
      </w:r>
      <w:r>
        <w:rPr>
          <w:sz w:val="22"/>
          <w:szCs w:val="22"/>
          <w:rtl w:val="0"/>
          <w:lang w:val="en-US"/>
        </w:rPr>
        <w:t>&gt; [assessed 27th April 2021}.</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rPr>
          <w:rFonts w:ascii="Palatino" w:cs="Palatino" w:hAnsi="Palatino" w:eastAsia="Palatino"/>
          <w:b w:val="0"/>
          <w:bCs w:val="0"/>
          <w:sz w:val="22"/>
          <w:szCs w:val="22"/>
        </w:rPr>
      </w:pPr>
    </w:p>
    <w:p>
      <w:pPr>
        <w:pStyle w:val="Footnote"/>
        <w:rPr>
          <w:sz w:val="22"/>
          <w:szCs w:val="22"/>
        </w:rPr>
      </w:pPr>
      <w:r>
        <w:rPr>
          <w:sz w:val="22"/>
          <w:szCs w:val="22"/>
          <w:rtl w:val="0"/>
          <w:lang w:val="en-US"/>
        </w:rPr>
        <w:t xml:space="preserve">Devereux, </w:t>
      </w:r>
      <w:r>
        <w:rPr>
          <w:sz w:val="22"/>
          <w:szCs w:val="22"/>
          <w:rtl w:val="0"/>
        </w:rPr>
        <w:t>Paul</w:t>
      </w:r>
      <w:r>
        <w:rPr>
          <w:sz w:val="22"/>
          <w:szCs w:val="22"/>
          <w:rtl w:val="0"/>
          <w:lang w:val="en-US"/>
        </w:rPr>
        <w:t xml:space="preserve">, </w:t>
      </w:r>
      <w:r>
        <w:rPr>
          <w:i w:val="1"/>
          <w:iCs w:val="1"/>
          <w:sz w:val="22"/>
          <w:szCs w:val="22"/>
          <w:rtl w:val="0"/>
          <w:lang w:val="en-US"/>
        </w:rPr>
        <w:t>Places Of Power</w:t>
      </w:r>
      <w:r>
        <w:rPr>
          <w:sz w:val="22"/>
          <w:szCs w:val="22"/>
          <w:rtl w:val="0"/>
          <w:lang w:val="en-US"/>
        </w:rPr>
        <w:t xml:space="preserve"> (London: Blandford, 1990).</w:t>
      </w:r>
    </w:p>
    <w:p>
      <w:pPr>
        <w:pStyle w:val="Footnote"/>
        <w:rPr>
          <w:sz w:val="22"/>
          <w:szCs w:val="22"/>
        </w:rPr>
      </w:pPr>
    </w:p>
    <w:p>
      <w:pPr>
        <w:pStyle w:val="Footnote"/>
        <w:rPr>
          <w:sz w:val="22"/>
          <w:szCs w:val="22"/>
        </w:rPr>
      </w:pPr>
      <w:r>
        <w:rPr>
          <w:sz w:val="22"/>
          <w:szCs w:val="22"/>
          <w:rtl w:val="0"/>
          <w:lang w:val="en-US"/>
        </w:rPr>
        <w:t xml:space="preserve">Emerson, </w:t>
      </w:r>
      <w:r>
        <w:rPr>
          <w:sz w:val="22"/>
          <w:szCs w:val="22"/>
          <w:rtl w:val="0"/>
          <w:lang w:val="de-DE"/>
        </w:rPr>
        <w:t>Ralph Waldo</w:t>
      </w:r>
      <w:r>
        <w:rPr>
          <w:sz w:val="22"/>
          <w:szCs w:val="22"/>
          <w:rtl w:val="0"/>
          <w:lang w:val="en-US"/>
        </w:rPr>
        <w:t xml:space="preserve">, </w:t>
      </w:r>
      <w:r>
        <w:rPr>
          <w:sz w:val="22"/>
          <w:szCs w:val="22"/>
          <w:rtl w:val="0"/>
          <w:lang w:val="en-US"/>
        </w:rPr>
        <w:t>‘</w:t>
      </w:r>
      <w:r>
        <w:rPr>
          <w:sz w:val="22"/>
          <w:szCs w:val="22"/>
          <w:rtl w:val="0"/>
          <w:lang w:val="en-US"/>
        </w:rPr>
        <w:t>Nature</w:t>
      </w:r>
      <w:r>
        <w:rPr>
          <w:sz w:val="22"/>
          <w:szCs w:val="22"/>
          <w:rtl w:val="0"/>
          <w:lang w:val="en-US"/>
        </w:rPr>
        <w:t xml:space="preserve">’ </w:t>
      </w:r>
      <w:r>
        <w:rPr>
          <w:sz w:val="22"/>
          <w:szCs w:val="22"/>
          <w:rtl w:val="0"/>
          <w:lang w:val="en-US"/>
        </w:rPr>
        <w:t xml:space="preserve">in </w:t>
      </w:r>
      <w:r>
        <w:rPr>
          <w:i w:val="1"/>
          <w:iCs w:val="1"/>
          <w:sz w:val="22"/>
          <w:szCs w:val="22"/>
          <w:rtl w:val="0"/>
          <w:lang w:val="en-US"/>
        </w:rPr>
        <w:t>Nature And Selected Essays</w:t>
      </w:r>
      <w:r>
        <w:rPr>
          <w:sz w:val="22"/>
          <w:szCs w:val="22"/>
          <w:rtl w:val="0"/>
          <w:lang w:val="en-US"/>
        </w:rPr>
        <w:t>, 2003 edn. (Penguin Classics, Penguin Group, 1982).</w:t>
      </w:r>
    </w:p>
    <w:p>
      <w:pPr>
        <w:pStyle w:val="Footnote"/>
        <w:rPr>
          <w:sz w:val="22"/>
          <w:szCs w:val="22"/>
        </w:rPr>
      </w:pPr>
    </w:p>
    <w:p>
      <w:pPr>
        <w:pStyle w:val="Footnote"/>
        <w:rPr>
          <w:sz w:val="22"/>
          <w:szCs w:val="22"/>
        </w:rPr>
      </w:pPr>
      <w:r>
        <w:rPr>
          <w:sz w:val="22"/>
          <w:szCs w:val="22"/>
          <w:rtl w:val="0"/>
          <w:lang w:val="en-US"/>
        </w:rPr>
        <w:t xml:space="preserve">Etherington, </w:t>
      </w:r>
      <w:r>
        <w:rPr>
          <w:sz w:val="22"/>
          <w:szCs w:val="22"/>
          <w:rtl w:val="0"/>
        </w:rPr>
        <w:t>Kim</w:t>
      </w:r>
      <w:r>
        <w:rPr>
          <w:sz w:val="22"/>
          <w:szCs w:val="22"/>
          <w:rtl w:val="0"/>
          <w:lang w:val="en-US"/>
        </w:rPr>
        <w:t xml:space="preserve">, </w:t>
      </w:r>
      <w:r>
        <w:rPr>
          <w:i w:val="1"/>
          <w:iCs w:val="1"/>
          <w:sz w:val="22"/>
          <w:szCs w:val="22"/>
          <w:rtl w:val="0"/>
          <w:lang w:val="en-US"/>
        </w:rPr>
        <w:t>Becoming A Reflexive Researcher</w:t>
      </w:r>
      <w:r>
        <w:rPr>
          <w:sz w:val="22"/>
          <w:szCs w:val="22"/>
          <w:rtl w:val="0"/>
          <w:lang w:val="en-US"/>
        </w:rPr>
        <w:t xml:space="preserve"> (London: Jessica Kingsley Publishers, 2004).</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rPr>
          <w:rFonts w:ascii="Palatino" w:cs="Palatino" w:hAnsi="Palatino" w:eastAsia="Palatino"/>
          <w:b w:val="0"/>
          <w:bCs w:val="0"/>
          <w:sz w:val="22"/>
          <w:szCs w:val="22"/>
        </w:rPr>
      </w:pPr>
      <w:r>
        <w:rPr>
          <w:rFonts w:ascii="Palatino" w:hAnsi="Palatino"/>
          <w:b w:val="0"/>
          <w:bCs w:val="0"/>
          <w:sz w:val="22"/>
          <w:szCs w:val="22"/>
          <w:rtl w:val="0"/>
          <w:lang w:val="en-US"/>
        </w:rPr>
        <w:t xml:space="preserve">Friis Auster, Tina Jensen, </w:t>
      </w:r>
      <w:r>
        <w:rPr>
          <w:rFonts w:ascii="Palatino" w:hAnsi="Palatino" w:hint="default"/>
          <w:b w:val="0"/>
          <w:bCs w:val="0"/>
          <w:sz w:val="22"/>
          <w:szCs w:val="22"/>
          <w:rtl w:val="0"/>
          <w:lang w:val="en-US"/>
        </w:rPr>
        <w:t>‘</w:t>
      </w:r>
      <w:r>
        <w:rPr>
          <w:rFonts w:ascii="Palatino" w:hAnsi="Palatino"/>
          <w:b w:val="0"/>
          <w:bCs w:val="0"/>
          <w:sz w:val="22"/>
          <w:szCs w:val="22"/>
          <w:rtl w:val="0"/>
          <w:lang w:val="en-US"/>
        </w:rPr>
        <w:t>Boscawen-un Field Study Journal</w:t>
      </w:r>
      <w:r>
        <w:rPr>
          <w:rFonts w:ascii="Palatino" w:hAnsi="Palatino" w:hint="default"/>
          <w:b w:val="0"/>
          <w:bCs w:val="0"/>
          <w:sz w:val="22"/>
          <w:szCs w:val="22"/>
          <w:rtl w:val="0"/>
          <w:lang w:val="en-US"/>
        </w:rPr>
        <w:t>’</w:t>
      </w:r>
      <w:r>
        <w:rPr>
          <w:rFonts w:ascii="Palatino" w:hAnsi="Palatino"/>
          <w:b w:val="0"/>
          <w:bCs w:val="0"/>
          <w:sz w:val="22"/>
          <w:szCs w:val="22"/>
          <w:rtl w:val="0"/>
          <w:lang w:val="en-US"/>
        </w:rPr>
        <w:t>, 2021.</w:t>
      </w:r>
    </w:p>
    <w:p>
      <w:pPr>
        <w:pStyle w:val="Footnote"/>
        <w:rPr>
          <w:sz w:val="22"/>
          <w:szCs w:val="22"/>
        </w:rPr>
      </w:pPr>
    </w:p>
    <w:p>
      <w:pPr>
        <w:pStyle w:val="Footnote"/>
        <w:rPr>
          <w:sz w:val="22"/>
          <w:szCs w:val="22"/>
        </w:rPr>
      </w:pPr>
      <w:r>
        <w:rPr>
          <w:sz w:val="22"/>
          <w:szCs w:val="22"/>
          <w:rtl w:val="0"/>
          <w:lang w:val="en-US"/>
        </w:rPr>
        <w:t xml:space="preserve">Hennick, </w:t>
      </w:r>
      <w:r>
        <w:rPr>
          <w:sz w:val="22"/>
          <w:szCs w:val="22"/>
          <w:rtl w:val="0"/>
          <w:lang w:val="fr-FR"/>
        </w:rPr>
        <w:t>Monique</w:t>
      </w:r>
      <w:r>
        <w:rPr>
          <w:sz w:val="22"/>
          <w:szCs w:val="22"/>
          <w:rtl w:val="0"/>
          <w:lang w:val="en-US"/>
        </w:rPr>
        <w:t xml:space="preserve">, Inge Hutter and Ajay Bailey, </w:t>
      </w:r>
      <w:r>
        <w:rPr>
          <w:i w:val="1"/>
          <w:iCs w:val="1"/>
          <w:sz w:val="22"/>
          <w:szCs w:val="22"/>
          <w:rtl w:val="0"/>
          <w:lang w:val="en-US"/>
        </w:rPr>
        <w:t>Qualitative Research Methods</w:t>
      </w:r>
      <w:r>
        <w:rPr>
          <w:sz w:val="22"/>
          <w:szCs w:val="22"/>
          <w:rtl w:val="0"/>
          <w:lang w:val="en-US"/>
        </w:rPr>
        <w:t>, 2</w:t>
      </w:r>
      <w:r>
        <w:rPr>
          <w:sz w:val="22"/>
          <w:szCs w:val="22"/>
          <w:vertAlign w:val="superscript"/>
          <w:rtl w:val="0"/>
          <w:lang w:val="en-US"/>
        </w:rPr>
        <w:t>nd</w:t>
      </w:r>
      <w:r>
        <w:rPr>
          <w:sz w:val="22"/>
          <w:szCs w:val="22"/>
          <w:rtl w:val="0"/>
          <w:lang w:val="en-US"/>
        </w:rPr>
        <w:t xml:space="preserve"> edn. (London: Sage, 2020).</w:t>
      </w:r>
    </w:p>
    <w:p>
      <w:pPr>
        <w:pStyle w:val="Footnote"/>
        <w:rPr>
          <w:sz w:val="22"/>
          <w:szCs w:val="22"/>
        </w:rPr>
      </w:pPr>
    </w:p>
    <w:p>
      <w:pPr>
        <w:pStyle w:val="Footnote"/>
        <w:rPr>
          <w:sz w:val="22"/>
          <w:szCs w:val="22"/>
        </w:rPr>
      </w:pPr>
      <w:r>
        <w:rPr>
          <w:sz w:val="22"/>
          <w:szCs w:val="22"/>
          <w:rtl w:val="0"/>
          <w:lang w:val="de-DE"/>
        </w:rPr>
        <w:t>Herring</w:t>
      </w:r>
      <w:r>
        <w:rPr>
          <w:sz w:val="22"/>
          <w:szCs w:val="22"/>
          <w:rtl w:val="0"/>
          <w:lang w:val="en-US"/>
        </w:rPr>
        <w:t>, Peter</w:t>
      </w:r>
      <w:r>
        <w:rPr>
          <w:sz w:val="22"/>
          <w:szCs w:val="22"/>
          <w:rtl w:val="0"/>
        </w:rPr>
        <w:t xml:space="preserve">, </w:t>
      </w:r>
      <w:r>
        <w:rPr>
          <w:sz w:val="22"/>
          <w:szCs w:val="22"/>
          <w:rtl w:val="1"/>
        </w:rPr>
        <w:t>‘</w:t>
      </w:r>
      <w:r>
        <w:rPr>
          <w:sz w:val="22"/>
          <w:szCs w:val="22"/>
          <w:rtl w:val="0"/>
          <w:lang w:val="en-US"/>
        </w:rPr>
        <w:t>Boscawen-un, St. Buryan, Cornwall, Archaeological Assessment</w:t>
      </w:r>
      <w:r>
        <w:rPr>
          <w:sz w:val="22"/>
          <w:szCs w:val="22"/>
          <w:rtl w:val="1"/>
        </w:rPr>
        <w:t>’</w:t>
      </w:r>
      <w:r>
        <w:rPr>
          <w:sz w:val="22"/>
          <w:szCs w:val="22"/>
          <w:rtl w:val="0"/>
          <w:lang w:val="en-US"/>
        </w:rPr>
        <w:t>, A Report for Penwith District Council, Cornwall Archaeological Unit, Cornwall County Council (2000)</w:t>
      </w:r>
      <w:r>
        <w:rPr>
          <w:sz w:val="22"/>
          <w:szCs w:val="22"/>
          <w:rtl w:val="0"/>
          <w:lang w:val="en-US"/>
        </w:rPr>
        <w:t xml:space="preserve"> &lt;</w:t>
      </w:r>
      <w:r>
        <w:rPr>
          <w:sz w:val="22"/>
          <w:szCs w:val="22"/>
          <w:rtl w:val="0"/>
          <w:lang w:val="en-US"/>
        </w:rPr>
        <w:t>https://map.cornwall.gov.uk/reports_event_record/2000/2000R024.pdf</w:t>
      </w:r>
      <w:r>
        <w:rPr>
          <w:sz w:val="22"/>
          <w:szCs w:val="22"/>
          <w:rtl w:val="0"/>
          <w:lang w:val="en-US"/>
        </w:rPr>
        <w:t>&gt; [assessed 19th April 2021].</w:t>
      </w:r>
    </w:p>
    <w:p>
      <w:pPr>
        <w:pStyle w:val="Footnote"/>
        <w:rPr>
          <w:sz w:val="22"/>
          <w:szCs w:val="22"/>
        </w:rPr>
      </w:pPr>
    </w:p>
    <w:p>
      <w:pPr>
        <w:pStyle w:val="Footnote"/>
        <w:rPr>
          <w:sz w:val="22"/>
          <w:szCs w:val="22"/>
        </w:rPr>
      </w:pPr>
      <w:r>
        <w:rPr>
          <w:sz w:val="22"/>
          <w:szCs w:val="22"/>
          <w:rtl w:val="0"/>
          <w:lang w:val="en-US"/>
        </w:rPr>
        <w:t>Kennett</w:t>
      </w:r>
      <w:r>
        <w:rPr>
          <w:sz w:val="22"/>
          <w:szCs w:val="22"/>
          <w:rtl w:val="0"/>
          <w:lang w:val="en-US"/>
        </w:rPr>
        <w:t xml:space="preserve">, </w:t>
      </w:r>
      <w:r>
        <w:rPr>
          <w:sz w:val="22"/>
          <w:szCs w:val="22"/>
          <w:rtl w:val="0"/>
          <w:lang w:val="en-US"/>
        </w:rPr>
        <w:t xml:space="preserve">Carolyn, </w:t>
      </w:r>
      <w:r>
        <w:rPr>
          <w:sz w:val="22"/>
          <w:szCs w:val="22"/>
          <w:rtl w:val="0"/>
          <w:lang w:val="en-US"/>
        </w:rPr>
        <w:t>‘</w:t>
      </w:r>
      <w:r>
        <w:rPr>
          <w:sz w:val="22"/>
          <w:szCs w:val="22"/>
          <w:rtl w:val="0"/>
          <w:lang w:val="en-US"/>
        </w:rPr>
        <w:t>An Astronomical Examination Of Boscawen-un Stone Circle</w:t>
      </w:r>
      <w:r>
        <w:rPr>
          <w:sz w:val="22"/>
          <w:szCs w:val="22"/>
          <w:rtl w:val="0"/>
          <w:lang w:val="en-US"/>
        </w:rPr>
        <w:t xml:space="preserve">’ </w:t>
      </w:r>
      <w:r>
        <w:rPr>
          <w:sz w:val="22"/>
          <w:szCs w:val="22"/>
          <w:rtl w:val="0"/>
          <w:lang w:val="en-US"/>
        </w:rPr>
        <w:t>(Dissertation, University of Central Lancaster, 2016-17) &lt;www.academia.edu/33532903/Boscawen_un_an_archaeoastronomy_study_Dissertation_pdf&gt; [assessed 22nd March 2021).</w:t>
      </w:r>
    </w:p>
    <w:p>
      <w:pPr>
        <w:pStyle w:val="Footnote"/>
        <w:rPr>
          <w:sz w:val="22"/>
          <w:szCs w:val="22"/>
        </w:rPr>
      </w:pPr>
    </w:p>
    <w:p>
      <w:pPr>
        <w:pStyle w:val="Footnote"/>
        <w:rPr>
          <w:sz w:val="22"/>
          <w:szCs w:val="22"/>
        </w:rPr>
      </w:pPr>
      <w:r>
        <w:rPr>
          <w:sz w:val="22"/>
          <w:szCs w:val="22"/>
          <w:rtl w:val="0"/>
          <w:lang w:val="en-US"/>
        </w:rPr>
        <w:t xml:space="preserve">Kennett, </w:t>
      </w:r>
      <w:r>
        <w:rPr>
          <w:sz w:val="22"/>
          <w:szCs w:val="22"/>
          <w:rtl w:val="0"/>
          <w:lang w:val="da-DK"/>
        </w:rPr>
        <w:t>Carolyn</w:t>
      </w:r>
      <w:r>
        <w:rPr>
          <w:sz w:val="22"/>
          <w:szCs w:val="22"/>
          <w:rtl w:val="0"/>
          <w:lang w:val="en-US"/>
        </w:rPr>
        <w:t xml:space="preserve">, </w:t>
      </w:r>
      <w:r>
        <w:rPr>
          <w:i w:val="1"/>
          <w:iCs w:val="1"/>
          <w:sz w:val="22"/>
          <w:szCs w:val="22"/>
          <w:rtl w:val="0"/>
          <w:lang w:val="en-US"/>
        </w:rPr>
        <w:t>Celestial Stone Circles Of West Cornwall, Reflections Of The Sky In An Ancient Landscape</w:t>
      </w:r>
      <w:r>
        <w:rPr>
          <w:sz w:val="22"/>
          <w:szCs w:val="22"/>
          <w:rtl w:val="0"/>
          <w:lang w:val="en-US"/>
        </w:rPr>
        <w:t xml:space="preserve"> (Great Britain: Cornwall Stargazers, 2018).</w:t>
      </w:r>
    </w:p>
    <w:p>
      <w:pPr>
        <w:pStyle w:val="Footnote"/>
        <w:rPr>
          <w:sz w:val="22"/>
          <w:szCs w:val="22"/>
        </w:rPr>
      </w:pPr>
    </w:p>
    <w:p>
      <w:pPr>
        <w:pStyle w:val="Footnote"/>
        <w:rPr>
          <w:sz w:val="22"/>
          <w:szCs w:val="22"/>
        </w:rPr>
      </w:pPr>
      <w:r>
        <w:rPr>
          <w:sz w:val="22"/>
          <w:szCs w:val="22"/>
          <w:rtl w:val="0"/>
          <w:lang w:val="en-US"/>
        </w:rPr>
        <w:t xml:space="preserve">Krupp, </w:t>
      </w:r>
      <w:r>
        <w:rPr>
          <w:sz w:val="22"/>
          <w:szCs w:val="22"/>
          <w:rtl w:val="0"/>
          <w:lang w:val="it-IT"/>
        </w:rPr>
        <w:t>E.C.</w:t>
      </w:r>
      <w:r>
        <w:rPr>
          <w:sz w:val="22"/>
          <w:szCs w:val="22"/>
          <w:rtl w:val="0"/>
          <w:lang w:val="en-US"/>
        </w:rPr>
        <w:t xml:space="preserve">, </w:t>
      </w:r>
      <w:r>
        <w:rPr>
          <w:i w:val="1"/>
          <w:iCs w:val="1"/>
          <w:sz w:val="22"/>
          <w:szCs w:val="22"/>
          <w:rtl w:val="0"/>
          <w:lang w:val="en-US"/>
        </w:rPr>
        <w:t>Astronomy And The Archaeology Of Power</w:t>
      </w:r>
      <w:r>
        <w:rPr>
          <w:sz w:val="22"/>
          <w:szCs w:val="22"/>
          <w:rtl w:val="0"/>
          <w:lang w:val="en-US"/>
        </w:rPr>
        <w:t xml:space="preserve"> (USA: Wiley Popular Science, 1997).</w:t>
      </w:r>
    </w:p>
    <w:p>
      <w:pPr>
        <w:pStyle w:val="Footnote"/>
        <w:rPr>
          <w:sz w:val="22"/>
          <w:szCs w:val="22"/>
        </w:rPr>
      </w:pPr>
    </w:p>
    <w:p>
      <w:pPr>
        <w:pStyle w:val="Footnote"/>
        <w:rPr>
          <w:sz w:val="22"/>
          <w:szCs w:val="22"/>
        </w:rPr>
      </w:pPr>
      <w:r>
        <w:rPr>
          <w:sz w:val="22"/>
          <w:szCs w:val="22"/>
          <w:rtl w:val="0"/>
          <w:lang w:val="en-US"/>
        </w:rPr>
        <w:t xml:space="preserve">Lewis-Williams, David and David Pearce, </w:t>
      </w:r>
      <w:r>
        <w:rPr>
          <w:i w:val="1"/>
          <w:iCs w:val="1"/>
          <w:sz w:val="22"/>
          <w:szCs w:val="22"/>
          <w:rtl w:val="0"/>
          <w:lang w:val="en-US"/>
        </w:rPr>
        <w:t>Inside The Neolithic Mind</w:t>
      </w:r>
      <w:r>
        <w:rPr>
          <w:sz w:val="22"/>
          <w:szCs w:val="22"/>
          <w:rtl w:val="0"/>
          <w:lang w:val="en-US"/>
        </w:rPr>
        <w:t>, Paperback edn. (London: Thames &amp; Hudson, 2018).</w:t>
      </w:r>
    </w:p>
    <w:p>
      <w:pPr>
        <w:pStyle w:val="Footnote"/>
        <w:rPr>
          <w:sz w:val="22"/>
          <w:szCs w:val="22"/>
        </w:rPr>
      </w:pPr>
    </w:p>
    <w:p>
      <w:pPr>
        <w:pStyle w:val="Footnote"/>
        <w:rPr>
          <w:sz w:val="22"/>
          <w:szCs w:val="22"/>
        </w:rPr>
      </w:pPr>
      <w:r>
        <w:rPr>
          <w:sz w:val="22"/>
          <w:szCs w:val="22"/>
          <w:rtl w:val="0"/>
          <w:lang w:val="en-US"/>
        </w:rPr>
        <w:t xml:space="preserve">Lockyer, </w:t>
      </w:r>
      <w:r>
        <w:rPr>
          <w:sz w:val="22"/>
          <w:szCs w:val="22"/>
          <w:rtl w:val="0"/>
        </w:rPr>
        <w:t>Norman</w:t>
      </w:r>
      <w:r>
        <w:rPr>
          <w:sz w:val="22"/>
          <w:szCs w:val="22"/>
          <w:rtl w:val="0"/>
          <w:lang w:val="en-US"/>
        </w:rPr>
        <w:t xml:space="preserve">, </w:t>
      </w:r>
      <w:r>
        <w:rPr>
          <w:sz w:val="22"/>
          <w:szCs w:val="22"/>
          <w:rtl w:val="0"/>
          <w:lang w:val="en-US"/>
        </w:rPr>
        <w:t>‘</w:t>
      </w:r>
      <w:r>
        <w:rPr>
          <w:sz w:val="22"/>
          <w:szCs w:val="22"/>
          <w:rtl w:val="0"/>
          <w:lang w:val="en-US"/>
        </w:rPr>
        <w:t>Notes on Observations of Sun and Stars in Some British Stone Circles. Fourth Note. The Botallek Circles, St. Just, Cornwall</w:t>
      </w:r>
      <w:r>
        <w:rPr>
          <w:sz w:val="22"/>
          <w:szCs w:val="22"/>
          <w:rtl w:val="0"/>
          <w:lang w:val="en-US"/>
        </w:rPr>
        <w:t>’</w:t>
      </w:r>
      <w:r>
        <w:rPr>
          <w:sz w:val="22"/>
          <w:szCs w:val="22"/>
          <w:rtl w:val="0"/>
          <w:lang w:val="en-US"/>
        </w:rPr>
        <w:t xml:space="preserve">, </w:t>
      </w:r>
      <w:r>
        <w:rPr>
          <w:i w:val="1"/>
          <w:iCs w:val="1"/>
          <w:sz w:val="22"/>
          <w:szCs w:val="22"/>
          <w:rtl w:val="0"/>
          <w:lang w:val="en-US"/>
        </w:rPr>
        <w:t>Proceedings of the Royal Society of London. Series A, Containing papers if a mathematical ad Physical Character</w:t>
      </w:r>
      <w:r>
        <w:rPr>
          <w:sz w:val="22"/>
          <w:szCs w:val="22"/>
          <w:rtl w:val="0"/>
          <w:lang w:val="en-US"/>
        </w:rPr>
        <w:t>, 82 (552) (1909), 96-103</w:t>
      </w:r>
      <w:r>
        <w:rPr>
          <w:sz w:val="22"/>
          <w:szCs w:val="22"/>
          <w:rtl w:val="0"/>
        </w:rPr>
        <w:t xml:space="preserve"> &lt;www.jstor.org/stable/</w:t>
      </w:r>
      <w:r>
        <w:rPr>
          <w:sz w:val="22"/>
          <w:szCs w:val="22"/>
          <w:rtl w:val="0"/>
          <w:lang w:val="en-US"/>
        </w:rPr>
        <w:t>93042</w:t>
      </w:r>
      <w:r>
        <w:rPr>
          <w:sz w:val="22"/>
          <w:szCs w:val="22"/>
          <w:rtl w:val="0"/>
          <w:lang w:val="en-US"/>
        </w:rPr>
        <w:t xml:space="preserve">&gt; [assessed </w:t>
      </w:r>
      <w:r>
        <w:rPr>
          <w:sz w:val="22"/>
          <w:szCs w:val="22"/>
          <w:rtl w:val="0"/>
          <w:lang w:val="en-US"/>
        </w:rPr>
        <w:t>18</w:t>
      </w:r>
      <w:r>
        <w:rPr>
          <w:sz w:val="22"/>
          <w:szCs w:val="22"/>
          <w:rtl w:val="0"/>
          <w:lang w:val="en-US"/>
        </w:rPr>
        <w:t>th April 2021)</w:t>
      </w:r>
      <w:r>
        <w:rPr>
          <w:sz w:val="22"/>
          <w:szCs w:val="22"/>
          <w:rtl w:val="0"/>
          <w:lang w:val="en-US"/>
        </w:rPr>
        <w:t>.</w:t>
      </w:r>
    </w:p>
    <w:p>
      <w:pPr>
        <w:pStyle w:val="Footnote"/>
        <w:rPr>
          <w:sz w:val="22"/>
          <w:szCs w:val="22"/>
        </w:rPr>
      </w:pPr>
    </w:p>
    <w:p>
      <w:pPr>
        <w:pStyle w:val="Footnote"/>
        <w:rPr>
          <w:sz w:val="22"/>
          <w:szCs w:val="22"/>
        </w:rPr>
      </w:pPr>
      <w:r>
        <w:rPr>
          <w:sz w:val="22"/>
          <w:szCs w:val="22"/>
          <w:rtl w:val="0"/>
          <w:lang w:val="en-US"/>
        </w:rPr>
        <w:t xml:space="preserve">Lockyer, </w:t>
      </w:r>
      <w:r>
        <w:rPr>
          <w:sz w:val="22"/>
          <w:szCs w:val="22"/>
          <w:rtl w:val="0"/>
        </w:rPr>
        <w:t>Sir Norman</w:t>
      </w:r>
      <w:r>
        <w:rPr>
          <w:sz w:val="22"/>
          <w:szCs w:val="22"/>
          <w:rtl w:val="0"/>
          <w:lang w:val="en-US"/>
        </w:rPr>
        <w:t xml:space="preserve">, </w:t>
      </w:r>
      <w:r>
        <w:rPr>
          <w:i w:val="1"/>
          <w:iCs w:val="1"/>
          <w:sz w:val="22"/>
          <w:szCs w:val="22"/>
          <w:rtl w:val="0"/>
          <w:lang w:val="en-US"/>
        </w:rPr>
        <w:t>Stonehenge And Other British Stone Monuments</w:t>
      </w:r>
      <w:r>
        <w:rPr>
          <w:sz w:val="22"/>
          <w:szCs w:val="22"/>
          <w:rtl w:val="0"/>
          <w:lang w:val="en-US"/>
        </w:rPr>
        <w:t xml:space="preserve"> (Great Britain: Amazon, 2007).</w:t>
      </w:r>
    </w:p>
    <w:p>
      <w:pPr>
        <w:pStyle w:val="Footnote"/>
        <w:rPr>
          <w:sz w:val="22"/>
          <w:szCs w:val="22"/>
        </w:rPr>
      </w:pPr>
    </w:p>
    <w:p>
      <w:pPr>
        <w:pStyle w:val="Footnote"/>
        <w:rPr>
          <w:sz w:val="22"/>
          <w:szCs w:val="22"/>
          <w:lang w:val="en-US"/>
        </w:rPr>
      </w:pPr>
      <w:r>
        <w:rPr>
          <w:sz w:val="22"/>
          <w:szCs w:val="22"/>
          <w:rtl w:val="0"/>
          <w:lang w:val="en-US"/>
        </w:rPr>
        <w:t>McNeil Cooke,</w:t>
      </w:r>
      <w:r>
        <w:rPr>
          <w:sz w:val="22"/>
          <w:szCs w:val="22"/>
          <w:rtl w:val="0"/>
          <w:lang w:val="en-US"/>
        </w:rPr>
        <w:t xml:space="preserve"> </w:t>
      </w:r>
      <w:r>
        <w:rPr>
          <w:sz w:val="22"/>
          <w:szCs w:val="22"/>
          <w:rtl w:val="0"/>
          <w:lang w:val="en-US"/>
        </w:rPr>
        <w:t>Ian</w:t>
      </w:r>
      <w:r>
        <w:rPr>
          <w:sz w:val="22"/>
          <w:szCs w:val="22"/>
          <w:rtl w:val="0"/>
          <w:lang w:val="en-US"/>
        </w:rPr>
        <w:t>,</w:t>
      </w:r>
      <w:r>
        <w:rPr>
          <w:sz w:val="22"/>
          <w:szCs w:val="22"/>
          <w:rtl w:val="0"/>
          <w:lang w:val="en-US"/>
        </w:rPr>
        <w:t xml:space="preserve"> </w:t>
      </w:r>
      <w:r>
        <w:rPr>
          <w:i w:val="1"/>
          <w:iCs w:val="1"/>
          <w:sz w:val="22"/>
          <w:szCs w:val="22"/>
          <w:rtl w:val="0"/>
          <w:lang w:val="en-US"/>
        </w:rPr>
        <w:t>Mermaid To Mer</w:t>
      </w:r>
      <w:r>
        <w:rPr>
          <w:i w:val="1"/>
          <w:iCs w:val="1"/>
          <w:sz w:val="22"/>
          <w:szCs w:val="22"/>
          <w:rtl w:val="0"/>
          <w:lang w:val="en-US"/>
        </w:rPr>
        <w:t>ry</w:t>
      </w:r>
      <w:r>
        <w:rPr>
          <w:i w:val="1"/>
          <w:iCs w:val="1"/>
          <w:sz w:val="22"/>
          <w:szCs w:val="22"/>
          <w:rtl w:val="0"/>
          <w:lang w:val="en-US"/>
        </w:rPr>
        <w:t>maid: Journey To The Stones</w:t>
      </w:r>
      <w:r>
        <w:rPr>
          <w:sz w:val="22"/>
          <w:szCs w:val="22"/>
          <w:rtl w:val="0"/>
          <w:lang w:val="en-US"/>
        </w:rPr>
        <w:t>, 2</w:t>
      </w:r>
      <w:r>
        <w:rPr>
          <w:sz w:val="22"/>
          <w:szCs w:val="22"/>
          <w:vertAlign w:val="superscript"/>
          <w:rtl w:val="0"/>
          <w:lang w:val="en-US"/>
        </w:rPr>
        <w:t>nd</w:t>
      </w:r>
      <w:r>
        <w:rPr>
          <w:sz w:val="22"/>
          <w:szCs w:val="22"/>
          <w:rtl w:val="0"/>
          <w:lang w:val="en-US"/>
        </w:rPr>
        <w:t xml:space="preserve"> edn. (Redruth: Cornwall Litho, 1996).</w:t>
      </w:r>
    </w:p>
    <w:p>
      <w:pPr>
        <w:pStyle w:val="Footnote"/>
        <w:rPr>
          <w:sz w:val="22"/>
          <w:szCs w:val="22"/>
          <w:lang w:val="en-US"/>
        </w:rPr>
      </w:pPr>
    </w:p>
    <w:p>
      <w:pPr>
        <w:pStyle w:val="Footnote"/>
        <w:rPr>
          <w:sz w:val="22"/>
          <w:szCs w:val="22"/>
          <w:lang w:val="en-US"/>
        </w:rPr>
      </w:pPr>
      <w:r>
        <w:rPr>
          <w:sz w:val="22"/>
          <w:szCs w:val="22"/>
          <w:rtl w:val="0"/>
          <w:lang w:val="en-US"/>
        </w:rPr>
        <w:t xml:space="preserve">Neubauer, </w:t>
      </w:r>
      <w:r>
        <w:rPr>
          <w:sz w:val="22"/>
          <w:szCs w:val="22"/>
          <w:rtl w:val="0"/>
          <w:lang w:val="en-US"/>
        </w:rPr>
        <w:t>Brian E.</w:t>
      </w:r>
      <w:r>
        <w:rPr>
          <w:sz w:val="22"/>
          <w:szCs w:val="22"/>
          <w:rtl w:val="0"/>
          <w:lang w:val="en-US"/>
        </w:rPr>
        <w:t xml:space="preserve">, Cathrine T. Witkop and Lara Varpio, </w:t>
      </w:r>
      <w:r>
        <w:rPr>
          <w:sz w:val="22"/>
          <w:szCs w:val="22"/>
          <w:rtl w:val="0"/>
          <w:lang w:val="en-US"/>
        </w:rPr>
        <w:t>‘</w:t>
      </w:r>
      <w:r>
        <w:rPr>
          <w:sz w:val="22"/>
          <w:szCs w:val="22"/>
          <w:rtl w:val="0"/>
          <w:lang w:val="en-US"/>
        </w:rPr>
        <w:t>How Phenomenology Can Help Us Learn From The Experience Of Others</w:t>
      </w:r>
      <w:r>
        <w:rPr>
          <w:sz w:val="22"/>
          <w:szCs w:val="22"/>
          <w:rtl w:val="0"/>
          <w:lang w:val="en-US"/>
        </w:rPr>
        <w:t>’</w:t>
      </w:r>
      <w:r>
        <w:rPr>
          <w:sz w:val="22"/>
          <w:szCs w:val="22"/>
          <w:rtl w:val="0"/>
          <w:lang w:val="en-US"/>
        </w:rPr>
        <w:t xml:space="preserve">, </w:t>
      </w:r>
      <w:r>
        <w:rPr>
          <w:i w:val="1"/>
          <w:iCs w:val="1"/>
          <w:sz w:val="22"/>
          <w:szCs w:val="22"/>
          <w:rtl w:val="0"/>
          <w:lang w:val="en-US"/>
        </w:rPr>
        <w:t>Perspectives on Medical Education</w:t>
      </w:r>
      <w:r>
        <w:rPr>
          <w:sz w:val="22"/>
          <w:szCs w:val="22"/>
          <w:rtl w:val="0"/>
          <w:lang w:val="en-US"/>
        </w:rPr>
        <w:t>,</w:t>
      </w:r>
      <w:r>
        <w:rPr>
          <w:sz w:val="22"/>
          <w:szCs w:val="22"/>
          <w:rtl w:val="0"/>
        </w:rPr>
        <w:t> </w:t>
      </w:r>
      <w:r>
        <w:rPr>
          <w:sz w:val="22"/>
          <w:szCs w:val="22"/>
          <w:rtl w:val="0"/>
        </w:rPr>
        <w:t>8,</w:t>
      </w:r>
      <w:r>
        <w:rPr>
          <w:sz w:val="22"/>
          <w:szCs w:val="22"/>
          <w:rtl w:val="0"/>
          <w:lang w:val="en-US"/>
        </w:rPr>
        <w:t xml:space="preserve"> (2019), </w:t>
      </w:r>
      <w:r>
        <w:rPr>
          <w:sz w:val="22"/>
          <w:szCs w:val="22"/>
          <w:rtl w:val="0"/>
        </w:rPr>
        <w:t>90</w:t>
      </w:r>
      <w:r>
        <w:rPr>
          <w:sz w:val="22"/>
          <w:szCs w:val="22"/>
          <w:rtl w:val="0"/>
        </w:rPr>
        <w:t>–</w:t>
      </w:r>
      <w:r>
        <w:rPr>
          <w:sz w:val="22"/>
          <w:szCs w:val="22"/>
          <w:rtl w:val="0"/>
        </w:rPr>
        <w:t>97</w:t>
      </w:r>
      <w:r>
        <w:rPr>
          <w:sz w:val="22"/>
          <w:szCs w:val="22"/>
          <w:rtl w:val="0"/>
          <w:lang w:val="en-US"/>
        </w:rPr>
        <w:t xml:space="preserve"> &lt;doi:org/10.1007/s40037-019-0509-2&gt; {assessed 2nd May 2021].</w:t>
      </w:r>
    </w:p>
    <w:p>
      <w:pPr>
        <w:pStyle w:val="Footnote"/>
        <w:rPr>
          <w:sz w:val="22"/>
          <w:szCs w:val="22"/>
          <w:lang w:val="en-US"/>
        </w:rPr>
      </w:pPr>
    </w:p>
    <w:p>
      <w:pPr>
        <w:pStyle w:val="Footnote"/>
        <w:rPr>
          <w:sz w:val="22"/>
          <w:szCs w:val="22"/>
          <w:lang w:val="en-US"/>
        </w:rPr>
      </w:pPr>
      <w:r>
        <w:rPr>
          <w:sz w:val="22"/>
          <w:szCs w:val="22"/>
          <w:rtl w:val="0"/>
          <w:lang w:val="en-US"/>
        </w:rPr>
        <w:t xml:space="preserve">Pennick, </w:t>
      </w:r>
      <w:r>
        <w:rPr>
          <w:sz w:val="22"/>
          <w:szCs w:val="22"/>
          <w:rtl w:val="0"/>
          <w:lang w:val="da-DK"/>
        </w:rPr>
        <w:t>Nick</w:t>
      </w:r>
      <w:r>
        <w:rPr>
          <w:sz w:val="22"/>
          <w:szCs w:val="22"/>
          <w:rtl w:val="0"/>
          <w:lang w:val="en-US"/>
        </w:rPr>
        <w:t xml:space="preserve">, </w:t>
      </w:r>
      <w:r>
        <w:rPr>
          <w:i w:val="1"/>
          <w:iCs w:val="1"/>
          <w:sz w:val="22"/>
          <w:szCs w:val="22"/>
          <w:rtl w:val="0"/>
          <w:lang w:val="en-US"/>
        </w:rPr>
        <w:t>Celtic Sacred Landscapes</w:t>
      </w:r>
      <w:r>
        <w:rPr>
          <w:sz w:val="22"/>
          <w:szCs w:val="22"/>
          <w:rtl w:val="0"/>
          <w:lang w:val="en-US"/>
        </w:rPr>
        <w:t xml:space="preserve"> (New York: Thames and Hudson, 1996).</w:t>
      </w:r>
    </w:p>
    <w:p>
      <w:pPr>
        <w:pStyle w:val="Footnote"/>
        <w:rPr>
          <w:sz w:val="22"/>
          <w:szCs w:val="22"/>
        </w:rPr>
      </w:pPr>
    </w:p>
    <w:p>
      <w:pPr>
        <w:pStyle w:val="Footnote"/>
        <w:rPr>
          <w:sz w:val="22"/>
          <w:szCs w:val="22"/>
          <w:lang w:val="en-US"/>
        </w:rPr>
      </w:pPr>
      <w:r>
        <w:rPr>
          <w:sz w:val="22"/>
          <w:szCs w:val="22"/>
          <w:rtl w:val="0"/>
          <w:lang w:val="en-US"/>
        </w:rPr>
        <w:t xml:space="preserve">Pennick, </w:t>
      </w:r>
      <w:r>
        <w:rPr>
          <w:sz w:val="22"/>
          <w:szCs w:val="22"/>
          <w:rtl w:val="0"/>
          <w:lang w:val="de-DE"/>
        </w:rPr>
        <w:t>Nigel</w:t>
      </w:r>
      <w:r>
        <w:rPr>
          <w:sz w:val="22"/>
          <w:szCs w:val="22"/>
          <w:rtl w:val="0"/>
          <w:lang w:val="en-US"/>
        </w:rPr>
        <w:t xml:space="preserve">, </w:t>
      </w:r>
      <w:r>
        <w:rPr>
          <w:i w:val="1"/>
          <w:iCs w:val="1"/>
          <w:sz w:val="22"/>
          <w:szCs w:val="22"/>
          <w:rtl w:val="0"/>
          <w:lang w:val="en-US"/>
        </w:rPr>
        <w:t>Magic In The Landscape: Earth Mysteries &amp; Geomancy</w:t>
      </w:r>
      <w:r>
        <w:rPr>
          <w:sz w:val="22"/>
          <w:szCs w:val="22"/>
          <w:rtl w:val="0"/>
          <w:lang w:val="en-US"/>
        </w:rPr>
        <w:t>, USA edn. (Vermont: Desticy Books, 2020).</w:t>
      </w:r>
    </w:p>
    <w:p>
      <w:pPr>
        <w:pStyle w:val="Footnote"/>
        <w:rPr>
          <w:sz w:val="22"/>
          <w:szCs w:val="22"/>
          <w:lang w:val="en-US"/>
        </w:rPr>
      </w:pPr>
    </w:p>
    <w:p>
      <w:pPr>
        <w:pStyle w:val="Footnote"/>
        <w:rPr>
          <w:sz w:val="22"/>
          <w:szCs w:val="22"/>
        </w:rPr>
      </w:pPr>
      <w:r>
        <w:rPr>
          <w:sz w:val="22"/>
          <w:szCs w:val="22"/>
          <w:rtl w:val="0"/>
          <w:lang w:val="en-US"/>
        </w:rPr>
        <w:t xml:space="preserve">Pennick, </w:t>
      </w:r>
      <w:r>
        <w:rPr>
          <w:sz w:val="22"/>
          <w:szCs w:val="22"/>
          <w:rtl w:val="0"/>
          <w:lang w:val="de-DE"/>
        </w:rPr>
        <w:t>Nigel</w:t>
      </w:r>
      <w:r>
        <w:rPr>
          <w:sz w:val="22"/>
          <w:szCs w:val="22"/>
          <w:rtl w:val="0"/>
          <w:lang w:val="en-US"/>
        </w:rPr>
        <w:t xml:space="preserve">, </w:t>
      </w:r>
      <w:r>
        <w:rPr>
          <w:i w:val="1"/>
          <w:iCs w:val="1"/>
          <w:sz w:val="22"/>
          <w:szCs w:val="22"/>
          <w:rtl w:val="0"/>
          <w:lang w:val="en-US"/>
        </w:rPr>
        <w:t xml:space="preserve">The Book Of Primal </w:t>
      </w:r>
      <w:r>
        <w:rPr>
          <w:sz w:val="22"/>
          <w:szCs w:val="22"/>
          <w:rtl w:val="0"/>
          <w:lang w:val="en-US"/>
        </w:rPr>
        <w:t>Signs, US edn. (Rochester: Inner Traditions, 2014).</w:t>
      </w:r>
    </w:p>
    <w:p>
      <w:pPr>
        <w:pStyle w:val="Footnote"/>
        <w:rPr>
          <w:sz w:val="22"/>
          <w:szCs w:val="22"/>
        </w:rPr>
      </w:pPr>
    </w:p>
    <w:p>
      <w:pPr>
        <w:pStyle w:val="Footnote"/>
        <w:rPr>
          <w:sz w:val="22"/>
          <w:szCs w:val="22"/>
        </w:rPr>
      </w:pPr>
      <w:r>
        <w:rPr>
          <w:sz w:val="22"/>
          <w:szCs w:val="22"/>
          <w:rtl w:val="0"/>
          <w:lang w:val="en-US"/>
        </w:rPr>
        <w:t xml:space="preserve">Penwith District Council, Department of Planning and Economic Development, </w:t>
      </w:r>
      <w:r>
        <w:rPr>
          <w:sz w:val="22"/>
          <w:szCs w:val="22"/>
          <w:rtl w:val="0"/>
          <w:lang w:val="en-US"/>
        </w:rPr>
        <w:t>‘</w:t>
      </w:r>
      <w:r>
        <w:rPr>
          <w:sz w:val="22"/>
          <w:szCs w:val="22"/>
          <w:rtl w:val="0"/>
          <w:lang w:val="en-US"/>
        </w:rPr>
        <w:t>St. Buryan Conservation Area Statement, Conservation Area Guidance, Report no. ER860, Box 78, p. 3 &lt;</w:t>
      </w:r>
      <w:r>
        <w:rPr>
          <w:sz w:val="22"/>
          <w:szCs w:val="22"/>
          <w:rtl w:val="0"/>
          <w:lang w:val="en-US"/>
        </w:rPr>
        <w:t>https://map.cornwall.gov.uk/reports_conservation_areas/St%20Buryan_CA_Statement.pdf</w:t>
      </w:r>
      <w:r>
        <w:rPr>
          <w:sz w:val="22"/>
          <w:szCs w:val="22"/>
          <w:rtl w:val="0"/>
          <w:lang w:val="en-US"/>
        </w:rPr>
        <w:t>&gt; [assessed 8th May 2021].</w:t>
      </w:r>
    </w:p>
    <w:p>
      <w:pPr>
        <w:pStyle w:val="Footnote"/>
        <w:rPr>
          <w:sz w:val="22"/>
          <w:szCs w:val="22"/>
        </w:rPr>
      </w:pPr>
    </w:p>
    <w:p>
      <w:pPr>
        <w:pStyle w:val="Footnote"/>
        <w:rPr>
          <w:sz w:val="22"/>
          <w:szCs w:val="22"/>
        </w:rPr>
      </w:pPr>
      <w:r>
        <w:rPr>
          <w:sz w:val="22"/>
          <w:szCs w:val="22"/>
          <w:rtl w:val="0"/>
          <w:lang w:val="en-US"/>
        </w:rPr>
        <w:t xml:space="preserve">Perks, </w:t>
      </w:r>
      <w:r>
        <w:rPr>
          <w:sz w:val="22"/>
          <w:szCs w:val="22"/>
          <w:rtl w:val="0"/>
          <w:lang w:val="da-DK"/>
        </w:rPr>
        <w:t>Anthony M.</w:t>
      </w:r>
      <w:r>
        <w:rPr>
          <w:sz w:val="22"/>
          <w:szCs w:val="22"/>
          <w:rtl w:val="0"/>
          <w:lang w:val="en-US"/>
        </w:rPr>
        <w:t xml:space="preserve"> and Darlene Marie Bailey, </w:t>
      </w:r>
      <w:r>
        <w:rPr>
          <w:sz w:val="22"/>
          <w:szCs w:val="22"/>
          <w:rtl w:val="0"/>
          <w:lang w:val="en-US"/>
        </w:rPr>
        <w:t>‘</w:t>
      </w:r>
      <w:r>
        <w:rPr>
          <w:sz w:val="22"/>
          <w:szCs w:val="22"/>
          <w:rtl w:val="0"/>
          <w:lang w:val="en-US"/>
        </w:rPr>
        <w:t>Stonehenge; a view from medicine</w:t>
      </w:r>
      <w:r>
        <w:rPr>
          <w:sz w:val="22"/>
          <w:szCs w:val="22"/>
          <w:rtl w:val="0"/>
          <w:lang w:val="en-US"/>
        </w:rPr>
        <w:t>’</w:t>
      </w:r>
      <w:r>
        <w:rPr>
          <w:sz w:val="22"/>
          <w:szCs w:val="22"/>
          <w:rtl w:val="0"/>
          <w:lang w:val="en-US"/>
        </w:rPr>
        <w:t xml:space="preserve">, </w:t>
      </w:r>
      <w:r>
        <w:rPr>
          <w:i w:val="1"/>
          <w:iCs w:val="1"/>
          <w:sz w:val="22"/>
          <w:szCs w:val="22"/>
          <w:rtl w:val="0"/>
          <w:lang w:val="en-US"/>
        </w:rPr>
        <w:t xml:space="preserve">Journal of The Royal Society of </w:t>
      </w:r>
      <w:r>
        <w:rPr>
          <w:sz w:val="22"/>
          <w:szCs w:val="22"/>
          <w:rtl w:val="0"/>
          <w:lang w:val="en-US"/>
        </w:rPr>
        <w:t>Medicine, 96(2), 94-98, p. 94 &lt;doi: 10.1258/jrsm.96.2.94&gt; [assessed 9th April 2021].</w:t>
      </w:r>
    </w:p>
    <w:p>
      <w:pPr>
        <w:pStyle w:val="Footnote"/>
        <w:rPr>
          <w:sz w:val="22"/>
          <w:szCs w:val="22"/>
        </w:rPr>
      </w:pPr>
    </w:p>
    <w:p>
      <w:pPr>
        <w:pStyle w:val="Footnote"/>
        <w:rPr>
          <w:sz w:val="22"/>
          <w:szCs w:val="22"/>
        </w:rPr>
      </w:pPr>
      <w:r>
        <w:rPr>
          <w:sz w:val="22"/>
          <w:szCs w:val="22"/>
          <w:rtl w:val="0"/>
          <w:lang w:val="en-US"/>
        </w:rPr>
        <w:t xml:space="preserve">Silva, </w:t>
      </w:r>
      <w:r>
        <w:rPr>
          <w:sz w:val="22"/>
          <w:szCs w:val="22"/>
          <w:rtl w:val="0"/>
          <w:lang w:val="da-DK"/>
        </w:rPr>
        <w:t>Freddy</w:t>
      </w:r>
      <w:r>
        <w:rPr>
          <w:sz w:val="22"/>
          <w:szCs w:val="22"/>
          <w:rtl w:val="0"/>
          <w:lang w:val="en-US"/>
        </w:rPr>
        <w:t xml:space="preserve">, </w:t>
      </w:r>
      <w:r>
        <w:rPr>
          <w:i w:val="1"/>
          <w:iCs w:val="1"/>
          <w:sz w:val="22"/>
          <w:szCs w:val="22"/>
          <w:rtl w:val="0"/>
          <w:lang w:val="en-US"/>
        </w:rPr>
        <w:t>The Divine Blueprint</w:t>
      </w:r>
      <w:r>
        <w:rPr>
          <w:sz w:val="22"/>
          <w:szCs w:val="22"/>
          <w:rtl w:val="0"/>
          <w:lang w:val="en-US"/>
        </w:rPr>
        <w:t>, (Portland: Invisible Temple, 2016).</w:t>
      </w:r>
    </w:p>
    <w:p>
      <w:pPr>
        <w:pStyle w:val="Footnote"/>
        <w:rPr>
          <w:sz w:val="22"/>
          <w:szCs w:val="22"/>
        </w:rPr>
      </w:pPr>
    </w:p>
    <w:p>
      <w:pPr>
        <w:pStyle w:val="Footnote"/>
        <w:rPr>
          <w:sz w:val="22"/>
          <w:szCs w:val="22"/>
        </w:rPr>
      </w:pPr>
      <w:r>
        <w:rPr>
          <w:sz w:val="22"/>
          <w:szCs w:val="22"/>
          <w:rtl w:val="0"/>
          <w:lang w:val="it-IT"/>
        </w:rPr>
        <w:t>Walter Sullivan</w:t>
      </w:r>
      <w:r>
        <w:rPr>
          <w:sz w:val="22"/>
          <w:szCs w:val="22"/>
          <w:rtl w:val="0"/>
          <w:lang w:val="en-US"/>
        </w:rPr>
        <w:t xml:space="preserve">, </w:t>
      </w:r>
      <w:r>
        <w:rPr>
          <w:sz w:val="22"/>
          <w:szCs w:val="22"/>
          <w:rtl w:val="0"/>
          <w:lang w:val="en-US"/>
        </w:rPr>
        <w:t>‘</w:t>
      </w:r>
      <w:r>
        <w:rPr>
          <w:sz w:val="22"/>
          <w:szCs w:val="22"/>
          <w:rtl w:val="0"/>
          <w:lang w:val="en-US"/>
        </w:rPr>
        <w:t>Bone Markings Indicate Ice Age Notation System</w:t>
      </w:r>
      <w:r>
        <w:rPr>
          <w:sz w:val="22"/>
          <w:szCs w:val="22"/>
          <w:rtl w:val="0"/>
          <w:lang w:val="en-US"/>
        </w:rPr>
        <w:t>’</w:t>
      </w:r>
      <w:r>
        <w:rPr>
          <w:sz w:val="22"/>
          <w:szCs w:val="22"/>
          <w:rtl w:val="0"/>
          <w:lang w:val="en-US"/>
        </w:rPr>
        <w:t xml:space="preserve">, </w:t>
      </w:r>
      <w:r>
        <w:rPr>
          <w:i w:val="1"/>
          <w:iCs w:val="1"/>
          <w:sz w:val="22"/>
          <w:szCs w:val="22"/>
          <w:rtl w:val="0"/>
          <w:lang w:val="en-US"/>
        </w:rPr>
        <w:t>The New York Times Archives</w:t>
      </w:r>
      <w:r>
        <w:rPr>
          <w:sz w:val="22"/>
          <w:szCs w:val="22"/>
          <w:rtl w:val="0"/>
          <w:lang w:val="en-US"/>
        </w:rPr>
        <w:t>, 20th January 1971 &lt;</w:t>
      </w:r>
      <w:r>
        <w:rPr>
          <w:sz w:val="22"/>
          <w:szCs w:val="22"/>
          <w:rtl w:val="0"/>
          <w:lang w:val="en-US"/>
        </w:rPr>
        <w:t>https://www.nytimes.com/1971/01/20/archives/bone-markings-indicate-ice-age-notation-system-bone-marks-indicate.html</w:t>
      </w:r>
      <w:r>
        <w:rPr>
          <w:sz w:val="22"/>
          <w:szCs w:val="22"/>
          <w:rtl w:val="0"/>
          <w:lang w:val="en-US"/>
        </w:rPr>
        <w:t>&gt; [assessed 8th May 2021].</w:t>
      </w:r>
    </w:p>
    <w:p>
      <w:pPr>
        <w:pStyle w:val="Footnote"/>
        <w:rPr>
          <w:sz w:val="22"/>
          <w:szCs w:val="22"/>
        </w:rPr>
      </w:pPr>
    </w:p>
    <w:p>
      <w:pPr>
        <w:pStyle w:val="Footnote"/>
        <w:rPr>
          <w:sz w:val="22"/>
          <w:szCs w:val="22"/>
        </w:rPr>
      </w:pPr>
      <w:r>
        <w:rPr>
          <w:sz w:val="22"/>
          <w:szCs w:val="22"/>
          <w:rtl w:val="0"/>
          <w:lang w:val="en-US"/>
        </w:rPr>
        <w:t xml:space="preserve">Tilley, </w:t>
      </w:r>
      <w:r>
        <w:rPr>
          <w:sz w:val="22"/>
          <w:szCs w:val="22"/>
          <w:rtl w:val="0"/>
          <w:lang w:val="da-DK"/>
        </w:rPr>
        <w:t>Christopher</w:t>
      </w:r>
      <w:r>
        <w:rPr>
          <w:sz w:val="22"/>
          <w:szCs w:val="22"/>
          <w:rtl w:val="0"/>
          <w:lang w:val="en-US"/>
        </w:rPr>
        <w:t xml:space="preserve"> and Wayne Bennett, </w:t>
      </w:r>
      <w:r>
        <w:rPr>
          <w:sz w:val="22"/>
          <w:szCs w:val="22"/>
          <w:rtl w:val="0"/>
          <w:lang w:val="en-US"/>
        </w:rPr>
        <w:t>‘</w:t>
      </w:r>
      <w:r>
        <w:rPr>
          <w:sz w:val="22"/>
          <w:szCs w:val="22"/>
          <w:rtl w:val="0"/>
          <w:lang w:val="en-US"/>
        </w:rPr>
        <w:t>An Archaeology Of Supernatural Places: The Case Of West Penwith</w:t>
      </w:r>
      <w:r>
        <w:rPr>
          <w:sz w:val="22"/>
          <w:szCs w:val="22"/>
          <w:rtl w:val="0"/>
          <w:lang w:val="en-US"/>
        </w:rPr>
        <w:t>’</w:t>
      </w:r>
      <w:r>
        <w:rPr>
          <w:sz w:val="22"/>
          <w:szCs w:val="22"/>
          <w:rtl w:val="0"/>
          <w:lang w:val="en-US"/>
        </w:rPr>
        <w:t xml:space="preserve">, </w:t>
      </w:r>
      <w:r>
        <w:rPr>
          <w:i w:val="1"/>
          <w:iCs w:val="1"/>
          <w:sz w:val="22"/>
          <w:szCs w:val="22"/>
          <w:rtl w:val="0"/>
          <w:lang w:val="en-US"/>
        </w:rPr>
        <w:t>Journal of Royal Anthropological Institute</w:t>
      </w:r>
      <w:r>
        <w:rPr>
          <w:sz w:val="22"/>
          <w:szCs w:val="22"/>
          <w:rtl w:val="0"/>
          <w:lang w:val="en-US"/>
        </w:rPr>
        <w:t>, 7, 335-362 &lt;DOI????&gt; [assessed: ????].</w:t>
      </w:r>
    </w:p>
    <w:p>
      <w:pPr>
        <w:pStyle w:val="Footnote"/>
        <w:rPr>
          <w:sz w:val="22"/>
          <w:szCs w:val="22"/>
        </w:rPr>
      </w:pPr>
    </w:p>
    <w:p>
      <w:pPr>
        <w:pStyle w:val="Footnote"/>
        <w:rPr>
          <w:sz w:val="22"/>
          <w:szCs w:val="22"/>
        </w:rPr>
      </w:pPr>
      <w:r>
        <w:rPr>
          <w:sz w:val="22"/>
          <w:szCs w:val="22"/>
          <w:rtl w:val="0"/>
          <w:lang w:val="en-US"/>
        </w:rPr>
        <w:t xml:space="preserve">Tilley, </w:t>
      </w:r>
      <w:r>
        <w:rPr>
          <w:sz w:val="22"/>
          <w:szCs w:val="22"/>
          <w:rtl w:val="0"/>
          <w:lang w:val="da-DK"/>
        </w:rPr>
        <w:t>Christopher</w:t>
      </w:r>
      <w:r>
        <w:rPr>
          <w:sz w:val="22"/>
          <w:szCs w:val="22"/>
          <w:rtl w:val="0"/>
          <w:lang w:val="en-US"/>
        </w:rPr>
        <w:t xml:space="preserve">, </w:t>
      </w:r>
      <w:r>
        <w:rPr>
          <w:i w:val="1"/>
          <w:iCs w:val="1"/>
          <w:sz w:val="22"/>
          <w:szCs w:val="22"/>
          <w:rtl w:val="0"/>
          <w:lang w:val="en-US"/>
        </w:rPr>
        <w:t>The Materiality Of Stone, Explorations In Landscape Phenomenology</w:t>
      </w:r>
      <w:r>
        <w:rPr>
          <w:sz w:val="22"/>
          <w:szCs w:val="22"/>
          <w:rtl w:val="0"/>
          <w:lang w:val="en-US"/>
        </w:rPr>
        <w:t>, (London/New York: Routledge, 2004).</w:t>
      </w:r>
    </w:p>
    <w:p>
      <w:pPr>
        <w:pStyle w:val="Footnote"/>
        <w:rPr>
          <w:sz w:val="22"/>
          <w:szCs w:val="22"/>
          <w:lang w:val="en-US"/>
        </w:rPr>
      </w:pPr>
    </w:p>
    <w:p>
      <w:pPr>
        <w:pStyle w:val="Footnote"/>
        <w:rPr>
          <w:sz w:val="22"/>
          <w:szCs w:val="22"/>
          <w:lang w:val="en-US"/>
        </w:rPr>
      </w:pPr>
      <w:r>
        <w:rPr>
          <w:sz w:val="22"/>
          <w:szCs w:val="22"/>
          <w:rtl w:val="0"/>
          <w:lang w:val="en-US"/>
        </w:rPr>
        <w:t>Weatherhill, Craig</w:t>
      </w:r>
      <w:r>
        <w:rPr>
          <w:sz w:val="22"/>
          <w:szCs w:val="22"/>
          <w:rtl w:val="0"/>
          <w:lang w:val="en-US"/>
        </w:rPr>
        <w:t>,</w:t>
      </w:r>
      <w:r>
        <w:rPr>
          <w:sz w:val="22"/>
          <w:szCs w:val="22"/>
          <w:rtl w:val="0"/>
          <w:lang w:val="en-US"/>
        </w:rPr>
        <w:t xml:space="preserve"> </w:t>
      </w:r>
      <w:r>
        <w:rPr>
          <w:i w:val="1"/>
          <w:iCs w:val="1"/>
          <w:sz w:val="22"/>
          <w:szCs w:val="22"/>
          <w:rtl w:val="0"/>
          <w:lang w:val="en-US"/>
        </w:rPr>
        <w:t>Cornovia; Ancient Sites Of Cornwall &amp; Scilly, 4000 BC-1000AD</w:t>
      </w:r>
      <w:r>
        <w:rPr>
          <w:sz w:val="22"/>
          <w:szCs w:val="22"/>
          <w:rtl w:val="0"/>
          <w:lang w:val="en-US"/>
        </w:rPr>
        <w:t xml:space="preserve"> (Wellington: Halsgrove, 2011).</w:t>
      </w:r>
    </w:p>
    <w:p>
      <w:pPr>
        <w:pStyle w:val="Footnote"/>
        <w:rPr>
          <w:sz w:val="22"/>
          <w:szCs w:val="22"/>
        </w:rPr>
      </w:pPr>
    </w:p>
    <w:p>
      <w:pPr>
        <w:pStyle w:val="Footnote"/>
        <w:rPr>
          <w:i w:val="1"/>
          <w:iCs w:val="1"/>
          <w:sz w:val="22"/>
          <w:szCs w:val="22"/>
        </w:rPr>
      </w:pPr>
      <w:r>
        <w:rPr>
          <w:i w:val="1"/>
          <w:iCs w:val="1"/>
          <w:sz w:val="22"/>
          <w:szCs w:val="22"/>
          <w:rtl w:val="0"/>
          <w:lang w:val="en-US"/>
        </w:rPr>
        <w:t>Webpages, Web Software &amp; Web Interfaces</w:t>
      </w:r>
    </w:p>
    <w:p>
      <w:pPr>
        <w:pStyle w:val="Footnote"/>
        <w:rPr>
          <w:i w:val="1"/>
          <w:iCs w:val="1"/>
          <w:sz w:val="22"/>
          <w:szCs w:val="22"/>
        </w:rPr>
      </w:pPr>
    </w:p>
    <w:p>
      <w:pPr>
        <w:pStyle w:val="Footnote"/>
        <w:rPr>
          <w:sz w:val="22"/>
          <w:szCs w:val="22"/>
        </w:rPr>
      </w:pPr>
      <w:r>
        <w:rPr>
          <w:sz w:val="22"/>
          <w:szCs w:val="22"/>
          <w:rtl w:val="0"/>
          <w:lang w:val="en-US"/>
        </w:rPr>
        <w:t xml:space="preserve">AncientPenwith.org, </w:t>
      </w:r>
      <w:r>
        <w:rPr>
          <w:sz w:val="22"/>
          <w:szCs w:val="22"/>
          <w:rtl w:val="0"/>
          <w:lang w:val="en-US"/>
        </w:rPr>
        <w:t>’</w:t>
      </w:r>
      <w:r>
        <w:rPr>
          <w:sz w:val="22"/>
          <w:szCs w:val="22"/>
          <w:rtl w:val="0"/>
          <w:lang w:val="en-US"/>
        </w:rPr>
        <w:t>Cathedrals Of The Bronze Age, Stone Circles</w:t>
      </w:r>
      <w:r>
        <w:rPr>
          <w:sz w:val="22"/>
          <w:szCs w:val="22"/>
          <w:rtl w:val="0"/>
          <w:lang w:val="en-US"/>
        </w:rPr>
        <w:t>’</w:t>
      </w:r>
      <w:r>
        <w:rPr>
          <w:sz w:val="22"/>
          <w:szCs w:val="22"/>
          <w:rtl w:val="0"/>
          <w:lang w:val="en-US"/>
        </w:rPr>
        <w:t>, &lt;www.ancientpenwith.org/circles.html&gt; [assessed 22nd April 2021].</w:t>
      </w:r>
    </w:p>
    <w:p>
      <w:pPr>
        <w:pStyle w:val="Footnote"/>
        <w:rPr>
          <w:sz w:val="22"/>
          <w:szCs w:val="22"/>
        </w:rPr>
      </w:pPr>
    </w:p>
    <w:p>
      <w:pPr>
        <w:pStyle w:val="Footnote"/>
        <w:rPr>
          <w:sz w:val="22"/>
          <w:szCs w:val="22"/>
        </w:rPr>
      </w:pPr>
      <w:r>
        <w:rPr>
          <w:sz w:val="22"/>
          <w:szCs w:val="22"/>
          <w:rtl w:val="0"/>
          <w:lang w:val="en-US"/>
        </w:rPr>
        <w:t>HeyWhatsThat, &lt;</w:t>
      </w:r>
      <w:r>
        <w:rPr>
          <w:sz w:val="22"/>
          <w:szCs w:val="22"/>
          <w:rtl w:val="0"/>
          <w:lang w:val="en-US"/>
        </w:rPr>
        <w:t>https://www.heywhatsthat.com</w:t>
      </w:r>
      <w:r>
        <w:rPr>
          <w:sz w:val="22"/>
          <w:szCs w:val="22"/>
          <w:rtl w:val="0"/>
          <w:lang w:val="en-US"/>
        </w:rPr>
        <w:t>&gt; [assessed 28th April 2021].</w:t>
      </w:r>
    </w:p>
    <w:p>
      <w:pPr>
        <w:pStyle w:val="Footnote"/>
        <w:rPr>
          <w:sz w:val="22"/>
          <w:szCs w:val="22"/>
        </w:rPr>
      </w:pPr>
    </w:p>
    <w:p>
      <w:pPr>
        <w:pStyle w:val="Footnote"/>
        <w:rPr>
          <w:sz w:val="22"/>
          <w:szCs w:val="22"/>
        </w:rPr>
      </w:pPr>
      <w:r>
        <w:rPr>
          <w:sz w:val="22"/>
          <w:szCs w:val="22"/>
          <w:rtl w:val="0"/>
          <w:lang w:val="en-US"/>
        </w:rPr>
        <w:t>Johnston</w:t>
      </w:r>
      <w:r>
        <w:rPr>
          <w:sz w:val="22"/>
          <w:szCs w:val="22"/>
          <w:rtl w:val="0"/>
          <w:lang w:val="en-US"/>
        </w:rPr>
        <w:t xml:space="preserve">, </w:t>
      </w:r>
      <w:r>
        <w:rPr>
          <w:sz w:val="22"/>
          <w:szCs w:val="22"/>
          <w:rtl w:val="0"/>
        </w:rPr>
        <w:t>Gordon</w:t>
      </w:r>
      <w:r>
        <w:rPr>
          <w:sz w:val="22"/>
          <w:szCs w:val="22"/>
          <w:rtl w:val="0"/>
          <w:lang w:val="en-US"/>
        </w:rPr>
        <w:t xml:space="preserve">, </w:t>
      </w:r>
      <w:r>
        <w:rPr>
          <w:sz w:val="22"/>
          <w:szCs w:val="22"/>
          <w:rtl w:val="0"/>
          <w:lang w:val="en-US"/>
        </w:rPr>
        <w:t>‘</w:t>
      </w:r>
      <w:r>
        <w:rPr>
          <w:sz w:val="22"/>
          <w:szCs w:val="22"/>
          <w:rtl w:val="0"/>
          <w:lang w:val="en-US"/>
        </w:rPr>
        <w:t>The Next Full Moon Is A Supermoon Pink Moon</w:t>
      </w:r>
      <w:r>
        <w:rPr>
          <w:sz w:val="22"/>
          <w:szCs w:val="22"/>
          <w:rtl w:val="0"/>
          <w:lang w:val="en-US"/>
        </w:rPr>
        <w:t xml:space="preserve">’ </w:t>
      </w:r>
      <w:r>
        <w:rPr>
          <w:sz w:val="22"/>
          <w:szCs w:val="22"/>
          <w:rtl w:val="0"/>
          <w:lang w:val="en-US"/>
        </w:rPr>
        <w:t>NASA Science, Solar System Exploration (2021) &lt;</w:t>
      </w:r>
      <w:r>
        <w:rPr>
          <w:sz w:val="22"/>
          <w:szCs w:val="22"/>
          <w:rtl w:val="0"/>
          <w:lang w:val="en-US"/>
        </w:rPr>
        <w:t>https://solarsystem.nasa.gov/news/1818/the-next-full-moon-is-a-supermoon-pink-moon/</w:t>
      </w:r>
      <w:r>
        <w:rPr>
          <w:sz w:val="22"/>
          <w:szCs w:val="22"/>
          <w:rtl w:val="0"/>
          <w:lang w:val="en-US"/>
        </w:rPr>
        <w:t>&gt; [assessed 1st May 2021].</w:t>
      </w:r>
    </w:p>
    <w:p>
      <w:pPr>
        <w:pStyle w:val="Footnote"/>
        <w:rPr>
          <w:sz w:val="22"/>
          <w:szCs w:val="22"/>
        </w:rPr>
      </w:pPr>
    </w:p>
    <w:p>
      <w:pPr>
        <w:pStyle w:val="Footnote"/>
        <w:rPr>
          <w:sz w:val="22"/>
          <w:szCs w:val="22"/>
        </w:rPr>
      </w:pPr>
      <w:r>
        <w:rPr>
          <w:sz w:val="22"/>
          <w:szCs w:val="22"/>
          <w:rtl w:val="0"/>
        </w:rPr>
        <w:t>M</w:t>
      </w:r>
      <w:r>
        <w:rPr>
          <w:sz w:val="22"/>
          <w:szCs w:val="22"/>
          <w:rtl w:val="0"/>
          <w:lang w:val="en-US"/>
        </w:rPr>
        <w:t xml:space="preserve">ythical </w:t>
      </w:r>
      <w:r>
        <w:rPr>
          <w:sz w:val="22"/>
          <w:szCs w:val="22"/>
          <w:rtl w:val="0"/>
        </w:rPr>
        <w:t>I</w:t>
      </w:r>
      <w:r>
        <w:rPr>
          <w:sz w:val="22"/>
          <w:szCs w:val="22"/>
          <w:rtl w:val="0"/>
          <w:lang w:val="en-US"/>
        </w:rPr>
        <w:t xml:space="preserve">reland, </w:t>
      </w:r>
      <w:r>
        <w:rPr>
          <w:sz w:val="22"/>
          <w:szCs w:val="22"/>
          <w:rtl w:val="0"/>
          <w:lang w:val="en-US"/>
        </w:rPr>
        <w:t>‘</w:t>
      </w:r>
      <w:r>
        <w:rPr>
          <w:sz w:val="22"/>
          <w:szCs w:val="22"/>
          <w:rtl w:val="0"/>
          <w:lang w:val="en-US"/>
        </w:rPr>
        <w:t>Astronomy, Metonic</w:t>
      </w:r>
      <w:r>
        <w:rPr>
          <w:sz w:val="22"/>
          <w:szCs w:val="22"/>
          <w:rtl w:val="0"/>
        </w:rPr>
        <w:t xml:space="preserve"> C</w:t>
      </w:r>
      <w:r>
        <w:rPr>
          <w:sz w:val="22"/>
          <w:szCs w:val="22"/>
          <w:rtl w:val="0"/>
          <w:lang w:val="en-US"/>
        </w:rPr>
        <w:t>ycle</w:t>
      </w:r>
      <w:r>
        <w:rPr>
          <w:sz w:val="22"/>
          <w:szCs w:val="22"/>
          <w:rtl w:val="0"/>
        </w:rPr>
        <w:t>: T</w:t>
      </w:r>
      <w:r>
        <w:rPr>
          <w:sz w:val="22"/>
          <w:szCs w:val="22"/>
          <w:rtl w:val="0"/>
          <w:lang w:val="en-US"/>
        </w:rPr>
        <w:t>he</w:t>
      </w:r>
      <w:r>
        <w:rPr>
          <w:sz w:val="22"/>
          <w:szCs w:val="22"/>
          <w:rtl w:val="0"/>
        </w:rPr>
        <w:t xml:space="preserve"> 19-</w:t>
      </w:r>
      <w:r>
        <w:rPr>
          <w:sz w:val="22"/>
          <w:szCs w:val="22"/>
          <w:rtl w:val="0"/>
          <w:lang w:val="en-US"/>
        </w:rPr>
        <w:t>Year</w:t>
      </w:r>
      <w:r>
        <w:rPr>
          <w:sz w:val="22"/>
          <w:szCs w:val="22"/>
          <w:rtl w:val="0"/>
        </w:rPr>
        <w:t xml:space="preserve"> C</w:t>
      </w:r>
      <w:r>
        <w:rPr>
          <w:sz w:val="22"/>
          <w:szCs w:val="22"/>
          <w:rtl w:val="0"/>
          <w:lang w:val="en-US"/>
        </w:rPr>
        <w:t>ycle</w:t>
      </w:r>
      <w:r>
        <w:rPr>
          <w:sz w:val="22"/>
          <w:szCs w:val="22"/>
          <w:rtl w:val="0"/>
        </w:rPr>
        <w:t xml:space="preserve"> O</w:t>
      </w:r>
      <w:r>
        <w:rPr>
          <w:sz w:val="22"/>
          <w:szCs w:val="22"/>
          <w:rtl w:val="0"/>
          <w:lang w:val="en-US"/>
        </w:rPr>
        <w:t>f</w:t>
      </w:r>
      <w:r>
        <w:rPr>
          <w:sz w:val="22"/>
          <w:szCs w:val="22"/>
          <w:rtl w:val="0"/>
        </w:rPr>
        <w:t xml:space="preserve"> T</w:t>
      </w:r>
      <w:r>
        <w:rPr>
          <w:sz w:val="22"/>
          <w:szCs w:val="22"/>
          <w:rtl w:val="0"/>
          <w:lang w:val="en-US"/>
        </w:rPr>
        <w:t xml:space="preserve">he </w:t>
      </w:r>
      <w:r>
        <w:rPr>
          <w:sz w:val="22"/>
          <w:szCs w:val="22"/>
          <w:rtl w:val="0"/>
        </w:rPr>
        <w:t>M</w:t>
      </w:r>
      <w:r>
        <w:rPr>
          <w:sz w:val="22"/>
          <w:szCs w:val="22"/>
          <w:rtl w:val="0"/>
          <w:lang w:val="en-US"/>
        </w:rPr>
        <w:t>oon</w:t>
      </w:r>
      <w:r>
        <w:rPr>
          <w:sz w:val="22"/>
          <w:szCs w:val="22"/>
          <w:rtl w:val="0"/>
          <w:lang w:val="en-US"/>
        </w:rPr>
        <w:t xml:space="preserve">’ </w:t>
      </w:r>
      <w:r>
        <w:rPr>
          <w:sz w:val="22"/>
          <w:szCs w:val="22"/>
          <w:rtl w:val="0"/>
          <w:lang w:val="en-US"/>
        </w:rPr>
        <w:t>&lt;</w:t>
      </w:r>
      <w:r>
        <w:rPr>
          <w:sz w:val="22"/>
          <w:szCs w:val="22"/>
          <w:rtl w:val="0"/>
          <w:lang w:val="en-US"/>
        </w:rPr>
        <w:t>https://mythicalireland.com/astronomy/metonic-cycle-the-19-year-cycle-of-the-moon/</w:t>
      </w:r>
      <w:r>
        <w:rPr>
          <w:sz w:val="22"/>
          <w:szCs w:val="22"/>
          <w:rtl w:val="0"/>
          <w:lang w:val="en-US"/>
        </w:rPr>
        <w:t>&gt; [assessed 1st May 2021].</w:t>
      </w:r>
    </w:p>
    <w:p>
      <w:pPr>
        <w:pStyle w:val="Footnote"/>
        <w:rPr>
          <w:sz w:val="22"/>
          <w:szCs w:val="22"/>
        </w:rPr>
      </w:pPr>
    </w:p>
    <w:p>
      <w:pPr>
        <w:pStyle w:val="Footnote"/>
        <w:rPr>
          <w:sz w:val="22"/>
          <w:szCs w:val="22"/>
        </w:rPr>
      </w:pPr>
      <w:r>
        <w:rPr>
          <w:sz w:val="22"/>
          <w:szCs w:val="22"/>
          <w:rtl w:val="0"/>
          <w:lang w:val="da-DK"/>
        </w:rPr>
        <w:t>Silva,</w:t>
      </w:r>
      <w:r>
        <w:rPr>
          <w:sz w:val="22"/>
          <w:szCs w:val="22"/>
          <w:rtl w:val="0"/>
          <w:lang w:val="en-US"/>
        </w:rPr>
        <w:t xml:space="preserve"> </w:t>
      </w:r>
      <w:r>
        <w:rPr>
          <w:sz w:val="22"/>
          <w:szCs w:val="22"/>
          <w:rtl w:val="0"/>
          <w:lang w:val="it-IT"/>
        </w:rPr>
        <w:t>Fabio</w:t>
      </w:r>
      <w:r>
        <w:rPr>
          <w:sz w:val="22"/>
          <w:szCs w:val="22"/>
          <w:rtl w:val="0"/>
          <w:lang w:val="en-US"/>
        </w:rPr>
        <w:t>,</w:t>
      </w:r>
      <w:r>
        <w:rPr>
          <w:sz w:val="22"/>
          <w:szCs w:val="22"/>
          <w:rtl w:val="0"/>
          <w:lang w:val="da-DK"/>
        </w:rPr>
        <w:t xml:space="preserve"> </w:t>
      </w:r>
      <w:r>
        <w:rPr>
          <w:sz w:val="22"/>
          <w:szCs w:val="22"/>
          <w:rtl w:val="0"/>
          <w:lang w:val="en-US"/>
        </w:rPr>
        <w:t>‘</w:t>
      </w:r>
      <w:r>
        <w:rPr>
          <w:sz w:val="22"/>
          <w:szCs w:val="22"/>
          <w:rtl w:val="0"/>
          <w:lang w:val="en-US"/>
        </w:rPr>
        <w:t>Reference Tables for Skyscape Archaeology</w:t>
      </w:r>
      <w:r>
        <w:rPr>
          <w:sz w:val="22"/>
          <w:szCs w:val="22"/>
          <w:rtl w:val="0"/>
          <w:lang w:val="en-US"/>
        </w:rPr>
        <w:t>’</w:t>
      </w:r>
      <w:r>
        <w:rPr>
          <w:sz w:val="22"/>
          <w:szCs w:val="22"/>
          <w:rtl w:val="0"/>
          <w:lang w:val="en-US"/>
        </w:rPr>
        <w:t>, (</w:t>
      </w:r>
      <w:r>
        <w:rPr>
          <w:sz w:val="22"/>
          <w:szCs w:val="22"/>
          <w:rtl w:val="0"/>
        </w:rPr>
        <w:t>2019</w:t>
      </w:r>
      <w:r>
        <w:rPr>
          <w:sz w:val="22"/>
          <w:szCs w:val="22"/>
          <w:rtl w:val="0"/>
          <w:lang w:val="en-US"/>
        </w:rPr>
        <w:t>) &lt;</w:t>
      </w:r>
      <w:r>
        <w:rPr>
          <w:sz w:val="22"/>
          <w:szCs w:val="22"/>
          <w:rtl w:val="0"/>
          <w:lang w:val="en-US"/>
        </w:rPr>
        <w:t>https://s3.eu-west-2.amazonaws.com/skyscape-archaeology/ReferenceTables.html</w:t>
      </w:r>
      <w:r>
        <w:rPr>
          <w:sz w:val="22"/>
          <w:szCs w:val="22"/>
          <w:rtl w:val="0"/>
          <w:lang w:val="en-US"/>
        </w:rPr>
        <w:t>&gt; [assessed 28th April 2021].</w:t>
      </w:r>
    </w:p>
    <w:p>
      <w:pPr>
        <w:pStyle w:val="Footnote"/>
        <w:rPr>
          <w:sz w:val="22"/>
          <w:szCs w:val="22"/>
        </w:rPr>
      </w:pPr>
    </w:p>
    <w:p>
      <w:pPr>
        <w:pStyle w:val="Footnote"/>
        <w:rPr>
          <w:sz w:val="22"/>
          <w:szCs w:val="22"/>
        </w:rPr>
      </w:pPr>
      <w:r>
        <w:rPr>
          <w:sz w:val="22"/>
          <w:szCs w:val="22"/>
          <w:rtl w:val="0"/>
          <w:lang w:val="en-US"/>
        </w:rPr>
        <w:t xml:space="preserve">Stellarium, </w:t>
      </w:r>
      <w:r>
        <w:rPr>
          <w:i w:val="1"/>
          <w:iCs w:val="1"/>
          <w:sz w:val="22"/>
          <w:szCs w:val="22"/>
          <w:rtl w:val="0"/>
          <w:lang w:val="en-US"/>
        </w:rPr>
        <w:t>Stellarium Astronomy Software</w:t>
      </w:r>
      <w:r>
        <w:rPr>
          <w:sz w:val="22"/>
          <w:szCs w:val="22"/>
          <w:rtl w:val="0"/>
          <w:lang w:val="en-US"/>
        </w:rPr>
        <w:t>, (</w:t>
      </w:r>
      <w:r>
        <w:rPr>
          <w:sz w:val="22"/>
          <w:szCs w:val="22"/>
          <w:rtl w:val="0"/>
          <w:lang w:val="en-US"/>
        </w:rPr>
        <w:t>Version 0.20.4-1, December 28, 2020</w:t>
      </w:r>
      <w:r>
        <w:rPr>
          <w:sz w:val="22"/>
          <w:szCs w:val="22"/>
          <w:rtl w:val="0"/>
          <w:lang w:val="en-US"/>
        </w:rPr>
        <w:t>) &lt;</w:t>
      </w:r>
      <w:r>
        <w:rPr>
          <w:sz w:val="22"/>
          <w:szCs w:val="22"/>
          <w:rtl w:val="0"/>
          <w:lang w:val="it-IT"/>
        </w:rPr>
        <w:t>www.stellarium.org</w:t>
      </w:r>
      <w:r>
        <w:rPr>
          <w:sz w:val="22"/>
          <w:szCs w:val="22"/>
          <w:rtl w:val="0"/>
          <w:lang w:val="en-US"/>
        </w:rPr>
        <w:t>&gt; [accessed 8th March 2021].</w:t>
      </w:r>
    </w:p>
    <w:p>
      <w:pPr>
        <w:pStyle w:val="Footnote"/>
        <w:rPr>
          <w:sz w:val="22"/>
          <w:szCs w:val="22"/>
        </w:rPr>
      </w:pPr>
    </w:p>
    <w:p>
      <w:pPr>
        <w:pStyle w:val="Footnote"/>
        <w:rPr>
          <w:sz w:val="22"/>
          <w:szCs w:val="22"/>
        </w:rPr>
      </w:pPr>
      <w:r>
        <w:rPr>
          <w:sz w:val="22"/>
          <w:szCs w:val="22"/>
          <w:rtl w:val="0"/>
          <w:lang w:val="en-US"/>
        </w:rPr>
        <w:t>Solar System Dynamics, HORIZONS web-interface, &lt;</w:t>
      </w:r>
      <w:r>
        <w:rPr>
          <w:sz w:val="22"/>
          <w:szCs w:val="22"/>
          <w:rtl w:val="0"/>
          <w:lang w:val="pt-PT"/>
        </w:rPr>
        <w:t>https://ssd.jpl.nasa.gov/horizons.cgi</w:t>
      </w:r>
      <w:r>
        <w:rPr>
          <w:sz w:val="22"/>
          <w:szCs w:val="22"/>
          <w:rtl w:val="0"/>
          <w:lang w:val="en-US"/>
        </w:rPr>
        <w:t>&gt; [assessed 28th April 2021].</w:t>
      </w:r>
    </w:p>
    <w:p>
      <w:pPr>
        <w:pStyle w:val="Footnote"/>
        <w:rPr>
          <w:sz w:val="22"/>
          <w:szCs w:val="22"/>
        </w:rPr>
      </w:pPr>
    </w:p>
    <w:p>
      <w:pPr>
        <w:pStyle w:val="Footnote"/>
        <w:rPr>
          <w:sz w:val="22"/>
          <w:szCs w:val="22"/>
        </w:rPr>
      </w:pPr>
      <w:r>
        <w:rPr>
          <w:sz w:val="22"/>
          <w:szCs w:val="22"/>
          <w:rtl w:val="0"/>
          <w:lang w:val="en-US"/>
        </w:rPr>
        <w:t>Sun.Earth.Tools, Sun Position, &lt;</w:t>
      </w:r>
      <w:r>
        <w:rPr>
          <w:sz w:val="22"/>
          <w:szCs w:val="22"/>
          <w:rtl w:val="0"/>
          <w:lang w:val="en-US"/>
        </w:rPr>
        <w:t>https://www.sunearthtools.com/dp/tools/pos_sun.php#txtEarth_2</w:t>
      </w:r>
      <w:r>
        <w:rPr>
          <w:sz w:val="22"/>
          <w:szCs w:val="22"/>
          <w:rtl w:val="0"/>
          <w:lang w:val="en-US"/>
        </w:rPr>
        <w:t>&gt; [Assessed 28th April 2021].</w:t>
      </w:r>
    </w:p>
    <w:p>
      <w:pPr>
        <w:pStyle w:val="Footnote"/>
        <w:rPr>
          <w:sz w:val="22"/>
          <w:szCs w:val="22"/>
        </w:rPr>
      </w:pPr>
    </w:p>
    <w:p>
      <w:pPr>
        <w:pStyle w:val="Footnote"/>
        <w:rPr>
          <w:sz w:val="22"/>
          <w:szCs w:val="22"/>
        </w:rPr>
      </w:pPr>
      <w:r>
        <w:rPr>
          <w:sz w:val="22"/>
          <w:szCs w:val="22"/>
          <w:rtl w:val="0"/>
          <w:lang w:val="en-US"/>
        </w:rPr>
        <w:t xml:space="preserve">What3Words, </w:t>
      </w:r>
      <w:r>
        <w:rPr>
          <w:sz w:val="22"/>
          <w:szCs w:val="22"/>
          <w:rtl w:val="0"/>
          <w:lang w:val="en-US"/>
        </w:rPr>
        <w:t>&lt;https://what3words.com/ticked.buzzer.relishes&gt; [assessed 8th May 2021}.</w:t>
      </w:r>
    </w:p>
    <w:p>
      <w:pPr>
        <w:pStyle w:val="Footnote"/>
      </w:pPr>
      <w:r>
        <w:rPr>
          <w:sz w:val="22"/>
          <w:szCs w:val="22"/>
        </w:rPr>
      </w:r>
    </w:p>
    <w:sectPr>
      <w:headerReference w:type="default" r:id="rId58"/>
      <w:footerReference w:type="default" r:id="rId59"/>
      <w:pgSz w:w="12240" w:h="15840" w:orient="portrait"/>
      <w:pgMar w:top="1134" w:right="1134" w:bottom="720" w:left="1134" w:header="567"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Arial" w:cs="Arial" w:hAnsi="Arial" w:eastAsia="Arial"/>
          <w:sz w:val="22"/>
          <w:szCs w:val="22"/>
          <w:vertAlign w:val="superscript"/>
        </w:rPr>
        <w:footnoteRef/>
      </w:r>
      <w:r>
        <w:rPr>
          <w:rFonts w:cs="Arial Unicode MS" w:eastAsia="Arial Unicode MS"/>
          <w:rtl w:val="0"/>
          <w:lang w:val="de-DE"/>
        </w:rPr>
        <w:t xml:space="preserve"> Peter Herring, </w:t>
      </w:r>
      <w:r>
        <w:rPr>
          <w:rFonts w:cs="Arial Unicode MS" w:eastAsia="Arial Unicode MS" w:hint="default"/>
          <w:rtl w:val="1"/>
        </w:rPr>
        <w:t>‘</w:t>
      </w:r>
      <w:r>
        <w:rPr>
          <w:rFonts w:cs="Arial Unicode MS" w:eastAsia="Arial Unicode MS"/>
          <w:rtl w:val="0"/>
          <w:lang w:val="en-US"/>
        </w:rPr>
        <w:t>Boscawen-un, St. Buryan, Cornwall, Archaeological Assessment</w:t>
      </w:r>
      <w:r>
        <w:rPr>
          <w:rFonts w:cs="Arial Unicode MS" w:eastAsia="Arial Unicode MS" w:hint="default"/>
          <w:rtl w:val="1"/>
        </w:rPr>
        <w:t>’</w:t>
      </w:r>
      <w:r>
        <w:rPr>
          <w:rFonts w:cs="Arial Unicode MS" w:eastAsia="Arial Unicode MS"/>
          <w:rtl w:val="0"/>
          <w:lang w:val="en-US"/>
        </w:rPr>
        <w:t>, A Report for Penwith District Council, Cornwall Archaeological Unit, Cornwall County Council (2000)</w:t>
      </w:r>
      <w:r>
        <w:rPr>
          <w:rFonts w:cs="Arial Unicode MS" w:eastAsia="Arial Unicode MS"/>
          <w:rtl w:val="0"/>
          <w:lang w:val="en-US"/>
        </w:rPr>
        <w:t xml:space="preserve"> &lt;</w:t>
      </w:r>
      <w:r>
        <w:rPr>
          <w:rFonts w:cs="Arial Unicode MS" w:eastAsia="Arial Unicode MS"/>
          <w:rtl w:val="0"/>
          <w:lang w:val="en-US"/>
        </w:rPr>
        <w:t>https://map.cornwall.gov.uk/reports_event_record/2000/2000R024.pdf</w:t>
      </w:r>
      <w:r>
        <w:rPr>
          <w:rFonts w:cs="Arial Unicode MS" w:eastAsia="Arial Unicode MS"/>
          <w:rtl w:val="0"/>
          <w:lang w:val="en-US"/>
        </w:rPr>
        <w:t xml:space="preserve">&gt; [assessed 19th April 2021].  </w:t>
      </w:r>
      <w:r>
        <w:rPr>
          <w:rFonts w:cs="Arial Unicode MS" w:eastAsia="Arial Unicode MS"/>
          <w:sz w:val="18"/>
          <w:szCs w:val="18"/>
          <w:rtl w:val="0"/>
          <w:lang w:val="en-US"/>
        </w:rPr>
        <w:t xml:space="preserve">Carolyn Kennett, </w:t>
      </w:r>
      <w:r>
        <w:rPr>
          <w:rFonts w:cs="Arial Unicode MS" w:eastAsia="Arial Unicode MS" w:hint="default"/>
          <w:sz w:val="18"/>
          <w:szCs w:val="18"/>
          <w:rtl w:val="0"/>
          <w:lang w:val="en-US"/>
        </w:rPr>
        <w:t>‘</w:t>
      </w:r>
      <w:r>
        <w:rPr>
          <w:rFonts w:cs="Arial Unicode MS" w:eastAsia="Arial Unicode MS"/>
          <w:sz w:val="18"/>
          <w:szCs w:val="18"/>
          <w:rtl w:val="0"/>
          <w:lang w:val="en-US"/>
        </w:rPr>
        <w:t>An Astronomical Examination Of Boscawen-un Stone Circle</w:t>
      </w:r>
      <w:r>
        <w:rPr>
          <w:rFonts w:cs="Arial Unicode MS" w:eastAsia="Arial Unicode MS" w:hint="default"/>
          <w:sz w:val="18"/>
          <w:szCs w:val="18"/>
          <w:rtl w:val="0"/>
          <w:lang w:val="en-US"/>
        </w:rPr>
        <w:t xml:space="preserve">’ </w:t>
      </w:r>
      <w:r>
        <w:rPr>
          <w:rFonts w:cs="Arial Unicode MS" w:eastAsia="Arial Unicode MS"/>
          <w:sz w:val="18"/>
          <w:szCs w:val="18"/>
          <w:rtl w:val="0"/>
          <w:lang w:val="en-US"/>
        </w:rPr>
        <w:t>(Dissertation, University of Central Lancaster, 2016-17) &lt;www.academia.edu/33532903/Boscawen_un_an_archaeoastronomy_study_Dissertation_pdf&gt; [assessed 22nd March 2021).</w:t>
      </w:r>
    </w:p>
  </w:footnote>
  <w:footnote w:id="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Craig Weatherhill, </w:t>
      </w:r>
      <w:r>
        <w:rPr>
          <w:rFonts w:cs="Arial Unicode MS" w:eastAsia="Arial Unicode MS"/>
          <w:i w:val="1"/>
          <w:iCs w:val="1"/>
          <w:rtl w:val="0"/>
          <w:lang w:val="en-US"/>
        </w:rPr>
        <w:t>Cornovia; Ancient Sites Of Cornwall &amp; Scilly, 4000 BC-1000AD</w:t>
      </w:r>
      <w:r>
        <w:rPr>
          <w:rFonts w:cs="Arial Unicode MS" w:eastAsia="Arial Unicode MS"/>
          <w:rtl w:val="0"/>
          <w:lang w:val="en-US"/>
        </w:rPr>
        <w:t xml:space="preserve"> (Wellington: Halsgrove, 2011).</w:t>
      </w:r>
      <w:r>
        <w:rPr>
          <w:rFonts w:cs="Arial Unicode MS" w:eastAsia="Arial Unicode MS"/>
          <w:rtl w:val="0"/>
          <w:lang w:val="en-US"/>
        </w:rPr>
        <w:t xml:space="preserve">  </w:t>
      </w:r>
      <w:r>
        <w:rPr>
          <w:rFonts w:cs="Arial Unicode MS" w:eastAsia="Arial Unicode MS"/>
          <w:rtl w:val="0"/>
          <w:lang w:val="en-US"/>
        </w:rPr>
        <w:t xml:space="preserve">Ian McNeil Cooke, </w:t>
      </w:r>
      <w:r>
        <w:rPr>
          <w:rFonts w:cs="Arial Unicode MS" w:eastAsia="Arial Unicode MS"/>
          <w:i w:val="1"/>
          <w:iCs w:val="1"/>
          <w:rtl w:val="0"/>
          <w:lang w:val="en-US"/>
        </w:rPr>
        <w:t>Mermaid To Mermaid: Journey To The Stones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(Redruth: Cornwall Litho, 1996).</w:t>
      </w:r>
    </w:p>
  </w:footnote>
  <w:footnote w:id="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Isis Brook, </w:t>
      </w:r>
      <w:r>
        <w:rPr>
          <w:rFonts w:cs="Arial Unicode MS" w:eastAsia="Arial Unicode MS" w:hint="default"/>
          <w:rtl w:val="0"/>
          <w:lang w:val="en-US"/>
        </w:rPr>
        <w:t>‘</w:t>
      </w:r>
      <w:r>
        <w:rPr>
          <w:rFonts w:cs="Arial Unicode MS" w:eastAsia="Arial Unicode MS"/>
          <w:rtl w:val="0"/>
          <w:lang w:val="en-US"/>
        </w:rPr>
        <w:t xml:space="preserve">Can </w:t>
      </w:r>
      <w:r>
        <w:rPr>
          <w:rFonts w:cs="Arial Unicode MS" w:eastAsia="Arial Unicode MS" w:hint="default"/>
          <w:rtl w:val="0"/>
          <w:lang w:val="en-US"/>
        </w:rPr>
        <w:t>‘</w:t>
      </w:r>
      <w:r>
        <w:rPr>
          <w:rFonts w:cs="Arial Unicode MS" w:eastAsia="Arial Unicode MS"/>
          <w:rtl w:val="0"/>
          <w:lang w:val="en-US"/>
        </w:rPr>
        <w:t>Spirit Of Place</w:t>
      </w:r>
      <w:r>
        <w:rPr>
          <w:rFonts w:cs="Arial Unicode MS" w:eastAsia="Arial Unicode MS" w:hint="default"/>
          <w:rtl w:val="0"/>
          <w:lang w:val="en-US"/>
        </w:rPr>
        <w:t xml:space="preserve">’ </w:t>
      </w:r>
      <w:r>
        <w:rPr>
          <w:rFonts w:cs="Arial Unicode MS" w:eastAsia="Arial Unicode MS"/>
          <w:rtl w:val="0"/>
          <w:lang w:val="en-US"/>
        </w:rPr>
        <w:t>Be A Guide To Ethical Building</w:t>
      </w:r>
      <w:r>
        <w:rPr>
          <w:rFonts w:cs="Arial Unicode MS" w:eastAsia="Arial Unicode MS" w:hint="default"/>
          <w:rtl w:val="0"/>
          <w:lang w:val="en-US"/>
        </w:rPr>
        <w:t>’</w:t>
      </w:r>
      <w:r>
        <w:rPr>
          <w:rFonts w:cs="Arial Unicode MS" w:eastAsia="Arial Unicode MS"/>
          <w:rtl w:val="0"/>
          <w:lang w:val="en-US"/>
        </w:rPr>
        <w:t xml:space="preserve">, in W. Fox, </w:t>
      </w:r>
      <w:r>
        <w:rPr>
          <w:rFonts w:cs="Arial Unicode MS" w:eastAsia="Arial Unicode MS"/>
          <w:i w:val="1"/>
          <w:iCs w:val="1"/>
          <w:rtl w:val="0"/>
          <w:lang w:val="en-US"/>
        </w:rPr>
        <w:t>Ethics And The Built Environment</w:t>
      </w:r>
      <w:r>
        <w:rPr>
          <w:rFonts w:cs="Arial Unicode MS" w:eastAsia="Arial Unicode MS"/>
          <w:rtl w:val="0"/>
          <w:lang w:val="en-US"/>
        </w:rPr>
        <w:t xml:space="preserve"> (London: Routledge, 2000), 139-151, p. 141-149.</w:t>
      </w:r>
    </w:p>
  </w:footnote>
  <w:footnote w:id="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Aubrey Burl, </w:t>
      </w:r>
      <w:r>
        <w:rPr>
          <w:rFonts w:cs="Arial Unicode MS" w:eastAsia="Arial Unicode MS" w:hint="default"/>
          <w:rtl w:val="0"/>
          <w:lang w:val="en-US"/>
        </w:rPr>
        <w:t>‘</w:t>
      </w:r>
      <w:r>
        <w:rPr>
          <w:rFonts w:cs="Arial Unicode MS" w:eastAsia="Arial Unicode MS"/>
          <w:rtl w:val="0"/>
          <w:lang w:val="en-US"/>
        </w:rPr>
        <w:t>The Sun, The Moon, And Megaliths, Archaeo-Astronomy And The Standing Stones Of Northern Ireland</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Ulster Journal of Archaeology</w:t>
      </w:r>
      <w:r>
        <w:rPr>
          <w:rFonts w:cs="Arial Unicode MS" w:eastAsia="Arial Unicode MS"/>
          <w:rtl w:val="0"/>
          <w:lang w:val="en-US"/>
        </w:rPr>
        <w:t>, 50 (1987), 7-20, p. 10 &lt;www.jstor.org/stable/20567995&gt; [assessed 9th April 2021).</w:t>
      </w:r>
    </w:p>
  </w:footnote>
  <w:footnote w:id="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Judith Bell and Stephen Waters, </w:t>
      </w:r>
      <w:r>
        <w:rPr>
          <w:rFonts w:cs="Arial Unicode MS" w:eastAsia="Arial Unicode MS"/>
          <w:i w:val="1"/>
          <w:iCs w:val="1"/>
          <w:rtl w:val="0"/>
          <w:lang w:val="en-US"/>
        </w:rPr>
        <w:t>Doing Your Research Project</w:t>
      </w:r>
      <w:r>
        <w:rPr>
          <w:rFonts w:cs="Arial Unicode MS" w:eastAsia="Arial Unicode MS"/>
          <w:rtl w:val="0"/>
          <w:lang w:val="en-US"/>
        </w:rPr>
        <w:t>, 7</w:t>
      </w:r>
      <w:r>
        <w:rPr>
          <w:rFonts w:cs="Arial Unicode MS" w:eastAsia="Arial Unicode MS"/>
          <w:vertAlign w:val="superscript"/>
          <w:rtl w:val="0"/>
          <w:lang w:val="en-US"/>
        </w:rPr>
        <w:t>th</w:t>
      </w:r>
      <w:r>
        <w:rPr>
          <w:rFonts w:cs="Arial Unicode MS" w:eastAsia="Arial Unicode MS"/>
          <w:rtl w:val="0"/>
          <w:lang w:val="en-US"/>
        </w:rPr>
        <w:t xml:space="preserve"> edn. (London: Open University Press, McGraw-Hill Education, 2018), p. 52.</w:t>
      </w:r>
    </w:p>
  </w:footnote>
  <w:footnote w:id="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(London: Sage, 2020), p. 4-6.</w:t>
      </w:r>
    </w:p>
  </w:footnote>
  <w:footnote w:id="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11.</w:t>
      </w:r>
    </w:p>
  </w:footnote>
  <w:footnote w:id="8">
    <w:p>
      <w:pPr>
        <w:pStyle w:val="Footnote"/>
      </w:pPr>
      <w:r>
        <w:rPr>
          <w:vertAlign w:val="superscript"/>
        </w:rPr>
        <w:footnoteRef/>
      </w:r>
      <w:r>
        <w:rPr>
          <w:rFonts w:cs="Arial Unicode MS" w:eastAsia="Arial Unicode MS"/>
          <w:rtl w:val="0"/>
          <w:lang w:val="en-US"/>
        </w:rPr>
        <w:t xml:space="preserve"> Gordon Johnston</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The Next Full Moon Is A Supermoon Pink Moon</w:t>
      </w:r>
      <w:r>
        <w:rPr>
          <w:rFonts w:cs="Arial Unicode MS" w:eastAsia="Arial Unicode MS" w:hint="default"/>
          <w:rtl w:val="0"/>
          <w:lang w:val="en-US"/>
        </w:rPr>
        <w:t xml:space="preserve">’ </w:t>
      </w:r>
      <w:r>
        <w:rPr>
          <w:rFonts w:cs="Arial Unicode MS" w:eastAsia="Arial Unicode MS"/>
          <w:rtl w:val="0"/>
          <w:lang w:val="en-US"/>
        </w:rPr>
        <w:t>NASA Science, Solar System Exploration (2021) &lt;</w:t>
      </w:r>
      <w:r>
        <w:rPr>
          <w:rFonts w:cs="Arial Unicode MS" w:eastAsia="Arial Unicode MS"/>
          <w:rtl w:val="0"/>
          <w:lang w:val="en-US"/>
        </w:rPr>
        <w:t>https://solarsystem.nasa.gov/news/1818/the-next-full-moon-is-a-supermoon-pink-moon/</w:t>
      </w:r>
      <w:r>
        <w:rPr>
          <w:rFonts w:cs="Arial Unicode MS" w:eastAsia="Arial Unicode MS"/>
          <w:rtl w:val="0"/>
          <w:lang w:val="en-US"/>
        </w:rPr>
        <w:t>&gt; [assessed 1st May 2021].</w:t>
      </w:r>
    </w:p>
  </w:footnote>
  <w:footnote w:id="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What3words, &lt;</w:t>
      </w:r>
      <w:r>
        <w:rPr>
          <w:rFonts w:cs="Arial Unicode MS" w:eastAsia="Arial Unicode MS"/>
          <w:rtl w:val="0"/>
          <w:lang w:val="en-US"/>
        </w:rPr>
        <w:t>https://what3words.com/ticked.buzzer.relishes</w:t>
      </w:r>
      <w:r>
        <w:rPr>
          <w:rFonts w:cs="Arial Unicode MS" w:eastAsia="Arial Unicode MS"/>
          <w:rtl w:val="0"/>
          <w:lang w:val="en-US"/>
        </w:rPr>
        <w:t>&gt; [assessed 8th May 2021}.</w:t>
      </w:r>
    </w:p>
  </w:footnote>
  <w:footnote w:id="10">
    <w:p>
      <w:pPr>
        <w:pStyle w:val="Footnote"/>
      </w:pPr>
      <w:r>
        <w:rPr>
          <w:vertAlign w:val="superscript"/>
        </w:rPr>
        <w:footnoteRef/>
      </w:r>
      <w:r>
        <w:rPr>
          <w:rFonts w:cs="Arial Unicode MS" w:eastAsia="Arial Unicode MS"/>
          <w:sz w:val="18"/>
          <w:szCs w:val="18"/>
          <w:rtl w:val="0"/>
          <w:lang w:val="en-US"/>
        </w:rPr>
        <w:t xml:space="preserve">  </w:t>
      </w:r>
      <w:r>
        <w:rPr>
          <w:rFonts w:cs="Arial Unicode MS" w:eastAsia="Arial Unicode MS"/>
          <w:rtl w:val="0"/>
          <w:lang w:val="en-US"/>
        </w:rPr>
        <w:t xml:space="preserve">Stellarium, </w:t>
      </w:r>
      <w:r>
        <w:rPr>
          <w:rFonts w:cs="Arial Unicode MS" w:eastAsia="Arial Unicode MS"/>
          <w:i w:val="1"/>
          <w:iCs w:val="1"/>
          <w:rtl w:val="0"/>
          <w:lang w:val="en-US"/>
        </w:rPr>
        <w:t>Stellarium Astronomy Software</w:t>
      </w:r>
      <w:r>
        <w:rPr>
          <w:rFonts w:cs="Arial Unicode MS" w:eastAsia="Arial Unicode MS"/>
          <w:rtl w:val="0"/>
          <w:lang w:val="en-US"/>
        </w:rPr>
        <w:t>, (</w:t>
      </w:r>
      <w:r>
        <w:rPr>
          <w:rFonts w:cs="Arial Unicode MS" w:eastAsia="Arial Unicode MS"/>
          <w:rtl w:val="0"/>
          <w:lang w:val="en-US"/>
        </w:rPr>
        <w:t>Version 0.20.4-1, December 28, 2020</w:t>
      </w:r>
      <w:r>
        <w:rPr>
          <w:rFonts w:cs="Arial Unicode MS" w:eastAsia="Arial Unicode MS"/>
          <w:rtl w:val="0"/>
          <w:lang w:val="en-US"/>
        </w:rPr>
        <w:t>) &lt;</w:t>
      </w:r>
      <w:r>
        <w:rPr>
          <w:rFonts w:cs="Arial Unicode MS" w:eastAsia="Arial Unicode MS"/>
          <w:rtl w:val="0"/>
          <w:lang w:val="it-IT"/>
        </w:rPr>
        <w:t>www.stellarium.org</w:t>
      </w:r>
      <w:r>
        <w:rPr>
          <w:rFonts w:cs="Arial Unicode MS" w:eastAsia="Arial Unicode MS"/>
          <w:rtl w:val="0"/>
          <w:lang w:val="en-US"/>
        </w:rPr>
        <w:t>&gt; [accessed 8th March 2021].  HeyWhatsThat, &lt;</w:t>
      </w:r>
      <w:r>
        <w:rPr>
          <w:rFonts w:cs="Arial Unicode MS" w:eastAsia="Arial Unicode MS"/>
          <w:rtl w:val="0"/>
          <w:lang w:val="en-US"/>
        </w:rPr>
        <w:t>https://www.heywhatsthat.com</w:t>
      </w:r>
      <w:r>
        <w:rPr>
          <w:rFonts w:cs="Arial Unicode MS" w:eastAsia="Arial Unicode MS"/>
          <w:rtl w:val="0"/>
          <w:lang w:val="en-US"/>
        </w:rPr>
        <w:t>&gt; [assessed 28th April 2021].  Solar System Dynamics, HORIZONS web-interface, &lt;</w:t>
      </w:r>
      <w:r>
        <w:rPr>
          <w:rFonts w:cs="Arial Unicode MS" w:eastAsia="Arial Unicode MS"/>
          <w:rtl w:val="0"/>
          <w:lang w:val="pt-PT"/>
        </w:rPr>
        <w:t>https://ssd.jpl.nasa.gov/horizons.cgi</w:t>
      </w:r>
      <w:r>
        <w:rPr>
          <w:rFonts w:cs="Arial Unicode MS" w:eastAsia="Arial Unicode MS"/>
          <w:rtl w:val="0"/>
          <w:lang w:val="en-US"/>
        </w:rPr>
        <w:t>&gt; [assessed 28th April 2021].  Sun.Earth.Tools, Sun Position, &lt;</w:t>
      </w:r>
      <w:r>
        <w:rPr>
          <w:rFonts w:cs="Arial Unicode MS" w:eastAsia="Arial Unicode MS"/>
          <w:rtl w:val="0"/>
          <w:lang w:val="en-US"/>
        </w:rPr>
        <w:t>https://www.sunearthtools.com/dp/tools/pos_sun.php#txtEarth_2</w:t>
      </w:r>
      <w:r>
        <w:rPr>
          <w:rFonts w:cs="Arial Unicode MS" w:eastAsia="Arial Unicode MS"/>
          <w:rtl w:val="0"/>
          <w:lang w:val="en-US"/>
        </w:rPr>
        <w:t>&gt; [Assessed 28th April 2021].</w:t>
      </w:r>
    </w:p>
  </w:footnote>
  <w:footnote w:id="1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Christopher Tilley, </w:t>
      </w:r>
      <w:r>
        <w:rPr>
          <w:rFonts w:cs="Arial Unicode MS" w:eastAsia="Arial Unicode MS"/>
          <w:i w:val="1"/>
          <w:iCs w:val="1"/>
          <w:rtl w:val="0"/>
          <w:lang w:val="en-US"/>
        </w:rPr>
        <w:t>The Materiality Of Stone, Explorations In Landscape Phenomenology</w:t>
      </w:r>
      <w:r>
        <w:rPr>
          <w:rFonts w:cs="Arial Unicode MS" w:eastAsia="Arial Unicode MS"/>
          <w:rtl w:val="0"/>
          <w:lang w:val="en-US"/>
        </w:rPr>
        <w:t>, (London/New York: Routledge, 2004), p. 1.</w:t>
      </w:r>
    </w:p>
  </w:footnote>
  <w:footnote w:id="1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w:t>
      </w:r>
      <w:r>
        <w:rPr>
          <w:rFonts w:cs="Arial Unicode MS" w:eastAsia="Arial Unicode MS"/>
          <w:rtl w:val="0"/>
        </w:rPr>
        <w:t>.</w:t>
      </w:r>
    </w:p>
  </w:footnote>
  <w:footnote w:id="1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Brian E. Neubauer, Cathrine T. Witkop and Lara Varpio, </w:t>
      </w:r>
      <w:r>
        <w:rPr>
          <w:rFonts w:cs="Arial Unicode MS" w:eastAsia="Arial Unicode MS" w:hint="default"/>
          <w:rtl w:val="0"/>
          <w:lang w:val="en-US"/>
        </w:rPr>
        <w:t>‘</w:t>
      </w:r>
      <w:r>
        <w:rPr>
          <w:rFonts w:cs="Arial Unicode MS" w:eastAsia="Arial Unicode MS"/>
          <w:rtl w:val="0"/>
          <w:lang w:val="en-US"/>
        </w:rPr>
        <w:t>How Phenomenology Can Help Us Learn From The Experience Of Others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Perspectives on Medical Education</w:t>
      </w:r>
      <w:r>
        <w:rPr>
          <w:rFonts w:cs="Arial Unicode MS" w:eastAsia="Arial Unicode MS"/>
          <w:rtl w:val="0"/>
          <w:lang w:val="en-US"/>
        </w:rPr>
        <w:t>,</w:t>
      </w:r>
      <w:r>
        <w:rPr>
          <w:rFonts w:cs="Arial Unicode MS" w:eastAsia="Arial Unicode MS" w:hint="default"/>
          <w:rtl w:val="0"/>
        </w:rPr>
        <w:t> </w:t>
      </w:r>
      <w:r>
        <w:rPr>
          <w:rFonts w:cs="Arial Unicode MS" w:eastAsia="Arial Unicode MS"/>
          <w:rtl w:val="0"/>
        </w:rPr>
        <w:t>8,</w:t>
      </w:r>
      <w:r>
        <w:rPr>
          <w:rFonts w:cs="Arial Unicode MS" w:eastAsia="Arial Unicode MS"/>
          <w:rtl w:val="0"/>
          <w:lang w:val="en-US"/>
        </w:rPr>
        <w:t xml:space="preserve"> (2019), </w:t>
      </w:r>
      <w:r>
        <w:rPr>
          <w:rFonts w:cs="Arial Unicode MS" w:eastAsia="Arial Unicode MS"/>
          <w:rtl w:val="0"/>
        </w:rPr>
        <w:t>90</w:t>
      </w:r>
      <w:r>
        <w:rPr>
          <w:rFonts w:cs="Arial Unicode MS" w:eastAsia="Arial Unicode MS" w:hint="default"/>
          <w:rtl w:val="0"/>
        </w:rPr>
        <w:t>–</w:t>
      </w:r>
      <w:r>
        <w:rPr>
          <w:rFonts w:cs="Arial Unicode MS" w:eastAsia="Arial Unicode MS"/>
          <w:rtl w:val="0"/>
        </w:rPr>
        <w:t>97</w:t>
      </w:r>
      <w:r>
        <w:rPr>
          <w:rFonts w:cs="Arial Unicode MS" w:eastAsia="Arial Unicode MS"/>
          <w:rtl w:val="0"/>
          <w:lang w:val="en-US"/>
        </w:rPr>
        <w:t>, p. 92 &lt;doi:org/10.1007/s40037-019-0509-2&gt; {assessed 2nd May 2021].</w:t>
      </w:r>
    </w:p>
  </w:footnote>
  <w:footnote w:id="14">
    <w:p>
      <w:pPr>
        <w:pStyle w:val="Footnote"/>
      </w:pPr>
      <w:r>
        <w:rPr>
          <w:vertAlign w:val="superscript"/>
        </w:rPr>
        <w:footnoteRef/>
      </w:r>
      <w:r>
        <w:rPr>
          <w:rFonts w:cs="Arial Unicode MS" w:eastAsia="Arial Unicode MS"/>
          <w:rtl w:val="0"/>
          <w:lang w:val="en-US"/>
        </w:rPr>
        <w:t xml:space="preserve"> Brook, </w:t>
      </w:r>
      <w:r>
        <w:rPr>
          <w:rFonts w:cs="Arial Unicode MS" w:eastAsia="Arial Unicode MS"/>
          <w:i w:val="1"/>
          <w:iCs w:val="1"/>
          <w:rtl w:val="0"/>
          <w:lang w:val="en-US"/>
        </w:rPr>
        <w:t xml:space="preserve">Can </w:t>
      </w:r>
      <w:r>
        <w:rPr>
          <w:rFonts w:cs="Arial Unicode MS" w:eastAsia="Arial Unicode MS" w:hint="default"/>
          <w:i w:val="1"/>
          <w:iCs w:val="1"/>
          <w:rtl w:val="1"/>
        </w:rPr>
        <w:t>‘</w:t>
      </w:r>
      <w:r>
        <w:rPr>
          <w:rFonts w:cs="Arial Unicode MS" w:eastAsia="Arial Unicode MS"/>
          <w:i w:val="1"/>
          <w:iCs w:val="1"/>
          <w:rtl w:val="0"/>
          <w:lang w:val="en-US"/>
        </w:rPr>
        <w:t>Spirit Of Place</w:t>
      </w:r>
      <w:r>
        <w:rPr>
          <w:rFonts w:cs="Arial Unicode MS" w:eastAsia="Arial Unicode MS" w:hint="default"/>
          <w:i w:val="1"/>
          <w:iCs w:val="1"/>
          <w:rtl w:val="1"/>
        </w:rPr>
        <w:t>’</w:t>
      </w:r>
      <w:r>
        <w:rPr>
          <w:rFonts w:cs="Arial Unicode MS" w:eastAsia="Arial Unicode MS"/>
          <w:rtl w:val="0"/>
          <w:lang w:val="en-US"/>
        </w:rPr>
        <w:t>,</w:t>
      </w:r>
      <w:r>
        <w:rPr>
          <w:rFonts w:cs="Arial Unicode MS" w:eastAsia="Arial Unicode MS"/>
          <w:rtl w:val="0"/>
        </w:rPr>
        <w:t xml:space="preserve"> p. 141-149.</w:t>
      </w:r>
    </w:p>
  </w:footnote>
  <w:footnote w:id="1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Kim Etherington, </w:t>
      </w:r>
      <w:r>
        <w:rPr>
          <w:rFonts w:cs="Arial Unicode MS" w:eastAsia="Arial Unicode MS"/>
          <w:i w:val="1"/>
          <w:iCs w:val="1"/>
          <w:rtl w:val="0"/>
          <w:lang w:val="en-US"/>
        </w:rPr>
        <w:t>Becoming A Reflexive Researcher</w:t>
      </w:r>
      <w:r>
        <w:rPr>
          <w:rFonts w:cs="Arial Unicode MS" w:eastAsia="Arial Unicode MS"/>
          <w:rtl w:val="0"/>
          <w:lang w:val="en-US"/>
        </w:rPr>
        <w:t xml:space="preserve"> (London: Jessica Kingsley Publishers, 2004), p. 25.</w:t>
      </w:r>
    </w:p>
  </w:footnote>
  <w:footnote w:id="16">
    <w:p>
      <w:pPr>
        <w:pStyle w:val="Footnote"/>
      </w:pPr>
      <w:r>
        <w:rPr>
          <w:vertAlign w:val="superscript"/>
        </w:rPr>
        <w:footnoteRef/>
      </w:r>
      <w:r>
        <w:rPr>
          <w:rFonts w:cs="Arial Unicode MS" w:eastAsia="Arial Unicode MS"/>
          <w:rtl w:val="0"/>
          <w:lang w:val="en-US"/>
        </w:rPr>
        <w:t xml:space="preserve"> Ibid</w:t>
      </w:r>
      <w:r>
        <w:rPr>
          <w:rFonts w:cs="Arial Unicode MS" w:eastAsia="Arial Unicode MS"/>
          <w:rtl w:val="0"/>
        </w:rPr>
        <w:t xml:space="preserve">, p. </w:t>
      </w:r>
      <w:r>
        <w:rPr>
          <w:rFonts w:cs="Arial Unicode MS" w:eastAsia="Arial Unicode MS"/>
          <w:rtl w:val="0"/>
          <w:lang w:val="en-US"/>
        </w:rPr>
        <w:t>36.</w:t>
      </w:r>
    </w:p>
  </w:footnote>
  <w:footnote w:id="17">
    <w:p>
      <w:pPr>
        <w:pStyle w:val="Footnote"/>
      </w:pPr>
      <w:r>
        <w:rPr>
          <w:vertAlign w:val="superscript"/>
        </w:rPr>
        <w:footnoteRef/>
      </w:r>
      <w:r>
        <w:rPr>
          <w:rFonts w:cs="Arial Unicode MS" w:eastAsia="Arial Unicode MS"/>
          <w:rtl w:val="0"/>
        </w:rPr>
        <w:t xml:space="preserve"> </w:t>
      </w:r>
      <w:r>
        <w:rPr>
          <w:rFonts w:cs="Arial Unicode MS" w:eastAsia="Arial Unicode MS"/>
          <w:sz w:val="18"/>
          <w:szCs w:val="18"/>
          <w:rtl w:val="0"/>
          <w:lang w:val="en-US"/>
        </w:rPr>
        <w:t xml:space="preserve">Kennett, </w:t>
      </w:r>
      <w:r>
        <w:rPr>
          <w:rFonts w:cs="Arial Unicode MS" w:eastAsia="Arial Unicode MS"/>
          <w:i w:val="1"/>
          <w:iCs w:val="1"/>
          <w:rtl w:val="0"/>
          <w:lang w:val="en-US"/>
        </w:rPr>
        <w:t>An Astronomical Examination</w:t>
      </w:r>
      <w:r>
        <w:rPr>
          <w:rFonts w:cs="Arial Unicode MS" w:eastAsia="Arial Unicode MS"/>
          <w:sz w:val="18"/>
          <w:szCs w:val="18"/>
          <w:rtl w:val="0"/>
          <w:lang w:val="en-US"/>
        </w:rPr>
        <w:t>.</w:t>
      </w:r>
    </w:p>
  </w:footnote>
  <w:footnote w:id="1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64-66.</w:t>
      </w:r>
    </w:p>
  </w:footnote>
  <w:footnote w:id="1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w:t>
      </w:r>
      <w:r>
        <w:rPr>
          <w:rFonts w:cs="Arial Unicode MS" w:eastAsia="Arial Unicode MS"/>
          <w:rtl w:val="0"/>
          <w:lang w:val="en-US"/>
        </w:rPr>
        <w:t xml:space="preserve">, </w:t>
      </w:r>
      <w:r>
        <w:rPr>
          <w:rFonts w:cs="Arial Unicode MS" w:eastAsia="Arial Unicode MS"/>
          <w:rtl w:val="0"/>
          <w:lang w:val="en-US"/>
        </w:rPr>
        <w:t>p. 82.</w:t>
      </w:r>
    </w:p>
  </w:footnote>
  <w:footnote w:id="2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Sir Norman Lockyer, </w:t>
      </w:r>
      <w:r>
        <w:rPr>
          <w:rFonts w:cs="Arial Unicode MS" w:eastAsia="Arial Unicode MS"/>
          <w:i w:val="1"/>
          <w:iCs w:val="1"/>
          <w:rtl w:val="0"/>
          <w:lang w:val="en-US"/>
        </w:rPr>
        <w:t>Stonehenge And Other British Stone Monuments</w:t>
      </w:r>
      <w:r>
        <w:rPr>
          <w:rFonts w:cs="Arial Unicode MS" w:eastAsia="Arial Unicode MS"/>
          <w:rtl w:val="0"/>
          <w:lang w:val="en-US"/>
        </w:rPr>
        <w:t xml:space="preserve"> (Great Britain: Amazon, 2007), p. 248.</w:t>
      </w:r>
    </w:p>
  </w:footnote>
  <w:footnote w:id="2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Norman Lockyer, </w:t>
      </w:r>
      <w:r>
        <w:rPr>
          <w:rFonts w:cs="Arial Unicode MS" w:eastAsia="Arial Unicode MS" w:hint="default"/>
          <w:rtl w:val="0"/>
          <w:lang w:val="en-US"/>
        </w:rPr>
        <w:t>‘</w:t>
      </w:r>
      <w:r>
        <w:rPr>
          <w:rFonts w:cs="Arial Unicode MS" w:eastAsia="Arial Unicode MS"/>
          <w:rtl w:val="0"/>
          <w:lang w:val="en-US"/>
        </w:rPr>
        <w:t>Notes on Observations of Sun and Stars in Some British Stone Circles. Fourth Note. The Botallek Circles, St. Just, Cornwall</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Proceedings of the Royal Society of London. Series A, Containing papers if a mathematical ad Physical Character</w:t>
      </w:r>
      <w:r>
        <w:rPr>
          <w:rFonts w:cs="Arial Unicode MS" w:eastAsia="Arial Unicode MS"/>
          <w:rtl w:val="0"/>
          <w:lang w:val="en-US"/>
        </w:rPr>
        <w:t>, 82 (552) (1909), 96-103,</w:t>
      </w:r>
      <w:r>
        <w:rPr>
          <w:rFonts w:cs="Arial Unicode MS" w:eastAsia="Arial Unicode MS"/>
          <w:rtl w:val="0"/>
        </w:rPr>
        <w:t xml:space="preserve"> p. 102 &lt;www.jstor.org/stable/</w:t>
      </w:r>
      <w:r>
        <w:rPr>
          <w:rFonts w:cs="Arial Unicode MS" w:eastAsia="Arial Unicode MS"/>
          <w:rtl w:val="0"/>
          <w:lang w:val="en-US"/>
        </w:rPr>
        <w:t>93042</w:t>
      </w:r>
      <w:r>
        <w:rPr>
          <w:rFonts w:cs="Arial Unicode MS" w:eastAsia="Arial Unicode MS"/>
          <w:rtl w:val="0"/>
          <w:lang w:val="en-US"/>
        </w:rPr>
        <w:t xml:space="preserve">&gt; [assessed </w:t>
      </w:r>
      <w:r>
        <w:rPr>
          <w:rFonts w:cs="Arial Unicode MS" w:eastAsia="Arial Unicode MS"/>
          <w:rtl w:val="0"/>
          <w:lang w:val="en-US"/>
        </w:rPr>
        <w:t>18</w:t>
      </w:r>
      <w:r>
        <w:rPr>
          <w:rFonts w:cs="Arial Unicode MS" w:eastAsia="Arial Unicode MS"/>
          <w:rtl w:val="0"/>
          <w:lang w:val="en-US"/>
        </w:rPr>
        <w:t>th April 2021)</w:t>
      </w:r>
      <w:r>
        <w:rPr>
          <w:rFonts w:cs="Arial Unicode MS" w:eastAsia="Arial Unicode MS"/>
          <w:rtl w:val="0"/>
          <w:lang w:val="en-US"/>
        </w:rPr>
        <w:t>.</w:t>
      </w:r>
    </w:p>
  </w:footnote>
  <w:footnote w:id="2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Carolyn Kennett, </w:t>
      </w:r>
      <w:r>
        <w:rPr>
          <w:rFonts w:cs="Arial Unicode MS" w:eastAsia="Arial Unicode MS"/>
          <w:i w:val="1"/>
          <w:iCs w:val="1"/>
          <w:rtl w:val="0"/>
          <w:lang w:val="en-US"/>
        </w:rPr>
        <w:t>Celestial Stone Circles Of West Cornwall, Reflections Of The Sky In An Ancient Landscape</w:t>
      </w:r>
      <w:r>
        <w:rPr>
          <w:rFonts w:cs="Arial Unicode MS" w:eastAsia="Arial Unicode MS"/>
          <w:rtl w:val="0"/>
          <w:lang w:val="en-US"/>
        </w:rPr>
        <w:t xml:space="preserve"> (Great Britain: Cornwall Stargazers, 2018), p. 30-31.</w:t>
      </w:r>
    </w:p>
  </w:footnote>
  <w:footnote w:id="2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Burl, </w:t>
      </w:r>
      <w:r>
        <w:rPr>
          <w:rFonts w:cs="Arial Unicode MS" w:eastAsia="Arial Unicode MS"/>
          <w:i w:val="1"/>
          <w:iCs w:val="1"/>
          <w:rtl w:val="0"/>
          <w:lang w:val="en-US"/>
        </w:rPr>
        <w:t>The Sun, The Moon, And Megaliths</w:t>
      </w:r>
      <w:r>
        <w:rPr>
          <w:rFonts w:cs="Arial Unicode MS" w:eastAsia="Arial Unicode MS"/>
          <w:rtl w:val="0"/>
          <w:lang w:val="en-US"/>
        </w:rPr>
        <w:t>, p ?????.</w:t>
      </w:r>
    </w:p>
  </w:footnote>
  <w:footnote w:id="2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9.</w:t>
      </w:r>
    </w:p>
  </w:footnote>
  <w:footnote w:id="2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rPr>
        <w:t xml:space="preserve">, p. </w:t>
      </w:r>
      <w:r>
        <w:rPr>
          <w:rFonts w:cs="Arial Unicode MS" w:eastAsia="Arial Unicode MS"/>
          <w:rtl w:val="0"/>
          <w:lang w:val="en-US"/>
        </w:rPr>
        <w:t>32</w:t>
      </w:r>
      <w:r>
        <w:rPr>
          <w:rFonts w:cs="Arial Unicode MS" w:eastAsia="Arial Unicode MS"/>
          <w:rtl w:val="0"/>
        </w:rPr>
        <w:t>.</w:t>
      </w:r>
    </w:p>
  </w:footnote>
  <w:footnote w:id="26">
    <w:p>
      <w:pPr>
        <w:pStyle w:val="Footnote"/>
      </w:pPr>
      <w:r>
        <w:rPr>
          <w:vertAlign w:val="superscript"/>
        </w:rPr>
        <w:footnoteRef/>
      </w:r>
      <w:r>
        <w:rPr>
          <w:rFonts w:cs="Arial Unicode MS" w:eastAsia="Arial Unicode MS"/>
          <w:rtl w:val="0"/>
          <w:lang w:val="en-US"/>
        </w:rPr>
        <w:t xml:space="preserve"> Brook, </w:t>
      </w:r>
      <w:r>
        <w:rPr>
          <w:rFonts w:cs="Arial Unicode MS" w:eastAsia="Arial Unicode MS"/>
          <w:i w:val="1"/>
          <w:iCs w:val="1"/>
          <w:rtl w:val="0"/>
          <w:lang w:val="en-US"/>
        </w:rPr>
        <w:t xml:space="preserve">Can </w:t>
      </w:r>
      <w:r>
        <w:rPr>
          <w:rFonts w:cs="Arial Unicode MS" w:eastAsia="Arial Unicode MS" w:hint="default"/>
          <w:i w:val="1"/>
          <w:iCs w:val="1"/>
          <w:rtl w:val="1"/>
        </w:rPr>
        <w:t>‘</w:t>
      </w:r>
      <w:r>
        <w:rPr>
          <w:rFonts w:cs="Arial Unicode MS" w:eastAsia="Arial Unicode MS"/>
          <w:i w:val="1"/>
          <w:iCs w:val="1"/>
          <w:rtl w:val="0"/>
          <w:lang w:val="en-US"/>
        </w:rPr>
        <w:t>Spirit Of Place</w:t>
      </w:r>
      <w:r>
        <w:rPr>
          <w:rFonts w:cs="Arial Unicode MS" w:eastAsia="Arial Unicode MS" w:hint="default"/>
          <w:i w:val="1"/>
          <w:iCs w:val="1"/>
          <w:rtl w:val="1"/>
        </w:rPr>
        <w:t>’</w:t>
      </w:r>
      <w:r>
        <w:rPr>
          <w:rFonts w:cs="Arial Unicode MS" w:eastAsia="Arial Unicode MS"/>
          <w:rtl w:val="0"/>
          <w:lang w:val="en-US"/>
        </w:rPr>
        <w:t xml:space="preserve">, </w:t>
      </w:r>
      <w:r>
        <w:rPr>
          <w:rFonts w:cs="Arial Unicode MS" w:eastAsia="Arial Unicode MS"/>
          <w:rtl w:val="0"/>
        </w:rPr>
        <w:t xml:space="preserve">p. </w:t>
      </w:r>
      <w:r>
        <w:rPr>
          <w:rFonts w:cs="Arial Unicode MS" w:eastAsia="Arial Unicode MS"/>
          <w:rtl w:val="0"/>
          <w:lang w:val="en-US"/>
        </w:rPr>
        <w:t>336</w:t>
      </w:r>
      <w:r>
        <w:rPr>
          <w:rFonts w:cs="Arial Unicode MS" w:eastAsia="Arial Unicode MS"/>
          <w:rtl w:val="0"/>
        </w:rPr>
        <w:t>.</w:t>
      </w:r>
    </w:p>
  </w:footnote>
  <w:footnote w:id="2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202.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190</w:t>
      </w:r>
      <w:r>
        <w:rPr>
          <w:rFonts w:cs="Arial Unicode MS" w:eastAsia="Arial Unicode MS"/>
          <w:rtl w:val="0"/>
          <w:lang w:val="en-US"/>
        </w:rPr>
        <w:t>.</w:t>
      </w:r>
    </w:p>
  </w:footnote>
  <w:footnote w:id="2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p. 102-103.</w:t>
      </w:r>
    </w:p>
  </w:footnote>
  <w:footnote w:id="2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Christopher Tilley and Wayne Bennett, </w:t>
      </w:r>
      <w:r>
        <w:rPr>
          <w:rFonts w:cs="Arial Unicode MS" w:eastAsia="Arial Unicode MS" w:hint="default"/>
          <w:rtl w:val="0"/>
          <w:lang w:val="en-US"/>
        </w:rPr>
        <w:t>‘</w:t>
      </w:r>
      <w:r>
        <w:rPr>
          <w:rFonts w:cs="Arial Unicode MS" w:eastAsia="Arial Unicode MS"/>
          <w:rtl w:val="0"/>
          <w:lang w:val="en-US"/>
        </w:rPr>
        <w:t>An Archaeology Of Supernatural Places: The Case Of West Penwith</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Royal Anthropological Institute</w:t>
      </w:r>
      <w:r>
        <w:rPr>
          <w:rFonts w:cs="Arial Unicode MS" w:eastAsia="Arial Unicode MS"/>
          <w:rtl w:val="0"/>
          <w:lang w:val="en-US"/>
        </w:rPr>
        <w:t>, 7, 335-362, p. 336. &lt;</w:t>
      </w:r>
      <w:r>
        <w:rPr>
          <w:rFonts w:cs="Arial Unicode MS" w:eastAsia="Arial Unicode MS"/>
          <w:rtl w:val="0"/>
        </w:rPr>
        <w:t>D</w:t>
      </w:r>
      <w:r>
        <w:rPr>
          <w:rFonts w:cs="Arial Unicode MS" w:eastAsia="Arial Unicode MS"/>
          <w:rtl w:val="0"/>
          <w:lang w:val="en-US"/>
        </w:rPr>
        <w:t>oi</w:t>
      </w:r>
      <w:r>
        <w:rPr>
          <w:rFonts w:cs="Arial Unicode MS" w:eastAsia="Arial Unicode MS"/>
          <w:rtl w:val="0"/>
        </w:rPr>
        <w:t>: 10.1111/1467-9655.00066</w:t>
      </w:r>
      <w:r>
        <w:rPr>
          <w:rFonts w:cs="Arial Unicode MS" w:eastAsia="Arial Unicode MS"/>
          <w:rtl w:val="0"/>
          <w:lang w:val="en-US"/>
        </w:rPr>
        <w:t>&gt; [assessed 28th April 2021].</w:t>
      </w:r>
    </w:p>
  </w:footnote>
  <w:footnote w:id="3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w:t>
      </w:r>
    </w:p>
  </w:footnote>
  <w:footnote w:id="3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60</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50 and p. 189</w:t>
      </w:r>
      <w:r>
        <w:rPr>
          <w:rFonts w:cs="Arial Unicode MS" w:eastAsia="Arial Unicode MS"/>
          <w:rtl w:val="0"/>
          <w:lang w:val="en-US"/>
        </w:rPr>
        <w:t>.</w:t>
      </w:r>
      <w:r>
        <w:rPr>
          <w:rFonts w:cs="Arial Unicode MS" w:eastAsia="Arial Unicode MS"/>
          <w:rtl w:val="0"/>
          <w:lang w:val="en-US"/>
        </w:rPr>
        <w:t xml:space="preserve">  David Lewis-Williams and David Pearce, </w:t>
      </w:r>
      <w:r>
        <w:rPr>
          <w:rFonts w:cs="Arial Unicode MS" w:eastAsia="Arial Unicode MS"/>
          <w:i w:val="1"/>
          <w:iCs w:val="1"/>
          <w:rtl w:val="0"/>
          <w:lang w:val="en-US"/>
        </w:rPr>
        <w:t>Inside The Neolithic Mind</w:t>
      </w:r>
      <w:r>
        <w:rPr>
          <w:rFonts w:cs="Arial Unicode MS" w:eastAsia="Arial Unicode MS"/>
          <w:rtl w:val="0"/>
          <w:lang w:val="en-US"/>
        </w:rPr>
        <w:t xml:space="preserve">, Paperback edn. (London: Thames &amp; Hudson, 2018), </w:t>
      </w:r>
      <w:r>
        <w:rPr>
          <w:rFonts w:cs="Arial Unicode MS" w:eastAsia="Arial Unicode MS"/>
          <w:rtl w:val="0"/>
          <w:lang w:val="en-US"/>
        </w:rPr>
        <w:t>p. 256-257.</w:t>
      </w:r>
    </w:p>
  </w:footnote>
  <w:footnote w:id="3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Paul Devereux, </w:t>
      </w:r>
      <w:r>
        <w:rPr>
          <w:rFonts w:cs="Arial Unicode MS" w:eastAsia="Arial Unicode MS"/>
          <w:i w:val="1"/>
          <w:iCs w:val="1"/>
          <w:rtl w:val="0"/>
          <w:lang w:val="en-US"/>
        </w:rPr>
        <w:t>Places Of Power</w:t>
      </w:r>
      <w:r>
        <w:rPr>
          <w:rFonts w:cs="Arial Unicode MS" w:eastAsia="Arial Unicode MS"/>
          <w:rtl w:val="0"/>
          <w:lang w:val="en-US"/>
        </w:rPr>
        <w:t xml:space="preserve"> (London: Blandford, 1990), p. 6 and p. 57.</w:t>
      </w:r>
    </w:p>
  </w:footnote>
  <w:footnote w:id="3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Lockyer, </w:t>
      </w:r>
      <w:r>
        <w:rPr>
          <w:rFonts w:cs="Arial Unicode MS" w:eastAsia="Arial Unicode MS"/>
          <w:i w:val="1"/>
          <w:iCs w:val="1"/>
          <w:rtl w:val="0"/>
          <w:lang w:val="en-US"/>
        </w:rPr>
        <w:t>Stonehenge And Other British Stone Monuments</w:t>
      </w:r>
      <w:r>
        <w:rPr>
          <w:rFonts w:cs="Arial Unicode MS" w:eastAsia="Arial Unicode MS"/>
          <w:rtl w:val="0"/>
          <w:lang w:val="en-US"/>
        </w:rPr>
        <w:t>, p. 248.</w:t>
      </w:r>
    </w:p>
  </w:footnote>
  <w:footnote w:id="34">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Cathedrals Of The Bronze Age, Stone Circles</w:t>
      </w:r>
      <w:r>
        <w:rPr>
          <w:rFonts w:cs="Arial Unicode MS" w:eastAsia="Arial Unicode MS" w:hint="default"/>
          <w:rtl w:val="0"/>
          <w:lang w:val="en-US"/>
        </w:rPr>
        <w:t>’</w:t>
      </w:r>
      <w:r>
        <w:rPr>
          <w:rFonts w:cs="Arial Unicode MS" w:eastAsia="Arial Unicode MS"/>
          <w:rtl w:val="0"/>
          <w:lang w:val="en-US"/>
        </w:rPr>
        <w:t>, &lt;www.ancientpenwith.org/circles.html&gt; [assessed 22nd April 2021].</w:t>
      </w:r>
    </w:p>
  </w:footnote>
  <w:footnote w:id="35">
    <w:p>
      <w:pPr>
        <w:pStyle w:val="Footnote"/>
      </w:pPr>
      <w:r>
        <w:rPr>
          <w:vertAlign w:val="superscript"/>
        </w:rPr>
        <w:footnoteRef/>
      </w:r>
      <w:r>
        <w:rPr>
          <w:rFonts w:cs="Arial Unicode MS" w:eastAsia="Arial Unicode MS"/>
          <w:rtl w:val="0"/>
        </w:rPr>
        <w:t xml:space="preserve"> M</w:t>
      </w:r>
      <w:r>
        <w:rPr>
          <w:rFonts w:cs="Arial Unicode MS" w:eastAsia="Arial Unicode MS"/>
          <w:rtl w:val="0"/>
          <w:lang w:val="en-US"/>
        </w:rPr>
        <w:t xml:space="preserve">ythical </w:t>
      </w:r>
      <w:r>
        <w:rPr>
          <w:rFonts w:cs="Arial Unicode MS" w:eastAsia="Arial Unicode MS"/>
          <w:rtl w:val="0"/>
        </w:rPr>
        <w:t>I</w:t>
      </w:r>
      <w:r>
        <w:rPr>
          <w:rFonts w:cs="Arial Unicode MS" w:eastAsia="Arial Unicode MS"/>
          <w:rtl w:val="0"/>
          <w:lang w:val="en-US"/>
        </w:rPr>
        <w:t xml:space="preserve">reland, </w:t>
      </w:r>
      <w:r>
        <w:rPr>
          <w:rFonts w:cs="Arial Unicode MS" w:eastAsia="Arial Unicode MS" w:hint="default"/>
          <w:rtl w:val="0"/>
          <w:lang w:val="en-US"/>
        </w:rPr>
        <w:t>‘</w:t>
      </w:r>
      <w:r>
        <w:rPr>
          <w:rFonts w:cs="Arial Unicode MS" w:eastAsia="Arial Unicode MS"/>
          <w:rtl w:val="0"/>
          <w:lang w:val="en-US"/>
        </w:rPr>
        <w:t>Astronomy, Metonic</w:t>
      </w:r>
      <w:r>
        <w:rPr>
          <w:rFonts w:cs="Arial Unicode MS" w:eastAsia="Arial Unicode MS"/>
          <w:rtl w:val="0"/>
        </w:rPr>
        <w:t xml:space="preserve"> C</w:t>
      </w:r>
      <w:r>
        <w:rPr>
          <w:rFonts w:cs="Arial Unicode MS" w:eastAsia="Arial Unicode MS"/>
          <w:rtl w:val="0"/>
          <w:lang w:val="en-US"/>
        </w:rPr>
        <w:t>ycle</w:t>
      </w:r>
      <w:r>
        <w:rPr>
          <w:rFonts w:cs="Arial Unicode MS" w:eastAsia="Arial Unicode MS"/>
          <w:rtl w:val="0"/>
        </w:rPr>
        <w:t>: T</w:t>
      </w:r>
      <w:r>
        <w:rPr>
          <w:rFonts w:cs="Arial Unicode MS" w:eastAsia="Arial Unicode MS"/>
          <w:rtl w:val="0"/>
          <w:lang w:val="en-US"/>
        </w:rPr>
        <w:t>he</w:t>
      </w:r>
      <w:r>
        <w:rPr>
          <w:rFonts w:cs="Arial Unicode MS" w:eastAsia="Arial Unicode MS"/>
          <w:rtl w:val="0"/>
        </w:rPr>
        <w:t xml:space="preserve"> 19-</w:t>
      </w:r>
      <w:r>
        <w:rPr>
          <w:rFonts w:cs="Arial Unicode MS" w:eastAsia="Arial Unicode MS"/>
          <w:rtl w:val="0"/>
          <w:lang w:val="en-US"/>
        </w:rPr>
        <w:t>Year</w:t>
      </w:r>
      <w:r>
        <w:rPr>
          <w:rFonts w:cs="Arial Unicode MS" w:eastAsia="Arial Unicode MS"/>
          <w:rtl w:val="0"/>
        </w:rPr>
        <w:t xml:space="preserve"> C</w:t>
      </w:r>
      <w:r>
        <w:rPr>
          <w:rFonts w:cs="Arial Unicode MS" w:eastAsia="Arial Unicode MS"/>
          <w:rtl w:val="0"/>
          <w:lang w:val="en-US"/>
        </w:rPr>
        <w:t>ycle</w:t>
      </w:r>
      <w:r>
        <w:rPr>
          <w:rFonts w:cs="Arial Unicode MS" w:eastAsia="Arial Unicode MS"/>
          <w:rtl w:val="0"/>
        </w:rPr>
        <w:t xml:space="preserve"> O</w:t>
      </w:r>
      <w:r>
        <w:rPr>
          <w:rFonts w:cs="Arial Unicode MS" w:eastAsia="Arial Unicode MS"/>
          <w:rtl w:val="0"/>
          <w:lang w:val="en-US"/>
        </w:rPr>
        <w:t>f</w:t>
      </w:r>
      <w:r>
        <w:rPr>
          <w:rFonts w:cs="Arial Unicode MS" w:eastAsia="Arial Unicode MS"/>
          <w:rtl w:val="0"/>
        </w:rPr>
        <w:t xml:space="preserve"> T</w:t>
      </w:r>
      <w:r>
        <w:rPr>
          <w:rFonts w:cs="Arial Unicode MS" w:eastAsia="Arial Unicode MS"/>
          <w:rtl w:val="0"/>
          <w:lang w:val="en-US"/>
        </w:rPr>
        <w:t xml:space="preserve">he </w:t>
      </w:r>
      <w:r>
        <w:rPr>
          <w:rFonts w:cs="Arial Unicode MS" w:eastAsia="Arial Unicode MS"/>
          <w:rtl w:val="0"/>
        </w:rPr>
        <w:t>M</w:t>
      </w:r>
      <w:r>
        <w:rPr>
          <w:rFonts w:cs="Arial Unicode MS" w:eastAsia="Arial Unicode MS"/>
          <w:rtl w:val="0"/>
          <w:lang w:val="en-US"/>
        </w:rPr>
        <w:t>oon</w:t>
      </w:r>
      <w:r>
        <w:rPr>
          <w:rFonts w:cs="Arial Unicode MS" w:eastAsia="Arial Unicode MS" w:hint="default"/>
          <w:rtl w:val="0"/>
          <w:lang w:val="en-US"/>
        </w:rPr>
        <w:t xml:space="preserve">’ </w:t>
      </w:r>
      <w:r>
        <w:rPr>
          <w:rFonts w:cs="Arial Unicode MS" w:eastAsia="Arial Unicode MS"/>
          <w:rtl w:val="0"/>
          <w:lang w:val="en-US"/>
        </w:rPr>
        <w:t>&lt;</w:t>
      </w:r>
      <w:r>
        <w:rPr>
          <w:rFonts w:cs="Arial Unicode MS" w:eastAsia="Arial Unicode MS"/>
          <w:rtl w:val="0"/>
          <w:lang w:val="en-US"/>
        </w:rPr>
        <w:t>https://mythicalireland.com/astronomy/metonic-cycle-the-19-year-cycle-of-the-moon/</w:t>
      </w:r>
      <w:r>
        <w:rPr>
          <w:rFonts w:cs="Arial Unicode MS" w:eastAsia="Arial Unicode MS"/>
          <w:rtl w:val="0"/>
          <w:lang w:val="en-US"/>
        </w:rPr>
        <w:t>&gt; [assessed 1st May 2021].</w:t>
      </w:r>
    </w:p>
  </w:footnote>
  <w:footnote w:id="3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Freddy Silva, </w:t>
      </w:r>
      <w:r>
        <w:rPr>
          <w:rFonts w:cs="Arial Unicode MS" w:eastAsia="Arial Unicode MS"/>
          <w:i w:val="1"/>
          <w:iCs w:val="1"/>
          <w:rtl w:val="0"/>
          <w:lang w:val="en-US"/>
        </w:rPr>
        <w:t>The Divine Blueprint</w:t>
      </w:r>
      <w:r>
        <w:rPr>
          <w:rFonts w:cs="Arial Unicode MS" w:eastAsia="Arial Unicode MS"/>
          <w:rtl w:val="0"/>
          <w:lang w:val="en-US"/>
        </w:rPr>
        <w:t>, (Portland: Invisible Temple, 2016), p. 208.</w:t>
      </w:r>
    </w:p>
  </w:footnote>
  <w:footnote w:id="3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Anthony M. Perks and Darlene Marie Bailey, </w:t>
      </w:r>
      <w:r>
        <w:rPr>
          <w:rFonts w:cs="Arial Unicode MS" w:eastAsia="Arial Unicode MS" w:hint="default"/>
          <w:rtl w:val="0"/>
          <w:lang w:val="en-US"/>
        </w:rPr>
        <w:t>‘</w:t>
      </w:r>
      <w:r>
        <w:rPr>
          <w:rFonts w:cs="Arial Unicode MS" w:eastAsia="Arial Unicode MS"/>
          <w:rtl w:val="0"/>
          <w:lang w:val="en-US"/>
        </w:rPr>
        <w:t>Stonehenge; a view from medicine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Journal of The Royal Society of </w:t>
      </w:r>
      <w:r>
        <w:rPr>
          <w:rFonts w:cs="Arial Unicode MS" w:eastAsia="Arial Unicode MS"/>
          <w:rtl w:val="0"/>
          <w:lang w:val="en-US"/>
        </w:rPr>
        <w:t xml:space="preserve">Medicine, 96(2), 94-98, p. 94 &lt;doi: 10.1258/jrsm.96.2.94&gt; [assessed 9th April 2021].  Nigel Pennick, </w:t>
      </w:r>
      <w:r>
        <w:rPr>
          <w:rFonts w:cs="Arial Unicode MS" w:eastAsia="Arial Unicode MS"/>
          <w:i w:val="1"/>
          <w:iCs w:val="1"/>
          <w:rtl w:val="0"/>
          <w:lang w:val="en-US"/>
        </w:rPr>
        <w:t xml:space="preserve">The Book Of Primal </w:t>
      </w:r>
      <w:r>
        <w:rPr>
          <w:rFonts w:cs="Arial Unicode MS" w:eastAsia="Arial Unicode MS"/>
          <w:rtl w:val="0"/>
          <w:lang w:val="en-US"/>
        </w:rPr>
        <w:t xml:space="preserve">Signs, US edn. (Rochester: Inner Traditions, 2014). </w:t>
      </w:r>
    </w:p>
  </w:footnote>
  <w:footnote w:id="38">
    <w:p>
      <w:pPr>
        <w:pStyle w:val="Footnote"/>
      </w:pPr>
      <w:r>
        <w:rPr>
          <w:vertAlign w:val="superscript"/>
        </w:rPr>
        <w:footnoteRef/>
      </w:r>
      <w:r>
        <w:rPr>
          <w:rFonts w:cs="Arial Unicode MS" w:eastAsia="Arial Unicode MS"/>
          <w:rtl w:val="0"/>
          <w:lang w:val="en-US"/>
        </w:rPr>
        <w:t xml:space="preserve"> Lewis-Williams and Pearce, </w:t>
      </w:r>
      <w:r>
        <w:rPr>
          <w:rFonts w:cs="Arial Unicode MS" w:eastAsia="Arial Unicode MS"/>
          <w:i w:val="1"/>
          <w:iCs w:val="1"/>
          <w:rtl w:val="0"/>
          <w:lang w:val="en-US"/>
        </w:rPr>
        <w:t>Inside The Neolithic Mind</w:t>
      </w:r>
      <w:r>
        <w:rPr>
          <w:rFonts w:cs="Arial Unicode MS" w:eastAsia="Arial Unicode MS"/>
          <w:rtl w:val="0"/>
          <w:lang w:val="en-US"/>
        </w:rPr>
        <w:t>,</w:t>
      </w:r>
      <w:r>
        <w:rPr>
          <w:rFonts w:cs="Arial Unicode MS" w:eastAsia="Arial Unicode MS"/>
          <w:rtl w:val="0"/>
          <w:lang w:val="en-US"/>
        </w:rPr>
        <w:t xml:space="preserve"> p. 220-226.</w:t>
      </w:r>
    </w:p>
  </w:footnote>
  <w:footnote w:id="3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23-25.</w:t>
      </w:r>
    </w:p>
  </w:footnote>
  <w:footnote w:id="4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xml:space="preserve">, p. 28.  Kennett, </w:t>
      </w:r>
      <w:r>
        <w:rPr>
          <w:rFonts w:cs="Arial Unicode MS" w:eastAsia="Arial Unicode MS"/>
          <w:i w:val="1"/>
          <w:iCs w:val="1"/>
          <w:rtl w:val="0"/>
          <w:lang w:val="en-US"/>
        </w:rPr>
        <w:t>Celestial Stone Circles</w:t>
      </w:r>
      <w:r>
        <w:rPr>
          <w:rFonts w:cs="Arial Unicode MS" w:eastAsia="Arial Unicode MS"/>
          <w:rtl w:val="0"/>
          <w:lang w:val="en-US"/>
        </w:rPr>
        <w:t>, p. 40.</w:t>
      </w:r>
    </w:p>
  </w:footnote>
  <w:footnote w:id="4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w:t>
      </w:r>
      <w:r>
        <w:rPr>
          <w:rFonts w:cs="Arial Unicode MS" w:eastAsia="Arial Unicode MS"/>
          <w:rtl w:val="0"/>
          <w:lang w:val="en-US"/>
        </w:rPr>
        <w:t>, p. 40.</w:t>
      </w:r>
    </w:p>
  </w:footnote>
  <w:footnote w:id="4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 Of Boscawen-un Stone Circle</w:t>
      </w:r>
      <w:r>
        <w:rPr>
          <w:rFonts w:cs="Arial Unicode MS" w:eastAsia="Arial Unicode MS"/>
          <w:rtl w:val="0"/>
          <w:lang w:val="en-US"/>
        </w:rPr>
        <w:t>, p. 11</w:t>
      </w:r>
      <w:r>
        <w:rPr>
          <w:rFonts w:cs="Arial Unicode MS" w:eastAsia="Arial Unicode MS"/>
          <w:rtl w:val="0"/>
          <w:lang w:val="en-US"/>
        </w:rPr>
        <w:t>.</w:t>
      </w:r>
    </w:p>
  </w:footnote>
  <w:footnote w:id="4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189-190</w:t>
      </w:r>
      <w:r>
        <w:rPr>
          <w:rFonts w:cs="Arial Unicode MS" w:eastAsia="Arial Unicode MS"/>
          <w:rtl w:val="0"/>
          <w:lang w:val="en-US"/>
        </w:rPr>
        <w:t>.</w:t>
      </w:r>
    </w:p>
  </w:footnote>
  <w:footnote w:id="4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xml:space="preserve">, p. 16. </w:t>
      </w:r>
    </w:p>
  </w:footnote>
  <w:footnote w:id="45">
    <w:p>
      <w:pPr>
        <w:pStyle w:val="Footnote"/>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Cathedrals Of The Bronze Age, Stone Circles</w:t>
      </w:r>
      <w:r>
        <w:rPr>
          <w:rFonts w:cs="Arial Unicode MS" w:eastAsia="Arial Unicode MS" w:hint="default"/>
          <w:rtl w:val="0"/>
          <w:lang w:val="en-US"/>
        </w:rPr>
        <w:t>’</w:t>
      </w:r>
      <w:r>
        <w:rPr>
          <w:rFonts w:cs="Arial Unicode MS" w:eastAsia="Arial Unicode MS"/>
          <w:rtl w:val="0"/>
          <w:lang w:val="en-US"/>
        </w:rPr>
        <w:t>, &lt;www.ancientpenwith.org/circles.html&gt; [assessed 22nd April 2021].</w:t>
      </w:r>
    </w:p>
  </w:footnote>
  <w:footnote w:id="46">
    <w:p>
      <w:pPr>
        <w:pStyle w:val="Footnote"/>
      </w:pPr>
      <w:r>
        <w:rPr>
          <w:vertAlign w:val="superscript"/>
        </w:rPr>
        <w:footnoteRef/>
      </w:r>
      <w:r>
        <w:rPr>
          <w:rFonts w:cs="Arial Unicode MS" w:eastAsia="Arial Unicode MS"/>
          <w:rtl w:val="0"/>
        </w:rPr>
        <w:t xml:space="preserve"> M</w:t>
      </w:r>
      <w:r>
        <w:rPr>
          <w:rFonts w:cs="Arial Unicode MS" w:eastAsia="Arial Unicode MS"/>
          <w:rtl w:val="0"/>
          <w:lang w:val="en-US"/>
        </w:rPr>
        <w:t xml:space="preserve">ythical </w:t>
      </w:r>
      <w:r>
        <w:rPr>
          <w:rFonts w:cs="Arial Unicode MS" w:eastAsia="Arial Unicode MS"/>
          <w:rtl w:val="0"/>
        </w:rPr>
        <w:t>I</w:t>
      </w:r>
      <w:r>
        <w:rPr>
          <w:rFonts w:cs="Arial Unicode MS" w:eastAsia="Arial Unicode MS"/>
          <w:rtl w:val="0"/>
          <w:lang w:val="en-US"/>
        </w:rPr>
        <w:t xml:space="preserve">reland, </w:t>
      </w:r>
      <w:r>
        <w:rPr>
          <w:rFonts w:cs="Arial Unicode MS" w:eastAsia="Arial Unicode MS"/>
          <w:i w:val="1"/>
          <w:iCs w:val="1"/>
          <w:rtl w:val="0"/>
          <w:lang w:val="en-US"/>
        </w:rPr>
        <w:t>Astronomy, Metonic</w:t>
      </w:r>
      <w:r>
        <w:rPr>
          <w:rFonts w:cs="Arial Unicode MS" w:eastAsia="Arial Unicode MS"/>
          <w:i w:val="1"/>
          <w:iCs w:val="1"/>
          <w:rtl w:val="0"/>
        </w:rPr>
        <w:t xml:space="preserve"> C</w:t>
      </w:r>
      <w:r>
        <w:rPr>
          <w:rFonts w:cs="Arial Unicode MS" w:eastAsia="Arial Unicode MS"/>
          <w:i w:val="1"/>
          <w:iCs w:val="1"/>
          <w:rtl w:val="0"/>
          <w:lang w:val="en-US"/>
        </w:rPr>
        <w:t>ycle</w:t>
      </w:r>
      <w:r>
        <w:rPr>
          <w:rFonts w:cs="Arial Unicode MS" w:eastAsia="Arial Unicode MS"/>
          <w:rtl w:val="0"/>
          <w:lang w:val="en-US"/>
        </w:rPr>
        <w:t>.</w:t>
      </w:r>
    </w:p>
  </w:footnote>
  <w:footnote w:id="4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E.C. Krupp, </w:t>
      </w:r>
      <w:r>
        <w:rPr>
          <w:rFonts w:cs="Arial Unicode MS" w:eastAsia="Arial Unicode MS"/>
          <w:i w:val="1"/>
          <w:iCs w:val="1"/>
          <w:rtl w:val="0"/>
          <w:lang w:val="en-US"/>
        </w:rPr>
        <w:t>Astronomy And The Archaeology Of Power</w:t>
      </w:r>
      <w:r>
        <w:rPr>
          <w:rFonts w:cs="Arial Unicode MS" w:eastAsia="Arial Unicode MS"/>
          <w:rtl w:val="0"/>
          <w:lang w:val="en-US"/>
        </w:rPr>
        <w:t xml:space="preserve"> (USA: Wiley Popular Science, 1997), p. 156-157.</w:t>
      </w:r>
    </w:p>
  </w:footnote>
  <w:footnote w:id="48">
    <w:p>
      <w:pPr>
        <w:pStyle w:val="Footnote"/>
      </w:pPr>
      <w:r>
        <w:rPr>
          <w:vertAlign w:val="superscript"/>
        </w:rPr>
        <w:footnoteRef/>
      </w:r>
      <w:r>
        <w:rPr>
          <w:rFonts w:cs="Arial Unicode MS" w:eastAsia="Arial Unicode MS"/>
          <w:rtl w:val="0"/>
          <w:lang w:val="it-IT"/>
        </w:rPr>
        <w:t xml:space="preserve"> Walter Sullivan</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Bone Markings Indicate Ice Age Notation System</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The New York Times Archives</w:t>
      </w:r>
      <w:r>
        <w:rPr>
          <w:rFonts w:cs="Arial Unicode MS" w:eastAsia="Arial Unicode MS"/>
          <w:rtl w:val="0"/>
          <w:lang w:val="en-US"/>
        </w:rPr>
        <w:t>, 20th January 1971 &lt;</w:t>
      </w:r>
      <w:r>
        <w:rPr>
          <w:rFonts w:cs="Arial Unicode MS" w:eastAsia="Arial Unicode MS"/>
          <w:rtl w:val="0"/>
          <w:lang w:val="en-US"/>
        </w:rPr>
        <w:t>https://www.nytimes.com/1971/01/20/archives/bone-markings-indicate-ice-age-notation-system-bone-marks-indicate.html</w:t>
      </w:r>
      <w:r>
        <w:rPr>
          <w:rFonts w:cs="Arial Unicode MS" w:eastAsia="Arial Unicode MS"/>
          <w:rtl w:val="0"/>
          <w:lang w:val="en-US"/>
        </w:rPr>
        <w:t>&gt; [assessed 8th May 2021].</w:t>
      </w:r>
    </w:p>
  </w:footnote>
  <w:footnote w:id="49">
    <w:p>
      <w:pPr>
        <w:pStyle w:val="Footnote"/>
      </w:pPr>
      <w:r>
        <w:rPr>
          <w:vertAlign w:val="superscript"/>
        </w:rPr>
        <w:footnoteRef/>
      </w:r>
      <w:r>
        <w:rPr>
          <w:rFonts w:cs="Arial Unicode MS" w:eastAsia="Arial Unicode MS"/>
          <w:rtl w:val="0"/>
          <w:lang w:val="it-IT"/>
        </w:rPr>
        <w:t xml:space="preserve"> Sullivan</w:t>
      </w:r>
      <w:r>
        <w:rPr>
          <w:rFonts w:cs="Arial Unicode MS" w:eastAsia="Arial Unicode MS"/>
          <w:rtl w:val="0"/>
          <w:lang w:val="en-US"/>
        </w:rPr>
        <w:t xml:space="preserve">, </w:t>
      </w:r>
      <w:r>
        <w:rPr>
          <w:rFonts w:cs="Arial Unicode MS" w:eastAsia="Arial Unicode MS"/>
          <w:i w:val="1"/>
          <w:iCs w:val="1"/>
          <w:rtl w:val="0"/>
          <w:lang w:val="en-US"/>
        </w:rPr>
        <w:t>Bone Markings</w:t>
      </w:r>
      <w:r>
        <w:rPr>
          <w:rFonts w:cs="Arial Unicode MS" w:eastAsia="Arial Unicode MS"/>
          <w:rtl w:val="0"/>
          <w:lang w:val="en-US"/>
        </w:rPr>
        <w:t>.</w:t>
      </w:r>
    </w:p>
  </w:footnote>
  <w:footnote w:id="5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w:t>
      </w:r>
    </w:p>
  </w:footnote>
  <w:footnote w:id="5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204-205. </w:t>
      </w:r>
    </w:p>
  </w:footnote>
  <w:footnote w:id="5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Devereux, </w:t>
      </w:r>
      <w:r>
        <w:rPr>
          <w:rFonts w:cs="Arial Unicode MS" w:eastAsia="Arial Unicode MS"/>
          <w:i w:val="1"/>
          <w:iCs w:val="1"/>
          <w:rtl w:val="0"/>
          <w:lang w:val="en-US"/>
        </w:rPr>
        <w:t>Places Of Power</w:t>
      </w:r>
      <w:r>
        <w:rPr>
          <w:rFonts w:cs="Arial Unicode MS" w:eastAsia="Arial Unicode MS"/>
          <w:rtl w:val="0"/>
          <w:lang w:val="en-US"/>
        </w:rPr>
        <w:t xml:space="preserve">, p. 26.  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344.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xml:space="preserve">, </w:t>
      </w:r>
      <w:r>
        <w:rPr>
          <w:rFonts w:cs="Arial Unicode MS" w:eastAsia="Arial Unicode MS"/>
          <w:rtl w:val="0"/>
          <w:lang w:val="en-US"/>
        </w:rPr>
        <w:t>p. 256-257.</w:t>
      </w:r>
    </w:p>
  </w:footnote>
  <w:footnote w:id="5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 Of Boscawen-un Stone Circle</w:t>
      </w:r>
      <w:r>
        <w:rPr>
          <w:rFonts w:cs="Arial Unicode MS" w:eastAsia="Arial Unicode MS"/>
          <w:rtl w:val="0"/>
          <w:lang w:val="en-US"/>
        </w:rPr>
        <w:t>, p. 11</w:t>
      </w:r>
      <w:r>
        <w:rPr>
          <w:rFonts w:cs="Arial Unicode MS" w:eastAsia="Arial Unicode MS"/>
          <w:rtl w:val="0"/>
          <w:lang w:val="en-US"/>
        </w:rPr>
        <w:t>.</w:t>
      </w:r>
    </w:p>
  </w:footnote>
  <w:footnote w:id="5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127.  </w:t>
      </w:r>
      <w:r>
        <w:rPr>
          <w:rFonts w:cs="Arial Unicode MS" w:eastAsia="Arial Unicode MS"/>
          <w:rtl w:val="0"/>
          <w:lang w:val="en-US"/>
        </w:rPr>
        <w:t xml:space="preserve">Kennett, </w:t>
      </w:r>
      <w:r>
        <w:rPr>
          <w:rFonts w:cs="Arial Unicode MS" w:eastAsia="Arial Unicode MS"/>
          <w:i w:val="1"/>
          <w:iCs w:val="1"/>
          <w:rtl w:val="0"/>
          <w:lang w:val="en-US"/>
        </w:rPr>
        <w:t>An Astronomical Examination</w:t>
      </w:r>
      <w:r>
        <w:rPr>
          <w:rFonts w:cs="Arial Unicode MS" w:eastAsia="Arial Unicode MS"/>
          <w:rtl w:val="0"/>
          <w:lang w:val="en-US"/>
        </w:rPr>
        <w:t xml:space="preserve">, </w:t>
      </w:r>
      <w:r>
        <w:rPr>
          <w:rFonts w:cs="Arial Unicode MS" w:eastAsia="Arial Unicode MS"/>
          <w:rtl w:val="0"/>
          <w:lang w:val="en-US"/>
        </w:rPr>
        <w:t xml:space="preserve">p. 81.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p. 16.</w:t>
      </w:r>
    </w:p>
  </w:footnote>
  <w:footnote w:id="5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p. 255.</w:t>
      </w:r>
    </w:p>
  </w:footnote>
  <w:footnote w:id="5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Perks &amp; Bailey, </w:t>
      </w:r>
      <w:r>
        <w:rPr>
          <w:rFonts w:cs="Arial Unicode MS" w:eastAsia="Arial Unicode MS"/>
          <w:i w:val="1"/>
          <w:iCs w:val="1"/>
          <w:rtl w:val="0"/>
          <w:lang w:val="en-US"/>
        </w:rPr>
        <w:t>Stonehenge; a view from medicine</w:t>
      </w:r>
      <w:r>
        <w:rPr>
          <w:rFonts w:cs="Arial Unicode MS" w:eastAsia="Arial Unicode MS"/>
          <w:rtl w:val="0"/>
          <w:lang w:val="en-US"/>
        </w:rPr>
        <w:t>, p. 94.</w:t>
      </w:r>
    </w:p>
  </w:footnote>
  <w:footnote w:id="5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Perks &amp; Bailey, </w:t>
      </w:r>
      <w:r>
        <w:rPr>
          <w:rFonts w:cs="Arial Unicode MS" w:eastAsia="Arial Unicode MS"/>
          <w:i w:val="1"/>
          <w:iCs w:val="1"/>
          <w:rtl w:val="0"/>
          <w:lang w:val="en-US"/>
        </w:rPr>
        <w:t>Stonehenge; a view from medicine</w:t>
      </w:r>
      <w:r>
        <w:rPr>
          <w:rFonts w:cs="Arial Unicode MS" w:eastAsia="Arial Unicode MS"/>
          <w:rtl w:val="0"/>
          <w:lang w:val="en-US"/>
        </w:rPr>
        <w:t>, p. 94.</w:t>
      </w:r>
    </w:p>
  </w:footnote>
  <w:footnote w:id="5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Pennick, </w:t>
      </w:r>
      <w:r>
        <w:rPr>
          <w:rFonts w:cs="Arial Unicode MS" w:eastAsia="Arial Unicode MS"/>
          <w:i w:val="1"/>
          <w:iCs w:val="1"/>
          <w:rtl w:val="0"/>
          <w:lang w:val="en-US"/>
        </w:rPr>
        <w:t>Celtic Sacred Landscapes</w:t>
      </w:r>
      <w:r>
        <w:rPr>
          <w:rFonts w:cs="Arial Unicode MS" w:eastAsia="Arial Unicode MS"/>
          <w:rtl w:val="0"/>
          <w:lang w:val="en-US"/>
        </w:rPr>
        <w:t>, p. 39.</w:t>
      </w:r>
    </w:p>
  </w:footnote>
  <w:footnote w:id="5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Rodney Collin, </w:t>
      </w:r>
      <w:r>
        <w:rPr>
          <w:rFonts w:cs="Arial Unicode MS" w:eastAsia="Arial Unicode MS"/>
          <w:i w:val="1"/>
          <w:iCs w:val="1"/>
          <w:rtl w:val="0"/>
          <w:lang w:val="en-US"/>
        </w:rPr>
        <w:t>The Theory Of Celestial Influence</w:t>
      </w:r>
      <w:r>
        <w:rPr>
          <w:rFonts w:cs="Arial Unicode MS" w:eastAsia="Arial Unicode MS"/>
          <w:rtl w:val="0"/>
          <w:lang w:val="en-US"/>
        </w:rPr>
        <w:t xml:space="preserve"> (London: Penguin Books, 1954), p.140.</w:t>
      </w:r>
    </w:p>
  </w:footnote>
  <w:footnote w:id="60">
    <w:p>
      <w:pPr>
        <w:pStyle w:val="Footnote"/>
      </w:pPr>
      <w:r>
        <w:rPr>
          <w:vertAlign w:val="superscript"/>
        </w:rPr>
        <w:footnoteRef/>
      </w:r>
      <w:r>
        <w:rPr>
          <w:rFonts w:cs="Arial Unicode MS" w:eastAsia="Arial Unicode MS"/>
          <w:rtl w:val="0"/>
          <w:lang w:val="en-US"/>
        </w:rPr>
        <w:t xml:space="preserve"> Penwith District Council, Department of Planning and Economic Development, </w:t>
      </w:r>
      <w:r>
        <w:rPr>
          <w:rFonts w:cs="Arial Unicode MS" w:eastAsia="Arial Unicode MS" w:hint="default"/>
          <w:rtl w:val="0"/>
          <w:lang w:val="en-US"/>
        </w:rPr>
        <w:t>‘</w:t>
      </w:r>
      <w:r>
        <w:rPr>
          <w:rFonts w:cs="Arial Unicode MS" w:eastAsia="Arial Unicode MS"/>
          <w:rtl w:val="0"/>
          <w:lang w:val="en-US"/>
        </w:rPr>
        <w:t>St. Buryan Conservation Area Statement, Conservation Area Guidance, Report no. ER860, Box 78, p. 3 &lt;</w:t>
      </w:r>
      <w:r>
        <w:rPr>
          <w:rFonts w:cs="Arial Unicode MS" w:eastAsia="Arial Unicode MS"/>
          <w:rtl w:val="0"/>
          <w:lang w:val="en-US"/>
        </w:rPr>
        <w:t>https://map.cornwall.gov.uk/reports_conservation_areas/St%20Buryan_CA_Statement.pdf</w:t>
      </w:r>
      <w:r>
        <w:rPr>
          <w:rFonts w:cs="Arial Unicode MS" w:eastAsia="Arial Unicode MS"/>
          <w:rtl w:val="0"/>
          <w:lang w:val="en-US"/>
        </w:rPr>
        <w:t>&gt; [assessed 8th May 2021].</w:t>
      </w:r>
    </w:p>
  </w:footnote>
  <w:footnote w:id="6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212.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 xml:space="preserve">. </w:t>
      </w:r>
      <w:r>
        <w:rPr>
          <w:rFonts w:cs="Arial Unicode MS" w:eastAsia="Arial Unicode MS"/>
          <w:rtl w:val="0"/>
          <w:lang w:val="en-US"/>
        </w:rPr>
        <w:t xml:space="preserve"> </w:t>
      </w:r>
      <w:r>
        <w:rPr>
          <w:rFonts w:cs="Arial Unicode MS" w:eastAsia="Arial Unicode MS"/>
          <w:rtl w:val="0"/>
        </w:rPr>
        <w:t>An</w:t>
      </w:r>
      <w:r>
        <w:rPr>
          <w:rFonts w:cs="Arial Unicode MS" w:eastAsia="Arial Unicode MS" w:hint="default"/>
          <w:rtl w:val="0"/>
        </w:rPr>
        <w:t>đ</w:t>
      </w:r>
      <w:r>
        <w:rPr>
          <w:rFonts w:cs="Arial Unicode MS" w:eastAsia="Arial Unicode MS"/>
          <w:rtl w:val="0"/>
        </w:rPr>
        <w:t xml:space="preserve">elko </w:t>
      </w:r>
      <w:r>
        <w:rPr>
          <w:rFonts w:cs="Arial Unicode MS" w:eastAsia="Arial Unicode MS" w:hint="default"/>
          <w:rtl w:val="0"/>
        </w:rPr>
        <w:t>Đ</w:t>
      </w:r>
      <w:r>
        <w:rPr>
          <w:rFonts w:cs="Arial Unicode MS" w:eastAsia="Arial Unicode MS"/>
          <w:rtl w:val="0"/>
        </w:rPr>
        <w:t>ermek</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de-DE"/>
        </w:rPr>
        <w:t>Stonehenge Triangle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de-DE"/>
        </w:rPr>
        <w:t>STUDIA MYTHOLOGICA SLAVICA</w:t>
      </w:r>
      <w:r>
        <w:rPr>
          <w:rFonts w:cs="Arial Unicode MS" w:eastAsia="Arial Unicode MS"/>
          <w:i w:val="1"/>
          <w:iCs w:val="1"/>
          <w:rtl w:val="0"/>
          <w:lang w:val="en-US"/>
        </w:rPr>
        <w:t>,</w:t>
      </w:r>
      <w:r>
        <w:rPr>
          <w:rFonts w:cs="Arial Unicode MS" w:eastAsia="Arial Unicode MS"/>
          <w:rtl w:val="0"/>
          <w:lang w:val="it-IT"/>
        </w:rPr>
        <w:t xml:space="preserve"> XVI </w:t>
      </w:r>
      <w:r>
        <w:rPr>
          <w:rFonts w:cs="Arial Unicode MS" w:eastAsia="Arial Unicode MS"/>
          <w:rtl w:val="0"/>
          <w:lang w:val="en-US"/>
        </w:rPr>
        <w:t>(</w:t>
      </w:r>
      <w:r>
        <w:rPr>
          <w:rFonts w:cs="Arial Unicode MS" w:eastAsia="Arial Unicode MS"/>
          <w:rtl w:val="0"/>
        </w:rPr>
        <w:t>2013</w:t>
      </w:r>
      <w:r>
        <w:rPr>
          <w:rFonts w:cs="Arial Unicode MS" w:eastAsia="Arial Unicode MS"/>
          <w:rtl w:val="0"/>
          <w:lang w:val="en-US"/>
        </w:rPr>
        <w:t>)</w:t>
      </w:r>
      <w:r>
        <w:rPr>
          <w:rFonts w:cs="Arial Unicode MS" w:eastAsia="Arial Unicode MS"/>
          <w:rtl w:val="0"/>
        </w:rPr>
        <w:t>, 47-53</w:t>
      </w:r>
      <w:r>
        <w:rPr>
          <w:rFonts w:cs="Arial Unicode MS" w:eastAsia="Arial Unicode MS"/>
          <w:rtl w:val="0"/>
          <w:lang w:val="en-US"/>
        </w:rPr>
        <w:t>, p. 47 &lt;</w:t>
      </w:r>
      <w:r>
        <w:rPr>
          <w:rFonts w:cs="Arial Unicode MS" w:eastAsia="Arial Unicode MS"/>
          <w:rtl w:val="0"/>
        </w:rPr>
        <w:t>http://sms.zrc-sazu.si/pdf/16/03-sms16-djermek.pdf</w:t>
      </w:r>
      <w:r>
        <w:rPr>
          <w:rFonts w:cs="Arial Unicode MS" w:eastAsia="Arial Unicode MS"/>
          <w:rtl w:val="0"/>
          <w:lang w:val="en-US"/>
        </w:rPr>
        <w:t>&gt; [assessed 27th April 2021}.</w:t>
      </w:r>
      <w:r>
        <w:rPr>
          <w:rFonts w:cs="Arial Unicode MS" w:eastAsia="Arial Unicode MS"/>
          <w:rtl w:val="0"/>
        </w:rPr>
        <w:t xml:space="preserve"> </w:t>
      </w:r>
    </w:p>
  </w:footnote>
  <w:footnote w:id="6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An Astronomical Examination</w:t>
      </w:r>
      <w:r>
        <w:rPr>
          <w:rFonts w:cs="Arial Unicode MS" w:eastAsia="Arial Unicode MS"/>
          <w:rtl w:val="0"/>
          <w:lang w:val="en-US"/>
        </w:rPr>
        <w:t xml:space="preserve">, </w:t>
      </w:r>
      <w:r>
        <w:rPr>
          <w:rFonts w:cs="Arial Unicode MS" w:eastAsia="Arial Unicode MS"/>
          <w:rtl w:val="0"/>
          <w:lang w:val="en-US"/>
        </w:rPr>
        <w:t>p. 81.</w:t>
      </w:r>
    </w:p>
  </w:footnote>
  <w:footnote w:id="6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Stellarium, </w:t>
      </w:r>
      <w:r>
        <w:rPr>
          <w:rFonts w:cs="Arial Unicode MS" w:eastAsia="Arial Unicode MS"/>
          <w:i w:val="1"/>
          <w:iCs w:val="1"/>
          <w:rtl w:val="0"/>
          <w:lang w:val="en-US"/>
        </w:rPr>
        <w:t>Stellarium Astronomy Software.</w:t>
      </w:r>
    </w:p>
  </w:footnote>
  <w:footnote w:id="6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 Of West Cornwall</w:t>
      </w:r>
      <w:r>
        <w:rPr>
          <w:rFonts w:cs="Arial Unicode MS" w:eastAsia="Arial Unicode MS"/>
          <w:rtl w:val="0"/>
          <w:lang w:val="en-US"/>
        </w:rPr>
        <w:t>, p. 46.</w:t>
      </w:r>
    </w:p>
  </w:footnote>
  <w:footnote w:id="65">
    <w:p>
      <w:pPr>
        <w:pStyle w:val="Footnote"/>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HeyWhatsThat</w:t>
      </w:r>
      <w:r>
        <w:rPr>
          <w:rFonts w:cs="Arial Unicode MS" w:eastAsia="Arial Unicode MS"/>
          <w:rtl w:val="0"/>
        </w:rPr>
        <w:t>.</w:t>
      </w:r>
    </w:p>
  </w:footnote>
  <w:footnote w:id="66">
    <w:p>
      <w:pPr>
        <w:pStyle w:val="Footnote"/>
      </w:pPr>
      <w:r>
        <w:rPr>
          <w:vertAlign w:val="superscript"/>
        </w:rPr>
        <w:footnoteRef/>
      </w:r>
      <w:r>
        <w:rPr>
          <w:rFonts w:cs="Arial Unicode MS" w:eastAsia="Arial Unicode MS"/>
          <w:rtl w:val="0"/>
        </w:rPr>
        <w:t xml:space="preserve"> </w:t>
      </w:r>
      <w:r>
        <w:rPr>
          <w:rFonts w:cs="Arial Unicode MS" w:eastAsia="Arial Unicode MS"/>
          <w:rtl w:val="0"/>
          <w:lang w:val="da-DK"/>
        </w:rPr>
        <w:t xml:space="preserve">Fabio Silva, </w:t>
      </w:r>
      <w:r>
        <w:rPr>
          <w:rFonts w:cs="Arial Unicode MS" w:eastAsia="Arial Unicode MS" w:hint="default"/>
          <w:rtl w:val="0"/>
          <w:lang w:val="en-US"/>
        </w:rPr>
        <w:t>‘</w:t>
      </w:r>
      <w:r>
        <w:rPr>
          <w:rFonts w:cs="Arial Unicode MS" w:eastAsia="Arial Unicode MS"/>
          <w:rtl w:val="0"/>
          <w:lang w:val="en-US"/>
        </w:rPr>
        <w:t>Reference Tables for Skyscape Archaeology</w:t>
      </w:r>
      <w:r>
        <w:rPr>
          <w:rFonts w:cs="Arial Unicode MS" w:eastAsia="Arial Unicode MS" w:hint="default"/>
          <w:rtl w:val="0"/>
          <w:lang w:val="en-US"/>
        </w:rPr>
        <w:t>’</w:t>
      </w:r>
      <w:r>
        <w:rPr>
          <w:rFonts w:cs="Arial Unicode MS" w:eastAsia="Arial Unicode MS"/>
          <w:rtl w:val="0"/>
          <w:lang w:val="en-US"/>
        </w:rPr>
        <w:t>, (</w:t>
      </w:r>
      <w:r>
        <w:rPr>
          <w:rFonts w:cs="Arial Unicode MS" w:eastAsia="Arial Unicode MS"/>
          <w:rtl w:val="0"/>
        </w:rPr>
        <w:t>2019</w:t>
      </w:r>
      <w:r>
        <w:rPr>
          <w:rFonts w:cs="Arial Unicode MS" w:eastAsia="Arial Unicode MS"/>
          <w:rtl w:val="0"/>
          <w:lang w:val="en-US"/>
        </w:rPr>
        <w:t>) &lt;</w:t>
      </w:r>
      <w:r>
        <w:rPr>
          <w:rFonts w:cs="Arial Unicode MS" w:eastAsia="Arial Unicode MS"/>
          <w:rtl w:val="0"/>
          <w:lang w:val="en-US"/>
        </w:rPr>
        <w:t>https://s3.eu-west-2.amazonaws.com/skyscape-archaeology/ReferenceTables.html</w:t>
      </w:r>
      <w:r>
        <w:rPr>
          <w:rFonts w:cs="Arial Unicode MS" w:eastAsia="Arial Unicode MS"/>
          <w:rtl w:val="0"/>
          <w:lang w:val="en-US"/>
        </w:rPr>
        <w:t>&gt; [assessed 28th April 2021].</w:t>
      </w:r>
    </w:p>
  </w:footnote>
  <w:footnote w:id="6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NASA</w:t>
      </w:r>
      <w:r>
        <w:rPr>
          <w:rFonts w:cs="Arial Unicode MS" w:eastAsia="Arial Unicode MS"/>
          <w:rtl w:val="0"/>
        </w:rPr>
        <w:t xml:space="preserve">, </w:t>
      </w:r>
      <w:r>
        <w:rPr>
          <w:rFonts w:cs="Arial Unicode MS" w:eastAsia="Arial Unicode MS"/>
          <w:i w:val="1"/>
          <w:iCs w:val="1"/>
          <w:rtl w:val="0"/>
          <w:lang w:val="de-DE"/>
        </w:rPr>
        <w:t>HORIZONS</w:t>
      </w:r>
      <w:r>
        <w:rPr>
          <w:rFonts w:cs="Arial Unicode MS" w:eastAsia="Arial Unicode MS"/>
          <w:rtl w:val="0"/>
          <w:lang w:val="en-US"/>
        </w:rPr>
        <w:t>.</w:t>
      </w:r>
    </w:p>
  </w:footnote>
  <w:footnote w:id="68">
    <w:p>
      <w:pPr>
        <w:pStyle w:val="Footnote"/>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Sun.Earth.Tools</w:t>
      </w:r>
      <w:r>
        <w:rPr>
          <w:rFonts w:cs="Arial Unicode MS" w:eastAsia="Arial Unicode MS"/>
          <w:rtl w:val="0"/>
        </w:rPr>
        <w:t>.</w:t>
      </w:r>
    </w:p>
  </w:footnote>
  <w:footnote w:id="6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xml:space="preserve">, p. 16. </w:t>
      </w:r>
    </w:p>
  </w:footnote>
  <w:footnote w:id="7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Lockyer, </w:t>
      </w:r>
      <w:r>
        <w:rPr>
          <w:rFonts w:cs="Arial Unicode MS" w:eastAsia="Arial Unicode MS"/>
          <w:i w:val="1"/>
          <w:iCs w:val="1"/>
          <w:rtl w:val="0"/>
          <w:lang w:val="en-US"/>
        </w:rPr>
        <w:t>Notes on Observations of Sun and Stars in Some British Stone Circles</w:t>
      </w:r>
      <w:r>
        <w:rPr>
          <w:rFonts w:cs="Arial Unicode MS" w:eastAsia="Arial Unicode MS"/>
          <w:rtl w:val="0"/>
          <w:lang w:val="en-US"/>
        </w:rPr>
        <w:t xml:space="preserve">, </w:t>
      </w:r>
      <w:r>
        <w:rPr>
          <w:rFonts w:cs="Arial Unicode MS" w:eastAsia="Arial Unicode MS"/>
          <w:rtl w:val="0"/>
        </w:rPr>
        <w:t>p. 102</w:t>
      </w:r>
      <w:r>
        <w:rPr>
          <w:rFonts w:cs="Arial Unicode MS" w:eastAsia="Arial Unicode MS"/>
          <w:rtl w:val="0"/>
          <w:lang w:val="en-US"/>
        </w:rPr>
        <w:t>.</w:t>
      </w:r>
    </w:p>
  </w:footnote>
  <w:footnote w:id="7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60</w:t>
      </w:r>
      <w:r>
        <w:rPr>
          <w:rFonts w:cs="Arial Unicode MS" w:eastAsia="Arial Unicode MS"/>
          <w:rtl w:val="0"/>
        </w:rPr>
        <w:t>.</w:t>
      </w:r>
    </w:p>
  </w:footnote>
  <w:footnote w:id="7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50</w:t>
      </w:r>
      <w:r>
        <w:rPr>
          <w:rFonts w:cs="Arial Unicode MS" w:eastAsia="Arial Unicode MS"/>
          <w:rtl w:val="0"/>
          <w:lang w:val="en-US"/>
        </w:rPr>
        <w:t>.</w:t>
      </w:r>
    </w:p>
  </w:footnote>
  <w:footnote w:id="7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xml:space="preserve">, </w:t>
      </w:r>
      <w:r>
        <w:rPr>
          <w:rFonts w:cs="Arial Unicode MS" w:eastAsia="Arial Unicode MS"/>
          <w:rtl w:val="0"/>
          <w:lang w:val="en-US"/>
        </w:rPr>
        <w:t>p. 256-257.</w:t>
      </w:r>
    </w:p>
  </w:footnote>
  <w:footnote w:id="7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w:t>
      </w:r>
    </w:p>
  </w:footnote>
  <w:footnote w:id="7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w:t>
      </w:r>
      <w:r>
        <w:rPr>
          <w:rFonts w:cs="Arial Unicode MS" w:eastAsia="Arial Unicode MS"/>
          <w:rtl w:val="0"/>
          <w:lang w:val="en-US"/>
        </w:rPr>
        <w:t>, p. 40.</w:t>
      </w:r>
    </w:p>
  </w:footnote>
  <w:footnote w:id="7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Kennett, </w:t>
      </w:r>
      <w:r>
        <w:rPr>
          <w:rFonts w:cs="Arial Unicode MS" w:eastAsia="Arial Unicode MS"/>
          <w:i w:val="1"/>
          <w:iCs w:val="1"/>
          <w:rtl w:val="0"/>
          <w:lang w:val="en-US"/>
        </w:rPr>
        <w:t>Celestial Stone Circles</w:t>
      </w:r>
      <w:r>
        <w:rPr>
          <w:rFonts w:cs="Arial Unicode MS" w:eastAsia="Arial Unicode MS"/>
          <w:rtl w:val="0"/>
          <w:lang w:val="en-US"/>
        </w:rPr>
        <w:t xml:space="preserve">, p. 40.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189-190</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28.</w:t>
      </w:r>
    </w:p>
  </w:footnote>
  <w:footnote w:id="7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w:t>
      </w:r>
    </w:p>
  </w:footnote>
  <w:footnote w:id="7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xml:space="preserve">, p. 28.  Kennett, </w:t>
      </w:r>
      <w:r>
        <w:rPr>
          <w:rFonts w:cs="Arial Unicode MS" w:eastAsia="Arial Unicode MS"/>
          <w:i w:val="1"/>
          <w:iCs w:val="1"/>
          <w:rtl w:val="0"/>
          <w:lang w:val="en-US"/>
        </w:rPr>
        <w:t>Celestial Stone Circles</w:t>
      </w:r>
      <w:r>
        <w:rPr>
          <w:rFonts w:cs="Arial Unicode MS" w:eastAsia="Arial Unicode MS"/>
          <w:rtl w:val="0"/>
          <w:lang w:val="en-US"/>
        </w:rPr>
        <w:t xml:space="preserve">, p. 40.  Pennick, </w:t>
      </w:r>
      <w:r>
        <w:rPr>
          <w:rFonts w:cs="Arial Unicode MS" w:eastAsia="Arial Unicode MS"/>
          <w:i w:val="1"/>
          <w:iCs w:val="1"/>
          <w:rtl w:val="0"/>
          <w:lang w:val="en-US"/>
        </w:rPr>
        <w:t>Celtic Sacred Landscapes</w:t>
      </w:r>
      <w:r>
        <w:rPr>
          <w:rFonts w:cs="Arial Unicode MS" w:eastAsia="Arial Unicode MS"/>
          <w:rtl w:val="0"/>
          <w:lang w:val="en-US"/>
        </w:rPr>
        <w:t>, p. 40.</w:t>
      </w:r>
    </w:p>
  </w:footnote>
  <w:footnote w:id="7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w:t>
      </w:r>
    </w:p>
  </w:footnote>
  <w:footnote w:id="80">
    <w:p>
      <w:pPr>
        <w:pStyle w:val="Footnote"/>
      </w:pPr>
      <w:r>
        <w:rPr>
          <w:vertAlign w:val="superscript"/>
        </w:rPr>
        <w:footnoteRef/>
      </w:r>
      <w:r>
        <w:rPr>
          <w:rFonts w:cs="Arial Unicode MS" w:eastAsia="Arial Unicode MS"/>
          <w:rtl w:val="0"/>
          <w:lang w:val="en-US"/>
        </w:rPr>
        <w:t xml:space="preserve"> 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w:t>
      </w:r>
    </w:p>
  </w:footnote>
  <w:footnote w:id="8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47</w:t>
      </w:r>
      <w:r>
        <w:rPr>
          <w:rFonts w:cs="Arial Unicode MS" w:eastAsia="Arial Unicode MS"/>
          <w:rtl w:val="0"/>
        </w:rPr>
        <w:t>.</w:t>
      </w:r>
    </w:p>
  </w:footnote>
  <w:footnote w:id="8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rPr>
        <w:t>.</w:t>
      </w:r>
    </w:p>
  </w:footnote>
  <w:footnote w:id="8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rPr>
        <w:t>.</w:t>
      </w:r>
    </w:p>
  </w:footnote>
  <w:footnote w:id="8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8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Perks &amp; Bailey, </w:t>
      </w:r>
      <w:r>
        <w:rPr>
          <w:rFonts w:cs="Arial Unicode MS" w:eastAsia="Arial Unicode MS"/>
          <w:i w:val="1"/>
          <w:iCs w:val="1"/>
          <w:rtl w:val="0"/>
          <w:lang w:val="en-US"/>
        </w:rPr>
        <w:t>Stonehenge; a view from medicine</w:t>
      </w:r>
      <w:r>
        <w:rPr>
          <w:rFonts w:cs="Arial Unicode MS" w:eastAsia="Arial Unicode MS"/>
          <w:rtl w:val="0"/>
          <w:lang w:val="en-US"/>
        </w:rPr>
        <w:t>, p. 94.</w:t>
      </w:r>
    </w:p>
  </w:footnote>
  <w:footnote w:id="8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Silva, </w:t>
      </w:r>
      <w:r>
        <w:rPr>
          <w:rFonts w:cs="Arial Unicode MS" w:eastAsia="Arial Unicode MS"/>
          <w:i w:val="1"/>
          <w:iCs w:val="1"/>
          <w:rtl w:val="0"/>
          <w:lang w:val="en-US"/>
        </w:rPr>
        <w:t>The Divine Blueprint</w:t>
      </w:r>
      <w:r>
        <w:rPr>
          <w:rFonts w:cs="Arial Unicode MS" w:eastAsia="Arial Unicode MS"/>
          <w:rtl w:val="0"/>
          <w:lang w:val="en-US"/>
        </w:rPr>
        <w:t xml:space="preserve">, p. 212.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 xml:space="preserve">. </w:t>
      </w:r>
      <w:r>
        <w:rPr>
          <w:rFonts w:cs="Arial Unicode MS" w:eastAsia="Arial Unicode MS"/>
          <w:rtl w:val="0"/>
          <w:lang w:val="en-US"/>
        </w:rPr>
        <w:t xml:space="preserve"> </w:t>
      </w:r>
      <w:r>
        <w:rPr>
          <w:rFonts w:cs="Arial Unicode MS" w:eastAsia="Arial Unicode MS" w:hint="default"/>
          <w:rtl w:val="0"/>
        </w:rPr>
        <w:t>Đ</w:t>
      </w:r>
      <w:r>
        <w:rPr>
          <w:rFonts w:cs="Arial Unicode MS" w:eastAsia="Arial Unicode MS"/>
          <w:rtl w:val="0"/>
        </w:rPr>
        <w:t>ermek</w:t>
      </w:r>
      <w:r>
        <w:rPr>
          <w:rFonts w:cs="Arial Unicode MS" w:eastAsia="Arial Unicode MS"/>
          <w:rtl w:val="0"/>
          <w:lang w:val="en-US"/>
        </w:rPr>
        <w:t xml:space="preserve">, </w:t>
      </w:r>
      <w:r>
        <w:rPr>
          <w:rFonts w:cs="Arial Unicode MS" w:eastAsia="Arial Unicode MS"/>
          <w:i w:val="1"/>
          <w:iCs w:val="1"/>
          <w:rtl w:val="0"/>
          <w:lang w:val="de-DE"/>
        </w:rPr>
        <w:t>Stonehenge Triangle</w:t>
      </w:r>
      <w:r>
        <w:rPr>
          <w:rFonts w:cs="Arial Unicode MS" w:eastAsia="Arial Unicode MS"/>
          <w:rtl w:val="0"/>
          <w:lang w:val="en-US"/>
        </w:rPr>
        <w:t>, p. 47.</w:t>
      </w:r>
      <w:r>
        <w:rPr>
          <w:rFonts w:cs="Arial Unicode MS" w:eastAsia="Arial Unicode MS"/>
          <w:rtl w:val="0"/>
        </w:rPr>
        <w:t xml:space="preserve"> </w:t>
      </w:r>
    </w:p>
  </w:footnote>
  <w:footnote w:id="8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  Silva, </w:t>
      </w:r>
      <w:r>
        <w:rPr>
          <w:rFonts w:cs="Arial Unicode MS" w:eastAsia="Arial Unicode MS"/>
          <w:i w:val="1"/>
          <w:iCs w:val="1"/>
          <w:rtl w:val="0"/>
          <w:lang w:val="en-US"/>
        </w:rPr>
        <w:t>The Divine Blueprint</w:t>
      </w:r>
      <w:r>
        <w:rPr>
          <w:rFonts w:cs="Arial Unicode MS" w:eastAsia="Arial Unicode MS"/>
          <w:rtl w:val="0"/>
          <w:lang w:val="en-US"/>
        </w:rPr>
        <w:t>, p. 204-205.</w:t>
      </w:r>
    </w:p>
  </w:footnote>
  <w:footnote w:id="8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22</w:t>
      </w:r>
      <w:r>
        <w:rPr>
          <w:rFonts w:cs="Arial Unicode MS" w:eastAsia="Arial Unicode MS"/>
          <w:rtl w:val="0"/>
          <w:lang w:val="en-US"/>
        </w:rPr>
        <w:t>.</w:t>
      </w:r>
    </w:p>
  </w:footnote>
  <w:footnote w:id="8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Lewis-Williams &amp; Pearce, </w:t>
      </w:r>
      <w:r>
        <w:rPr>
          <w:rFonts w:cs="Arial Unicode MS" w:eastAsia="Arial Unicode MS"/>
          <w:i w:val="1"/>
          <w:iCs w:val="1"/>
          <w:rtl w:val="0"/>
          <w:lang w:val="en-US"/>
        </w:rPr>
        <w:t>Inside The Neolithic Mind</w:t>
      </w:r>
      <w:r>
        <w:rPr>
          <w:rFonts w:cs="Arial Unicode MS" w:eastAsia="Arial Unicode MS"/>
          <w:rtl w:val="0"/>
          <w:lang w:val="en-US"/>
        </w:rPr>
        <w:t xml:space="preserve">, p. 20. </w:t>
      </w:r>
      <w:r>
        <w:rPr>
          <w:rFonts w:cs="Arial Unicode MS" w:eastAsia="Arial Unicode MS"/>
          <w:rtl w:val="0"/>
          <w:lang w:val="en-US"/>
        </w:rPr>
        <w:t xml:space="preserve">Tilley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331.</w:t>
      </w:r>
    </w:p>
  </w:footnote>
  <w:footnote w:id="9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Herring, </w:t>
      </w:r>
      <w:r>
        <w:rPr>
          <w:rFonts w:cs="Arial Unicode MS" w:eastAsia="Arial Unicode MS"/>
          <w:i w:val="1"/>
          <w:iCs w:val="1"/>
          <w:rtl w:val="0"/>
          <w:lang w:val="en-US"/>
        </w:rPr>
        <w:t>Boscawen-un</w:t>
      </w:r>
      <w:r>
        <w:rPr>
          <w:rFonts w:cs="Arial Unicode MS" w:eastAsia="Arial Unicode MS"/>
          <w:rtl w:val="0"/>
          <w:lang w:val="en-US"/>
        </w:rPr>
        <w:t>, p. 9.</w:t>
      </w:r>
    </w:p>
  </w:footnote>
  <w:footnote w:id="9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Nigel Pennick, </w:t>
      </w:r>
      <w:r>
        <w:rPr>
          <w:rFonts w:cs="Arial Unicode MS" w:eastAsia="Arial Unicode MS"/>
          <w:i w:val="1"/>
          <w:iCs w:val="1"/>
          <w:rtl w:val="0"/>
          <w:lang w:val="en-US"/>
        </w:rPr>
        <w:t>Magic In The Landscape: Earth Mysteries &amp; Geomancy</w:t>
      </w:r>
      <w:r>
        <w:rPr>
          <w:rFonts w:cs="Arial Unicode MS" w:eastAsia="Arial Unicode MS"/>
          <w:rtl w:val="0"/>
          <w:lang w:val="en-US"/>
        </w:rPr>
        <w:t>, USA edn. (Vermont: Desticy Books, 2020), p. 66.</w:t>
      </w:r>
    </w:p>
  </w:footnote>
  <w:footnote w:id="9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Brook, </w:t>
      </w:r>
      <w:r>
        <w:rPr>
          <w:rFonts w:cs="Arial Unicode MS" w:eastAsia="Arial Unicode MS"/>
          <w:i w:val="1"/>
          <w:iCs w:val="1"/>
          <w:rtl w:val="0"/>
          <w:lang w:val="en-US"/>
        </w:rPr>
        <w:t xml:space="preserve">Can </w:t>
      </w:r>
      <w:r>
        <w:rPr>
          <w:rFonts w:cs="Arial Unicode MS" w:eastAsia="Arial Unicode MS" w:hint="default"/>
          <w:i w:val="1"/>
          <w:iCs w:val="1"/>
          <w:rtl w:val="1"/>
        </w:rPr>
        <w:t>‘</w:t>
      </w:r>
      <w:r>
        <w:rPr>
          <w:rFonts w:cs="Arial Unicode MS" w:eastAsia="Arial Unicode MS"/>
          <w:i w:val="1"/>
          <w:iCs w:val="1"/>
          <w:rtl w:val="0"/>
          <w:lang w:val="en-US"/>
        </w:rPr>
        <w:t>Spirit Of Place</w:t>
      </w:r>
      <w:r>
        <w:rPr>
          <w:rFonts w:cs="Arial Unicode MS" w:eastAsia="Arial Unicode MS" w:hint="default"/>
          <w:i w:val="1"/>
          <w:iCs w:val="1"/>
          <w:rtl w:val="1"/>
        </w:rPr>
        <w:t xml:space="preserve">’ </w:t>
      </w:r>
      <w:r>
        <w:rPr>
          <w:rFonts w:cs="Arial Unicode MS" w:eastAsia="Arial Unicode MS"/>
          <w:i w:val="1"/>
          <w:iCs w:val="1"/>
          <w:rtl w:val="0"/>
          <w:lang w:val="en-US"/>
        </w:rPr>
        <w:t>Be A Guide To Ethical Building</w:t>
      </w:r>
      <w:r>
        <w:rPr>
          <w:rFonts w:cs="Arial Unicode MS" w:eastAsia="Arial Unicode MS"/>
          <w:rtl w:val="0"/>
        </w:rPr>
        <w:t>, p. 141-149.</w:t>
      </w:r>
      <w:r>
        <w:rPr>
          <w:rFonts w:cs="Arial Unicode MS" w:eastAsia="Arial Unicode MS"/>
          <w:rtl w:val="0"/>
          <w:lang w:val="en-US"/>
        </w:rPr>
        <w:t xml:space="preserve">  Tilley &amp; Bennett, </w:t>
      </w:r>
      <w:r>
        <w:rPr>
          <w:rFonts w:cs="Arial Unicode MS" w:eastAsia="Arial Unicode MS"/>
          <w:i w:val="1"/>
          <w:iCs w:val="1"/>
          <w:rtl w:val="0"/>
          <w:lang w:val="en-US"/>
        </w:rPr>
        <w:t>An Archaeology Of Supernatural Places: The Case Of West Penwith</w:t>
      </w:r>
      <w:r>
        <w:rPr>
          <w:rFonts w:cs="Arial Unicode MS" w:eastAsia="Arial Unicode MS"/>
          <w:rtl w:val="0"/>
          <w:lang w:val="en-US"/>
        </w:rPr>
        <w:t xml:space="preserve">, </w:t>
      </w:r>
      <w:r>
        <w:rPr>
          <w:rFonts w:cs="Arial Unicode MS" w:eastAsia="Arial Unicode MS"/>
          <w:rtl w:val="0"/>
        </w:rPr>
        <w:t xml:space="preserve">p. </w:t>
      </w:r>
      <w:r>
        <w:rPr>
          <w:rFonts w:cs="Arial Unicode MS" w:eastAsia="Arial Unicode MS"/>
          <w:rtl w:val="0"/>
          <w:lang w:val="en-US"/>
        </w:rPr>
        <w:t>336</w:t>
      </w:r>
      <w:r>
        <w:rPr>
          <w:rFonts w:cs="Arial Unicode MS" w:eastAsia="Arial Unicode MS"/>
          <w:rtl w:val="0"/>
        </w:rPr>
        <w:t>.</w:t>
      </w:r>
    </w:p>
  </w:footnote>
  <w:footnote w:id="9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Devereux, </w:t>
      </w:r>
      <w:r>
        <w:rPr>
          <w:rFonts w:cs="Arial Unicode MS" w:eastAsia="Arial Unicode MS"/>
          <w:i w:val="1"/>
          <w:iCs w:val="1"/>
          <w:rtl w:val="0"/>
          <w:lang w:val="en-US"/>
        </w:rPr>
        <w:t>Places Of Power</w:t>
      </w:r>
      <w:r>
        <w:rPr>
          <w:rFonts w:cs="Arial Unicode MS" w:eastAsia="Arial Unicode MS"/>
          <w:rtl w:val="0"/>
          <w:lang w:val="en-US"/>
        </w:rPr>
        <w:t>, p. 49 and 57.</w:t>
      </w:r>
    </w:p>
  </w:footnote>
  <w:footnote w:id="94">
    <w:p>
      <w:pPr>
        <w:pStyle w:val="Footnote"/>
      </w:pPr>
      <w:r>
        <w:rPr>
          <w:rFonts w:ascii="Arial" w:cs="Arial" w:hAnsi="Arial" w:eastAsia="Arial"/>
          <w:sz w:val="22"/>
          <w:szCs w:val="22"/>
          <w:vertAlign w:val="superscript"/>
        </w:rPr>
        <w:footnoteRef/>
      </w:r>
      <w:r>
        <w:rPr>
          <w:rFonts w:cs="Arial Unicode MS" w:eastAsia="Arial Unicode MS"/>
          <w:rtl w:val="0"/>
          <w:lang w:val="de-DE"/>
        </w:rPr>
        <w:t xml:space="preserve"> Herring, </w:t>
      </w:r>
      <w:r>
        <w:rPr>
          <w:rFonts w:cs="Arial Unicode MS" w:eastAsia="Arial Unicode MS"/>
          <w:i w:val="1"/>
          <w:iCs w:val="1"/>
          <w:rtl w:val="0"/>
          <w:lang w:val="en-US"/>
        </w:rPr>
        <w:t>Boscawen-un</w:t>
      </w:r>
      <w:r>
        <w:rPr>
          <w:rFonts w:cs="Arial Unicode MS" w:eastAsia="Arial Unicode MS"/>
          <w:rtl w:val="0"/>
          <w:lang w:val="en-US"/>
        </w:rPr>
        <w:t xml:space="preserve">.  </w:t>
      </w:r>
      <w:r>
        <w:rPr>
          <w:rFonts w:cs="Arial Unicode MS" w:eastAsia="Arial Unicode MS"/>
          <w:sz w:val="18"/>
          <w:szCs w:val="18"/>
          <w:rtl w:val="0"/>
          <w:lang w:val="en-US"/>
        </w:rPr>
        <w:t xml:space="preserve">Kennett, </w:t>
      </w:r>
      <w:r>
        <w:rPr>
          <w:rFonts w:cs="Arial Unicode MS" w:eastAsia="Arial Unicode MS"/>
          <w:i w:val="1"/>
          <w:iCs w:val="1"/>
          <w:rtl w:val="0"/>
          <w:lang w:val="en-US"/>
        </w:rPr>
        <w:t>An Astronomical Examination</w:t>
      </w:r>
      <w:r>
        <w:rPr>
          <w:rFonts w:cs="Arial Unicode MS" w:eastAsia="Arial Unicode MS"/>
          <w:sz w:val="18"/>
          <w:szCs w:val="18"/>
          <w:rtl w:val="0"/>
          <w:lang w:val="en-US"/>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rtl w:val="0"/>
          <w:lang w:val="en-US"/>
        </w:rPr>
        <w:t xml:space="preserve">McNeil Cooke, </w:t>
      </w:r>
      <w:r>
        <w:rPr>
          <w:rFonts w:cs="Arial Unicode MS" w:eastAsia="Arial Unicode MS"/>
          <w:i w:val="1"/>
          <w:iCs w:val="1"/>
          <w:rtl w:val="0"/>
          <w:lang w:val="en-US"/>
        </w:rPr>
        <w:t>Mermaid To Mermaid</w:t>
      </w:r>
      <w:r>
        <w:rPr>
          <w:rFonts w:cs="Arial Unicode MS" w:eastAsia="Arial Unicode MS"/>
          <w:i w:val="1"/>
          <w:iCs w:val="1"/>
          <w:rtl w:val="0"/>
          <w:lang w:val="en-US"/>
        </w:rPr>
        <w:t>.</w:t>
      </w:r>
    </w:p>
  </w:footnote>
  <w:footnote w:id="9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Weatherhill, </w:t>
      </w:r>
      <w:r>
        <w:rPr>
          <w:rFonts w:cs="Arial Unicode MS" w:eastAsia="Arial Unicode MS"/>
          <w:i w:val="1"/>
          <w:iCs w:val="1"/>
          <w:rtl w:val="0"/>
          <w:lang w:val="en-US"/>
        </w:rPr>
        <w:t>Cornovia</w:t>
      </w:r>
      <w:r>
        <w:rPr>
          <w:rFonts w:cs="Arial Unicode MS" w:eastAsia="Arial Unicode MS"/>
          <w:rtl w:val="0"/>
          <w:lang w:val="en-US"/>
        </w:rPr>
        <w:t xml:space="preserve">, p. 16. </w:t>
      </w:r>
    </w:p>
  </w:footnote>
  <w:footnote w:id="9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Tilley, </w:t>
      </w:r>
      <w:r>
        <w:rPr>
          <w:rFonts w:cs="Arial Unicode MS" w:eastAsia="Arial Unicode MS"/>
          <w:i w:val="1"/>
          <w:iCs w:val="1"/>
          <w:rtl w:val="0"/>
          <w:lang w:val="en-US"/>
        </w:rPr>
        <w:t>The Materiality Of Stone</w:t>
      </w:r>
      <w:r>
        <w:rPr>
          <w:rFonts w:cs="Arial Unicode MS" w:eastAsia="Arial Unicode MS"/>
          <w:rtl w:val="0"/>
        </w:rPr>
        <w:t xml:space="preserve">, p. </w:t>
      </w:r>
      <w:r>
        <w:rPr>
          <w:rFonts w:cs="Arial Unicode MS" w:eastAsia="Arial Unicode MS"/>
          <w:rtl w:val="0"/>
          <w:lang w:val="en-US"/>
        </w:rPr>
        <w:t>38</w:t>
      </w:r>
      <w:r>
        <w:rPr>
          <w:rFonts w:cs="Arial Unicode MS" w:eastAsia="Arial Unicode MS"/>
          <w:rtl w:val="0"/>
        </w:rPr>
        <w:t xml:space="preserve">. </w:t>
      </w:r>
      <w:r>
        <w:rPr>
          <w:rFonts w:cs="Arial Unicode MS" w:eastAsia="Arial Unicode MS"/>
          <w:rtl w:val="0"/>
          <w:lang w:val="en-US"/>
        </w:rPr>
        <w:t xml:space="preserve">  Perks &amp; Bailey, </w:t>
      </w:r>
      <w:r>
        <w:rPr>
          <w:rFonts w:cs="Arial Unicode MS" w:eastAsia="Arial Unicode MS"/>
          <w:i w:val="1"/>
          <w:iCs w:val="1"/>
          <w:rtl w:val="0"/>
          <w:lang w:val="en-US"/>
        </w:rPr>
        <w:t>Stonehenge; a view from medicine</w:t>
      </w:r>
      <w:r>
        <w:rPr>
          <w:rFonts w:cs="Arial Unicode MS" w:eastAsia="Arial Unicode MS"/>
          <w:rtl w:val="0"/>
          <w:lang w:val="en-US"/>
        </w:rPr>
        <w:t xml:space="preserve">, p. 94.  Silva, </w:t>
      </w:r>
      <w:r>
        <w:rPr>
          <w:rFonts w:cs="Arial Unicode MS" w:eastAsia="Arial Unicode MS"/>
          <w:i w:val="1"/>
          <w:iCs w:val="1"/>
          <w:rtl w:val="0"/>
          <w:lang w:val="en-US"/>
        </w:rPr>
        <w:t>The Divine Blueprint</w:t>
      </w:r>
      <w:r>
        <w:rPr>
          <w:rFonts w:cs="Arial Unicode MS" w:eastAsia="Arial Unicode MS"/>
          <w:rtl w:val="0"/>
          <w:lang w:val="en-US"/>
        </w:rPr>
        <w:t xml:space="preserve">, p. 212.  </w:t>
      </w:r>
      <w:r>
        <w:rPr>
          <w:rFonts w:cs="Arial Unicode MS" w:eastAsia="Arial Unicode MS"/>
          <w:rtl w:val="0"/>
          <w:lang w:val="en-US"/>
        </w:rPr>
        <w:t xml:space="preserve">McNeil Cooke, </w:t>
      </w:r>
      <w:r>
        <w:rPr>
          <w:rFonts w:cs="Arial Unicode MS" w:eastAsia="Arial Unicode MS"/>
          <w:i w:val="1"/>
          <w:iCs w:val="1"/>
          <w:rtl w:val="0"/>
          <w:lang w:val="en-US"/>
        </w:rPr>
        <w:t>Journey To The Stones</w:t>
      </w:r>
      <w:r>
        <w:rPr>
          <w:rFonts w:cs="Arial Unicode MS" w:eastAsia="Arial Unicode MS"/>
          <w:rtl w:val="0"/>
          <w:lang w:val="en-US"/>
        </w:rPr>
        <w:t>,</w:t>
      </w:r>
      <w:r>
        <w:rPr>
          <w:rFonts w:cs="Arial Unicode MS" w:eastAsia="Arial Unicode MS"/>
          <w:rtl w:val="0"/>
          <w:lang w:val="en-US"/>
        </w:rPr>
        <w:t xml:space="preserve"> p. 189</w:t>
      </w:r>
      <w:r>
        <w:rPr>
          <w:rFonts w:cs="Arial Unicode MS" w:eastAsia="Arial Unicode MS"/>
          <w:rtl w:val="0"/>
          <w:lang w:val="en-US"/>
        </w:rPr>
        <w:t xml:space="preserve">. </w:t>
      </w:r>
      <w:r>
        <w:rPr>
          <w:rFonts w:cs="Arial Unicode MS" w:eastAsia="Arial Unicode MS"/>
          <w:rtl w:val="0"/>
          <w:lang w:val="en-US"/>
        </w:rPr>
        <w:t xml:space="preserve"> T</w:t>
      </w:r>
      <w:r>
        <w:rPr>
          <w:rFonts w:cs="Arial Unicode MS" w:eastAsia="Arial Unicode MS"/>
          <w:rtl w:val="0"/>
          <w:lang w:val="en-US"/>
        </w:rPr>
        <w:t xml:space="preserve">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  Silva, </w:t>
      </w:r>
      <w:r>
        <w:rPr>
          <w:rFonts w:cs="Arial Unicode MS" w:eastAsia="Arial Unicode MS"/>
          <w:i w:val="1"/>
          <w:iCs w:val="1"/>
          <w:rtl w:val="0"/>
          <w:lang w:val="en-US"/>
        </w:rPr>
        <w:t>The Divine Blueprint</w:t>
      </w:r>
      <w:r>
        <w:rPr>
          <w:rFonts w:cs="Arial Unicode MS" w:eastAsia="Arial Unicode MS"/>
          <w:rtl w:val="0"/>
          <w:lang w:val="en-US"/>
        </w:rPr>
        <w:t>, p. 204-205.</w:t>
      </w:r>
    </w:p>
  </w:footnote>
  <w:footnote w:id="9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T</w:t>
      </w:r>
      <w:r>
        <w:rPr>
          <w:rFonts w:cs="Arial Unicode MS" w:eastAsia="Arial Unicode MS"/>
          <w:rtl w:val="0"/>
          <w:lang w:val="en-US"/>
        </w:rPr>
        <w:t xml:space="preserve">illey &amp; Bennett, </w:t>
      </w:r>
      <w:r>
        <w:rPr>
          <w:rFonts w:cs="Arial Unicode MS" w:eastAsia="Arial Unicode MS"/>
          <w:i w:val="1"/>
          <w:iCs w:val="1"/>
          <w:rtl w:val="0"/>
          <w:lang w:val="en-US"/>
        </w:rPr>
        <w:t>An Archaeology Of Supernatural Places,</w:t>
      </w:r>
      <w:r>
        <w:rPr>
          <w:rFonts w:cs="Arial Unicode MS" w:eastAsia="Arial Unicode MS"/>
          <w:rtl w:val="0"/>
          <w:lang w:val="en-US"/>
        </w:rPr>
        <w:t xml:space="preserve"> p. 340 and 343.</w:t>
      </w:r>
    </w:p>
  </w:footnote>
  <w:footnote w:id="9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Brook, </w:t>
      </w:r>
      <w:r>
        <w:rPr>
          <w:rFonts w:cs="Arial Unicode MS" w:eastAsia="Arial Unicode MS"/>
          <w:i w:val="1"/>
          <w:iCs w:val="1"/>
          <w:rtl w:val="0"/>
          <w:lang w:val="en-US"/>
        </w:rPr>
        <w:t xml:space="preserve">Can </w:t>
      </w:r>
      <w:r>
        <w:rPr>
          <w:rFonts w:cs="Arial Unicode MS" w:eastAsia="Arial Unicode MS" w:hint="default"/>
          <w:i w:val="1"/>
          <w:iCs w:val="1"/>
          <w:rtl w:val="0"/>
          <w:lang w:val="en-US"/>
        </w:rPr>
        <w:t>‘</w:t>
      </w:r>
      <w:r>
        <w:rPr>
          <w:rFonts w:cs="Arial Unicode MS" w:eastAsia="Arial Unicode MS"/>
          <w:i w:val="1"/>
          <w:iCs w:val="1"/>
          <w:rtl w:val="0"/>
          <w:lang w:val="en-US"/>
        </w:rPr>
        <w:t>Spirit Of Place</w:t>
      </w:r>
      <w:r>
        <w:rPr>
          <w:rFonts w:cs="Arial Unicode MS" w:eastAsia="Arial Unicode MS" w:hint="default"/>
          <w:i w:val="1"/>
          <w:iCs w:val="1"/>
          <w:rtl w:val="0"/>
          <w:lang w:val="en-US"/>
        </w:rPr>
        <w:t>’</w:t>
      </w:r>
      <w:r>
        <w:rPr>
          <w:rFonts w:cs="Arial Unicode MS" w:eastAsia="Arial Unicode MS"/>
          <w:i w:val="1"/>
          <w:iCs w:val="1"/>
          <w:rtl w:val="0"/>
          <w:lang w:val="en-US"/>
        </w:rPr>
        <w:t>,</w:t>
      </w:r>
      <w:r>
        <w:rPr>
          <w:rFonts w:cs="Arial Unicode MS" w:eastAsia="Arial Unicode MS"/>
          <w:rtl w:val="0"/>
          <w:lang w:val="en-US"/>
        </w:rPr>
        <w:t xml:space="preserve"> p. 141-149.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The Prehistorical Boscawen-un Stone Circle by Tina Jensen Friis Auster, May 2021</w:t>
      <w:tab/>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Lettered"/>
  </w:abstractNum>
  <w:abstractNum w:abstractNumId="1">
    <w:multiLevelType w:val="hybridMultilevel"/>
    <w:styleLink w:val="Lettered"/>
    <w:lvl w:ilvl="0">
      <w:start w:val="1"/>
      <w:numFmt w:val="decimal"/>
      <w:suff w:val="tab"/>
      <w:lvlText w:val="%1)"/>
      <w:lvlJc w:val="left"/>
      <w:pPr>
        <w:tabs>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289" w:hanging="2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1289" w:hanging="2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283"/>
          <w:tab w:val="left" w:pos="566"/>
          <w:tab w:val="left" w:pos="849"/>
          <w:tab w:val="left" w:pos="1132"/>
          <w:tab w:val="left" w:pos="1415"/>
          <w:tab w:val="left" w:pos="1698"/>
          <w:tab w:val="left" w:pos="1981"/>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2289" w:hanging="2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3289" w:hanging="2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4289" w:hanging="2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5289" w:hanging="2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6289" w:hanging="2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ind w:left="7289" w:hanging="2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490"/>
          <w:tab w:val="left" w:pos="8773"/>
          <w:tab w:val="left" w:pos="9056"/>
          <w:tab w:val="left" w:pos="9339"/>
          <w:tab w:val="left" w:pos="9622"/>
          <w:tab w:val="left" w:pos="9905"/>
        </w:tabs>
        <w:ind w:left="8289" w:hanging="2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Bold" w:cs="Arial Unicode MS" w:hAnsi="Tahoma Bold"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it-IT"/>
      <w14:textOutline w14:w="12700" w14:cap="flat">
        <w14:noFill/>
        <w14:miter w14:lim="400000"/>
      </w14:textOutline>
      <w14:textFill>
        <w14:solidFill>
          <w14:srgbClr w14:val="000000"/>
        </w14:solidFill>
      </w14:textFill>
    </w:rPr>
  </w:style>
  <w:style w:type="numbering" w:styleId="Lettered">
    <w:name w:val="Lett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image" Target="media/image2.png"/><Relationship Id="rId10" Type="http://schemas.openxmlformats.org/officeDocument/2006/relationships/image" Target="media/image1.jpeg"/><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header" Target="header4.xml"/><Relationship Id="rId14" Type="http://schemas.openxmlformats.org/officeDocument/2006/relationships/footer" Target="footer4.xml"/><Relationship Id="rId15" Type="http://schemas.openxmlformats.org/officeDocument/2006/relationships/header" Target="header5.xml"/><Relationship Id="rId16" Type="http://schemas.openxmlformats.org/officeDocument/2006/relationships/footer" Target="footer5.xml"/><Relationship Id="rId17" Type="http://schemas.openxmlformats.org/officeDocument/2006/relationships/image" Target="media/image3.png"/><Relationship Id="rId18" Type="http://schemas.openxmlformats.org/officeDocument/2006/relationships/image" Target="media/image2.jpeg"/><Relationship Id="rId19" Type="http://schemas.openxmlformats.org/officeDocument/2006/relationships/image" Target="media/image3.jpeg"/><Relationship Id="rId20" Type="http://schemas.openxmlformats.org/officeDocument/2006/relationships/header" Target="header6.xml"/><Relationship Id="rId21" Type="http://schemas.openxmlformats.org/officeDocument/2006/relationships/footer" Target="footer6.xml"/><Relationship Id="rId22" Type="http://schemas.openxmlformats.org/officeDocument/2006/relationships/header" Target="header7.xml"/><Relationship Id="rId23" Type="http://schemas.openxmlformats.org/officeDocument/2006/relationships/footer" Target="footer7.xml"/><Relationship Id="rId24" Type="http://schemas.openxmlformats.org/officeDocument/2006/relationships/image" Target="media/image4.jpeg"/><Relationship Id="rId25" Type="http://schemas.openxmlformats.org/officeDocument/2006/relationships/header" Target="header8.xml"/><Relationship Id="rId26" Type="http://schemas.openxmlformats.org/officeDocument/2006/relationships/footer" Target="footer8.xml"/><Relationship Id="rId27" Type="http://schemas.openxmlformats.org/officeDocument/2006/relationships/image" Target="media/image5.jpeg"/><Relationship Id="rId28" Type="http://schemas.openxmlformats.org/officeDocument/2006/relationships/image" Target="media/image4.png"/><Relationship Id="rId29" Type="http://schemas.openxmlformats.org/officeDocument/2006/relationships/image" Target="media/image5.png"/><Relationship Id="rId30" Type="http://schemas.openxmlformats.org/officeDocument/2006/relationships/header" Target="header9.xml"/><Relationship Id="rId31" Type="http://schemas.openxmlformats.org/officeDocument/2006/relationships/footer" Target="footer9.xml"/><Relationship Id="rId32" Type="http://schemas.openxmlformats.org/officeDocument/2006/relationships/image" Target="media/image6.png"/><Relationship Id="rId33" Type="http://schemas.openxmlformats.org/officeDocument/2006/relationships/image" Target="media/image6.jpeg"/><Relationship Id="rId34" Type="http://schemas.openxmlformats.org/officeDocument/2006/relationships/image" Target="media/image7.jpeg"/><Relationship Id="rId35" Type="http://schemas.openxmlformats.org/officeDocument/2006/relationships/header" Target="header10.xml"/><Relationship Id="rId36" Type="http://schemas.openxmlformats.org/officeDocument/2006/relationships/footer" Target="footer10.xml"/><Relationship Id="rId37" Type="http://schemas.openxmlformats.org/officeDocument/2006/relationships/image" Target="media/image8.jpeg"/><Relationship Id="rId38" Type="http://schemas.openxmlformats.org/officeDocument/2006/relationships/image" Target="media/image9.jpeg"/><Relationship Id="rId39" Type="http://schemas.openxmlformats.org/officeDocument/2006/relationships/header" Target="header11.xml"/><Relationship Id="rId40" Type="http://schemas.openxmlformats.org/officeDocument/2006/relationships/footer" Target="footer11.xml"/><Relationship Id="rId41" Type="http://schemas.openxmlformats.org/officeDocument/2006/relationships/image" Target="media/image10.jpeg"/><Relationship Id="rId42" Type="http://schemas.openxmlformats.org/officeDocument/2006/relationships/image" Target="media/image11.jpeg"/><Relationship Id="rId43" Type="http://schemas.openxmlformats.org/officeDocument/2006/relationships/image" Target="media/image12.jpeg"/><Relationship Id="rId44" Type="http://schemas.openxmlformats.org/officeDocument/2006/relationships/image" Target="media/image13.jpeg"/><Relationship Id="rId45" Type="http://schemas.openxmlformats.org/officeDocument/2006/relationships/header" Target="header12.xml"/><Relationship Id="rId46" Type="http://schemas.openxmlformats.org/officeDocument/2006/relationships/footer" Target="footer12.xml"/><Relationship Id="rId47" Type="http://schemas.openxmlformats.org/officeDocument/2006/relationships/image" Target="media/image14.jpeg"/><Relationship Id="rId48" Type="http://schemas.openxmlformats.org/officeDocument/2006/relationships/header" Target="header13.xml"/><Relationship Id="rId49" Type="http://schemas.openxmlformats.org/officeDocument/2006/relationships/footer" Target="footer13.xml"/><Relationship Id="rId50" Type="http://schemas.openxmlformats.org/officeDocument/2006/relationships/image" Target="media/image15.jpeg"/><Relationship Id="rId51" Type="http://schemas.openxmlformats.org/officeDocument/2006/relationships/header" Target="header14.xml"/><Relationship Id="rId52" Type="http://schemas.openxmlformats.org/officeDocument/2006/relationships/footer" Target="footer14.xml"/><Relationship Id="rId53" Type="http://schemas.openxmlformats.org/officeDocument/2006/relationships/image" Target="media/image16.jpeg"/><Relationship Id="rId54" Type="http://schemas.openxmlformats.org/officeDocument/2006/relationships/header" Target="header15.xml"/><Relationship Id="rId55" Type="http://schemas.openxmlformats.org/officeDocument/2006/relationships/footer" Target="footer15.xml"/><Relationship Id="rId56" Type="http://schemas.openxmlformats.org/officeDocument/2006/relationships/header" Target="header16.xml"/><Relationship Id="rId57" Type="http://schemas.openxmlformats.org/officeDocument/2006/relationships/footer" Target="footer16.xml"/><Relationship Id="rId58" Type="http://schemas.openxmlformats.org/officeDocument/2006/relationships/header" Target="header17.xml"/><Relationship Id="rId59" Type="http://schemas.openxmlformats.org/officeDocument/2006/relationships/footer" Target="footer17.xml"/><Relationship Id="rId60" Type="http://schemas.openxmlformats.org/officeDocument/2006/relationships/footnotes" Target="footnotes.xml"/><Relationship Id="rId61" Type="http://schemas.openxmlformats.org/officeDocument/2006/relationships/numbering" Target="numbering.xml"/><Relationship Id="rId6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