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7410AD" w14:textId="77777777" w:rsidR="006755B8" w:rsidRPr="006D60B9" w:rsidRDefault="006755B8" w:rsidP="006755B8">
      <w:pPr>
        <w:spacing w:line="360" w:lineRule="auto"/>
        <w:jc w:val="both"/>
        <w:rPr>
          <w:rFonts w:ascii="Arial" w:hAnsi="Arial" w:cs="Arial"/>
          <w:b/>
          <w:bCs/>
          <w:color w:val="000000" w:themeColor="text1"/>
          <w:sz w:val="28"/>
          <w:szCs w:val="28"/>
          <w:u w:val="single"/>
        </w:rPr>
      </w:pPr>
      <w:bookmarkStart w:id="0" w:name="_GoBack"/>
      <w:bookmarkEnd w:id="0"/>
      <w:r w:rsidRPr="006D60B9">
        <w:rPr>
          <w:rFonts w:ascii="Arial" w:hAnsi="Arial" w:cs="Arial"/>
          <w:b/>
          <w:bCs/>
          <w:color w:val="000000" w:themeColor="text1"/>
          <w:sz w:val="28"/>
          <w:szCs w:val="28"/>
          <w:u w:val="single"/>
        </w:rPr>
        <w:t>Is the defence of insanity fit for purpose or is it in need of reform?</w:t>
      </w:r>
    </w:p>
    <w:p w14:paraId="16B07725" w14:textId="77777777" w:rsidR="006755B8" w:rsidRPr="006D60B9" w:rsidRDefault="006755B8" w:rsidP="006755B8">
      <w:pPr>
        <w:spacing w:line="360" w:lineRule="auto"/>
        <w:jc w:val="both"/>
        <w:rPr>
          <w:rFonts w:ascii="Arial" w:hAnsi="Arial" w:cs="Arial"/>
          <w:b/>
          <w:bCs/>
          <w:color w:val="000000" w:themeColor="text1"/>
          <w:u w:val="single"/>
        </w:rPr>
      </w:pPr>
    </w:p>
    <w:p w14:paraId="0AD7860F" w14:textId="77777777" w:rsidR="006755B8" w:rsidRPr="006D60B9" w:rsidRDefault="006755B8" w:rsidP="006755B8">
      <w:pPr>
        <w:spacing w:line="360" w:lineRule="auto"/>
        <w:jc w:val="both"/>
        <w:rPr>
          <w:rFonts w:ascii="Arial" w:hAnsi="Arial" w:cs="Arial"/>
          <w:color w:val="000000" w:themeColor="text1"/>
        </w:rPr>
      </w:pPr>
    </w:p>
    <w:p w14:paraId="093EA919"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This assignment is titled “Is the defence of insanity fit for purpose or is it in need of reform”. This essay explains what is good about the defence against insanity, what works well and what could be improved. This essay provides evidence to if and why there is need of reform. Consideration of defence insanity in current times of the flaws and outdated factors will contribute to the conclusion. Two case study samples will be inspected and reviewed considering if there is defence for insanity with reference to case law, resulting in suggestions for outcome of charges and convictions. </w:t>
      </w:r>
    </w:p>
    <w:p w14:paraId="43E9C7AC" w14:textId="77777777" w:rsidR="006755B8" w:rsidRPr="006D60B9" w:rsidRDefault="006755B8" w:rsidP="006755B8">
      <w:pPr>
        <w:spacing w:line="360" w:lineRule="auto"/>
        <w:jc w:val="both"/>
        <w:rPr>
          <w:rFonts w:ascii="Arial" w:hAnsi="Arial" w:cs="Arial"/>
          <w:color w:val="000000" w:themeColor="text1"/>
        </w:rPr>
      </w:pPr>
    </w:p>
    <w:p w14:paraId="7A9DF609"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defence of insanity was established because each person is apparent to be stable. The guidelines of the defence are centred on case of M’naghten. The defence of insanity is a common defence which can be depleted where the men’s rea of the offence is mandatory </w:t>
      </w:r>
      <w:r w:rsidRPr="006D60B9">
        <w:rPr>
          <w:rFonts w:ascii="Arial" w:hAnsi="Arial" w:cs="Arial"/>
          <w:color w:val="000000" w:themeColor="text1"/>
          <w:shd w:val="clear" w:color="auto" w:fill="FFFFFF"/>
        </w:rPr>
        <w:t>(Defence of Insanity - Criminal Law A2, 2014).</w:t>
      </w:r>
      <w:r w:rsidRPr="006D60B9">
        <w:rPr>
          <w:rFonts w:ascii="Arial" w:hAnsi="Arial" w:cs="Arial"/>
          <w:color w:val="000000" w:themeColor="text1"/>
        </w:rPr>
        <w:t xml:space="preserve"> Strict liable offences, for instance driving is not valid within the defence of insanity. In court, the defendant can be found not guilty if he is not sane by the objective of insanity and an alternative verdict will be utilised </w:t>
      </w:r>
      <w:r w:rsidRPr="006D60B9">
        <w:rPr>
          <w:rFonts w:ascii="Arial" w:hAnsi="Arial" w:cs="Arial"/>
          <w:color w:val="000000" w:themeColor="text1"/>
          <w:shd w:val="clear" w:color="auto" w:fill="FFFFFF"/>
        </w:rPr>
        <w:t>(Oswaal UG CLAT Mock Test, 2021).</w:t>
      </w:r>
    </w:p>
    <w:p w14:paraId="18F4AE55" w14:textId="77777777" w:rsidR="006755B8" w:rsidRPr="006D60B9" w:rsidRDefault="006755B8" w:rsidP="006755B8">
      <w:pPr>
        <w:spacing w:line="360" w:lineRule="auto"/>
        <w:jc w:val="both"/>
        <w:rPr>
          <w:rFonts w:ascii="Arial" w:hAnsi="Arial" w:cs="Arial"/>
          <w:color w:val="000000" w:themeColor="text1"/>
        </w:rPr>
      </w:pPr>
    </w:p>
    <w:p w14:paraId="7DD0BE7A" w14:textId="77777777" w:rsidR="006755B8" w:rsidRPr="006D60B9" w:rsidRDefault="006755B8" w:rsidP="006755B8">
      <w:pPr>
        <w:spacing w:line="360" w:lineRule="auto"/>
        <w:jc w:val="both"/>
        <w:rPr>
          <w:rFonts w:ascii="Arial" w:hAnsi="Arial" w:cs="Arial"/>
          <w:color w:val="000000" w:themeColor="text1"/>
        </w:rPr>
      </w:pPr>
    </w:p>
    <w:p w14:paraId="4C285916"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The first defence of insanity case was M’naghten. In this case the culprit was attained not guilty of murder using the insanity defence and as a substitute was penalised to life captivity in a mental association establishment. The first case made directed magistrates to construct regulations, which are three crucial facts which the defendant must verify. The three crucial facts are a deficiency of motives, not aware of the type and superiority of the act and that it was legally wrong and a disease of mind</w:t>
      </w:r>
      <w:r w:rsidRPr="006D60B9">
        <w:rPr>
          <w:rFonts w:ascii="Arial" w:hAnsi="Arial" w:cs="Arial"/>
          <w:color w:val="000000" w:themeColor="text1"/>
          <w:shd w:val="clear" w:color="auto" w:fill="FFFFFF"/>
        </w:rPr>
        <w:t xml:space="preserve"> (Walton and Emanuel, 2019).</w:t>
      </w:r>
    </w:p>
    <w:p w14:paraId="42EE8A1E"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disease of mind can be physical or mental, nevertheless if it is a physical disease, it must also be upsetting the mind </w:t>
      </w:r>
      <w:r w:rsidRPr="006D60B9">
        <w:rPr>
          <w:rFonts w:ascii="Arial" w:hAnsi="Arial" w:cs="Arial"/>
          <w:color w:val="000000" w:themeColor="text1"/>
          <w:shd w:val="clear" w:color="auto" w:fill="FFFFFF"/>
        </w:rPr>
        <w:t>(Wilhelm Friedrich Hege, 2019).</w:t>
      </w:r>
    </w:p>
    <w:p w14:paraId="543574AB"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A case example of disease of the mind is R v Kemp 1957, in this case the culprit was in distress from a physical illness which was modifying his understanding and remembrance. By the reason of insanity in this case, the defendant was found not guilty. Kemp’s case industrialised the speculation that the offender must have an </w:t>
      </w:r>
      <w:r w:rsidRPr="006D60B9">
        <w:rPr>
          <w:rFonts w:ascii="Arial" w:hAnsi="Arial" w:cs="Arial"/>
          <w:color w:val="000000" w:themeColor="text1"/>
        </w:rPr>
        <w:lastRenderedPageBreak/>
        <w:t xml:space="preserve">intramural factor that occurred at the equal time of the wrongdoing </w:t>
      </w:r>
      <w:r w:rsidRPr="006D60B9">
        <w:rPr>
          <w:rFonts w:ascii="Arial" w:hAnsi="Arial" w:cs="Arial"/>
          <w:color w:val="000000" w:themeColor="text1"/>
          <w:shd w:val="clear" w:color="auto" w:fill="FFFFFF"/>
        </w:rPr>
        <w:t>(Yannoulidis, 2016)</w:t>
      </w:r>
      <w:r w:rsidRPr="006D60B9">
        <w:rPr>
          <w:rFonts w:ascii="Arial" w:hAnsi="Arial" w:cs="Arial"/>
          <w:color w:val="000000" w:themeColor="text1"/>
        </w:rPr>
        <w:t xml:space="preserve">. An offender cannot rely on the insanity defence if it classed as external factors like insulin for diabetes (R v Quick, 1973). If the offender is proficient of intellectual reasoning but declined to utilise the power, then it does not calculate as a fault of judgement </w:t>
      </w:r>
      <w:r w:rsidRPr="006D60B9">
        <w:rPr>
          <w:rFonts w:ascii="Arial" w:hAnsi="Arial" w:cs="Arial"/>
          <w:color w:val="000000" w:themeColor="text1"/>
          <w:shd w:val="clear" w:color="auto" w:fill="FFFFFF"/>
        </w:rPr>
        <w:t>(Yang, 2012).</w:t>
      </w:r>
      <w:r w:rsidRPr="006D60B9">
        <w:rPr>
          <w:rFonts w:ascii="Arial" w:hAnsi="Arial" w:cs="Arial"/>
          <w:color w:val="000000" w:themeColor="text1"/>
        </w:rPr>
        <w:t xml:space="preserve"> Confusion and absent-mindedness must require more of a fault of motive, the case example of this is the Clarke, 1972 he was still charged for shoplifting </w:t>
      </w:r>
      <w:r w:rsidRPr="006D60B9">
        <w:rPr>
          <w:rFonts w:ascii="Arial" w:hAnsi="Arial" w:cs="Arial"/>
          <w:color w:val="000000" w:themeColor="text1"/>
          <w:shd w:val="clear" w:color="auto" w:fill="FFFFFF"/>
        </w:rPr>
        <w:t>(Herring, 2020).</w:t>
      </w:r>
    </w:p>
    <w:p w14:paraId="21C9A0CF" w14:textId="77777777" w:rsidR="006755B8" w:rsidRPr="006D60B9" w:rsidRDefault="006755B8" w:rsidP="006755B8">
      <w:pPr>
        <w:spacing w:line="360" w:lineRule="auto"/>
        <w:jc w:val="both"/>
        <w:rPr>
          <w:rFonts w:ascii="Arial" w:hAnsi="Arial" w:cs="Arial"/>
          <w:color w:val="000000" w:themeColor="text1"/>
        </w:rPr>
      </w:pPr>
    </w:p>
    <w:p w14:paraId="4F2AF320" w14:textId="77777777" w:rsidR="006755B8" w:rsidRPr="006D60B9" w:rsidRDefault="006755B8" w:rsidP="006755B8">
      <w:pPr>
        <w:spacing w:line="360" w:lineRule="auto"/>
        <w:jc w:val="both"/>
        <w:rPr>
          <w:rFonts w:ascii="Arial" w:hAnsi="Arial" w:cs="Arial"/>
          <w:color w:val="000000" w:themeColor="text1"/>
        </w:rPr>
      </w:pPr>
    </w:p>
    <w:p w14:paraId="3DBDE8DE"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Within the Windle 1952 case, the offender declared that he grasped what occurred was wrong and said, “I suppose they will hang me for this”. This shows that not identifying the quality and nature of the act can be instigated by a state of catalepsy or lessened consciousness or by reason of deficiency of perception or attentiveness due to psychological illness even while conscious. If the offender identified what occurred was sinful, there will be no defence even if mental illness was involved.</w:t>
      </w:r>
    </w:p>
    <w:p w14:paraId="399B691C" w14:textId="77777777" w:rsidR="006755B8" w:rsidRPr="006D60B9" w:rsidRDefault="006755B8" w:rsidP="006755B8">
      <w:pPr>
        <w:spacing w:line="360" w:lineRule="auto"/>
        <w:jc w:val="both"/>
        <w:rPr>
          <w:rFonts w:ascii="Arial" w:hAnsi="Arial" w:cs="Arial"/>
          <w:color w:val="000000" w:themeColor="text1"/>
        </w:rPr>
      </w:pPr>
    </w:p>
    <w:p w14:paraId="1A1C368F"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As referenced previously, if an offender fortunately alleged insanity, the person is seen not as liable by purpose of insanity. Up until 1991, a triumphant supplication would have prompted an appointed authority condemning the litigant to a psychological organisation and this wasn't accessible for all offenses for instance epilepsy or diabetes. The Criminal Procedure Insanity and Unfitness to argue Act 1991 stretched out the alternatives to: A clinic request, an oversight request and a release. Nevertheless, for homicide, the appointed authority should in any case force a clinic request and the litigant must be delivered if the Home Secretary allow to do as such.</w:t>
      </w:r>
    </w:p>
    <w:p w14:paraId="4765C831" w14:textId="77777777" w:rsidR="006755B8" w:rsidRPr="006D60B9" w:rsidRDefault="006755B8" w:rsidP="006755B8">
      <w:pPr>
        <w:spacing w:line="360" w:lineRule="auto"/>
        <w:jc w:val="both"/>
        <w:rPr>
          <w:rFonts w:ascii="Arial" w:hAnsi="Arial" w:cs="Arial"/>
          <w:color w:val="000000" w:themeColor="text1"/>
        </w:rPr>
      </w:pPr>
    </w:p>
    <w:p w14:paraId="26BDDB24" w14:textId="77777777" w:rsidR="006755B8" w:rsidRPr="006D60B9" w:rsidRDefault="006755B8" w:rsidP="006755B8">
      <w:pPr>
        <w:spacing w:line="360" w:lineRule="auto"/>
        <w:jc w:val="both"/>
        <w:rPr>
          <w:rFonts w:ascii="Arial" w:hAnsi="Arial" w:cs="Arial"/>
          <w:color w:val="000000" w:themeColor="text1"/>
        </w:rPr>
      </w:pPr>
      <w:r w:rsidRPr="006D60B9">
        <w:rPr>
          <w:rStyle w:val="normaltextrun"/>
          <w:rFonts w:ascii="Arial" w:hAnsi="Arial" w:cs="Arial"/>
          <w:color w:val="000000" w:themeColor="text1"/>
        </w:rPr>
        <w:t>There is said to be many</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flaws and uncertainties surrounding the insanity defence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such as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out-dated terminology</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and rules</w:t>
      </w:r>
      <w:r w:rsidRPr="006D60B9">
        <w:rPr>
          <w:rStyle w:val="apple-converted-space"/>
          <w:rFonts w:ascii="Arial" w:hAnsi="Arial" w:cs="Arial"/>
          <w:color w:val="000000" w:themeColor="text1"/>
        </w:rPr>
        <w:t xml:space="preserve"> </w:t>
      </w:r>
      <w:r w:rsidRPr="006D60B9">
        <w:rPr>
          <w:rFonts w:ascii="Arial" w:hAnsi="Arial" w:cs="Arial"/>
          <w:color w:val="000000" w:themeColor="text1"/>
          <w:shd w:val="clear" w:color="auto" w:fill="FFFFFF"/>
        </w:rPr>
        <w:t>(University College Dublin law review, 2003)</w:t>
      </w:r>
      <w:r w:rsidRPr="006D60B9">
        <w:rPr>
          <w:rStyle w:val="normaltextrun"/>
          <w:rFonts w:ascii="Arial" w:hAnsi="Arial" w:cs="Arial"/>
          <w:color w:val="000000" w:themeColor="text1"/>
        </w:rPr>
        <w: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rules cover miscellaneous crimes in England and Wales, including non-mental illnesses and such as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medical</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factors like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epilepsy, diabetes 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even</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sleepwalking.</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Many argue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defence of insanity needs updating</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concept of ‘disease of the mind’ is far-fetched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as it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 xml:space="preserve">includes non-mental bodily diseases under medical terms </w:t>
      </w:r>
      <w:r w:rsidRPr="006D60B9">
        <w:rPr>
          <w:rFonts w:ascii="Arial" w:hAnsi="Arial" w:cs="Arial"/>
          <w:color w:val="000000" w:themeColor="text1"/>
          <w:shd w:val="clear" w:color="auto" w:fill="FFFFFF"/>
        </w:rPr>
        <w:t>(McConnell and Glazerman, 2001).</w:t>
      </w:r>
    </w:p>
    <w:p w14:paraId="5C8CB7A9" w14:textId="77777777" w:rsidR="006755B8" w:rsidRPr="006D60B9" w:rsidRDefault="006755B8" w:rsidP="006755B8">
      <w:pPr>
        <w:spacing w:line="360" w:lineRule="auto"/>
        <w:jc w:val="both"/>
        <w:rPr>
          <w:rFonts w:ascii="Arial" w:hAnsi="Arial" w:cs="Arial"/>
          <w:color w:val="000000" w:themeColor="text1"/>
        </w:rPr>
      </w:pPr>
    </w:p>
    <w:p w14:paraId="1D6EC875"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r w:rsidRPr="006D60B9">
        <w:rPr>
          <w:rStyle w:val="eop"/>
          <w:rFonts w:ascii="Arial" w:hAnsi="Arial" w:cs="Arial"/>
          <w:color w:val="000000" w:themeColor="text1"/>
        </w:rPr>
        <w:t> </w:t>
      </w:r>
    </w:p>
    <w:p w14:paraId="3E0CDFDC" w14:textId="77777777" w:rsidR="006755B8" w:rsidRPr="006D60B9" w:rsidRDefault="006755B8" w:rsidP="006755B8">
      <w:pPr>
        <w:spacing w:line="360" w:lineRule="auto"/>
        <w:jc w:val="both"/>
        <w:rPr>
          <w:rFonts w:ascii="Arial" w:hAnsi="Arial" w:cs="Arial"/>
          <w:color w:val="000000" w:themeColor="text1"/>
        </w:rPr>
      </w:pPr>
      <w:r w:rsidRPr="006D60B9">
        <w:rPr>
          <w:rStyle w:val="normaltextrun"/>
          <w:rFonts w:ascii="Arial" w:hAnsi="Arial" w:cs="Arial"/>
          <w:color w:val="000000" w:themeColor="text1"/>
          <w:shd w:val="clear" w:color="auto" w:fill="FFFFFF"/>
        </w:rPr>
        <w:lastRenderedPageBreak/>
        <w:t>The insanity defence came under intense criticism, particularly from the </w:t>
      </w:r>
      <w:hyperlink r:id="rId6" w:tgtFrame="_blank" w:history="1">
        <w:r w:rsidRPr="006D60B9">
          <w:rPr>
            <w:rStyle w:val="normaltextrun"/>
            <w:rFonts w:ascii="Arial" w:hAnsi="Arial" w:cs="Arial"/>
            <w:color w:val="000000" w:themeColor="text1"/>
            <w:shd w:val="clear" w:color="auto" w:fill="FFFFFF"/>
          </w:rPr>
          <w:t>Butler Committee</w:t>
        </w:r>
      </w:hyperlink>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t>
      </w:r>
      <w:r w:rsidRPr="006D60B9">
        <w:rPr>
          <w:rStyle w:val="normaltextrun"/>
          <w:rFonts w:ascii="Arial" w:hAnsi="Arial" w:cs="Arial"/>
          <w:color w:val="000000" w:themeColor="text1"/>
          <w:shd w:val="clear" w:color="auto" w:fill="FFFFFF"/>
        </w:rPr>
        <w:t>The Committee on Mentally Abnormal Offenders), named after its chairman Lord</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Buttler</w:t>
      </w:r>
      <w:r w:rsidRPr="006D60B9">
        <w:rPr>
          <w:rStyle w:val="apple-converted-space"/>
          <w:rFonts w:ascii="Arial" w:hAnsi="Arial" w:cs="Arial"/>
          <w:color w:val="000000" w:themeColor="text1"/>
          <w:shd w:val="clear" w:color="auto" w:fill="FFFFFF"/>
        </w:rPr>
        <w:t xml:space="preserve"> </w:t>
      </w:r>
      <w:r w:rsidRPr="006D60B9">
        <w:rPr>
          <w:rFonts w:ascii="Arial" w:hAnsi="Arial" w:cs="Arial"/>
          <w:color w:val="000000" w:themeColor="text1"/>
          <w:shd w:val="clear" w:color="auto" w:fill="FFFFFF"/>
        </w:rPr>
        <w:t>(Welch and Welch Staff, 2001)</w:t>
      </w:r>
      <w:r w:rsidRPr="006D60B9">
        <w:rPr>
          <w:rStyle w:val="normaltextrun"/>
          <w:rFonts w:ascii="Arial" w:hAnsi="Arial" w:cs="Arial"/>
          <w:color w:val="000000" w:themeColor="text1"/>
          <w:shd w:val="clear" w:color="auto" w:fill="FFFFFF"/>
        </w:rPr>
        <w:t>.</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To propose reform the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committee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submitted an Interim Report in 1974 as well as published a Final Report in</w:t>
      </w:r>
      <w:r>
        <w:rPr>
          <w:rStyle w:val="normaltextrun"/>
          <w:rFonts w:ascii="Arial" w:hAnsi="Arial" w:cs="Arial"/>
          <w:color w:val="000000" w:themeColor="text1"/>
          <w:shd w:val="clear" w:color="auto" w:fill="FFFFFF"/>
        </w:rPr>
        <w:t xml:space="preserve"> </w:t>
      </w:r>
      <w:r w:rsidRPr="006D60B9">
        <w:rPr>
          <w:rStyle w:val="normaltextrun"/>
          <w:rFonts w:ascii="Arial" w:hAnsi="Arial" w:cs="Arial"/>
          <w:color w:val="000000" w:themeColor="text1"/>
          <w:shd w:val="clear" w:color="auto" w:fill="FFFFFF"/>
        </w:rPr>
        <w:t>October 1975, proposing major reforms to the law and to </w:t>
      </w:r>
      <w:hyperlink r:id="rId7" w:tgtFrame="_blank" w:history="1">
        <w:r w:rsidRPr="006D60B9">
          <w:rPr>
            <w:rStyle w:val="normaltextrun"/>
            <w:rFonts w:ascii="Arial" w:hAnsi="Arial" w:cs="Arial"/>
            <w:color w:val="000000" w:themeColor="text1"/>
            <w:shd w:val="clear" w:color="auto" w:fill="FFFFFF"/>
          </w:rPr>
          <w:t>psychiatric</w:t>
        </w:r>
      </w:hyperlink>
      <w:r w:rsidRPr="006D60B9">
        <w:rPr>
          <w:rStyle w:val="normaltextrun"/>
          <w:rFonts w:ascii="Arial" w:hAnsi="Arial" w:cs="Arial"/>
          <w:color w:val="000000" w:themeColor="text1"/>
          <w:shd w:val="clear" w:color="auto" w:fill="FFFFFF"/>
        </w:rPr>
        <w:t> services</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throughout</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the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UK. They also</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rPr>
        <w:t>created a</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draft bill from the </w:t>
      </w:r>
      <w:hyperlink r:id="rId8" w:tgtFrame="_blank" w:history="1">
        <w:r w:rsidRPr="006D60B9">
          <w:rPr>
            <w:rStyle w:val="normaltextrun"/>
            <w:rFonts w:ascii="Arial" w:hAnsi="Arial" w:cs="Arial"/>
            <w:color w:val="000000" w:themeColor="text1"/>
            <w:shd w:val="clear" w:color="auto" w:fill="FFFFFF"/>
          </w:rPr>
          <w:t>Law Commission</w:t>
        </w:r>
      </w:hyperlink>
      <w:r w:rsidRPr="006D60B9">
        <w:rPr>
          <w:rStyle w:val="normaltextrun"/>
          <w:rFonts w:ascii="Arial" w:hAnsi="Arial" w:cs="Arial"/>
          <w:color w:val="000000" w:themeColor="text1"/>
          <w:shd w:val="clear" w:color="auto" w:fill="FFFFFF"/>
        </w:rPr>
        <w:t> in 1989 however, so</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far, both</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of these have been ignored by governments</w:t>
      </w:r>
      <w:r w:rsidRPr="006D60B9">
        <w:rPr>
          <w:rStyle w:val="apple-converted-space"/>
          <w:rFonts w:ascii="Arial" w:hAnsi="Arial" w:cs="Arial"/>
          <w:color w:val="000000" w:themeColor="text1"/>
          <w:shd w:val="clear" w:color="auto" w:fill="FFFFFF"/>
        </w:rPr>
        <w:t xml:space="preserve"> </w:t>
      </w:r>
      <w:r w:rsidRPr="006D60B9">
        <w:rPr>
          <w:rFonts w:ascii="Arial" w:hAnsi="Arial" w:cs="Arial"/>
          <w:color w:val="000000" w:themeColor="text1"/>
          <w:shd w:val="clear" w:color="auto" w:fill="FFFFFF"/>
        </w:rPr>
        <w:t>(A CRIMINAL CODE FOR ENGLAND AND WALES, 1989).</w:t>
      </w:r>
      <w:r w:rsidRPr="006D60B9">
        <w:rPr>
          <w:rFonts w:ascii="Arial" w:hAnsi="Arial" w:cs="Arial"/>
          <w:color w:val="000000" w:themeColor="text1"/>
        </w:rPr>
        <w:t xml:space="preserve"> </w:t>
      </w:r>
      <w:r w:rsidRPr="006D60B9">
        <w:rPr>
          <w:rStyle w:val="normaltextrun"/>
          <w:rFonts w:ascii="Arial" w:hAnsi="Arial" w:cs="Arial"/>
          <w:color w:val="000000" w:themeColor="text1"/>
          <w:shd w:val="clear" w:color="auto" w:fill="FFFFFF"/>
        </w:rPr>
        <w:t>Currently the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burden of proof for insanity defence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lies not on the prosecution but on the defence. Therefore,</w:t>
      </w:r>
      <w:r w:rsidRPr="006D60B9">
        <w:rPr>
          <w:rStyle w:val="apple-converted-space"/>
          <w:rFonts w:ascii="Arial" w:hAnsi="Arial" w:cs="Arial"/>
          <w:color w:val="000000" w:themeColor="text1"/>
          <w:shd w:val="clear" w:color="auto" w:fill="FFFFFF"/>
        </w:rPr>
        <w:t> </w:t>
      </w:r>
      <w:r w:rsidRPr="006D60B9">
        <w:rPr>
          <w:rStyle w:val="normaltextrun"/>
          <w:rFonts w:ascii="Arial" w:hAnsi="Arial" w:cs="Arial"/>
          <w:color w:val="000000" w:themeColor="text1"/>
          <w:shd w:val="clear" w:color="auto" w:fill="FFFFFF"/>
        </w:rPr>
        <w:t>the accused must prove all the elements of the defence on the balance of probabilities</w:t>
      </w:r>
      <w:r w:rsidRPr="006D60B9">
        <w:rPr>
          <w:rFonts w:ascii="Arial" w:hAnsi="Arial" w:cs="Arial"/>
          <w:color w:val="000000" w:themeColor="text1"/>
          <w:shd w:val="clear" w:color="auto" w:fill="FFFFFF"/>
        </w:rPr>
        <w:t xml:space="preserve"> (Hogg, 2015).</w:t>
      </w:r>
    </w:p>
    <w:p w14:paraId="0EF4CCF9"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p>
    <w:p w14:paraId="60681BF6" w14:textId="77777777" w:rsidR="006755B8" w:rsidRPr="006D60B9" w:rsidRDefault="006755B8" w:rsidP="006755B8">
      <w:pPr>
        <w:spacing w:line="360" w:lineRule="auto"/>
        <w:jc w:val="both"/>
        <w:rPr>
          <w:rFonts w:ascii="Arial" w:hAnsi="Arial" w:cs="Arial"/>
          <w:color w:val="000000" w:themeColor="text1"/>
        </w:rPr>
      </w:pPr>
    </w:p>
    <w:p w14:paraId="15058C5A"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Automatism has two types: a sane automatism and an insane automatism. A sane automatism prompts a full vindication, while an insane automatism prompts a decision of not liable by reason of insanity. The last appointed authority can utilise the full scope of removals set out in the Criminal Procedure which covers the Insanity and Unfitness to Plead Act 1991 </w:t>
      </w:r>
      <w:r w:rsidRPr="006D60B9">
        <w:rPr>
          <w:rFonts w:ascii="Arial" w:hAnsi="Arial" w:cs="Arial"/>
          <w:color w:val="000000" w:themeColor="text1"/>
          <w:shd w:val="clear" w:color="auto" w:fill="FFFFFF"/>
        </w:rPr>
        <w:t>(DeFreitas and Hucker, 2015). The comparison between sane automatism and insane automatism is that for insane automatism, the deficiency of reason subsequently instigated by an internal factor. A spontaneous action with sane automatism must be initiated by an external factor (Non-insane automatism, 2021).</w:t>
      </w:r>
    </w:p>
    <w:p w14:paraId="10E62653" w14:textId="77777777" w:rsidR="006755B8" w:rsidRPr="006D60B9" w:rsidRDefault="006755B8" w:rsidP="006755B8">
      <w:pPr>
        <w:spacing w:line="360" w:lineRule="auto"/>
        <w:jc w:val="both"/>
        <w:rPr>
          <w:rFonts w:ascii="Arial" w:hAnsi="Arial" w:cs="Arial"/>
          <w:color w:val="000000" w:themeColor="text1"/>
          <w:shd w:val="clear" w:color="auto" w:fill="FFFFFF"/>
        </w:rPr>
      </w:pPr>
    </w:p>
    <w:p w14:paraId="6858F885" w14:textId="77777777" w:rsidR="006755B8" w:rsidRPr="006D60B9" w:rsidRDefault="006755B8" w:rsidP="006755B8">
      <w:pPr>
        <w:spacing w:line="360" w:lineRule="auto"/>
        <w:jc w:val="both"/>
        <w:rPr>
          <w:rFonts w:ascii="Arial" w:hAnsi="Arial" w:cs="Arial"/>
          <w:color w:val="000000" w:themeColor="text1"/>
          <w:shd w:val="clear" w:color="auto" w:fill="FFFFFF"/>
        </w:rPr>
      </w:pPr>
    </w:p>
    <w:p w14:paraId="3842F343"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While a fortunate of automatism brings about a total absolution, an effective defence of insanity brings an uncommon decision of not blameworthy by reason of insanity with the litigant confronting certain requirements under a clinic request for the assurance of the general population. The qualification amongst automatism and insanity relies on whether the reason for the compulsory direct was because of an internal or external factor. On the off chance that the factor is internal, the supplication isn't liable by reason of insanity because if outside, the request isn't liable </w:t>
      </w:r>
      <w:r w:rsidRPr="006D60B9">
        <w:rPr>
          <w:rFonts w:ascii="Arial" w:hAnsi="Arial" w:cs="Arial"/>
          <w:color w:val="000000" w:themeColor="text1"/>
          <w:shd w:val="clear" w:color="auto" w:fill="FFFFFF"/>
        </w:rPr>
        <w:t>(David Ohlin, 2019).</w:t>
      </w:r>
    </w:p>
    <w:p w14:paraId="7B7B2F39" w14:textId="77777777" w:rsidR="006755B8" w:rsidRPr="006D60B9" w:rsidRDefault="006755B8" w:rsidP="006755B8">
      <w:pPr>
        <w:spacing w:line="360" w:lineRule="auto"/>
        <w:jc w:val="both"/>
        <w:rPr>
          <w:rFonts w:ascii="Arial" w:hAnsi="Arial" w:cs="Arial"/>
          <w:color w:val="000000" w:themeColor="text1"/>
        </w:rPr>
      </w:pPr>
    </w:p>
    <w:p w14:paraId="3FCF8E66" w14:textId="77777777" w:rsidR="006755B8" w:rsidRPr="006D60B9" w:rsidRDefault="006755B8" w:rsidP="006755B8">
      <w:pPr>
        <w:spacing w:line="360" w:lineRule="auto"/>
        <w:jc w:val="both"/>
        <w:rPr>
          <w:rFonts w:ascii="Arial" w:hAnsi="Arial" w:cs="Arial"/>
          <w:color w:val="000000" w:themeColor="text1"/>
        </w:rPr>
      </w:pPr>
    </w:p>
    <w:p w14:paraId="1896C017"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Law Commission are presently examining the insanity defence and intentionally aims to contemplate and convey how defences are exposed to disapproval and should </w:t>
      </w:r>
      <w:r w:rsidRPr="006D60B9">
        <w:rPr>
          <w:rFonts w:ascii="Arial" w:hAnsi="Arial" w:cs="Arial"/>
          <w:color w:val="000000" w:themeColor="text1"/>
        </w:rPr>
        <w:lastRenderedPageBreak/>
        <w:t xml:space="preserve">be reformed. Extensive disparagement for the common law defences of insanity and automatism where numerous propositions for reform upraised </w:t>
      </w:r>
      <w:r w:rsidRPr="006D60B9">
        <w:rPr>
          <w:rFonts w:ascii="Arial" w:hAnsi="Arial" w:cs="Arial"/>
          <w:color w:val="000000" w:themeColor="text1"/>
          <w:shd w:val="clear" w:color="auto" w:fill="FFFFFF"/>
        </w:rPr>
        <w:t>(Loveless, Allen and Derry, 2020).</w:t>
      </w:r>
    </w:p>
    <w:p w14:paraId="6A53EE72" w14:textId="77777777" w:rsidR="006755B8" w:rsidRPr="006D60B9" w:rsidRDefault="006755B8" w:rsidP="006755B8">
      <w:pPr>
        <w:spacing w:line="360" w:lineRule="auto"/>
        <w:jc w:val="both"/>
        <w:rPr>
          <w:rFonts w:ascii="Arial" w:hAnsi="Arial" w:cs="Arial"/>
          <w:color w:val="000000" w:themeColor="text1"/>
        </w:rPr>
      </w:pPr>
    </w:p>
    <w:p w14:paraId="30EF7F2E" w14:textId="77777777" w:rsidR="006755B8" w:rsidRPr="006D60B9" w:rsidRDefault="006755B8" w:rsidP="006755B8">
      <w:pPr>
        <w:spacing w:line="360" w:lineRule="auto"/>
        <w:jc w:val="both"/>
        <w:rPr>
          <w:rFonts w:ascii="Arial" w:hAnsi="Arial" w:cs="Arial"/>
          <w:color w:val="000000" w:themeColor="text1"/>
        </w:rPr>
      </w:pPr>
    </w:p>
    <w:p w14:paraId="6EEED389"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The potential offences for Ali in the case with lee could possibly be manslaughter because it does not give the impression that Ali intentionally wanted to kill Lee because he only hit him once, it was not planned, and he could have been in a state of Actus Reus. The reason the attack on Lee by Ali appears to qualify by actus reus is as Ali ‘committed a physical activity that would harm another person’. Considering Ali’s potential criminal liability for this defence, unlawful manslaughter appears to be appropriate because it cannot be proven that Ali intentionally set out to cause serious injury which resulted in the death of Lee. Looking at the death of Lee, there is an absence of requisite intent, however all other elements of the offence are the same as murder. As all other elements are the same, involuntary manslaughter would appear the most appropriate charge, considering the approach for charge and sentencing. </w:t>
      </w:r>
    </w:p>
    <w:p w14:paraId="5B362814" w14:textId="77777777" w:rsidR="006755B8" w:rsidRPr="006D60B9" w:rsidRDefault="006755B8" w:rsidP="006755B8">
      <w:pPr>
        <w:spacing w:line="360" w:lineRule="auto"/>
        <w:jc w:val="both"/>
        <w:rPr>
          <w:rFonts w:ascii="Arial" w:hAnsi="Arial" w:cs="Arial"/>
          <w:color w:val="000000" w:themeColor="text1"/>
        </w:rPr>
      </w:pPr>
    </w:p>
    <w:p w14:paraId="47AC641A" w14:textId="74BE728F"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r w:rsidRPr="006D60B9">
        <w:rPr>
          <w:rStyle w:val="normaltextrun"/>
          <w:rFonts w:ascii="Arial" w:hAnsi="Arial" w:cs="Arial"/>
          <w:color w:val="000000" w:themeColor="text1"/>
        </w:rPr>
        <w:t>At the time of the assault on Lee the adequate charge by police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for the defendant would be Assault 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Battery.</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Considering</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case law</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 v Venna (1975) there are many similarities that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warrant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charge.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In the R v Venna (1975) case the defendant (much alike Ali)</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was caught up in a disturbance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when he turned on,</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and assaulted bouncer Lee. This meets the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Actus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requirements for</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assault</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 xml:space="preserve">battery after also considering </w:t>
      </w:r>
      <w:r w:rsidR="00BE6738" w:rsidRPr="006D60B9">
        <w:rPr>
          <w:rStyle w:val="normaltextrun"/>
          <w:rFonts w:ascii="Arial" w:hAnsi="Arial" w:cs="Arial"/>
          <w:color w:val="000000" w:themeColor="text1"/>
        </w:rPr>
        <w:t>what</w:t>
      </w:r>
      <w:r w:rsidRPr="006D60B9">
        <w:rPr>
          <w:rStyle w:val="normaltextrun"/>
          <w:rFonts w:ascii="Arial" w:hAnsi="Arial" w:cs="Arial"/>
          <w:color w:val="000000" w:themeColor="text1"/>
        </w:rPr>
        <w:t xml:space="preserve"> state of mind Ali could have been in if under the influence of Alcohol or substances.</w:t>
      </w:r>
      <w:r w:rsidRPr="006D60B9">
        <w:rPr>
          <w:rStyle w:val="eop"/>
          <w:rFonts w:ascii="Arial" w:hAnsi="Arial" w:cs="Arial"/>
          <w:color w:val="000000" w:themeColor="text1"/>
        </w:rPr>
        <w:t> </w:t>
      </w:r>
    </w:p>
    <w:p w14:paraId="3B89154F" w14:textId="77777777" w:rsidR="006755B8" w:rsidRPr="006D60B9" w:rsidRDefault="006755B8" w:rsidP="006755B8">
      <w:pPr>
        <w:pStyle w:val="paragraph"/>
        <w:spacing w:before="0" w:beforeAutospacing="0" w:after="0" w:afterAutospacing="0" w:line="360" w:lineRule="auto"/>
        <w:jc w:val="both"/>
        <w:textAlignment w:val="baseline"/>
        <w:rPr>
          <w:rStyle w:val="eop"/>
          <w:rFonts w:ascii="Arial" w:hAnsi="Arial" w:cs="Arial"/>
          <w:color w:val="000000" w:themeColor="text1"/>
        </w:rPr>
      </w:pPr>
      <w:r w:rsidRPr="006D60B9">
        <w:rPr>
          <w:rStyle w:val="normaltextrun"/>
          <w:rFonts w:ascii="Arial" w:hAnsi="Arial" w:cs="Arial"/>
          <w:color w:val="000000" w:themeColor="text1"/>
        </w:rPr>
        <w:t> However, as Lee died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later that evening as a result of his injury further charges on the defendant would need to be made.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Looking at the case there is the absence of</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requisite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intent however all other elements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of the offence are the same as murder. Therefore, involuntary manslaughter</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would appear the most appropriate charge. </w:t>
      </w:r>
      <w:r w:rsidRPr="006D60B9">
        <w:rPr>
          <w:rStyle w:val="eop"/>
          <w:rFonts w:ascii="Arial" w:hAnsi="Arial" w:cs="Arial"/>
          <w:color w:val="000000" w:themeColor="text1"/>
        </w:rPr>
        <w:t> </w:t>
      </w:r>
    </w:p>
    <w:p w14:paraId="150345B4"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p>
    <w:p w14:paraId="3995C13D" w14:textId="77777777" w:rsidR="006755B8" w:rsidRPr="006D60B9" w:rsidRDefault="006755B8" w:rsidP="006755B8">
      <w:pPr>
        <w:pStyle w:val="paragraph"/>
        <w:spacing w:before="0" w:beforeAutospacing="0" w:after="0" w:afterAutospacing="0" w:line="360" w:lineRule="auto"/>
        <w:jc w:val="both"/>
        <w:textAlignment w:val="baseline"/>
        <w:rPr>
          <w:rFonts w:ascii="Arial" w:hAnsi="Arial" w:cs="Arial"/>
          <w:color w:val="000000" w:themeColor="text1"/>
        </w:rPr>
      </w:pPr>
      <w:r w:rsidRPr="006D60B9">
        <w:rPr>
          <w:rStyle w:val="normaltextrun"/>
          <w:rFonts w:ascii="Arial" w:hAnsi="Arial" w:cs="Arial"/>
          <w:color w:val="000000" w:themeColor="text1"/>
        </w:rPr>
        <w:t>Involuntary manslaughter is the unlawful killing of a person</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without the intent to kill or cause serious harm. There are similarities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between the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 v Church (1965) case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where a person died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after being knocked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unconscious.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Therefore,</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the case meets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Actus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Reus</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for involuntary manslaughter</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charges and</w:t>
      </w:r>
      <w:r w:rsidRPr="006D60B9">
        <w:rPr>
          <w:rStyle w:val="apple-converted-space"/>
          <w:rFonts w:ascii="Arial" w:hAnsi="Arial" w:cs="Arial"/>
          <w:color w:val="000000" w:themeColor="text1"/>
        </w:rPr>
        <w:t> </w:t>
      </w:r>
      <w:r w:rsidRPr="006D60B9">
        <w:rPr>
          <w:rStyle w:val="normaltextrun"/>
          <w:rFonts w:ascii="Arial" w:hAnsi="Arial" w:cs="Arial"/>
          <w:color w:val="000000" w:themeColor="text1"/>
        </w:rPr>
        <w:t>sentencing. </w:t>
      </w:r>
      <w:r w:rsidRPr="006D60B9">
        <w:rPr>
          <w:rStyle w:val="eop"/>
          <w:rFonts w:ascii="Arial" w:hAnsi="Arial" w:cs="Arial"/>
          <w:color w:val="000000" w:themeColor="text1"/>
        </w:rPr>
        <w:t> </w:t>
      </w:r>
    </w:p>
    <w:p w14:paraId="41231980" w14:textId="77777777" w:rsidR="006755B8" w:rsidRPr="006D60B9" w:rsidRDefault="006755B8" w:rsidP="006755B8">
      <w:pPr>
        <w:spacing w:line="360" w:lineRule="auto"/>
        <w:jc w:val="both"/>
        <w:rPr>
          <w:rFonts w:ascii="Arial" w:hAnsi="Arial" w:cs="Arial"/>
          <w:color w:val="000000" w:themeColor="text1"/>
          <w:shd w:val="clear" w:color="auto" w:fill="FFFFFF"/>
        </w:rPr>
      </w:pPr>
    </w:p>
    <w:p w14:paraId="7A962341" w14:textId="77777777" w:rsidR="006755B8" w:rsidRPr="006D60B9" w:rsidRDefault="006755B8" w:rsidP="006755B8">
      <w:pPr>
        <w:spacing w:line="360" w:lineRule="auto"/>
        <w:jc w:val="both"/>
        <w:rPr>
          <w:rFonts w:ascii="Arial" w:hAnsi="Arial" w:cs="Arial"/>
          <w:color w:val="000000" w:themeColor="text1"/>
        </w:rPr>
      </w:pPr>
    </w:p>
    <w:p w14:paraId="6CD37A0F" w14:textId="77777777" w:rsidR="006755B8" w:rsidRPr="006D60B9" w:rsidRDefault="006755B8" w:rsidP="006755B8">
      <w:pPr>
        <w:spacing w:line="360" w:lineRule="auto"/>
        <w:jc w:val="both"/>
        <w:rPr>
          <w:rFonts w:ascii="Arial" w:hAnsi="Arial" w:cs="Arial"/>
          <w:color w:val="000000" w:themeColor="text1"/>
        </w:rPr>
      </w:pPr>
    </w:p>
    <w:p w14:paraId="07FE7EA0" w14:textId="77777777" w:rsidR="006755B8" w:rsidRPr="006D60B9" w:rsidRDefault="006755B8" w:rsidP="006755B8">
      <w:pPr>
        <w:spacing w:line="360" w:lineRule="auto"/>
        <w:jc w:val="both"/>
        <w:rPr>
          <w:rFonts w:ascii="Arial" w:hAnsi="Arial" w:cs="Arial"/>
          <w:color w:val="000000" w:themeColor="text1"/>
        </w:rPr>
      </w:pPr>
    </w:p>
    <w:p w14:paraId="494C6643" w14:textId="77777777" w:rsidR="006755B8" w:rsidRPr="006D60B9" w:rsidRDefault="006755B8" w:rsidP="006755B8">
      <w:pPr>
        <w:spacing w:line="360" w:lineRule="auto"/>
        <w:jc w:val="both"/>
        <w:rPr>
          <w:rFonts w:ascii="Arial" w:hAnsi="Arial" w:cs="Arial"/>
          <w:color w:val="000000" w:themeColor="text1"/>
        </w:rPr>
      </w:pPr>
    </w:p>
    <w:p w14:paraId="12FC03A4"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Looking at the case where Ali killed Colin, under the concurrence rule Ali had the requisite intent at the time of the incident, so therefore this should lead the defendant to be convicted of the crime under a murder charge through mens reus.  Murder </w:t>
      </w:r>
      <w:r w:rsidRPr="006D60B9">
        <w:rPr>
          <w:rFonts w:ascii="Arial" w:hAnsi="Arial" w:cs="Arial"/>
          <w:color w:val="000000" w:themeColor="text1"/>
          <w:shd w:val="clear" w:color="auto" w:fill="FFFFFF"/>
        </w:rPr>
        <w:t>is defined as “the unlawful</w:t>
      </w:r>
      <w:r w:rsidRPr="006D60B9">
        <w:rPr>
          <w:rStyle w:val="apple-converted-space"/>
          <w:rFonts w:ascii="Arial" w:hAnsi="Arial" w:cs="Arial"/>
          <w:color w:val="000000" w:themeColor="text1"/>
          <w:shd w:val="clear" w:color="auto" w:fill="FFFFFF"/>
        </w:rPr>
        <w:t> </w:t>
      </w:r>
      <w:r w:rsidRPr="006D60B9">
        <w:rPr>
          <w:rStyle w:val="Emphasis"/>
          <w:rFonts w:ascii="Arial" w:hAnsi="Arial" w:cs="Arial"/>
          <w:b/>
          <w:bCs/>
          <w:i w:val="0"/>
          <w:iCs w:val="0"/>
          <w:color w:val="000000" w:themeColor="text1"/>
        </w:rPr>
        <w:t>killing</w:t>
      </w:r>
      <w:r w:rsidRPr="006D60B9">
        <w:rPr>
          <w:rStyle w:val="apple-converted-space"/>
          <w:rFonts w:ascii="Arial" w:hAnsi="Arial" w:cs="Arial"/>
          <w:color w:val="000000" w:themeColor="text1"/>
          <w:shd w:val="clear" w:color="auto" w:fill="FFFFFF"/>
        </w:rPr>
        <w:t> </w:t>
      </w:r>
      <w:r w:rsidRPr="006D60B9">
        <w:rPr>
          <w:rFonts w:ascii="Arial" w:hAnsi="Arial" w:cs="Arial"/>
          <w:color w:val="000000" w:themeColor="text1"/>
          <w:shd w:val="clear" w:color="auto" w:fill="FFFFFF"/>
        </w:rPr>
        <w:t xml:space="preserve">of another human without justification or valid excuse”. There does not appear to be a valued excuse for Ali killing colin, although considered through the case and trial will be facts such as if Ali has and contributing factors affecting his mental health or disease of mind. </w:t>
      </w:r>
    </w:p>
    <w:p w14:paraId="6924623F"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The R v Wooding, (1999) case has similarities that may be considered to make appropriate charges. In the R v Wooden case, the judge directed the jury to convict the defendant of murder as the defendant knew the act could of and was probable to causing serious harm or death. In this case, Ali was prepared with a knife which shows that he had the intent of killing Colin because using such a weapon allows a high probability of serious harm or death.</w:t>
      </w:r>
    </w:p>
    <w:p w14:paraId="33DA0984" w14:textId="77777777" w:rsidR="006755B8" w:rsidRPr="006D60B9" w:rsidRDefault="006755B8" w:rsidP="006755B8">
      <w:pPr>
        <w:spacing w:line="360" w:lineRule="auto"/>
        <w:jc w:val="both"/>
        <w:rPr>
          <w:rFonts w:ascii="Arial" w:hAnsi="Arial" w:cs="Arial"/>
          <w:color w:val="000000" w:themeColor="text1"/>
        </w:rPr>
      </w:pPr>
    </w:p>
    <w:p w14:paraId="4EABE5BE"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 xml:space="preserve">Considering both the above cases there will also be contributing factors that aid the type of charge and convictions that will be given, although this can not fully be determined by the limited information supplied on the case examples. These could be factors such as past criminal history, the information that suggests Ali was controlling his ex-partner for years as well as mental or physical illness or if the defendant was under the influence of alcohol or substances. </w:t>
      </w:r>
    </w:p>
    <w:p w14:paraId="33998D3B" w14:textId="77777777" w:rsidR="006755B8" w:rsidRPr="00F60C5C" w:rsidRDefault="006755B8" w:rsidP="006755B8">
      <w:pPr>
        <w:spacing w:line="360" w:lineRule="auto"/>
        <w:jc w:val="both"/>
        <w:rPr>
          <w:rFonts w:ascii="Arial" w:hAnsi="Arial" w:cs="Arial"/>
          <w:color w:val="000000" w:themeColor="text1"/>
        </w:rPr>
      </w:pPr>
    </w:p>
    <w:p w14:paraId="24CBD6CB" w14:textId="77777777"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To conclude, looking at the defence of insanity there are diverse thoughts on whether there is need for reform. There was an interim report in 1974 and then a draft bill in 1989, however both were ignored by governments. It has been stated that many people in the community think there is need of reform, because of reasons like outdated terminology and the fact that it includes non-mental illnesses such as epilepsy, diabetes and even sleep walking as the concept of disease of the mind. Positively, the defence has the burden of proof for insanity defence, therefore this gives them the opportunity to evidence themselves.</w:t>
      </w:r>
    </w:p>
    <w:p w14:paraId="3AFBF2BA" w14:textId="77777777" w:rsidR="006755B8" w:rsidRPr="006D60B9" w:rsidRDefault="006755B8" w:rsidP="006755B8">
      <w:pPr>
        <w:spacing w:line="360" w:lineRule="auto"/>
        <w:jc w:val="both"/>
        <w:rPr>
          <w:rFonts w:ascii="Arial" w:hAnsi="Arial" w:cs="Arial"/>
          <w:color w:val="000000" w:themeColor="text1"/>
        </w:rPr>
      </w:pPr>
    </w:p>
    <w:p w14:paraId="6E9BA043" w14:textId="77777777" w:rsidR="006755B8" w:rsidRPr="006D60B9" w:rsidRDefault="006755B8" w:rsidP="006755B8">
      <w:pPr>
        <w:pStyle w:val="Heading2"/>
        <w:shd w:val="clear" w:color="auto" w:fill="FFFFFF"/>
        <w:spacing w:before="0" w:line="360" w:lineRule="auto"/>
        <w:rPr>
          <w:rFonts w:ascii="Arial" w:hAnsi="Arial" w:cs="Arial"/>
          <w:color w:val="000000" w:themeColor="text1"/>
          <w:sz w:val="24"/>
          <w:szCs w:val="24"/>
          <w:u w:val="single"/>
        </w:rPr>
      </w:pPr>
      <w:r w:rsidRPr="006D60B9">
        <w:rPr>
          <w:rFonts w:ascii="Arial" w:hAnsi="Arial" w:cs="Arial"/>
          <w:b/>
          <w:bCs/>
          <w:color w:val="000000" w:themeColor="text1"/>
          <w:sz w:val="24"/>
          <w:szCs w:val="24"/>
          <w:u w:val="single"/>
        </w:rPr>
        <w:t>References</w:t>
      </w:r>
    </w:p>
    <w:p w14:paraId="63600A3F"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2003.</w:t>
      </w:r>
      <w:r w:rsidRPr="006D60B9">
        <w:rPr>
          <w:rStyle w:val="apple-converted-space"/>
          <w:rFonts w:ascii="Arial" w:hAnsi="Arial" w:cs="Arial"/>
          <w:color w:val="000000" w:themeColor="text1"/>
        </w:rPr>
        <w:t> </w:t>
      </w:r>
      <w:r w:rsidRPr="006D60B9">
        <w:rPr>
          <w:rFonts w:ascii="Arial" w:hAnsi="Arial" w:cs="Arial"/>
          <w:i/>
          <w:iCs/>
          <w:color w:val="000000" w:themeColor="text1"/>
        </w:rPr>
        <w:t>University College Dublin law review</w:t>
      </w:r>
      <w:r w:rsidRPr="006D60B9">
        <w:rPr>
          <w:rFonts w:ascii="Arial" w:hAnsi="Arial" w:cs="Arial"/>
          <w:color w:val="000000" w:themeColor="text1"/>
        </w:rPr>
        <w:t>. Dublin: University College Dublin, Faculty of Law.</w:t>
      </w:r>
    </w:p>
    <w:p w14:paraId="7675FFE8"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2021.</w:t>
      </w:r>
      <w:r w:rsidRPr="006D60B9">
        <w:rPr>
          <w:rStyle w:val="apple-converted-space"/>
          <w:rFonts w:ascii="Arial" w:hAnsi="Arial" w:cs="Arial"/>
          <w:color w:val="000000" w:themeColor="text1"/>
        </w:rPr>
        <w:t> </w:t>
      </w:r>
      <w:r w:rsidRPr="006D60B9">
        <w:rPr>
          <w:rFonts w:ascii="Arial" w:hAnsi="Arial" w:cs="Arial"/>
          <w:i/>
          <w:iCs/>
          <w:color w:val="000000" w:themeColor="text1"/>
        </w:rPr>
        <w:t>Oswaal UG CLAT Mock Test</w:t>
      </w:r>
      <w:r w:rsidRPr="006D60B9">
        <w:rPr>
          <w:rFonts w:ascii="Arial" w:hAnsi="Arial" w:cs="Arial"/>
          <w:color w:val="000000" w:themeColor="text1"/>
        </w:rPr>
        <w:t>. Oswaal Books and Learning Pvt Ltd.</w:t>
      </w:r>
    </w:p>
    <w:p w14:paraId="27E74C23"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Collegelaw.co.uk. 2014.</w:t>
      </w:r>
      <w:r w:rsidRPr="006D60B9">
        <w:rPr>
          <w:rStyle w:val="apple-converted-space"/>
          <w:rFonts w:ascii="Arial" w:hAnsi="Arial" w:cs="Arial"/>
          <w:color w:val="000000" w:themeColor="text1"/>
        </w:rPr>
        <w:t> </w:t>
      </w:r>
      <w:r w:rsidRPr="006D60B9">
        <w:rPr>
          <w:rFonts w:ascii="Arial" w:hAnsi="Arial" w:cs="Arial"/>
          <w:i/>
          <w:iCs/>
          <w:color w:val="000000" w:themeColor="text1"/>
        </w:rPr>
        <w:t>Defence of Insanity - Criminal Law A2</w:t>
      </w:r>
      <w:r w:rsidRPr="006D60B9">
        <w:rPr>
          <w:rFonts w:ascii="Arial" w:hAnsi="Arial" w:cs="Arial"/>
          <w:color w:val="000000" w:themeColor="text1"/>
        </w:rPr>
        <w:t>. [online] Available at: &lt;https://www.collegelaw.co.uk/criminal-law/defence_of_insanity/index.html&gt; [Accessed 12 April 2021].</w:t>
      </w:r>
    </w:p>
    <w:p w14:paraId="6F60A11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David Ohlin, J., 2019.</w:t>
      </w:r>
      <w:r w:rsidRPr="006D60B9">
        <w:rPr>
          <w:rStyle w:val="apple-converted-space"/>
          <w:rFonts w:ascii="Arial" w:hAnsi="Arial" w:cs="Arial"/>
          <w:color w:val="000000" w:themeColor="text1"/>
        </w:rPr>
        <w:t> </w:t>
      </w:r>
      <w:r w:rsidRPr="006D60B9">
        <w:rPr>
          <w:rFonts w:ascii="Arial" w:hAnsi="Arial" w:cs="Arial"/>
          <w:i/>
          <w:iCs/>
          <w:color w:val="000000" w:themeColor="text1"/>
        </w:rPr>
        <w:t>Criminal Procedure</w:t>
      </w:r>
      <w:r w:rsidRPr="006D60B9">
        <w:rPr>
          <w:rFonts w:ascii="Arial" w:hAnsi="Arial" w:cs="Arial"/>
          <w:color w:val="000000" w:themeColor="text1"/>
        </w:rPr>
        <w:t>. Wolters Kluwer, p.1082.</w:t>
      </w:r>
    </w:p>
    <w:p w14:paraId="69101EE1"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DeFreitas, K. and Hucker, S., 2015.</w:t>
      </w:r>
      <w:r w:rsidRPr="006D60B9">
        <w:rPr>
          <w:rStyle w:val="apple-converted-space"/>
          <w:rFonts w:ascii="Arial" w:hAnsi="Arial" w:cs="Arial"/>
          <w:color w:val="000000" w:themeColor="text1"/>
        </w:rPr>
        <w:t> </w:t>
      </w:r>
      <w:r w:rsidRPr="006D60B9">
        <w:rPr>
          <w:rFonts w:ascii="Arial" w:hAnsi="Arial" w:cs="Arial"/>
          <w:i/>
          <w:iCs/>
          <w:color w:val="000000" w:themeColor="text1"/>
        </w:rPr>
        <w:t>Automatism - an overview | ScienceDirect Topics</w:t>
      </w:r>
      <w:r w:rsidRPr="006D60B9">
        <w:rPr>
          <w:rFonts w:ascii="Arial" w:hAnsi="Arial" w:cs="Arial"/>
          <w:color w:val="000000" w:themeColor="text1"/>
        </w:rPr>
        <w:t>. [online] Sciencedirect.com. Available at: &lt;https://www.sciencedirect.com/topics/medicine-and-dentistry/automatism&gt; [Accessed 15 April 2021].</w:t>
      </w:r>
    </w:p>
    <w:p w14:paraId="2A7D9AF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E-lawresources.co.uk. 2021.</w:t>
      </w:r>
      <w:r w:rsidRPr="006D60B9">
        <w:rPr>
          <w:rStyle w:val="apple-converted-space"/>
          <w:rFonts w:ascii="Arial" w:hAnsi="Arial" w:cs="Arial"/>
          <w:color w:val="000000" w:themeColor="text1"/>
        </w:rPr>
        <w:t> </w:t>
      </w:r>
      <w:r w:rsidRPr="006D60B9">
        <w:rPr>
          <w:rFonts w:ascii="Arial" w:hAnsi="Arial" w:cs="Arial"/>
          <w:i/>
          <w:iCs/>
          <w:color w:val="000000" w:themeColor="text1"/>
        </w:rPr>
        <w:t>Non-insane automatism</w:t>
      </w:r>
      <w:r w:rsidRPr="006D60B9">
        <w:rPr>
          <w:rFonts w:ascii="Arial" w:hAnsi="Arial" w:cs="Arial"/>
          <w:color w:val="000000" w:themeColor="text1"/>
        </w:rPr>
        <w:t>. [online] Available at: &lt;http://www.e-lawresources.co.uk/Non-insane-automatism.php&gt; [Accessed 5 April 2021].</w:t>
      </w:r>
    </w:p>
    <w:p w14:paraId="2FADFD66"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Herring, J., 2020.</w:t>
      </w:r>
      <w:r w:rsidRPr="006D60B9">
        <w:rPr>
          <w:rStyle w:val="apple-converted-space"/>
          <w:rFonts w:ascii="Arial" w:hAnsi="Arial" w:cs="Arial"/>
          <w:color w:val="000000" w:themeColor="text1"/>
        </w:rPr>
        <w:t> </w:t>
      </w:r>
      <w:r w:rsidRPr="006D60B9">
        <w:rPr>
          <w:rFonts w:ascii="Arial" w:hAnsi="Arial" w:cs="Arial"/>
          <w:i/>
          <w:iCs/>
          <w:color w:val="000000" w:themeColor="text1"/>
        </w:rPr>
        <w:t>Criminal law</w:t>
      </w:r>
      <w:r w:rsidRPr="006D60B9">
        <w:rPr>
          <w:rFonts w:ascii="Arial" w:hAnsi="Arial" w:cs="Arial"/>
          <w:color w:val="000000" w:themeColor="text1"/>
        </w:rPr>
        <w:t>. Oxford University Press.</w:t>
      </w:r>
    </w:p>
    <w:p w14:paraId="40DEF078"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Hogg, C., 2015. The Insanity Defence.</w:t>
      </w:r>
      <w:r w:rsidRPr="006D60B9">
        <w:rPr>
          <w:rStyle w:val="apple-converted-space"/>
          <w:rFonts w:ascii="Arial" w:hAnsi="Arial" w:cs="Arial"/>
          <w:color w:val="000000" w:themeColor="text1"/>
        </w:rPr>
        <w:t> </w:t>
      </w:r>
      <w:r w:rsidRPr="006D60B9">
        <w:rPr>
          <w:rFonts w:ascii="Arial" w:hAnsi="Arial" w:cs="Arial"/>
          <w:i/>
          <w:iCs/>
          <w:color w:val="000000" w:themeColor="text1"/>
        </w:rPr>
        <w:t>The Journal of Criminal Law</w:t>
      </w:r>
      <w:r w:rsidRPr="006D60B9">
        <w:rPr>
          <w:rFonts w:ascii="Arial" w:hAnsi="Arial" w:cs="Arial"/>
          <w:color w:val="000000" w:themeColor="text1"/>
        </w:rPr>
        <w:t>, [online] 79(4), pp.250-256. Available at: &lt;https://doi.org/10.1177/0022018315596708&gt; [Accessed 19 April 2021].</w:t>
      </w:r>
    </w:p>
    <w:p w14:paraId="43BC113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Lawcom.gov.uk. 1989.</w:t>
      </w:r>
      <w:r w:rsidRPr="006D60B9">
        <w:rPr>
          <w:rStyle w:val="apple-converted-space"/>
          <w:rFonts w:ascii="Arial" w:hAnsi="Arial" w:cs="Arial"/>
          <w:color w:val="000000" w:themeColor="text1"/>
        </w:rPr>
        <w:t> </w:t>
      </w:r>
      <w:r w:rsidRPr="006D60B9">
        <w:rPr>
          <w:rFonts w:ascii="Arial" w:hAnsi="Arial" w:cs="Arial"/>
          <w:i/>
          <w:iCs/>
          <w:color w:val="000000" w:themeColor="text1"/>
        </w:rPr>
        <w:t>A CRIMINAL CODE FOR ENGLAND AND WALES</w:t>
      </w:r>
      <w:r w:rsidRPr="006D60B9">
        <w:rPr>
          <w:rFonts w:ascii="Arial" w:hAnsi="Arial" w:cs="Arial"/>
          <w:color w:val="000000" w:themeColor="text1"/>
        </w:rPr>
        <w:t>. [online] Available at: &lt;http://www.lawcom.gov.uk/app/uploads/2015/06/Criminal_Code_177_2.pdf&gt; [Accessed 3 April 2021].</w:t>
      </w:r>
    </w:p>
    <w:p w14:paraId="20EC90B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Loveless, J., Allen, M. and Derry, C., 2020.</w:t>
      </w:r>
      <w:r w:rsidRPr="006D60B9">
        <w:rPr>
          <w:rStyle w:val="apple-converted-space"/>
          <w:rFonts w:ascii="Arial" w:hAnsi="Arial" w:cs="Arial"/>
          <w:color w:val="000000" w:themeColor="text1"/>
        </w:rPr>
        <w:t> </w:t>
      </w:r>
      <w:r w:rsidRPr="006D60B9">
        <w:rPr>
          <w:rFonts w:ascii="Arial" w:hAnsi="Arial" w:cs="Arial"/>
          <w:i/>
          <w:iCs/>
          <w:color w:val="000000" w:themeColor="text1"/>
        </w:rPr>
        <w:t>Complete criminal law</w:t>
      </w:r>
      <w:r w:rsidRPr="006D60B9">
        <w:rPr>
          <w:rFonts w:ascii="Arial" w:hAnsi="Arial" w:cs="Arial"/>
          <w:color w:val="000000" w:themeColor="text1"/>
        </w:rPr>
        <w:t>. 7th ed. Oxford University Press, p.324.</w:t>
      </w:r>
    </w:p>
    <w:p w14:paraId="2E77B4DD"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McConnell, S. and Glazerman, S., 2001.</w:t>
      </w:r>
      <w:r w:rsidRPr="006D60B9">
        <w:rPr>
          <w:rStyle w:val="apple-converted-space"/>
          <w:rFonts w:ascii="Arial" w:hAnsi="Arial" w:cs="Arial"/>
          <w:color w:val="000000" w:themeColor="text1"/>
        </w:rPr>
        <w:t> </w:t>
      </w:r>
      <w:r w:rsidRPr="006D60B9">
        <w:rPr>
          <w:rFonts w:ascii="Arial" w:hAnsi="Arial" w:cs="Arial"/>
          <w:i/>
          <w:iCs/>
          <w:color w:val="000000" w:themeColor="text1"/>
        </w:rPr>
        <w:t>National Job Corps study</w:t>
      </w:r>
      <w:r w:rsidRPr="006D60B9">
        <w:rPr>
          <w:rFonts w:ascii="Arial" w:hAnsi="Arial" w:cs="Arial"/>
          <w:color w:val="000000" w:themeColor="text1"/>
        </w:rPr>
        <w:t>. Washington, DC: The Office.</w:t>
      </w:r>
    </w:p>
    <w:p w14:paraId="41623E9A"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Walton, K. and Emanuel, S., 2019.</w:t>
      </w:r>
      <w:r w:rsidRPr="006D60B9">
        <w:rPr>
          <w:rStyle w:val="apple-converted-space"/>
          <w:rFonts w:ascii="Arial" w:hAnsi="Arial" w:cs="Arial"/>
          <w:color w:val="000000" w:themeColor="text1"/>
        </w:rPr>
        <w:t> </w:t>
      </w:r>
      <w:r w:rsidRPr="006D60B9">
        <w:rPr>
          <w:rFonts w:ascii="Arial" w:hAnsi="Arial" w:cs="Arial"/>
          <w:i/>
          <w:iCs/>
          <w:color w:val="000000" w:themeColor="text1"/>
        </w:rPr>
        <w:t>Strategies &amp; Tactics for the MBE</w:t>
      </w:r>
      <w:r w:rsidRPr="006D60B9">
        <w:rPr>
          <w:rFonts w:ascii="Arial" w:hAnsi="Arial" w:cs="Arial"/>
          <w:color w:val="000000" w:themeColor="text1"/>
        </w:rPr>
        <w:t>. 7th ed. Wolters Kluwer, p.362.</w:t>
      </w:r>
    </w:p>
    <w:p w14:paraId="71087C40"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Welch, H. and Welch Staff, H., 2001.</w:t>
      </w:r>
      <w:r w:rsidRPr="006D60B9">
        <w:rPr>
          <w:rStyle w:val="apple-converted-space"/>
          <w:rFonts w:ascii="Arial" w:hAnsi="Arial" w:cs="Arial"/>
          <w:color w:val="000000" w:themeColor="text1"/>
        </w:rPr>
        <w:t> </w:t>
      </w:r>
      <w:r w:rsidRPr="006D60B9">
        <w:rPr>
          <w:rFonts w:ascii="Arial" w:hAnsi="Arial" w:cs="Arial"/>
          <w:i/>
          <w:iCs/>
          <w:color w:val="000000" w:themeColor="text1"/>
        </w:rPr>
        <w:t>Sourcebook Criminal Law</w:t>
      </w:r>
      <w:r w:rsidRPr="006D60B9">
        <w:rPr>
          <w:rFonts w:ascii="Arial" w:hAnsi="Arial" w:cs="Arial"/>
          <w:color w:val="000000" w:themeColor="text1"/>
        </w:rPr>
        <w:t>. Taylor &amp; Francis Group.</w:t>
      </w:r>
    </w:p>
    <w:p w14:paraId="6D938913"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Wilhelm Friedrich Hege, G., 2019.</w:t>
      </w:r>
      <w:r w:rsidRPr="006D60B9">
        <w:rPr>
          <w:rStyle w:val="apple-converted-space"/>
          <w:rFonts w:ascii="Arial" w:hAnsi="Arial" w:cs="Arial"/>
          <w:color w:val="000000" w:themeColor="text1"/>
        </w:rPr>
        <w:t> </w:t>
      </w:r>
      <w:r w:rsidRPr="006D60B9">
        <w:rPr>
          <w:rFonts w:ascii="Arial" w:hAnsi="Arial" w:cs="Arial"/>
          <w:i/>
          <w:iCs/>
          <w:color w:val="000000" w:themeColor="text1"/>
        </w:rPr>
        <w:t>The Essential Works of Georg Wilhelm Friedrich Hegel</w:t>
      </w:r>
      <w:r w:rsidRPr="006D60B9">
        <w:rPr>
          <w:rFonts w:ascii="Arial" w:hAnsi="Arial" w:cs="Arial"/>
          <w:color w:val="000000" w:themeColor="text1"/>
        </w:rPr>
        <w:t>. 1st ed. Musaicum Books.</w:t>
      </w:r>
    </w:p>
    <w:p w14:paraId="4FFE9869"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Yang, X., 2012.</w:t>
      </w:r>
      <w:r w:rsidRPr="006D60B9">
        <w:rPr>
          <w:rStyle w:val="apple-converted-space"/>
          <w:rFonts w:ascii="Arial" w:hAnsi="Arial" w:cs="Arial"/>
          <w:color w:val="000000" w:themeColor="text1"/>
        </w:rPr>
        <w:t> </w:t>
      </w:r>
      <w:r w:rsidRPr="006D60B9">
        <w:rPr>
          <w:rFonts w:ascii="Arial" w:hAnsi="Arial" w:cs="Arial"/>
          <w:i/>
          <w:iCs/>
          <w:color w:val="000000" w:themeColor="text1"/>
        </w:rPr>
        <w:t>State Immunity in International Law</w:t>
      </w:r>
      <w:r w:rsidRPr="006D60B9">
        <w:rPr>
          <w:rFonts w:ascii="Arial" w:hAnsi="Arial" w:cs="Arial"/>
          <w:color w:val="000000" w:themeColor="text1"/>
        </w:rPr>
        <w:t>. Cambridge: Cambridge University Press.</w:t>
      </w:r>
    </w:p>
    <w:p w14:paraId="7529CD62" w14:textId="77777777" w:rsidR="006755B8" w:rsidRPr="006D60B9" w:rsidRDefault="006755B8" w:rsidP="006755B8">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6D60B9">
        <w:rPr>
          <w:rFonts w:ascii="Arial" w:hAnsi="Arial" w:cs="Arial"/>
          <w:color w:val="000000" w:themeColor="text1"/>
        </w:rPr>
        <w:t>Yannoulidis, S., 2016.</w:t>
      </w:r>
      <w:r w:rsidRPr="006D60B9">
        <w:rPr>
          <w:rStyle w:val="apple-converted-space"/>
          <w:rFonts w:ascii="Arial" w:hAnsi="Arial" w:cs="Arial"/>
          <w:color w:val="000000" w:themeColor="text1"/>
        </w:rPr>
        <w:t> </w:t>
      </w:r>
      <w:r w:rsidRPr="006D60B9">
        <w:rPr>
          <w:rFonts w:ascii="Arial" w:hAnsi="Arial" w:cs="Arial"/>
          <w:i/>
          <w:iCs/>
          <w:color w:val="000000" w:themeColor="text1"/>
        </w:rPr>
        <w:t>Mental State Defences in Criminal Law</w:t>
      </w:r>
      <w:r w:rsidRPr="006D60B9">
        <w:rPr>
          <w:rFonts w:ascii="Arial" w:hAnsi="Arial" w:cs="Arial"/>
          <w:color w:val="000000" w:themeColor="text1"/>
        </w:rPr>
        <w:t>. London: Taylor and Francis.</w:t>
      </w:r>
    </w:p>
    <w:p w14:paraId="5FB90F40" w14:textId="77777777" w:rsidR="006755B8" w:rsidRPr="006D60B9" w:rsidRDefault="006755B8" w:rsidP="006755B8">
      <w:pPr>
        <w:spacing w:line="360" w:lineRule="auto"/>
        <w:jc w:val="both"/>
        <w:rPr>
          <w:rFonts w:ascii="Arial" w:hAnsi="Arial" w:cs="Arial"/>
          <w:color w:val="000000" w:themeColor="text1"/>
        </w:rPr>
      </w:pPr>
    </w:p>
    <w:p w14:paraId="14C0C55B" w14:textId="77777777" w:rsidR="00BE6738" w:rsidRPr="00BE6738" w:rsidRDefault="00BE6738" w:rsidP="006755B8">
      <w:pPr>
        <w:spacing w:line="360" w:lineRule="auto"/>
        <w:jc w:val="both"/>
        <w:rPr>
          <w:rFonts w:ascii="Arial" w:hAnsi="Arial" w:cs="Arial"/>
          <w:b/>
          <w:bCs/>
          <w:color w:val="000000" w:themeColor="text1"/>
          <w:u w:val="single"/>
        </w:rPr>
      </w:pPr>
      <w:r w:rsidRPr="00BE6738">
        <w:rPr>
          <w:rFonts w:ascii="Arial" w:hAnsi="Arial" w:cs="Arial"/>
          <w:b/>
          <w:bCs/>
          <w:color w:val="000000" w:themeColor="text1"/>
          <w:u w:val="single"/>
        </w:rPr>
        <w:t>Case Law</w:t>
      </w:r>
    </w:p>
    <w:p w14:paraId="598B04C2" w14:textId="1998C4C0" w:rsidR="006755B8" w:rsidRPr="006D60B9" w:rsidRDefault="006755B8" w:rsidP="006755B8">
      <w:pPr>
        <w:spacing w:line="360" w:lineRule="auto"/>
        <w:jc w:val="both"/>
        <w:rPr>
          <w:rFonts w:ascii="Arial" w:hAnsi="Arial" w:cs="Arial"/>
          <w:color w:val="000000" w:themeColor="text1"/>
        </w:rPr>
      </w:pPr>
      <w:r w:rsidRPr="006D60B9">
        <w:rPr>
          <w:rFonts w:ascii="Arial" w:hAnsi="Arial" w:cs="Arial"/>
          <w:color w:val="000000" w:themeColor="text1"/>
        </w:rPr>
        <w:t>M’naghten</w:t>
      </w:r>
    </w:p>
    <w:p w14:paraId="45425FA4" w14:textId="77777777" w:rsidR="006755B8" w:rsidRPr="006D60B9" w:rsidRDefault="006755B8" w:rsidP="006755B8">
      <w:pPr>
        <w:tabs>
          <w:tab w:val="left" w:pos="1896"/>
        </w:tabs>
        <w:spacing w:line="360" w:lineRule="auto"/>
        <w:jc w:val="both"/>
        <w:rPr>
          <w:rFonts w:ascii="Arial" w:hAnsi="Arial" w:cs="Arial"/>
          <w:color w:val="000000" w:themeColor="text1"/>
        </w:rPr>
      </w:pPr>
      <w:r w:rsidRPr="006D60B9">
        <w:rPr>
          <w:rFonts w:ascii="Arial" w:hAnsi="Arial" w:cs="Arial"/>
          <w:color w:val="000000" w:themeColor="text1"/>
        </w:rPr>
        <w:t>R v Kemp 19</w:t>
      </w:r>
      <w:r w:rsidRPr="006D60B9">
        <w:rPr>
          <w:rFonts w:ascii="Arial" w:hAnsi="Arial" w:cs="Arial"/>
          <w:color w:val="000000" w:themeColor="text1"/>
        </w:rPr>
        <w:tab/>
      </w:r>
    </w:p>
    <w:p w14:paraId="1E5BF644" w14:textId="77777777" w:rsidR="006755B8" w:rsidRPr="006D60B9" w:rsidRDefault="006755B8" w:rsidP="006755B8">
      <w:pPr>
        <w:tabs>
          <w:tab w:val="left" w:pos="1896"/>
        </w:tabs>
        <w:spacing w:line="360" w:lineRule="auto"/>
        <w:jc w:val="both"/>
        <w:rPr>
          <w:rFonts w:ascii="Arial" w:hAnsi="Arial" w:cs="Arial"/>
          <w:color w:val="000000" w:themeColor="text1"/>
        </w:rPr>
      </w:pPr>
      <w:r w:rsidRPr="006D60B9">
        <w:rPr>
          <w:rFonts w:ascii="Arial" w:hAnsi="Arial" w:cs="Arial"/>
          <w:color w:val="000000" w:themeColor="text1"/>
        </w:rPr>
        <w:t>R v Quick, 1973</w:t>
      </w:r>
    </w:p>
    <w:p w14:paraId="49034075" w14:textId="77777777" w:rsidR="006755B8" w:rsidRPr="006D60B9" w:rsidRDefault="006755B8" w:rsidP="006755B8">
      <w:pPr>
        <w:tabs>
          <w:tab w:val="left" w:pos="1896"/>
        </w:tabs>
        <w:spacing w:line="360" w:lineRule="auto"/>
        <w:jc w:val="both"/>
        <w:rPr>
          <w:rFonts w:ascii="Arial" w:hAnsi="Arial" w:cs="Arial"/>
          <w:color w:val="000000" w:themeColor="text1"/>
        </w:rPr>
      </w:pPr>
      <w:r w:rsidRPr="006D60B9">
        <w:rPr>
          <w:rFonts w:ascii="Arial" w:hAnsi="Arial" w:cs="Arial"/>
          <w:color w:val="000000" w:themeColor="text1"/>
        </w:rPr>
        <w:t>The R v Woo</w:t>
      </w:r>
      <w:r>
        <w:rPr>
          <w:rFonts w:ascii="Arial" w:hAnsi="Arial" w:cs="Arial"/>
          <w:color w:val="000000" w:themeColor="text1"/>
        </w:rPr>
        <w:t>den</w:t>
      </w:r>
    </w:p>
    <w:p w14:paraId="1CCC935C" w14:textId="77777777" w:rsidR="006755B8" w:rsidRDefault="006755B8" w:rsidP="006755B8">
      <w:pPr>
        <w:tabs>
          <w:tab w:val="left" w:pos="1896"/>
        </w:tabs>
        <w:spacing w:line="360" w:lineRule="auto"/>
        <w:jc w:val="both"/>
        <w:rPr>
          <w:rStyle w:val="normaltextrun"/>
          <w:rFonts w:ascii="Arial" w:hAnsi="Arial" w:cs="Arial"/>
          <w:color w:val="000000" w:themeColor="text1"/>
        </w:rPr>
      </w:pPr>
      <w:r w:rsidRPr="006D60B9">
        <w:rPr>
          <w:rStyle w:val="normaltextrun"/>
          <w:rFonts w:ascii="Arial" w:hAnsi="Arial" w:cs="Arial"/>
          <w:color w:val="000000" w:themeColor="text1"/>
        </w:rPr>
        <w:t>R v Church 1965</w:t>
      </w:r>
    </w:p>
    <w:p w14:paraId="6F3DF581" w14:textId="77777777" w:rsidR="006755B8" w:rsidRDefault="006755B8" w:rsidP="006755B8">
      <w:pPr>
        <w:tabs>
          <w:tab w:val="left" w:pos="1896"/>
        </w:tabs>
        <w:spacing w:line="360" w:lineRule="auto"/>
        <w:jc w:val="both"/>
        <w:rPr>
          <w:rStyle w:val="normaltextrun"/>
          <w:rFonts w:ascii="Arial" w:hAnsi="Arial" w:cs="Arial"/>
          <w:color w:val="000000" w:themeColor="text1"/>
        </w:rPr>
      </w:pPr>
      <w:r>
        <w:rPr>
          <w:rStyle w:val="normaltextrun"/>
          <w:rFonts w:ascii="Arial" w:hAnsi="Arial" w:cs="Arial"/>
          <w:color w:val="000000" w:themeColor="text1"/>
        </w:rPr>
        <w:t>Windle 1952</w:t>
      </w:r>
    </w:p>
    <w:p w14:paraId="370041D6" w14:textId="77777777" w:rsidR="006755B8" w:rsidRPr="006D60B9" w:rsidRDefault="006755B8" w:rsidP="006755B8">
      <w:pPr>
        <w:tabs>
          <w:tab w:val="left" w:pos="1896"/>
        </w:tabs>
        <w:spacing w:line="360" w:lineRule="auto"/>
        <w:jc w:val="both"/>
        <w:rPr>
          <w:rFonts w:ascii="Arial" w:hAnsi="Arial" w:cs="Arial"/>
          <w:color w:val="000000" w:themeColor="text1"/>
        </w:rPr>
      </w:pPr>
      <w:r>
        <w:rPr>
          <w:rStyle w:val="normaltextrun"/>
          <w:rFonts w:ascii="Arial" w:hAnsi="Arial" w:cs="Arial"/>
          <w:color w:val="000000" w:themeColor="text1"/>
        </w:rPr>
        <w:t>R v Venna 1975</w:t>
      </w:r>
    </w:p>
    <w:p w14:paraId="30A8C5CE" w14:textId="77777777" w:rsidR="006755B8" w:rsidRDefault="006755B8"/>
    <w:sectPr w:rsidR="006755B8">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24BD9D" w14:textId="77777777" w:rsidR="00000000" w:rsidRDefault="00964F70">
      <w:r>
        <w:separator/>
      </w:r>
    </w:p>
  </w:endnote>
  <w:endnote w:type="continuationSeparator" w:id="0">
    <w:p w14:paraId="40BFBD36" w14:textId="77777777" w:rsidR="00000000" w:rsidRDefault="00964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118436765"/>
      <w:docPartObj>
        <w:docPartGallery w:val="Page Numbers (Bottom of Page)"/>
        <w:docPartUnique/>
      </w:docPartObj>
    </w:sdtPr>
    <w:sdtEndPr>
      <w:rPr>
        <w:rStyle w:val="PageNumber"/>
      </w:rPr>
    </w:sdtEndPr>
    <w:sdtContent>
      <w:p w14:paraId="5C390513" w14:textId="77777777" w:rsidR="00CF030E" w:rsidRDefault="00BE6738" w:rsidP="003607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849428" w14:textId="77777777" w:rsidR="00CF030E" w:rsidRDefault="00964F70" w:rsidP="00CF030E">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851994243"/>
      <w:docPartObj>
        <w:docPartGallery w:val="Page Numbers (Bottom of Page)"/>
        <w:docPartUnique/>
      </w:docPartObj>
    </w:sdtPr>
    <w:sdtEndPr>
      <w:rPr>
        <w:rStyle w:val="PageNumber"/>
      </w:rPr>
    </w:sdtEndPr>
    <w:sdtContent>
      <w:p w14:paraId="0F945169" w14:textId="77777777" w:rsidR="00CF030E" w:rsidRDefault="00BE6738" w:rsidP="003607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64F70">
          <w:rPr>
            <w:rStyle w:val="PageNumber"/>
            <w:noProof/>
          </w:rPr>
          <w:t>2</w:t>
        </w:r>
        <w:r>
          <w:rPr>
            <w:rStyle w:val="PageNumber"/>
          </w:rPr>
          <w:fldChar w:fldCharType="end"/>
        </w:r>
      </w:p>
    </w:sdtContent>
  </w:sdt>
  <w:p w14:paraId="4803D727" w14:textId="77777777" w:rsidR="00CF030E" w:rsidRDefault="00964F70" w:rsidP="00CF030E">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B69E9C" w14:textId="77777777" w:rsidR="00000000" w:rsidRDefault="00964F70">
      <w:r>
        <w:separator/>
      </w:r>
    </w:p>
  </w:footnote>
  <w:footnote w:type="continuationSeparator" w:id="0">
    <w:p w14:paraId="1A34AE17" w14:textId="77777777" w:rsidR="00000000" w:rsidRDefault="00964F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EA7ED8" w14:textId="77777777" w:rsidR="00CF030E" w:rsidRDefault="00BE6738">
    <w:pPr>
      <w:pStyle w:val="Header"/>
    </w:pPr>
    <w:r>
      <w:ptab w:relativeTo="margin" w:alignment="center" w:leader="none"/>
    </w:r>
    <w:r>
      <w:ptab w:relativeTo="margin" w:alignment="right" w:leader="none"/>
    </w:r>
    <w:r>
      <w:t>2004525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55B8"/>
    <w:rsid w:val="006755B8"/>
    <w:rsid w:val="00964F70"/>
    <w:rsid w:val="00BE6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AB36D"/>
  <w15:chartTrackingRefBased/>
  <w15:docId w15:val="{1438C0C4-92E4-324E-A400-9D04BAE7B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55B8"/>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6755B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755B8"/>
    <w:rPr>
      <w:rFonts w:asciiTheme="majorHAnsi" w:eastAsiaTheme="majorEastAsia" w:hAnsiTheme="majorHAnsi" w:cstheme="majorBidi"/>
      <w:color w:val="2F5496" w:themeColor="accent1" w:themeShade="BF"/>
      <w:sz w:val="26"/>
      <w:szCs w:val="26"/>
      <w:lang w:eastAsia="en-GB"/>
    </w:rPr>
  </w:style>
  <w:style w:type="character" w:customStyle="1" w:styleId="apple-converted-space">
    <w:name w:val="apple-converted-space"/>
    <w:basedOn w:val="DefaultParagraphFont"/>
    <w:rsid w:val="006755B8"/>
  </w:style>
  <w:style w:type="paragraph" w:customStyle="1" w:styleId="paragraph">
    <w:name w:val="paragraph"/>
    <w:basedOn w:val="Normal"/>
    <w:rsid w:val="006755B8"/>
    <w:pPr>
      <w:spacing w:before="100" w:beforeAutospacing="1" w:after="100" w:afterAutospacing="1"/>
    </w:pPr>
  </w:style>
  <w:style w:type="character" w:customStyle="1" w:styleId="normaltextrun">
    <w:name w:val="normaltextrun"/>
    <w:basedOn w:val="DefaultParagraphFont"/>
    <w:rsid w:val="006755B8"/>
  </w:style>
  <w:style w:type="character" w:customStyle="1" w:styleId="eop">
    <w:name w:val="eop"/>
    <w:basedOn w:val="DefaultParagraphFont"/>
    <w:rsid w:val="006755B8"/>
  </w:style>
  <w:style w:type="character" w:styleId="Emphasis">
    <w:name w:val="Emphasis"/>
    <w:basedOn w:val="DefaultParagraphFont"/>
    <w:uiPriority w:val="20"/>
    <w:qFormat/>
    <w:rsid w:val="006755B8"/>
    <w:rPr>
      <w:i/>
      <w:iCs/>
    </w:rPr>
  </w:style>
  <w:style w:type="paragraph" w:styleId="Header">
    <w:name w:val="header"/>
    <w:basedOn w:val="Normal"/>
    <w:link w:val="HeaderChar"/>
    <w:uiPriority w:val="99"/>
    <w:unhideWhenUsed/>
    <w:rsid w:val="006755B8"/>
    <w:pPr>
      <w:tabs>
        <w:tab w:val="center" w:pos="4513"/>
        <w:tab w:val="right" w:pos="9026"/>
      </w:tabs>
    </w:pPr>
  </w:style>
  <w:style w:type="character" w:customStyle="1" w:styleId="HeaderChar">
    <w:name w:val="Header Char"/>
    <w:basedOn w:val="DefaultParagraphFont"/>
    <w:link w:val="Header"/>
    <w:uiPriority w:val="99"/>
    <w:rsid w:val="006755B8"/>
    <w:rPr>
      <w:rFonts w:ascii="Times New Roman" w:eastAsia="Times New Roman" w:hAnsi="Times New Roman" w:cs="Times New Roman"/>
      <w:lang w:eastAsia="en-GB"/>
    </w:rPr>
  </w:style>
  <w:style w:type="paragraph" w:styleId="Footer">
    <w:name w:val="footer"/>
    <w:basedOn w:val="Normal"/>
    <w:link w:val="FooterChar"/>
    <w:uiPriority w:val="99"/>
    <w:unhideWhenUsed/>
    <w:rsid w:val="006755B8"/>
    <w:pPr>
      <w:tabs>
        <w:tab w:val="center" w:pos="4513"/>
        <w:tab w:val="right" w:pos="9026"/>
      </w:tabs>
    </w:pPr>
  </w:style>
  <w:style w:type="character" w:customStyle="1" w:styleId="FooterChar">
    <w:name w:val="Footer Char"/>
    <w:basedOn w:val="DefaultParagraphFont"/>
    <w:link w:val="Footer"/>
    <w:uiPriority w:val="99"/>
    <w:rsid w:val="006755B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755B8"/>
  </w:style>
  <w:style w:type="paragraph" w:styleId="NormalWeb">
    <w:name w:val="Normal (Web)"/>
    <w:basedOn w:val="Normal"/>
    <w:uiPriority w:val="99"/>
    <w:semiHidden/>
    <w:unhideWhenUsed/>
    <w:rsid w:val="006755B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aw_Commission_(England_and_Wal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n.wikipedia.org/wiki/Psychiatric"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Butler_Committee"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2000</Words>
  <Characters>11406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Laura Knight</cp:lastModifiedBy>
  <cp:revision>2</cp:revision>
  <dcterms:created xsi:type="dcterms:W3CDTF">2021-05-10T09:05:00Z</dcterms:created>
  <dcterms:modified xsi:type="dcterms:W3CDTF">2021-05-10T09:05:00Z</dcterms:modified>
</cp:coreProperties>
</file>