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0CB47" w14:textId="5815E6B5" w:rsidR="009D1438" w:rsidRDefault="009D1438">
      <w:r>
        <w:rPr>
          <w:noProof/>
        </w:rPr>
        <w:drawing>
          <wp:inline distT="0" distB="0" distL="0" distR="0" wp14:anchorId="6F0148DA" wp14:editId="27D0F35D">
            <wp:extent cx="2433554" cy="967105"/>
            <wp:effectExtent l="0" t="0" r="5080" b="0"/>
            <wp:docPr id="549683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7025" cy="976433"/>
                    </a:xfrm>
                    <a:prstGeom prst="rect">
                      <a:avLst/>
                    </a:prstGeom>
                    <a:noFill/>
                  </pic:spPr>
                </pic:pic>
              </a:graphicData>
            </a:graphic>
          </wp:inline>
        </w:drawing>
      </w:r>
    </w:p>
    <w:p w14:paraId="0A913D82" w14:textId="77777777" w:rsidR="009D1438" w:rsidRDefault="009D1438"/>
    <w:p w14:paraId="47597392" w14:textId="77777777" w:rsidR="009D1438" w:rsidRDefault="009D1438"/>
    <w:p w14:paraId="7321C8E6" w14:textId="77777777" w:rsidR="00934BA7" w:rsidRPr="00C83A82" w:rsidRDefault="00934BA7" w:rsidP="00934BA7">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Catherine Catacutan</w:t>
      </w:r>
    </w:p>
    <w:p w14:paraId="72250980" w14:textId="341371E3" w:rsidR="00934BA7" w:rsidRPr="00C83A82" w:rsidRDefault="00934BA7" w:rsidP="00934BA7">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CF0E80">
        <w:rPr>
          <w:rFonts w:ascii="Arial" w:hAnsi="Arial" w:cs="Arial"/>
          <w:sz w:val="28"/>
          <w:szCs w:val="28"/>
          <w:lang w:val="nl-NL"/>
        </w:rPr>
        <w:t xml:space="preserve"> </w:t>
      </w:r>
      <w:r>
        <w:rPr>
          <w:rFonts w:ascii="Arial" w:hAnsi="Arial" w:cs="Arial"/>
          <w:sz w:val="28"/>
          <w:szCs w:val="28"/>
          <w:lang w:val="nl-NL"/>
        </w:rPr>
        <w:t>2530824</w:t>
      </w:r>
    </w:p>
    <w:p w14:paraId="11EA6DB6" w14:textId="77777777" w:rsidR="00934BA7" w:rsidRPr="00C83A82" w:rsidRDefault="00934BA7" w:rsidP="00934BA7">
      <w:pPr>
        <w:tabs>
          <w:tab w:val="left" w:pos="6540"/>
        </w:tabs>
        <w:spacing w:line="360" w:lineRule="auto"/>
        <w:rPr>
          <w:rFonts w:ascii="Arial" w:hAnsi="Arial" w:cs="Arial"/>
          <w:sz w:val="28"/>
          <w:szCs w:val="28"/>
          <w:lang w:val="nl-NL"/>
        </w:rPr>
      </w:pPr>
    </w:p>
    <w:p w14:paraId="697F9C7B" w14:textId="77777777" w:rsidR="00934BA7" w:rsidRPr="00C83A82" w:rsidRDefault="00934BA7" w:rsidP="00934BA7">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Pr>
          <w:rFonts w:ascii="Arial" w:hAnsi="Arial" w:cs="Arial"/>
          <w:sz w:val="28"/>
          <w:szCs w:val="28"/>
          <w:lang w:val="nl-NL"/>
        </w:rPr>
        <w:t>Introduction To Health and Social Care</w:t>
      </w:r>
    </w:p>
    <w:p w14:paraId="5FA311D1" w14:textId="77777777" w:rsidR="00934BA7" w:rsidRPr="008D4CD1" w:rsidRDefault="00934BA7" w:rsidP="00934BA7">
      <w:pPr>
        <w:tabs>
          <w:tab w:val="left" w:pos="6540"/>
        </w:tabs>
        <w:spacing w:line="360" w:lineRule="auto"/>
        <w:rPr>
          <w:rFonts w:ascii="Arial" w:hAnsi="Arial" w:cs="Arial"/>
          <w:b/>
          <w:bCs/>
          <w:sz w:val="28"/>
          <w:szCs w:val="28"/>
        </w:rPr>
      </w:pPr>
      <w:r w:rsidRPr="0020413D">
        <w:rPr>
          <w:rFonts w:ascii="Arial" w:hAnsi="Arial" w:cs="Arial"/>
          <w:b/>
          <w:bCs/>
          <w:sz w:val="28"/>
          <w:szCs w:val="28"/>
        </w:rPr>
        <w:t>Module code</w:t>
      </w:r>
      <w:r w:rsidRPr="0020413D">
        <w:rPr>
          <w:rFonts w:ascii="Arial" w:hAnsi="Arial" w:cs="Arial"/>
          <w:sz w:val="28"/>
          <w:szCs w:val="28"/>
        </w:rPr>
        <w:t>:</w:t>
      </w:r>
      <w:r w:rsidRPr="008D4CD1">
        <w:rPr>
          <w:rFonts w:ascii="Segoe UI" w:eastAsia="Times New Roman" w:hAnsi="Segoe UI" w:cs="Segoe UI"/>
          <w:b/>
          <w:bCs/>
          <w:color w:val="FFFFFF"/>
          <w:kern w:val="36"/>
          <w:sz w:val="48"/>
          <w:szCs w:val="48"/>
          <w:lang w:eastAsia="en-GB"/>
        </w:rPr>
        <w:t xml:space="preserve"> </w:t>
      </w:r>
      <w:r w:rsidRPr="008D4CD1">
        <w:rPr>
          <w:rFonts w:ascii="Arial" w:eastAsiaTheme="minorEastAsia" w:hAnsi="Arial" w:cs="Arial"/>
          <w:b/>
          <w:bCs/>
          <w:sz w:val="28"/>
          <w:szCs w:val="28"/>
        </w:rPr>
        <w:t>LCHS4003</w:t>
      </w:r>
    </w:p>
    <w:p w14:paraId="7F5E2489" w14:textId="77777777" w:rsidR="00934BA7" w:rsidRDefault="00934BA7" w:rsidP="00934BA7">
      <w:pPr>
        <w:rPr>
          <w:rFonts w:ascii="Arial" w:hAnsi="Arial" w:cs="Arial"/>
          <w:sz w:val="28"/>
          <w:szCs w:val="28"/>
        </w:rPr>
      </w:pPr>
      <w:r w:rsidRPr="0020413D">
        <w:rPr>
          <w:rFonts w:ascii="Arial" w:hAnsi="Arial" w:cs="Arial"/>
          <w:b/>
          <w:bCs/>
          <w:sz w:val="28"/>
          <w:szCs w:val="28"/>
        </w:rPr>
        <w:t>Lecturer name</w:t>
      </w:r>
      <w:bookmarkEnd w:id="0"/>
      <w:r>
        <w:t xml:space="preserve">: </w:t>
      </w:r>
      <w:r w:rsidRPr="008D4CD1">
        <w:rPr>
          <w:rFonts w:ascii="Arial" w:hAnsi="Arial" w:cs="Arial"/>
          <w:sz w:val="28"/>
          <w:szCs w:val="28"/>
        </w:rPr>
        <w:t>Muhammad Ali</w:t>
      </w:r>
      <w:r w:rsidR="001D7C9E">
        <w:rPr>
          <w:rFonts w:ascii="Arial" w:hAnsi="Arial" w:cs="Arial"/>
          <w:sz w:val="28"/>
          <w:szCs w:val="28"/>
        </w:rPr>
        <w:t>yu</w:t>
      </w:r>
      <w:r w:rsidR="00381F93">
        <w:rPr>
          <w:rFonts w:ascii="Arial" w:hAnsi="Arial" w:cs="Arial"/>
          <w:sz w:val="28"/>
          <w:szCs w:val="28"/>
        </w:rPr>
        <w:t xml:space="preserve">  </w:t>
      </w:r>
    </w:p>
    <w:p w14:paraId="4EF0E54E" w14:textId="77777777" w:rsidR="00381F93" w:rsidRDefault="00381F93" w:rsidP="00934BA7">
      <w:pPr>
        <w:rPr>
          <w:rFonts w:ascii="Arial" w:hAnsi="Arial" w:cs="Arial"/>
          <w:sz w:val="28"/>
          <w:szCs w:val="28"/>
        </w:rPr>
      </w:pPr>
    </w:p>
    <w:p w14:paraId="48550C02" w14:textId="77777777" w:rsidR="00381F93" w:rsidRDefault="00381F93" w:rsidP="00934BA7">
      <w:pPr>
        <w:rPr>
          <w:rFonts w:ascii="Arial" w:hAnsi="Arial" w:cs="Arial"/>
          <w:sz w:val="28"/>
          <w:szCs w:val="28"/>
        </w:rPr>
      </w:pPr>
    </w:p>
    <w:p w14:paraId="6C354E29" w14:textId="77777777" w:rsidR="00381F93" w:rsidRDefault="00381F93" w:rsidP="00934BA7">
      <w:pPr>
        <w:rPr>
          <w:rFonts w:ascii="Arial" w:hAnsi="Arial" w:cs="Arial"/>
          <w:sz w:val="28"/>
          <w:szCs w:val="28"/>
        </w:rPr>
      </w:pPr>
    </w:p>
    <w:p w14:paraId="4A4107D9" w14:textId="77777777" w:rsidR="001C4999" w:rsidRDefault="001C4999" w:rsidP="00934BA7">
      <w:pPr>
        <w:rPr>
          <w:rFonts w:ascii="Arial" w:hAnsi="Arial" w:cs="Arial"/>
          <w:sz w:val="28"/>
          <w:szCs w:val="28"/>
        </w:rPr>
      </w:pPr>
    </w:p>
    <w:p w14:paraId="0DEF77CA" w14:textId="1F673FE2" w:rsidR="001C4999" w:rsidRPr="008D4CD1" w:rsidRDefault="001C4999" w:rsidP="00934BA7">
      <w:pPr>
        <w:rPr>
          <w:rFonts w:ascii="Arial" w:hAnsi="Arial" w:cs="Arial"/>
          <w:b/>
          <w:bCs/>
          <w:sz w:val="28"/>
          <w:szCs w:val="28"/>
        </w:rPr>
        <w:sectPr w:rsidR="001C4999" w:rsidRPr="008D4CD1" w:rsidSect="00934BA7">
          <w:headerReference w:type="default" r:id="rId10"/>
          <w:footerReference w:type="default" r:id="rId11"/>
          <w:pgSz w:w="11906" w:h="16838"/>
          <w:pgMar w:top="1440" w:right="1440" w:bottom="1440" w:left="1440" w:header="708" w:footer="708" w:gutter="0"/>
          <w:cols w:space="708"/>
          <w:docGrid w:linePitch="360"/>
        </w:sectPr>
      </w:pPr>
      <w:r w:rsidRPr="001C4999">
        <w:rPr>
          <w:rFonts w:ascii="Arial" w:hAnsi="Arial" w:cs="Arial"/>
          <w:b/>
          <w:bCs/>
          <w:i/>
          <w:iCs/>
          <w:sz w:val="28"/>
          <w:szCs w:val="28"/>
        </w:rPr>
        <w:t xml:space="preserve">“I used </w:t>
      </w:r>
      <w:r>
        <w:rPr>
          <w:rFonts w:ascii="Arial" w:hAnsi="Arial" w:cs="Arial"/>
          <w:b/>
          <w:bCs/>
          <w:i/>
          <w:iCs/>
          <w:sz w:val="28"/>
          <w:szCs w:val="28"/>
        </w:rPr>
        <w:t xml:space="preserve">AI </w:t>
      </w:r>
      <w:r w:rsidRPr="001C4999">
        <w:rPr>
          <w:rFonts w:ascii="Arial" w:hAnsi="Arial" w:cs="Arial"/>
          <w:b/>
          <w:bCs/>
          <w:i/>
          <w:iCs/>
          <w:sz w:val="28"/>
          <w:szCs w:val="28"/>
        </w:rPr>
        <w:t>to generate initial ideas and draft sections of this essay. The output was reviewed, edited, and integrated with my own analysis over three iterations.”</w:t>
      </w:r>
    </w:p>
    <w:p w14:paraId="78656A93" w14:textId="2B283BDF" w:rsidR="003D06DE" w:rsidRDefault="003D06DE" w:rsidP="001D7C9E">
      <w:pPr>
        <w:tabs>
          <w:tab w:val="left" w:pos="1425"/>
        </w:tabs>
      </w:pPr>
    </w:p>
    <w:p w14:paraId="1D5B974F" w14:textId="1E69D2B7" w:rsidR="00CD1531" w:rsidRPr="00693A11" w:rsidRDefault="0058024B" w:rsidP="00693A11">
      <w:r w:rsidRPr="0058024B">
        <w:drawing>
          <wp:inline distT="0" distB="0" distL="0" distR="0" wp14:anchorId="57595484" wp14:editId="6DD8A08C">
            <wp:extent cx="5731510" cy="8107680"/>
            <wp:effectExtent l="0" t="0" r="2540" b="7620"/>
            <wp:docPr id="13370596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20441655" w14:textId="540F8150" w:rsidR="00350F09" w:rsidRPr="001D7DDC" w:rsidRDefault="00CD1531" w:rsidP="001D7DDC">
      <w:pPr>
        <w:spacing w:line="360" w:lineRule="auto"/>
        <w:rPr>
          <w:rFonts w:ascii="Arial" w:hAnsi="Arial" w:cs="Arial"/>
          <w:sz w:val="22"/>
          <w:szCs w:val="22"/>
        </w:rPr>
      </w:pPr>
      <w:r>
        <w:br w:type="page"/>
      </w:r>
      <w:r w:rsidR="00350F09" w:rsidRPr="001D7DDC">
        <w:rPr>
          <w:rFonts w:ascii="Arial" w:hAnsi="Arial" w:cs="Arial"/>
          <w:b/>
          <w:bCs/>
          <w:sz w:val="22"/>
          <w:szCs w:val="22"/>
        </w:rPr>
        <w:lastRenderedPageBreak/>
        <w:t>Community Disability Services in the UK: Origins, Development and Contemporary Significance</w:t>
      </w:r>
    </w:p>
    <w:p w14:paraId="6F19808F"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t>Community disability services in the United Kingdom aim to support individuals with physical, learning, sensory, and mental health disabilities to live independently and participate fully in society. These services include health care, social care, housing support, advocacy, employment assistance, and community-based rehabilitation. Their development has been shaped by changing attitudes towards disability, from institutional care to a rights-based approach focused on inclusion and independence.</w:t>
      </w:r>
    </w:p>
    <w:p w14:paraId="4065EB4E"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t xml:space="preserve">Historically, people with disabilities in the UK were often segregated from society and placed in long-term institutions. During the nineteenth and early twentieth centuries, disability was largely viewed through a medical model, where impairments were seen as individual problems requiring treatment or confinement. Following the Second World War, attitudes gradually began to change. The creation of the National Health Service (NHS) in 1948 expanded access to healthcare and rehabilitation services, while disability advocacy groups increasingly campaigned for equal rights and social inclusion. Historic England notes that post-war disability movements challenged discrimination and promoted a social model of disability, which recognised that barriers within society often create disadvantage rather than the impairment itself (Historic England, 2015). </w:t>
      </w:r>
      <w:hyperlink r:id="rId13" w:history="1">
        <w:r w:rsidRPr="001D7DDC">
          <w:rPr>
            <w:rStyle w:val="Hyperlink"/>
            <w:rFonts w:ascii="Arial" w:hAnsi="Arial" w:cs="Arial"/>
            <w:sz w:val="22"/>
            <w:szCs w:val="22"/>
          </w:rPr>
          <w:t>[</w:t>
        </w:r>
        <w:proofErr w:type="spellStart"/>
        <w:r w:rsidRPr="001D7DDC">
          <w:rPr>
            <w:rStyle w:val="Hyperlink"/>
            <w:rFonts w:ascii="Arial" w:hAnsi="Arial" w:cs="Arial"/>
            <w:sz w:val="22"/>
            <w:szCs w:val="22"/>
          </w:rPr>
          <w:t>historicen</w:t>
        </w:r>
        <w:proofErr w:type="spellEnd"/>
        <w:r w:rsidRPr="001D7DDC">
          <w:rPr>
            <w:rStyle w:val="Hyperlink"/>
            <w:rFonts w:ascii="Arial" w:hAnsi="Arial" w:cs="Arial"/>
            <w:sz w:val="22"/>
            <w:szCs w:val="22"/>
          </w:rPr>
          <w:t>...and.org.uk]</w:t>
        </w:r>
      </w:hyperlink>
    </w:p>
    <w:p w14:paraId="2100E4D5"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t xml:space="preserve">A major turning point in the development of community disability services was the policy of “Care in the Community,” introduced during the 1980s and strengthened through the National Health Service and Community Care Act 1990. This legislation transferred responsibility for assessing and arranging community care services to local authorities and encouraged support to be delivered in community settings rather than institutions (UK Parliament, 1990). The Act required local authorities to assess the needs of disabled individuals and provide appropriate services, including home care, adaptations, respite support and day services. Consequently, many people with disabilities gained greater opportunities to live independently within their local communities. </w:t>
      </w:r>
      <w:hyperlink r:id="rId14" w:history="1">
        <w:r w:rsidRPr="001D7DDC">
          <w:rPr>
            <w:rStyle w:val="Hyperlink"/>
            <w:rFonts w:ascii="Arial" w:hAnsi="Arial" w:cs="Arial"/>
            <w:sz w:val="22"/>
            <w:szCs w:val="22"/>
          </w:rPr>
          <w:t>[legislation.gov.uk]</w:t>
        </w:r>
      </w:hyperlink>
      <w:r w:rsidRPr="001D7DDC">
        <w:rPr>
          <w:rFonts w:ascii="Arial" w:hAnsi="Arial" w:cs="Arial"/>
          <w:sz w:val="22"/>
          <w:szCs w:val="22"/>
        </w:rPr>
        <w:t xml:space="preserve">, </w:t>
      </w:r>
      <w:hyperlink r:id="rId15" w:history="1">
        <w:r w:rsidRPr="001D7DDC">
          <w:rPr>
            <w:rStyle w:val="Hyperlink"/>
            <w:rFonts w:ascii="Arial" w:hAnsi="Arial" w:cs="Arial"/>
            <w:sz w:val="22"/>
            <w:szCs w:val="22"/>
          </w:rPr>
          <w:t>[navigator</w:t>
        </w:r>
        <w:proofErr w:type="gramStart"/>
        <w:r w:rsidRPr="001D7DDC">
          <w:rPr>
            <w:rStyle w:val="Hyperlink"/>
            <w:rFonts w:ascii="Arial" w:hAnsi="Arial" w:cs="Arial"/>
            <w:sz w:val="22"/>
            <w:szCs w:val="22"/>
          </w:rPr>
          <w:t>....lth.org.uk</w:t>
        </w:r>
        <w:proofErr w:type="gramEnd"/>
        <w:r w:rsidRPr="001D7DDC">
          <w:rPr>
            <w:rStyle w:val="Hyperlink"/>
            <w:rFonts w:ascii="Arial" w:hAnsi="Arial" w:cs="Arial"/>
            <w:sz w:val="22"/>
            <w:szCs w:val="22"/>
          </w:rPr>
          <w:t>]</w:t>
        </w:r>
      </w:hyperlink>
    </w:p>
    <w:p w14:paraId="3A577C85"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t xml:space="preserve">Further developments were influenced by disability rights legislation. The Disability Discrimination Act 1995 and subsequently the Equality Act 2010 strengthened legal protections against discrimination and promoted equal access to employment, education and public services. These reforms reflected a shift from welfare-based provision towards a rights-based framework, recognising people with disabilities as active citizens with entitlements and choices rather than passive recipients of care. </w:t>
      </w:r>
      <w:hyperlink r:id="rId16" w:history="1">
        <w:r w:rsidRPr="001D7DDC">
          <w:rPr>
            <w:rStyle w:val="Hyperlink"/>
            <w:rFonts w:ascii="Arial" w:hAnsi="Arial" w:cs="Arial"/>
            <w:sz w:val="22"/>
            <w:szCs w:val="22"/>
          </w:rPr>
          <w:t>[</w:t>
        </w:r>
        <w:proofErr w:type="spellStart"/>
        <w:r w:rsidRPr="001D7DDC">
          <w:rPr>
            <w:rStyle w:val="Hyperlink"/>
            <w:rFonts w:ascii="Arial" w:hAnsi="Arial" w:cs="Arial"/>
            <w:sz w:val="22"/>
            <w:szCs w:val="22"/>
          </w:rPr>
          <w:t>historicen</w:t>
        </w:r>
        <w:proofErr w:type="spellEnd"/>
        <w:r w:rsidRPr="001D7DDC">
          <w:rPr>
            <w:rStyle w:val="Hyperlink"/>
            <w:rFonts w:ascii="Arial" w:hAnsi="Arial" w:cs="Arial"/>
            <w:sz w:val="22"/>
            <w:szCs w:val="22"/>
          </w:rPr>
          <w:t>...and.org.uk]</w:t>
        </w:r>
      </w:hyperlink>
    </w:p>
    <w:p w14:paraId="4950DC8C"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lastRenderedPageBreak/>
        <w:t>Today, community disability services operate through collaboration between the NHS, local authorities, voluntary organisations and private providers. Services are typically organised around person-centred care, where support plans are tailored to individual needs and preferences. Examples include occupational therapy, community nursing, supported living, personal assistants, specialist equipment provision and employment support programmes. The Care Act 2014 further reinforced this approach by promoting wellbeing, independence and personalised support planning.</w:t>
      </w:r>
    </w:p>
    <w:p w14:paraId="3E29C5B8"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t>Despite these advances, community disability services face significant challenges. Funding pressures, workforce shortages and increasing demand have affected service availability across many regions. Long waiting times for assessments, inconsistencies in service provision and limited access to specialist support can reduce the effectiveness of care. Critics argue that while policies emphasise independence and choice, resource limitations often prevent these principles from being fully realised in practice. Furthermore, geographical variation means that service users may experience unequal access to support depending on where they live.</w:t>
      </w:r>
    </w:p>
    <w:p w14:paraId="6392FC08"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t>Nevertheless, community disability services remain highly significant in enhancing the quality of life of service users. They enable individuals to remain within their communities, maintain social relationships and exercise greater control over daily living. Research consistently demonstrates that community-based support can improve physical health, emotional wellbeing and social inclusion. Access to appropriate housing, employment assistance and social activities helps reduce isolation and promotes participation in society. Moreover, personalised services can increase confidence, autonomy and dignity, supporting individuals to achieve their personal goals.</w:t>
      </w:r>
    </w:p>
    <w:p w14:paraId="18DBB718"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t>In conclusion, community disability services in the UK have evolved from a history of institutionalisation to a modern system centred on inclusion, independence and rights. Influenced by post-war disability movements, community care policies and equality legislation, these services have transformed opportunities for disabled people. Although challenges relating to funding and service consistency remain, community disability services continue to play a crucial role in improving wellbeing, promoting independence and enhancing the overall quality of life of service users.</w:t>
      </w:r>
    </w:p>
    <w:p w14:paraId="400BD4AF" w14:textId="77777777" w:rsidR="00350F09" w:rsidRPr="001D7DDC" w:rsidRDefault="00350F09" w:rsidP="001D7DDC">
      <w:pPr>
        <w:spacing w:line="360" w:lineRule="auto"/>
        <w:rPr>
          <w:rFonts w:ascii="Arial" w:hAnsi="Arial" w:cs="Arial"/>
          <w:b/>
          <w:bCs/>
          <w:sz w:val="22"/>
          <w:szCs w:val="22"/>
        </w:rPr>
      </w:pPr>
      <w:r w:rsidRPr="001D7DDC">
        <w:rPr>
          <w:rFonts w:ascii="Arial" w:hAnsi="Arial" w:cs="Arial"/>
          <w:b/>
          <w:bCs/>
          <w:sz w:val="22"/>
          <w:szCs w:val="22"/>
        </w:rPr>
        <w:t>References (Harvard Style)</w:t>
      </w:r>
    </w:p>
    <w:p w14:paraId="20EB038F"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t xml:space="preserve">Historic England (2015) </w:t>
      </w:r>
      <w:r w:rsidRPr="001D7DDC">
        <w:rPr>
          <w:rFonts w:ascii="Arial" w:hAnsi="Arial" w:cs="Arial"/>
          <w:i/>
          <w:iCs/>
          <w:sz w:val="22"/>
          <w:szCs w:val="22"/>
        </w:rPr>
        <w:t>Disability Since 1945</w:t>
      </w:r>
      <w:r w:rsidRPr="001D7DDC">
        <w:rPr>
          <w:rFonts w:ascii="Arial" w:hAnsi="Arial" w:cs="Arial"/>
          <w:sz w:val="22"/>
          <w:szCs w:val="22"/>
        </w:rPr>
        <w:t>. Available at: https://historicengland.org.uk/research/inclusive-heritage/disability-history/1945-to-the-present-day/ (Accessed: 15 July 2026).</w:t>
      </w:r>
    </w:p>
    <w:p w14:paraId="72F45173"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lastRenderedPageBreak/>
        <w:t xml:space="preserve">National Health Service and Community Care Act 1990 (1990) </w:t>
      </w:r>
      <w:r w:rsidRPr="001D7DDC">
        <w:rPr>
          <w:rFonts w:ascii="Arial" w:hAnsi="Arial" w:cs="Arial"/>
          <w:i/>
          <w:iCs/>
          <w:sz w:val="22"/>
          <w:szCs w:val="22"/>
        </w:rPr>
        <w:t>UK Public General Acts</w:t>
      </w:r>
      <w:r w:rsidRPr="001D7DDC">
        <w:rPr>
          <w:rFonts w:ascii="Arial" w:hAnsi="Arial" w:cs="Arial"/>
          <w:sz w:val="22"/>
          <w:szCs w:val="22"/>
        </w:rPr>
        <w:t>. London: HMSO. Available at: https://www.legislation.gov.uk/ukpga/1990/19/contents (Accessed: 15 July 2026).</w:t>
      </w:r>
    </w:p>
    <w:p w14:paraId="21E59414"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t xml:space="preserve">The Health Foundation (2024) </w:t>
      </w:r>
      <w:r w:rsidRPr="001D7DDC">
        <w:rPr>
          <w:rFonts w:ascii="Arial" w:hAnsi="Arial" w:cs="Arial"/>
          <w:i/>
          <w:iCs/>
          <w:sz w:val="22"/>
          <w:szCs w:val="22"/>
        </w:rPr>
        <w:t>National Health Service and Community Care Act 1990</w:t>
      </w:r>
      <w:r w:rsidRPr="001D7DDC">
        <w:rPr>
          <w:rFonts w:ascii="Arial" w:hAnsi="Arial" w:cs="Arial"/>
          <w:sz w:val="22"/>
          <w:szCs w:val="22"/>
        </w:rPr>
        <w:t>. Available at: https://navigator.health.org.uk/theme/national-health-service-and-community-care-act-1990 (Accessed: 15 July 2026).</w:t>
      </w:r>
    </w:p>
    <w:p w14:paraId="7F6E7AEF" w14:textId="77777777" w:rsidR="00350F09" w:rsidRPr="001D7DDC" w:rsidRDefault="00350F09" w:rsidP="001D7DDC">
      <w:pPr>
        <w:spacing w:line="360" w:lineRule="auto"/>
        <w:rPr>
          <w:rFonts w:ascii="Arial" w:hAnsi="Arial" w:cs="Arial"/>
          <w:sz w:val="22"/>
          <w:szCs w:val="22"/>
        </w:rPr>
      </w:pPr>
      <w:r w:rsidRPr="001D7DDC">
        <w:rPr>
          <w:rFonts w:ascii="Arial" w:hAnsi="Arial" w:cs="Arial"/>
          <w:sz w:val="22"/>
          <w:szCs w:val="22"/>
        </w:rPr>
        <w:t xml:space="preserve">UK Government (2010) </w:t>
      </w:r>
      <w:r w:rsidRPr="001D7DDC">
        <w:rPr>
          <w:rFonts w:ascii="Arial" w:hAnsi="Arial" w:cs="Arial"/>
          <w:i/>
          <w:iCs/>
          <w:sz w:val="22"/>
          <w:szCs w:val="22"/>
        </w:rPr>
        <w:t>Equality Act 2010</w:t>
      </w:r>
      <w:r w:rsidRPr="001D7DDC">
        <w:rPr>
          <w:rFonts w:ascii="Arial" w:hAnsi="Arial" w:cs="Arial"/>
          <w:sz w:val="22"/>
          <w:szCs w:val="22"/>
        </w:rPr>
        <w:t>. London: The Stationery Office. Available at: https://www.legislation.gov.uk/ukpga/2010/15/contents (Accessed: 15 July 2026).</w:t>
      </w:r>
    </w:p>
    <w:p w14:paraId="0002831F" w14:textId="649C241B" w:rsidR="009D1438" w:rsidRPr="001D7DDC" w:rsidRDefault="00350F09" w:rsidP="001D7DDC">
      <w:pPr>
        <w:spacing w:line="360" w:lineRule="auto"/>
        <w:rPr>
          <w:rFonts w:ascii="Arial" w:hAnsi="Arial" w:cs="Arial"/>
          <w:sz w:val="22"/>
          <w:szCs w:val="22"/>
        </w:rPr>
      </w:pPr>
      <w:r w:rsidRPr="001D7DDC">
        <w:rPr>
          <w:rFonts w:ascii="Arial" w:hAnsi="Arial" w:cs="Arial"/>
          <w:sz w:val="22"/>
          <w:szCs w:val="22"/>
        </w:rPr>
        <w:t xml:space="preserve">UK Government (2014) </w:t>
      </w:r>
      <w:r w:rsidRPr="001D7DDC">
        <w:rPr>
          <w:rFonts w:ascii="Arial" w:hAnsi="Arial" w:cs="Arial"/>
          <w:i/>
          <w:iCs/>
          <w:sz w:val="22"/>
          <w:szCs w:val="22"/>
        </w:rPr>
        <w:t>Care Act 2014</w:t>
      </w:r>
      <w:r w:rsidRPr="001D7DDC">
        <w:rPr>
          <w:rFonts w:ascii="Arial" w:hAnsi="Arial" w:cs="Arial"/>
          <w:sz w:val="22"/>
          <w:szCs w:val="22"/>
        </w:rPr>
        <w:t>. London: The Stationery Office. Available at: https://www.legislation.gov.uk/ukpga/2014/23/contents (Accessed: 15 July 2026).</w:t>
      </w:r>
    </w:p>
    <w:p w14:paraId="66B3DEBF" w14:textId="77777777" w:rsidR="008D2069" w:rsidRPr="001D7DDC" w:rsidRDefault="008D2069" w:rsidP="001D7DDC">
      <w:pPr>
        <w:spacing w:line="360" w:lineRule="auto"/>
        <w:rPr>
          <w:rFonts w:ascii="Arial" w:hAnsi="Arial" w:cs="Arial"/>
          <w:sz w:val="22"/>
          <w:szCs w:val="22"/>
        </w:rPr>
      </w:pPr>
      <w:r w:rsidRPr="001D7DDC">
        <w:rPr>
          <w:rFonts w:ascii="Arial" w:hAnsi="Arial" w:cs="Arial"/>
          <w:sz w:val="22"/>
          <w:szCs w:val="22"/>
        </w:rPr>
        <w:t xml:space="preserve">British Society for the History of Pharmacy (2026) </w:t>
      </w:r>
      <w:r w:rsidRPr="001D7DDC">
        <w:rPr>
          <w:rFonts w:ascii="Arial" w:hAnsi="Arial" w:cs="Arial"/>
          <w:i/>
          <w:iCs/>
          <w:sz w:val="22"/>
          <w:szCs w:val="22"/>
        </w:rPr>
        <w:t>History of Pharmacy in Great Britain</w:t>
      </w:r>
      <w:r w:rsidRPr="001D7DDC">
        <w:rPr>
          <w:rFonts w:ascii="Arial" w:hAnsi="Arial" w:cs="Arial"/>
          <w:sz w:val="22"/>
          <w:szCs w:val="22"/>
        </w:rPr>
        <w:t>. Available at: https://www.bshp.org/history-of-pharmacy (Accessed: 12 July 2026).</w:t>
      </w:r>
    </w:p>
    <w:p w14:paraId="1D753961" w14:textId="77777777" w:rsidR="008D2069" w:rsidRPr="001D7DDC" w:rsidRDefault="008D2069" w:rsidP="001D7DDC">
      <w:pPr>
        <w:spacing w:line="360" w:lineRule="auto"/>
        <w:rPr>
          <w:rFonts w:ascii="Arial" w:hAnsi="Arial" w:cs="Arial"/>
          <w:sz w:val="22"/>
          <w:szCs w:val="22"/>
        </w:rPr>
      </w:pPr>
      <w:r w:rsidRPr="001D7DDC">
        <w:rPr>
          <w:rFonts w:ascii="Arial" w:hAnsi="Arial" w:cs="Arial"/>
          <w:sz w:val="22"/>
          <w:szCs w:val="22"/>
        </w:rPr>
        <w:t xml:space="preserve">Community Pharmacy England (2026) </w:t>
      </w:r>
      <w:r w:rsidRPr="001D7DDC">
        <w:rPr>
          <w:rFonts w:ascii="Arial" w:hAnsi="Arial" w:cs="Arial"/>
          <w:i/>
          <w:iCs/>
          <w:sz w:val="22"/>
          <w:szCs w:val="22"/>
        </w:rPr>
        <w:t>What Pharmacies Do</w:t>
      </w:r>
      <w:r w:rsidRPr="001D7DDC">
        <w:rPr>
          <w:rFonts w:ascii="Arial" w:hAnsi="Arial" w:cs="Arial"/>
          <w:sz w:val="22"/>
          <w:szCs w:val="22"/>
        </w:rPr>
        <w:t>. Available at: https://cpe.org.uk (Accessed: 12 July 2026).</w:t>
      </w:r>
    </w:p>
    <w:p w14:paraId="3526F89C" w14:textId="77777777" w:rsidR="008D2069" w:rsidRPr="001D7DDC" w:rsidRDefault="008D2069" w:rsidP="001D7DDC">
      <w:pPr>
        <w:spacing w:line="360" w:lineRule="auto"/>
        <w:rPr>
          <w:rFonts w:ascii="Arial" w:hAnsi="Arial" w:cs="Arial"/>
          <w:sz w:val="22"/>
          <w:szCs w:val="22"/>
        </w:rPr>
      </w:pPr>
      <w:r w:rsidRPr="001D7DDC">
        <w:rPr>
          <w:rFonts w:ascii="Arial" w:hAnsi="Arial" w:cs="Arial"/>
          <w:sz w:val="22"/>
          <w:szCs w:val="22"/>
        </w:rPr>
        <w:t xml:space="preserve">Community Pharmacy England (2026) </w:t>
      </w:r>
      <w:r w:rsidRPr="001D7DDC">
        <w:rPr>
          <w:rFonts w:ascii="Arial" w:hAnsi="Arial" w:cs="Arial"/>
          <w:i/>
          <w:iCs/>
          <w:sz w:val="22"/>
          <w:szCs w:val="22"/>
        </w:rPr>
        <w:t>Pharmacy First Service</w:t>
      </w:r>
      <w:r w:rsidRPr="001D7DDC">
        <w:rPr>
          <w:rFonts w:ascii="Arial" w:hAnsi="Arial" w:cs="Arial"/>
          <w:sz w:val="22"/>
          <w:szCs w:val="22"/>
        </w:rPr>
        <w:t>. Available at: https://cpe.org.uk (Accessed: 12 July 2026).</w:t>
      </w:r>
    </w:p>
    <w:p w14:paraId="331C3F41" w14:textId="77777777" w:rsidR="008D2069" w:rsidRPr="001D7DDC" w:rsidRDefault="008D2069" w:rsidP="001D7DDC">
      <w:pPr>
        <w:spacing w:line="360" w:lineRule="auto"/>
        <w:rPr>
          <w:rFonts w:ascii="Arial" w:hAnsi="Arial" w:cs="Arial"/>
          <w:sz w:val="22"/>
          <w:szCs w:val="22"/>
        </w:rPr>
      </w:pPr>
      <w:r w:rsidRPr="001D7DDC">
        <w:rPr>
          <w:rFonts w:ascii="Arial" w:hAnsi="Arial" w:cs="Arial"/>
          <w:sz w:val="22"/>
          <w:szCs w:val="22"/>
        </w:rPr>
        <w:t xml:space="preserve">Kings Fund (2025) </w:t>
      </w:r>
      <w:r w:rsidRPr="001D7DDC">
        <w:rPr>
          <w:rFonts w:ascii="Arial" w:hAnsi="Arial" w:cs="Arial"/>
          <w:i/>
          <w:iCs/>
          <w:sz w:val="22"/>
          <w:szCs w:val="22"/>
        </w:rPr>
        <w:t>Community Pharmacy Explained</w:t>
      </w:r>
      <w:r w:rsidRPr="001D7DDC">
        <w:rPr>
          <w:rFonts w:ascii="Arial" w:hAnsi="Arial" w:cs="Arial"/>
          <w:sz w:val="22"/>
          <w:szCs w:val="22"/>
        </w:rPr>
        <w:t>. Available at: https://www.kingsfund.org.uk (Accessed: 12 July 2026).</w:t>
      </w:r>
    </w:p>
    <w:p w14:paraId="5DB37E7F" w14:textId="77777777" w:rsidR="008D2069" w:rsidRPr="001D7DDC" w:rsidRDefault="008D2069" w:rsidP="001D7DDC">
      <w:pPr>
        <w:spacing w:line="360" w:lineRule="auto"/>
        <w:rPr>
          <w:rFonts w:ascii="Arial" w:hAnsi="Arial" w:cs="Arial"/>
          <w:sz w:val="22"/>
          <w:szCs w:val="22"/>
        </w:rPr>
      </w:pPr>
      <w:r w:rsidRPr="001D7DDC">
        <w:rPr>
          <w:rFonts w:ascii="Arial" w:hAnsi="Arial" w:cs="Arial"/>
          <w:sz w:val="22"/>
          <w:szCs w:val="22"/>
        </w:rPr>
        <w:t xml:space="preserve">NHS England (2026) </w:t>
      </w:r>
      <w:r w:rsidRPr="001D7DDC">
        <w:rPr>
          <w:rFonts w:ascii="Arial" w:hAnsi="Arial" w:cs="Arial"/>
          <w:i/>
          <w:iCs/>
          <w:sz w:val="22"/>
          <w:szCs w:val="22"/>
        </w:rPr>
        <w:t>Pharmacy Services</w:t>
      </w:r>
      <w:r w:rsidRPr="001D7DDC">
        <w:rPr>
          <w:rFonts w:ascii="Arial" w:hAnsi="Arial" w:cs="Arial"/>
          <w:sz w:val="22"/>
          <w:szCs w:val="22"/>
        </w:rPr>
        <w:t>. Available at: https://www.england.nhs.uk (Accessed: 12 July 2026).</w:t>
      </w:r>
    </w:p>
    <w:p w14:paraId="4A08BED4" w14:textId="77777777" w:rsidR="008D2069" w:rsidRPr="001D7DDC" w:rsidRDefault="008D2069" w:rsidP="001D7DDC">
      <w:pPr>
        <w:spacing w:line="360" w:lineRule="auto"/>
        <w:rPr>
          <w:rFonts w:ascii="Arial" w:hAnsi="Arial" w:cs="Arial"/>
          <w:sz w:val="22"/>
          <w:szCs w:val="22"/>
        </w:rPr>
      </w:pPr>
      <w:r w:rsidRPr="001D7DDC">
        <w:rPr>
          <w:rFonts w:ascii="Arial" w:hAnsi="Arial" w:cs="Arial"/>
          <w:sz w:val="22"/>
          <w:szCs w:val="22"/>
        </w:rPr>
        <w:t xml:space="preserve">NHS England (2024) </w:t>
      </w:r>
      <w:r w:rsidRPr="001D7DDC">
        <w:rPr>
          <w:rFonts w:ascii="Arial" w:hAnsi="Arial" w:cs="Arial"/>
          <w:i/>
          <w:iCs/>
          <w:sz w:val="22"/>
          <w:szCs w:val="22"/>
        </w:rPr>
        <w:t>Pharmacy First</w:t>
      </w:r>
      <w:r w:rsidRPr="001D7DDC">
        <w:rPr>
          <w:rFonts w:ascii="Arial" w:hAnsi="Arial" w:cs="Arial"/>
          <w:sz w:val="22"/>
          <w:szCs w:val="22"/>
        </w:rPr>
        <w:t>. Available at: https://www.england.nhs.uk (Accessed: 12 July 2026).</w:t>
      </w:r>
    </w:p>
    <w:p w14:paraId="73E35348" w14:textId="453557B4" w:rsidR="001400D5" w:rsidRPr="001D7DDC" w:rsidRDefault="008D2069" w:rsidP="001D7DDC">
      <w:pPr>
        <w:spacing w:line="360" w:lineRule="auto"/>
        <w:rPr>
          <w:rFonts w:ascii="Arial" w:hAnsi="Arial" w:cs="Arial"/>
          <w:sz w:val="22"/>
          <w:szCs w:val="22"/>
        </w:rPr>
      </w:pPr>
      <w:r w:rsidRPr="001D7DDC">
        <w:rPr>
          <w:rFonts w:ascii="Arial" w:hAnsi="Arial" w:cs="Arial"/>
          <w:sz w:val="22"/>
          <w:szCs w:val="22"/>
        </w:rPr>
        <w:t xml:space="preserve">Royal Pharmaceutical Society (2026) </w:t>
      </w:r>
      <w:r w:rsidRPr="001D7DDC">
        <w:rPr>
          <w:rFonts w:ascii="Arial" w:hAnsi="Arial" w:cs="Arial"/>
          <w:i/>
          <w:iCs/>
          <w:sz w:val="22"/>
          <w:szCs w:val="22"/>
        </w:rPr>
        <w:t>The History of the Royal Pharmaceutical Society</w:t>
      </w:r>
      <w:r w:rsidRPr="001D7DDC">
        <w:rPr>
          <w:rFonts w:ascii="Arial" w:hAnsi="Arial" w:cs="Arial"/>
          <w:sz w:val="22"/>
          <w:szCs w:val="22"/>
        </w:rPr>
        <w:t>. Available at: https://membership.rcpharm.org/history (Accessed: 12 July 2026).</w:t>
      </w:r>
    </w:p>
    <w:sectPr w:rsidR="001400D5" w:rsidRPr="001D7D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72A58" w14:textId="77777777" w:rsidR="00142E34" w:rsidRDefault="00142E34">
      <w:pPr>
        <w:spacing w:after="0" w:line="240" w:lineRule="auto"/>
      </w:pPr>
      <w:r>
        <w:separator/>
      </w:r>
    </w:p>
  </w:endnote>
  <w:endnote w:type="continuationSeparator" w:id="0">
    <w:p w14:paraId="4CA0045B" w14:textId="77777777" w:rsidR="00142E34" w:rsidRDefault="00142E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B945BA" w14:textId="77777777" w:rsidR="00934BA7" w:rsidRDefault="00934BA7">
    <w:pPr>
      <w:pStyle w:val="Footer"/>
      <w:jc w:val="right"/>
    </w:pPr>
  </w:p>
  <w:p w14:paraId="59B4B355" w14:textId="77777777" w:rsidR="00934BA7" w:rsidRDefault="00934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CD3FC" w14:textId="77777777" w:rsidR="00142E34" w:rsidRDefault="00142E34">
      <w:pPr>
        <w:spacing w:after="0" w:line="240" w:lineRule="auto"/>
      </w:pPr>
      <w:r>
        <w:separator/>
      </w:r>
    </w:p>
  </w:footnote>
  <w:footnote w:type="continuationSeparator" w:id="0">
    <w:p w14:paraId="46F0DB1F" w14:textId="77777777" w:rsidR="00142E34" w:rsidRDefault="00142E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D33356" w14:textId="77777777" w:rsidR="00934BA7" w:rsidRDefault="00934BA7" w:rsidP="00BE6BE0">
    <w:pPr>
      <w:pStyle w:val="Header"/>
      <w:ind w:left="11520"/>
    </w:pPr>
    <w:r>
      <w:rPr>
        <w:noProof/>
      </w:rPr>
      <w:drawing>
        <wp:inline distT="0" distB="0" distL="0" distR="0" wp14:anchorId="4828CB60" wp14:editId="600EED7A">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438"/>
    <w:rsid w:val="0004274E"/>
    <w:rsid w:val="00043BD5"/>
    <w:rsid w:val="00076281"/>
    <w:rsid w:val="0011691C"/>
    <w:rsid w:val="001400D5"/>
    <w:rsid w:val="00142E34"/>
    <w:rsid w:val="00143F64"/>
    <w:rsid w:val="0015747E"/>
    <w:rsid w:val="00162DB0"/>
    <w:rsid w:val="001C4999"/>
    <w:rsid w:val="001D7C9E"/>
    <w:rsid w:val="001D7DDC"/>
    <w:rsid w:val="002C1397"/>
    <w:rsid w:val="00350F09"/>
    <w:rsid w:val="00354080"/>
    <w:rsid w:val="00381F93"/>
    <w:rsid w:val="003D06DE"/>
    <w:rsid w:val="00402E38"/>
    <w:rsid w:val="0057708A"/>
    <w:rsid w:val="0058024B"/>
    <w:rsid w:val="00693A11"/>
    <w:rsid w:val="00701E07"/>
    <w:rsid w:val="007D67A6"/>
    <w:rsid w:val="00885D6B"/>
    <w:rsid w:val="008D2069"/>
    <w:rsid w:val="008D4F64"/>
    <w:rsid w:val="00934BA7"/>
    <w:rsid w:val="009D1438"/>
    <w:rsid w:val="009E6E97"/>
    <w:rsid w:val="00A70C7A"/>
    <w:rsid w:val="00A95B62"/>
    <w:rsid w:val="00B00624"/>
    <w:rsid w:val="00B54A5B"/>
    <w:rsid w:val="00C21DF3"/>
    <w:rsid w:val="00C416D5"/>
    <w:rsid w:val="00C81C18"/>
    <w:rsid w:val="00C95E9A"/>
    <w:rsid w:val="00CD1531"/>
    <w:rsid w:val="00CF0E80"/>
    <w:rsid w:val="00DE56C2"/>
    <w:rsid w:val="00E05521"/>
    <w:rsid w:val="00E35A15"/>
    <w:rsid w:val="00EA3A95"/>
    <w:rsid w:val="00F83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4C6EF"/>
  <w15:chartTrackingRefBased/>
  <w15:docId w15:val="{EBFEE779-81FE-42DC-8B4D-7D51A02D8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4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14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14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14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14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14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4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4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4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4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14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14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14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14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14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4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4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438"/>
    <w:rPr>
      <w:rFonts w:eastAsiaTheme="majorEastAsia" w:cstheme="majorBidi"/>
      <w:color w:val="272727" w:themeColor="text1" w:themeTint="D8"/>
    </w:rPr>
  </w:style>
  <w:style w:type="paragraph" w:styleId="Title">
    <w:name w:val="Title"/>
    <w:basedOn w:val="Normal"/>
    <w:next w:val="Normal"/>
    <w:link w:val="TitleChar"/>
    <w:uiPriority w:val="10"/>
    <w:qFormat/>
    <w:rsid w:val="009D14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4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4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4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438"/>
    <w:pPr>
      <w:spacing w:before="160"/>
      <w:jc w:val="center"/>
    </w:pPr>
    <w:rPr>
      <w:i/>
      <w:iCs/>
      <w:color w:val="404040" w:themeColor="text1" w:themeTint="BF"/>
    </w:rPr>
  </w:style>
  <w:style w:type="character" w:customStyle="1" w:styleId="QuoteChar">
    <w:name w:val="Quote Char"/>
    <w:basedOn w:val="DefaultParagraphFont"/>
    <w:link w:val="Quote"/>
    <w:uiPriority w:val="29"/>
    <w:rsid w:val="009D1438"/>
    <w:rPr>
      <w:i/>
      <w:iCs/>
      <w:color w:val="404040" w:themeColor="text1" w:themeTint="BF"/>
    </w:rPr>
  </w:style>
  <w:style w:type="paragraph" w:styleId="ListParagraph">
    <w:name w:val="List Paragraph"/>
    <w:basedOn w:val="Normal"/>
    <w:uiPriority w:val="34"/>
    <w:qFormat/>
    <w:rsid w:val="009D1438"/>
    <w:pPr>
      <w:ind w:left="720"/>
      <w:contextualSpacing/>
    </w:pPr>
  </w:style>
  <w:style w:type="character" w:styleId="IntenseEmphasis">
    <w:name w:val="Intense Emphasis"/>
    <w:basedOn w:val="DefaultParagraphFont"/>
    <w:uiPriority w:val="21"/>
    <w:qFormat/>
    <w:rsid w:val="009D1438"/>
    <w:rPr>
      <w:i/>
      <w:iCs/>
      <w:color w:val="0F4761" w:themeColor="accent1" w:themeShade="BF"/>
    </w:rPr>
  </w:style>
  <w:style w:type="paragraph" w:styleId="IntenseQuote">
    <w:name w:val="Intense Quote"/>
    <w:basedOn w:val="Normal"/>
    <w:next w:val="Normal"/>
    <w:link w:val="IntenseQuoteChar"/>
    <w:uiPriority w:val="30"/>
    <w:qFormat/>
    <w:rsid w:val="009D14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1438"/>
    <w:rPr>
      <w:i/>
      <w:iCs/>
      <w:color w:val="0F4761" w:themeColor="accent1" w:themeShade="BF"/>
    </w:rPr>
  </w:style>
  <w:style w:type="character" w:styleId="IntenseReference">
    <w:name w:val="Intense Reference"/>
    <w:basedOn w:val="DefaultParagraphFont"/>
    <w:uiPriority w:val="32"/>
    <w:qFormat/>
    <w:rsid w:val="009D1438"/>
    <w:rPr>
      <w:b/>
      <w:bCs/>
      <w:smallCaps/>
      <w:color w:val="0F4761" w:themeColor="accent1" w:themeShade="BF"/>
      <w:spacing w:val="5"/>
    </w:rPr>
  </w:style>
  <w:style w:type="paragraph" w:styleId="Header">
    <w:name w:val="header"/>
    <w:basedOn w:val="Normal"/>
    <w:link w:val="HeaderChar"/>
    <w:uiPriority w:val="99"/>
    <w:unhideWhenUsed/>
    <w:rsid w:val="00934BA7"/>
    <w:pPr>
      <w:tabs>
        <w:tab w:val="center" w:pos="4513"/>
        <w:tab w:val="right" w:pos="9026"/>
      </w:tabs>
      <w:spacing w:after="0" w:line="240" w:lineRule="auto"/>
    </w:pPr>
    <w:rPr>
      <w:rFonts w:eastAsiaTheme="minorEastAsia"/>
      <w:kern w:val="0"/>
      <w:sz w:val="22"/>
      <w:szCs w:val="22"/>
      <w:lang w:eastAsia="zh-CN"/>
      <w14:ligatures w14:val="none"/>
    </w:rPr>
  </w:style>
  <w:style w:type="character" w:customStyle="1" w:styleId="HeaderChar">
    <w:name w:val="Header Char"/>
    <w:basedOn w:val="DefaultParagraphFont"/>
    <w:link w:val="Header"/>
    <w:uiPriority w:val="99"/>
    <w:rsid w:val="00934BA7"/>
    <w:rPr>
      <w:rFonts w:eastAsiaTheme="minorEastAsia"/>
      <w:kern w:val="0"/>
      <w:sz w:val="22"/>
      <w:szCs w:val="22"/>
      <w:lang w:eastAsia="zh-CN"/>
      <w14:ligatures w14:val="none"/>
    </w:rPr>
  </w:style>
  <w:style w:type="paragraph" w:styleId="Footer">
    <w:name w:val="footer"/>
    <w:basedOn w:val="Normal"/>
    <w:link w:val="FooterChar"/>
    <w:uiPriority w:val="99"/>
    <w:unhideWhenUsed/>
    <w:rsid w:val="00934BA7"/>
    <w:pPr>
      <w:tabs>
        <w:tab w:val="center" w:pos="4513"/>
        <w:tab w:val="right" w:pos="9026"/>
      </w:tabs>
      <w:spacing w:after="0" w:line="240" w:lineRule="auto"/>
    </w:pPr>
    <w:rPr>
      <w:rFonts w:eastAsiaTheme="minorEastAsia"/>
      <w:kern w:val="0"/>
      <w:sz w:val="22"/>
      <w:szCs w:val="22"/>
      <w:lang w:eastAsia="zh-CN"/>
      <w14:ligatures w14:val="none"/>
    </w:rPr>
  </w:style>
  <w:style w:type="character" w:customStyle="1" w:styleId="FooterChar">
    <w:name w:val="Footer Char"/>
    <w:basedOn w:val="DefaultParagraphFont"/>
    <w:link w:val="Footer"/>
    <w:uiPriority w:val="99"/>
    <w:rsid w:val="00934BA7"/>
    <w:rPr>
      <w:rFonts w:eastAsiaTheme="minorEastAsia"/>
      <w:kern w:val="0"/>
      <w:sz w:val="22"/>
      <w:szCs w:val="22"/>
      <w:lang w:eastAsia="zh-CN"/>
      <w14:ligatures w14:val="none"/>
    </w:rPr>
  </w:style>
  <w:style w:type="character" w:styleId="Hyperlink">
    <w:name w:val="Hyperlink"/>
    <w:basedOn w:val="DefaultParagraphFont"/>
    <w:uiPriority w:val="99"/>
    <w:unhideWhenUsed/>
    <w:rsid w:val="00350F09"/>
    <w:rPr>
      <w:color w:val="467886" w:themeColor="hyperlink"/>
      <w:u w:val="single"/>
    </w:rPr>
  </w:style>
  <w:style w:type="character" w:styleId="UnresolvedMention">
    <w:name w:val="Unresolved Mention"/>
    <w:basedOn w:val="DefaultParagraphFont"/>
    <w:uiPriority w:val="99"/>
    <w:semiHidden/>
    <w:unhideWhenUsed/>
    <w:rsid w:val="00F83F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istoricengland.org.uk/research/inclusive-heritage/disability-history/1945-to-the-present-day/"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historicengland.org.uk/research/inclusive-heritage/disability-history/1945-to-the-present-da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navigator.health.org.uk/theme/national-health-service-and-community-care-act-1990" TargetMode="Externa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egislation.gov.uk/ukpga/1990/19/content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9" ma:contentTypeDescription="Create a new document." ma:contentTypeScope="" ma:versionID="ab4b2a340ea862dc0c835084603120cd">
  <xsd:schema xmlns:xsd="http://www.w3.org/2001/XMLSchema" xmlns:xs="http://www.w3.org/2001/XMLSchema" xmlns:p="http://schemas.microsoft.com/office/2006/metadata/properties" xmlns:ns3="3a45fc47-eb9b-4e12-9db8-9c54afcdd495" targetNamespace="http://schemas.microsoft.com/office/2006/metadata/properties" ma:root="true" ma:fieldsID="b9d03cf3d06800becc8a55bf60b70b54"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7042D0-5BEC-4A6A-9536-6B719369EF7E}">
  <ds:schemaRefs>
    <ds:schemaRef ds:uri="http://schemas.microsoft.com/office/2006/metadata/properties"/>
    <ds:schemaRef ds:uri="http://schemas.microsoft.com/office/infopath/2007/PartnerControls"/>
    <ds:schemaRef ds:uri="3a45fc47-eb9b-4e12-9db8-9c54afcdd495"/>
  </ds:schemaRefs>
</ds:datastoreItem>
</file>

<file path=customXml/itemProps2.xml><?xml version="1.0" encoding="utf-8"?>
<ds:datastoreItem xmlns:ds="http://schemas.openxmlformats.org/officeDocument/2006/customXml" ds:itemID="{E4E0229D-7CF7-4474-8F1E-4E7391CF2B37}">
  <ds:schemaRefs>
    <ds:schemaRef ds:uri="http://schemas.microsoft.com/sharepoint/v3/contenttype/forms"/>
  </ds:schemaRefs>
</ds:datastoreItem>
</file>

<file path=customXml/itemProps3.xml><?xml version="1.0" encoding="utf-8"?>
<ds:datastoreItem xmlns:ds="http://schemas.openxmlformats.org/officeDocument/2006/customXml" ds:itemID="{2E6CE5B5-27B7-4C3A-95F7-63A9CCF29C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1170</Words>
  <Characters>6672</Characters>
  <Application>Microsoft Office Word</Application>
  <DocSecurity>0</DocSecurity>
  <Lines>55</Lines>
  <Paragraphs>15</Paragraphs>
  <ScaleCrop>false</ScaleCrop>
  <Company/>
  <LinksUpToDate>false</LinksUpToDate>
  <CharactersWithSpaces>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Tambot Catacutan (2530824)</dc:creator>
  <cp:keywords/>
  <dc:description/>
  <cp:lastModifiedBy>Catherine Tambot Catacutan (2530824)</cp:lastModifiedBy>
  <cp:revision>2</cp:revision>
  <dcterms:created xsi:type="dcterms:W3CDTF">2026-07-19T16:42:00Z</dcterms:created>
  <dcterms:modified xsi:type="dcterms:W3CDTF">2026-07-19T16:42:00Z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