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C8E94C" w14:textId="77777777" w:rsidR="005A6148" w:rsidRDefault="005A6148" w:rsidP="00CA3C8C">
      <w:pPr>
        <w:jc w:val="center"/>
        <w:rPr>
          <w:rFonts w:ascii="Times New Roman" w:hAnsi="Times New Roman" w:cs="Times New Roman"/>
          <w:sz w:val="40"/>
          <w:szCs w:val="40"/>
        </w:rPr>
      </w:pPr>
    </w:p>
    <w:p w14:paraId="5E4235FD" w14:textId="684BE609" w:rsidR="005A6148" w:rsidRDefault="005A6148" w:rsidP="00CA3C8C">
      <w:pPr>
        <w:jc w:val="center"/>
        <w:rPr>
          <w:rFonts w:ascii="Times New Roman" w:hAnsi="Times New Roman" w:cs="Times New Roman"/>
          <w:sz w:val="40"/>
          <w:szCs w:val="40"/>
        </w:rPr>
      </w:pPr>
      <w:bookmarkStart w:id="0" w:name="_Hlk184315555"/>
      <w:r>
        <w:rPr>
          <w:rFonts w:ascii="Times New Roman" w:hAnsi="Times New Roman" w:cs="Times New Roman"/>
          <w:sz w:val="40"/>
          <w:szCs w:val="40"/>
        </w:rPr>
        <w:t>PAVLINA  BALAZOVA</w:t>
      </w:r>
    </w:p>
    <w:p w14:paraId="15B1CCFD" w14:textId="46A135F1" w:rsidR="005A6148" w:rsidRDefault="005A6148" w:rsidP="00CA3C8C">
      <w:pPr>
        <w:jc w:val="center"/>
        <w:rPr>
          <w:rFonts w:ascii="Times New Roman" w:hAnsi="Times New Roman" w:cs="Times New Roman"/>
          <w:sz w:val="40"/>
          <w:szCs w:val="40"/>
        </w:rPr>
      </w:pPr>
      <w:r>
        <w:rPr>
          <w:rFonts w:ascii="Times New Roman" w:hAnsi="Times New Roman" w:cs="Times New Roman"/>
          <w:sz w:val="40"/>
          <w:szCs w:val="40"/>
        </w:rPr>
        <w:t>Introduction to New Testament</w:t>
      </w:r>
    </w:p>
    <w:p w14:paraId="2A09A8E6" w14:textId="34DA7E11" w:rsidR="00A76A3F" w:rsidRDefault="00A76A3F" w:rsidP="005A6148">
      <w:pPr>
        <w:rPr>
          <w:rFonts w:ascii="Times New Roman" w:hAnsi="Times New Roman" w:cs="Times New Roman"/>
          <w:sz w:val="40"/>
          <w:szCs w:val="40"/>
        </w:rPr>
      </w:pPr>
      <w:r>
        <w:rPr>
          <w:rFonts w:ascii="Times New Roman" w:hAnsi="Times New Roman" w:cs="Times New Roman"/>
          <w:sz w:val="40"/>
          <w:szCs w:val="40"/>
        </w:rPr>
        <w:t xml:space="preserve">                               </w:t>
      </w:r>
      <w:r w:rsidR="00CA3C8C" w:rsidRPr="0034040D">
        <w:rPr>
          <w:rFonts w:ascii="Times New Roman" w:hAnsi="Times New Roman" w:cs="Times New Roman"/>
          <w:sz w:val="40"/>
          <w:szCs w:val="40"/>
        </w:rPr>
        <w:t>Part A</w:t>
      </w:r>
      <w:r>
        <w:rPr>
          <w:rFonts w:ascii="Times New Roman" w:hAnsi="Times New Roman" w:cs="Times New Roman"/>
          <w:sz w:val="40"/>
          <w:szCs w:val="40"/>
        </w:rPr>
        <w:t xml:space="preserve"> – Portfolio </w:t>
      </w:r>
    </w:p>
    <w:bookmarkEnd w:id="0"/>
    <w:p w14:paraId="7C1E387E" w14:textId="5175FD44" w:rsidR="00974E63" w:rsidRPr="0034040D" w:rsidRDefault="00CA3C8C" w:rsidP="005A6148">
      <w:pPr>
        <w:rPr>
          <w:rFonts w:ascii="Times New Roman" w:hAnsi="Times New Roman" w:cs="Times New Roman"/>
          <w:sz w:val="40"/>
          <w:szCs w:val="40"/>
        </w:rPr>
      </w:pPr>
      <w:r w:rsidRPr="0034040D">
        <w:rPr>
          <w:rFonts w:ascii="Times New Roman" w:hAnsi="Times New Roman" w:cs="Times New Roman"/>
          <w:sz w:val="40"/>
          <w:szCs w:val="40"/>
        </w:rPr>
        <w:t xml:space="preserve"> </w:t>
      </w:r>
      <w:r w:rsidR="00A76A3F">
        <w:rPr>
          <w:rFonts w:ascii="Times New Roman" w:hAnsi="Times New Roman" w:cs="Times New Roman"/>
          <w:sz w:val="40"/>
          <w:szCs w:val="40"/>
        </w:rPr>
        <w:t xml:space="preserve">                  </w:t>
      </w:r>
      <w:r w:rsidRPr="0034040D">
        <w:rPr>
          <w:rFonts w:ascii="Times New Roman" w:hAnsi="Times New Roman" w:cs="Times New Roman"/>
          <w:sz w:val="40"/>
          <w:szCs w:val="40"/>
        </w:rPr>
        <w:t xml:space="preserve">Textual Analysis of Acts 2:1–13 (The Holy </w:t>
      </w:r>
      <w:r w:rsidR="00A76A3F">
        <w:rPr>
          <w:rFonts w:ascii="Times New Roman" w:hAnsi="Times New Roman" w:cs="Times New Roman"/>
          <w:sz w:val="40"/>
          <w:szCs w:val="40"/>
        </w:rPr>
        <w:t xml:space="preserve">   </w:t>
      </w:r>
      <w:r w:rsidRPr="0034040D">
        <w:rPr>
          <w:rFonts w:ascii="Times New Roman" w:hAnsi="Times New Roman" w:cs="Times New Roman"/>
          <w:sz w:val="40"/>
          <w:szCs w:val="40"/>
        </w:rPr>
        <w:t>Spirit Comes at Pentecost)</w:t>
      </w:r>
    </w:p>
    <w:p w14:paraId="7BF63E83" w14:textId="77777777" w:rsidR="00CA3C8C" w:rsidRDefault="00CA3C8C" w:rsidP="00CA3C8C">
      <w:pPr>
        <w:jc w:val="center"/>
        <w:rPr>
          <w:rFonts w:ascii="Times New Roman" w:hAnsi="Times New Roman" w:cs="Times New Roman"/>
          <w:sz w:val="28"/>
          <w:szCs w:val="28"/>
        </w:rPr>
      </w:pPr>
    </w:p>
    <w:p w14:paraId="2EC676FB" w14:textId="77777777" w:rsidR="00CA3C8C" w:rsidRDefault="00CA3C8C" w:rsidP="00CA3C8C">
      <w:pPr>
        <w:jc w:val="center"/>
        <w:rPr>
          <w:rFonts w:ascii="Times New Roman" w:hAnsi="Times New Roman" w:cs="Times New Roman"/>
          <w:sz w:val="28"/>
          <w:szCs w:val="28"/>
        </w:rPr>
      </w:pPr>
    </w:p>
    <w:p w14:paraId="7DB765C0" w14:textId="77777777" w:rsidR="0070631D" w:rsidRPr="0070631D" w:rsidRDefault="0070631D" w:rsidP="0070631D">
      <w:pPr>
        <w:rPr>
          <w:rFonts w:ascii="Times New Roman" w:hAnsi="Times New Roman" w:cs="Times New Roman"/>
          <w:sz w:val="32"/>
          <w:szCs w:val="32"/>
        </w:rPr>
      </w:pPr>
      <w:r w:rsidRPr="0070631D">
        <w:rPr>
          <w:rFonts w:ascii="Times New Roman" w:hAnsi="Times New Roman" w:cs="Times New Roman"/>
          <w:sz w:val="32"/>
          <w:szCs w:val="32"/>
        </w:rPr>
        <w:t>Introduction</w:t>
      </w:r>
    </w:p>
    <w:p w14:paraId="7FC7668A" w14:textId="46DAA87D" w:rsidR="0070631D" w:rsidRDefault="0070631D" w:rsidP="0070631D">
      <w:pPr>
        <w:rPr>
          <w:rFonts w:ascii="Times New Roman" w:hAnsi="Times New Roman" w:cs="Times New Roman"/>
        </w:rPr>
      </w:pPr>
      <w:r w:rsidRPr="0070631D">
        <w:rPr>
          <w:rFonts w:ascii="Times New Roman" w:hAnsi="Times New Roman" w:cs="Times New Roman"/>
        </w:rPr>
        <w:t>Acts 2:1–13 represent a watershed moment in the New Testament: the coming of the Holy Spirit at Pentecost. This motif represents the birth of the Church, the fulfilment of Jesus’ promise of the Spirit (John 14:16–17; Acts 1:8), and provides the empowerment of the disciples to continue their mission. This study examines the historical, literary, and theological aspects of the passage, considering its impact on early Christianity and its lasting significance.</w:t>
      </w:r>
    </w:p>
    <w:p w14:paraId="09468B8F" w14:textId="77777777" w:rsidR="0070631D" w:rsidRPr="0070631D" w:rsidRDefault="0070631D" w:rsidP="0070631D">
      <w:pPr>
        <w:rPr>
          <w:rFonts w:ascii="Times New Roman" w:hAnsi="Times New Roman" w:cs="Times New Roman"/>
        </w:rPr>
      </w:pPr>
    </w:p>
    <w:p w14:paraId="1FB5BCA3" w14:textId="37AC895F" w:rsidR="0070631D" w:rsidRPr="0070631D" w:rsidRDefault="0070631D" w:rsidP="0070631D">
      <w:pPr>
        <w:rPr>
          <w:rFonts w:ascii="Times New Roman" w:hAnsi="Times New Roman" w:cs="Times New Roman"/>
          <w:sz w:val="32"/>
          <w:szCs w:val="32"/>
        </w:rPr>
      </w:pPr>
      <w:r w:rsidRPr="0070631D">
        <w:rPr>
          <w:rFonts w:ascii="Times New Roman" w:hAnsi="Times New Roman" w:cs="Times New Roman"/>
          <w:sz w:val="32"/>
          <w:szCs w:val="32"/>
        </w:rPr>
        <w:t>1.Context of Passage</w:t>
      </w:r>
    </w:p>
    <w:p w14:paraId="1A128079"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Acts 2:1–13 occur not long after Jesus’ ascension (Acts 1:9–11) and after Matthias’ filling to take Judas’ place (Acts 1:15–26). Jesus said to His disciples: wait in Jerusalem for the promised gift of the Holy Spirit.</w:t>
      </w:r>
    </w:p>
    <w:p w14:paraId="52D771D4" w14:textId="77777777" w:rsidR="0070631D" w:rsidRDefault="0070631D" w:rsidP="0070631D">
      <w:pPr>
        <w:rPr>
          <w:rFonts w:ascii="Times New Roman" w:hAnsi="Times New Roman" w:cs="Times New Roman"/>
        </w:rPr>
      </w:pPr>
      <w:r w:rsidRPr="0070631D">
        <w:rPr>
          <w:rFonts w:ascii="Times New Roman" w:hAnsi="Times New Roman" w:cs="Times New Roman"/>
        </w:rPr>
        <w:t>Pentecost (Greek: πεντηκοστή), originally a Jewish festival called the Feast of Weeks (Hebrew: שבועות) that commemorated the harvest and the giving of the Law at Mount Sinai. Its timing, 50 days later than Passover, highlights the relationship between Jesus’ resurrection and the coming of the Spirit.</w:t>
      </w:r>
    </w:p>
    <w:p w14:paraId="7F63AAA7" w14:textId="77777777" w:rsidR="0070631D" w:rsidRPr="0070631D" w:rsidRDefault="0070631D" w:rsidP="0070631D">
      <w:pPr>
        <w:rPr>
          <w:rFonts w:ascii="Times New Roman" w:hAnsi="Times New Roman" w:cs="Times New Roman"/>
        </w:rPr>
      </w:pPr>
    </w:p>
    <w:p w14:paraId="16B3241E" w14:textId="19B84AC2" w:rsidR="0070631D" w:rsidRPr="0070631D" w:rsidRDefault="0070631D" w:rsidP="0070631D">
      <w:pPr>
        <w:rPr>
          <w:rFonts w:ascii="Times New Roman" w:hAnsi="Times New Roman" w:cs="Times New Roman"/>
          <w:sz w:val="32"/>
          <w:szCs w:val="32"/>
        </w:rPr>
      </w:pPr>
      <w:r w:rsidRPr="0070631D">
        <w:rPr>
          <w:rFonts w:ascii="Times New Roman" w:hAnsi="Times New Roman" w:cs="Times New Roman"/>
          <w:sz w:val="32"/>
          <w:szCs w:val="32"/>
        </w:rPr>
        <w:t>2.Textual Analysis</w:t>
      </w:r>
    </w:p>
    <w:p w14:paraId="717D4266"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2.1. The Descent of the Holy Spirit (Atos 2:1–4)</w:t>
      </w:r>
    </w:p>
    <w:p w14:paraId="6D694966"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 xml:space="preserve">“They were all together in one place on Pentecost’s day.” When the day of Pentecost came, they were all together in one place; 2 suddenly, a sound like the blowing of a violent wind came from heaven and filled the whole house where they were sitting. They saw what appeared to be the tongues of fire that separated them, and came to rest on each of them. </w:t>
      </w:r>
      <w:r w:rsidRPr="0070631D">
        <w:rPr>
          <w:rFonts w:ascii="Times New Roman" w:hAnsi="Times New Roman" w:cs="Times New Roman"/>
        </w:rPr>
        <w:lastRenderedPageBreak/>
        <w:t>They were all filled with the Holy Spirit and began to speak in other tongues, as the Spirit inspired them."</w:t>
      </w:r>
    </w:p>
    <w:p w14:paraId="7B31C21E"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Unity of the Disciples: The “all together in one place” is a special definition that focuses on the community form of the early Church, before empowering them collectively.</w:t>
      </w:r>
    </w:p>
    <w:p w14:paraId="3EF0E0AD"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“Like a violent wind”: In both Hebrew (ruach) and Greek (pneuma), wind imagery is used to refer to the Spirit. It represents divine presence and power (Ezekiel 37:9–10; John 3:8).</w:t>
      </w:r>
    </w:p>
    <w:p w14:paraId="39E8165A"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“Tongues of fire”: Fire represents cleansing and God’s presence (Exode 3:2; Is 6: 6-7). The tongues that rest on each disciple represent individual empowerment for the mission.</w:t>
      </w:r>
    </w:p>
    <w:p w14:paraId="17AE5BCE"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Speaking in tongues: The gift of different tongues is a sign of the Spirit’s power and foreshadows the universal mission of the Church (Mt 28:19).</w:t>
      </w:r>
    </w:p>
    <w:p w14:paraId="1704B0E6"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2.2. The Response of the Multitude (Acts 2:5–8)</w:t>
      </w:r>
    </w:p>
    <w:p w14:paraId="2A0330D6"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“Now there were staying in Jerusalem, God-fearing Jews from every nation under heaven. At this sound, the multitude came together and confused because each one heard their own language being spoken. Amazed, they asked: ‘Aren’t all these Galileans speaking?’ So, how do we hear them in our own language? "</w:t>
      </w:r>
    </w:p>
    <w:p w14:paraId="57754DF1"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God fearers of every nation, — This highlights the cosmopolitan nature of the body and represents the universal focus of the Gospel.</w:t>
      </w:r>
    </w:p>
    <w:p w14:paraId="4A3C0C56"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Language and understanding: The wonder of hearing in one’s native tongue counteracts the confusion of languages at Babel (Gen 11:1–9), signifying the Spirit’s part in taking humanity and putting it under God’s reign.</w:t>
      </w:r>
    </w:p>
    <w:p w14:paraId="7CB22DC2"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2.3. List of Nations (Acts 2:9–11)</w:t>
      </w:r>
    </w:p>
    <w:p w14:paraId="5A92689B"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“Parthians, Medes and Elamites; residents of Mesopotamia, Judea and Cappadocia, Pontus and Asia, Phrygia and Pamphylia, Egypt and the parts of Libya near Cyrene; visitors from Rome (both Jews and converts to Judaism); Cretans and Arabs — we hear them declaring the wonders of God in our own tongues!”</w:t>
      </w:r>
    </w:p>
    <w:p w14:paraId="3DC3E956"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The geographical list: This list encompasses lands throughout the Roman Empire and beyond, indicating the Global scope of the Gospel.</w:t>
      </w:r>
    </w:p>
    <w:p w14:paraId="1FDB58B8"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“Announcing God's wonders”: The disciples’ proclamation aligns with the Old Testament tradition of praising God’s mighty acts (Psalm 105:1–5).</w:t>
      </w:r>
    </w:p>
    <w:p w14:paraId="3CE74178"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2.4. Reactions to the Event (Acts 2:12–13)</w:t>
      </w:r>
    </w:p>
    <w:p w14:paraId="0EC75C08"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“Astonished and amazed, they asked, ‘What does this mean?’ Many mocked them and said: 'They have had too much wine.’” "</w:t>
      </w:r>
    </w:p>
    <w:p w14:paraId="112264AB"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Astonishment and confusion: The crowd’s response reflects the disruptive yet awe-inspiring nature of Spirit’s actions.</w:t>
      </w:r>
    </w:p>
    <w:p w14:paraId="6F7CABB7" w14:textId="77777777" w:rsidR="0070631D" w:rsidRDefault="0070631D" w:rsidP="0070631D">
      <w:pPr>
        <w:rPr>
          <w:rFonts w:ascii="Times New Roman" w:hAnsi="Times New Roman" w:cs="Times New Roman"/>
        </w:rPr>
      </w:pPr>
      <w:r w:rsidRPr="0070631D">
        <w:rPr>
          <w:rFonts w:ascii="Times New Roman" w:hAnsi="Times New Roman" w:cs="Times New Roman"/>
        </w:rPr>
        <w:t>Mockery: Religious Leaders dismiss the apostles as drunkards and anticipate the mockery of the early Church</w:t>
      </w:r>
    </w:p>
    <w:p w14:paraId="1BB2CD05" w14:textId="77777777" w:rsidR="0070631D" w:rsidRDefault="0070631D" w:rsidP="0070631D">
      <w:pPr>
        <w:rPr>
          <w:rFonts w:ascii="Times New Roman" w:hAnsi="Times New Roman" w:cs="Times New Roman"/>
        </w:rPr>
      </w:pPr>
    </w:p>
    <w:p w14:paraId="290FCAF9" w14:textId="008DABC2" w:rsidR="0070631D" w:rsidRPr="0070631D" w:rsidRDefault="0070631D" w:rsidP="0070631D">
      <w:pPr>
        <w:rPr>
          <w:rFonts w:ascii="Times New Roman" w:hAnsi="Times New Roman" w:cs="Times New Roman"/>
          <w:sz w:val="32"/>
          <w:szCs w:val="32"/>
        </w:rPr>
      </w:pPr>
      <w:r w:rsidRPr="0070631D">
        <w:rPr>
          <w:rFonts w:ascii="Times New Roman" w:hAnsi="Times New Roman" w:cs="Times New Roman"/>
          <w:sz w:val="32"/>
          <w:szCs w:val="32"/>
        </w:rPr>
        <w:t>3.Theological Themes</w:t>
      </w:r>
    </w:p>
    <w:p w14:paraId="5DEA80FB"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3.1. The fulfillment of prophecy The Pentecost event fulfills prophecy found in the Old Testament, especially Joel 2:28–32, in which God says he will pour his Spirit on all people. This revelation underscores the continuity of Israel’s covenantal history and the Church’s mission.</w:t>
      </w:r>
    </w:p>
    <w:p w14:paraId="086304D0" w14:textId="77777777" w:rsidR="0070631D" w:rsidRPr="0070631D" w:rsidRDefault="0070631D" w:rsidP="0070631D">
      <w:pPr>
        <w:rPr>
          <w:rFonts w:ascii="Times New Roman" w:hAnsi="Times New Roman" w:cs="Times New Roman"/>
        </w:rPr>
      </w:pPr>
      <w:r w:rsidRPr="0070631D">
        <w:rPr>
          <w:rFonts w:ascii="Times New Roman" w:hAnsi="Times New Roman" w:cs="Times New Roman"/>
        </w:rPr>
        <w:t>3.2. Empowerment for Mission The coming of the Spirit empowers the disciples to elucidate the Gospel with confidence and power (Acts 1:8). This proclamation speaks to the tearing down of barriers and the universality of God’s kingdom.</w:t>
      </w:r>
    </w:p>
    <w:p w14:paraId="59BC5B0E" w14:textId="77777777" w:rsidR="0070631D" w:rsidRDefault="0070631D" w:rsidP="0070631D">
      <w:pPr>
        <w:rPr>
          <w:rFonts w:ascii="Times New Roman" w:hAnsi="Times New Roman" w:cs="Times New Roman"/>
        </w:rPr>
      </w:pPr>
      <w:r w:rsidRPr="0070631D">
        <w:rPr>
          <w:rFonts w:ascii="Times New Roman" w:hAnsi="Times New Roman" w:cs="Times New Roman"/>
        </w:rPr>
        <w:t>3.3. From a localized, Jewish-centered faith to a global movement: the Universal Church Pentecost. The variety of tongues and peoples represented anticipates the cosmopolitan Church portrayed in Revelation 7:9.</w:t>
      </w:r>
    </w:p>
    <w:p w14:paraId="454D5663" w14:textId="77777777" w:rsidR="0070631D" w:rsidRDefault="0070631D" w:rsidP="0070631D">
      <w:pPr>
        <w:rPr>
          <w:rFonts w:ascii="Times New Roman" w:hAnsi="Times New Roman" w:cs="Times New Roman"/>
        </w:rPr>
      </w:pPr>
    </w:p>
    <w:p w14:paraId="70074141" w14:textId="7227BE2F" w:rsidR="0070631D" w:rsidRPr="0070631D" w:rsidRDefault="0070631D" w:rsidP="0070631D">
      <w:pPr>
        <w:pStyle w:val="Normlnweb"/>
        <w:rPr>
          <w:sz w:val="32"/>
          <w:szCs w:val="32"/>
        </w:rPr>
      </w:pPr>
      <w:r w:rsidRPr="0070631D">
        <w:rPr>
          <w:sz w:val="32"/>
          <w:szCs w:val="32"/>
        </w:rPr>
        <w:t>4.Application and Relevance</w:t>
      </w:r>
    </w:p>
    <w:p w14:paraId="615F484E" w14:textId="77777777" w:rsidR="0070631D" w:rsidRDefault="0070631D" w:rsidP="0070631D">
      <w:pPr>
        <w:pStyle w:val="Normlnweb"/>
      </w:pPr>
      <w:r>
        <w:t>Acts 2:1–13 call contemporary Christians to be open to the Spirit’s transforming power and to be active in the Church’s mission. It is a celebration of unity, boldness in witnessing, and openness to the working of the Spirit across cultural and linguistic divides.</w:t>
      </w:r>
    </w:p>
    <w:p w14:paraId="1F65D58B" w14:textId="77777777" w:rsidR="0070631D" w:rsidRPr="0034040D" w:rsidRDefault="0070631D" w:rsidP="0070631D">
      <w:pPr>
        <w:pStyle w:val="Normlnweb"/>
        <w:rPr>
          <w:sz w:val="32"/>
          <w:szCs w:val="32"/>
        </w:rPr>
      </w:pPr>
      <w:r w:rsidRPr="0034040D">
        <w:rPr>
          <w:sz w:val="32"/>
          <w:szCs w:val="32"/>
        </w:rPr>
        <w:t>Conclusion</w:t>
      </w:r>
    </w:p>
    <w:p w14:paraId="20BDFCFB" w14:textId="77777777" w:rsidR="0070631D" w:rsidRDefault="0070631D" w:rsidP="0070631D">
      <w:pPr>
        <w:pStyle w:val="Normlnweb"/>
      </w:pPr>
      <w:r>
        <w:t>The story of Pentecost in Acts 2:1–13 is a powerful testimony to God’s strength and faithfulness. The Spirit empowers the Church to proclaim the Gospel to all generations. Such is both a seedbed history and an enduring charge for Christians today.</w:t>
      </w:r>
    </w:p>
    <w:p w14:paraId="3C006E4B" w14:textId="77777777" w:rsidR="0070631D" w:rsidRDefault="0070631D" w:rsidP="0070631D">
      <w:pPr>
        <w:rPr>
          <w:rFonts w:ascii="Times New Roman" w:hAnsi="Times New Roman" w:cs="Times New Roman"/>
        </w:rPr>
      </w:pPr>
    </w:p>
    <w:p w14:paraId="53C704E4" w14:textId="77777777" w:rsidR="0034040D" w:rsidRDefault="0034040D" w:rsidP="0070631D">
      <w:pPr>
        <w:rPr>
          <w:rFonts w:ascii="Times New Roman" w:hAnsi="Times New Roman" w:cs="Times New Roman"/>
        </w:rPr>
      </w:pPr>
    </w:p>
    <w:p w14:paraId="66687005" w14:textId="77777777" w:rsidR="0034040D" w:rsidRDefault="0034040D" w:rsidP="0034040D">
      <w:pPr>
        <w:rPr>
          <w:rFonts w:ascii="Times New Roman" w:hAnsi="Times New Roman" w:cs="Times New Roman"/>
        </w:rPr>
      </w:pPr>
    </w:p>
    <w:p w14:paraId="398695D4" w14:textId="77777777" w:rsidR="005A6148" w:rsidRPr="005A6148" w:rsidRDefault="005A6148" w:rsidP="005A614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 w:name="_Hlk184315708"/>
      <w:r w:rsidRPr="005A6148">
        <w:rPr>
          <w:rFonts w:ascii="Times New Roman" w:eastAsia="Times New Roman" w:hAnsi="Times New Roman" w:cs="Times New Roman"/>
          <w:b/>
          <w:bCs/>
          <w:kern w:val="0"/>
          <w:sz w:val="27"/>
          <w:szCs w:val="27"/>
          <w:lang w:eastAsia="en-GB"/>
          <w14:ligatures w14:val="none"/>
        </w:rPr>
        <w:t>References</w:t>
      </w:r>
    </w:p>
    <w:bookmarkEnd w:id="1"/>
    <w:p w14:paraId="7B2EBF67" w14:textId="77777777" w:rsidR="005A6148" w:rsidRPr="005A6148" w:rsidRDefault="005A6148" w:rsidP="005A6148">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5A6148">
        <w:rPr>
          <w:rFonts w:ascii="Times New Roman" w:eastAsia="Times New Roman" w:hAnsi="Times New Roman" w:cs="Times New Roman"/>
          <w:b/>
          <w:bCs/>
          <w:kern w:val="0"/>
          <w:lang w:eastAsia="en-GB"/>
          <w14:ligatures w14:val="none"/>
        </w:rPr>
        <w:t>For Part A (Acts 2:1–13)</w:t>
      </w:r>
    </w:p>
    <w:p w14:paraId="4B71C702" w14:textId="77777777" w:rsidR="005A6148" w:rsidRPr="005A6148" w:rsidRDefault="005A6148" w:rsidP="005A6148">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6148">
        <w:rPr>
          <w:rFonts w:ascii="Times New Roman" w:eastAsia="Times New Roman" w:hAnsi="Times New Roman" w:cs="Times New Roman"/>
          <w:kern w:val="0"/>
          <w:lang w:eastAsia="en-GB"/>
          <w14:ligatures w14:val="none"/>
        </w:rPr>
        <w:t xml:space="preserve">Bruce, F. F. (1988). </w:t>
      </w:r>
      <w:r w:rsidRPr="005A6148">
        <w:rPr>
          <w:rFonts w:ascii="Times New Roman" w:eastAsia="Times New Roman" w:hAnsi="Times New Roman" w:cs="Times New Roman"/>
          <w:i/>
          <w:iCs/>
          <w:kern w:val="0"/>
          <w:lang w:eastAsia="en-GB"/>
          <w14:ligatures w14:val="none"/>
        </w:rPr>
        <w:t>The Book of Acts</w:t>
      </w:r>
      <w:r w:rsidRPr="005A6148">
        <w:rPr>
          <w:rFonts w:ascii="Times New Roman" w:eastAsia="Times New Roman" w:hAnsi="Times New Roman" w:cs="Times New Roman"/>
          <w:kern w:val="0"/>
          <w:lang w:eastAsia="en-GB"/>
          <w14:ligatures w14:val="none"/>
        </w:rPr>
        <w:t>. Eerdmans.</w:t>
      </w:r>
    </w:p>
    <w:p w14:paraId="66EC637A" w14:textId="77777777" w:rsidR="005A6148" w:rsidRPr="005A6148" w:rsidRDefault="005A6148" w:rsidP="005A6148">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6148">
        <w:rPr>
          <w:rFonts w:ascii="Times New Roman" w:eastAsia="Times New Roman" w:hAnsi="Times New Roman" w:cs="Times New Roman"/>
          <w:kern w:val="0"/>
          <w:lang w:eastAsia="en-GB"/>
          <w14:ligatures w14:val="none"/>
        </w:rPr>
        <w:t xml:space="preserve">Schnabel, Eckhard J. (2012). </w:t>
      </w:r>
      <w:r w:rsidRPr="005A6148">
        <w:rPr>
          <w:rFonts w:ascii="Times New Roman" w:eastAsia="Times New Roman" w:hAnsi="Times New Roman" w:cs="Times New Roman"/>
          <w:i/>
          <w:iCs/>
          <w:kern w:val="0"/>
          <w:lang w:eastAsia="en-GB"/>
          <w14:ligatures w14:val="none"/>
        </w:rPr>
        <w:t>Acts</w:t>
      </w:r>
      <w:r w:rsidRPr="005A6148">
        <w:rPr>
          <w:rFonts w:ascii="Times New Roman" w:eastAsia="Times New Roman" w:hAnsi="Times New Roman" w:cs="Times New Roman"/>
          <w:kern w:val="0"/>
          <w:lang w:eastAsia="en-GB"/>
          <w14:ligatures w14:val="none"/>
        </w:rPr>
        <w:t>. Zondervan.</w:t>
      </w:r>
    </w:p>
    <w:p w14:paraId="15B131AA" w14:textId="77777777" w:rsidR="005A6148" w:rsidRPr="005A6148" w:rsidRDefault="005A6148" w:rsidP="005A6148">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6148">
        <w:rPr>
          <w:rFonts w:ascii="Times New Roman" w:eastAsia="Times New Roman" w:hAnsi="Times New Roman" w:cs="Times New Roman"/>
          <w:kern w:val="0"/>
          <w:lang w:eastAsia="en-GB"/>
          <w14:ligatures w14:val="none"/>
        </w:rPr>
        <w:t xml:space="preserve">Witherington III, Ben. (1998). </w:t>
      </w:r>
      <w:r w:rsidRPr="005A6148">
        <w:rPr>
          <w:rFonts w:ascii="Times New Roman" w:eastAsia="Times New Roman" w:hAnsi="Times New Roman" w:cs="Times New Roman"/>
          <w:i/>
          <w:iCs/>
          <w:kern w:val="0"/>
          <w:lang w:eastAsia="en-GB"/>
          <w14:ligatures w14:val="none"/>
        </w:rPr>
        <w:t>The Acts of the Apostles: A Socio-Rhetorical Commentary</w:t>
      </w:r>
      <w:r w:rsidRPr="005A6148">
        <w:rPr>
          <w:rFonts w:ascii="Times New Roman" w:eastAsia="Times New Roman" w:hAnsi="Times New Roman" w:cs="Times New Roman"/>
          <w:kern w:val="0"/>
          <w:lang w:eastAsia="en-GB"/>
          <w14:ligatures w14:val="none"/>
        </w:rPr>
        <w:t>. Eerdmans.</w:t>
      </w:r>
    </w:p>
    <w:p w14:paraId="7A90CC57" w14:textId="77777777" w:rsidR="005A6148" w:rsidRPr="005A6148" w:rsidRDefault="005A6148" w:rsidP="005A6148">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
    <w:p w14:paraId="7502AED1" w14:textId="77777777" w:rsidR="005A6148" w:rsidRPr="0034040D" w:rsidRDefault="005A6148" w:rsidP="0034040D">
      <w:pPr>
        <w:rPr>
          <w:rFonts w:ascii="Times New Roman" w:hAnsi="Times New Roman" w:cs="Times New Roman"/>
        </w:rPr>
      </w:pPr>
    </w:p>
    <w:p w14:paraId="56FED33A" w14:textId="77777777" w:rsidR="0034040D" w:rsidRDefault="0034040D" w:rsidP="0034040D">
      <w:pPr>
        <w:jc w:val="center"/>
        <w:rPr>
          <w:rFonts w:ascii="Times New Roman" w:hAnsi="Times New Roman" w:cs="Times New Roman"/>
          <w:sz w:val="40"/>
          <w:szCs w:val="40"/>
        </w:rPr>
      </w:pPr>
    </w:p>
    <w:p w14:paraId="6A29FB82" w14:textId="77777777" w:rsidR="0034040D" w:rsidRPr="0034040D" w:rsidRDefault="0034040D" w:rsidP="0034040D">
      <w:pPr>
        <w:rPr>
          <w:rFonts w:ascii="Times New Roman" w:hAnsi="Times New Roman" w:cs="Times New Roman"/>
          <w:sz w:val="40"/>
          <w:szCs w:val="40"/>
        </w:rPr>
      </w:pPr>
    </w:p>
    <w:p w14:paraId="43075BA5" w14:textId="77777777" w:rsidR="0070631D" w:rsidRDefault="0070631D" w:rsidP="0070631D">
      <w:pPr>
        <w:rPr>
          <w:rFonts w:ascii="Times New Roman" w:hAnsi="Times New Roman" w:cs="Times New Roman"/>
        </w:rPr>
      </w:pPr>
    </w:p>
    <w:p w14:paraId="7E4B3354" w14:textId="77777777" w:rsidR="0070631D" w:rsidRPr="0070631D" w:rsidRDefault="0070631D" w:rsidP="0070631D">
      <w:pPr>
        <w:rPr>
          <w:rFonts w:ascii="Times New Roman" w:hAnsi="Times New Roman" w:cs="Times New Roman"/>
        </w:rPr>
      </w:pPr>
    </w:p>
    <w:p w14:paraId="24BBF89F" w14:textId="77777777" w:rsidR="0070631D" w:rsidRPr="0070631D" w:rsidRDefault="0070631D" w:rsidP="0070631D">
      <w:pPr>
        <w:rPr>
          <w:rFonts w:ascii="Times New Roman" w:hAnsi="Times New Roman" w:cs="Times New Roman"/>
        </w:rPr>
      </w:pPr>
    </w:p>
    <w:p w14:paraId="3E65EDBF" w14:textId="77777777" w:rsidR="00CA3C8C" w:rsidRPr="0070631D" w:rsidRDefault="00CA3C8C" w:rsidP="00CA3C8C">
      <w:pPr>
        <w:rPr>
          <w:rFonts w:ascii="Times New Roman" w:hAnsi="Times New Roman" w:cs="Times New Roman"/>
        </w:rPr>
      </w:pPr>
    </w:p>
    <w:sectPr w:rsidR="00CA3C8C" w:rsidRPr="007063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8EB53A" w14:textId="77777777" w:rsidR="00F25D94" w:rsidRDefault="00F25D94" w:rsidP="00754B44">
      <w:pPr>
        <w:spacing w:after="0" w:line="240" w:lineRule="auto"/>
      </w:pPr>
      <w:r>
        <w:separator/>
      </w:r>
    </w:p>
  </w:endnote>
  <w:endnote w:type="continuationSeparator" w:id="0">
    <w:p w14:paraId="70901442" w14:textId="77777777" w:rsidR="00F25D94" w:rsidRDefault="00F25D94" w:rsidP="00754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A9FE91" w14:textId="77777777" w:rsidR="00F25D94" w:rsidRDefault="00F25D94" w:rsidP="00754B44">
      <w:pPr>
        <w:spacing w:after="0" w:line="240" w:lineRule="auto"/>
      </w:pPr>
      <w:r>
        <w:separator/>
      </w:r>
    </w:p>
  </w:footnote>
  <w:footnote w:type="continuationSeparator" w:id="0">
    <w:p w14:paraId="3A0B929C" w14:textId="77777777" w:rsidR="00F25D94" w:rsidRDefault="00F25D94" w:rsidP="00754B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6E3D13"/>
    <w:multiLevelType w:val="multilevel"/>
    <w:tmpl w:val="8F96D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D43477"/>
    <w:multiLevelType w:val="multilevel"/>
    <w:tmpl w:val="06346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1800609">
    <w:abstractNumId w:val="1"/>
  </w:num>
  <w:num w:numId="2" w16cid:durableId="23678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6"/>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8C"/>
    <w:rsid w:val="0027194E"/>
    <w:rsid w:val="0034040D"/>
    <w:rsid w:val="003A5356"/>
    <w:rsid w:val="005A6148"/>
    <w:rsid w:val="0070631D"/>
    <w:rsid w:val="00754B44"/>
    <w:rsid w:val="00863F1E"/>
    <w:rsid w:val="00974E63"/>
    <w:rsid w:val="00A76A3F"/>
    <w:rsid w:val="00CA3C8C"/>
    <w:rsid w:val="00E40627"/>
    <w:rsid w:val="00F25D94"/>
    <w:rsid w:val="00F717AF"/>
    <w:rsid w:val="00FD6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E8C2E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style>
  <w:style w:type="paragraph" w:styleId="Nadpis1">
    <w:name w:val="heading 1"/>
    <w:basedOn w:val="Normln"/>
    <w:next w:val="Normln"/>
    <w:link w:val="Nadpis1Char"/>
    <w:uiPriority w:val="9"/>
    <w:qFormat/>
    <w:rsid w:val="00CA3C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dpis2">
    <w:name w:val="heading 2"/>
    <w:basedOn w:val="Normln"/>
    <w:next w:val="Normln"/>
    <w:link w:val="Nadpis2Char"/>
    <w:uiPriority w:val="9"/>
    <w:semiHidden/>
    <w:unhideWhenUsed/>
    <w:qFormat/>
    <w:rsid w:val="00CA3C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dpis3">
    <w:name w:val="heading 3"/>
    <w:basedOn w:val="Normln"/>
    <w:next w:val="Normln"/>
    <w:link w:val="Nadpis3Char"/>
    <w:uiPriority w:val="9"/>
    <w:semiHidden/>
    <w:unhideWhenUsed/>
    <w:qFormat/>
    <w:rsid w:val="00CA3C8C"/>
    <w:pPr>
      <w:keepNext/>
      <w:keepLines/>
      <w:spacing w:before="160" w:after="80"/>
      <w:outlineLvl w:val="2"/>
    </w:pPr>
    <w:rPr>
      <w:rFonts w:eastAsiaTheme="majorEastAsia" w:cstheme="majorBidi"/>
      <w:color w:val="0F4761" w:themeColor="accent1" w:themeShade="BF"/>
      <w:sz w:val="28"/>
      <w:szCs w:val="28"/>
    </w:rPr>
  </w:style>
  <w:style w:type="paragraph" w:styleId="Nadpis4">
    <w:name w:val="heading 4"/>
    <w:basedOn w:val="Normln"/>
    <w:next w:val="Normln"/>
    <w:link w:val="Nadpis4Char"/>
    <w:uiPriority w:val="9"/>
    <w:semiHidden/>
    <w:unhideWhenUsed/>
    <w:qFormat/>
    <w:rsid w:val="00CA3C8C"/>
    <w:pPr>
      <w:keepNext/>
      <w:keepLines/>
      <w:spacing w:before="80" w:after="40"/>
      <w:outlineLvl w:val="3"/>
    </w:pPr>
    <w:rPr>
      <w:rFonts w:eastAsiaTheme="majorEastAsia" w:cstheme="majorBidi"/>
      <w:i/>
      <w:iCs/>
      <w:color w:val="0F4761" w:themeColor="accent1" w:themeShade="BF"/>
    </w:rPr>
  </w:style>
  <w:style w:type="paragraph" w:styleId="Nadpis5">
    <w:name w:val="heading 5"/>
    <w:basedOn w:val="Normln"/>
    <w:next w:val="Normln"/>
    <w:link w:val="Nadpis5Char"/>
    <w:uiPriority w:val="9"/>
    <w:semiHidden/>
    <w:unhideWhenUsed/>
    <w:qFormat/>
    <w:rsid w:val="00CA3C8C"/>
    <w:pPr>
      <w:keepNext/>
      <w:keepLines/>
      <w:spacing w:before="80" w:after="40"/>
      <w:outlineLvl w:val="4"/>
    </w:pPr>
    <w:rPr>
      <w:rFonts w:eastAsiaTheme="majorEastAsia" w:cstheme="majorBidi"/>
      <w:color w:val="0F4761" w:themeColor="accent1" w:themeShade="BF"/>
    </w:rPr>
  </w:style>
  <w:style w:type="paragraph" w:styleId="Nadpis6">
    <w:name w:val="heading 6"/>
    <w:basedOn w:val="Normln"/>
    <w:next w:val="Normln"/>
    <w:link w:val="Nadpis6Char"/>
    <w:uiPriority w:val="9"/>
    <w:semiHidden/>
    <w:unhideWhenUsed/>
    <w:qFormat/>
    <w:rsid w:val="00CA3C8C"/>
    <w:pPr>
      <w:keepNext/>
      <w:keepLines/>
      <w:spacing w:before="40" w:after="0"/>
      <w:outlineLvl w:val="5"/>
    </w:pPr>
    <w:rPr>
      <w:rFonts w:eastAsiaTheme="majorEastAsia" w:cstheme="majorBidi"/>
      <w:i/>
      <w:iCs/>
      <w:color w:val="595959" w:themeColor="text1" w:themeTint="A6"/>
    </w:rPr>
  </w:style>
  <w:style w:type="paragraph" w:styleId="Nadpis7">
    <w:name w:val="heading 7"/>
    <w:basedOn w:val="Normln"/>
    <w:next w:val="Normln"/>
    <w:link w:val="Nadpis7Char"/>
    <w:uiPriority w:val="9"/>
    <w:semiHidden/>
    <w:unhideWhenUsed/>
    <w:qFormat/>
    <w:rsid w:val="00CA3C8C"/>
    <w:pPr>
      <w:keepNext/>
      <w:keepLines/>
      <w:spacing w:before="40" w:after="0"/>
      <w:outlineLvl w:val="6"/>
    </w:pPr>
    <w:rPr>
      <w:rFonts w:eastAsiaTheme="majorEastAsia" w:cstheme="majorBidi"/>
      <w:color w:val="595959" w:themeColor="text1" w:themeTint="A6"/>
    </w:rPr>
  </w:style>
  <w:style w:type="paragraph" w:styleId="Nadpis8">
    <w:name w:val="heading 8"/>
    <w:basedOn w:val="Normln"/>
    <w:next w:val="Normln"/>
    <w:link w:val="Nadpis8Char"/>
    <w:uiPriority w:val="9"/>
    <w:semiHidden/>
    <w:unhideWhenUsed/>
    <w:qFormat/>
    <w:rsid w:val="00CA3C8C"/>
    <w:pPr>
      <w:keepNext/>
      <w:keepLines/>
      <w:spacing w:after="0"/>
      <w:outlineLvl w:val="7"/>
    </w:pPr>
    <w:rPr>
      <w:rFonts w:eastAsiaTheme="majorEastAsia" w:cstheme="majorBidi"/>
      <w:i/>
      <w:iCs/>
      <w:color w:val="272727" w:themeColor="text1" w:themeTint="D8"/>
    </w:rPr>
  </w:style>
  <w:style w:type="paragraph" w:styleId="Nadpis9">
    <w:name w:val="heading 9"/>
    <w:basedOn w:val="Normln"/>
    <w:next w:val="Normln"/>
    <w:link w:val="Nadpis9Char"/>
    <w:uiPriority w:val="9"/>
    <w:semiHidden/>
    <w:unhideWhenUsed/>
    <w:qFormat/>
    <w:rsid w:val="00CA3C8C"/>
    <w:pPr>
      <w:keepNext/>
      <w:keepLines/>
      <w:spacing w:after="0"/>
      <w:outlineLvl w:val="8"/>
    </w:pPr>
    <w:rPr>
      <w:rFonts w:eastAsiaTheme="majorEastAsia" w:cstheme="majorBidi"/>
      <w:color w:val="272727" w:themeColor="text1" w:themeTint="D8"/>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CA3C8C"/>
    <w:rPr>
      <w:rFonts w:asciiTheme="majorHAnsi" w:eastAsiaTheme="majorEastAsia" w:hAnsiTheme="majorHAnsi" w:cstheme="majorBidi"/>
      <w:color w:val="0F4761" w:themeColor="accent1" w:themeShade="BF"/>
      <w:sz w:val="40"/>
      <w:szCs w:val="40"/>
    </w:rPr>
  </w:style>
  <w:style w:type="character" w:customStyle="1" w:styleId="Nadpis2Char">
    <w:name w:val="Nadpis 2 Char"/>
    <w:basedOn w:val="Standardnpsmoodstavce"/>
    <w:link w:val="Nadpis2"/>
    <w:uiPriority w:val="9"/>
    <w:semiHidden/>
    <w:rsid w:val="00CA3C8C"/>
    <w:rPr>
      <w:rFonts w:asciiTheme="majorHAnsi" w:eastAsiaTheme="majorEastAsia" w:hAnsiTheme="majorHAnsi" w:cstheme="majorBidi"/>
      <w:color w:val="0F4761" w:themeColor="accent1" w:themeShade="BF"/>
      <w:sz w:val="32"/>
      <w:szCs w:val="32"/>
    </w:rPr>
  </w:style>
  <w:style w:type="character" w:customStyle="1" w:styleId="Nadpis3Char">
    <w:name w:val="Nadpis 3 Char"/>
    <w:basedOn w:val="Standardnpsmoodstavce"/>
    <w:link w:val="Nadpis3"/>
    <w:uiPriority w:val="9"/>
    <w:semiHidden/>
    <w:rsid w:val="00CA3C8C"/>
    <w:rPr>
      <w:rFonts w:eastAsiaTheme="majorEastAsia" w:cstheme="majorBidi"/>
      <w:color w:val="0F4761" w:themeColor="accent1" w:themeShade="BF"/>
      <w:sz w:val="28"/>
      <w:szCs w:val="28"/>
    </w:rPr>
  </w:style>
  <w:style w:type="character" w:customStyle="1" w:styleId="Nadpis4Char">
    <w:name w:val="Nadpis 4 Char"/>
    <w:basedOn w:val="Standardnpsmoodstavce"/>
    <w:link w:val="Nadpis4"/>
    <w:uiPriority w:val="9"/>
    <w:semiHidden/>
    <w:rsid w:val="00CA3C8C"/>
    <w:rPr>
      <w:rFonts w:eastAsiaTheme="majorEastAsia" w:cstheme="majorBidi"/>
      <w:i/>
      <w:iCs/>
      <w:color w:val="0F4761" w:themeColor="accent1" w:themeShade="BF"/>
    </w:rPr>
  </w:style>
  <w:style w:type="character" w:customStyle="1" w:styleId="Nadpis5Char">
    <w:name w:val="Nadpis 5 Char"/>
    <w:basedOn w:val="Standardnpsmoodstavce"/>
    <w:link w:val="Nadpis5"/>
    <w:uiPriority w:val="9"/>
    <w:semiHidden/>
    <w:rsid w:val="00CA3C8C"/>
    <w:rPr>
      <w:rFonts w:eastAsiaTheme="majorEastAsia" w:cstheme="majorBidi"/>
      <w:color w:val="0F4761" w:themeColor="accent1" w:themeShade="BF"/>
    </w:rPr>
  </w:style>
  <w:style w:type="character" w:customStyle="1" w:styleId="Nadpis6Char">
    <w:name w:val="Nadpis 6 Char"/>
    <w:basedOn w:val="Standardnpsmoodstavce"/>
    <w:link w:val="Nadpis6"/>
    <w:uiPriority w:val="9"/>
    <w:semiHidden/>
    <w:rsid w:val="00CA3C8C"/>
    <w:rPr>
      <w:rFonts w:eastAsiaTheme="majorEastAsia" w:cstheme="majorBidi"/>
      <w:i/>
      <w:iCs/>
      <w:color w:val="595959" w:themeColor="text1" w:themeTint="A6"/>
    </w:rPr>
  </w:style>
  <w:style w:type="character" w:customStyle="1" w:styleId="Nadpis7Char">
    <w:name w:val="Nadpis 7 Char"/>
    <w:basedOn w:val="Standardnpsmoodstavce"/>
    <w:link w:val="Nadpis7"/>
    <w:uiPriority w:val="9"/>
    <w:semiHidden/>
    <w:rsid w:val="00CA3C8C"/>
    <w:rPr>
      <w:rFonts w:eastAsiaTheme="majorEastAsia" w:cstheme="majorBidi"/>
      <w:color w:val="595959" w:themeColor="text1" w:themeTint="A6"/>
    </w:rPr>
  </w:style>
  <w:style w:type="character" w:customStyle="1" w:styleId="Nadpis8Char">
    <w:name w:val="Nadpis 8 Char"/>
    <w:basedOn w:val="Standardnpsmoodstavce"/>
    <w:link w:val="Nadpis8"/>
    <w:uiPriority w:val="9"/>
    <w:semiHidden/>
    <w:rsid w:val="00CA3C8C"/>
    <w:rPr>
      <w:rFonts w:eastAsiaTheme="majorEastAsia" w:cstheme="majorBidi"/>
      <w:i/>
      <w:iCs/>
      <w:color w:val="272727" w:themeColor="text1" w:themeTint="D8"/>
    </w:rPr>
  </w:style>
  <w:style w:type="character" w:customStyle="1" w:styleId="Nadpis9Char">
    <w:name w:val="Nadpis 9 Char"/>
    <w:basedOn w:val="Standardnpsmoodstavce"/>
    <w:link w:val="Nadpis9"/>
    <w:uiPriority w:val="9"/>
    <w:semiHidden/>
    <w:rsid w:val="00CA3C8C"/>
    <w:rPr>
      <w:rFonts w:eastAsiaTheme="majorEastAsia" w:cstheme="majorBidi"/>
      <w:color w:val="272727" w:themeColor="text1" w:themeTint="D8"/>
    </w:rPr>
  </w:style>
  <w:style w:type="paragraph" w:styleId="Nzev">
    <w:name w:val="Title"/>
    <w:basedOn w:val="Normln"/>
    <w:next w:val="Normln"/>
    <w:link w:val="NzevChar"/>
    <w:uiPriority w:val="10"/>
    <w:qFormat/>
    <w:rsid w:val="00CA3C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NzevChar">
    <w:name w:val="Název Char"/>
    <w:basedOn w:val="Standardnpsmoodstavce"/>
    <w:link w:val="Nzev"/>
    <w:uiPriority w:val="10"/>
    <w:rsid w:val="00CA3C8C"/>
    <w:rPr>
      <w:rFonts w:asciiTheme="majorHAnsi" w:eastAsiaTheme="majorEastAsia" w:hAnsiTheme="majorHAnsi" w:cstheme="majorBidi"/>
      <w:spacing w:val="-10"/>
      <w:kern w:val="28"/>
      <w:sz w:val="56"/>
      <w:szCs w:val="56"/>
    </w:rPr>
  </w:style>
  <w:style w:type="paragraph" w:styleId="Podnadpis">
    <w:name w:val="Subtitle"/>
    <w:basedOn w:val="Normln"/>
    <w:next w:val="Normln"/>
    <w:link w:val="PodnadpisChar"/>
    <w:uiPriority w:val="11"/>
    <w:qFormat/>
    <w:rsid w:val="00CA3C8C"/>
    <w:pPr>
      <w:numPr>
        <w:ilvl w:val="1"/>
      </w:numPr>
    </w:pPr>
    <w:rPr>
      <w:rFonts w:eastAsiaTheme="majorEastAsia" w:cstheme="majorBidi"/>
      <w:color w:val="595959" w:themeColor="text1" w:themeTint="A6"/>
      <w:spacing w:val="15"/>
      <w:sz w:val="28"/>
      <w:szCs w:val="28"/>
    </w:rPr>
  </w:style>
  <w:style w:type="character" w:customStyle="1" w:styleId="PodnadpisChar">
    <w:name w:val="Podnadpis Char"/>
    <w:basedOn w:val="Standardnpsmoodstavce"/>
    <w:link w:val="Podnadpis"/>
    <w:uiPriority w:val="11"/>
    <w:rsid w:val="00CA3C8C"/>
    <w:rPr>
      <w:rFonts w:eastAsiaTheme="majorEastAsia" w:cstheme="majorBidi"/>
      <w:color w:val="595959" w:themeColor="text1" w:themeTint="A6"/>
      <w:spacing w:val="15"/>
      <w:sz w:val="28"/>
      <w:szCs w:val="28"/>
    </w:rPr>
  </w:style>
  <w:style w:type="paragraph" w:styleId="Citt">
    <w:name w:val="Quote"/>
    <w:basedOn w:val="Normln"/>
    <w:next w:val="Normln"/>
    <w:link w:val="CittChar"/>
    <w:uiPriority w:val="29"/>
    <w:qFormat/>
    <w:rsid w:val="00CA3C8C"/>
    <w:pPr>
      <w:spacing w:before="160"/>
      <w:jc w:val="center"/>
    </w:pPr>
    <w:rPr>
      <w:i/>
      <w:iCs/>
      <w:color w:val="404040" w:themeColor="text1" w:themeTint="BF"/>
    </w:rPr>
  </w:style>
  <w:style w:type="character" w:customStyle="1" w:styleId="CittChar">
    <w:name w:val="Citát Char"/>
    <w:basedOn w:val="Standardnpsmoodstavce"/>
    <w:link w:val="Citt"/>
    <w:uiPriority w:val="29"/>
    <w:rsid w:val="00CA3C8C"/>
    <w:rPr>
      <w:i/>
      <w:iCs/>
      <w:color w:val="404040" w:themeColor="text1" w:themeTint="BF"/>
    </w:rPr>
  </w:style>
  <w:style w:type="paragraph" w:styleId="Odstavecseseznamem">
    <w:name w:val="List Paragraph"/>
    <w:basedOn w:val="Normln"/>
    <w:uiPriority w:val="34"/>
    <w:qFormat/>
    <w:rsid w:val="00CA3C8C"/>
    <w:pPr>
      <w:ind w:left="720"/>
      <w:contextualSpacing/>
    </w:pPr>
  </w:style>
  <w:style w:type="character" w:styleId="Zdraznnintenzivn">
    <w:name w:val="Intense Emphasis"/>
    <w:basedOn w:val="Standardnpsmoodstavce"/>
    <w:uiPriority w:val="21"/>
    <w:qFormat/>
    <w:rsid w:val="00CA3C8C"/>
    <w:rPr>
      <w:i/>
      <w:iCs/>
      <w:color w:val="0F4761" w:themeColor="accent1" w:themeShade="BF"/>
    </w:rPr>
  </w:style>
  <w:style w:type="paragraph" w:styleId="Vrazncitt">
    <w:name w:val="Intense Quote"/>
    <w:basedOn w:val="Normln"/>
    <w:next w:val="Normln"/>
    <w:link w:val="VrazncittChar"/>
    <w:uiPriority w:val="30"/>
    <w:qFormat/>
    <w:rsid w:val="00CA3C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VrazncittChar">
    <w:name w:val="Výrazný citát Char"/>
    <w:basedOn w:val="Standardnpsmoodstavce"/>
    <w:link w:val="Vrazncitt"/>
    <w:uiPriority w:val="30"/>
    <w:rsid w:val="00CA3C8C"/>
    <w:rPr>
      <w:i/>
      <w:iCs/>
      <w:color w:val="0F4761" w:themeColor="accent1" w:themeShade="BF"/>
    </w:rPr>
  </w:style>
  <w:style w:type="character" w:styleId="Odkazintenzivn">
    <w:name w:val="Intense Reference"/>
    <w:basedOn w:val="Standardnpsmoodstavce"/>
    <w:uiPriority w:val="32"/>
    <w:qFormat/>
    <w:rsid w:val="00CA3C8C"/>
    <w:rPr>
      <w:b/>
      <w:bCs/>
      <w:smallCaps/>
      <w:color w:val="0F4761" w:themeColor="accent1" w:themeShade="BF"/>
      <w:spacing w:val="5"/>
    </w:rPr>
  </w:style>
  <w:style w:type="paragraph" w:styleId="Normlnweb">
    <w:name w:val="Normal (Web)"/>
    <w:basedOn w:val="Normln"/>
    <w:uiPriority w:val="99"/>
    <w:semiHidden/>
    <w:unhideWhenUsed/>
    <w:rsid w:val="007063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hlav">
    <w:name w:val="header"/>
    <w:basedOn w:val="Normln"/>
    <w:link w:val="ZhlavChar"/>
    <w:uiPriority w:val="99"/>
    <w:unhideWhenUsed/>
    <w:rsid w:val="00754B44"/>
    <w:pPr>
      <w:tabs>
        <w:tab w:val="center" w:pos="4513"/>
        <w:tab w:val="right" w:pos="9026"/>
      </w:tabs>
      <w:spacing w:after="0" w:line="240" w:lineRule="auto"/>
    </w:pPr>
  </w:style>
  <w:style w:type="character" w:customStyle="1" w:styleId="ZhlavChar">
    <w:name w:val="Záhlaví Char"/>
    <w:basedOn w:val="Standardnpsmoodstavce"/>
    <w:link w:val="Zhlav"/>
    <w:uiPriority w:val="99"/>
    <w:rsid w:val="00754B44"/>
  </w:style>
  <w:style w:type="paragraph" w:styleId="Zpat">
    <w:name w:val="footer"/>
    <w:basedOn w:val="Normln"/>
    <w:link w:val="ZpatChar"/>
    <w:uiPriority w:val="99"/>
    <w:unhideWhenUsed/>
    <w:rsid w:val="00754B44"/>
    <w:pPr>
      <w:tabs>
        <w:tab w:val="center" w:pos="4513"/>
        <w:tab w:val="right" w:pos="9026"/>
      </w:tabs>
      <w:spacing w:after="0" w:line="240" w:lineRule="auto"/>
    </w:pPr>
  </w:style>
  <w:style w:type="character" w:customStyle="1" w:styleId="ZpatChar">
    <w:name w:val="Zápatí Char"/>
    <w:basedOn w:val="Standardnpsmoodstavce"/>
    <w:link w:val="Zpat"/>
    <w:uiPriority w:val="99"/>
    <w:rsid w:val="00754B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711045">
      <w:bodyDiv w:val="1"/>
      <w:marLeft w:val="0"/>
      <w:marRight w:val="0"/>
      <w:marTop w:val="0"/>
      <w:marBottom w:val="0"/>
      <w:divBdr>
        <w:top w:val="none" w:sz="0" w:space="0" w:color="auto"/>
        <w:left w:val="none" w:sz="0" w:space="0" w:color="auto"/>
        <w:bottom w:val="none" w:sz="0" w:space="0" w:color="auto"/>
        <w:right w:val="none" w:sz="0" w:space="0" w:color="auto"/>
      </w:divBdr>
    </w:div>
    <w:div w:id="414672619">
      <w:bodyDiv w:val="1"/>
      <w:marLeft w:val="0"/>
      <w:marRight w:val="0"/>
      <w:marTop w:val="0"/>
      <w:marBottom w:val="0"/>
      <w:divBdr>
        <w:top w:val="none" w:sz="0" w:space="0" w:color="auto"/>
        <w:left w:val="none" w:sz="0" w:space="0" w:color="auto"/>
        <w:bottom w:val="none" w:sz="0" w:space="0" w:color="auto"/>
        <w:right w:val="none" w:sz="0" w:space="0" w:color="auto"/>
      </w:divBdr>
    </w:div>
    <w:div w:id="782723950">
      <w:bodyDiv w:val="1"/>
      <w:marLeft w:val="0"/>
      <w:marRight w:val="0"/>
      <w:marTop w:val="0"/>
      <w:marBottom w:val="0"/>
      <w:divBdr>
        <w:top w:val="none" w:sz="0" w:space="0" w:color="auto"/>
        <w:left w:val="none" w:sz="0" w:space="0" w:color="auto"/>
        <w:bottom w:val="none" w:sz="0" w:space="0" w:color="auto"/>
        <w:right w:val="none" w:sz="0" w:space="0" w:color="auto"/>
      </w:divBdr>
    </w:div>
    <w:div w:id="1129780002">
      <w:bodyDiv w:val="1"/>
      <w:marLeft w:val="0"/>
      <w:marRight w:val="0"/>
      <w:marTop w:val="0"/>
      <w:marBottom w:val="0"/>
      <w:divBdr>
        <w:top w:val="none" w:sz="0" w:space="0" w:color="auto"/>
        <w:left w:val="none" w:sz="0" w:space="0" w:color="auto"/>
        <w:bottom w:val="none" w:sz="0" w:space="0" w:color="auto"/>
        <w:right w:val="none" w:sz="0" w:space="0" w:color="auto"/>
      </w:divBdr>
    </w:div>
    <w:div w:id="1358920738">
      <w:bodyDiv w:val="1"/>
      <w:marLeft w:val="0"/>
      <w:marRight w:val="0"/>
      <w:marTop w:val="0"/>
      <w:marBottom w:val="0"/>
      <w:divBdr>
        <w:top w:val="none" w:sz="0" w:space="0" w:color="auto"/>
        <w:left w:val="none" w:sz="0" w:space="0" w:color="auto"/>
        <w:bottom w:val="none" w:sz="0" w:space="0" w:color="auto"/>
        <w:right w:val="none" w:sz="0" w:space="0" w:color="auto"/>
      </w:divBdr>
    </w:div>
    <w:div w:id="1862696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821</Words>
  <Characters>4847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2024-12-07T13:37:00Z</dcterms:created>
  <dcterms:modified xsi:type="dcterms:W3CDTF">2024-12-07T13:37:00Z</dcterms:modified>
</cp:coreProperties>
</file>