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706724" w:rsidR="009F64C5" w:rsidP="007F20AC" w:rsidRDefault="009F64C5" w14:paraId="5E0F4EC2" w14:textId="3EF8A3E5">
      <w:pPr>
        <w:spacing w:after="0" w:line="360" w:lineRule="auto"/>
        <w:jc w:val="center"/>
        <w:rPr>
          <w:rFonts w:ascii="Arial" w:hAnsi="Arial" w:cs="Arial"/>
          <w:sz w:val="32"/>
          <w:szCs w:val="32"/>
        </w:rPr>
      </w:pPr>
      <w:r w:rsidRPr="00706724">
        <w:rPr>
          <w:rFonts w:ascii="Arial" w:hAnsi="Arial" w:cs="Arial"/>
          <w:noProof/>
          <w:sz w:val="32"/>
          <w:szCs w:val="32"/>
        </w:rPr>
        <w:drawing>
          <wp:inline distT="0" distB="0" distL="0" distR="0" wp14:anchorId="0851FAE4" wp14:editId="00AFC6E2">
            <wp:extent cx="1980000" cy="8244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0000" cy="824400"/>
                    </a:xfrm>
                    <a:prstGeom prst="rect">
                      <a:avLst/>
                    </a:prstGeom>
                    <a:noFill/>
                  </pic:spPr>
                </pic:pic>
              </a:graphicData>
            </a:graphic>
          </wp:inline>
        </w:drawing>
      </w:r>
    </w:p>
    <w:p w:rsidRPr="00706724" w:rsidR="009F64C5" w:rsidP="00A70BBB" w:rsidRDefault="009F64C5" w14:paraId="0C4D53A1" w14:textId="7606E0C8">
      <w:pPr>
        <w:spacing w:after="0" w:line="360" w:lineRule="auto"/>
        <w:ind w:left="49"/>
        <w:jc w:val="center"/>
        <w:rPr>
          <w:rFonts w:ascii="Arial" w:hAnsi="Arial" w:cs="Arial"/>
          <w:b/>
          <w:bCs/>
          <w:sz w:val="32"/>
          <w:szCs w:val="32"/>
        </w:rPr>
      </w:pPr>
    </w:p>
    <w:p w:rsidRPr="00706724" w:rsidR="00466477" w:rsidP="00A70BBB" w:rsidRDefault="00466477" w14:paraId="27AB264B" w14:textId="00EA51E5">
      <w:pPr>
        <w:pStyle w:val="Title"/>
        <w:spacing w:after="0" w:line="360" w:lineRule="auto"/>
        <w:jc w:val="center"/>
        <w:rPr>
          <w:rFonts w:ascii="Arial" w:hAnsi="Arial" w:cs="Arial"/>
          <w:b/>
          <w:bCs/>
          <w:sz w:val="32"/>
          <w:szCs w:val="32"/>
        </w:rPr>
      </w:pPr>
      <w:r w:rsidRPr="00706724">
        <w:rPr>
          <w:rFonts w:ascii="Arial" w:hAnsi="Arial" w:cs="Arial"/>
          <w:b/>
          <w:bCs/>
          <w:sz w:val="32"/>
          <w:szCs w:val="32"/>
        </w:rPr>
        <w:t>Barriers to Effective Rabies Surveillance and Treatment in India: A Systematic Review of Community and Health-System Factors</w:t>
      </w:r>
    </w:p>
    <w:p w:rsidRPr="00706724" w:rsidR="009F64C5" w:rsidP="00A70BBB" w:rsidRDefault="009F64C5" w14:paraId="5E1E2E05" w14:textId="1BF24449">
      <w:pPr>
        <w:spacing w:after="0" w:line="360" w:lineRule="auto"/>
        <w:jc w:val="center"/>
        <w:rPr>
          <w:rFonts w:ascii="Arial" w:hAnsi="Arial" w:cs="Arial"/>
          <w:sz w:val="32"/>
          <w:szCs w:val="32"/>
        </w:rPr>
      </w:pPr>
    </w:p>
    <w:p w:rsidRPr="00706724" w:rsidR="009F64C5" w:rsidP="00A70BBB" w:rsidRDefault="009F64C5" w14:paraId="46D86011" w14:textId="4EBAC234">
      <w:pPr>
        <w:spacing w:after="0" w:line="360" w:lineRule="auto"/>
        <w:ind w:left="2367" w:right="2358"/>
        <w:jc w:val="center"/>
        <w:rPr>
          <w:rFonts w:ascii="Arial" w:hAnsi="Arial" w:cs="Arial"/>
          <w:sz w:val="32"/>
          <w:szCs w:val="32"/>
        </w:rPr>
      </w:pPr>
      <w:r w:rsidRPr="00706724">
        <w:rPr>
          <w:rFonts w:ascii="Arial" w:hAnsi="Arial" w:cs="Arial"/>
          <w:sz w:val="32"/>
          <w:szCs w:val="32"/>
        </w:rPr>
        <w:t>by</w:t>
      </w:r>
    </w:p>
    <w:p w:rsidRPr="00706724" w:rsidR="00466477" w:rsidP="00A70BBB" w:rsidRDefault="00466477" w14:paraId="2F528939" w14:textId="06A72CE9">
      <w:pPr>
        <w:pStyle w:val="p1"/>
        <w:spacing w:line="360" w:lineRule="auto"/>
        <w:jc w:val="center"/>
        <w:rPr>
          <w:rFonts w:ascii="Arial" w:hAnsi="Arial" w:cs="Arial"/>
          <w:b/>
          <w:bCs/>
          <w:sz w:val="32"/>
          <w:szCs w:val="32"/>
        </w:rPr>
      </w:pPr>
      <w:r w:rsidRPr="00706724">
        <w:rPr>
          <w:rFonts w:ascii="Arial" w:hAnsi="Arial" w:cs="Arial"/>
          <w:b/>
          <w:bCs/>
          <w:sz w:val="32"/>
          <w:szCs w:val="32"/>
        </w:rPr>
        <w:t>MUHAMMAD HUSSAIN AL HUZAIBI HASHMI</w:t>
      </w:r>
    </w:p>
    <w:p w:rsidRPr="00706724" w:rsidR="00CC56BA" w:rsidP="00A70BBB" w:rsidRDefault="00CC56BA" w14:paraId="3A900CA5" w14:textId="1D6622B2">
      <w:pPr>
        <w:pStyle w:val="p1"/>
        <w:spacing w:line="360" w:lineRule="auto"/>
        <w:jc w:val="center"/>
        <w:rPr>
          <w:rFonts w:ascii="Arial" w:hAnsi="Arial" w:cs="Arial"/>
          <w:sz w:val="32"/>
          <w:szCs w:val="32"/>
        </w:rPr>
      </w:pPr>
      <w:r w:rsidRPr="00706724">
        <w:rPr>
          <w:rFonts w:ascii="Arial" w:hAnsi="Arial" w:cs="Arial"/>
          <w:sz w:val="32"/>
          <w:szCs w:val="32"/>
        </w:rPr>
        <w:t>(</w:t>
      </w:r>
      <w:r w:rsidRPr="00706724" w:rsidR="008721DA">
        <w:rPr>
          <w:rFonts w:ascii="Arial" w:hAnsi="Arial" w:cs="Arial"/>
          <w:sz w:val="32"/>
          <w:szCs w:val="32"/>
        </w:rPr>
        <w:t>2429364</w:t>
      </w:r>
      <w:r w:rsidRPr="00706724">
        <w:rPr>
          <w:rFonts w:ascii="Arial" w:hAnsi="Arial" w:cs="Arial"/>
          <w:sz w:val="32"/>
          <w:szCs w:val="32"/>
        </w:rPr>
        <w:t>)</w:t>
      </w:r>
    </w:p>
    <w:p w:rsidRPr="00706724" w:rsidR="009F64C5" w:rsidP="00A70BBB" w:rsidRDefault="009F64C5" w14:paraId="1062A64A" w14:textId="0C6717F1">
      <w:pPr>
        <w:spacing w:after="0" w:line="360" w:lineRule="auto"/>
        <w:ind w:left="59"/>
        <w:jc w:val="center"/>
        <w:rPr>
          <w:rFonts w:ascii="Arial" w:hAnsi="Arial" w:cs="Arial"/>
          <w:b/>
          <w:bCs/>
          <w:sz w:val="32"/>
          <w:szCs w:val="32"/>
        </w:rPr>
      </w:pPr>
    </w:p>
    <w:p w:rsidRPr="00706724" w:rsidR="009F64C5" w:rsidP="00A70BBB" w:rsidRDefault="009F64C5" w14:paraId="5CAC7C58" w14:textId="7027D143">
      <w:pPr>
        <w:spacing w:after="0" w:line="360" w:lineRule="auto"/>
        <w:jc w:val="center"/>
        <w:rPr>
          <w:rFonts w:ascii="Arial" w:hAnsi="Arial" w:cs="Arial"/>
          <w:sz w:val="32"/>
          <w:szCs w:val="32"/>
        </w:rPr>
      </w:pPr>
    </w:p>
    <w:p w:rsidRPr="00706724" w:rsidR="009F64C5" w:rsidP="00A70BBB" w:rsidRDefault="009F64C5" w14:paraId="75DE2693" w14:textId="1C51401D">
      <w:pPr>
        <w:spacing w:after="0" w:line="360" w:lineRule="auto"/>
        <w:ind w:left="59"/>
        <w:jc w:val="center"/>
        <w:rPr>
          <w:rFonts w:ascii="Arial" w:hAnsi="Arial" w:cs="Arial"/>
          <w:sz w:val="32"/>
          <w:szCs w:val="32"/>
        </w:rPr>
      </w:pPr>
      <w:r w:rsidRPr="00706724">
        <w:rPr>
          <w:rFonts w:ascii="Arial" w:hAnsi="Arial" w:cs="Arial"/>
          <w:sz w:val="32"/>
          <w:szCs w:val="32"/>
        </w:rPr>
        <w:t xml:space="preserve">A Dissertation submitted in partial fulfilment of the requirements for the degree of </w:t>
      </w:r>
      <w:r w:rsidRPr="00706724" w:rsidR="00466477">
        <w:rPr>
          <w:rFonts w:ascii="Arial" w:hAnsi="Arial" w:cs="Arial"/>
          <w:sz w:val="32"/>
          <w:szCs w:val="32"/>
        </w:rPr>
        <w:t>Master of Science</w:t>
      </w:r>
      <w:r w:rsidRPr="00706724">
        <w:rPr>
          <w:rFonts w:ascii="Arial" w:hAnsi="Arial" w:cs="Arial"/>
          <w:sz w:val="32"/>
          <w:szCs w:val="32"/>
        </w:rPr>
        <w:t xml:space="preserve"> in Public Health and Social Care in Practice</w:t>
      </w:r>
    </w:p>
    <w:p w:rsidRPr="00706724" w:rsidR="009F64C5" w:rsidP="00A70BBB" w:rsidRDefault="009F64C5" w14:paraId="2678540A" w14:textId="77777777">
      <w:pPr>
        <w:spacing w:after="0" w:line="360" w:lineRule="auto"/>
        <w:ind w:left="59"/>
        <w:jc w:val="center"/>
        <w:rPr>
          <w:rFonts w:ascii="Arial" w:hAnsi="Arial" w:cs="Arial"/>
          <w:sz w:val="32"/>
          <w:szCs w:val="32"/>
        </w:rPr>
      </w:pPr>
    </w:p>
    <w:p w:rsidRPr="00706724" w:rsidR="009F64C5" w:rsidP="00A70BBB" w:rsidRDefault="009F64C5" w14:paraId="48468714" w14:textId="77777777">
      <w:pPr>
        <w:spacing w:after="0" w:line="360" w:lineRule="auto"/>
        <w:jc w:val="center"/>
        <w:rPr>
          <w:rFonts w:ascii="Arial" w:hAnsi="Arial" w:cs="Arial"/>
          <w:b/>
          <w:bCs/>
          <w:sz w:val="32"/>
          <w:szCs w:val="32"/>
        </w:rPr>
      </w:pPr>
    </w:p>
    <w:p w:rsidRPr="00706724" w:rsidR="009F64C5" w:rsidP="00A70BBB" w:rsidRDefault="34630932" w14:paraId="7C5AA9DE" w14:textId="3566044E">
      <w:pPr>
        <w:spacing w:after="0" w:line="360" w:lineRule="auto"/>
        <w:jc w:val="center"/>
        <w:rPr>
          <w:rFonts w:ascii="Arial" w:hAnsi="Arial" w:cs="Arial"/>
          <w:b/>
          <w:bCs/>
          <w:sz w:val="32"/>
          <w:szCs w:val="32"/>
        </w:rPr>
      </w:pPr>
      <w:r w:rsidRPr="00706724">
        <w:rPr>
          <w:rFonts w:ascii="Arial" w:hAnsi="Arial" w:cs="Arial"/>
          <w:b/>
          <w:bCs/>
          <w:sz w:val="32"/>
          <w:szCs w:val="32"/>
        </w:rPr>
        <w:t>T</w:t>
      </w:r>
      <w:r w:rsidRPr="00706724" w:rsidR="009F64C5">
        <w:rPr>
          <w:rFonts w:ascii="Arial" w:hAnsi="Arial" w:cs="Arial"/>
          <w:b/>
          <w:bCs/>
          <w:sz w:val="32"/>
          <w:szCs w:val="32"/>
        </w:rPr>
        <w:t>he Institute of Inner</w:t>
      </w:r>
      <w:r w:rsidRPr="00706724" w:rsidR="4EFAA9D8">
        <w:rPr>
          <w:rFonts w:ascii="Arial" w:hAnsi="Arial" w:cs="Arial"/>
          <w:b/>
          <w:bCs/>
          <w:sz w:val="32"/>
          <w:szCs w:val="32"/>
        </w:rPr>
        <w:t>-</w:t>
      </w:r>
      <w:r w:rsidRPr="00706724" w:rsidR="009F64C5">
        <w:rPr>
          <w:rFonts w:ascii="Arial" w:hAnsi="Arial" w:cs="Arial"/>
          <w:b/>
          <w:bCs/>
          <w:sz w:val="32"/>
          <w:szCs w:val="32"/>
        </w:rPr>
        <w:t>City Learning</w:t>
      </w:r>
    </w:p>
    <w:p w:rsidRPr="00706724" w:rsidR="009F64C5" w:rsidP="00A70BBB" w:rsidRDefault="009F64C5" w14:paraId="0A089F1E" w14:textId="7EF44560">
      <w:pPr>
        <w:spacing w:after="0" w:line="360" w:lineRule="auto"/>
        <w:jc w:val="center"/>
        <w:rPr>
          <w:rFonts w:ascii="Arial" w:hAnsi="Arial" w:cs="Arial"/>
          <w:b/>
          <w:bCs/>
          <w:sz w:val="32"/>
          <w:szCs w:val="32"/>
        </w:rPr>
      </w:pPr>
      <w:r w:rsidRPr="00706724">
        <w:rPr>
          <w:rFonts w:ascii="Arial" w:hAnsi="Arial" w:cs="Arial"/>
          <w:b/>
          <w:bCs/>
          <w:sz w:val="32"/>
          <w:szCs w:val="32"/>
        </w:rPr>
        <w:t>University of Wales Trinity Saint David – London Campus</w:t>
      </w:r>
    </w:p>
    <w:p w:rsidRPr="00706724" w:rsidR="009F64C5" w:rsidP="00A70BBB" w:rsidRDefault="009F64C5" w14:paraId="4C4866B4" w14:textId="77777777">
      <w:pPr>
        <w:spacing w:after="0" w:line="360" w:lineRule="auto"/>
        <w:ind w:left="2367" w:right="2357"/>
        <w:jc w:val="center"/>
        <w:rPr>
          <w:rFonts w:ascii="Arial" w:hAnsi="Arial" w:cs="Arial"/>
          <w:b/>
          <w:bCs/>
          <w:sz w:val="32"/>
          <w:szCs w:val="32"/>
        </w:rPr>
      </w:pPr>
    </w:p>
    <w:p w:rsidRPr="00706724" w:rsidR="009F64C5" w:rsidP="00A70BBB" w:rsidRDefault="009F64C5" w14:paraId="52A3D603" w14:textId="77777777">
      <w:pPr>
        <w:spacing w:after="0" w:line="360" w:lineRule="auto"/>
        <w:ind w:left="2367" w:right="2357"/>
        <w:jc w:val="center"/>
        <w:rPr>
          <w:rFonts w:ascii="Arial" w:hAnsi="Arial" w:cs="Arial"/>
          <w:b/>
          <w:bCs/>
          <w:sz w:val="32"/>
          <w:szCs w:val="32"/>
        </w:rPr>
      </w:pPr>
    </w:p>
    <w:p w:rsidRPr="00706724" w:rsidR="00113366" w:rsidP="00A70BBB" w:rsidRDefault="009F64C5" w14:paraId="5D8C4E6F" w14:textId="4293DD78">
      <w:pPr>
        <w:spacing w:after="0" w:line="360" w:lineRule="auto"/>
        <w:ind w:left="2367" w:right="2357"/>
        <w:jc w:val="center"/>
        <w:rPr>
          <w:rFonts w:ascii="Arial" w:hAnsi="Arial" w:cs="Arial"/>
          <w:b/>
          <w:bCs/>
          <w:sz w:val="32"/>
          <w:szCs w:val="32"/>
        </w:rPr>
      </w:pPr>
      <w:r w:rsidRPr="00706724">
        <w:rPr>
          <w:rFonts w:ascii="Arial" w:hAnsi="Arial" w:cs="Arial"/>
          <w:b/>
          <w:bCs/>
          <w:sz w:val="32"/>
          <w:szCs w:val="32"/>
        </w:rPr>
        <w:t>[</w:t>
      </w:r>
      <w:r w:rsidRPr="00706724" w:rsidR="00CC56BA">
        <w:rPr>
          <w:rFonts w:ascii="Arial" w:hAnsi="Arial" w:cs="Arial"/>
          <w:b/>
          <w:bCs/>
          <w:sz w:val="32"/>
          <w:szCs w:val="32"/>
        </w:rPr>
        <w:t>June</w:t>
      </w:r>
      <w:r w:rsidRPr="00706724">
        <w:rPr>
          <w:rFonts w:ascii="Arial" w:hAnsi="Arial" w:cs="Arial"/>
          <w:b/>
          <w:bCs/>
          <w:sz w:val="32"/>
          <w:szCs w:val="32"/>
        </w:rPr>
        <w:t xml:space="preserve"> </w:t>
      </w:r>
      <w:r w:rsidRPr="00706724" w:rsidR="00CC56BA">
        <w:rPr>
          <w:rFonts w:ascii="Arial" w:hAnsi="Arial" w:cs="Arial"/>
          <w:b/>
          <w:bCs/>
          <w:sz w:val="32"/>
          <w:szCs w:val="32"/>
        </w:rPr>
        <w:t>2026</w:t>
      </w:r>
      <w:r w:rsidRPr="00706724">
        <w:rPr>
          <w:rFonts w:ascii="Arial" w:hAnsi="Arial" w:cs="Arial"/>
          <w:b/>
          <w:bCs/>
          <w:sz w:val="32"/>
          <w:szCs w:val="32"/>
        </w:rPr>
        <w:t>]</w:t>
      </w:r>
    </w:p>
    <w:p w:rsidRPr="00706724" w:rsidR="00113366" w:rsidP="00A70BBB" w:rsidRDefault="00AA6610" w14:paraId="46C7FCCD" w14:textId="6AB30A62">
      <w:pPr>
        <w:spacing w:after="0" w:line="360" w:lineRule="auto"/>
        <w:jc w:val="center"/>
        <w:rPr>
          <w:rFonts w:ascii="Arial" w:hAnsi="Arial" w:cs="Arial"/>
          <w:b/>
          <w:bCs/>
          <w:sz w:val="32"/>
          <w:szCs w:val="32"/>
        </w:rPr>
      </w:pPr>
      <w:r w:rsidRPr="00706724">
        <w:rPr>
          <w:rFonts w:ascii="Arial" w:hAnsi="Arial" w:cs="Arial"/>
          <w:b/>
          <w:bCs/>
          <w:sz w:val="32"/>
          <w:szCs w:val="32"/>
        </w:rPr>
        <w:t>Word counts: 16,2</w:t>
      </w:r>
      <w:r w:rsidRPr="00706724" w:rsidR="00BA37FF">
        <w:rPr>
          <w:rFonts w:ascii="Arial" w:hAnsi="Arial" w:cs="Arial"/>
          <w:b/>
          <w:bCs/>
          <w:sz w:val="32"/>
          <w:szCs w:val="32"/>
        </w:rPr>
        <w:t>48</w:t>
      </w:r>
      <w:r w:rsidRPr="00706724" w:rsidR="00113366">
        <w:rPr>
          <w:rFonts w:ascii="Arial" w:hAnsi="Arial" w:cs="Arial"/>
          <w:b/>
          <w:bCs/>
          <w:sz w:val="32"/>
          <w:szCs w:val="32"/>
        </w:rPr>
        <w:br w:type="page"/>
      </w:r>
    </w:p>
    <w:p w:rsidRPr="00BF57FF" w:rsidR="00113366" w:rsidP="00A70BBB" w:rsidRDefault="00113366" w14:paraId="013A249C" w14:textId="77777777">
      <w:pPr>
        <w:spacing w:after="0" w:line="360" w:lineRule="auto"/>
        <w:jc w:val="both"/>
        <w:rPr>
          <w:rFonts w:ascii="Arial" w:hAnsi="Arial" w:eastAsia="Times New Roman" w:cs="Arial"/>
          <w:b/>
          <w:bCs/>
          <w:color w:val="000000" w:themeColor="text1"/>
        </w:rPr>
      </w:pPr>
      <w:r w:rsidRPr="00BF57FF">
        <w:rPr>
          <w:rFonts w:ascii="Arial" w:hAnsi="Arial" w:eastAsia="Times New Roman" w:cs="Arial"/>
          <w:b/>
          <w:bCs/>
          <w:color w:val="000000" w:themeColor="text1"/>
        </w:rPr>
        <w:t>DECLARATION</w:t>
      </w:r>
    </w:p>
    <w:p w:rsidRPr="00BF57FF" w:rsidR="00113366" w:rsidP="00A70BBB" w:rsidRDefault="00113366" w14:paraId="2E9B29DF" w14:textId="77777777">
      <w:pPr>
        <w:spacing w:after="0" w:line="360" w:lineRule="auto"/>
        <w:jc w:val="both"/>
        <w:rPr>
          <w:rFonts w:ascii="Arial" w:hAnsi="Arial" w:eastAsia="Times New Roman" w:cs="Arial"/>
          <w:color w:val="000000" w:themeColor="text1"/>
        </w:rPr>
      </w:pPr>
    </w:p>
    <w:p w:rsidRPr="00BF57FF" w:rsidR="00113366" w:rsidP="00A70BBB" w:rsidRDefault="00113366" w14:paraId="46A549CB" w14:textId="5E3AB1D0">
      <w:pPr>
        <w:spacing w:after="0" w:line="360" w:lineRule="auto"/>
        <w:jc w:val="both"/>
        <w:rPr>
          <w:rFonts w:ascii="Arial" w:hAnsi="Arial" w:eastAsia="Times New Roman" w:cs="Arial"/>
          <w:color w:val="000000" w:themeColor="text1"/>
        </w:rPr>
      </w:pPr>
      <w:r w:rsidRPr="00BF57FF">
        <w:rPr>
          <w:rFonts w:ascii="Arial" w:hAnsi="Arial" w:cs="Arial"/>
          <w:noProof/>
        </w:rPr>
        <mc:AlternateContent>
          <mc:Choice Requires="wpi">
            <w:drawing>
              <wp:anchor distT="0" distB="0" distL="114300" distR="114300" simplePos="0" relativeHeight="251658240" behindDoc="0" locked="0" layoutInCell="1" allowOverlap="1" wp14:anchorId="516997D9" wp14:editId="5AF351F2">
                <wp:simplePos x="0" y="0"/>
                <wp:positionH relativeFrom="column">
                  <wp:posOffset>-1623695</wp:posOffset>
                </wp:positionH>
                <wp:positionV relativeFrom="paragraph">
                  <wp:posOffset>235585</wp:posOffset>
                </wp:positionV>
                <wp:extent cx="18415" cy="18415"/>
                <wp:effectExtent l="62230" t="65405" r="52705" b="59055"/>
                <wp:wrapNone/>
                <wp:docPr id="1585084435"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w:pict w14:anchorId="08587703">
              <v:shapetype id="_x0000_t75" coordsize="21600,21600" filled="f" stroked="f" o:spt="75" o:preferrelative="t" path="m@4@5l@4@11@9@11@9@5xe" w14:anchorId="665027F2">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16" style="position:absolute;margin-left:-164.1pt;margin-top:-17.7pt;width:72.5pt;height:7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">
                <v:imagedata o:title="" r:id="rId10"/>
                <o:lock v:ext="edit" rotation="t" verticies="t" shapetype="t"/>
              </v:shape>
            </w:pict>
          </mc:Fallback>
        </mc:AlternateContent>
      </w:r>
      <w:r w:rsidRPr="00BF57FF">
        <w:rPr>
          <w:rFonts w:ascii="Arial" w:hAnsi="Arial" w:cs="Arial"/>
          <w:noProof/>
        </w:rPr>
        <mc:AlternateContent>
          <mc:Choice Requires="wpi">
            <w:drawing>
              <wp:anchor distT="0" distB="0" distL="114300" distR="114300" simplePos="0" relativeHeight="251658241" behindDoc="0" locked="0" layoutInCell="1" allowOverlap="1" wp14:anchorId="439BA341" wp14:editId="44D2D57F">
                <wp:simplePos x="0" y="0"/>
                <wp:positionH relativeFrom="column">
                  <wp:posOffset>-1623695</wp:posOffset>
                </wp:positionH>
                <wp:positionV relativeFrom="paragraph">
                  <wp:posOffset>241935</wp:posOffset>
                </wp:positionV>
                <wp:extent cx="18415" cy="23495"/>
                <wp:effectExtent l="62230" t="62230" r="52705" b="47625"/>
                <wp:wrapNone/>
                <wp:docPr id="1665893575"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noChangeAspect="1" noEditPoints="1" noChangeArrowheads="1" noChangeShapeType="1"/>
                        </w14:cNvContentPartPr>
                      </w14:nvContentPartPr>
                      <w14:xfrm>
                        <a:off x="0" y="0"/>
                        <a:ext cx="18415" cy="23495"/>
                      </w14:xfrm>
                    </w14:contentPart>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w:pict w14:anchorId="1696EA42">
              <v:shape id="Ink 15" style="position:absolute;margin-left:-164.1pt;margin-top:18.35pt;width:72.5pt;height:3.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" w14:anchorId="253C97BC">
                <v:imagedata o:title="" r:id="rId10"/>
                <o:lock v:ext="edit" rotation="t" verticies="t" shapetype="t"/>
              </v:shape>
            </w:pict>
          </mc:Fallback>
        </mc:AlternateContent>
      </w:r>
      <w:r w:rsidRPr="00BF57FF">
        <w:rPr>
          <w:rFonts w:ascii="Arial" w:hAnsi="Arial" w:cs="Arial"/>
          <w:noProof/>
        </w:rPr>
        <mc:AlternateContent>
          <mc:Choice Requires="wpi">
            <w:drawing>
              <wp:anchor distT="0" distB="0" distL="114300" distR="114300" simplePos="0" relativeHeight="251658242" behindDoc="0" locked="0" layoutInCell="1" allowOverlap="1" wp14:anchorId="67553DA7" wp14:editId="4C2B2BAD">
                <wp:simplePos x="0" y="0"/>
                <wp:positionH relativeFrom="column">
                  <wp:posOffset>-1623695</wp:posOffset>
                </wp:positionH>
                <wp:positionV relativeFrom="paragraph">
                  <wp:posOffset>245745</wp:posOffset>
                </wp:positionV>
                <wp:extent cx="18415" cy="18415"/>
                <wp:effectExtent l="62230" t="66040" r="52705" b="58420"/>
                <wp:wrapNone/>
                <wp:docPr id="292278982"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w:pict w14:anchorId="79662B3F">
              <v:shape id="Ink 14" style="position:absolute;margin-left:-164.1pt;margin-top:-16.9pt;width:72.5pt;height: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" w14:anchorId="5680CE78">
                <v:imagedata o:title="" r:id="rId10"/>
                <o:lock v:ext="edit" rotation="t" verticies="t" shapetype="t"/>
              </v:shape>
            </w:pict>
          </mc:Fallback>
        </mc:AlternateContent>
      </w:r>
      <w:r w:rsidRPr="00BF57FF">
        <w:rPr>
          <w:rFonts w:ascii="Arial" w:hAnsi="Arial" w:cs="Arial"/>
          <w:noProof/>
        </w:rPr>
        <mc:AlternateContent>
          <mc:Choice Requires="wpi">
            <w:drawing>
              <wp:anchor distT="0" distB="0" distL="114300" distR="114300" simplePos="0" relativeHeight="251658243" behindDoc="0" locked="0" layoutInCell="1" allowOverlap="1" wp14:anchorId="2F3756ED" wp14:editId="790E9C15">
                <wp:simplePos x="0" y="0"/>
                <wp:positionH relativeFrom="column">
                  <wp:posOffset>-1935480</wp:posOffset>
                </wp:positionH>
                <wp:positionV relativeFrom="paragraph">
                  <wp:posOffset>243840</wp:posOffset>
                </wp:positionV>
                <wp:extent cx="18415" cy="18415"/>
                <wp:effectExtent l="64770" t="63500" r="50165" b="51435"/>
                <wp:wrapNone/>
                <wp:docPr id="968857555"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w:pict w14:anchorId="38135702">
              <v:shape id="Ink 11" style="position:absolute;margin-left:-188.65pt;margin-top:-17.05pt;width:72.5pt;height:7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" w14:anchorId="60C55C8D">
                <v:imagedata o:title="" r:id="rId14"/>
                <o:lock v:ext="edit" rotation="t" verticies="t" shapetype="t"/>
              </v:shape>
            </w:pict>
          </mc:Fallback>
        </mc:AlternateContent>
      </w:r>
      <w:r w:rsidRPr="00BF57FF" w:rsidR="008A73BC">
        <w:rPr>
          <w:rFonts w:ascii="Arial" w:hAnsi="Arial" w:eastAsia="Times New Roman" w:cs="Arial"/>
          <w:color w:val="000000" w:themeColor="text1"/>
        </w:rPr>
        <w:t xml:space="preserve">I, </w:t>
      </w:r>
      <w:r w:rsidRPr="00BF57FF" w:rsidR="00690C66">
        <w:rPr>
          <w:rFonts w:ascii="Arial" w:hAnsi="Arial" w:cs="Arial"/>
          <w:b w:val="1"/>
          <w:bCs w:val="1"/>
        </w:rPr>
        <w:t>MUHAMMAD HUSSAIN AL HUZAIBI HASHMI,</w:t>
      </w:r>
      <w:r w:rsidRPr="00BF57FF" w:rsidR="008A73BC">
        <w:rPr>
          <w:rFonts w:ascii="Arial" w:hAnsi="Arial" w:eastAsia="Times New Roman" w:cs="Arial"/>
          <w:color w:val="000000" w:themeColor="text1"/>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BF57FF" w:rsidR="00113366">
        <w:rPr>
          <w:rFonts w:ascii="Arial" w:hAnsi="Arial" w:eastAsia="Times New Roman" w:cs="Arial"/>
          <w:color w:val="000000" w:themeColor="text1"/>
        </w:rPr>
        <w:t>.</w:t>
      </w:r>
      <w:r w:rsidRPr="00BF57FF" w:rsidR="63EEFD47">
        <w:rPr>
          <w:rFonts w:ascii="Arial" w:hAnsi="Arial" w:eastAsia="Times New Roman" w:cs="Arial"/>
          <w:color w:val="000000" w:themeColor="text1"/>
        </w:rPr>
        <w:t xml:space="preserve"> </w:t>
      </w:r>
    </w:p>
    <w:p w:rsidRPr="00BF57FF" w:rsidR="00113366" w:rsidP="00A70BBB" w:rsidRDefault="00113366" w14:paraId="5E2BD27D" w14:textId="77777777">
      <w:pPr>
        <w:spacing w:after="0" w:line="360" w:lineRule="auto"/>
        <w:jc w:val="both"/>
        <w:rPr>
          <w:rFonts w:ascii="Arial" w:hAnsi="Arial" w:eastAsia="Times New Roman" w:cs="Arial"/>
          <w:color w:val="000000" w:themeColor="text1"/>
        </w:rPr>
      </w:pPr>
    </w:p>
    <w:p w:rsidRPr="00BF57FF" w:rsidR="00113366" w:rsidP="00A70BBB" w:rsidRDefault="00113366" w14:paraId="5236DF40" w14:textId="41A74648">
      <w:pPr>
        <w:spacing w:after="0" w:line="360" w:lineRule="auto"/>
        <w:jc w:val="both"/>
        <w:rPr>
          <w:rFonts w:ascii="Arial" w:hAnsi="Arial" w:eastAsia="Times New Roman" w:cs="Arial"/>
          <w:color w:val="000000" w:themeColor="text1"/>
        </w:rPr>
      </w:pPr>
      <w:r w:rsidRPr="00BF57FF">
        <w:rPr>
          <w:rFonts w:ascii="Arial" w:hAnsi="Arial" w:eastAsia="Times New Roman" w:cs="Arial"/>
          <w:color w:val="000000" w:themeColor="text1"/>
        </w:rPr>
        <w:t>Signed</w:t>
      </w:r>
      <w:r w:rsidRPr="00BF57FF" w:rsidR="008A73BC">
        <w:rPr>
          <w:rFonts w:ascii="Arial" w:hAnsi="Arial" w:eastAsia="Times New Roman" w:cs="Arial"/>
          <w:color w:val="000000" w:themeColor="text1"/>
        </w:rPr>
        <w:t>:</w:t>
      </w:r>
      <w:r w:rsidRPr="00BF57FF" w:rsidR="00690C66">
        <w:rPr>
          <w:rFonts w:ascii="Arial" w:hAnsi="Arial" w:eastAsia="Times New Roman" w:cs="Arial"/>
          <w:color w:val="000000" w:themeColor="text1"/>
        </w:rPr>
        <w:t xml:space="preserve"> </w:t>
      </w:r>
      <w:r w:rsidRPr="00BF57FF" w:rsidR="00690C66">
        <w:rPr>
          <w:rFonts w:ascii="Arial" w:hAnsi="Arial" w:cs="Arial"/>
          <w:b/>
          <w:bCs/>
          <w:u w:val="dotted"/>
        </w:rPr>
        <w:t>MUHAMMAD HUSSAIN AL HUZAIBI HASHMI</w:t>
      </w:r>
    </w:p>
    <w:p w:rsidRPr="00BF57FF" w:rsidR="00113366" w:rsidP="00A70BBB" w:rsidRDefault="00113366" w14:paraId="1E1F6BED" w14:textId="77777777">
      <w:pPr>
        <w:spacing w:after="0" w:line="360" w:lineRule="auto"/>
        <w:jc w:val="both"/>
        <w:rPr>
          <w:rFonts w:ascii="Arial" w:hAnsi="Arial" w:eastAsia="Times New Roman" w:cs="Arial"/>
          <w:color w:val="000000" w:themeColor="text1"/>
        </w:rPr>
      </w:pPr>
    </w:p>
    <w:p w:rsidRPr="00BF57FF" w:rsidR="00113366" w:rsidP="00A70BBB" w:rsidRDefault="00113366" w14:paraId="367C1620" w14:textId="59EA201B">
      <w:pPr>
        <w:spacing w:after="0" w:line="360" w:lineRule="auto"/>
        <w:jc w:val="both"/>
        <w:rPr>
          <w:rFonts w:ascii="Arial" w:hAnsi="Arial" w:eastAsia="Times New Roman" w:cs="Arial"/>
          <w:color w:val="000000" w:themeColor="text1"/>
        </w:rPr>
      </w:pPr>
      <w:r w:rsidRPr="00BF57FF">
        <w:rPr>
          <w:rFonts w:ascii="Arial" w:hAnsi="Arial" w:eastAsia="Times New Roman" w:cs="Arial"/>
          <w:color w:val="000000" w:themeColor="text1"/>
        </w:rPr>
        <w:t>Date:</w:t>
      </w:r>
      <w:r w:rsidRPr="00BF57FF" w:rsidR="00690C66">
        <w:rPr>
          <w:rFonts w:ascii="Arial" w:hAnsi="Arial" w:eastAsia="Times New Roman" w:cs="Arial"/>
          <w:color w:val="000000" w:themeColor="text1"/>
        </w:rPr>
        <w:t xml:space="preserve"> </w:t>
      </w:r>
      <w:r w:rsidRPr="00BF57FF" w:rsidR="00CC56BA">
        <w:rPr>
          <w:rFonts w:ascii="Arial" w:hAnsi="Arial" w:eastAsia="Times New Roman" w:cs="Arial"/>
          <w:color w:val="000000" w:themeColor="text1"/>
          <w:u w:val="dotted"/>
        </w:rPr>
        <w:t>0</w:t>
      </w:r>
      <w:r w:rsidR="00D6486B">
        <w:rPr>
          <w:rFonts w:ascii="Arial" w:hAnsi="Arial" w:eastAsia="Times New Roman" w:cs="Arial"/>
          <w:color w:val="000000" w:themeColor="text1"/>
          <w:u w:val="dotted"/>
        </w:rPr>
        <w:t>2</w:t>
      </w:r>
      <w:r w:rsidRPr="00BF57FF" w:rsidR="00CC56BA">
        <w:rPr>
          <w:rFonts w:ascii="Arial" w:hAnsi="Arial" w:eastAsia="Times New Roman" w:cs="Arial"/>
          <w:color w:val="000000" w:themeColor="text1"/>
          <w:u w:val="dotted"/>
        </w:rPr>
        <w:t>/06/2026</w:t>
      </w:r>
    </w:p>
    <w:p w:rsidRPr="00BF57FF" w:rsidR="009F64C5" w:rsidP="00A70BBB" w:rsidRDefault="009F64C5" w14:paraId="2C702A82" w14:textId="77777777">
      <w:pPr>
        <w:spacing w:after="0" w:line="360" w:lineRule="auto"/>
        <w:ind w:right="2357"/>
        <w:jc w:val="both"/>
        <w:rPr>
          <w:rFonts w:ascii="Arial" w:hAnsi="Arial" w:cs="Arial"/>
          <w:b/>
          <w:bCs/>
        </w:rPr>
      </w:pPr>
    </w:p>
    <w:p w:rsidRPr="00BF57FF" w:rsidR="009F64C5" w:rsidP="00A70BBB" w:rsidRDefault="009F64C5" w14:paraId="6AA9D53C" w14:textId="77777777">
      <w:pPr>
        <w:spacing w:after="0" w:line="360" w:lineRule="auto"/>
        <w:jc w:val="both"/>
        <w:rPr>
          <w:rFonts w:ascii="Arial" w:hAnsi="Arial" w:cs="Arial"/>
        </w:rPr>
      </w:pPr>
      <w:r w:rsidRPr="00BF57FF">
        <w:rPr>
          <w:rFonts w:ascii="Arial" w:hAnsi="Arial" w:cs="Arial"/>
          <w:color w:val="0070C0"/>
        </w:rPr>
        <w:t xml:space="preserve"> </w:t>
      </w:r>
      <w:r w:rsidRPr="00BF57FF">
        <w:rPr>
          <w:rFonts w:ascii="Arial" w:hAnsi="Arial" w:cs="Arial"/>
          <w:color w:val="0070C0"/>
        </w:rPr>
        <w:tab/>
      </w:r>
      <w:r w:rsidRPr="00BF57FF">
        <w:rPr>
          <w:rFonts w:ascii="Arial" w:hAnsi="Arial" w:cs="Arial"/>
          <w:color w:val="0070C0"/>
        </w:rPr>
        <w:t xml:space="preserve"> </w:t>
      </w:r>
    </w:p>
    <w:p w:rsidRPr="00BF57FF" w:rsidR="009F64C5" w:rsidP="00A70BBB" w:rsidRDefault="009F64C5" w14:paraId="02286F32" w14:textId="77777777">
      <w:pPr>
        <w:spacing w:after="0" w:line="360" w:lineRule="auto"/>
        <w:jc w:val="center"/>
        <w:rPr>
          <w:rFonts w:ascii="Arial" w:hAnsi="Arial" w:eastAsia="Times New Roman" w:cs="Arial"/>
          <w:b/>
          <w:color w:val="000000"/>
        </w:rPr>
      </w:pPr>
      <w:r w:rsidRPr="00BF57FF">
        <w:rPr>
          <w:rFonts w:ascii="Arial" w:hAnsi="Arial" w:cs="Arial"/>
        </w:rPr>
        <w:br w:type="page"/>
      </w:r>
    </w:p>
    <w:p w:rsidRPr="00BF57FF" w:rsidR="009F64C5" w:rsidP="00A70BBB" w:rsidRDefault="009F64C5" w14:paraId="106641A1" w14:textId="36A31B20">
      <w:pPr>
        <w:spacing w:after="0" w:line="360" w:lineRule="auto"/>
        <w:jc w:val="center"/>
        <w:rPr>
          <w:rFonts w:ascii="Arial" w:hAnsi="Arial" w:cs="Arial"/>
          <w:b/>
          <w:bCs/>
        </w:rPr>
      </w:pPr>
      <w:bookmarkStart w:name="_Toc231005840" w:id="0"/>
      <w:r w:rsidRPr="00BF57FF">
        <w:rPr>
          <w:rFonts w:ascii="Arial" w:hAnsi="Arial" w:cs="Arial"/>
          <w:b/>
          <w:bCs/>
        </w:rPr>
        <w:t>Acknowledgements</w:t>
      </w:r>
      <w:bookmarkEnd w:id="0"/>
    </w:p>
    <w:p w:rsidRPr="00BF57FF" w:rsidR="009F64C5" w:rsidP="00A70BBB" w:rsidRDefault="009F64C5" w14:paraId="3DF0875E" w14:textId="30141157">
      <w:pPr>
        <w:spacing w:after="0" w:line="360" w:lineRule="auto"/>
        <w:jc w:val="center"/>
        <w:rPr>
          <w:rFonts w:ascii="Arial" w:hAnsi="Arial" w:cs="Arial"/>
        </w:rPr>
      </w:pPr>
    </w:p>
    <w:p w:rsidRPr="00BF57FF" w:rsidR="00AE35F5" w:rsidP="00A70BBB" w:rsidRDefault="00333D84" w14:paraId="6C3F035A" w14:textId="7CF9FA54">
      <w:pPr>
        <w:spacing w:after="0" w:line="360" w:lineRule="auto"/>
        <w:jc w:val="center"/>
        <w:rPr>
          <w:rFonts w:ascii="Arial" w:hAnsi="Arial" w:cs="Arial"/>
        </w:rPr>
      </w:pPr>
      <w:r w:rsidRPr="00BF57FF">
        <w:rPr>
          <w:rFonts w:ascii="Arial" w:hAnsi="Arial" w:cs="Arial"/>
        </w:rPr>
        <w:t xml:space="preserve">I would like to express my sincere gratitude to my supervisor, </w:t>
      </w:r>
      <w:r w:rsidRPr="00BF57FF">
        <w:rPr>
          <w:rFonts w:ascii="Arial" w:hAnsi="Arial" w:cs="Arial"/>
          <w:b/>
          <w:bCs/>
        </w:rPr>
        <w:t>Itse Olaoye</w:t>
      </w:r>
      <w:r w:rsidRPr="00BF57FF">
        <w:rPr>
          <w:rFonts w:ascii="Arial" w:hAnsi="Arial" w:cs="Arial"/>
        </w:rPr>
        <w:t>, for her expert guidance, continuous intellectual stimulation and the generous amount of time she has dedicated to this research project. Their input at various points during the dissertation process went a long way to making the analysis deeper and the writing more accessible</w:t>
      </w:r>
      <w:r w:rsidRPr="00BF57FF" w:rsidR="00223D08">
        <w:rPr>
          <w:rFonts w:ascii="Arial" w:hAnsi="Arial" w:cs="Arial"/>
        </w:rPr>
        <w:t>,</w:t>
      </w:r>
      <w:r w:rsidRPr="00BF57FF">
        <w:rPr>
          <w:rFonts w:ascii="Arial" w:hAnsi="Arial" w:cs="Arial"/>
        </w:rPr>
        <w:t xml:space="preserve"> and this work is much better as a result.</w:t>
      </w:r>
    </w:p>
    <w:p w:rsidRPr="00BF57FF" w:rsidR="00CC56BA" w:rsidP="00A70BBB" w:rsidRDefault="00CC56BA" w14:paraId="593F22E8" w14:textId="77777777">
      <w:pPr>
        <w:spacing w:after="0" w:line="360" w:lineRule="auto"/>
        <w:jc w:val="center"/>
        <w:rPr>
          <w:rFonts w:ascii="Arial" w:hAnsi="Arial" w:cs="Arial"/>
        </w:rPr>
      </w:pPr>
    </w:p>
    <w:p w:rsidRPr="00BF57FF" w:rsidR="00AE35F5" w:rsidP="00A70BBB" w:rsidRDefault="00A23842" w14:paraId="487074BA" w14:textId="1D055C0F">
      <w:pPr>
        <w:spacing w:after="0" w:line="360" w:lineRule="auto"/>
        <w:jc w:val="center"/>
        <w:rPr>
          <w:rFonts w:ascii="Arial" w:hAnsi="Arial" w:cs="Arial"/>
        </w:rPr>
      </w:pPr>
      <w:r w:rsidRPr="00BF57FF">
        <w:rPr>
          <w:rFonts w:ascii="Arial" w:hAnsi="Arial" w:cs="Arial"/>
        </w:rPr>
        <w:t>I would also like to express my thanks to the electronic databases and resources made available through the University of Wales Trinity Saint David (UWTSD)</w:t>
      </w:r>
      <w:r w:rsidRPr="00BF57FF" w:rsidR="00223D08">
        <w:rPr>
          <w:rFonts w:ascii="Arial" w:hAnsi="Arial" w:cs="Arial"/>
        </w:rPr>
        <w:t>,</w:t>
      </w:r>
      <w:r w:rsidRPr="00BF57FF">
        <w:rPr>
          <w:rFonts w:ascii="Arial" w:hAnsi="Arial" w:cs="Arial"/>
        </w:rPr>
        <w:t xml:space="preserve"> which would otherwise have been unavailable and to the module team for LCHS7004 for their assistance during the programme.</w:t>
      </w:r>
    </w:p>
    <w:p w:rsidRPr="00BF57FF" w:rsidR="00CC56BA" w:rsidP="00A70BBB" w:rsidRDefault="00CC56BA" w14:paraId="1C632D92" w14:textId="77777777">
      <w:pPr>
        <w:spacing w:after="0" w:line="360" w:lineRule="auto"/>
        <w:jc w:val="center"/>
        <w:rPr>
          <w:rFonts w:ascii="Arial" w:hAnsi="Arial" w:cs="Arial"/>
        </w:rPr>
      </w:pPr>
    </w:p>
    <w:p w:rsidRPr="00BF57FF" w:rsidR="00AE35F5" w:rsidP="00A70BBB" w:rsidRDefault="00927FF7" w14:paraId="1D3AE61A" w14:textId="6EC5CC4B">
      <w:pPr>
        <w:spacing w:after="0" w:line="360" w:lineRule="auto"/>
        <w:jc w:val="center"/>
        <w:rPr>
          <w:rFonts w:ascii="Arial" w:hAnsi="Arial" w:cs="Arial"/>
        </w:rPr>
      </w:pPr>
      <w:r w:rsidRPr="00BF57FF">
        <w:rPr>
          <w:rFonts w:ascii="Arial" w:hAnsi="Arial" w:cs="Arial"/>
        </w:rPr>
        <w:t>Last, but not least, I thank my family for their patience and encouragement in a challenging period of intensive study.</w:t>
      </w:r>
    </w:p>
    <w:p w:rsidRPr="00BF57FF" w:rsidR="00CC56BA" w:rsidP="00A70BBB" w:rsidRDefault="00CC56BA" w14:paraId="2F522085" w14:textId="77777777">
      <w:pPr>
        <w:spacing w:after="0" w:line="360" w:lineRule="auto"/>
        <w:jc w:val="center"/>
        <w:rPr>
          <w:rFonts w:ascii="Arial" w:hAnsi="Arial" w:cs="Arial"/>
        </w:rPr>
      </w:pPr>
    </w:p>
    <w:p w:rsidRPr="00BF57FF" w:rsidR="00AE35F5" w:rsidP="00A70BBB" w:rsidRDefault="00927FF7" w14:paraId="779A47D0" w14:textId="135844AC">
      <w:pPr>
        <w:spacing w:after="0" w:line="360" w:lineRule="auto"/>
        <w:jc w:val="center"/>
        <w:rPr>
          <w:rFonts w:ascii="Arial" w:hAnsi="Arial" w:cs="Arial"/>
        </w:rPr>
      </w:pPr>
      <w:r w:rsidRPr="00BF57FF">
        <w:rPr>
          <w:rFonts w:ascii="Arial" w:hAnsi="Arial" w:cs="Arial"/>
        </w:rPr>
        <w:t>All views expressed in this dissertation are my own.</w:t>
      </w:r>
    </w:p>
    <w:p w:rsidRPr="00BF57FF" w:rsidR="00CC56BA" w:rsidP="00A70BBB" w:rsidRDefault="00CC56BA" w14:paraId="7C7BDB90" w14:textId="77777777">
      <w:pPr>
        <w:spacing w:after="0" w:line="360" w:lineRule="auto"/>
        <w:jc w:val="center"/>
        <w:rPr>
          <w:rFonts w:ascii="Arial" w:hAnsi="Arial" w:cs="Arial"/>
        </w:rPr>
      </w:pPr>
    </w:p>
    <w:p w:rsidRPr="00BF57FF" w:rsidR="00AE35F5" w:rsidP="00A70BBB" w:rsidRDefault="00AE35F5" w14:paraId="74C1E4A1" w14:textId="49576DD3">
      <w:pPr>
        <w:spacing w:after="0" w:line="360" w:lineRule="auto"/>
        <w:jc w:val="center"/>
        <w:rPr>
          <w:rFonts w:ascii="Arial" w:hAnsi="Arial" w:cs="Arial"/>
          <w:highlight w:val="yellow"/>
        </w:rPr>
      </w:pPr>
      <w:r w:rsidRPr="00BF57FF">
        <w:rPr>
          <w:rFonts w:ascii="Arial" w:hAnsi="Arial" w:cs="Arial"/>
          <w:i/>
          <w:iCs/>
        </w:rPr>
        <w:t>Muhammad Hussain Al Huzaibi Hashmi</w:t>
      </w:r>
      <w:r w:rsidRPr="00BF57FF">
        <w:rPr>
          <w:rFonts w:ascii="Arial" w:hAnsi="Arial" w:cs="Arial"/>
        </w:rPr>
        <w:t xml:space="preserve"> </w:t>
      </w:r>
      <w:r w:rsidRPr="00BF57FF">
        <w:rPr>
          <w:rFonts w:ascii="Arial" w:hAnsi="Arial" w:cs="Arial"/>
          <w:i/>
          <w:iCs/>
        </w:rPr>
        <w:t>MSc Public Health and Social Care in Practice | LCHS7004</w:t>
      </w:r>
      <w:r w:rsidRPr="00BF57FF">
        <w:rPr>
          <w:rFonts w:ascii="Arial" w:hAnsi="Arial" w:cs="Arial"/>
        </w:rPr>
        <w:t xml:space="preserve"> </w:t>
      </w:r>
      <w:r w:rsidRPr="00BF57FF">
        <w:rPr>
          <w:rFonts w:ascii="Arial" w:hAnsi="Arial" w:cs="Arial"/>
          <w:i/>
          <w:iCs/>
        </w:rPr>
        <w:t>University of Wales Trinity Saint David</w:t>
      </w:r>
    </w:p>
    <w:p w:rsidRPr="00BF57FF" w:rsidR="009F64C5" w:rsidP="00A70BBB" w:rsidRDefault="009F64C5" w14:paraId="6DD7150D" w14:textId="2090C0BE">
      <w:pPr>
        <w:spacing w:after="0" w:line="360" w:lineRule="auto"/>
        <w:jc w:val="both"/>
        <w:rPr>
          <w:rFonts w:ascii="Arial" w:hAnsi="Arial" w:cs="Arial"/>
        </w:rPr>
      </w:pPr>
    </w:p>
    <w:p w:rsidRPr="00BF57FF" w:rsidR="009F64C5" w:rsidP="00A70BBB" w:rsidRDefault="009F64C5" w14:paraId="6F4F74AD" w14:textId="77777777">
      <w:pPr>
        <w:spacing w:after="0" w:line="360" w:lineRule="auto"/>
        <w:jc w:val="both"/>
        <w:rPr>
          <w:rFonts w:ascii="Arial" w:hAnsi="Arial" w:cs="Arial"/>
        </w:rPr>
      </w:pPr>
      <w:r w:rsidRPr="00BF57FF">
        <w:rPr>
          <w:rFonts w:ascii="Arial" w:hAnsi="Arial" w:cs="Arial"/>
          <w:color w:val="0070C0"/>
        </w:rPr>
        <w:t xml:space="preserve"> </w:t>
      </w:r>
      <w:r w:rsidRPr="00BF57FF">
        <w:rPr>
          <w:rFonts w:ascii="Arial" w:hAnsi="Arial" w:cs="Arial"/>
          <w:color w:val="0070C0"/>
        </w:rPr>
        <w:tab/>
      </w:r>
      <w:r w:rsidRPr="00BF57FF">
        <w:rPr>
          <w:rFonts w:ascii="Arial" w:hAnsi="Arial" w:cs="Arial"/>
          <w:color w:val="0070C0"/>
        </w:rPr>
        <w:t xml:space="preserve"> </w:t>
      </w:r>
      <w:r w:rsidRPr="00BF57FF">
        <w:rPr>
          <w:rFonts w:ascii="Arial" w:hAnsi="Arial" w:cs="Arial"/>
        </w:rPr>
        <w:br w:type="page"/>
      </w:r>
    </w:p>
    <w:p w:rsidRPr="00BF57FF" w:rsidR="009F64C5" w:rsidP="00A70BBB" w:rsidRDefault="009F64C5" w14:paraId="563C12D9" w14:textId="42A94F60">
      <w:pPr>
        <w:pStyle w:val="Heading1"/>
        <w:spacing w:line="360" w:lineRule="auto"/>
        <w:jc w:val="both"/>
        <w:rPr>
          <w:rFonts w:ascii="Arial" w:hAnsi="Arial" w:cs="Arial"/>
          <w:sz w:val="22"/>
        </w:rPr>
      </w:pPr>
      <w:bookmarkStart w:name="_Toc231005841" w:id="1"/>
      <w:bookmarkStart w:name="_Toc231298552" w:id="2"/>
      <w:r w:rsidRPr="00BF57FF">
        <w:rPr>
          <w:rFonts w:ascii="Arial" w:hAnsi="Arial" w:cs="Arial"/>
          <w:sz w:val="22"/>
        </w:rPr>
        <w:t>Abstract</w:t>
      </w:r>
      <w:bookmarkEnd w:id="1"/>
      <w:bookmarkEnd w:id="2"/>
    </w:p>
    <w:p w:rsidRPr="00BF57FF" w:rsidR="0036375F" w:rsidP="00A70BBB" w:rsidRDefault="0036375F" w14:paraId="61014E74" w14:textId="77777777">
      <w:pPr>
        <w:pStyle w:val="font-claude-response-body"/>
        <w:spacing w:before="0" w:beforeAutospacing="0" w:after="0" w:afterAutospacing="0" w:line="360" w:lineRule="auto"/>
        <w:jc w:val="both"/>
        <w:rPr>
          <w:rStyle w:val="Strong"/>
          <w:rFonts w:ascii="Arial" w:hAnsi="Arial" w:cs="Arial"/>
          <w:sz w:val="22"/>
          <w:szCs w:val="22"/>
          <w:lang w:val="en-GB"/>
        </w:rPr>
      </w:pPr>
    </w:p>
    <w:p w:rsidRPr="00BF57FF" w:rsidR="007C143F" w:rsidP="00A70BBB" w:rsidRDefault="007C143F" w14:paraId="73851BD8" w14:textId="661F7CBD">
      <w:pPr>
        <w:pStyle w:val="font-claude-response-body"/>
        <w:spacing w:before="0" w:beforeAutospacing="0" w:after="0" w:afterAutospacing="0" w:line="360" w:lineRule="auto"/>
        <w:jc w:val="both"/>
        <w:rPr>
          <w:rFonts w:ascii="Arial" w:hAnsi="Arial" w:cs="Arial"/>
          <w:sz w:val="22"/>
          <w:szCs w:val="22"/>
          <w:lang w:val="en-GB"/>
        </w:rPr>
      </w:pPr>
      <w:r w:rsidRPr="00BF57FF">
        <w:rPr>
          <w:rStyle w:val="Strong"/>
          <w:rFonts w:ascii="Arial" w:hAnsi="Arial" w:cs="Arial"/>
          <w:sz w:val="22"/>
          <w:szCs w:val="22"/>
          <w:lang w:val="en-GB"/>
        </w:rPr>
        <w:t>Background</w:t>
      </w:r>
    </w:p>
    <w:p w:rsidRPr="00BF57FF" w:rsidR="007C143F" w:rsidP="00A70BBB" w:rsidRDefault="00113913" w14:paraId="548A2DD2" w14:textId="36B40D21">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In India, the highest national burden is 5,726 deaths annually due to dog-related rabies, which ranks highest in the world. The elimination is yet to be achieved despite the WHO Zero by 30 Strategic Plan and the National Action Plan on Dog Mediated Rabies Elimination (NAPRE) in India. The published literature has not </w:t>
      </w:r>
      <w:r w:rsidRPr="00BF57FF" w:rsidR="0023325A">
        <w:rPr>
          <w:rFonts w:ascii="Arial" w:hAnsi="Arial" w:cs="Arial"/>
          <w:sz w:val="22"/>
          <w:szCs w:val="22"/>
          <w:lang w:val="en-GB"/>
        </w:rPr>
        <w:t xml:space="preserve">comprehensively </w:t>
      </w:r>
      <w:r w:rsidRPr="00BF57FF">
        <w:rPr>
          <w:rFonts w:ascii="Arial" w:hAnsi="Arial" w:cs="Arial"/>
          <w:sz w:val="22"/>
          <w:szCs w:val="22"/>
          <w:lang w:val="en-GB"/>
        </w:rPr>
        <w:t>synthesised community-level and health-system barriers to post-exposure prophylaxis (PEP) and surveillance.</w:t>
      </w:r>
    </w:p>
    <w:p w:rsidRPr="00BF57FF" w:rsidR="007C143F" w:rsidP="00A70BBB" w:rsidRDefault="007C143F" w14:paraId="540CB0F9"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Style w:val="Strong"/>
          <w:rFonts w:ascii="Arial" w:hAnsi="Arial" w:cs="Arial"/>
          <w:sz w:val="22"/>
          <w:szCs w:val="22"/>
          <w:lang w:val="en-GB"/>
        </w:rPr>
        <w:t>Methods</w:t>
      </w:r>
    </w:p>
    <w:p w:rsidRPr="00BF57FF" w:rsidR="007C143F" w:rsidP="00A70BBB" w:rsidRDefault="00AA6E3D" w14:paraId="05EE1894" w14:textId="3F953A78">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Systematic review was performed following PRISMA 2020 guidelines, in four electronic databases: PubMed, Scopus, Web of Science and CINAHL (January 2015 -</w:t>
      </w:r>
      <w:r w:rsidRPr="00BF57FF" w:rsidR="0044093E">
        <w:rPr>
          <w:rFonts w:ascii="Arial" w:hAnsi="Arial" w:cs="Arial"/>
          <w:sz w:val="22"/>
          <w:szCs w:val="22"/>
          <w:lang w:val="en-GB"/>
        </w:rPr>
        <w:t>May</w:t>
      </w:r>
      <w:r w:rsidRPr="00BF57FF">
        <w:rPr>
          <w:rFonts w:ascii="Arial" w:hAnsi="Arial" w:cs="Arial"/>
          <w:sz w:val="22"/>
          <w:szCs w:val="22"/>
          <w:lang w:val="en-GB"/>
        </w:rPr>
        <w:t xml:space="preserve"> 202</w:t>
      </w:r>
      <w:r w:rsidRPr="00BF57FF" w:rsidR="0044093E">
        <w:rPr>
          <w:rFonts w:ascii="Arial" w:hAnsi="Arial" w:cs="Arial"/>
          <w:sz w:val="22"/>
          <w:szCs w:val="22"/>
          <w:lang w:val="en-GB"/>
        </w:rPr>
        <w:t>6</w:t>
      </w:r>
      <w:r w:rsidRPr="00BF57FF">
        <w:rPr>
          <w:rFonts w:ascii="Arial" w:hAnsi="Arial" w:cs="Arial"/>
          <w:sz w:val="22"/>
          <w:szCs w:val="22"/>
          <w:lang w:val="en-GB"/>
        </w:rPr>
        <w:t xml:space="preserve">). After </w:t>
      </w:r>
      <w:r w:rsidRPr="00BF57FF" w:rsidR="0023325A">
        <w:rPr>
          <w:rFonts w:ascii="Arial" w:hAnsi="Arial" w:cs="Arial"/>
          <w:sz w:val="22"/>
          <w:szCs w:val="22"/>
          <w:lang w:val="en-GB"/>
        </w:rPr>
        <w:t>screening the</w:t>
      </w:r>
      <w:r w:rsidRPr="00BF57FF">
        <w:rPr>
          <w:rFonts w:ascii="Arial" w:hAnsi="Arial" w:cs="Arial"/>
          <w:sz w:val="22"/>
          <w:szCs w:val="22"/>
          <w:lang w:val="en-GB"/>
        </w:rPr>
        <w:t xml:space="preserve"> title, abstract, and full-text, twelve peer-reviewed articles were incorporated. </w:t>
      </w:r>
      <w:r w:rsidRPr="00BF57FF" w:rsidR="00AB7D2C">
        <w:rPr>
          <w:rFonts w:ascii="Arial" w:hAnsi="Arial" w:cs="Arial"/>
          <w:sz w:val="22"/>
          <w:szCs w:val="22"/>
          <w:lang w:val="en-GB"/>
        </w:rPr>
        <w:t xml:space="preserve">Braun and </w:t>
      </w:r>
      <w:r w:rsidRPr="00BF57FF" w:rsidR="00AA6610">
        <w:rPr>
          <w:rFonts w:ascii="Arial" w:hAnsi="Arial" w:cs="Arial"/>
          <w:sz w:val="22"/>
          <w:szCs w:val="22"/>
          <w:lang w:val="en-GB"/>
        </w:rPr>
        <w:t>Clarke's</w:t>
      </w:r>
      <w:r w:rsidRPr="00BF57FF" w:rsidR="00AB7D2C">
        <w:rPr>
          <w:rFonts w:ascii="Arial" w:hAnsi="Arial" w:cs="Arial"/>
          <w:sz w:val="22"/>
          <w:szCs w:val="22"/>
          <w:lang w:val="en-GB"/>
        </w:rPr>
        <w:t xml:space="preserve"> (2006; 2019)</w:t>
      </w:r>
      <w:r w:rsidRPr="00BF57FF">
        <w:rPr>
          <w:rFonts w:ascii="Arial" w:hAnsi="Arial" w:cs="Arial"/>
          <w:sz w:val="22"/>
          <w:szCs w:val="22"/>
          <w:lang w:val="en-GB"/>
        </w:rPr>
        <w:t xml:space="preserve"> 6-stage framework was applied to thematic synthesis. CASP and AXIS were used to conduct quality appraisal.</w:t>
      </w:r>
    </w:p>
    <w:p w:rsidRPr="00BF57FF" w:rsidR="007C143F" w:rsidP="00A70BBB" w:rsidRDefault="007C143F" w14:paraId="1A318A42"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Style w:val="Strong"/>
          <w:rFonts w:ascii="Arial" w:hAnsi="Arial" w:cs="Arial"/>
          <w:sz w:val="22"/>
          <w:szCs w:val="22"/>
          <w:lang w:val="en-GB"/>
        </w:rPr>
        <w:t>Findings</w:t>
      </w:r>
    </w:p>
    <w:p w:rsidRPr="00BF57FF" w:rsidR="007C143F" w:rsidP="00A70BBB" w:rsidRDefault="00626353" w14:paraId="7991CB0F" w14:textId="3322BFA0">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They were categorized into four themes: (1) </w:t>
      </w:r>
      <w:r w:rsidRPr="00BF57FF">
        <w:rPr>
          <w:rFonts w:ascii="Arial" w:hAnsi="Arial" w:cs="Arial"/>
          <w:i/>
          <w:iCs/>
          <w:sz w:val="22"/>
          <w:szCs w:val="22"/>
          <w:lang w:val="en-GB"/>
        </w:rPr>
        <w:t>Community Knowledge Gaps and Risk Perception Deficits</w:t>
      </w:r>
      <w:r w:rsidRPr="00BF57FF" w:rsidR="00223D08">
        <w:rPr>
          <w:rFonts w:ascii="Arial" w:hAnsi="Arial" w:cs="Arial"/>
          <w:sz w:val="22"/>
          <w:szCs w:val="22"/>
          <w:lang w:val="en-GB"/>
        </w:rPr>
        <w:t>,</w:t>
      </w:r>
      <w:r w:rsidRPr="00BF57FF">
        <w:rPr>
          <w:rFonts w:ascii="Arial" w:hAnsi="Arial" w:cs="Arial"/>
          <w:sz w:val="22"/>
          <w:szCs w:val="22"/>
          <w:lang w:val="en-GB"/>
        </w:rPr>
        <w:t xml:space="preserve"> widespread lack of understanding of the transmission, first-aid, and treatment needs recorded consistently among urban and rural populations; (2) </w:t>
      </w:r>
      <w:r w:rsidRPr="00BF57FF">
        <w:rPr>
          <w:rFonts w:ascii="Arial" w:hAnsi="Arial" w:cs="Arial"/>
          <w:i/>
          <w:iCs/>
          <w:sz w:val="22"/>
          <w:szCs w:val="22"/>
          <w:lang w:val="en-GB"/>
        </w:rPr>
        <w:t>Traditional Medicine Use as a Structural Barrier to PEP</w:t>
      </w:r>
      <w:r w:rsidRPr="00BF57FF">
        <w:rPr>
          <w:rFonts w:ascii="Arial" w:hAnsi="Arial" w:cs="Arial"/>
          <w:sz w:val="22"/>
          <w:szCs w:val="22"/>
          <w:lang w:val="en-GB"/>
        </w:rPr>
        <w:t xml:space="preserve"> - systematic use of traditional remedies related to delayed biomedical care-seeking; (3) </w:t>
      </w:r>
      <w:r w:rsidRPr="00BF57FF">
        <w:rPr>
          <w:rFonts w:ascii="Arial" w:hAnsi="Arial" w:cs="Arial"/>
          <w:i/>
          <w:iCs/>
          <w:sz w:val="22"/>
          <w:szCs w:val="22"/>
          <w:lang w:val="en-GB"/>
        </w:rPr>
        <w:t>Health System Failures and PEP Inaccessibility</w:t>
      </w:r>
      <w:r w:rsidRPr="00BF57FF">
        <w:rPr>
          <w:rFonts w:ascii="Arial" w:hAnsi="Arial" w:cs="Arial"/>
          <w:sz w:val="22"/>
          <w:szCs w:val="22"/>
          <w:lang w:val="en-GB"/>
        </w:rPr>
        <w:t xml:space="preserve"> - pooled PEP completion rate of 57%</w:t>
      </w:r>
      <w:r w:rsidRPr="00BF57FF" w:rsidR="0086044F">
        <w:rPr>
          <w:rFonts w:ascii="Arial" w:hAnsi="Arial" w:cs="Arial"/>
          <w:sz w:val="22"/>
          <w:szCs w:val="22"/>
          <w:lang w:val="en-GB"/>
        </w:rPr>
        <w:t xml:space="preserve">, </w:t>
      </w:r>
      <w:r w:rsidRPr="00BF57FF">
        <w:rPr>
          <w:rFonts w:ascii="Arial" w:hAnsi="Arial" w:cs="Arial"/>
          <w:sz w:val="22"/>
          <w:szCs w:val="22"/>
          <w:lang w:val="en-GB"/>
        </w:rPr>
        <w:t>critical immunoglobulin deficits and knowledge gaps in community health workers;</w:t>
      </w:r>
      <w:r w:rsidRPr="00BF57FF" w:rsidR="00323D00">
        <w:rPr>
          <w:rFonts w:ascii="Arial" w:hAnsi="Arial" w:cs="Arial"/>
          <w:sz w:val="22"/>
          <w:szCs w:val="22"/>
          <w:lang w:val="en-GB"/>
        </w:rPr>
        <w:t xml:space="preserve"> </w:t>
      </w:r>
      <w:r w:rsidRPr="00BF57FF">
        <w:rPr>
          <w:rFonts w:ascii="Arial" w:hAnsi="Arial" w:cs="Arial"/>
          <w:sz w:val="22"/>
          <w:szCs w:val="22"/>
          <w:lang w:val="en-GB"/>
        </w:rPr>
        <w:t xml:space="preserve">(4) </w:t>
      </w:r>
      <w:r w:rsidRPr="00BF57FF">
        <w:rPr>
          <w:rFonts w:ascii="Arial" w:hAnsi="Arial" w:cs="Arial"/>
          <w:i/>
          <w:iCs/>
          <w:sz w:val="22"/>
          <w:szCs w:val="22"/>
          <w:lang w:val="en-GB"/>
        </w:rPr>
        <w:t>Surveillance Inadequacy and Under-Reporting</w:t>
      </w:r>
      <w:r w:rsidRPr="00BF57FF">
        <w:rPr>
          <w:rFonts w:ascii="Arial" w:hAnsi="Arial" w:cs="Arial"/>
          <w:sz w:val="22"/>
          <w:szCs w:val="22"/>
          <w:lang w:val="en-GB"/>
        </w:rPr>
        <w:t xml:space="preserve"> - concordance failures between state and national data systems, non-notifiable disease status in most states, and severely constrained laboratory capacity. </w:t>
      </w:r>
    </w:p>
    <w:p w:rsidRPr="00BF57FF" w:rsidR="007C143F" w:rsidP="00A70BBB" w:rsidRDefault="007C143F" w14:paraId="6927EA6B"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Style w:val="Strong"/>
          <w:rFonts w:ascii="Arial" w:hAnsi="Arial" w:cs="Arial"/>
          <w:sz w:val="22"/>
          <w:szCs w:val="22"/>
          <w:lang w:val="en-GB"/>
        </w:rPr>
        <w:t>Conclusions</w:t>
      </w:r>
    </w:p>
    <w:p w:rsidRPr="00BF57FF" w:rsidR="007C143F" w:rsidP="00A70BBB" w:rsidRDefault="005472EF" w14:paraId="3B590155" w14:textId="54F9B1F1">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Barriers are multi-level, interdependent, and structural. Elimination can be achieved through the mandatory national rabies notification, supply chain accountability, the standardisation of community health worker training and structural investment </w:t>
      </w:r>
      <w:r w:rsidRPr="00BF57FF" w:rsidR="0023325A">
        <w:rPr>
          <w:rFonts w:ascii="Arial" w:hAnsi="Arial" w:cs="Arial"/>
          <w:sz w:val="22"/>
          <w:szCs w:val="22"/>
          <w:lang w:val="en-GB"/>
        </w:rPr>
        <w:t>in</w:t>
      </w:r>
      <w:r w:rsidRPr="00BF57FF">
        <w:rPr>
          <w:rFonts w:ascii="Arial" w:hAnsi="Arial" w:cs="Arial"/>
          <w:sz w:val="22"/>
          <w:szCs w:val="22"/>
          <w:lang w:val="en-GB"/>
        </w:rPr>
        <w:t xml:space="preserve"> access to services. The Goa programme puts into practice these changes </w:t>
      </w:r>
      <w:r w:rsidRPr="00BF57FF" w:rsidR="0023325A">
        <w:rPr>
          <w:rFonts w:ascii="Arial" w:hAnsi="Arial" w:cs="Arial"/>
          <w:sz w:val="22"/>
          <w:szCs w:val="22"/>
          <w:lang w:val="en-GB"/>
        </w:rPr>
        <w:t xml:space="preserve">that </w:t>
      </w:r>
      <w:r w:rsidRPr="00BF57FF">
        <w:rPr>
          <w:rFonts w:ascii="Arial" w:hAnsi="Arial" w:cs="Arial"/>
          <w:sz w:val="22"/>
          <w:szCs w:val="22"/>
          <w:lang w:val="en-GB"/>
        </w:rPr>
        <w:t>are operationally viable.</w:t>
      </w:r>
    </w:p>
    <w:p w:rsidRPr="00BF57FF" w:rsidR="007C143F" w:rsidP="00A70BBB" w:rsidRDefault="007C143F" w14:paraId="6094FA63"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Style w:val="Strong"/>
          <w:rFonts w:ascii="Arial" w:hAnsi="Arial" w:cs="Arial"/>
          <w:sz w:val="22"/>
          <w:szCs w:val="22"/>
          <w:lang w:val="en-GB"/>
        </w:rPr>
        <w:t>Limitations</w:t>
      </w:r>
    </w:p>
    <w:p w:rsidRPr="00BF57FF" w:rsidR="007C143F" w:rsidP="00A70BBB" w:rsidRDefault="00AB7D2C" w14:paraId="4E568001" w14:textId="535CB48A">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This is a single-reviewer study</w:t>
      </w:r>
      <w:r w:rsidRPr="00BF57FF" w:rsidR="00A75A3D">
        <w:rPr>
          <w:rFonts w:ascii="Arial" w:hAnsi="Arial" w:cs="Arial"/>
          <w:sz w:val="22"/>
          <w:szCs w:val="22"/>
          <w:lang w:val="en-GB"/>
        </w:rPr>
        <w:t>. Studies included were heterogeneous in methods and mostly of hospital or urban origin. Quantitative meta-analysis was not feasible.</w:t>
      </w:r>
    </w:p>
    <w:p w:rsidRPr="00BF57FF" w:rsidR="0047448E" w:rsidP="00A70BBB" w:rsidRDefault="007C143F" w14:paraId="7CDD196C" w14:textId="3A876FC3">
      <w:pPr>
        <w:pStyle w:val="font-claude-response-body"/>
        <w:spacing w:before="0" w:beforeAutospacing="0" w:after="0" w:afterAutospacing="0" w:line="360" w:lineRule="auto"/>
        <w:jc w:val="both"/>
        <w:rPr>
          <w:rFonts w:ascii="Arial" w:hAnsi="Arial" w:cs="Arial"/>
          <w:sz w:val="22"/>
          <w:szCs w:val="22"/>
          <w:lang w:val="en-GB"/>
        </w:rPr>
      </w:pPr>
      <w:r w:rsidRPr="00BF57FF">
        <w:rPr>
          <w:rStyle w:val="Strong"/>
          <w:rFonts w:ascii="Arial" w:hAnsi="Arial" w:cs="Arial"/>
          <w:sz w:val="22"/>
          <w:szCs w:val="22"/>
          <w:lang w:val="en-GB"/>
        </w:rPr>
        <w:t>Keywords:</w:t>
      </w:r>
      <w:r w:rsidRPr="00BF57FF">
        <w:rPr>
          <w:rFonts w:ascii="Arial" w:hAnsi="Arial" w:cs="Arial"/>
          <w:sz w:val="22"/>
          <w:szCs w:val="22"/>
          <w:lang w:val="en-GB"/>
        </w:rPr>
        <w:t xml:space="preserve"> </w:t>
      </w:r>
      <w:r w:rsidRPr="00BF57FF" w:rsidR="0023325A">
        <w:rPr>
          <w:rFonts w:ascii="Arial" w:hAnsi="Arial" w:cs="Arial"/>
          <w:sz w:val="22"/>
          <w:szCs w:val="22"/>
          <w:lang w:val="en-GB"/>
        </w:rPr>
        <w:t>Rabies, India, post-exposure prophylaxis, surveillance, One Health, barriers, systematic review</w:t>
      </w:r>
    </w:p>
    <w:p w:rsidRPr="00BF57FF" w:rsidR="009F64C5" w:rsidP="00A70BBB" w:rsidRDefault="0047448E" w14:paraId="09034470" w14:textId="18145B2C">
      <w:pPr>
        <w:spacing w:line="360" w:lineRule="auto"/>
        <w:jc w:val="both"/>
        <w:rPr>
          <w:rFonts w:ascii="Arial" w:hAnsi="Arial" w:eastAsia="Times New Roman" w:cs="Arial"/>
          <w:kern w:val="0"/>
          <w:lang w:eastAsia="en-US"/>
          <w14:ligatures w14:val="none"/>
        </w:rPr>
      </w:pPr>
      <w:r w:rsidRPr="00BF57FF">
        <w:rPr>
          <w:rFonts w:ascii="Arial" w:hAnsi="Arial" w:cs="Arial"/>
        </w:rPr>
        <w:br w:type="page"/>
      </w:r>
    </w:p>
    <w:sdt>
      <w:sdtPr>
        <w:id w:val="1787998100"/>
        <w:docPartObj>
          <w:docPartGallery w:val="Table of Contents"/>
          <w:docPartUnique/>
        </w:docPartObj>
        <w:rPr>
          <w:rFonts w:ascii="Arial" w:hAnsi="Arial" w:eastAsia="等线" w:cs="Arial" w:eastAsiaTheme="minorEastAsia"/>
          <w:color w:val="auto"/>
          <w:kern w:val="2"/>
          <w:sz w:val="22"/>
          <w:szCs w:val="22"/>
          <w:lang w:val="en-GB" w:eastAsia="zh-CN"/>
          <w14:ligatures w14:val="standardContextual"/>
        </w:rPr>
      </w:sdtPr>
      <w:sdtEndPr>
        <w:rPr>
          <w:rFonts w:ascii="Arial" w:hAnsi="Arial" w:eastAsia="等线" w:cs="Arial" w:eastAsiaTheme="minorEastAsia"/>
          <w:b w:val="1"/>
          <w:bCs w:val="1"/>
          <w:color w:val="auto"/>
          <w:sz w:val="22"/>
          <w:szCs w:val="22"/>
          <w:lang w:val="en-GB" w:eastAsia="zh-CN"/>
        </w:rPr>
      </w:sdtEndPr>
      <w:sdtContent>
        <w:p w:rsidRPr="00BF57FF" w:rsidR="0047448E" w:rsidP="00A70BBB" w:rsidRDefault="0047448E" w14:paraId="7F9891DB" w14:textId="496EA8AA">
          <w:pPr>
            <w:pStyle w:val="TOCHeading"/>
            <w:spacing w:line="360" w:lineRule="auto"/>
            <w:jc w:val="both"/>
            <w:rPr>
              <w:rFonts w:ascii="Arial" w:hAnsi="Arial" w:cs="Arial"/>
              <w:sz w:val="22"/>
              <w:szCs w:val="22"/>
              <w:lang w:val="en-GB"/>
            </w:rPr>
          </w:pPr>
          <w:r w:rsidRPr="00BF57FF">
            <w:rPr>
              <w:rFonts w:ascii="Arial" w:hAnsi="Arial" w:cs="Arial"/>
              <w:sz w:val="22"/>
              <w:szCs w:val="22"/>
              <w:lang w:val="en-GB"/>
            </w:rPr>
            <w:t>Table of Contents</w:t>
          </w:r>
        </w:p>
        <w:p w:rsidR="00D6486B" w:rsidRDefault="0047448E" w14:paraId="13B5A15A" w14:textId="5D4445D8">
          <w:pPr>
            <w:pStyle w:val="TOC1"/>
            <w:tabs>
              <w:tab w:val="right" w:leader="dot" w:pos="8302"/>
            </w:tabs>
            <w:rPr>
              <w:rFonts w:asciiTheme="minorHAnsi" w:hAnsiTheme="minorHAnsi" w:eastAsiaTheme="minorEastAsia" w:cstheme="minorBidi"/>
              <w:noProof/>
              <w:color w:val="auto"/>
              <w:szCs w:val="24"/>
              <w:lang w:eastAsia="en-GB"/>
            </w:rPr>
          </w:pPr>
          <w:r w:rsidRPr="00BF57FF">
            <w:rPr>
              <w:rFonts w:ascii="Arial" w:hAnsi="Arial" w:cs="Arial"/>
              <w:sz w:val="22"/>
            </w:rPr>
            <w:fldChar w:fldCharType="begin"/>
          </w:r>
          <w:r w:rsidRPr="00BF57FF">
            <w:rPr>
              <w:rFonts w:ascii="Arial" w:hAnsi="Arial" w:cs="Arial"/>
              <w:sz w:val="22"/>
            </w:rPr>
            <w:instrText xml:space="preserve"> TOC \o "1-3" \h \z \u </w:instrText>
          </w:r>
          <w:r w:rsidRPr="00BF57FF">
            <w:rPr>
              <w:rFonts w:ascii="Arial" w:hAnsi="Arial" w:cs="Arial"/>
              <w:sz w:val="22"/>
            </w:rPr>
            <w:fldChar w:fldCharType="separate"/>
          </w:r>
          <w:hyperlink w:history="1" w:anchor="_Toc231298552">
            <w:r w:rsidRPr="00C979E5" w:rsidR="00D6486B">
              <w:rPr>
                <w:rStyle w:val="Hyperlink"/>
                <w:rFonts w:ascii="Arial" w:hAnsi="Arial" w:cs="Arial"/>
                <w:noProof/>
              </w:rPr>
              <w:t>Abstract</w:t>
            </w:r>
            <w:r w:rsidR="00D6486B">
              <w:rPr>
                <w:noProof/>
                <w:webHidden/>
              </w:rPr>
              <w:tab/>
            </w:r>
            <w:r w:rsidR="00D6486B">
              <w:rPr>
                <w:noProof/>
                <w:webHidden/>
              </w:rPr>
              <w:fldChar w:fldCharType="begin"/>
            </w:r>
            <w:r w:rsidR="00D6486B">
              <w:rPr>
                <w:noProof/>
                <w:webHidden/>
              </w:rPr>
              <w:instrText xml:space="preserve"> PAGEREF _Toc231298552 \h </w:instrText>
            </w:r>
            <w:r w:rsidR="00D6486B">
              <w:rPr>
                <w:noProof/>
                <w:webHidden/>
              </w:rPr>
            </w:r>
            <w:r w:rsidR="00D6486B">
              <w:rPr>
                <w:noProof/>
                <w:webHidden/>
              </w:rPr>
              <w:fldChar w:fldCharType="separate"/>
            </w:r>
            <w:r w:rsidR="00D6486B">
              <w:rPr>
                <w:noProof/>
                <w:webHidden/>
              </w:rPr>
              <w:t>4</w:t>
            </w:r>
            <w:r w:rsidR="00D6486B">
              <w:rPr>
                <w:noProof/>
                <w:webHidden/>
              </w:rPr>
              <w:fldChar w:fldCharType="end"/>
            </w:r>
          </w:hyperlink>
        </w:p>
        <w:p w:rsidR="00D6486B" w:rsidRDefault="00D6486B" w14:paraId="39FBB62A" w14:textId="4D868BB0">
          <w:pPr>
            <w:pStyle w:val="TOC1"/>
            <w:tabs>
              <w:tab w:val="right" w:leader="dot" w:pos="8302"/>
            </w:tabs>
            <w:rPr>
              <w:rFonts w:asciiTheme="minorHAnsi" w:hAnsiTheme="minorHAnsi" w:eastAsiaTheme="minorEastAsia" w:cstheme="minorBidi"/>
              <w:noProof/>
              <w:color w:val="auto"/>
              <w:szCs w:val="24"/>
              <w:lang w:eastAsia="en-GB"/>
            </w:rPr>
          </w:pPr>
          <w:hyperlink w:history="1" w:anchor="_Toc231298553">
            <w:r w:rsidRPr="00C979E5">
              <w:rPr>
                <w:rStyle w:val="Hyperlink"/>
                <w:rFonts w:ascii="Arial" w:hAnsi="Arial" w:cs="Arial"/>
                <w:noProof/>
              </w:rPr>
              <w:t>List of figures</w:t>
            </w:r>
            <w:r>
              <w:rPr>
                <w:noProof/>
                <w:webHidden/>
              </w:rPr>
              <w:tab/>
            </w:r>
            <w:r>
              <w:rPr>
                <w:noProof/>
                <w:webHidden/>
              </w:rPr>
              <w:fldChar w:fldCharType="begin"/>
            </w:r>
            <w:r>
              <w:rPr>
                <w:noProof/>
                <w:webHidden/>
              </w:rPr>
              <w:instrText xml:space="preserve"> PAGEREF _Toc231298553 \h </w:instrText>
            </w:r>
            <w:r>
              <w:rPr>
                <w:noProof/>
                <w:webHidden/>
              </w:rPr>
            </w:r>
            <w:r>
              <w:rPr>
                <w:noProof/>
                <w:webHidden/>
              </w:rPr>
              <w:fldChar w:fldCharType="separate"/>
            </w:r>
            <w:r>
              <w:rPr>
                <w:noProof/>
                <w:webHidden/>
              </w:rPr>
              <w:t>8</w:t>
            </w:r>
            <w:r>
              <w:rPr>
                <w:noProof/>
                <w:webHidden/>
              </w:rPr>
              <w:fldChar w:fldCharType="end"/>
            </w:r>
          </w:hyperlink>
        </w:p>
        <w:p w:rsidR="00D6486B" w:rsidRDefault="00D6486B" w14:paraId="08883324" w14:textId="368974C8">
          <w:pPr>
            <w:pStyle w:val="TOC1"/>
            <w:tabs>
              <w:tab w:val="right" w:leader="dot" w:pos="8302"/>
            </w:tabs>
            <w:rPr>
              <w:rFonts w:asciiTheme="minorHAnsi" w:hAnsiTheme="minorHAnsi" w:eastAsiaTheme="minorEastAsia" w:cstheme="minorBidi"/>
              <w:noProof/>
              <w:color w:val="auto"/>
              <w:szCs w:val="24"/>
              <w:lang w:eastAsia="en-GB"/>
            </w:rPr>
          </w:pPr>
          <w:hyperlink w:history="1" w:anchor="_Toc231298554">
            <w:r w:rsidRPr="00C979E5">
              <w:rPr>
                <w:rStyle w:val="Hyperlink"/>
                <w:rFonts w:ascii="Arial" w:hAnsi="Arial" w:cs="Arial"/>
                <w:noProof/>
              </w:rPr>
              <w:t>List of tables</w:t>
            </w:r>
            <w:r>
              <w:rPr>
                <w:noProof/>
                <w:webHidden/>
              </w:rPr>
              <w:tab/>
            </w:r>
            <w:r>
              <w:rPr>
                <w:noProof/>
                <w:webHidden/>
              </w:rPr>
              <w:fldChar w:fldCharType="begin"/>
            </w:r>
            <w:r>
              <w:rPr>
                <w:noProof/>
                <w:webHidden/>
              </w:rPr>
              <w:instrText xml:space="preserve"> PAGEREF _Toc231298554 \h </w:instrText>
            </w:r>
            <w:r>
              <w:rPr>
                <w:noProof/>
                <w:webHidden/>
              </w:rPr>
            </w:r>
            <w:r>
              <w:rPr>
                <w:noProof/>
                <w:webHidden/>
              </w:rPr>
              <w:fldChar w:fldCharType="separate"/>
            </w:r>
            <w:r>
              <w:rPr>
                <w:noProof/>
                <w:webHidden/>
              </w:rPr>
              <w:t>9</w:t>
            </w:r>
            <w:r>
              <w:rPr>
                <w:noProof/>
                <w:webHidden/>
              </w:rPr>
              <w:fldChar w:fldCharType="end"/>
            </w:r>
          </w:hyperlink>
        </w:p>
        <w:p w:rsidR="00D6486B" w:rsidRDefault="00D6486B" w14:paraId="6C1EA34C" w14:textId="2A313CED">
          <w:pPr>
            <w:pStyle w:val="TOC1"/>
            <w:tabs>
              <w:tab w:val="right" w:leader="dot" w:pos="8302"/>
            </w:tabs>
            <w:rPr>
              <w:rFonts w:asciiTheme="minorHAnsi" w:hAnsiTheme="minorHAnsi" w:eastAsiaTheme="minorEastAsia" w:cstheme="minorBidi"/>
              <w:noProof/>
              <w:color w:val="auto"/>
              <w:szCs w:val="24"/>
              <w:lang w:eastAsia="en-GB"/>
            </w:rPr>
          </w:pPr>
          <w:hyperlink w:history="1" w:anchor="_Toc231298555">
            <w:r w:rsidRPr="00C979E5">
              <w:rPr>
                <w:rStyle w:val="Hyperlink"/>
                <w:rFonts w:ascii="Arial" w:hAnsi="Arial" w:cs="Arial"/>
                <w:noProof/>
              </w:rPr>
              <w:t>List of abbreviations</w:t>
            </w:r>
            <w:r>
              <w:rPr>
                <w:noProof/>
                <w:webHidden/>
              </w:rPr>
              <w:tab/>
            </w:r>
            <w:r>
              <w:rPr>
                <w:noProof/>
                <w:webHidden/>
              </w:rPr>
              <w:fldChar w:fldCharType="begin"/>
            </w:r>
            <w:r>
              <w:rPr>
                <w:noProof/>
                <w:webHidden/>
              </w:rPr>
              <w:instrText xml:space="preserve"> PAGEREF _Toc231298555 \h </w:instrText>
            </w:r>
            <w:r>
              <w:rPr>
                <w:noProof/>
                <w:webHidden/>
              </w:rPr>
            </w:r>
            <w:r>
              <w:rPr>
                <w:noProof/>
                <w:webHidden/>
              </w:rPr>
              <w:fldChar w:fldCharType="separate"/>
            </w:r>
            <w:r>
              <w:rPr>
                <w:noProof/>
                <w:webHidden/>
              </w:rPr>
              <w:t>10</w:t>
            </w:r>
            <w:r>
              <w:rPr>
                <w:noProof/>
                <w:webHidden/>
              </w:rPr>
              <w:fldChar w:fldCharType="end"/>
            </w:r>
          </w:hyperlink>
        </w:p>
        <w:p w:rsidR="00D6486B" w:rsidRDefault="00D6486B" w14:paraId="6E6B95CA" w14:textId="667959E2">
          <w:pPr>
            <w:pStyle w:val="TOC1"/>
            <w:tabs>
              <w:tab w:val="right" w:leader="dot" w:pos="8302"/>
            </w:tabs>
            <w:rPr>
              <w:rFonts w:asciiTheme="minorHAnsi" w:hAnsiTheme="minorHAnsi" w:eastAsiaTheme="minorEastAsia" w:cstheme="minorBidi"/>
              <w:noProof/>
              <w:color w:val="auto"/>
              <w:szCs w:val="24"/>
              <w:lang w:eastAsia="en-GB"/>
            </w:rPr>
          </w:pPr>
          <w:hyperlink w:history="1" w:anchor="_Toc231298556">
            <w:r w:rsidRPr="00C979E5">
              <w:rPr>
                <w:rStyle w:val="Hyperlink"/>
                <w:rFonts w:ascii="Arial" w:hAnsi="Arial" w:cs="Arial"/>
                <w:noProof/>
              </w:rPr>
              <w:t>CHAPTER 1: INTRODUCTION</w:t>
            </w:r>
            <w:r>
              <w:rPr>
                <w:noProof/>
                <w:webHidden/>
              </w:rPr>
              <w:tab/>
            </w:r>
            <w:r>
              <w:rPr>
                <w:noProof/>
                <w:webHidden/>
              </w:rPr>
              <w:fldChar w:fldCharType="begin"/>
            </w:r>
            <w:r>
              <w:rPr>
                <w:noProof/>
                <w:webHidden/>
              </w:rPr>
              <w:instrText xml:space="preserve"> PAGEREF _Toc231298556 \h </w:instrText>
            </w:r>
            <w:r>
              <w:rPr>
                <w:noProof/>
                <w:webHidden/>
              </w:rPr>
            </w:r>
            <w:r>
              <w:rPr>
                <w:noProof/>
                <w:webHidden/>
              </w:rPr>
              <w:fldChar w:fldCharType="separate"/>
            </w:r>
            <w:r>
              <w:rPr>
                <w:noProof/>
                <w:webHidden/>
              </w:rPr>
              <w:t>12</w:t>
            </w:r>
            <w:r>
              <w:rPr>
                <w:noProof/>
                <w:webHidden/>
              </w:rPr>
              <w:fldChar w:fldCharType="end"/>
            </w:r>
          </w:hyperlink>
        </w:p>
        <w:p w:rsidR="00D6486B" w:rsidRDefault="00D6486B" w14:paraId="305E57E7" w14:textId="62EF6A6E">
          <w:pPr>
            <w:pStyle w:val="TOC2"/>
            <w:tabs>
              <w:tab w:val="right" w:leader="dot" w:pos="8302"/>
            </w:tabs>
            <w:rPr>
              <w:noProof/>
              <w:sz w:val="24"/>
              <w:szCs w:val="24"/>
              <w:lang w:eastAsia="en-GB"/>
            </w:rPr>
          </w:pPr>
          <w:hyperlink w:history="1" w:anchor="_Toc231298557">
            <w:r w:rsidRPr="00C979E5">
              <w:rPr>
                <w:rStyle w:val="Hyperlink"/>
                <w:rFonts w:ascii="Arial" w:hAnsi="Arial" w:cs="Arial"/>
                <w:noProof/>
              </w:rPr>
              <w:t>1.1 Background and Context</w:t>
            </w:r>
            <w:r>
              <w:rPr>
                <w:noProof/>
                <w:webHidden/>
              </w:rPr>
              <w:tab/>
            </w:r>
            <w:r>
              <w:rPr>
                <w:noProof/>
                <w:webHidden/>
              </w:rPr>
              <w:fldChar w:fldCharType="begin"/>
            </w:r>
            <w:r>
              <w:rPr>
                <w:noProof/>
                <w:webHidden/>
              </w:rPr>
              <w:instrText xml:space="preserve"> PAGEREF _Toc231298557 \h </w:instrText>
            </w:r>
            <w:r>
              <w:rPr>
                <w:noProof/>
                <w:webHidden/>
              </w:rPr>
            </w:r>
            <w:r>
              <w:rPr>
                <w:noProof/>
                <w:webHidden/>
              </w:rPr>
              <w:fldChar w:fldCharType="separate"/>
            </w:r>
            <w:r>
              <w:rPr>
                <w:noProof/>
                <w:webHidden/>
              </w:rPr>
              <w:t>12</w:t>
            </w:r>
            <w:r>
              <w:rPr>
                <w:noProof/>
                <w:webHidden/>
              </w:rPr>
              <w:fldChar w:fldCharType="end"/>
            </w:r>
          </w:hyperlink>
        </w:p>
        <w:p w:rsidR="00D6486B" w:rsidRDefault="00D6486B" w14:paraId="2E5EF397" w14:textId="55A7B9E4">
          <w:pPr>
            <w:pStyle w:val="TOC2"/>
            <w:tabs>
              <w:tab w:val="right" w:leader="dot" w:pos="8302"/>
            </w:tabs>
            <w:rPr>
              <w:noProof/>
              <w:sz w:val="24"/>
              <w:szCs w:val="24"/>
              <w:lang w:eastAsia="en-GB"/>
            </w:rPr>
          </w:pPr>
          <w:hyperlink w:history="1" w:anchor="_Toc231298558">
            <w:r w:rsidRPr="00C979E5">
              <w:rPr>
                <w:rStyle w:val="Hyperlink"/>
                <w:rFonts w:ascii="Arial" w:hAnsi="Arial" w:cs="Arial"/>
                <w:noProof/>
              </w:rPr>
              <w:t>1.2 Problem Statement and Rationale</w:t>
            </w:r>
            <w:r>
              <w:rPr>
                <w:noProof/>
                <w:webHidden/>
              </w:rPr>
              <w:tab/>
            </w:r>
            <w:r>
              <w:rPr>
                <w:noProof/>
                <w:webHidden/>
              </w:rPr>
              <w:fldChar w:fldCharType="begin"/>
            </w:r>
            <w:r>
              <w:rPr>
                <w:noProof/>
                <w:webHidden/>
              </w:rPr>
              <w:instrText xml:space="preserve"> PAGEREF _Toc231298558 \h </w:instrText>
            </w:r>
            <w:r>
              <w:rPr>
                <w:noProof/>
                <w:webHidden/>
              </w:rPr>
            </w:r>
            <w:r>
              <w:rPr>
                <w:noProof/>
                <w:webHidden/>
              </w:rPr>
              <w:fldChar w:fldCharType="separate"/>
            </w:r>
            <w:r>
              <w:rPr>
                <w:noProof/>
                <w:webHidden/>
              </w:rPr>
              <w:t>13</w:t>
            </w:r>
            <w:r>
              <w:rPr>
                <w:noProof/>
                <w:webHidden/>
              </w:rPr>
              <w:fldChar w:fldCharType="end"/>
            </w:r>
          </w:hyperlink>
        </w:p>
        <w:p w:rsidR="00D6486B" w:rsidRDefault="00D6486B" w14:paraId="0BB3A3F4" w14:textId="14C9DC3F">
          <w:pPr>
            <w:pStyle w:val="TOC2"/>
            <w:tabs>
              <w:tab w:val="right" w:leader="dot" w:pos="8302"/>
            </w:tabs>
            <w:rPr>
              <w:noProof/>
              <w:sz w:val="24"/>
              <w:szCs w:val="24"/>
              <w:lang w:eastAsia="en-GB"/>
            </w:rPr>
          </w:pPr>
          <w:hyperlink w:history="1" w:anchor="_Toc231298559">
            <w:r w:rsidRPr="00C979E5">
              <w:rPr>
                <w:rStyle w:val="Hyperlink"/>
                <w:rFonts w:ascii="Arial" w:hAnsi="Arial" w:cs="Arial"/>
                <w:noProof/>
              </w:rPr>
              <w:t>1.3 Aims and Objectives</w:t>
            </w:r>
            <w:r>
              <w:rPr>
                <w:noProof/>
                <w:webHidden/>
              </w:rPr>
              <w:tab/>
            </w:r>
            <w:r>
              <w:rPr>
                <w:noProof/>
                <w:webHidden/>
              </w:rPr>
              <w:fldChar w:fldCharType="begin"/>
            </w:r>
            <w:r>
              <w:rPr>
                <w:noProof/>
                <w:webHidden/>
              </w:rPr>
              <w:instrText xml:space="preserve"> PAGEREF _Toc231298559 \h </w:instrText>
            </w:r>
            <w:r>
              <w:rPr>
                <w:noProof/>
                <w:webHidden/>
              </w:rPr>
            </w:r>
            <w:r>
              <w:rPr>
                <w:noProof/>
                <w:webHidden/>
              </w:rPr>
              <w:fldChar w:fldCharType="separate"/>
            </w:r>
            <w:r>
              <w:rPr>
                <w:noProof/>
                <w:webHidden/>
              </w:rPr>
              <w:t>14</w:t>
            </w:r>
            <w:r>
              <w:rPr>
                <w:noProof/>
                <w:webHidden/>
              </w:rPr>
              <w:fldChar w:fldCharType="end"/>
            </w:r>
          </w:hyperlink>
        </w:p>
        <w:p w:rsidR="00D6486B" w:rsidRDefault="00D6486B" w14:paraId="05A56EAF" w14:textId="3D1F06A7">
          <w:pPr>
            <w:pStyle w:val="TOC2"/>
            <w:tabs>
              <w:tab w:val="right" w:leader="dot" w:pos="8302"/>
            </w:tabs>
            <w:rPr>
              <w:noProof/>
              <w:sz w:val="24"/>
              <w:szCs w:val="24"/>
              <w:lang w:eastAsia="en-GB"/>
            </w:rPr>
          </w:pPr>
          <w:hyperlink w:history="1" w:anchor="_Toc231298560">
            <w:r w:rsidRPr="00C979E5">
              <w:rPr>
                <w:rStyle w:val="Hyperlink"/>
                <w:rFonts w:ascii="Arial" w:hAnsi="Arial" w:cs="Arial"/>
                <w:noProof/>
              </w:rPr>
              <w:t>1.4 Research Question</w:t>
            </w:r>
            <w:r>
              <w:rPr>
                <w:noProof/>
                <w:webHidden/>
              </w:rPr>
              <w:tab/>
            </w:r>
            <w:r>
              <w:rPr>
                <w:noProof/>
                <w:webHidden/>
              </w:rPr>
              <w:fldChar w:fldCharType="begin"/>
            </w:r>
            <w:r>
              <w:rPr>
                <w:noProof/>
                <w:webHidden/>
              </w:rPr>
              <w:instrText xml:space="preserve"> PAGEREF _Toc231298560 \h </w:instrText>
            </w:r>
            <w:r>
              <w:rPr>
                <w:noProof/>
                <w:webHidden/>
              </w:rPr>
            </w:r>
            <w:r>
              <w:rPr>
                <w:noProof/>
                <w:webHidden/>
              </w:rPr>
              <w:fldChar w:fldCharType="separate"/>
            </w:r>
            <w:r>
              <w:rPr>
                <w:noProof/>
                <w:webHidden/>
              </w:rPr>
              <w:t>15</w:t>
            </w:r>
            <w:r>
              <w:rPr>
                <w:noProof/>
                <w:webHidden/>
              </w:rPr>
              <w:fldChar w:fldCharType="end"/>
            </w:r>
          </w:hyperlink>
        </w:p>
        <w:p w:rsidR="00D6486B" w:rsidRDefault="00D6486B" w14:paraId="3693D50A" w14:textId="72A7E888">
          <w:pPr>
            <w:pStyle w:val="TOC2"/>
            <w:tabs>
              <w:tab w:val="right" w:leader="dot" w:pos="8302"/>
            </w:tabs>
            <w:rPr>
              <w:noProof/>
              <w:sz w:val="24"/>
              <w:szCs w:val="24"/>
              <w:lang w:eastAsia="en-GB"/>
            </w:rPr>
          </w:pPr>
          <w:hyperlink w:history="1" w:anchor="_Toc231298561">
            <w:r w:rsidRPr="00C979E5">
              <w:rPr>
                <w:rStyle w:val="Hyperlink"/>
                <w:rFonts w:ascii="Arial" w:hAnsi="Arial" w:cs="Arial"/>
                <w:noProof/>
              </w:rPr>
              <w:t>1.5 Significance of the Study</w:t>
            </w:r>
            <w:r>
              <w:rPr>
                <w:noProof/>
                <w:webHidden/>
              </w:rPr>
              <w:tab/>
            </w:r>
            <w:r>
              <w:rPr>
                <w:noProof/>
                <w:webHidden/>
              </w:rPr>
              <w:fldChar w:fldCharType="begin"/>
            </w:r>
            <w:r>
              <w:rPr>
                <w:noProof/>
                <w:webHidden/>
              </w:rPr>
              <w:instrText xml:space="preserve"> PAGEREF _Toc231298561 \h </w:instrText>
            </w:r>
            <w:r>
              <w:rPr>
                <w:noProof/>
                <w:webHidden/>
              </w:rPr>
            </w:r>
            <w:r>
              <w:rPr>
                <w:noProof/>
                <w:webHidden/>
              </w:rPr>
              <w:fldChar w:fldCharType="separate"/>
            </w:r>
            <w:r>
              <w:rPr>
                <w:noProof/>
                <w:webHidden/>
              </w:rPr>
              <w:t>15</w:t>
            </w:r>
            <w:r>
              <w:rPr>
                <w:noProof/>
                <w:webHidden/>
              </w:rPr>
              <w:fldChar w:fldCharType="end"/>
            </w:r>
          </w:hyperlink>
        </w:p>
        <w:p w:rsidR="00D6486B" w:rsidRDefault="00D6486B" w14:paraId="6060B394" w14:textId="7A74E948">
          <w:pPr>
            <w:pStyle w:val="TOC2"/>
            <w:tabs>
              <w:tab w:val="right" w:leader="dot" w:pos="8302"/>
            </w:tabs>
            <w:rPr>
              <w:noProof/>
              <w:sz w:val="24"/>
              <w:szCs w:val="24"/>
              <w:lang w:eastAsia="en-GB"/>
            </w:rPr>
          </w:pPr>
          <w:hyperlink w:history="1" w:anchor="_Toc231298562">
            <w:r w:rsidRPr="00C979E5">
              <w:rPr>
                <w:rStyle w:val="Hyperlink"/>
                <w:rFonts w:ascii="Arial" w:hAnsi="Arial" w:cs="Arial"/>
                <w:noProof/>
              </w:rPr>
              <w:t>1.6 Outline of the Dissertation</w:t>
            </w:r>
            <w:r>
              <w:rPr>
                <w:noProof/>
                <w:webHidden/>
              </w:rPr>
              <w:tab/>
            </w:r>
            <w:r>
              <w:rPr>
                <w:noProof/>
                <w:webHidden/>
              </w:rPr>
              <w:fldChar w:fldCharType="begin"/>
            </w:r>
            <w:r>
              <w:rPr>
                <w:noProof/>
                <w:webHidden/>
              </w:rPr>
              <w:instrText xml:space="preserve"> PAGEREF _Toc231298562 \h </w:instrText>
            </w:r>
            <w:r>
              <w:rPr>
                <w:noProof/>
                <w:webHidden/>
              </w:rPr>
            </w:r>
            <w:r>
              <w:rPr>
                <w:noProof/>
                <w:webHidden/>
              </w:rPr>
              <w:fldChar w:fldCharType="separate"/>
            </w:r>
            <w:r>
              <w:rPr>
                <w:noProof/>
                <w:webHidden/>
              </w:rPr>
              <w:t>16</w:t>
            </w:r>
            <w:r>
              <w:rPr>
                <w:noProof/>
                <w:webHidden/>
              </w:rPr>
              <w:fldChar w:fldCharType="end"/>
            </w:r>
          </w:hyperlink>
        </w:p>
        <w:p w:rsidR="00D6486B" w:rsidRDefault="00D6486B" w14:paraId="78D61186" w14:textId="45DEA183">
          <w:pPr>
            <w:pStyle w:val="TOC1"/>
            <w:tabs>
              <w:tab w:val="right" w:leader="dot" w:pos="8302"/>
            </w:tabs>
            <w:rPr>
              <w:rFonts w:asciiTheme="minorHAnsi" w:hAnsiTheme="minorHAnsi" w:eastAsiaTheme="minorEastAsia" w:cstheme="minorBidi"/>
              <w:noProof/>
              <w:color w:val="auto"/>
              <w:szCs w:val="24"/>
              <w:lang w:eastAsia="en-GB"/>
            </w:rPr>
          </w:pPr>
          <w:hyperlink w:history="1" w:anchor="_Toc231298563">
            <w:r w:rsidRPr="00C979E5">
              <w:rPr>
                <w:rStyle w:val="Hyperlink"/>
                <w:rFonts w:ascii="Arial" w:hAnsi="Arial" w:cs="Arial"/>
                <w:noProof/>
              </w:rPr>
              <w:t>CHAPTER 2: CRITICAL LITERATURE REVIEW</w:t>
            </w:r>
            <w:r>
              <w:rPr>
                <w:noProof/>
                <w:webHidden/>
              </w:rPr>
              <w:tab/>
            </w:r>
            <w:r>
              <w:rPr>
                <w:noProof/>
                <w:webHidden/>
              </w:rPr>
              <w:fldChar w:fldCharType="begin"/>
            </w:r>
            <w:r>
              <w:rPr>
                <w:noProof/>
                <w:webHidden/>
              </w:rPr>
              <w:instrText xml:space="preserve"> PAGEREF _Toc231298563 \h </w:instrText>
            </w:r>
            <w:r>
              <w:rPr>
                <w:noProof/>
                <w:webHidden/>
              </w:rPr>
            </w:r>
            <w:r>
              <w:rPr>
                <w:noProof/>
                <w:webHidden/>
              </w:rPr>
              <w:fldChar w:fldCharType="separate"/>
            </w:r>
            <w:r>
              <w:rPr>
                <w:noProof/>
                <w:webHidden/>
              </w:rPr>
              <w:t>17</w:t>
            </w:r>
            <w:r>
              <w:rPr>
                <w:noProof/>
                <w:webHidden/>
              </w:rPr>
              <w:fldChar w:fldCharType="end"/>
            </w:r>
          </w:hyperlink>
        </w:p>
        <w:p w:rsidR="00D6486B" w:rsidRDefault="00D6486B" w14:paraId="476B3CF0" w14:textId="21E64DD7">
          <w:pPr>
            <w:pStyle w:val="TOC2"/>
            <w:tabs>
              <w:tab w:val="right" w:leader="dot" w:pos="8302"/>
            </w:tabs>
            <w:rPr>
              <w:noProof/>
              <w:sz w:val="24"/>
              <w:szCs w:val="24"/>
              <w:lang w:eastAsia="en-GB"/>
            </w:rPr>
          </w:pPr>
          <w:hyperlink w:history="1" w:anchor="_Toc231298564">
            <w:r w:rsidRPr="00C979E5">
              <w:rPr>
                <w:rStyle w:val="Hyperlink"/>
                <w:rFonts w:ascii="Arial" w:hAnsi="Arial" w:cs="Arial"/>
                <w:noProof/>
              </w:rPr>
              <w:t>2.1 Introduction to the Chapter</w:t>
            </w:r>
            <w:r>
              <w:rPr>
                <w:noProof/>
                <w:webHidden/>
              </w:rPr>
              <w:tab/>
            </w:r>
            <w:r>
              <w:rPr>
                <w:noProof/>
                <w:webHidden/>
              </w:rPr>
              <w:fldChar w:fldCharType="begin"/>
            </w:r>
            <w:r>
              <w:rPr>
                <w:noProof/>
                <w:webHidden/>
              </w:rPr>
              <w:instrText xml:space="preserve"> PAGEREF _Toc231298564 \h </w:instrText>
            </w:r>
            <w:r>
              <w:rPr>
                <w:noProof/>
                <w:webHidden/>
              </w:rPr>
            </w:r>
            <w:r>
              <w:rPr>
                <w:noProof/>
                <w:webHidden/>
              </w:rPr>
              <w:fldChar w:fldCharType="separate"/>
            </w:r>
            <w:r>
              <w:rPr>
                <w:noProof/>
                <w:webHidden/>
              </w:rPr>
              <w:t>17</w:t>
            </w:r>
            <w:r>
              <w:rPr>
                <w:noProof/>
                <w:webHidden/>
              </w:rPr>
              <w:fldChar w:fldCharType="end"/>
            </w:r>
          </w:hyperlink>
        </w:p>
        <w:p w:rsidR="00D6486B" w:rsidRDefault="00D6486B" w14:paraId="780D9561" w14:textId="3E49AB0F">
          <w:pPr>
            <w:pStyle w:val="TOC2"/>
            <w:tabs>
              <w:tab w:val="right" w:leader="dot" w:pos="8302"/>
            </w:tabs>
            <w:rPr>
              <w:noProof/>
              <w:sz w:val="24"/>
              <w:szCs w:val="24"/>
              <w:lang w:eastAsia="en-GB"/>
            </w:rPr>
          </w:pPr>
          <w:hyperlink w:history="1" w:anchor="_Toc231298565">
            <w:r w:rsidRPr="00C979E5">
              <w:rPr>
                <w:rStyle w:val="Hyperlink"/>
                <w:rFonts w:ascii="Arial" w:hAnsi="Arial" w:cs="Arial"/>
                <w:noProof/>
              </w:rPr>
              <w:t>2.2 Epidemiology and Burden of Rabies in India</w:t>
            </w:r>
            <w:r>
              <w:rPr>
                <w:noProof/>
                <w:webHidden/>
              </w:rPr>
              <w:tab/>
            </w:r>
            <w:r>
              <w:rPr>
                <w:noProof/>
                <w:webHidden/>
              </w:rPr>
              <w:fldChar w:fldCharType="begin"/>
            </w:r>
            <w:r>
              <w:rPr>
                <w:noProof/>
                <w:webHidden/>
              </w:rPr>
              <w:instrText xml:space="preserve"> PAGEREF _Toc231298565 \h </w:instrText>
            </w:r>
            <w:r>
              <w:rPr>
                <w:noProof/>
                <w:webHidden/>
              </w:rPr>
            </w:r>
            <w:r>
              <w:rPr>
                <w:noProof/>
                <w:webHidden/>
              </w:rPr>
              <w:fldChar w:fldCharType="separate"/>
            </w:r>
            <w:r>
              <w:rPr>
                <w:noProof/>
                <w:webHidden/>
              </w:rPr>
              <w:t>17</w:t>
            </w:r>
            <w:r>
              <w:rPr>
                <w:noProof/>
                <w:webHidden/>
              </w:rPr>
              <w:fldChar w:fldCharType="end"/>
            </w:r>
          </w:hyperlink>
        </w:p>
        <w:p w:rsidR="00D6486B" w:rsidRDefault="00D6486B" w14:paraId="3C28B468" w14:textId="0BE4D1A1">
          <w:pPr>
            <w:pStyle w:val="TOC2"/>
            <w:tabs>
              <w:tab w:val="right" w:leader="dot" w:pos="8302"/>
            </w:tabs>
            <w:rPr>
              <w:noProof/>
              <w:sz w:val="24"/>
              <w:szCs w:val="24"/>
              <w:lang w:eastAsia="en-GB"/>
            </w:rPr>
          </w:pPr>
          <w:hyperlink w:history="1" w:anchor="_Toc231298566">
            <w:r w:rsidRPr="00C979E5">
              <w:rPr>
                <w:rStyle w:val="Hyperlink"/>
                <w:rFonts w:ascii="Arial" w:hAnsi="Arial" w:cs="Arial"/>
                <w:noProof/>
              </w:rPr>
              <w:t>2.3 Post-Exposure Prophylaxis: Access, Compliance, and Barriers</w:t>
            </w:r>
            <w:r>
              <w:rPr>
                <w:noProof/>
                <w:webHidden/>
              </w:rPr>
              <w:tab/>
            </w:r>
            <w:r>
              <w:rPr>
                <w:noProof/>
                <w:webHidden/>
              </w:rPr>
              <w:fldChar w:fldCharType="begin"/>
            </w:r>
            <w:r>
              <w:rPr>
                <w:noProof/>
                <w:webHidden/>
              </w:rPr>
              <w:instrText xml:space="preserve"> PAGEREF _Toc231298566 \h </w:instrText>
            </w:r>
            <w:r>
              <w:rPr>
                <w:noProof/>
                <w:webHidden/>
              </w:rPr>
            </w:r>
            <w:r>
              <w:rPr>
                <w:noProof/>
                <w:webHidden/>
              </w:rPr>
              <w:fldChar w:fldCharType="separate"/>
            </w:r>
            <w:r>
              <w:rPr>
                <w:noProof/>
                <w:webHidden/>
              </w:rPr>
              <w:t>19</w:t>
            </w:r>
            <w:r>
              <w:rPr>
                <w:noProof/>
                <w:webHidden/>
              </w:rPr>
              <w:fldChar w:fldCharType="end"/>
            </w:r>
          </w:hyperlink>
        </w:p>
        <w:p w:rsidR="00D6486B" w:rsidRDefault="00D6486B" w14:paraId="009DD187" w14:textId="23D0CA48">
          <w:pPr>
            <w:pStyle w:val="TOC2"/>
            <w:tabs>
              <w:tab w:val="right" w:leader="dot" w:pos="8302"/>
            </w:tabs>
            <w:rPr>
              <w:noProof/>
              <w:sz w:val="24"/>
              <w:szCs w:val="24"/>
              <w:lang w:eastAsia="en-GB"/>
            </w:rPr>
          </w:pPr>
          <w:hyperlink w:history="1" w:anchor="_Toc231298567">
            <w:r w:rsidRPr="00C979E5">
              <w:rPr>
                <w:rStyle w:val="Hyperlink"/>
                <w:rFonts w:ascii="Arial" w:hAnsi="Arial" w:cs="Arial"/>
                <w:noProof/>
              </w:rPr>
              <w:t>2.4 Community Knowledge, Attitudes, and Health-Seeking Behaviour</w:t>
            </w:r>
            <w:r>
              <w:rPr>
                <w:noProof/>
                <w:webHidden/>
              </w:rPr>
              <w:tab/>
            </w:r>
            <w:r>
              <w:rPr>
                <w:noProof/>
                <w:webHidden/>
              </w:rPr>
              <w:fldChar w:fldCharType="begin"/>
            </w:r>
            <w:r>
              <w:rPr>
                <w:noProof/>
                <w:webHidden/>
              </w:rPr>
              <w:instrText xml:space="preserve"> PAGEREF _Toc231298567 \h </w:instrText>
            </w:r>
            <w:r>
              <w:rPr>
                <w:noProof/>
                <w:webHidden/>
              </w:rPr>
            </w:r>
            <w:r>
              <w:rPr>
                <w:noProof/>
                <w:webHidden/>
              </w:rPr>
              <w:fldChar w:fldCharType="separate"/>
            </w:r>
            <w:r>
              <w:rPr>
                <w:noProof/>
                <w:webHidden/>
              </w:rPr>
              <w:t>21</w:t>
            </w:r>
            <w:r>
              <w:rPr>
                <w:noProof/>
                <w:webHidden/>
              </w:rPr>
              <w:fldChar w:fldCharType="end"/>
            </w:r>
          </w:hyperlink>
        </w:p>
        <w:p w:rsidR="00D6486B" w:rsidRDefault="00D6486B" w14:paraId="417BD00E" w14:textId="6D9BE9DC">
          <w:pPr>
            <w:pStyle w:val="TOC2"/>
            <w:tabs>
              <w:tab w:val="right" w:leader="dot" w:pos="8302"/>
            </w:tabs>
            <w:rPr>
              <w:noProof/>
              <w:sz w:val="24"/>
              <w:szCs w:val="24"/>
              <w:lang w:eastAsia="en-GB"/>
            </w:rPr>
          </w:pPr>
          <w:hyperlink w:history="1" w:anchor="_Toc231298568">
            <w:r w:rsidRPr="00C979E5">
              <w:rPr>
                <w:rStyle w:val="Hyperlink"/>
                <w:rFonts w:ascii="Arial" w:hAnsi="Arial" w:cs="Arial"/>
                <w:noProof/>
              </w:rPr>
              <w:t>2.5 Health System Barriers: Infrastructure, Supply Chain, and Workforce</w:t>
            </w:r>
            <w:r>
              <w:rPr>
                <w:noProof/>
                <w:webHidden/>
              </w:rPr>
              <w:tab/>
            </w:r>
            <w:r>
              <w:rPr>
                <w:noProof/>
                <w:webHidden/>
              </w:rPr>
              <w:fldChar w:fldCharType="begin"/>
            </w:r>
            <w:r>
              <w:rPr>
                <w:noProof/>
                <w:webHidden/>
              </w:rPr>
              <w:instrText xml:space="preserve"> PAGEREF _Toc231298568 \h </w:instrText>
            </w:r>
            <w:r>
              <w:rPr>
                <w:noProof/>
                <w:webHidden/>
              </w:rPr>
            </w:r>
            <w:r>
              <w:rPr>
                <w:noProof/>
                <w:webHidden/>
              </w:rPr>
              <w:fldChar w:fldCharType="separate"/>
            </w:r>
            <w:r>
              <w:rPr>
                <w:noProof/>
                <w:webHidden/>
              </w:rPr>
              <w:t>22</w:t>
            </w:r>
            <w:r>
              <w:rPr>
                <w:noProof/>
                <w:webHidden/>
              </w:rPr>
              <w:fldChar w:fldCharType="end"/>
            </w:r>
          </w:hyperlink>
        </w:p>
        <w:p w:rsidR="00D6486B" w:rsidRDefault="00D6486B" w14:paraId="45E982C7" w14:textId="4D8277B3">
          <w:pPr>
            <w:pStyle w:val="TOC2"/>
            <w:tabs>
              <w:tab w:val="right" w:leader="dot" w:pos="8302"/>
            </w:tabs>
            <w:rPr>
              <w:noProof/>
              <w:sz w:val="24"/>
              <w:szCs w:val="24"/>
              <w:lang w:eastAsia="en-GB"/>
            </w:rPr>
          </w:pPr>
          <w:hyperlink w:history="1" w:anchor="_Toc231298569">
            <w:r w:rsidRPr="00C979E5">
              <w:rPr>
                <w:rStyle w:val="Hyperlink"/>
                <w:rFonts w:ascii="Arial" w:hAnsi="Arial" w:cs="Arial"/>
                <w:noProof/>
              </w:rPr>
              <w:t>2.6 Community Health Worker Roles and Capacity in Rabies Prevention</w:t>
            </w:r>
            <w:r>
              <w:rPr>
                <w:noProof/>
                <w:webHidden/>
              </w:rPr>
              <w:tab/>
            </w:r>
            <w:r>
              <w:rPr>
                <w:noProof/>
                <w:webHidden/>
              </w:rPr>
              <w:fldChar w:fldCharType="begin"/>
            </w:r>
            <w:r>
              <w:rPr>
                <w:noProof/>
                <w:webHidden/>
              </w:rPr>
              <w:instrText xml:space="preserve"> PAGEREF _Toc231298569 \h </w:instrText>
            </w:r>
            <w:r>
              <w:rPr>
                <w:noProof/>
                <w:webHidden/>
              </w:rPr>
            </w:r>
            <w:r>
              <w:rPr>
                <w:noProof/>
                <w:webHidden/>
              </w:rPr>
              <w:fldChar w:fldCharType="separate"/>
            </w:r>
            <w:r>
              <w:rPr>
                <w:noProof/>
                <w:webHidden/>
              </w:rPr>
              <w:t>24</w:t>
            </w:r>
            <w:r>
              <w:rPr>
                <w:noProof/>
                <w:webHidden/>
              </w:rPr>
              <w:fldChar w:fldCharType="end"/>
            </w:r>
          </w:hyperlink>
        </w:p>
        <w:p w:rsidR="00D6486B" w:rsidRDefault="00D6486B" w14:paraId="2A4ADB7E" w14:textId="55A8BBF2">
          <w:pPr>
            <w:pStyle w:val="TOC2"/>
            <w:tabs>
              <w:tab w:val="right" w:leader="dot" w:pos="8302"/>
            </w:tabs>
            <w:rPr>
              <w:noProof/>
              <w:sz w:val="24"/>
              <w:szCs w:val="24"/>
              <w:lang w:eastAsia="en-GB"/>
            </w:rPr>
          </w:pPr>
          <w:hyperlink w:history="1" w:anchor="_Toc231298570">
            <w:r w:rsidRPr="00C979E5">
              <w:rPr>
                <w:rStyle w:val="Hyperlink"/>
                <w:rFonts w:ascii="Arial" w:hAnsi="Arial" w:cs="Arial"/>
                <w:noProof/>
              </w:rPr>
              <w:t>2.7 Surveillance Failures in India</w:t>
            </w:r>
            <w:r>
              <w:rPr>
                <w:noProof/>
                <w:webHidden/>
              </w:rPr>
              <w:tab/>
            </w:r>
            <w:r>
              <w:rPr>
                <w:noProof/>
                <w:webHidden/>
              </w:rPr>
              <w:fldChar w:fldCharType="begin"/>
            </w:r>
            <w:r>
              <w:rPr>
                <w:noProof/>
                <w:webHidden/>
              </w:rPr>
              <w:instrText xml:space="preserve"> PAGEREF _Toc231298570 \h </w:instrText>
            </w:r>
            <w:r>
              <w:rPr>
                <w:noProof/>
                <w:webHidden/>
              </w:rPr>
            </w:r>
            <w:r>
              <w:rPr>
                <w:noProof/>
                <w:webHidden/>
              </w:rPr>
              <w:fldChar w:fldCharType="separate"/>
            </w:r>
            <w:r>
              <w:rPr>
                <w:noProof/>
                <w:webHidden/>
              </w:rPr>
              <w:t>25</w:t>
            </w:r>
            <w:r>
              <w:rPr>
                <w:noProof/>
                <w:webHidden/>
              </w:rPr>
              <w:fldChar w:fldCharType="end"/>
            </w:r>
          </w:hyperlink>
        </w:p>
        <w:p w:rsidR="00D6486B" w:rsidRDefault="00D6486B" w14:paraId="14D34A64" w14:textId="1E85BD8A">
          <w:pPr>
            <w:pStyle w:val="TOC2"/>
            <w:tabs>
              <w:tab w:val="right" w:leader="dot" w:pos="8302"/>
            </w:tabs>
            <w:rPr>
              <w:noProof/>
              <w:sz w:val="24"/>
              <w:szCs w:val="24"/>
              <w:lang w:eastAsia="en-GB"/>
            </w:rPr>
          </w:pPr>
          <w:hyperlink w:history="1" w:anchor="_Toc231298571">
            <w:r w:rsidRPr="00C979E5">
              <w:rPr>
                <w:rStyle w:val="Hyperlink"/>
                <w:rFonts w:ascii="Arial" w:hAnsi="Arial" w:cs="Arial"/>
                <w:noProof/>
              </w:rPr>
              <w:t>2.8 Theoretical Frameworks: One Health, Zero by 30, and Structural Determinants of Health</w:t>
            </w:r>
            <w:r>
              <w:rPr>
                <w:noProof/>
                <w:webHidden/>
              </w:rPr>
              <w:tab/>
            </w:r>
            <w:r>
              <w:rPr>
                <w:noProof/>
                <w:webHidden/>
              </w:rPr>
              <w:fldChar w:fldCharType="begin"/>
            </w:r>
            <w:r>
              <w:rPr>
                <w:noProof/>
                <w:webHidden/>
              </w:rPr>
              <w:instrText xml:space="preserve"> PAGEREF _Toc231298571 \h </w:instrText>
            </w:r>
            <w:r>
              <w:rPr>
                <w:noProof/>
                <w:webHidden/>
              </w:rPr>
            </w:r>
            <w:r>
              <w:rPr>
                <w:noProof/>
                <w:webHidden/>
              </w:rPr>
              <w:fldChar w:fldCharType="separate"/>
            </w:r>
            <w:r>
              <w:rPr>
                <w:noProof/>
                <w:webHidden/>
              </w:rPr>
              <w:t>27</w:t>
            </w:r>
            <w:r>
              <w:rPr>
                <w:noProof/>
                <w:webHidden/>
              </w:rPr>
              <w:fldChar w:fldCharType="end"/>
            </w:r>
          </w:hyperlink>
        </w:p>
        <w:p w:rsidR="00D6486B" w:rsidRDefault="00D6486B" w14:paraId="08D99B19" w14:textId="21CD2D7E">
          <w:pPr>
            <w:pStyle w:val="TOC1"/>
            <w:tabs>
              <w:tab w:val="right" w:leader="dot" w:pos="8302"/>
            </w:tabs>
            <w:rPr>
              <w:rFonts w:asciiTheme="minorHAnsi" w:hAnsiTheme="minorHAnsi" w:eastAsiaTheme="minorEastAsia" w:cstheme="minorBidi"/>
              <w:noProof/>
              <w:color w:val="auto"/>
              <w:szCs w:val="24"/>
              <w:lang w:eastAsia="en-GB"/>
            </w:rPr>
          </w:pPr>
          <w:hyperlink w:history="1" w:anchor="_Toc231298572">
            <w:r w:rsidRPr="00C979E5">
              <w:rPr>
                <w:rStyle w:val="Hyperlink"/>
                <w:rFonts w:ascii="Arial" w:hAnsi="Arial" w:cs="Arial"/>
                <w:noProof/>
              </w:rPr>
              <w:t>CHAPTER 3: METHODOLOGY</w:t>
            </w:r>
            <w:r>
              <w:rPr>
                <w:noProof/>
                <w:webHidden/>
              </w:rPr>
              <w:tab/>
            </w:r>
            <w:r>
              <w:rPr>
                <w:noProof/>
                <w:webHidden/>
              </w:rPr>
              <w:fldChar w:fldCharType="begin"/>
            </w:r>
            <w:r>
              <w:rPr>
                <w:noProof/>
                <w:webHidden/>
              </w:rPr>
              <w:instrText xml:space="preserve"> PAGEREF _Toc231298572 \h </w:instrText>
            </w:r>
            <w:r>
              <w:rPr>
                <w:noProof/>
                <w:webHidden/>
              </w:rPr>
            </w:r>
            <w:r>
              <w:rPr>
                <w:noProof/>
                <w:webHidden/>
              </w:rPr>
              <w:fldChar w:fldCharType="separate"/>
            </w:r>
            <w:r>
              <w:rPr>
                <w:noProof/>
                <w:webHidden/>
              </w:rPr>
              <w:t>29</w:t>
            </w:r>
            <w:r>
              <w:rPr>
                <w:noProof/>
                <w:webHidden/>
              </w:rPr>
              <w:fldChar w:fldCharType="end"/>
            </w:r>
          </w:hyperlink>
        </w:p>
        <w:p w:rsidR="00D6486B" w:rsidRDefault="00D6486B" w14:paraId="1F1FCD79" w14:textId="3EB0EB65">
          <w:pPr>
            <w:pStyle w:val="TOC2"/>
            <w:tabs>
              <w:tab w:val="right" w:leader="dot" w:pos="8302"/>
            </w:tabs>
            <w:rPr>
              <w:noProof/>
              <w:sz w:val="24"/>
              <w:szCs w:val="24"/>
              <w:lang w:eastAsia="en-GB"/>
            </w:rPr>
          </w:pPr>
          <w:hyperlink w:history="1" w:anchor="_Toc231298573">
            <w:r w:rsidRPr="00C979E5">
              <w:rPr>
                <w:rStyle w:val="Hyperlink"/>
                <w:rFonts w:ascii="Arial" w:hAnsi="Arial" w:cs="Arial"/>
                <w:noProof/>
              </w:rPr>
              <w:t>3.1 Introduction</w:t>
            </w:r>
            <w:r>
              <w:rPr>
                <w:noProof/>
                <w:webHidden/>
              </w:rPr>
              <w:tab/>
            </w:r>
            <w:r>
              <w:rPr>
                <w:noProof/>
                <w:webHidden/>
              </w:rPr>
              <w:fldChar w:fldCharType="begin"/>
            </w:r>
            <w:r>
              <w:rPr>
                <w:noProof/>
                <w:webHidden/>
              </w:rPr>
              <w:instrText xml:space="preserve"> PAGEREF _Toc231298573 \h </w:instrText>
            </w:r>
            <w:r>
              <w:rPr>
                <w:noProof/>
                <w:webHidden/>
              </w:rPr>
            </w:r>
            <w:r>
              <w:rPr>
                <w:noProof/>
                <w:webHidden/>
              </w:rPr>
              <w:fldChar w:fldCharType="separate"/>
            </w:r>
            <w:r>
              <w:rPr>
                <w:noProof/>
                <w:webHidden/>
              </w:rPr>
              <w:t>29</w:t>
            </w:r>
            <w:r>
              <w:rPr>
                <w:noProof/>
                <w:webHidden/>
              </w:rPr>
              <w:fldChar w:fldCharType="end"/>
            </w:r>
          </w:hyperlink>
        </w:p>
        <w:p w:rsidR="00D6486B" w:rsidRDefault="00D6486B" w14:paraId="221A680F" w14:textId="45C53178">
          <w:pPr>
            <w:pStyle w:val="TOC2"/>
            <w:tabs>
              <w:tab w:val="right" w:leader="dot" w:pos="8302"/>
            </w:tabs>
            <w:rPr>
              <w:noProof/>
              <w:sz w:val="24"/>
              <w:szCs w:val="24"/>
              <w:lang w:eastAsia="en-GB"/>
            </w:rPr>
          </w:pPr>
          <w:hyperlink w:history="1" w:anchor="_Toc231298574">
            <w:r w:rsidRPr="00C979E5">
              <w:rPr>
                <w:rStyle w:val="Hyperlink"/>
                <w:rFonts w:ascii="Arial" w:hAnsi="Arial" w:cs="Arial"/>
                <w:noProof/>
              </w:rPr>
              <w:t>3.2 Research Philosophy</w:t>
            </w:r>
            <w:r>
              <w:rPr>
                <w:noProof/>
                <w:webHidden/>
              </w:rPr>
              <w:tab/>
            </w:r>
            <w:r>
              <w:rPr>
                <w:noProof/>
                <w:webHidden/>
              </w:rPr>
              <w:fldChar w:fldCharType="begin"/>
            </w:r>
            <w:r>
              <w:rPr>
                <w:noProof/>
                <w:webHidden/>
              </w:rPr>
              <w:instrText xml:space="preserve"> PAGEREF _Toc231298574 \h </w:instrText>
            </w:r>
            <w:r>
              <w:rPr>
                <w:noProof/>
                <w:webHidden/>
              </w:rPr>
            </w:r>
            <w:r>
              <w:rPr>
                <w:noProof/>
                <w:webHidden/>
              </w:rPr>
              <w:fldChar w:fldCharType="separate"/>
            </w:r>
            <w:r>
              <w:rPr>
                <w:noProof/>
                <w:webHidden/>
              </w:rPr>
              <w:t>29</w:t>
            </w:r>
            <w:r>
              <w:rPr>
                <w:noProof/>
                <w:webHidden/>
              </w:rPr>
              <w:fldChar w:fldCharType="end"/>
            </w:r>
          </w:hyperlink>
        </w:p>
        <w:p w:rsidR="00D6486B" w:rsidRDefault="00D6486B" w14:paraId="6A16DDC4" w14:textId="739EFD20">
          <w:pPr>
            <w:pStyle w:val="TOC2"/>
            <w:tabs>
              <w:tab w:val="right" w:leader="dot" w:pos="8302"/>
            </w:tabs>
            <w:rPr>
              <w:noProof/>
              <w:sz w:val="24"/>
              <w:szCs w:val="24"/>
              <w:lang w:eastAsia="en-GB"/>
            </w:rPr>
          </w:pPr>
          <w:hyperlink w:history="1" w:anchor="_Toc231298575">
            <w:r w:rsidRPr="00C979E5">
              <w:rPr>
                <w:rStyle w:val="Hyperlink"/>
                <w:rFonts w:ascii="Arial" w:hAnsi="Arial" w:cs="Arial"/>
                <w:noProof/>
              </w:rPr>
              <w:t>3.3 Research Design</w:t>
            </w:r>
            <w:r>
              <w:rPr>
                <w:noProof/>
                <w:webHidden/>
              </w:rPr>
              <w:tab/>
            </w:r>
            <w:r>
              <w:rPr>
                <w:noProof/>
                <w:webHidden/>
              </w:rPr>
              <w:fldChar w:fldCharType="begin"/>
            </w:r>
            <w:r>
              <w:rPr>
                <w:noProof/>
                <w:webHidden/>
              </w:rPr>
              <w:instrText xml:space="preserve"> PAGEREF _Toc231298575 \h </w:instrText>
            </w:r>
            <w:r>
              <w:rPr>
                <w:noProof/>
                <w:webHidden/>
              </w:rPr>
            </w:r>
            <w:r>
              <w:rPr>
                <w:noProof/>
                <w:webHidden/>
              </w:rPr>
              <w:fldChar w:fldCharType="separate"/>
            </w:r>
            <w:r>
              <w:rPr>
                <w:noProof/>
                <w:webHidden/>
              </w:rPr>
              <w:t>30</w:t>
            </w:r>
            <w:r>
              <w:rPr>
                <w:noProof/>
                <w:webHidden/>
              </w:rPr>
              <w:fldChar w:fldCharType="end"/>
            </w:r>
          </w:hyperlink>
        </w:p>
        <w:p w:rsidR="00D6486B" w:rsidRDefault="00D6486B" w14:paraId="0A468BA3" w14:textId="7DD6780A">
          <w:pPr>
            <w:pStyle w:val="TOC2"/>
            <w:tabs>
              <w:tab w:val="right" w:leader="dot" w:pos="8302"/>
            </w:tabs>
            <w:rPr>
              <w:noProof/>
              <w:sz w:val="24"/>
              <w:szCs w:val="24"/>
              <w:lang w:eastAsia="en-GB"/>
            </w:rPr>
          </w:pPr>
          <w:hyperlink w:history="1" w:anchor="_Toc231298576">
            <w:r w:rsidRPr="00C979E5">
              <w:rPr>
                <w:rStyle w:val="Hyperlink"/>
                <w:rFonts w:ascii="Arial" w:hAnsi="Arial" w:cs="Arial"/>
                <w:noProof/>
              </w:rPr>
              <w:t>3.4 Search Strategy</w:t>
            </w:r>
            <w:r>
              <w:rPr>
                <w:noProof/>
                <w:webHidden/>
              </w:rPr>
              <w:tab/>
            </w:r>
            <w:r>
              <w:rPr>
                <w:noProof/>
                <w:webHidden/>
              </w:rPr>
              <w:fldChar w:fldCharType="begin"/>
            </w:r>
            <w:r>
              <w:rPr>
                <w:noProof/>
                <w:webHidden/>
              </w:rPr>
              <w:instrText xml:space="preserve"> PAGEREF _Toc231298576 \h </w:instrText>
            </w:r>
            <w:r>
              <w:rPr>
                <w:noProof/>
                <w:webHidden/>
              </w:rPr>
            </w:r>
            <w:r>
              <w:rPr>
                <w:noProof/>
                <w:webHidden/>
              </w:rPr>
              <w:fldChar w:fldCharType="separate"/>
            </w:r>
            <w:r>
              <w:rPr>
                <w:noProof/>
                <w:webHidden/>
              </w:rPr>
              <w:t>30</w:t>
            </w:r>
            <w:r>
              <w:rPr>
                <w:noProof/>
                <w:webHidden/>
              </w:rPr>
              <w:fldChar w:fldCharType="end"/>
            </w:r>
          </w:hyperlink>
        </w:p>
        <w:p w:rsidR="00D6486B" w:rsidRDefault="00D6486B" w14:paraId="4F67A11D" w14:textId="446C45DD">
          <w:pPr>
            <w:pStyle w:val="TOC2"/>
            <w:tabs>
              <w:tab w:val="right" w:leader="dot" w:pos="8302"/>
            </w:tabs>
            <w:rPr>
              <w:noProof/>
              <w:sz w:val="24"/>
              <w:szCs w:val="24"/>
              <w:lang w:eastAsia="en-GB"/>
            </w:rPr>
          </w:pPr>
          <w:hyperlink w:history="1" w:anchor="_Toc231298577">
            <w:r w:rsidRPr="00C979E5">
              <w:rPr>
                <w:rStyle w:val="Hyperlink"/>
                <w:rFonts w:ascii="Arial" w:hAnsi="Arial" w:cs="Arial"/>
                <w:noProof/>
              </w:rPr>
              <w:t>3.5 Inclusion and Exclusion Criteria</w:t>
            </w:r>
            <w:r>
              <w:rPr>
                <w:noProof/>
                <w:webHidden/>
              </w:rPr>
              <w:tab/>
            </w:r>
            <w:r>
              <w:rPr>
                <w:noProof/>
                <w:webHidden/>
              </w:rPr>
              <w:fldChar w:fldCharType="begin"/>
            </w:r>
            <w:r>
              <w:rPr>
                <w:noProof/>
                <w:webHidden/>
              </w:rPr>
              <w:instrText xml:space="preserve"> PAGEREF _Toc231298577 \h </w:instrText>
            </w:r>
            <w:r>
              <w:rPr>
                <w:noProof/>
                <w:webHidden/>
              </w:rPr>
            </w:r>
            <w:r>
              <w:rPr>
                <w:noProof/>
                <w:webHidden/>
              </w:rPr>
              <w:fldChar w:fldCharType="separate"/>
            </w:r>
            <w:r>
              <w:rPr>
                <w:noProof/>
                <w:webHidden/>
              </w:rPr>
              <w:t>31</w:t>
            </w:r>
            <w:r>
              <w:rPr>
                <w:noProof/>
                <w:webHidden/>
              </w:rPr>
              <w:fldChar w:fldCharType="end"/>
            </w:r>
          </w:hyperlink>
        </w:p>
        <w:p w:rsidR="00D6486B" w:rsidRDefault="00D6486B" w14:paraId="559CB884" w14:textId="6F938D49">
          <w:pPr>
            <w:pStyle w:val="TOC2"/>
            <w:tabs>
              <w:tab w:val="right" w:leader="dot" w:pos="8302"/>
            </w:tabs>
            <w:rPr>
              <w:noProof/>
              <w:sz w:val="24"/>
              <w:szCs w:val="24"/>
              <w:lang w:eastAsia="en-GB"/>
            </w:rPr>
          </w:pPr>
          <w:hyperlink w:history="1" w:anchor="_Toc231298578">
            <w:r w:rsidRPr="00C979E5">
              <w:rPr>
                <w:rStyle w:val="Hyperlink"/>
                <w:rFonts w:ascii="Arial" w:hAnsi="Arial" w:cs="Arial"/>
                <w:noProof/>
              </w:rPr>
              <w:t>3.6 Study Selection — PRISMA 2020</w:t>
            </w:r>
            <w:r>
              <w:rPr>
                <w:noProof/>
                <w:webHidden/>
              </w:rPr>
              <w:tab/>
            </w:r>
            <w:r>
              <w:rPr>
                <w:noProof/>
                <w:webHidden/>
              </w:rPr>
              <w:fldChar w:fldCharType="begin"/>
            </w:r>
            <w:r>
              <w:rPr>
                <w:noProof/>
                <w:webHidden/>
              </w:rPr>
              <w:instrText xml:space="preserve"> PAGEREF _Toc231298578 \h </w:instrText>
            </w:r>
            <w:r>
              <w:rPr>
                <w:noProof/>
                <w:webHidden/>
              </w:rPr>
            </w:r>
            <w:r>
              <w:rPr>
                <w:noProof/>
                <w:webHidden/>
              </w:rPr>
              <w:fldChar w:fldCharType="separate"/>
            </w:r>
            <w:r>
              <w:rPr>
                <w:noProof/>
                <w:webHidden/>
              </w:rPr>
              <w:t>32</w:t>
            </w:r>
            <w:r>
              <w:rPr>
                <w:noProof/>
                <w:webHidden/>
              </w:rPr>
              <w:fldChar w:fldCharType="end"/>
            </w:r>
          </w:hyperlink>
        </w:p>
        <w:p w:rsidR="00D6486B" w:rsidRDefault="00D6486B" w14:paraId="785F77C4" w14:textId="3E1CC7FE">
          <w:pPr>
            <w:pStyle w:val="TOC2"/>
            <w:tabs>
              <w:tab w:val="right" w:leader="dot" w:pos="8302"/>
            </w:tabs>
            <w:rPr>
              <w:noProof/>
              <w:sz w:val="24"/>
              <w:szCs w:val="24"/>
              <w:lang w:eastAsia="en-GB"/>
            </w:rPr>
          </w:pPr>
          <w:hyperlink w:history="1" w:anchor="_Toc231298579">
            <w:r w:rsidRPr="00C979E5">
              <w:rPr>
                <w:rStyle w:val="Hyperlink"/>
                <w:rFonts w:ascii="Arial" w:hAnsi="Arial" w:cs="Arial"/>
                <w:noProof/>
              </w:rPr>
              <w:t>3.7 Data Extraction</w:t>
            </w:r>
            <w:r>
              <w:rPr>
                <w:noProof/>
                <w:webHidden/>
              </w:rPr>
              <w:tab/>
            </w:r>
            <w:r>
              <w:rPr>
                <w:noProof/>
                <w:webHidden/>
              </w:rPr>
              <w:fldChar w:fldCharType="begin"/>
            </w:r>
            <w:r>
              <w:rPr>
                <w:noProof/>
                <w:webHidden/>
              </w:rPr>
              <w:instrText xml:space="preserve"> PAGEREF _Toc231298579 \h </w:instrText>
            </w:r>
            <w:r>
              <w:rPr>
                <w:noProof/>
                <w:webHidden/>
              </w:rPr>
            </w:r>
            <w:r>
              <w:rPr>
                <w:noProof/>
                <w:webHidden/>
              </w:rPr>
              <w:fldChar w:fldCharType="separate"/>
            </w:r>
            <w:r>
              <w:rPr>
                <w:noProof/>
                <w:webHidden/>
              </w:rPr>
              <w:t>35</w:t>
            </w:r>
            <w:r>
              <w:rPr>
                <w:noProof/>
                <w:webHidden/>
              </w:rPr>
              <w:fldChar w:fldCharType="end"/>
            </w:r>
          </w:hyperlink>
        </w:p>
        <w:p w:rsidR="00D6486B" w:rsidRDefault="00D6486B" w14:paraId="018295EA" w14:textId="0490B096">
          <w:pPr>
            <w:pStyle w:val="TOC2"/>
            <w:tabs>
              <w:tab w:val="right" w:leader="dot" w:pos="8302"/>
            </w:tabs>
            <w:rPr>
              <w:noProof/>
              <w:sz w:val="24"/>
              <w:szCs w:val="24"/>
              <w:lang w:eastAsia="en-GB"/>
            </w:rPr>
          </w:pPr>
          <w:hyperlink w:history="1" w:anchor="_Toc231298580">
            <w:r w:rsidRPr="00C979E5">
              <w:rPr>
                <w:rStyle w:val="Hyperlink"/>
                <w:rFonts w:ascii="Arial" w:hAnsi="Arial" w:cs="Arial"/>
                <w:noProof/>
              </w:rPr>
              <w:t>3.8 Quality Appraisal</w:t>
            </w:r>
            <w:r>
              <w:rPr>
                <w:noProof/>
                <w:webHidden/>
              </w:rPr>
              <w:tab/>
            </w:r>
            <w:r>
              <w:rPr>
                <w:noProof/>
                <w:webHidden/>
              </w:rPr>
              <w:fldChar w:fldCharType="begin"/>
            </w:r>
            <w:r>
              <w:rPr>
                <w:noProof/>
                <w:webHidden/>
              </w:rPr>
              <w:instrText xml:space="preserve"> PAGEREF _Toc231298580 \h </w:instrText>
            </w:r>
            <w:r>
              <w:rPr>
                <w:noProof/>
                <w:webHidden/>
              </w:rPr>
            </w:r>
            <w:r>
              <w:rPr>
                <w:noProof/>
                <w:webHidden/>
              </w:rPr>
              <w:fldChar w:fldCharType="separate"/>
            </w:r>
            <w:r>
              <w:rPr>
                <w:noProof/>
                <w:webHidden/>
              </w:rPr>
              <w:t>35</w:t>
            </w:r>
            <w:r>
              <w:rPr>
                <w:noProof/>
                <w:webHidden/>
              </w:rPr>
              <w:fldChar w:fldCharType="end"/>
            </w:r>
          </w:hyperlink>
        </w:p>
        <w:p w:rsidR="00D6486B" w:rsidRDefault="00D6486B" w14:paraId="09BDE14B" w14:textId="67654270">
          <w:pPr>
            <w:pStyle w:val="TOC2"/>
            <w:tabs>
              <w:tab w:val="right" w:leader="dot" w:pos="8302"/>
            </w:tabs>
            <w:rPr>
              <w:noProof/>
              <w:sz w:val="24"/>
              <w:szCs w:val="24"/>
              <w:lang w:eastAsia="en-GB"/>
            </w:rPr>
          </w:pPr>
          <w:hyperlink w:history="1" w:anchor="_Toc231298581">
            <w:r w:rsidRPr="00C979E5">
              <w:rPr>
                <w:rStyle w:val="Hyperlink"/>
                <w:rFonts w:ascii="Arial" w:hAnsi="Arial" w:cs="Arial"/>
                <w:noProof/>
              </w:rPr>
              <w:t>3.9 Thematic Synthesis</w:t>
            </w:r>
            <w:r>
              <w:rPr>
                <w:noProof/>
                <w:webHidden/>
              </w:rPr>
              <w:tab/>
            </w:r>
            <w:r>
              <w:rPr>
                <w:noProof/>
                <w:webHidden/>
              </w:rPr>
              <w:fldChar w:fldCharType="begin"/>
            </w:r>
            <w:r>
              <w:rPr>
                <w:noProof/>
                <w:webHidden/>
              </w:rPr>
              <w:instrText xml:space="preserve"> PAGEREF _Toc231298581 \h </w:instrText>
            </w:r>
            <w:r>
              <w:rPr>
                <w:noProof/>
                <w:webHidden/>
              </w:rPr>
            </w:r>
            <w:r>
              <w:rPr>
                <w:noProof/>
                <w:webHidden/>
              </w:rPr>
              <w:fldChar w:fldCharType="separate"/>
            </w:r>
            <w:r>
              <w:rPr>
                <w:noProof/>
                <w:webHidden/>
              </w:rPr>
              <w:t>36</w:t>
            </w:r>
            <w:r>
              <w:rPr>
                <w:noProof/>
                <w:webHidden/>
              </w:rPr>
              <w:fldChar w:fldCharType="end"/>
            </w:r>
          </w:hyperlink>
        </w:p>
        <w:p w:rsidR="00D6486B" w:rsidRDefault="00D6486B" w14:paraId="54789EF6" w14:textId="097C3519">
          <w:pPr>
            <w:pStyle w:val="TOC2"/>
            <w:tabs>
              <w:tab w:val="right" w:leader="dot" w:pos="8302"/>
            </w:tabs>
            <w:rPr>
              <w:noProof/>
              <w:sz w:val="24"/>
              <w:szCs w:val="24"/>
              <w:lang w:eastAsia="en-GB"/>
            </w:rPr>
          </w:pPr>
          <w:hyperlink w:history="1" w:anchor="_Toc231298582">
            <w:r w:rsidRPr="00C979E5">
              <w:rPr>
                <w:rStyle w:val="Hyperlink"/>
                <w:rFonts w:ascii="Arial" w:hAnsi="Arial" w:cs="Arial"/>
                <w:noProof/>
              </w:rPr>
              <w:t>3.10 Ethical Considerations</w:t>
            </w:r>
            <w:r>
              <w:rPr>
                <w:noProof/>
                <w:webHidden/>
              </w:rPr>
              <w:tab/>
            </w:r>
            <w:r>
              <w:rPr>
                <w:noProof/>
                <w:webHidden/>
              </w:rPr>
              <w:fldChar w:fldCharType="begin"/>
            </w:r>
            <w:r>
              <w:rPr>
                <w:noProof/>
                <w:webHidden/>
              </w:rPr>
              <w:instrText xml:space="preserve"> PAGEREF _Toc231298582 \h </w:instrText>
            </w:r>
            <w:r>
              <w:rPr>
                <w:noProof/>
                <w:webHidden/>
              </w:rPr>
            </w:r>
            <w:r>
              <w:rPr>
                <w:noProof/>
                <w:webHidden/>
              </w:rPr>
              <w:fldChar w:fldCharType="separate"/>
            </w:r>
            <w:r>
              <w:rPr>
                <w:noProof/>
                <w:webHidden/>
              </w:rPr>
              <w:t>37</w:t>
            </w:r>
            <w:r>
              <w:rPr>
                <w:noProof/>
                <w:webHidden/>
              </w:rPr>
              <w:fldChar w:fldCharType="end"/>
            </w:r>
          </w:hyperlink>
        </w:p>
        <w:p w:rsidR="00D6486B" w:rsidRDefault="00D6486B" w14:paraId="327728DC" w14:textId="119187EB">
          <w:pPr>
            <w:pStyle w:val="TOC1"/>
            <w:tabs>
              <w:tab w:val="right" w:leader="dot" w:pos="8302"/>
            </w:tabs>
            <w:rPr>
              <w:rFonts w:asciiTheme="minorHAnsi" w:hAnsiTheme="minorHAnsi" w:eastAsiaTheme="minorEastAsia" w:cstheme="minorBidi"/>
              <w:noProof/>
              <w:color w:val="auto"/>
              <w:szCs w:val="24"/>
              <w:lang w:eastAsia="en-GB"/>
            </w:rPr>
          </w:pPr>
          <w:hyperlink w:history="1" w:anchor="_Toc231298583">
            <w:r w:rsidRPr="00C979E5">
              <w:rPr>
                <w:rStyle w:val="Hyperlink"/>
                <w:rFonts w:ascii="Arial" w:hAnsi="Arial" w:cs="Arial"/>
                <w:noProof/>
              </w:rPr>
              <w:t>CHAPTER 4: RESULTS</w:t>
            </w:r>
            <w:r>
              <w:rPr>
                <w:noProof/>
                <w:webHidden/>
              </w:rPr>
              <w:tab/>
            </w:r>
            <w:r>
              <w:rPr>
                <w:noProof/>
                <w:webHidden/>
              </w:rPr>
              <w:fldChar w:fldCharType="begin"/>
            </w:r>
            <w:r>
              <w:rPr>
                <w:noProof/>
                <w:webHidden/>
              </w:rPr>
              <w:instrText xml:space="preserve"> PAGEREF _Toc231298583 \h </w:instrText>
            </w:r>
            <w:r>
              <w:rPr>
                <w:noProof/>
                <w:webHidden/>
              </w:rPr>
            </w:r>
            <w:r>
              <w:rPr>
                <w:noProof/>
                <w:webHidden/>
              </w:rPr>
              <w:fldChar w:fldCharType="separate"/>
            </w:r>
            <w:r>
              <w:rPr>
                <w:noProof/>
                <w:webHidden/>
              </w:rPr>
              <w:t>38</w:t>
            </w:r>
            <w:r>
              <w:rPr>
                <w:noProof/>
                <w:webHidden/>
              </w:rPr>
              <w:fldChar w:fldCharType="end"/>
            </w:r>
          </w:hyperlink>
        </w:p>
        <w:p w:rsidR="00D6486B" w:rsidRDefault="00D6486B" w14:paraId="206747DB" w14:textId="0D9B535E">
          <w:pPr>
            <w:pStyle w:val="TOC2"/>
            <w:tabs>
              <w:tab w:val="right" w:leader="dot" w:pos="8302"/>
            </w:tabs>
            <w:rPr>
              <w:noProof/>
              <w:sz w:val="24"/>
              <w:szCs w:val="24"/>
              <w:lang w:eastAsia="en-GB"/>
            </w:rPr>
          </w:pPr>
          <w:hyperlink w:history="1" w:anchor="_Toc231298584">
            <w:r w:rsidRPr="00C979E5">
              <w:rPr>
                <w:rStyle w:val="Hyperlink"/>
                <w:rFonts w:ascii="Arial" w:hAnsi="Arial" w:cs="Arial"/>
                <w:noProof/>
              </w:rPr>
              <w:t>4.1 PRISMA Flow and Study Selection</w:t>
            </w:r>
            <w:r>
              <w:rPr>
                <w:noProof/>
                <w:webHidden/>
              </w:rPr>
              <w:tab/>
            </w:r>
            <w:r>
              <w:rPr>
                <w:noProof/>
                <w:webHidden/>
              </w:rPr>
              <w:fldChar w:fldCharType="begin"/>
            </w:r>
            <w:r>
              <w:rPr>
                <w:noProof/>
                <w:webHidden/>
              </w:rPr>
              <w:instrText xml:space="preserve"> PAGEREF _Toc231298584 \h </w:instrText>
            </w:r>
            <w:r>
              <w:rPr>
                <w:noProof/>
                <w:webHidden/>
              </w:rPr>
            </w:r>
            <w:r>
              <w:rPr>
                <w:noProof/>
                <w:webHidden/>
              </w:rPr>
              <w:fldChar w:fldCharType="separate"/>
            </w:r>
            <w:r>
              <w:rPr>
                <w:noProof/>
                <w:webHidden/>
              </w:rPr>
              <w:t>38</w:t>
            </w:r>
            <w:r>
              <w:rPr>
                <w:noProof/>
                <w:webHidden/>
              </w:rPr>
              <w:fldChar w:fldCharType="end"/>
            </w:r>
          </w:hyperlink>
        </w:p>
        <w:p w:rsidR="00D6486B" w:rsidRDefault="00D6486B" w14:paraId="353C5E6C" w14:textId="391B9754">
          <w:pPr>
            <w:pStyle w:val="TOC2"/>
            <w:tabs>
              <w:tab w:val="right" w:leader="dot" w:pos="8302"/>
            </w:tabs>
            <w:rPr>
              <w:noProof/>
              <w:sz w:val="24"/>
              <w:szCs w:val="24"/>
              <w:lang w:eastAsia="en-GB"/>
            </w:rPr>
          </w:pPr>
          <w:hyperlink w:history="1" w:anchor="_Toc231298585">
            <w:r w:rsidRPr="00C979E5">
              <w:rPr>
                <w:rStyle w:val="Hyperlink"/>
                <w:rFonts w:ascii="Arial" w:hAnsi="Arial" w:cs="Arial"/>
                <w:noProof/>
              </w:rPr>
              <w:t>4.2 Characteristics of Included Studies</w:t>
            </w:r>
            <w:r>
              <w:rPr>
                <w:noProof/>
                <w:webHidden/>
              </w:rPr>
              <w:tab/>
            </w:r>
            <w:r>
              <w:rPr>
                <w:noProof/>
                <w:webHidden/>
              </w:rPr>
              <w:fldChar w:fldCharType="begin"/>
            </w:r>
            <w:r>
              <w:rPr>
                <w:noProof/>
                <w:webHidden/>
              </w:rPr>
              <w:instrText xml:space="preserve"> PAGEREF _Toc231298585 \h </w:instrText>
            </w:r>
            <w:r>
              <w:rPr>
                <w:noProof/>
                <w:webHidden/>
              </w:rPr>
            </w:r>
            <w:r>
              <w:rPr>
                <w:noProof/>
                <w:webHidden/>
              </w:rPr>
              <w:fldChar w:fldCharType="separate"/>
            </w:r>
            <w:r>
              <w:rPr>
                <w:noProof/>
                <w:webHidden/>
              </w:rPr>
              <w:t>38</w:t>
            </w:r>
            <w:r>
              <w:rPr>
                <w:noProof/>
                <w:webHidden/>
              </w:rPr>
              <w:fldChar w:fldCharType="end"/>
            </w:r>
          </w:hyperlink>
        </w:p>
        <w:p w:rsidR="00D6486B" w:rsidRDefault="00D6486B" w14:paraId="67FF221C" w14:textId="165C47E8">
          <w:pPr>
            <w:pStyle w:val="TOC2"/>
            <w:tabs>
              <w:tab w:val="right" w:leader="dot" w:pos="8302"/>
            </w:tabs>
            <w:rPr>
              <w:noProof/>
              <w:sz w:val="24"/>
              <w:szCs w:val="24"/>
              <w:lang w:eastAsia="en-GB"/>
            </w:rPr>
          </w:pPr>
          <w:hyperlink w:history="1" w:anchor="_Toc231298586">
            <w:r w:rsidRPr="00C979E5">
              <w:rPr>
                <w:rStyle w:val="Hyperlink"/>
                <w:rFonts w:ascii="Arial" w:hAnsi="Arial" w:cs="Arial"/>
                <w:noProof/>
              </w:rPr>
              <w:t>4.3 Quality Profile of Included Studies</w:t>
            </w:r>
            <w:r>
              <w:rPr>
                <w:noProof/>
                <w:webHidden/>
              </w:rPr>
              <w:tab/>
            </w:r>
            <w:r>
              <w:rPr>
                <w:noProof/>
                <w:webHidden/>
              </w:rPr>
              <w:fldChar w:fldCharType="begin"/>
            </w:r>
            <w:r>
              <w:rPr>
                <w:noProof/>
                <w:webHidden/>
              </w:rPr>
              <w:instrText xml:space="preserve"> PAGEREF _Toc231298586 \h </w:instrText>
            </w:r>
            <w:r>
              <w:rPr>
                <w:noProof/>
                <w:webHidden/>
              </w:rPr>
            </w:r>
            <w:r>
              <w:rPr>
                <w:noProof/>
                <w:webHidden/>
              </w:rPr>
              <w:fldChar w:fldCharType="separate"/>
            </w:r>
            <w:r>
              <w:rPr>
                <w:noProof/>
                <w:webHidden/>
              </w:rPr>
              <w:t>43</w:t>
            </w:r>
            <w:r>
              <w:rPr>
                <w:noProof/>
                <w:webHidden/>
              </w:rPr>
              <w:fldChar w:fldCharType="end"/>
            </w:r>
          </w:hyperlink>
        </w:p>
        <w:p w:rsidR="00D6486B" w:rsidRDefault="00D6486B" w14:paraId="41CC73F3" w14:textId="3340AC7D">
          <w:pPr>
            <w:pStyle w:val="TOC2"/>
            <w:tabs>
              <w:tab w:val="right" w:leader="dot" w:pos="8302"/>
            </w:tabs>
            <w:rPr>
              <w:noProof/>
              <w:sz w:val="24"/>
              <w:szCs w:val="24"/>
              <w:lang w:eastAsia="en-GB"/>
            </w:rPr>
          </w:pPr>
          <w:hyperlink w:history="1" w:anchor="_Toc231298587">
            <w:r w:rsidRPr="00C979E5">
              <w:rPr>
                <w:rStyle w:val="Hyperlink"/>
                <w:rFonts w:ascii="Arial" w:hAnsi="Arial" w:cs="Arial"/>
                <w:noProof/>
              </w:rPr>
              <w:t>4.4 Theme 1 — Community Knowledge Gaps and Risk Perception Deficits</w:t>
            </w:r>
            <w:r>
              <w:rPr>
                <w:noProof/>
                <w:webHidden/>
              </w:rPr>
              <w:tab/>
            </w:r>
            <w:r>
              <w:rPr>
                <w:noProof/>
                <w:webHidden/>
              </w:rPr>
              <w:fldChar w:fldCharType="begin"/>
            </w:r>
            <w:r>
              <w:rPr>
                <w:noProof/>
                <w:webHidden/>
              </w:rPr>
              <w:instrText xml:space="preserve"> PAGEREF _Toc231298587 \h </w:instrText>
            </w:r>
            <w:r>
              <w:rPr>
                <w:noProof/>
                <w:webHidden/>
              </w:rPr>
            </w:r>
            <w:r>
              <w:rPr>
                <w:noProof/>
                <w:webHidden/>
              </w:rPr>
              <w:fldChar w:fldCharType="separate"/>
            </w:r>
            <w:r>
              <w:rPr>
                <w:noProof/>
                <w:webHidden/>
              </w:rPr>
              <w:t>47</w:t>
            </w:r>
            <w:r>
              <w:rPr>
                <w:noProof/>
                <w:webHidden/>
              </w:rPr>
              <w:fldChar w:fldCharType="end"/>
            </w:r>
          </w:hyperlink>
        </w:p>
        <w:p w:rsidR="00D6486B" w:rsidRDefault="00D6486B" w14:paraId="5B88FAB5" w14:textId="74F526FD">
          <w:pPr>
            <w:pStyle w:val="TOC2"/>
            <w:tabs>
              <w:tab w:val="right" w:leader="dot" w:pos="8302"/>
            </w:tabs>
            <w:rPr>
              <w:noProof/>
              <w:sz w:val="24"/>
              <w:szCs w:val="24"/>
              <w:lang w:eastAsia="en-GB"/>
            </w:rPr>
          </w:pPr>
          <w:hyperlink w:history="1" w:anchor="_Toc231298588">
            <w:r w:rsidRPr="00C979E5">
              <w:rPr>
                <w:rStyle w:val="Hyperlink"/>
                <w:rFonts w:ascii="Arial" w:hAnsi="Arial" w:cs="Arial"/>
                <w:noProof/>
              </w:rPr>
              <w:t>4.5 Theme 2 — Traditional Medicine Use as a Structural Barrier to Post-Exposure Prophylaxis</w:t>
            </w:r>
            <w:r>
              <w:rPr>
                <w:noProof/>
                <w:webHidden/>
              </w:rPr>
              <w:tab/>
            </w:r>
            <w:r>
              <w:rPr>
                <w:noProof/>
                <w:webHidden/>
              </w:rPr>
              <w:fldChar w:fldCharType="begin"/>
            </w:r>
            <w:r>
              <w:rPr>
                <w:noProof/>
                <w:webHidden/>
              </w:rPr>
              <w:instrText xml:space="preserve"> PAGEREF _Toc231298588 \h </w:instrText>
            </w:r>
            <w:r>
              <w:rPr>
                <w:noProof/>
                <w:webHidden/>
              </w:rPr>
            </w:r>
            <w:r>
              <w:rPr>
                <w:noProof/>
                <w:webHidden/>
              </w:rPr>
              <w:fldChar w:fldCharType="separate"/>
            </w:r>
            <w:r>
              <w:rPr>
                <w:noProof/>
                <w:webHidden/>
              </w:rPr>
              <w:t>48</w:t>
            </w:r>
            <w:r>
              <w:rPr>
                <w:noProof/>
                <w:webHidden/>
              </w:rPr>
              <w:fldChar w:fldCharType="end"/>
            </w:r>
          </w:hyperlink>
        </w:p>
        <w:p w:rsidR="00D6486B" w:rsidRDefault="00D6486B" w14:paraId="3106CBE5" w14:textId="37CC3729">
          <w:pPr>
            <w:pStyle w:val="TOC2"/>
            <w:tabs>
              <w:tab w:val="right" w:leader="dot" w:pos="8302"/>
            </w:tabs>
            <w:rPr>
              <w:noProof/>
              <w:sz w:val="24"/>
              <w:szCs w:val="24"/>
              <w:lang w:eastAsia="en-GB"/>
            </w:rPr>
          </w:pPr>
          <w:hyperlink w:history="1" w:anchor="_Toc231298589">
            <w:r w:rsidRPr="00C979E5">
              <w:rPr>
                <w:rStyle w:val="Hyperlink"/>
                <w:rFonts w:ascii="Arial" w:hAnsi="Arial" w:cs="Arial"/>
                <w:noProof/>
              </w:rPr>
              <w:t>4.6 Theme 3 — Health System Failures and PEP Inaccessibility</w:t>
            </w:r>
            <w:r>
              <w:rPr>
                <w:noProof/>
                <w:webHidden/>
              </w:rPr>
              <w:tab/>
            </w:r>
            <w:r>
              <w:rPr>
                <w:noProof/>
                <w:webHidden/>
              </w:rPr>
              <w:fldChar w:fldCharType="begin"/>
            </w:r>
            <w:r>
              <w:rPr>
                <w:noProof/>
                <w:webHidden/>
              </w:rPr>
              <w:instrText xml:space="preserve"> PAGEREF _Toc231298589 \h </w:instrText>
            </w:r>
            <w:r>
              <w:rPr>
                <w:noProof/>
                <w:webHidden/>
              </w:rPr>
            </w:r>
            <w:r>
              <w:rPr>
                <w:noProof/>
                <w:webHidden/>
              </w:rPr>
              <w:fldChar w:fldCharType="separate"/>
            </w:r>
            <w:r>
              <w:rPr>
                <w:noProof/>
                <w:webHidden/>
              </w:rPr>
              <w:t>50</w:t>
            </w:r>
            <w:r>
              <w:rPr>
                <w:noProof/>
                <w:webHidden/>
              </w:rPr>
              <w:fldChar w:fldCharType="end"/>
            </w:r>
          </w:hyperlink>
        </w:p>
        <w:p w:rsidR="00D6486B" w:rsidRDefault="00D6486B" w14:paraId="6CC8D75F" w14:textId="5F53B75D">
          <w:pPr>
            <w:pStyle w:val="TOC2"/>
            <w:tabs>
              <w:tab w:val="right" w:leader="dot" w:pos="8302"/>
            </w:tabs>
            <w:rPr>
              <w:noProof/>
              <w:sz w:val="24"/>
              <w:szCs w:val="24"/>
              <w:lang w:eastAsia="en-GB"/>
            </w:rPr>
          </w:pPr>
          <w:hyperlink w:history="1" w:anchor="_Toc231298590">
            <w:r w:rsidRPr="00C979E5">
              <w:rPr>
                <w:rStyle w:val="Hyperlink"/>
                <w:rFonts w:ascii="Arial" w:hAnsi="Arial" w:cs="Arial"/>
                <w:noProof/>
              </w:rPr>
              <w:t>4.7 Theme 4 — Surveillance Inadequacy and Under-Reporting</w:t>
            </w:r>
            <w:r>
              <w:rPr>
                <w:noProof/>
                <w:webHidden/>
              </w:rPr>
              <w:tab/>
            </w:r>
            <w:r>
              <w:rPr>
                <w:noProof/>
                <w:webHidden/>
              </w:rPr>
              <w:fldChar w:fldCharType="begin"/>
            </w:r>
            <w:r>
              <w:rPr>
                <w:noProof/>
                <w:webHidden/>
              </w:rPr>
              <w:instrText xml:space="preserve"> PAGEREF _Toc231298590 \h </w:instrText>
            </w:r>
            <w:r>
              <w:rPr>
                <w:noProof/>
                <w:webHidden/>
              </w:rPr>
            </w:r>
            <w:r>
              <w:rPr>
                <w:noProof/>
                <w:webHidden/>
              </w:rPr>
              <w:fldChar w:fldCharType="separate"/>
            </w:r>
            <w:r>
              <w:rPr>
                <w:noProof/>
                <w:webHidden/>
              </w:rPr>
              <w:t>51</w:t>
            </w:r>
            <w:r>
              <w:rPr>
                <w:noProof/>
                <w:webHidden/>
              </w:rPr>
              <w:fldChar w:fldCharType="end"/>
            </w:r>
          </w:hyperlink>
        </w:p>
        <w:p w:rsidR="00D6486B" w:rsidRDefault="00D6486B" w14:paraId="6FFB46C7" w14:textId="213A5561">
          <w:pPr>
            <w:pStyle w:val="TOC1"/>
            <w:tabs>
              <w:tab w:val="right" w:leader="dot" w:pos="8302"/>
            </w:tabs>
            <w:rPr>
              <w:rFonts w:asciiTheme="minorHAnsi" w:hAnsiTheme="minorHAnsi" w:eastAsiaTheme="minorEastAsia" w:cstheme="minorBidi"/>
              <w:noProof/>
              <w:color w:val="auto"/>
              <w:szCs w:val="24"/>
              <w:lang w:eastAsia="en-GB"/>
            </w:rPr>
          </w:pPr>
          <w:hyperlink w:history="1" w:anchor="_Toc231298591">
            <w:r w:rsidRPr="00C979E5">
              <w:rPr>
                <w:rStyle w:val="Hyperlink"/>
                <w:rFonts w:ascii="Arial" w:hAnsi="Arial" w:cs="Arial"/>
                <w:noProof/>
              </w:rPr>
              <w:t>Chapter 5: Discussion</w:t>
            </w:r>
            <w:r>
              <w:rPr>
                <w:noProof/>
                <w:webHidden/>
              </w:rPr>
              <w:tab/>
            </w:r>
            <w:r>
              <w:rPr>
                <w:noProof/>
                <w:webHidden/>
              </w:rPr>
              <w:fldChar w:fldCharType="begin"/>
            </w:r>
            <w:r>
              <w:rPr>
                <w:noProof/>
                <w:webHidden/>
              </w:rPr>
              <w:instrText xml:space="preserve"> PAGEREF _Toc231298591 \h </w:instrText>
            </w:r>
            <w:r>
              <w:rPr>
                <w:noProof/>
                <w:webHidden/>
              </w:rPr>
            </w:r>
            <w:r>
              <w:rPr>
                <w:noProof/>
                <w:webHidden/>
              </w:rPr>
              <w:fldChar w:fldCharType="separate"/>
            </w:r>
            <w:r>
              <w:rPr>
                <w:noProof/>
                <w:webHidden/>
              </w:rPr>
              <w:t>53</w:t>
            </w:r>
            <w:r>
              <w:rPr>
                <w:noProof/>
                <w:webHidden/>
              </w:rPr>
              <w:fldChar w:fldCharType="end"/>
            </w:r>
          </w:hyperlink>
        </w:p>
        <w:p w:rsidR="00D6486B" w:rsidRDefault="00D6486B" w14:paraId="15D73675" w14:textId="15D8553C">
          <w:pPr>
            <w:pStyle w:val="TOC2"/>
            <w:tabs>
              <w:tab w:val="right" w:leader="dot" w:pos="8302"/>
            </w:tabs>
            <w:rPr>
              <w:noProof/>
              <w:sz w:val="24"/>
              <w:szCs w:val="24"/>
              <w:lang w:eastAsia="en-GB"/>
            </w:rPr>
          </w:pPr>
          <w:hyperlink w:history="1" w:anchor="_Toc231298592">
            <w:r w:rsidRPr="00C979E5">
              <w:rPr>
                <w:rStyle w:val="Hyperlink"/>
                <w:rFonts w:ascii="Arial" w:hAnsi="Arial" w:cs="Arial"/>
                <w:noProof/>
              </w:rPr>
              <w:t>5.1 Introduction</w:t>
            </w:r>
            <w:r>
              <w:rPr>
                <w:noProof/>
                <w:webHidden/>
              </w:rPr>
              <w:tab/>
            </w:r>
            <w:r>
              <w:rPr>
                <w:noProof/>
                <w:webHidden/>
              </w:rPr>
              <w:fldChar w:fldCharType="begin"/>
            </w:r>
            <w:r>
              <w:rPr>
                <w:noProof/>
                <w:webHidden/>
              </w:rPr>
              <w:instrText xml:space="preserve"> PAGEREF _Toc231298592 \h </w:instrText>
            </w:r>
            <w:r>
              <w:rPr>
                <w:noProof/>
                <w:webHidden/>
              </w:rPr>
            </w:r>
            <w:r>
              <w:rPr>
                <w:noProof/>
                <w:webHidden/>
              </w:rPr>
              <w:fldChar w:fldCharType="separate"/>
            </w:r>
            <w:r>
              <w:rPr>
                <w:noProof/>
                <w:webHidden/>
              </w:rPr>
              <w:t>53</w:t>
            </w:r>
            <w:r>
              <w:rPr>
                <w:noProof/>
                <w:webHidden/>
              </w:rPr>
              <w:fldChar w:fldCharType="end"/>
            </w:r>
          </w:hyperlink>
        </w:p>
        <w:p w:rsidR="00D6486B" w:rsidRDefault="00D6486B" w14:paraId="7C50EB36" w14:textId="75DCB670">
          <w:pPr>
            <w:pStyle w:val="TOC2"/>
            <w:tabs>
              <w:tab w:val="right" w:leader="dot" w:pos="8302"/>
            </w:tabs>
            <w:rPr>
              <w:noProof/>
              <w:sz w:val="24"/>
              <w:szCs w:val="24"/>
              <w:lang w:eastAsia="en-GB"/>
            </w:rPr>
          </w:pPr>
          <w:hyperlink w:history="1" w:anchor="_Toc231298593">
            <w:r w:rsidRPr="00C979E5">
              <w:rPr>
                <w:rStyle w:val="Hyperlink"/>
                <w:rFonts w:ascii="Arial" w:hAnsi="Arial" w:cs="Arial"/>
                <w:noProof/>
              </w:rPr>
              <w:t>5.2 Theme 1 — Community Knowledge Gaps and Risk Perception Deficits</w:t>
            </w:r>
            <w:r>
              <w:rPr>
                <w:noProof/>
                <w:webHidden/>
              </w:rPr>
              <w:tab/>
            </w:r>
            <w:r>
              <w:rPr>
                <w:noProof/>
                <w:webHidden/>
              </w:rPr>
              <w:fldChar w:fldCharType="begin"/>
            </w:r>
            <w:r>
              <w:rPr>
                <w:noProof/>
                <w:webHidden/>
              </w:rPr>
              <w:instrText xml:space="preserve"> PAGEREF _Toc231298593 \h </w:instrText>
            </w:r>
            <w:r>
              <w:rPr>
                <w:noProof/>
                <w:webHidden/>
              </w:rPr>
            </w:r>
            <w:r>
              <w:rPr>
                <w:noProof/>
                <w:webHidden/>
              </w:rPr>
              <w:fldChar w:fldCharType="separate"/>
            </w:r>
            <w:r>
              <w:rPr>
                <w:noProof/>
                <w:webHidden/>
              </w:rPr>
              <w:t>54</w:t>
            </w:r>
            <w:r>
              <w:rPr>
                <w:noProof/>
                <w:webHidden/>
              </w:rPr>
              <w:fldChar w:fldCharType="end"/>
            </w:r>
          </w:hyperlink>
        </w:p>
        <w:p w:rsidR="00D6486B" w:rsidRDefault="00D6486B" w14:paraId="475C661C" w14:textId="287EBD63">
          <w:pPr>
            <w:pStyle w:val="TOC2"/>
            <w:tabs>
              <w:tab w:val="right" w:leader="dot" w:pos="8302"/>
            </w:tabs>
            <w:rPr>
              <w:noProof/>
              <w:sz w:val="24"/>
              <w:szCs w:val="24"/>
              <w:lang w:eastAsia="en-GB"/>
            </w:rPr>
          </w:pPr>
          <w:hyperlink w:history="1" w:anchor="_Toc231298594">
            <w:r w:rsidRPr="00C979E5">
              <w:rPr>
                <w:rStyle w:val="Hyperlink"/>
                <w:rFonts w:ascii="Arial" w:hAnsi="Arial" w:cs="Arial"/>
                <w:noProof/>
              </w:rPr>
              <w:t>5.3 Theme 2 — Traditional Medicine Use as Structural Barrier: Global Comparison</w:t>
            </w:r>
            <w:r>
              <w:rPr>
                <w:noProof/>
                <w:webHidden/>
              </w:rPr>
              <w:tab/>
            </w:r>
            <w:r>
              <w:rPr>
                <w:noProof/>
                <w:webHidden/>
              </w:rPr>
              <w:fldChar w:fldCharType="begin"/>
            </w:r>
            <w:r>
              <w:rPr>
                <w:noProof/>
                <w:webHidden/>
              </w:rPr>
              <w:instrText xml:space="preserve"> PAGEREF _Toc231298594 \h </w:instrText>
            </w:r>
            <w:r>
              <w:rPr>
                <w:noProof/>
                <w:webHidden/>
              </w:rPr>
            </w:r>
            <w:r>
              <w:rPr>
                <w:noProof/>
                <w:webHidden/>
              </w:rPr>
              <w:fldChar w:fldCharType="separate"/>
            </w:r>
            <w:r>
              <w:rPr>
                <w:noProof/>
                <w:webHidden/>
              </w:rPr>
              <w:t>55</w:t>
            </w:r>
            <w:r>
              <w:rPr>
                <w:noProof/>
                <w:webHidden/>
              </w:rPr>
              <w:fldChar w:fldCharType="end"/>
            </w:r>
          </w:hyperlink>
        </w:p>
        <w:p w:rsidR="00D6486B" w:rsidRDefault="00D6486B" w14:paraId="3EC624CD" w14:textId="6BB93CA0">
          <w:pPr>
            <w:pStyle w:val="TOC2"/>
            <w:tabs>
              <w:tab w:val="right" w:leader="dot" w:pos="8302"/>
            </w:tabs>
            <w:rPr>
              <w:noProof/>
              <w:sz w:val="24"/>
              <w:szCs w:val="24"/>
              <w:lang w:eastAsia="en-GB"/>
            </w:rPr>
          </w:pPr>
          <w:hyperlink w:history="1" w:anchor="_Toc231298595">
            <w:r w:rsidRPr="00C979E5">
              <w:rPr>
                <w:rStyle w:val="Hyperlink"/>
                <w:rFonts w:ascii="Arial" w:hAnsi="Arial" w:cs="Arial"/>
                <w:noProof/>
              </w:rPr>
              <w:t>5.4 Theme 3 — Health System Failures and PEP Inaccessibility: Policy Benchmarking</w:t>
            </w:r>
            <w:r>
              <w:rPr>
                <w:noProof/>
                <w:webHidden/>
              </w:rPr>
              <w:tab/>
            </w:r>
            <w:r>
              <w:rPr>
                <w:noProof/>
                <w:webHidden/>
              </w:rPr>
              <w:fldChar w:fldCharType="begin"/>
            </w:r>
            <w:r>
              <w:rPr>
                <w:noProof/>
                <w:webHidden/>
              </w:rPr>
              <w:instrText xml:space="preserve"> PAGEREF _Toc231298595 \h </w:instrText>
            </w:r>
            <w:r>
              <w:rPr>
                <w:noProof/>
                <w:webHidden/>
              </w:rPr>
            </w:r>
            <w:r>
              <w:rPr>
                <w:noProof/>
                <w:webHidden/>
              </w:rPr>
              <w:fldChar w:fldCharType="separate"/>
            </w:r>
            <w:r>
              <w:rPr>
                <w:noProof/>
                <w:webHidden/>
              </w:rPr>
              <w:t>57</w:t>
            </w:r>
            <w:r>
              <w:rPr>
                <w:noProof/>
                <w:webHidden/>
              </w:rPr>
              <w:fldChar w:fldCharType="end"/>
            </w:r>
          </w:hyperlink>
        </w:p>
        <w:p w:rsidR="00D6486B" w:rsidRDefault="00D6486B" w14:paraId="527EA423" w14:textId="0A3BA610">
          <w:pPr>
            <w:pStyle w:val="TOC2"/>
            <w:tabs>
              <w:tab w:val="right" w:leader="dot" w:pos="8302"/>
            </w:tabs>
            <w:rPr>
              <w:noProof/>
              <w:sz w:val="24"/>
              <w:szCs w:val="24"/>
              <w:lang w:eastAsia="en-GB"/>
            </w:rPr>
          </w:pPr>
          <w:hyperlink w:history="1" w:anchor="_Toc231298596">
            <w:r w:rsidRPr="00C979E5">
              <w:rPr>
                <w:rStyle w:val="Hyperlink"/>
                <w:rFonts w:ascii="Arial" w:hAnsi="Arial" w:cs="Arial"/>
                <w:noProof/>
              </w:rPr>
              <w:t>5.5 Theme 4 — Surveillance Inadequacy: Standards and Zero by 30 Progress</w:t>
            </w:r>
            <w:r>
              <w:rPr>
                <w:noProof/>
                <w:webHidden/>
              </w:rPr>
              <w:tab/>
            </w:r>
            <w:r>
              <w:rPr>
                <w:noProof/>
                <w:webHidden/>
              </w:rPr>
              <w:fldChar w:fldCharType="begin"/>
            </w:r>
            <w:r>
              <w:rPr>
                <w:noProof/>
                <w:webHidden/>
              </w:rPr>
              <w:instrText xml:space="preserve"> PAGEREF _Toc231298596 \h </w:instrText>
            </w:r>
            <w:r>
              <w:rPr>
                <w:noProof/>
                <w:webHidden/>
              </w:rPr>
            </w:r>
            <w:r>
              <w:rPr>
                <w:noProof/>
                <w:webHidden/>
              </w:rPr>
              <w:fldChar w:fldCharType="separate"/>
            </w:r>
            <w:r>
              <w:rPr>
                <w:noProof/>
                <w:webHidden/>
              </w:rPr>
              <w:t>58</w:t>
            </w:r>
            <w:r>
              <w:rPr>
                <w:noProof/>
                <w:webHidden/>
              </w:rPr>
              <w:fldChar w:fldCharType="end"/>
            </w:r>
          </w:hyperlink>
        </w:p>
        <w:p w:rsidR="00D6486B" w:rsidRDefault="00D6486B" w14:paraId="5F6BC07C" w14:textId="199EF434">
          <w:pPr>
            <w:pStyle w:val="TOC2"/>
            <w:tabs>
              <w:tab w:val="right" w:leader="dot" w:pos="8302"/>
            </w:tabs>
            <w:rPr>
              <w:noProof/>
              <w:sz w:val="24"/>
              <w:szCs w:val="24"/>
              <w:lang w:eastAsia="en-GB"/>
            </w:rPr>
          </w:pPr>
          <w:hyperlink w:history="1" w:anchor="_Toc231298597">
            <w:r w:rsidRPr="00C979E5">
              <w:rPr>
                <w:rStyle w:val="Hyperlink"/>
                <w:rFonts w:ascii="Arial" w:hAnsi="Arial" w:cs="Arial"/>
                <w:noProof/>
              </w:rPr>
              <w:t>5.6 Implications for One Health and Zero by 30</w:t>
            </w:r>
            <w:r>
              <w:rPr>
                <w:noProof/>
                <w:webHidden/>
              </w:rPr>
              <w:tab/>
            </w:r>
            <w:r>
              <w:rPr>
                <w:noProof/>
                <w:webHidden/>
              </w:rPr>
              <w:fldChar w:fldCharType="begin"/>
            </w:r>
            <w:r>
              <w:rPr>
                <w:noProof/>
                <w:webHidden/>
              </w:rPr>
              <w:instrText xml:space="preserve"> PAGEREF _Toc231298597 \h </w:instrText>
            </w:r>
            <w:r>
              <w:rPr>
                <w:noProof/>
                <w:webHidden/>
              </w:rPr>
            </w:r>
            <w:r>
              <w:rPr>
                <w:noProof/>
                <w:webHidden/>
              </w:rPr>
              <w:fldChar w:fldCharType="separate"/>
            </w:r>
            <w:r>
              <w:rPr>
                <w:noProof/>
                <w:webHidden/>
              </w:rPr>
              <w:t>59</w:t>
            </w:r>
            <w:r>
              <w:rPr>
                <w:noProof/>
                <w:webHidden/>
              </w:rPr>
              <w:fldChar w:fldCharType="end"/>
            </w:r>
          </w:hyperlink>
        </w:p>
        <w:p w:rsidR="00D6486B" w:rsidRDefault="00D6486B" w14:paraId="43C432DB" w14:textId="03377F09">
          <w:pPr>
            <w:pStyle w:val="TOC2"/>
            <w:tabs>
              <w:tab w:val="right" w:leader="dot" w:pos="8302"/>
            </w:tabs>
            <w:rPr>
              <w:noProof/>
              <w:sz w:val="24"/>
              <w:szCs w:val="24"/>
              <w:lang w:eastAsia="en-GB"/>
            </w:rPr>
          </w:pPr>
          <w:hyperlink w:history="1" w:anchor="_Toc231298598">
            <w:r w:rsidRPr="00C979E5">
              <w:rPr>
                <w:rStyle w:val="Hyperlink"/>
                <w:rFonts w:ascii="Arial" w:hAnsi="Arial" w:cs="Arial"/>
                <w:noProof/>
              </w:rPr>
              <w:t>5.7 Limitations of this Review</w:t>
            </w:r>
            <w:r>
              <w:rPr>
                <w:noProof/>
                <w:webHidden/>
              </w:rPr>
              <w:tab/>
            </w:r>
            <w:r>
              <w:rPr>
                <w:noProof/>
                <w:webHidden/>
              </w:rPr>
              <w:fldChar w:fldCharType="begin"/>
            </w:r>
            <w:r>
              <w:rPr>
                <w:noProof/>
                <w:webHidden/>
              </w:rPr>
              <w:instrText xml:space="preserve"> PAGEREF _Toc231298598 \h </w:instrText>
            </w:r>
            <w:r>
              <w:rPr>
                <w:noProof/>
                <w:webHidden/>
              </w:rPr>
            </w:r>
            <w:r>
              <w:rPr>
                <w:noProof/>
                <w:webHidden/>
              </w:rPr>
              <w:fldChar w:fldCharType="separate"/>
            </w:r>
            <w:r>
              <w:rPr>
                <w:noProof/>
                <w:webHidden/>
              </w:rPr>
              <w:t>61</w:t>
            </w:r>
            <w:r>
              <w:rPr>
                <w:noProof/>
                <w:webHidden/>
              </w:rPr>
              <w:fldChar w:fldCharType="end"/>
            </w:r>
          </w:hyperlink>
        </w:p>
        <w:p w:rsidR="00D6486B" w:rsidRDefault="00D6486B" w14:paraId="58DFE548" w14:textId="45E8B4FA">
          <w:pPr>
            <w:pStyle w:val="TOC1"/>
            <w:tabs>
              <w:tab w:val="right" w:leader="dot" w:pos="8302"/>
            </w:tabs>
            <w:rPr>
              <w:rFonts w:asciiTheme="minorHAnsi" w:hAnsiTheme="minorHAnsi" w:eastAsiaTheme="minorEastAsia" w:cstheme="minorBidi"/>
              <w:noProof/>
              <w:color w:val="auto"/>
              <w:szCs w:val="24"/>
              <w:lang w:eastAsia="en-GB"/>
            </w:rPr>
          </w:pPr>
          <w:hyperlink w:history="1" w:anchor="_Toc231298599">
            <w:r w:rsidRPr="00C979E5">
              <w:rPr>
                <w:rStyle w:val="Hyperlink"/>
                <w:rFonts w:ascii="Arial" w:hAnsi="Arial" w:cs="Arial"/>
                <w:noProof/>
              </w:rPr>
              <w:t>CHAPTER 6: CONCLUSION</w:t>
            </w:r>
            <w:r>
              <w:rPr>
                <w:noProof/>
                <w:webHidden/>
              </w:rPr>
              <w:tab/>
            </w:r>
            <w:r>
              <w:rPr>
                <w:noProof/>
                <w:webHidden/>
              </w:rPr>
              <w:fldChar w:fldCharType="begin"/>
            </w:r>
            <w:r>
              <w:rPr>
                <w:noProof/>
                <w:webHidden/>
              </w:rPr>
              <w:instrText xml:space="preserve"> PAGEREF _Toc231298599 \h </w:instrText>
            </w:r>
            <w:r>
              <w:rPr>
                <w:noProof/>
                <w:webHidden/>
              </w:rPr>
            </w:r>
            <w:r>
              <w:rPr>
                <w:noProof/>
                <w:webHidden/>
              </w:rPr>
              <w:fldChar w:fldCharType="separate"/>
            </w:r>
            <w:r>
              <w:rPr>
                <w:noProof/>
                <w:webHidden/>
              </w:rPr>
              <w:t>63</w:t>
            </w:r>
            <w:r>
              <w:rPr>
                <w:noProof/>
                <w:webHidden/>
              </w:rPr>
              <w:fldChar w:fldCharType="end"/>
            </w:r>
          </w:hyperlink>
        </w:p>
        <w:p w:rsidR="00D6486B" w:rsidRDefault="00D6486B" w14:paraId="206BE050" w14:textId="73CCC8A5">
          <w:pPr>
            <w:pStyle w:val="TOC2"/>
            <w:tabs>
              <w:tab w:val="right" w:leader="dot" w:pos="8302"/>
            </w:tabs>
            <w:rPr>
              <w:noProof/>
              <w:sz w:val="24"/>
              <w:szCs w:val="24"/>
              <w:lang w:eastAsia="en-GB"/>
            </w:rPr>
          </w:pPr>
          <w:hyperlink w:history="1" w:anchor="_Toc231298600">
            <w:r w:rsidRPr="00C979E5">
              <w:rPr>
                <w:rStyle w:val="Hyperlink"/>
                <w:rFonts w:ascii="Arial" w:hAnsi="Arial" w:cs="Arial"/>
                <w:noProof/>
              </w:rPr>
              <w:t>6.1 Summary of Key Findings</w:t>
            </w:r>
            <w:r>
              <w:rPr>
                <w:noProof/>
                <w:webHidden/>
              </w:rPr>
              <w:tab/>
            </w:r>
            <w:r>
              <w:rPr>
                <w:noProof/>
                <w:webHidden/>
              </w:rPr>
              <w:fldChar w:fldCharType="begin"/>
            </w:r>
            <w:r>
              <w:rPr>
                <w:noProof/>
                <w:webHidden/>
              </w:rPr>
              <w:instrText xml:space="preserve"> PAGEREF _Toc231298600 \h </w:instrText>
            </w:r>
            <w:r>
              <w:rPr>
                <w:noProof/>
                <w:webHidden/>
              </w:rPr>
            </w:r>
            <w:r>
              <w:rPr>
                <w:noProof/>
                <w:webHidden/>
              </w:rPr>
              <w:fldChar w:fldCharType="separate"/>
            </w:r>
            <w:r>
              <w:rPr>
                <w:noProof/>
                <w:webHidden/>
              </w:rPr>
              <w:t>63</w:t>
            </w:r>
            <w:r>
              <w:rPr>
                <w:noProof/>
                <w:webHidden/>
              </w:rPr>
              <w:fldChar w:fldCharType="end"/>
            </w:r>
          </w:hyperlink>
        </w:p>
        <w:p w:rsidR="00D6486B" w:rsidRDefault="00D6486B" w14:paraId="658918C7" w14:textId="61981C6F">
          <w:pPr>
            <w:pStyle w:val="TOC2"/>
            <w:tabs>
              <w:tab w:val="right" w:leader="dot" w:pos="8302"/>
            </w:tabs>
            <w:rPr>
              <w:noProof/>
              <w:sz w:val="24"/>
              <w:szCs w:val="24"/>
              <w:lang w:eastAsia="en-GB"/>
            </w:rPr>
          </w:pPr>
          <w:hyperlink w:history="1" w:anchor="_Toc231298601">
            <w:r w:rsidRPr="00C979E5">
              <w:rPr>
                <w:rStyle w:val="Hyperlink"/>
                <w:rFonts w:ascii="Arial" w:hAnsi="Arial" w:cs="Arial"/>
                <w:noProof/>
              </w:rPr>
              <w:t>6.2 Answering the Research Question</w:t>
            </w:r>
            <w:r>
              <w:rPr>
                <w:noProof/>
                <w:webHidden/>
              </w:rPr>
              <w:tab/>
            </w:r>
            <w:r>
              <w:rPr>
                <w:noProof/>
                <w:webHidden/>
              </w:rPr>
              <w:fldChar w:fldCharType="begin"/>
            </w:r>
            <w:r>
              <w:rPr>
                <w:noProof/>
                <w:webHidden/>
              </w:rPr>
              <w:instrText xml:space="preserve"> PAGEREF _Toc231298601 \h </w:instrText>
            </w:r>
            <w:r>
              <w:rPr>
                <w:noProof/>
                <w:webHidden/>
              </w:rPr>
            </w:r>
            <w:r>
              <w:rPr>
                <w:noProof/>
                <w:webHidden/>
              </w:rPr>
              <w:fldChar w:fldCharType="separate"/>
            </w:r>
            <w:r>
              <w:rPr>
                <w:noProof/>
                <w:webHidden/>
              </w:rPr>
              <w:t>64</w:t>
            </w:r>
            <w:r>
              <w:rPr>
                <w:noProof/>
                <w:webHidden/>
              </w:rPr>
              <w:fldChar w:fldCharType="end"/>
            </w:r>
          </w:hyperlink>
        </w:p>
        <w:p w:rsidR="00D6486B" w:rsidRDefault="00D6486B" w14:paraId="57888194" w14:textId="26E93DD2">
          <w:pPr>
            <w:pStyle w:val="TOC2"/>
            <w:tabs>
              <w:tab w:val="right" w:leader="dot" w:pos="8302"/>
            </w:tabs>
            <w:rPr>
              <w:noProof/>
              <w:sz w:val="24"/>
              <w:szCs w:val="24"/>
              <w:lang w:eastAsia="en-GB"/>
            </w:rPr>
          </w:pPr>
          <w:hyperlink w:history="1" w:anchor="_Toc231298602">
            <w:r w:rsidRPr="00C979E5">
              <w:rPr>
                <w:rStyle w:val="Hyperlink"/>
                <w:rFonts w:ascii="Arial" w:hAnsi="Arial" w:cs="Arial"/>
                <w:noProof/>
              </w:rPr>
              <w:t>6.3 Policy Implications and Recommendations</w:t>
            </w:r>
            <w:r>
              <w:rPr>
                <w:noProof/>
                <w:webHidden/>
              </w:rPr>
              <w:tab/>
            </w:r>
            <w:r>
              <w:rPr>
                <w:noProof/>
                <w:webHidden/>
              </w:rPr>
              <w:fldChar w:fldCharType="begin"/>
            </w:r>
            <w:r>
              <w:rPr>
                <w:noProof/>
                <w:webHidden/>
              </w:rPr>
              <w:instrText xml:space="preserve"> PAGEREF _Toc231298602 \h </w:instrText>
            </w:r>
            <w:r>
              <w:rPr>
                <w:noProof/>
                <w:webHidden/>
              </w:rPr>
            </w:r>
            <w:r>
              <w:rPr>
                <w:noProof/>
                <w:webHidden/>
              </w:rPr>
              <w:fldChar w:fldCharType="separate"/>
            </w:r>
            <w:r>
              <w:rPr>
                <w:noProof/>
                <w:webHidden/>
              </w:rPr>
              <w:t>64</w:t>
            </w:r>
            <w:r>
              <w:rPr>
                <w:noProof/>
                <w:webHidden/>
              </w:rPr>
              <w:fldChar w:fldCharType="end"/>
            </w:r>
          </w:hyperlink>
        </w:p>
        <w:p w:rsidR="00D6486B" w:rsidRDefault="00D6486B" w14:paraId="2ADFEB33" w14:textId="4B378F92">
          <w:pPr>
            <w:pStyle w:val="TOC2"/>
            <w:tabs>
              <w:tab w:val="right" w:leader="dot" w:pos="8302"/>
            </w:tabs>
            <w:rPr>
              <w:noProof/>
              <w:sz w:val="24"/>
              <w:szCs w:val="24"/>
              <w:lang w:eastAsia="en-GB"/>
            </w:rPr>
          </w:pPr>
          <w:hyperlink w:history="1" w:anchor="_Toc231298603">
            <w:r w:rsidRPr="00C979E5">
              <w:rPr>
                <w:rStyle w:val="Hyperlink"/>
                <w:rFonts w:ascii="Arial" w:hAnsi="Arial" w:cs="Arial"/>
                <w:noProof/>
              </w:rPr>
              <w:t>6.4 Critical Reflection on Learning and Personal Development</w:t>
            </w:r>
            <w:r>
              <w:rPr>
                <w:noProof/>
                <w:webHidden/>
              </w:rPr>
              <w:tab/>
            </w:r>
            <w:r>
              <w:rPr>
                <w:noProof/>
                <w:webHidden/>
              </w:rPr>
              <w:fldChar w:fldCharType="begin"/>
            </w:r>
            <w:r>
              <w:rPr>
                <w:noProof/>
                <w:webHidden/>
              </w:rPr>
              <w:instrText xml:space="preserve"> PAGEREF _Toc231298603 \h </w:instrText>
            </w:r>
            <w:r>
              <w:rPr>
                <w:noProof/>
                <w:webHidden/>
              </w:rPr>
            </w:r>
            <w:r>
              <w:rPr>
                <w:noProof/>
                <w:webHidden/>
              </w:rPr>
              <w:fldChar w:fldCharType="separate"/>
            </w:r>
            <w:r>
              <w:rPr>
                <w:noProof/>
                <w:webHidden/>
              </w:rPr>
              <w:t>66</w:t>
            </w:r>
            <w:r>
              <w:rPr>
                <w:noProof/>
                <w:webHidden/>
              </w:rPr>
              <w:fldChar w:fldCharType="end"/>
            </w:r>
          </w:hyperlink>
        </w:p>
        <w:p w:rsidR="00D6486B" w:rsidRDefault="00D6486B" w14:paraId="6B4ED499" w14:textId="65F5DBBD">
          <w:pPr>
            <w:pStyle w:val="TOC2"/>
            <w:tabs>
              <w:tab w:val="right" w:leader="dot" w:pos="8302"/>
            </w:tabs>
            <w:rPr>
              <w:noProof/>
              <w:sz w:val="24"/>
              <w:szCs w:val="24"/>
              <w:lang w:eastAsia="en-GB"/>
            </w:rPr>
          </w:pPr>
          <w:hyperlink w:history="1" w:anchor="_Toc231298604">
            <w:r w:rsidRPr="00C979E5">
              <w:rPr>
                <w:rStyle w:val="Hyperlink"/>
                <w:rFonts w:ascii="Arial" w:hAnsi="Arial" w:cs="Arial"/>
                <w:noProof/>
              </w:rPr>
              <w:t>6.5 Future Research Directions</w:t>
            </w:r>
            <w:r>
              <w:rPr>
                <w:noProof/>
                <w:webHidden/>
              </w:rPr>
              <w:tab/>
            </w:r>
            <w:r>
              <w:rPr>
                <w:noProof/>
                <w:webHidden/>
              </w:rPr>
              <w:fldChar w:fldCharType="begin"/>
            </w:r>
            <w:r>
              <w:rPr>
                <w:noProof/>
                <w:webHidden/>
              </w:rPr>
              <w:instrText xml:space="preserve"> PAGEREF _Toc231298604 \h </w:instrText>
            </w:r>
            <w:r>
              <w:rPr>
                <w:noProof/>
                <w:webHidden/>
              </w:rPr>
            </w:r>
            <w:r>
              <w:rPr>
                <w:noProof/>
                <w:webHidden/>
              </w:rPr>
              <w:fldChar w:fldCharType="separate"/>
            </w:r>
            <w:r>
              <w:rPr>
                <w:noProof/>
                <w:webHidden/>
              </w:rPr>
              <w:t>67</w:t>
            </w:r>
            <w:r>
              <w:rPr>
                <w:noProof/>
                <w:webHidden/>
              </w:rPr>
              <w:fldChar w:fldCharType="end"/>
            </w:r>
          </w:hyperlink>
        </w:p>
        <w:p w:rsidR="00D6486B" w:rsidRDefault="00D6486B" w14:paraId="4A3EDFF3" w14:textId="105415A0">
          <w:pPr>
            <w:pStyle w:val="TOC1"/>
            <w:tabs>
              <w:tab w:val="right" w:leader="dot" w:pos="8302"/>
            </w:tabs>
            <w:rPr>
              <w:rFonts w:asciiTheme="minorHAnsi" w:hAnsiTheme="minorHAnsi" w:eastAsiaTheme="minorEastAsia" w:cstheme="minorBidi"/>
              <w:noProof/>
              <w:color w:val="auto"/>
              <w:szCs w:val="24"/>
              <w:lang w:eastAsia="en-GB"/>
            </w:rPr>
          </w:pPr>
          <w:hyperlink w:history="1" w:anchor="_Toc231298605">
            <w:r w:rsidRPr="00C979E5">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_Toc231298605 \h </w:instrText>
            </w:r>
            <w:r>
              <w:rPr>
                <w:noProof/>
                <w:webHidden/>
              </w:rPr>
            </w:r>
            <w:r>
              <w:rPr>
                <w:noProof/>
                <w:webHidden/>
              </w:rPr>
              <w:fldChar w:fldCharType="separate"/>
            </w:r>
            <w:r>
              <w:rPr>
                <w:noProof/>
                <w:webHidden/>
              </w:rPr>
              <w:t>69</w:t>
            </w:r>
            <w:r>
              <w:rPr>
                <w:noProof/>
                <w:webHidden/>
              </w:rPr>
              <w:fldChar w:fldCharType="end"/>
            </w:r>
          </w:hyperlink>
        </w:p>
        <w:p w:rsidR="00D6486B" w:rsidRDefault="00D6486B" w14:paraId="69225C8B" w14:textId="7ABB4F54">
          <w:pPr>
            <w:pStyle w:val="TOC1"/>
            <w:tabs>
              <w:tab w:val="right" w:leader="dot" w:pos="8302"/>
            </w:tabs>
            <w:rPr>
              <w:rFonts w:asciiTheme="minorHAnsi" w:hAnsiTheme="minorHAnsi" w:eastAsiaTheme="minorEastAsia" w:cstheme="minorBidi"/>
              <w:noProof/>
              <w:color w:val="auto"/>
              <w:szCs w:val="24"/>
              <w:lang w:eastAsia="en-GB"/>
            </w:rPr>
          </w:pPr>
          <w:hyperlink w:history="1" w:anchor="_Toc231298606">
            <w:r w:rsidRPr="00C979E5">
              <w:rPr>
                <w:rStyle w:val="Hyperlink"/>
                <w:rFonts w:ascii="Arial" w:hAnsi="Arial" w:eastAsia="Calibri" w:cs="Arial"/>
                <w:noProof/>
              </w:rPr>
              <w:t>Appendix A</w:t>
            </w:r>
            <w:r>
              <w:rPr>
                <w:noProof/>
                <w:webHidden/>
              </w:rPr>
              <w:tab/>
            </w:r>
            <w:r>
              <w:rPr>
                <w:noProof/>
                <w:webHidden/>
              </w:rPr>
              <w:fldChar w:fldCharType="begin"/>
            </w:r>
            <w:r>
              <w:rPr>
                <w:noProof/>
                <w:webHidden/>
              </w:rPr>
              <w:instrText xml:space="preserve"> PAGEREF _Toc231298606 \h </w:instrText>
            </w:r>
            <w:r>
              <w:rPr>
                <w:noProof/>
                <w:webHidden/>
              </w:rPr>
            </w:r>
            <w:r>
              <w:rPr>
                <w:noProof/>
                <w:webHidden/>
              </w:rPr>
              <w:fldChar w:fldCharType="separate"/>
            </w:r>
            <w:r>
              <w:rPr>
                <w:noProof/>
                <w:webHidden/>
              </w:rPr>
              <w:t>79</w:t>
            </w:r>
            <w:r>
              <w:rPr>
                <w:noProof/>
                <w:webHidden/>
              </w:rPr>
              <w:fldChar w:fldCharType="end"/>
            </w:r>
          </w:hyperlink>
        </w:p>
        <w:p w:rsidR="00D6486B" w:rsidRDefault="00D6486B" w14:paraId="66453695" w14:textId="55DCD7DF">
          <w:pPr>
            <w:pStyle w:val="TOC1"/>
            <w:tabs>
              <w:tab w:val="right" w:leader="dot" w:pos="8302"/>
            </w:tabs>
            <w:rPr>
              <w:rFonts w:asciiTheme="minorHAnsi" w:hAnsiTheme="minorHAnsi" w:eastAsiaTheme="minorEastAsia" w:cstheme="minorBidi"/>
              <w:noProof/>
              <w:color w:val="auto"/>
              <w:szCs w:val="24"/>
              <w:lang w:eastAsia="en-GB"/>
            </w:rPr>
          </w:pPr>
          <w:hyperlink w:history="1" w:anchor="_Toc231298607">
            <w:r w:rsidRPr="00C979E5">
              <w:rPr>
                <w:rStyle w:val="Hyperlink"/>
                <w:rFonts w:ascii="Arial" w:hAnsi="Arial" w:eastAsia="Calibri" w:cs="Arial"/>
                <w:noProof/>
              </w:rPr>
              <w:t>Appendix B</w:t>
            </w:r>
            <w:r>
              <w:rPr>
                <w:noProof/>
                <w:webHidden/>
              </w:rPr>
              <w:tab/>
            </w:r>
            <w:r>
              <w:rPr>
                <w:noProof/>
                <w:webHidden/>
              </w:rPr>
              <w:fldChar w:fldCharType="begin"/>
            </w:r>
            <w:r>
              <w:rPr>
                <w:noProof/>
                <w:webHidden/>
              </w:rPr>
              <w:instrText xml:space="preserve"> PAGEREF _Toc231298607 \h </w:instrText>
            </w:r>
            <w:r>
              <w:rPr>
                <w:noProof/>
                <w:webHidden/>
              </w:rPr>
            </w:r>
            <w:r>
              <w:rPr>
                <w:noProof/>
                <w:webHidden/>
              </w:rPr>
              <w:fldChar w:fldCharType="separate"/>
            </w:r>
            <w:r>
              <w:rPr>
                <w:noProof/>
                <w:webHidden/>
              </w:rPr>
              <w:t>81</w:t>
            </w:r>
            <w:r>
              <w:rPr>
                <w:noProof/>
                <w:webHidden/>
              </w:rPr>
              <w:fldChar w:fldCharType="end"/>
            </w:r>
          </w:hyperlink>
        </w:p>
        <w:p w:rsidR="00D6486B" w:rsidRDefault="00D6486B" w14:paraId="084BD629" w14:textId="36B5858F">
          <w:pPr>
            <w:pStyle w:val="TOC1"/>
            <w:tabs>
              <w:tab w:val="right" w:leader="dot" w:pos="8302"/>
            </w:tabs>
            <w:rPr>
              <w:rFonts w:asciiTheme="minorHAnsi" w:hAnsiTheme="minorHAnsi" w:eastAsiaTheme="minorEastAsia" w:cstheme="minorBidi"/>
              <w:noProof/>
              <w:color w:val="auto"/>
              <w:szCs w:val="24"/>
              <w:lang w:eastAsia="en-GB"/>
            </w:rPr>
          </w:pPr>
          <w:hyperlink w:history="1" w:anchor="_Toc231298608">
            <w:r w:rsidRPr="00C979E5">
              <w:rPr>
                <w:rStyle w:val="Hyperlink"/>
                <w:rFonts w:ascii="Arial" w:hAnsi="Arial" w:eastAsia="Calibri" w:cs="Arial"/>
                <w:bCs/>
                <w:noProof/>
              </w:rPr>
              <w:t>Appendix C</w:t>
            </w:r>
            <w:r>
              <w:rPr>
                <w:noProof/>
                <w:webHidden/>
              </w:rPr>
              <w:tab/>
            </w:r>
            <w:r>
              <w:rPr>
                <w:noProof/>
                <w:webHidden/>
              </w:rPr>
              <w:fldChar w:fldCharType="begin"/>
            </w:r>
            <w:r>
              <w:rPr>
                <w:noProof/>
                <w:webHidden/>
              </w:rPr>
              <w:instrText xml:space="preserve"> PAGEREF _Toc231298608 \h </w:instrText>
            </w:r>
            <w:r>
              <w:rPr>
                <w:noProof/>
                <w:webHidden/>
              </w:rPr>
            </w:r>
            <w:r>
              <w:rPr>
                <w:noProof/>
                <w:webHidden/>
              </w:rPr>
              <w:fldChar w:fldCharType="separate"/>
            </w:r>
            <w:r>
              <w:rPr>
                <w:noProof/>
                <w:webHidden/>
              </w:rPr>
              <w:t>82</w:t>
            </w:r>
            <w:r>
              <w:rPr>
                <w:noProof/>
                <w:webHidden/>
              </w:rPr>
              <w:fldChar w:fldCharType="end"/>
            </w:r>
          </w:hyperlink>
        </w:p>
        <w:p w:rsidRPr="00BF57FF" w:rsidR="0047448E" w:rsidP="00A70BBB" w:rsidRDefault="0047448E" w14:paraId="1B20709A" w14:textId="6063A92D">
          <w:pPr>
            <w:spacing w:line="360" w:lineRule="auto"/>
            <w:jc w:val="both"/>
            <w:rPr>
              <w:rFonts w:ascii="Arial" w:hAnsi="Arial" w:cs="Arial"/>
            </w:rPr>
          </w:pPr>
          <w:r w:rsidRPr="00BF57FF">
            <w:rPr>
              <w:rFonts w:ascii="Arial" w:hAnsi="Arial" w:cs="Arial"/>
              <w:b/>
              <w:bCs/>
            </w:rPr>
            <w:fldChar w:fldCharType="end"/>
          </w:r>
        </w:p>
      </w:sdtContent>
    </w:sdt>
    <w:p w:rsidRPr="00BF57FF" w:rsidR="000555DE" w:rsidP="00A70BBB" w:rsidRDefault="000555DE" w14:paraId="617F822A" w14:textId="77777777">
      <w:pPr>
        <w:spacing w:after="0" w:line="360" w:lineRule="auto"/>
        <w:jc w:val="both"/>
        <w:rPr>
          <w:rFonts w:ascii="Arial" w:hAnsi="Arial" w:eastAsia="Times New Roman" w:cs="Arial"/>
          <w:b/>
          <w:color w:val="000000"/>
        </w:rPr>
      </w:pPr>
      <w:r w:rsidRPr="00BF57FF">
        <w:rPr>
          <w:rFonts w:ascii="Arial" w:hAnsi="Arial" w:cs="Arial"/>
        </w:rPr>
        <w:br w:type="page"/>
      </w:r>
    </w:p>
    <w:p w:rsidRPr="00BF57FF" w:rsidR="003B5E06" w:rsidP="00A70BBB" w:rsidRDefault="009F64C5" w14:paraId="569EFE84" w14:textId="77777777">
      <w:pPr>
        <w:pStyle w:val="Heading1"/>
        <w:spacing w:line="360" w:lineRule="auto"/>
        <w:jc w:val="both"/>
        <w:rPr>
          <w:rFonts w:ascii="Arial" w:hAnsi="Arial" w:cs="Arial"/>
          <w:noProof/>
          <w:sz w:val="22"/>
        </w:rPr>
      </w:pPr>
      <w:bookmarkStart w:name="_Toc231005820" w:id="3"/>
      <w:bookmarkStart w:name="_Toc231005844" w:id="4"/>
      <w:bookmarkStart w:name="_Toc231298553" w:id="5"/>
      <w:r w:rsidRPr="00BF57FF">
        <w:rPr>
          <w:rFonts w:ascii="Arial" w:hAnsi="Arial" w:cs="Arial"/>
          <w:sz w:val="22"/>
        </w:rPr>
        <w:t>List of figures</w:t>
      </w:r>
      <w:bookmarkEnd w:id="3"/>
      <w:bookmarkEnd w:id="4"/>
      <w:bookmarkEnd w:id="5"/>
      <w:r w:rsidRPr="00BF57FF" w:rsidR="003B5E06">
        <w:rPr>
          <w:rFonts w:ascii="Arial" w:hAnsi="Arial" w:cs="Arial"/>
          <w:sz w:val="22"/>
        </w:rPr>
        <w:fldChar w:fldCharType="begin"/>
      </w:r>
      <w:r w:rsidRPr="00BF57FF" w:rsidR="003B5E06">
        <w:rPr>
          <w:rFonts w:ascii="Arial" w:hAnsi="Arial" w:cs="Arial"/>
          <w:sz w:val="22"/>
        </w:rPr>
        <w:instrText xml:space="preserve"> TOC \h \z \c "figure 3" </w:instrText>
      </w:r>
      <w:r w:rsidRPr="00BF57FF" w:rsidR="003B5E06">
        <w:rPr>
          <w:rFonts w:ascii="Arial" w:hAnsi="Arial" w:cs="Arial"/>
          <w:sz w:val="22"/>
        </w:rPr>
        <w:fldChar w:fldCharType="separate"/>
      </w:r>
    </w:p>
    <w:p w:rsidRPr="00BF57FF" w:rsidR="003B5E06" w:rsidP="00A70BBB" w:rsidRDefault="003B5E06" w14:paraId="2C9701CB" w14:textId="607A6DA1">
      <w:pPr>
        <w:pStyle w:val="TableofFigures"/>
        <w:tabs>
          <w:tab w:val="right" w:leader="dot" w:pos="9016"/>
        </w:tabs>
        <w:spacing w:line="360" w:lineRule="auto"/>
        <w:jc w:val="both"/>
        <w:rPr>
          <w:rFonts w:ascii="Arial" w:hAnsi="Arial" w:cs="Arial"/>
          <w:noProof/>
          <w:lang w:val="en-US" w:eastAsia="en-US"/>
        </w:rPr>
      </w:pPr>
      <w:hyperlink w:history="1" w:anchor="_Toc231244426">
        <w:r w:rsidRPr="00BF57FF">
          <w:rPr>
            <w:rStyle w:val="Hyperlink"/>
            <w:rFonts w:ascii="Arial" w:hAnsi="Arial" w:cs="Arial"/>
            <w:noProof/>
          </w:rPr>
          <w:t>Figure 3.1 PRISMA 2020 flow diagram illustrating the systematic search, screening, eligibility assessment, and inclusion process for the systematic review on barriers to rabies surveillance and treatment in India. Adapted from: Page, M.J., McKenzie, J.E., Bossuyt, P.M., et al. (2021) 'The PRISMA 2020 statement: an updated guideline for reporting systematic reviews', BMJ, 372, p.n71. Date range: 1 January 2015 – 31 May 2026.</w:t>
        </w:r>
        <w:r w:rsidRPr="00BF57FF">
          <w:rPr>
            <w:rFonts w:ascii="Arial" w:hAnsi="Arial" w:cs="Arial"/>
            <w:noProof/>
            <w:webHidden/>
          </w:rPr>
          <w:tab/>
        </w:r>
        <w:r w:rsidRPr="00BF57FF">
          <w:rPr>
            <w:rFonts w:ascii="Arial" w:hAnsi="Arial" w:cs="Arial"/>
            <w:noProof/>
            <w:webHidden/>
          </w:rPr>
          <w:fldChar w:fldCharType="begin"/>
        </w:r>
        <w:r w:rsidRPr="00BF57FF">
          <w:rPr>
            <w:rFonts w:ascii="Arial" w:hAnsi="Arial" w:cs="Arial"/>
            <w:noProof/>
            <w:webHidden/>
          </w:rPr>
          <w:instrText xml:space="preserve"> PAGEREF _Toc231244426 \h </w:instrText>
        </w:r>
        <w:r w:rsidRPr="00BF57FF">
          <w:rPr>
            <w:rFonts w:ascii="Arial" w:hAnsi="Arial" w:cs="Arial"/>
            <w:noProof/>
            <w:webHidden/>
          </w:rPr>
        </w:r>
        <w:r w:rsidRPr="00BF57FF">
          <w:rPr>
            <w:rFonts w:ascii="Arial" w:hAnsi="Arial" w:cs="Arial"/>
            <w:noProof/>
            <w:webHidden/>
          </w:rPr>
          <w:fldChar w:fldCharType="separate"/>
        </w:r>
        <w:r w:rsidRPr="00BF57FF">
          <w:rPr>
            <w:rFonts w:ascii="Arial" w:hAnsi="Arial" w:cs="Arial"/>
            <w:noProof/>
            <w:webHidden/>
          </w:rPr>
          <w:t>35</w:t>
        </w:r>
        <w:r w:rsidRPr="00BF57FF">
          <w:rPr>
            <w:rFonts w:ascii="Arial" w:hAnsi="Arial" w:cs="Arial"/>
            <w:noProof/>
            <w:webHidden/>
          </w:rPr>
          <w:fldChar w:fldCharType="end"/>
        </w:r>
      </w:hyperlink>
    </w:p>
    <w:p w:rsidRPr="00BF57FF" w:rsidR="003B5E06" w:rsidP="00A70BBB" w:rsidRDefault="003B5E06" w14:paraId="6A95EB2D" w14:textId="77777777">
      <w:pPr>
        <w:pStyle w:val="Heading1"/>
        <w:spacing w:line="360" w:lineRule="auto"/>
        <w:jc w:val="both"/>
        <w:rPr>
          <w:rFonts w:ascii="Arial" w:hAnsi="Arial" w:cs="Arial"/>
          <w:sz w:val="22"/>
        </w:rPr>
      </w:pPr>
      <w:r w:rsidRPr="00BF57FF">
        <w:rPr>
          <w:rFonts w:ascii="Arial" w:hAnsi="Arial" w:cs="Arial"/>
          <w:sz w:val="22"/>
        </w:rPr>
        <w:fldChar w:fldCharType="end"/>
      </w:r>
    </w:p>
    <w:p w:rsidRPr="00BF57FF" w:rsidR="003B5E06" w:rsidP="00A70BBB" w:rsidRDefault="003B5E06" w14:paraId="3181A5F7" w14:textId="1524EE03">
      <w:pPr>
        <w:pStyle w:val="TableofFigures"/>
        <w:tabs>
          <w:tab w:val="right" w:leader="dot" w:pos="9016"/>
        </w:tabs>
        <w:spacing w:line="360" w:lineRule="auto"/>
        <w:jc w:val="both"/>
        <w:rPr>
          <w:rFonts w:ascii="Arial" w:hAnsi="Arial" w:cs="Arial"/>
          <w:noProof/>
          <w:lang w:val="en-US" w:eastAsia="en-US"/>
        </w:rPr>
      </w:pPr>
      <w:r w:rsidRPr="00BF57FF">
        <w:rPr>
          <w:rFonts w:ascii="Arial" w:hAnsi="Arial" w:cs="Arial"/>
        </w:rPr>
        <w:fldChar w:fldCharType="begin"/>
      </w:r>
      <w:r w:rsidRPr="00BF57FF">
        <w:rPr>
          <w:rFonts w:ascii="Arial" w:hAnsi="Arial" w:cs="Arial"/>
        </w:rPr>
        <w:instrText xml:space="preserve"> TOC \h \z \c "Figure 5" </w:instrText>
      </w:r>
      <w:r w:rsidRPr="00BF57FF">
        <w:rPr>
          <w:rFonts w:ascii="Arial" w:hAnsi="Arial" w:cs="Arial"/>
        </w:rPr>
        <w:fldChar w:fldCharType="separate"/>
      </w:r>
      <w:hyperlink w:history="1" w:anchor="_Toc231244434">
        <w:r w:rsidRPr="00BF57FF">
          <w:rPr>
            <w:rStyle w:val="Hyperlink"/>
            <w:rFonts w:ascii="Arial" w:hAnsi="Arial" w:cs="Arial"/>
            <w:noProof/>
          </w:rPr>
          <w:t>Figure 5.1 Multilevel Barriers to Rabies Elimination in India Across the One Health Framework</w:t>
        </w:r>
        <w:r w:rsidRPr="00BF57FF">
          <w:rPr>
            <w:rFonts w:ascii="Arial" w:hAnsi="Arial" w:cs="Arial"/>
            <w:noProof/>
            <w:webHidden/>
          </w:rPr>
          <w:tab/>
        </w:r>
        <w:r w:rsidRPr="00BF57FF">
          <w:rPr>
            <w:rFonts w:ascii="Arial" w:hAnsi="Arial" w:cs="Arial"/>
            <w:noProof/>
            <w:webHidden/>
          </w:rPr>
          <w:fldChar w:fldCharType="begin"/>
        </w:r>
        <w:r w:rsidRPr="00BF57FF">
          <w:rPr>
            <w:rFonts w:ascii="Arial" w:hAnsi="Arial" w:cs="Arial"/>
            <w:noProof/>
            <w:webHidden/>
          </w:rPr>
          <w:instrText xml:space="preserve"> PAGEREF _Toc231244434 \h </w:instrText>
        </w:r>
        <w:r w:rsidRPr="00BF57FF">
          <w:rPr>
            <w:rFonts w:ascii="Arial" w:hAnsi="Arial" w:cs="Arial"/>
            <w:noProof/>
            <w:webHidden/>
          </w:rPr>
        </w:r>
        <w:r w:rsidRPr="00BF57FF">
          <w:rPr>
            <w:rFonts w:ascii="Arial" w:hAnsi="Arial" w:cs="Arial"/>
            <w:noProof/>
            <w:webHidden/>
          </w:rPr>
          <w:fldChar w:fldCharType="separate"/>
        </w:r>
        <w:r w:rsidRPr="00BF57FF">
          <w:rPr>
            <w:rFonts w:ascii="Arial" w:hAnsi="Arial" w:cs="Arial"/>
            <w:noProof/>
            <w:webHidden/>
          </w:rPr>
          <w:t>60</w:t>
        </w:r>
        <w:r w:rsidRPr="00BF57FF">
          <w:rPr>
            <w:rFonts w:ascii="Arial" w:hAnsi="Arial" w:cs="Arial"/>
            <w:noProof/>
            <w:webHidden/>
          </w:rPr>
          <w:fldChar w:fldCharType="end"/>
        </w:r>
      </w:hyperlink>
    </w:p>
    <w:p w:rsidRPr="00BF57FF" w:rsidR="0047448E" w:rsidP="00A70BBB" w:rsidRDefault="003B5E06" w14:paraId="6D18FCB0" w14:textId="55C8B5EB">
      <w:pPr>
        <w:pStyle w:val="Heading1"/>
        <w:spacing w:line="360" w:lineRule="auto"/>
        <w:jc w:val="both"/>
        <w:rPr>
          <w:rFonts w:ascii="Arial" w:hAnsi="Arial" w:cs="Arial"/>
          <w:sz w:val="22"/>
        </w:rPr>
      </w:pPr>
      <w:r w:rsidRPr="00BF57FF">
        <w:rPr>
          <w:rFonts w:ascii="Arial" w:hAnsi="Arial" w:cs="Arial"/>
          <w:sz w:val="22"/>
        </w:rPr>
        <w:fldChar w:fldCharType="end"/>
      </w:r>
      <w:r w:rsidRPr="00BF57FF" w:rsidR="0047448E">
        <w:rPr>
          <w:rFonts w:ascii="Arial" w:hAnsi="Arial" w:cs="Arial"/>
          <w:sz w:val="22"/>
        </w:rPr>
        <w:br w:type="page"/>
      </w:r>
    </w:p>
    <w:p w:rsidRPr="00BF57FF" w:rsidR="00233E09" w:rsidP="00A70BBB" w:rsidRDefault="009F64C5" w14:paraId="4F39AD3C" w14:textId="24E22EDD">
      <w:pPr>
        <w:pStyle w:val="Heading1"/>
        <w:spacing w:line="360" w:lineRule="auto"/>
        <w:jc w:val="both"/>
        <w:rPr>
          <w:rFonts w:ascii="Arial" w:hAnsi="Arial" w:cs="Arial"/>
          <w:sz w:val="22"/>
        </w:rPr>
      </w:pPr>
      <w:bookmarkStart w:name="_Toc231005821" w:id="6"/>
      <w:bookmarkStart w:name="_Toc231005845" w:id="7"/>
      <w:bookmarkStart w:name="_Toc231298554" w:id="8"/>
      <w:r w:rsidRPr="00BF57FF">
        <w:rPr>
          <w:rFonts w:ascii="Arial" w:hAnsi="Arial" w:cs="Arial"/>
          <w:sz w:val="22"/>
        </w:rPr>
        <w:t>List of tables</w:t>
      </w:r>
      <w:bookmarkStart w:name="_Toc231005822" w:id="9"/>
      <w:bookmarkStart w:name="_Toc231005846" w:id="10"/>
      <w:bookmarkEnd w:id="6"/>
      <w:bookmarkEnd w:id="7"/>
      <w:bookmarkEnd w:id="8"/>
    </w:p>
    <w:p w:rsidRPr="00BF57FF" w:rsidR="00BB527A" w:rsidP="00A70BBB" w:rsidRDefault="00BB527A" w14:paraId="19657630" w14:textId="64283F8B">
      <w:pPr>
        <w:pStyle w:val="TableofFigures"/>
        <w:tabs>
          <w:tab w:val="right" w:leader="dot" w:pos="9016"/>
        </w:tabs>
        <w:spacing w:line="360" w:lineRule="auto"/>
        <w:jc w:val="both"/>
        <w:rPr>
          <w:rFonts w:ascii="Arial" w:hAnsi="Arial" w:cs="Arial"/>
          <w:noProof/>
          <w:lang w:val="en-US" w:eastAsia="en-US"/>
        </w:rPr>
      </w:pPr>
      <w:r w:rsidRPr="00BF57FF">
        <w:rPr>
          <w:rFonts w:ascii="Arial" w:hAnsi="Arial" w:cs="Arial"/>
        </w:rPr>
        <w:fldChar w:fldCharType="begin"/>
      </w:r>
      <w:r w:rsidRPr="00BF57FF">
        <w:rPr>
          <w:rFonts w:ascii="Arial" w:hAnsi="Arial" w:cs="Arial"/>
        </w:rPr>
        <w:instrText xml:space="preserve"> TOC \h \z \c "Table 3" </w:instrText>
      </w:r>
      <w:r w:rsidRPr="00BF57FF">
        <w:rPr>
          <w:rFonts w:ascii="Arial" w:hAnsi="Arial" w:cs="Arial"/>
        </w:rPr>
        <w:fldChar w:fldCharType="separate"/>
      </w:r>
      <w:hyperlink w:history="1" w:anchor="_Toc231243845">
        <w:r w:rsidRPr="00BF57FF">
          <w:rPr>
            <w:rStyle w:val="Hyperlink"/>
            <w:rFonts w:ascii="Arial" w:hAnsi="Arial" w:cs="Arial"/>
            <w:noProof/>
          </w:rPr>
          <w:t>Table 3.1</w:t>
        </w:r>
        <w:r w:rsidRPr="00BF57FF">
          <w:rPr>
            <w:rStyle w:val="Hyperlink"/>
            <w:rFonts w:ascii="Arial" w:hAnsi="Arial" w:cs="Arial"/>
            <w:b/>
            <w:bCs/>
            <w:noProof/>
          </w:rPr>
          <w:t xml:space="preserve"> </w:t>
        </w:r>
        <w:r w:rsidRPr="00BF57FF">
          <w:rPr>
            <w:rStyle w:val="Hyperlink"/>
            <w:rFonts w:ascii="Arial" w:hAnsi="Arial" w:cs="Arial"/>
            <w:noProof/>
          </w:rPr>
          <w:t>Inclusion and Exclusion Criteria</w:t>
        </w:r>
        <w:r w:rsidRPr="00BF57FF">
          <w:rPr>
            <w:rFonts w:ascii="Arial" w:hAnsi="Arial" w:cs="Arial"/>
            <w:noProof/>
            <w:webHidden/>
          </w:rPr>
          <w:tab/>
        </w:r>
        <w:r w:rsidRPr="00BF57FF">
          <w:rPr>
            <w:rFonts w:ascii="Arial" w:hAnsi="Arial" w:cs="Arial"/>
            <w:noProof/>
            <w:webHidden/>
          </w:rPr>
          <w:fldChar w:fldCharType="begin"/>
        </w:r>
        <w:r w:rsidRPr="00BF57FF">
          <w:rPr>
            <w:rFonts w:ascii="Arial" w:hAnsi="Arial" w:cs="Arial"/>
            <w:noProof/>
            <w:webHidden/>
          </w:rPr>
          <w:instrText xml:space="preserve"> PAGEREF _Toc231243845 \h </w:instrText>
        </w:r>
        <w:r w:rsidRPr="00BF57FF">
          <w:rPr>
            <w:rFonts w:ascii="Arial" w:hAnsi="Arial" w:cs="Arial"/>
            <w:noProof/>
            <w:webHidden/>
          </w:rPr>
        </w:r>
        <w:r w:rsidRPr="00BF57FF">
          <w:rPr>
            <w:rFonts w:ascii="Arial" w:hAnsi="Arial" w:cs="Arial"/>
            <w:noProof/>
            <w:webHidden/>
          </w:rPr>
          <w:fldChar w:fldCharType="separate"/>
        </w:r>
        <w:r w:rsidRPr="00BF57FF">
          <w:rPr>
            <w:rFonts w:ascii="Arial" w:hAnsi="Arial" w:cs="Arial"/>
            <w:noProof/>
            <w:webHidden/>
          </w:rPr>
          <w:t>33</w:t>
        </w:r>
        <w:r w:rsidRPr="00BF57FF">
          <w:rPr>
            <w:rFonts w:ascii="Arial" w:hAnsi="Arial" w:cs="Arial"/>
            <w:noProof/>
            <w:webHidden/>
          </w:rPr>
          <w:fldChar w:fldCharType="end"/>
        </w:r>
      </w:hyperlink>
    </w:p>
    <w:p w:rsidRPr="00BF57FF" w:rsidR="00BB527A" w:rsidP="00A70BBB" w:rsidRDefault="00BB527A" w14:paraId="6081EDEF" w14:textId="77777777">
      <w:pPr>
        <w:spacing w:line="360" w:lineRule="auto"/>
        <w:jc w:val="both"/>
        <w:rPr>
          <w:rFonts w:ascii="Arial" w:hAnsi="Arial" w:cs="Arial"/>
          <w:noProof/>
        </w:rPr>
      </w:pPr>
      <w:r w:rsidRPr="00BF57FF">
        <w:rPr>
          <w:rFonts w:ascii="Arial" w:hAnsi="Arial" w:cs="Arial"/>
        </w:rPr>
        <w:fldChar w:fldCharType="end"/>
      </w:r>
      <w:r w:rsidRPr="00BF57FF">
        <w:rPr>
          <w:rFonts w:ascii="Arial" w:hAnsi="Arial" w:cs="Arial"/>
        </w:rPr>
        <w:fldChar w:fldCharType="begin"/>
      </w:r>
      <w:r w:rsidRPr="00BF57FF">
        <w:rPr>
          <w:rFonts w:ascii="Arial" w:hAnsi="Arial" w:cs="Arial"/>
        </w:rPr>
        <w:instrText xml:space="preserve"> TOC \h \z \c "Table 4." </w:instrText>
      </w:r>
      <w:r w:rsidRPr="00BF57FF">
        <w:rPr>
          <w:rFonts w:ascii="Arial" w:hAnsi="Arial" w:cs="Arial"/>
        </w:rPr>
        <w:fldChar w:fldCharType="separate"/>
      </w:r>
    </w:p>
    <w:p w:rsidRPr="00BF57FF" w:rsidR="00BB527A" w:rsidP="00A70BBB" w:rsidRDefault="00BB527A" w14:paraId="7391CBFA" w14:textId="61956BD6">
      <w:pPr>
        <w:pStyle w:val="TableofFigures"/>
        <w:tabs>
          <w:tab w:val="right" w:leader="dot" w:pos="9016"/>
        </w:tabs>
        <w:spacing w:line="360" w:lineRule="auto"/>
        <w:jc w:val="both"/>
        <w:rPr>
          <w:rStyle w:val="Hyperlink"/>
          <w:rFonts w:ascii="Arial" w:hAnsi="Arial" w:cs="Arial"/>
          <w:noProof/>
        </w:rPr>
      </w:pPr>
      <w:hyperlink w:history="1" w:anchor="_Toc231243852">
        <w:r w:rsidRPr="00BF57FF">
          <w:rPr>
            <w:rStyle w:val="Hyperlink"/>
            <w:rFonts w:ascii="Arial" w:hAnsi="Arial" w:cs="Arial"/>
            <w:noProof/>
          </w:rPr>
          <w:t>Table 4. 1 Characteristics of Included Studies</w:t>
        </w:r>
        <w:r w:rsidRPr="00BF57FF">
          <w:rPr>
            <w:rFonts w:ascii="Arial" w:hAnsi="Arial" w:cs="Arial"/>
            <w:noProof/>
            <w:webHidden/>
          </w:rPr>
          <w:tab/>
        </w:r>
        <w:r w:rsidRPr="00BF57FF">
          <w:rPr>
            <w:rFonts w:ascii="Arial" w:hAnsi="Arial" w:cs="Arial"/>
            <w:noProof/>
            <w:webHidden/>
          </w:rPr>
          <w:fldChar w:fldCharType="begin"/>
        </w:r>
        <w:r w:rsidRPr="00BF57FF">
          <w:rPr>
            <w:rFonts w:ascii="Arial" w:hAnsi="Arial" w:cs="Arial"/>
            <w:noProof/>
            <w:webHidden/>
          </w:rPr>
          <w:instrText xml:space="preserve"> PAGEREF _Toc231243852 \h </w:instrText>
        </w:r>
        <w:r w:rsidRPr="00BF57FF">
          <w:rPr>
            <w:rFonts w:ascii="Arial" w:hAnsi="Arial" w:cs="Arial"/>
            <w:noProof/>
            <w:webHidden/>
          </w:rPr>
        </w:r>
        <w:r w:rsidRPr="00BF57FF">
          <w:rPr>
            <w:rFonts w:ascii="Arial" w:hAnsi="Arial" w:cs="Arial"/>
            <w:noProof/>
            <w:webHidden/>
          </w:rPr>
          <w:fldChar w:fldCharType="separate"/>
        </w:r>
        <w:r w:rsidRPr="00BF57FF">
          <w:rPr>
            <w:rFonts w:ascii="Arial" w:hAnsi="Arial" w:cs="Arial"/>
            <w:noProof/>
            <w:webHidden/>
          </w:rPr>
          <w:t>40</w:t>
        </w:r>
        <w:r w:rsidRPr="00BF57FF">
          <w:rPr>
            <w:rFonts w:ascii="Arial" w:hAnsi="Arial" w:cs="Arial"/>
            <w:noProof/>
            <w:webHidden/>
          </w:rPr>
          <w:fldChar w:fldCharType="end"/>
        </w:r>
      </w:hyperlink>
    </w:p>
    <w:p w:rsidRPr="00BF57FF" w:rsidR="00BB527A" w:rsidP="00A70BBB" w:rsidRDefault="00BB527A" w14:paraId="61BEE393" w14:textId="77777777">
      <w:pPr>
        <w:spacing w:line="360" w:lineRule="auto"/>
        <w:jc w:val="both"/>
        <w:rPr>
          <w:rFonts w:ascii="Arial" w:hAnsi="Arial" w:cs="Arial"/>
          <w:lang w:val="en-US" w:eastAsia="en-US"/>
        </w:rPr>
      </w:pPr>
    </w:p>
    <w:p w:rsidRPr="00BF57FF" w:rsidR="00BB527A" w:rsidP="00A70BBB" w:rsidRDefault="00BB527A" w14:paraId="3B4B3413" w14:textId="6A21F6BA">
      <w:pPr>
        <w:pStyle w:val="TableofFigures"/>
        <w:tabs>
          <w:tab w:val="right" w:leader="dot" w:pos="9016"/>
        </w:tabs>
        <w:spacing w:line="360" w:lineRule="auto"/>
        <w:jc w:val="both"/>
        <w:rPr>
          <w:rFonts w:ascii="Arial" w:hAnsi="Arial" w:cs="Arial"/>
          <w:noProof/>
          <w:lang w:val="en-US" w:eastAsia="en-US"/>
        </w:rPr>
      </w:pPr>
      <w:hyperlink w:history="1" w:anchor="_Toc231243853">
        <w:r w:rsidRPr="00BF57FF">
          <w:rPr>
            <w:rStyle w:val="Hyperlink"/>
            <w:rFonts w:ascii="Arial" w:hAnsi="Arial" w:cs="Arial"/>
            <w:noProof/>
          </w:rPr>
          <w:t>Table 4. 2  Quality Profile of Included Studies</w:t>
        </w:r>
        <w:r w:rsidRPr="00BF57FF">
          <w:rPr>
            <w:rFonts w:ascii="Arial" w:hAnsi="Arial" w:cs="Arial"/>
            <w:noProof/>
            <w:webHidden/>
          </w:rPr>
          <w:tab/>
        </w:r>
        <w:r w:rsidRPr="00BF57FF">
          <w:rPr>
            <w:rFonts w:ascii="Arial" w:hAnsi="Arial" w:cs="Arial"/>
            <w:noProof/>
            <w:webHidden/>
          </w:rPr>
          <w:fldChar w:fldCharType="begin"/>
        </w:r>
        <w:r w:rsidRPr="00BF57FF">
          <w:rPr>
            <w:rFonts w:ascii="Arial" w:hAnsi="Arial" w:cs="Arial"/>
            <w:noProof/>
            <w:webHidden/>
          </w:rPr>
          <w:instrText xml:space="preserve"> PAGEREF _Toc231243853 \h </w:instrText>
        </w:r>
        <w:r w:rsidRPr="00BF57FF">
          <w:rPr>
            <w:rFonts w:ascii="Arial" w:hAnsi="Arial" w:cs="Arial"/>
            <w:noProof/>
            <w:webHidden/>
          </w:rPr>
        </w:r>
        <w:r w:rsidRPr="00BF57FF">
          <w:rPr>
            <w:rFonts w:ascii="Arial" w:hAnsi="Arial" w:cs="Arial"/>
            <w:noProof/>
            <w:webHidden/>
          </w:rPr>
          <w:fldChar w:fldCharType="separate"/>
        </w:r>
        <w:r w:rsidRPr="00BF57FF">
          <w:rPr>
            <w:rFonts w:ascii="Arial" w:hAnsi="Arial" w:cs="Arial"/>
            <w:noProof/>
            <w:webHidden/>
          </w:rPr>
          <w:t>43</w:t>
        </w:r>
        <w:r w:rsidRPr="00BF57FF">
          <w:rPr>
            <w:rFonts w:ascii="Arial" w:hAnsi="Arial" w:cs="Arial"/>
            <w:noProof/>
            <w:webHidden/>
          </w:rPr>
          <w:fldChar w:fldCharType="end"/>
        </w:r>
      </w:hyperlink>
    </w:p>
    <w:p w:rsidRPr="00BF57FF" w:rsidR="00BB527A" w:rsidP="00A70BBB" w:rsidRDefault="00BB527A" w14:paraId="654B7B37" w14:textId="77777777">
      <w:pPr>
        <w:spacing w:line="360" w:lineRule="auto"/>
        <w:jc w:val="both"/>
        <w:rPr>
          <w:rFonts w:ascii="Arial" w:hAnsi="Arial" w:cs="Arial"/>
          <w:noProof/>
        </w:rPr>
      </w:pPr>
      <w:r w:rsidRPr="00BF57FF">
        <w:rPr>
          <w:rFonts w:ascii="Arial" w:hAnsi="Arial" w:cs="Arial"/>
        </w:rPr>
        <w:fldChar w:fldCharType="end"/>
      </w:r>
      <w:r w:rsidRPr="00BF57FF">
        <w:rPr>
          <w:rFonts w:ascii="Arial" w:hAnsi="Arial" w:cs="Arial"/>
        </w:rPr>
        <w:fldChar w:fldCharType="begin"/>
      </w:r>
      <w:r w:rsidRPr="00BF57FF">
        <w:rPr>
          <w:rFonts w:ascii="Arial" w:hAnsi="Arial" w:cs="Arial"/>
        </w:rPr>
        <w:instrText xml:space="preserve"> TOC \h \z \c "Table 5." </w:instrText>
      </w:r>
      <w:r w:rsidRPr="00BF57FF">
        <w:rPr>
          <w:rFonts w:ascii="Arial" w:hAnsi="Arial" w:cs="Arial"/>
        </w:rPr>
        <w:fldChar w:fldCharType="separate"/>
      </w:r>
    </w:p>
    <w:p w:rsidRPr="00BF57FF" w:rsidR="00BB527A" w:rsidP="00A70BBB" w:rsidRDefault="00BB527A" w14:paraId="1BC2D85B" w14:textId="58B17731">
      <w:pPr>
        <w:pStyle w:val="TableofFigures"/>
        <w:tabs>
          <w:tab w:val="right" w:leader="dot" w:pos="9016"/>
        </w:tabs>
        <w:spacing w:line="360" w:lineRule="auto"/>
        <w:jc w:val="both"/>
        <w:rPr>
          <w:rFonts w:ascii="Arial" w:hAnsi="Arial" w:cs="Arial"/>
          <w:noProof/>
          <w:lang w:val="en-US" w:eastAsia="en-US"/>
        </w:rPr>
      </w:pPr>
      <w:hyperlink w:history="1" w:anchor="_Toc231243856">
        <w:r w:rsidRPr="00BF57FF">
          <w:rPr>
            <w:rStyle w:val="Hyperlink"/>
            <w:rFonts w:ascii="Arial" w:hAnsi="Arial" w:cs="Arial"/>
            <w:noProof/>
          </w:rPr>
          <w:t>Table 5. 1 Summary of Key Quantitative Indicators from Included Studies</w:t>
        </w:r>
        <w:r w:rsidRPr="00BF57FF">
          <w:rPr>
            <w:rFonts w:ascii="Arial" w:hAnsi="Arial" w:cs="Arial"/>
            <w:noProof/>
            <w:webHidden/>
          </w:rPr>
          <w:tab/>
        </w:r>
        <w:r w:rsidRPr="00BF57FF">
          <w:rPr>
            <w:rFonts w:ascii="Arial" w:hAnsi="Arial" w:cs="Arial"/>
            <w:noProof/>
            <w:webHidden/>
          </w:rPr>
          <w:fldChar w:fldCharType="begin"/>
        </w:r>
        <w:r w:rsidRPr="00BF57FF">
          <w:rPr>
            <w:rFonts w:ascii="Arial" w:hAnsi="Arial" w:cs="Arial"/>
            <w:noProof/>
            <w:webHidden/>
          </w:rPr>
          <w:instrText xml:space="preserve"> PAGEREF _Toc231243856 \h </w:instrText>
        </w:r>
        <w:r w:rsidRPr="00BF57FF">
          <w:rPr>
            <w:rFonts w:ascii="Arial" w:hAnsi="Arial" w:cs="Arial"/>
            <w:noProof/>
            <w:webHidden/>
          </w:rPr>
        </w:r>
        <w:r w:rsidRPr="00BF57FF">
          <w:rPr>
            <w:rFonts w:ascii="Arial" w:hAnsi="Arial" w:cs="Arial"/>
            <w:noProof/>
            <w:webHidden/>
          </w:rPr>
          <w:fldChar w:fldCharType="separate"/>
        </w:r>
        <w:r w:rsidRPr="00BF57FF">
          <w:rPr>
            <w:rFonts w:ascii="Arial" w:hAnsi="Arial" w:cs="Arial"/>
            <w:noProof/>
            <w:webHidden/>
          </w:rPr>
          <w:t>52</w:t>
        </w:r>
        <w:r w:rsidRPr="00BF57FF">
          <w:rPr>
            <w:rFonts w:ascii="Arial" w:hAnsi="Arial" w:cs="Arial"/>
            <w:noProof/>
            <w:webHidden/>
          </w:rPr>
          <w:fldChar w:fldCharType="end"/>
        </w:r>
      </w:hyperlink>
    </w:p>
    <w:p w:rsidRPr="00BF57FF" w:rsidR="00BB527A" w:rsidP="00A70BBB" w:rsidRDefault="00BB527A" w14:paraId="0F5AA7BC" w14:textId="31D22112">
      <w:pPr>
        <w:spacing w:line="360" w:lineRule="auto"/>
        <w:jc w:val="both"/>
        <w:rPr>
          <w:rFonts w:ascii="Arial" w:hAnsi="Arial" w:cs="Arial"/>
        </w:rPr>
      </w:pPr>
      <w:r w:rsidRPr="00BF57FF">
        <w:rPr>
          <w:rFonts w:ascii="Arial" w:hAnsi="Arial" w:cs="Arial"/>
        </w:rPr>
        <w:fldChar w:fldCharType="end"/>
      </w:r>
    </w:p>
    <w:p w:rsidRPr="00BF57FF" w:rsidR="001932F7" w:rsidP="00A70BBB" w:rsidRDefault="001932F7" w14:paraId="10C81C43" w14:textId="77777777">
      <w:pPr>
        <w:spacing w:line="360" w:lineRule="auto"/>
        <w:jc w:val="both"/>
        <w:rPr>
          <w:rFonts w:ascii="Arial" w:hAnsi="Arial" w:cs="Arial"/>
        </w:rPr>
      </w:pPr>
    </w:p>
    <w:p w:rsidRPr="00BF57FF" w:rsidR="00F00AEE" w:rsidP="00A70BBB" w:rsidRDefault="00F00AEE" w14:paraId="5216F44A" w14:textId="14EEFDF5">
      <w:pPr>
        <w:spacing w:line="360" w:lineRule="auto"/>
        <w:jc w:val="both"/>
        <w:rPr>
          <w:rFonts w:ascii="Arial" w:hAnsi="Arial" w:eastAsia="Times New Roman" w:cs="Arial"/>
          <w:b/>
          <w:color w:val="000000"/>
        </w:rPr>
      </w:pPr>
      <w:r w:rsidRPr="00BF57FF">
        <w:rPr>
          <w:rFonts w:ascii="Arial" w:hAnsi="Arial" w:cs="Arial"/>
        </w:rPr>
        <w:br w:type="page"/>
      </w:r>
    </w:p>
    <w:p w:rsidRPr="00BF57FF" w:rsidR="009F64C5" w:rsidP="00A70BBB" w:rsidRDefault="009F64C5" w14:paraId="53439232" w14:textId="44549D6D">
      <w:pPr>
        <w:pStyle w:val="Heading1"/>
        <w:spacing w:line="360" w:lineRule="auto"/>
        <w:jc w:val="both"/>
        <w:rPr>
          <w:rFonts w:ascii="Arial" w:hAnsi="Arial" w:cs="Arial"/>
          <w:sz w:val="22"/>
        </w:rPr>
      </w:pPr>
      <w:bookmarkStart w:name="_Toc231298555" w:id="11"/>
      <w:r w:rsidRPr="00BF57FF">
        <w:rPr>
          <w:rFonts w:ascii="Arial" w:hAnsi="Arial" w:cs="Arial"/>
          <w:sz w:val="22"/>
        </w:rPr>
        <w:t>List of abbreviations</w:t>
      </w:r>
      <w:bookmarkEnd w:id="9"/>
      <w:bookmarkEnd w:id="10"/>
      <w:bookmarkEnd w:id="11"/>
    </w:p>
    <w:tbl>
      <w:tblPr>
        <w:tblW w:w="902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2000"/>
        <w:gridCol w:w="7026"/>
      </w:tblGrid>
      <w:tr w:rsidRPr="00BF57FF" w:rsidR="00E12922" w:rsidTr="00A321AD" w14:paraId="588E6ADB" w14:textId="77777777">
        <w:trPr>
          <w:tblHeader/>
        </w:trPr>
        <w:tc>
          <w:tcPr>
            <w:tcW w:w="2000" w:type="dxa"/>
            <w:tcBorders>
              <w:top w:val="single" w:color="9EC5E0" w:sz="2" w:space="0"/>
              <w:left w:val="single" w:color="9EC5E0" w:sz="2" w:space="0"/>
              <w:bottom w:val="single" w:color="9EC5E0" w:sz="2" w:space="0"/>
              <w:right w:val="single" w:color="9EC5E0" w:sz="2" w:space="0"/>
            </w:tcBorders>
            <w:shd w:val="clear" w:color="auto" w:fill="1A3C5E"/>
            <w:tcMar>
              <w:top w:w="80" w:type="dxa"/>
              <w:left w:w="120" w:type="dxa"/>
              <w:bottom w:w="80" w:type="dxa"/>
              <w:right w:w="120" w:type="dxa"/>
            </w:tcMar>
            <w:vAlign w:val="center"/>
          </w:tcPr>
          <w:p w:rsidRPr="00BF57FF" w:rsidR="00E12922" w:rsidP="00A70BBB" w:rsidRDefault="00E12922" w14:paraId="2A24942D" w14:textId="77777777">
            <w:pPr>
              <w:spacing w:after="0" w:line="360" w:lineRule="auto"/>
              <w:jc w:val="both"/>
              <w:rPr>
                <w:rFonts w:ascii="Arial" w:hAnsi="Arial" w:cs="Arial"/>
              </w:rPr>
            </w:pPr>
            <w:bookmarkStart w:name="_Toc231005823" w:id="12"/>
            <w:bookmarkStart w:name="_Toc231005847" w:id="13"/>
            <w:r w:rsidRPr="00BF57FF">
              <w:rPr>
                <w:rFonts w:ascii="Arial" w:hAnsi="Arial" w:cs="Arial"/>
                <w:b/>
                <w:bCs/>
              </w:rPr>
              <w:t>Abbreviation</w:t>
            </w:r>
          </w:p>
        </w:tc>
        <w:tc>
          <w:tcPr>
            <w:tcW w:w="7026" w:type="dxa"/>
            <w:tcBorders>
              <w:top w:val="single" w:color="9EC5E0" w:sz="2" w:space="0"/>
              <w:left w:val="single" w:color="9EC5E0" w:sz="2" w:space="0"/>
              <w:bottom w:val="single" w:color="9EC5E0" w:sz="2" w:space="0"/>
              <w:right w:val="single" w:color="9EC5E0" w:sz="2" w:space="0"/>
            </w:tcBorders>
            <w:shd w:val="clear" w:color="auto" w:fill="1A3C5E"/>
            <w:tcMar>
              <w:top w:w="80" w:type="dxa"/>
              <w:left w:w="120" w:type="dxa"/>
              <w:bottom w:w="80" w:type="dxa"/>
              <w:right w:w="120" w:type="dxa"/>
            </w:tcMar>
            <w:vAlign w:val="center"/>
          </w:tcPr>
          <w:p w:rsidRPr="00BF57FF" w:rsidR="00E12922" w:rsidP="00A70BBB" w:rsidRDefault="00E12922" w14:paraId="58553992" w14:textId="77777777">
            <w:pPr>
              <w:spacing w:after="0" w:line="360" w:lineRule="auto"/>
              <w:jc w:val="both"/>
              <w:rPr>
                <w:rFonts w:ascii="Arial" w:hAnsi="Arial" w:cs="Arial"/>
              </w:rPr>
            </w:pPr>
            <w:r w:rsidRPr="00BF57FF">
              <w:rPr>
                <w:rFonts w:ascii="Arial" w:hAnsi="Arial" w:cs="Arial"/>
                <w:b/>
                <w:bCs/>
              </w:rPr>
              <w:t>Full Term</w:t>
            </w:r>
          </w:p>
        </w:tc>
      </w:tr>
      <w:tr w:rsidRPr="00BF57FF" w:rsidR="00E12922" w:rsidTr="00A321AD" w14:paraId="3DD73569" w14:textId="77777777">
        <w:tc>
          <w:tcPr>
            <w:tcW w:w="2000" w:type="dxa"/>
            <w:tcBorders>
              <w:top w:val="single" w:color="9EC5E0" w:sz="2" w:space="0"/>
              <w:left w:val="single" w:color="9EC5E0" w:sz="2" w:space="0"/>
              <w:bottom w:val="single" w:color="9EC5E0" w:sz="2" w:space="0"/>
              <w:right w:val="single" w:color="9EC5E0" w:sz="2" w:space="0"/>
            </w:tcBorders>
            <w:shd w:val="clear" w:color="auto" w:fill="FFFFFF"/>
            <w:tcMar>
              <w:top w:w="70" w:type="dxa"/>
              <w:left w:w="120" w:type="dxa"/>
              <w:bottom w:w="70" w:type="dxa"/>
              <w:right w:w="120" w:type="dxa"/>
            </w:tcMar>
            <w:vAlign w:val="center"/>
          </w:tcPr>
          <w:p w:rsidRPr="00BF57FF" w:rsidR="00E12922" w:rsidP="00A70BBB" w:rsidRDefault="00E12922" w14:paraId="6AA64513" w14:textId="77777777">
            <w:pPr>
              <w:spacing w:after="0" w:line="360" w:lineRule="auto"/>
              <w:jc w:val="both"/>
              <w:rPr>
                <w:rFonts w:ascii="Arial" w:hAnsi="Arial" w:cs="Arial"/>
              </w:rPr>
            </w:pPr>
            <w:r w:rsidRPr="00BF57FF">
              <w:rPr>
                <w:rFonts w:ascii="Arial" w:hAnsi="Arial" w:cs="Arial"/>
                <w:b/>
                <w:bCs/>
              </w:rPr>
              <w:t>ABC</w:t>
            </w:r>
          </w:p>
        </w:tc>
        <w:tc>
          <w:tcPr>
            <w:tcW w:w="7026" w:type="dxa"/>
            <w:tcBorders>
              <w:top w:val="single" w:color="9EC5E0" w:sz="2" w:space="0"/>
              <w:left w:val="single" w:color="9EC5E0" w:sz="2" w:space="0"/>
              <w:bottom w:val="single" w:color="9EC5E0" w:sz="2" w:space="0"/>
              <w:right w:val="single" w:color="9EC5E0" w:sz="2" w:space="0"/>
            </w:tcBorders>
            <w:shd w:val="clear" w:color="auto" w:fill="FFFFFF"/>
            <w:tcMar>
              <w:top w:w="70" w:type="dxa"/>
              <w:left w:w="120" w:type="dxa"/>
              <w:bottom w:w="70" w:type="dxa"/>
              <w:right w:w="120" w:type="dxa"/>
            </w:tcMar>
            <w:vAlign w:val="center"/>
          </w:tcPr>
          <w:p w:rsidRPr="00BF57FF" w:rsidR="00E12922" w:rsidP="00A70BBB" w:rsidRDefault="00E12922" w14:paraId="07B4CADD" w14:textId="77777777">
            <w:pPr>
              <w:spacing w:after="0" w:line="360" w:lineRule="auto"/>
              <w:jc w:val="both"/>
              <w:rPr>
                <w:rFonts w:ascii="Arial" w:hAnsi="Arial" w:cs="Arial"/>
              </w:rPr>
            </w:pPr>
            <w:r w:rsidRPr="00BF57FF">
              <w:rPr>
                <w:rFonts w:ascii="Arial" w:hAnsi="Arial" w:cs="Arial"/>
              </w:rPr>
              <w:t>Animal Birth Control</w:t>
            </w:r>
          </w:p>
        </w:tc>
      </w:tr>
      <w:tr w:rsidRPr="00BF57FF" w:rsidR="00E12922" w:rsidTr="00A321AD" w14:paraId="42197ADF" w14:textId="77777777">
        <w:tc>
          <w:tcPr>
            <w:tcW w:w="2000" w:type="dxa"/>
            <w:tcBorders>
              <w:top w:val="single" w:color="9EC5E0" w:sz="2" w:space="0"/>
              <w:left w:val="single" w:color="9EC5E0" w:sz="2" w:space="0"/>
              <w:bottom w:val="single" w:color="9EC5E0" w:sz="2" w:space="0"/>
              <w:right w:val="single" w:color="9EC5E0" w:sz="2" w:space="0"/>
            </w:tcBorders>
            <w:shd w:val="clear" w:color="auto" w:fill="EAF3FB"/>
            <w:tcMar>
              <w:top w:w="70" w:type="dxa"/>
              <w:left w:w="120" w:type="dxa"/>
              <w:bottom w:w="70" w:type="dxa"/>
              <w:right w:w="120" w:type="dxa"/>
            </w:tcMar>
            <w:vAlign w:val="center"/>
          </w:tcPr>
          <w:p w:rsidRPr="00BF57FF" w:rsidR="00E12922" w:rsidP="00A70BBB" w:rsidRDefault="00E12922" w14:paraId="0428CEAC" w14:textId="77777777">
            <w:pPr>
              <w:spacing w:after="0" w:line="360" w:lineRule="auto"/>
              <w:jc w:val="both"/>
              <w:rPr>
                <w:rFonts w:ascii="Arial" w:hAnsi="Arial" w:cs="Arial"/>
              </w:rPr>
            </w:pPr>
            <w:r w:rsidRPr="00BF57FF">
              <w:rPr>
                <w:rFonts w:ascii="Arial" w:hAnsi="Arial" w:cs="Arial"/>
                <w:b/>
                <w:bCs/>
              </w:rPr>
              <w:t>ANM</w:t>
            </w:r>
          </w:p>
        </w:tc>
        <w:tc>
          <w:tcPr>
            <w:tcW w:w="7026" w:type="dxa"/>
            <w:tcBorders>
              <w:top w:val="single" w:color="9EC5E0" w:sz="2" w:space="0"/>
              <w:left w:val="single" w:color="9EC5E0" w:sz="2" w:space="0"/>
              <w:bottom w:val="single" w:color="9EC5E0" w:sz="2" w:space="0"/>
              <w:right w:val="single" w:color="9EC5E0" w:sz="2" w:space="0"/>
            </w:tcBorders>
            <w:shd w:val="clear" w:color="auto" w:fill="EAF3FB"/>
            <w:tcMar>
              <w:top w:w="70" w:type="dxa"/>
              <w:left w:w="120" w:type="dxa"/>
              <w:bottom w:w="70" w:type="dxa"/>
              <w:right w:w="120" w:type="dxa"/>
            </w:tcMar>
            <w:vAlign w:val="center"/>
          </w:tcPr>
          <w:p w:rsidRPr="00BF57FF" w:rsidR="00E12922" w:rsidP="00A70BBB" w:rsidRDefault="00E12922" w14:paraId="2C8D4193" w14:textId="77777777">
            <w:pPr>
              <w:spacing w:after="0" w:line="360" w:lineRule="auto"/>
              <w:jc w:val="both"/>
              <w:rPr>
                <w:rFonts w:ascii="Arial" w:hAnsi="Arial" w:cs="Arial"/>
              </w:rPr>
            </w:pPr>
            <w:r w:rsidRPr="00BF57FF">
              <w:rPr>
                <w:rFonts w:ascii="Arial" w:hAnsi="Arial" w:cs="Arial"/>
              </w:rPr>
              <w:t>Auxiliary Nurse Midwife</w:t>
            </w:r>
          </w:p>
        </w:tc>
      </w:tr>
      <w:tr w:rsidRPr="00BF57FF" w:rsidR="00E12922" w:rsidTr="00A321AD" w14:paraId="6BFD09AF" w14:textId="77777777">
        <w:tc>
          <w:tcPr>
            <w:tcW w:w="2000" w:type="dxa"/>
            <w:tcBorders>
              <w:top w:val="single" w:color="9EC5E0" w:sz="2" w:space="0"/>
              <w:left w:val="single" w:color="9EC5E0" w:sz="2" w:space="0"/>
              <w:bottom w:val="single" w:color="9EC5E0" w:sz="2" w:space="0"/>
              <w:right w:val="single" w:color="9EC5E0" w:sz="2" w:space="0"/>
            </w:tcBorders>
            <w:shd w:val="clear" w:color="auto" w:fill="FFFFFF"/>
            <w:tcMar>
              <w:top w:w="70" w:type="dxa"/>
              <w:left w:w="120" w:type="dxa"/>
              <w:bottom w:w="70" w:type="dxa"/>
              <w:right w:w="120" w:type="dxa"/>
            </w:tcMar>
            <w:vAlign w:val="center"/>
          </w:tcPr>
          <w:p w:rsidRPr="00BF57FF" w:rsidR="00E12922" w:rsidP="00A70BBB" w:rsidRDefault="00E12922" w14:paraId="668B8803" w14:textId="77777777">
            <w:pPr>
              <w:spacing w:after="0" w:line="360" w:lineRule="auto"/>
              <w:jc w:val="both"/>
              <w:rPr>
                <w:rFonts w:ascii="Arial" w:hAnsi="Arial" w:cs="Arial"/>
              </w:rPr>
            </w:pPr>
            <w:r w:rsidRPr="00BF57FF">
              <w:rPr>
                <w:rFonts w:ascii="Arial" w:hAnsi="Arial" w:cs="Arial"/>
                <w:b/>
                <w:bCs/>
              </w:rPr>
              <w:t>ARV</w:t>
            </w:r>
          </w:p>
        </w:tc>
        <w:tc>
          <w:tcPr>
            <w:tcW w:w="7026" w:type="dxa"/>
            <w:tcBorders>
              <w:top w:val="single" w:color="9EC5E0" w:sz="2" w:space="0"/>
              <w:left w:val="single" w:color="9EC5E0" w:sz="2" w:space="0"/>
              <w:bottom w:val="single" w:color="9EC5E0" w:sz="2" w:space="0"/>
              <w:right w:val="single" w:color="9EC5E0" w:sz="2" w:space="0"/>
            </w:tcBorders>
            <w:shd w:val="clear" w:color="auto" w:fill="FFFFFF"/>
            <w:tcMar>
              <w:top w:w="70" w:type="dxa"/>
              <w:left w:w="120" w:type="dxa"/>
              <w:bottom w:w="70" w:type="dxa"/>
              <w:right w:w="120" w:type="dxa"/>
            </w:tcMar>
            <w:vAlign w:val="center"/>
          </w:tcPr>
          <w:p w:rsidRPr="00BF57FF" w:rsidR="00E12922" w:rsidP="00A70BBB" w:rsidRDefault="00E12922" w14:paraId="11EDD47A" w14:textId="77777777">
            <w:pPr>
              <w:spacing w:after="0" w:line="360" w:lineRule="auto"/>
              <w:jc w:val="both"/>
              <w:rPr>
                <w:rFonts w:ascii="Arial" w:hAnsi="Arial" w:cs="Arial"/>
              </w:rPr>
            </w:pPr>
            <w:r w:rsidRPr="00BF57FF">
              <w:rPr>
                <w:rFonts w:ascii="Arial" w:hAnsi="Arial" w:cs="Arial"/>
              </w:rPr>
              <w:t>Anti-Rabies Vaccine / Anti-Rabies Vaccination</w:t>
            </w:r>
          </w:p>
        </w:tc>
      </w:tr>
      <w:tr w:rsidRPr="00BF57FF" w:rsidR="00E12922" w:rsidTr="00A321AD" w14:paraId="3278B518" w14:textId="77777777">
        <w:tc>
          <w:tcPr>
            <w:tcW w:w="2000" w:type="dxa"/>
            <w:tcBorders>
              <w:top w:val="single" w:color="9EC5E0" w:sz="2" w:space="0"/>
              <w:left w:val="single" w:color="9EC5E0" w:sz="2" w:space="0"/>
              <w:bottom w:val="single" w:color="9EC5E0" w:sz="2" w:space="0"/>
              <w:right w:val="single" w:color="9EC5E0" w:sz="2" w:space="0"/>
            </w:tcBorders>
            <w:shd w:val="clear" w:color="auto" w:fill="EAF3FB"/>
            <w:tcMar>
              <w:top w:w="70" w:type="dxa"/>
              <w:left w:w="120" w:type="dxa"/>
              <w:bottom w:w="70" w:type="dxa"/>
              <w:right w:w="120" w:type="dxa"/>
            </w:tcMar>
            <w:vAlign w:val="center"/>
          </w:tcPr>
          <w:p w:rsidRPr="00BF57FF" w:rsidR="00E12922" w:rsidP="00A70BBB" w:rsidRDefault="00E12922" w14:paraId="656975B5" w14:textId="77777777">
            <w:pPr>
              <w:spacing w:after="0" w:line="360" w:lineRule="auto"/>
              <w:jc w:val="both"/>
              <w:rPr>
                <w:rFonts w:ascii="Arial" w:hAnsi="Arial" w:cs="Arial"/>
              </w:rPr>
            </w:pPr>
            <w:r w:rsidRPr="00BF57FF">
              <w:rPr>
                <w:rFonts w:ascii="Arial" w:hAnsi="Arial" w:cs="Arial"/>
                <w:b/>
                <w:bCs/>
              </w:rPr>
              <w:t>ASHA</w:t>
            </w:r>
          </w:p>
        </w:tc>
        <w:tc>
          <w:tcPr>
            <w:tcW w:w="7026" w:type="dxa"/>
            <w:tcBorders>
              <w:top w:val="single" w:color="9EC5E0" w:sz="2" w:space="0"/>
              <w:left w:val="single" w:color="9EC5E0" w:sz="2" w:space="0"/>
              <w:bottom w:val="single" w:color="9EC5E0" w:sz="2" w:space="0"/>
              <w:right w:val="single" w:color="9EC5E0" w:sz="2" w:space="0"/>
            </w:tcBorders>
            <w:shd w:val="clear" w:color="auto" w:fill="EAF3FB"/>
            <w:tcMar>
              <w:top w:w="70" w:type="dxa"/>
              <w:left w:w="120" w:type="dxa"/>
              <w:bottom w:w="70" w:type="dxa"/>
              <w:right w:w="120" w:type="dxa"/>
            </w:tcMar>
            <w:vAlign w:val="center"/>
          </w:tcPr>
          <w:p w:rsidRPr="00BF57FF" w:rsidR="00E12922" w:rsidP="00A70BBB" w:rsidRDefault="00E12922" w14:paraId="19D599C4" w14:textId="77777777">
            <w:pPr>
              <w:spacing w:after="0" w:line="360" w:lineRule="auto"/>
              <w:jc w:val="both"/>
              <w:rPr>
                <w:rFonts w:ascii="Arial" w:hAnsi="Arial" w:cs="Arial"/>
              </w:rPr>
            </w:pPr>
            <w:r w:rsidRPr="00BF57FF">
              <w:rPr>
                <w:rFonts w:ascii="Arial" w:hAnsi="Arial" w:cs="Arial"/>
              </w:rPr>
              <w:t>Accredited Social Health Activist</w:t>
            </w:r>
          </w:p>
        </w:tc>
      </w:tr>
      <w:tr w:rsidRPr="00BF57FF" w:rsidR="00E12922" w:rsidTr="00A321AD" w14:paraId="404E864B" w14:textId="77777777">
        <w:tc>
          <w:tcPr>
            <w:tcW w:w="2000" w:type="dxa"/>
            <w:tcBorders>
              <w:top w:val="single" w:color="9EC5E0" w:sz="2" w:space="0"/>
              <w:left w:val="single" w:color="9EC5E0" w:sz="2" w:space="0"/>
              <w:bottom w:val="single" w:color="9EC5E0" w:sz="2" w:space="0"/>
              <w:right w:val="single" w:color="9EC5E0" w:sz="2" w:space="0"/>
            </w:tcBorders>
            <w:shd w:val="clear" w:color="auto" w:fill="FFFFFF"/>
            <w:tcMar>
              <w:top w:w="70" w:type="dxa"/>
              <w:left w:w="120" w:type="dxa"/>
              <w:bottom w:w="70" w:type="dxa"/>
              <w:right w:w="120" w:type="dxa"/>
            </w:tcMar>
            <w:vAlign w:val="center"/>
          </w:tcPr>
          <w:p w:rsidRPr="00BF57FF" w:rsidR="00E12922" w:rsidP="00A70BBB" w:rsidRDefault="00E12922" w14:paraId="5BC818BB" w14:textId="77777777">
            <w:pPr>
              <w:spacing w:after="0" w:line="360" w:lineRule="auto"/>
              <w:jc w:val="both"/>
              <w:rPr>
                <w:rFonts w:ascii="Arial" w:hAnsi="Arial" w:cs="Arial"/>
              </w:rPr>
            </w:pPr>
            <w:r w:rsidRPr="00BF57FF">
              <w:rPr>
                <w:rFonts w:ascii="Arial" w:hAnsi="Arial" w:cs="Arial"/>
                <w:b/>
                <w:bCs/>
              </w:rPr>
              <w:t>AXIS</w:t>
            </w:r>
          </w:p>
        </w:tc>
        <w:tc>
          <w:tcPr>
            <w:tcW w:w="7026" w:type="dxa"/>
            <w:tcBorders>
              <w:top w:val="single" w:color="9EC5E0" w:sz="2" w:space="0"/>
              <w:left w:val="single" w:color="9EC5E0" w:sz="2" w:space="0"/>
              <w:bottom w:val="single" w:color="9EC5E0" w:sz="2" w:space="0"/>
              <w:right w:val="single" w:color="9EC5E0" w:sz="2" w:space="0"/>
            </w:tcBorders>
            <w:shd w:val="clear" w:color="auto" w:fill="FFFFFF"/>
            <w:tcMar>
              <w:top w:w="70" w:type="dxa"/>
              <w:left w:w="120" w:type="dxa"/>
              <w:bottom w:w="70" w:type="dxa"/>
              <w:right w:w="120" w:type="dxa"/>
            </w:tcMar>
            <w:vAlign w:val="center"/>
          </w:tcPr>
          <w:p w:rsidRPr="00BF57FF" w:rsidR="00E12922" w:rsidP="00A70BBB" w:rsidRDefault="00E12922" w14:paraId="2669B4EC" w14:textId="77777777">
            <w:pPr>
              <w:spacing w:after="0" w:line="360" w:lineRule="auto"/>
              <w:jc w:val="both"/>
              <w:rPr>
                <w:rFonts w:ascii="Arial" w:hAnsi="Arial" w:cs="Arial"/>
              </w:rPr>
            </w:pPr>
            <w:r w:rsidRPr="00BF57FF">
              <w:rPr>
                <w:rFonts w:ascii="Arial" w:hAnsi="Arial" w:cs="Arial"/>
              </w:rPr>
              <w:t>A Critical Appraisal Tool for Cross-Sectional Studies</w:t>
            </w:r>
          </w:p>
        </w:tc>
      </w:tr>
      <w:tr w:rsidRPr="00BF57FF" w:rsidR="00E12922" w:rsidTr="00A321AD" w14:paraId="76C123E2" w14:textId="77777777">
        <w:tc>
          <w:tcPr>
            <w:tcW w:w="2000" w:type="dxa"/>
            <w:tcBorders>
              <w:top w:val="single" w:color="9EC5E0" w:sz="2" w:space="0"/>
              <w:left w:val="single" w:color="9EC5E0" w:sz="2" w:space="0"/>
              <w:bottom w:val="single" w:color="9EC5E0" w:sz="2" w:space="0"/>
              <w:right w:val="single" w:color="9EC5E0" w:sz="2" w:space="0"/>
            </w:tcBorders>
            <w:shd w:val="clear" w:color="auto" w:fill="EAF3FB"/>
            <w:tcMar>
              <w:top w:w="70" w:type="dxa"/>
              <w:left w:w="120" w:type="dxa"/>
              <w:bottom w:w="70" w:type="dxa"/>
              <w:right w:w="120" w:type="dxa"/>
            </w:tcMar>
            <w:vAlign w:val="center"/>
          </w:tcPr>
          <w:p w:rsidRPr="00BF57FF" w:rsidR="00E12922" w:rsidP="00A70BBB" w:rsidRDefault="00E12922" w14:paraId="1F82CCCE" w14:textId="77777777">
            <w:pPr>
              <w:spacing w:after="0" w:line="360" w:lineRule="auto"/>
              <w:jc w:val="both"/>
              <w:rPr>
                <w:rFonts w:ascii="Arial" w:hAnsi="Arial" w:cs="Arial"/>
              </w:rPr>
            </w:pPr>
            <w:r w:rsidRPr="00BF57FF">
              <w:rPr>
                <w:rFonts w:ascii="Arial" w:hAnsi="Arial" w:cs="Arial"/>
                <w:b/>
                <w:bCs/>
              </w:rPr>
              <w:t>CASP</w:t>
            </w:r>
          </w:p>
        </w:tc>
        <w:tc>
          <w:tcPr>
            <w:tcW w:w="7026" w:type="dxa"/>
            <w:tcBorders>
              <w:top w:val="single" w:color="9EC5E0" w:sz="2" w:space="0"/>
              <w:left w:val="single" w:color="9EC5E0" w:sz="2" w:space="0"/>
              <w:bottom w:val="single" w:color="9EC5E0" w:sz="2" w:space="0"/>
              <w:right w:val="single" w:color="9EC5E0" w:sz="2" w:space="0"/>
            </w:tcBorders>
            <w:shd w:val="clear" w:color="auto" w:fill="EAF3FB"/>
            <w:tcMar>
              <w:top w:w="70" w:type="dxa"/>
              <w:left w:w="120" w:type="dxa"/>
              <w:bottom w:w="70" w:type="dxa"/>
              <w:right w:w="120" w:type="dxa"/>
            </w:tcMar>
            <w:vAlign w:val="center"/>
          </w:tcPr>
          <w:p w:rsidRPr="00BF57FF" w:rsidR="00E12922" w:rsidP="00A70BBB" w:rsidRDefault="00E12922" w14:paraId="77F7C157" w14:textId="77777777">
            <w:pPr>
              <w:spacing w:after="0" w:line="360" w:lineRule="auto"/>
              <w:jc w:val="both"/>
              <w:rPr>
                <w:rFonts w:ascii="Arial" w:hAnsi="Arial" w:cs="Arial"/>
              </w:rPr>
            </w:pPr>
            <w:r w:rsidRPr="00BF57FF">
              <w:rPr>
                <w:rFonts w:ascii="Arial" w:hAnsi="Arial" w:cs="Arial"/>
              </w:rPr>
              <w:t>Critical Appraisal Skills Programme</w:t>
            </w:r>
          </w:p>
        </w:tc>
      </w:tr>
      <w:tr w:rsidRPr="00BF57FF" w:rsidR="00E12922" w:rsidTr="00A321AD" w14:paraId="3E445D9B" w14:textId="77777777">
        <w:tc>
          <w:tcPr>
            <w:tcW w:w="2000" w:type="dxa"/>
            <w:tcBorders>
              <w:top w:val="single" w:color="9EC5E0" w:sz="2" w:space="0"/>
              <w:left w:val="single" w:color="9EC5E0" w:sz="2" w:space="0"/>
              <w:bottom w:val="single" w:color="9EC5E0" w:sz="2" w:space="0"/>
              <w:right w:val="single" w:color="9EC5E0" w:sz="2" w:space="0"/>
            </w:tcBorders>
            <w:shd w:val="clear" w:color="auto" w:fill="FFFFFF"/>
            <w:tcMar>
              <w:top w:w="70" w:type="dxa"/>
              <w:left w:w="120" w:type="dxa"/>
              <w:bottom w:w="70" w:type="dxa"/>
              <w:right w:w="120" w:type="dxa"/>
            </w:tcMar>
            <w:vAlign w:val="center"/>
          </w:tcPr>
          <w:p w:rsidRPr="00BF57FF" w:rsidR="00E12922" w:rsidP="00A70BBB" w:rsidRDefault="00E12922" w14:paraId="6A8A89EA" w14:textId="77777777">
            <w:pPr>
              <w:spacing w:after="0" w:line="360" w:lineRule="auto"/>
              <w:jc w:val="both"/>
              <w:rPr>
                <w:rFonts w:ascii="Arial" w:hAnsi="Arial" w:cs="Arial"/>
              </w:rPr>
            </w:pPr>
            <w:r w:rsidRPr="00BF57FF">
              <w:rPr>
                <w:rFonts w:ascii="Arial" w:hAnsi="Arial" w:cs="Arial"/>
                <w:b/>
                <w:bCs/>
              </w:rPr>
              <w:t>CHW</w:t>
            </w:r>
          </w:p>
        </w:tc>
        <w:tc>
          <w:tcPr>
            <w:tcW w:w="7026" w:type="dxa"/>
            <w:tcBorders>
              <w:top w:val="single" w:color="9EC5E0" w:sz="2" w:space="0"/>
              <w:left w:val="single" w:color="9EC5E0" w:sz="2" w:space="0"/>
              <w:bottom w:val="single" w:color="9EC5E0" w:sz="2" w:space="0"/>
              <w:right w:val="single" w:color="9EC5E0" w:sz="2" w:space="0"/>
            </w:tcBorders>
            <w:shd w:val="clear" w:color="auto" w:fill="FFFFFF"/>
            <w:tcMar>
              <w:top w:w="70" w:type="dxa"/>
              <w:left w:w="120" w:type="dxa"/>
              <w:bottom w:w="70" w:type="dxa"/>
              <w:right w:w="120" w:type="dxa"/>
            </w:tcMar>
            <w:vAlign w:val="center"/>
          </w:tcPr>
          <w:p w:rsidRPr="00BF57FF" w:rsidR="00E12922" w:rsidP="00A70BBB" w:rsidRDefault="00E12922" w14:paraId="5FD9B6BD" w14:textId="77777777">
            <w:pPr>
              <w:spacing w:after="0" w:line="360" w:lineRule="auto"/>
              <w:jc w:val="both"/>
              <w:rPr>
                <w:rFonts w:ascii="Arial" w:hAnsi="Arial" w:cs="Arial"/>
              </w:rPr>
            </w:pPr>
            <w:r w:rsidRPr="00BF57FF">
              <w:rPr>
                <w:rFonts w:ascii="Arial" w:hAnsi="Arial" w:cs="Arial"/>
              </w:rPr>
              <w:t>Community Health Worker</w:t>
            </w:r>
          </w:p>
        </w:tc>
      </w:tr>
      <w:tr w:rsidRPr="00BF57FF" w:rsidR="00E12922" w:rsidTr="00A321AD" w14:paraId="183A93CF" w14:textId="77777777">
        <w:tc>
          <w:tcPr>
            <w:tcW w:w="2000" w:type="dxa"/>
            <w:tcBorders>
              <w:top w:val="single" w:color="9EC5E0" w:sz="2" w:space="0"/>
              <w:left w:val="single" w:color="9EC5E0" w:sz="2" w:space="0"/>
              <w:bottom w:val="single" w:color="9EC5E0" w:sz="2" w:space="0"/>
              <w:right w:val="single" w:color="9EC5E0" w:sz="2" w:space="0"/>
            </w:tcBorders>
            <w:shd w:val="clear" w:color="auto" w:fill="EAF3FB"/>
            <w:tcMar>
              <w:top w:w="70" w:type="dxa"/>
              <w:left w:w="120" w:type="dxa"/>
              <w:bottom w:w="70" w:type="dxa"/>
              <w:right w:w="120" w:type="dxa"/>
            </w:tcMar>
            <w:vAlign w:val="center"/>
          </w:tcPr>
          <w:p w:rsidRPr="00BF57FF" w:rsidR="00E12922" w:rsidP="00A70BBB" w:rsidRDefault="00E12922" w14:paraId="5FC7E131" w14:textId="77777777">
            <w:pPr>
              <w:spacing w:after="0" w:line="360" w:lineRule="auto"/>
              <w:jc w:val="both"/>
              <w:rPr>
                <w:rFonts w:ascii="Arial" w:hAnsi="Arial" w:cs="Arial"/>
              </w:rPr>
            </w:pPr>
            <w:r w:rsidRPr="00BF57FF">
              <w:rPr>
                <w:rFonts w:ascii="Arial" w:hAnsi="Arial" w:cs="Arial"/>
                <w:b/>
                <w:bCs/>
              </w:rPr>
              <w:t>CINAHL</w:t>
            </w:r>
          </w:p>
        </w:tc>
        <w:tc>
          <w:tcPr>
            <w:tcW w:w="7026" w:type="dxa"/>
            <w:tcBorders>
              <w:top w:val="single" w:color="9EC5E0" w:sz="2" w:space="0"/>
              <w:left w:val="single" w:color="9EC5E0" w:sz="2" w:space="0"/>
              <w:bottom w:val="single" w:color="9EC5E0" w:sz="2" w:space="0"/>
              <w:right w:val="single" w:color="9EC5E0" w:sz="2" w:space="0"/>
            </w:tcBorders>
            <w:shd w:val="clear" w:color="auto" w:fill="EAF3FB"/>
            <w:tcMar>
              <w:top w:w="70" w:type="dxa"/>
              <w:left w:w="120" w:type="dxa"/>
              <w:bottom w:w="70" w:type="dxa"/>
              <w:right w:w="120" w:type="dxa"/>
            </w:tcMar>
            <w:vAlign w:val="center"/>
          </w:tcPr>
          <w:p w:rsidRPr="00BF57FF" w:rsidR="00E12922" w:rsidP="00A70BBB" w:rsidRDefault="00E12922" w14:paraId="1217057F" w14:textId="77777777">
            <w:pPr>
              <w:spacing w:after="0" w:line="360" w:lineRule="auto"/>
              <w:jc w:val="both"/>
              <w:rPr>
                <w:rFonts w:ascii="Arial" w:hAnsi="Arial" w:cs="Arial"/>
              </w:rPr>
            </w:pPr>
            <w:r w:rsidRPr="00BF57FF">
              <w:rPr>
                <w:rFonts w:ascii="Arial" w:hAnsi="Arial" w:cs="Arial"/>
              </w:rPr>
              <w:t>Cumulative Index to Nursing and Allied Health Literature</w:t>
            </w:r>
          </w:p>
        </w:tc>
      </w:tr>
      <w:tr w:rsidRPr="00BF57FF" w:rsidR="00E12922" w:rsidTr="00A321AD" w14:paraId="0B31B623" w14:textId="77777777">
        <w:tc>
          <w:tcPr>
            <w:tcW w:w="2000" w:type="dxa"/>
            <w:tcBorders>
              <w:top w:val="single" w:color="9EC5E0" w:sz="2" w:space="0"/>
              <w:left w:val="single" w:color="9EC5E0" w:sz="2" w:space="0"/>
              <w:bottom w:val="single" w:color="9EC5E0" w:sz="2" w:space="0"/>
              <w:right w:val="single" w:color="9EC5E0" w:sz="2" w:space="0"/>
            </w:tcBorders>
            <w:shd w:val="clear" w:color="auto" w:fill="FFFFFF"/>
            <w:tcMar>
              <w:top w:w="70" w:type="dxa"/>
              <w:left w:w="120" w:type="dxa"/>
              <w:bottom w:w="70" w:type="dxa"/>
              <w:right w:w="120" w:type="dxa"/>
            </w:tcMar>
            <w:vAlign w:val="center"/>
          </w:tcPr>
          <w:p w:rsidRPr="00BF57FF" w:rsidR="00E12922" w:rsidP="00A70BBB" w:rsidRDefault="00E12922" w14:paraId="1A45284B" w14:textId="77777777">
            <w:pPr>
              <w:spacing w:after="0" w:line="360" w:lineRule="auto"/>
              <w:jc w:val="both"/>
              <w:rPr>
                <w:rFonts w:ascii="Arial" w:hAnsi="Arial" w:cs="Arial"/>
              </w:rPr>
            </w:pPr>
            <w:r w:rsidRPr="00BF57FF">
              <w:rPr>
                <w:rFonts w:ascii="Arial" w:hAnsi="Arial" w:cs="Arial"/>
                <w:b/>
                <w:bCs/>
              </w:rPr>
              <w:t>CSDH</w:t>
            </w:r>
          </w:p>
        </w:tc>
        <w:tc>
          <w:tcPr>
            <w:tcW w:w="7026" w:type="dxa"/>
            <w:tcBorders>
              <w:top w:val="single" w:color="9EC5E0" w:sz="2" w:space="0"/>
              <w:left w:val="single" w:color="9EC5E0" w:sz="2" w:space="0"/>
              <w:bottom w:val="single" w:color="9EC5E0" w:sz="2" w:space="0"/>
              <w:right w:val="single" w:color="9EC5E0" w:sz="2" w:space="0"/>
            </w:tcBorders>
            <w:shd w:val="clear" w:color="auto" w:fill="FFFFFF"/>
            <w:tcMar>
              <w:top w:w="70" w:type="dxa"/>
              <w:left w:w="120" w:type="dxa"/>
              <w:bottom w:w="70" w:type="dxa"/>
              <w:right w:w="120" w:type="dxa"/>
            </w:tcMar>
            <w:vAlign w:val="center"/>
          </w:tcPr>
          <w:p w:rsidRPr="00BF57FF" w:rsidR="00E12922" w:rsidP="00A70BBB" w:rsidRDefault="00E12922" w14:paraId="6A2792A5" w14:textId="77777777">
            <w:pPr>
              <w:spacing w:after="0" w:line="360" w:lineRule="auto"/>
              <w:jc w:val="both"/>
              <w:rPr>
                <w:rFonts w:ascii="Arial" w:hAnsi="Arial" w:cs="Arial"/>
              </w:rPr>
            </w:pPr>
            <w:r w:rsidRPr="00BF57FF">
              <w:rPr>
                <w:rFonts w:ascii="Arial" w:hAnsi="Arial" w:cs="Arial"/>
              </w:rPr>
              <w:t>Commission on Social Determinants of Health (WHO)</w:t>
            </w:r>
          </w:p>
        </w:tc>
      </w:tr>
      <w:tr w:rsidRPr="00BF57FF" w:rsidR="00E12922" w:rsidTr="00A321AD" w14:paraId="6D236267" w14:textId="77777777">
        <w:tc>
          <w:tcPr>
            <w:tcW w:w="2000" w:type="dxa"/>
            <w:tcBorders>
              <w:top w:val="single" w:color="9EC5E0" w:sz="2" w:space="0"/>
              <w:left w:val="single" w:color="9EC5E0" w:sz="2" w:space="0"/>
              <w:bottom w:val="single" w:color="9EC5E0" w:sz="2" w:space="0"/>
              <w:right w:val="single" w:color="9EC5E0" w:sz="2" w:space="0"/>
            </w:tcBorders>
            <w:shd w:val="clear" w:color="auto" w:fill="EAF3FB"/>
            <w:tcMar>
              <w:top w:w="70" w:type="dxa"/>
              <w:left w:w="120" w:type="dxa"/>
              <w:bottom w:w="70" w:type="dxa"/>
              <w:right w:w="120" w:type="dxa"/>
            </w:tcMar>
            <w:vAlign w:val="center"/>
          </w:tcPr>
          <w:p w:rsidRPr="00BF57FF" w:rsidR="00E12922" w:rsidP="00A70BBB" w:rsidRDefault="00E12922" w14:paraId="0D25094D" w14:textId="77777777">
            <w:pPr>
              <w:spacing w:after="0" w:line="360" w:lineRule="auto"/>
              <w:jc w:val="both"/>
              <w:rPr>
                <w:rFonts w:ascii="Arial" w:hAnsi="Arial" w:cs="Arial"/>
              </w:rPr>
            </w:pPr>
            <w:r w:rsidRPr="00BF57FF">
              <w:rPr>
                <w:rFonts w:ascii="Arial" w:hAnsi="Arial" w:cs="Arial"/>
                <w:b/>
                <w:bCs/>
              </w:rPr>
              <w:t>DALYs</w:t>
            </w:r>
          </w:p>
        </w:tc>
        <w:tc>
          <w:tcPr>
            <w:tcW w:w="7026" w:type="dxa"/>
            <w:tcBorders>
              <w:top w:val="single" w:color="9EC5E0" w:sz="2" w:space="0"/>
              <w:left w:val="single" w:color="9EC5E0" w:sz="2" w:space="0"/>
              <w:bottom w:val="single" w:color="9EC5E0" w:sz="2" w:space="0"/>
              <w:right w:val="single" w:color="9EC5E0" w:sz="2" w:space="0"/>
            </w:tcBorders>
            <w:shd w:val="clear" w:color="auto" w:fill="EAF3FB"/>
            <w:tcMar>
              <w:top w:w="70" w:type="dxa"/>
              <w:left w:w="120" w:type="dxa"/>
              <w:bottom w:w="70" w:type="dxa"/>
              <w:right w:w="120" w:type="dxa"/>
            </w:tcMar>
            <w:vAlign w:val="center"/>
          </w:tcPr>
          <w:p w:rsidRPr="00BF57FF" w:rsidR="00E12922" w:rsidP="00A70BBB" w:rsidRDefault="00E12922" w14:paraId="60E2855E" w14:textId="77777777">
            <w:pPr>
              <w:spacing w:after="0" w:line="360" w:lineRule="auto"/>
              <w:jc w:val="both"/>
              <w:rPr>
                <w:rFonts w:ascii="Arial" w:hAnsi="Arial" w:cs="Arial"/>
              </w:rPr>
            </w:pPr>
            <w:r w:rsidRPr="00BF57FF">
              <w:rPr>
                <w:rFonts w:ascii="Arial" w:hAnsi="Arial" w:cs="Arial"/>
              </w:rPr>
              <w:t>Disability-Adjusted Life Years</w:t>
            </w:r>
          </w:p>
        </w:tc>
      </w:tr>
      <w:tr w:rsidRPr="00BF57FF" w:rsidR="00E12922" w:rsidTr="00A321AD" w14:paraId="2E1DE2FA" w14:textId="77777777">
        <w:tc>
          <w:tcPr>
            <w:tcW w:w="2000" w:type="dxa"/>
            <w:tcBorders>
              <w:top w:val="single" w:color="9EC5E0" w:sz="2" w:space="0"/>
              <w:left w:val="single" w:color="9EC5E0" w:sz="2" w:space="0"/>
              <w:bottom w:val="single" w:color="9EC5E0" w:sz="2" w:space="0"/>
              <w:right w:val="single" w:color="9EC5E0" w:sz="2" w:space="0"/>
            </w:tcBorders>
            <w:shd w:val="clear" w:color="auto" w:fill="FFFFFF"/>
            <w:tcMar>
              <w:top w:w="70" w:type="dxa"/>
              <w:left w:w="120" w:type="dxa"/>
              <w:bottom w:w="70" w:type="dxa"/>
              <w:right w:w="120" w:type="dxa"/>
            </w:tcMar>
            <w:vAlign w:val="center"/>
          </w:tcPr>
          <w:p w:rsidRPr="00BF57FF" w:rsidR="00E12922" w:rsidP="00A70BBB" w:rsidRDefault="00E12922" w14:paraId="018301E8" w14:textId="77777777">
            <w:pPr>
              <w:spacing w:after="0" w:line="360" w:lineRule="auto"/>
              <w:jc w:val="both"/>
              <w:rPr>
                <w:rFonts w:ascii="Arial" w:hAnsi="Arial" w:cs="Arial"/>
              </w:rPr>
            </w:pPr>
            <w:r w:rsidRPr="00BF57FF">
              <w:rPr>
                <w:rFonts w:ascii="Arial" w:hAnsi="Arial" w:cs="Arial"/>
                <w:b/>
                <w:bCs/>
              </w:rPr>
              <w:t>FAO</w:t>
            </w:r>
          </w:p>
        </w:tc>
        <w:tc>
          <w:tcPr>
            <w:tcW w:w="7026" w:type="dxa"/>
            <w:tcBorders>
              <w:top w:val="single" w:color="9EC5E0" w:sz="2" w:space="0"/>
              <w:left w:val="single" w:color="9EC5E0" w:sz="2" w:space="0"/>
              <w:bottom w:val="single" w:color="9EC5E0" w:sz="2" w:space="0"/>
              <w:right w:val="single" w:color="9EC5E0" w:sz="2" w:space="0"/>
            </w:tcBorders>
            <w:shd w:val="clear" w:color="auto" w:fill="FFFFFF"/>
            <w:tcMar>
              <w:top w:w="70" w:type="dxa"/>
              <w:left w:w="120" w:type="dxa"/>
              <w:bottom w:w="70" w:type="dxa"/>
              <w:right w:w="120" w:type="dxa"/>
            </w:tcMar>
            <w:vAlign w:val="center"/>
          </w:tcPr>
          <w:p w:rsidRPr="00BF57FF" w:rsidR="00E12922" w:rsidP="00A70BBB" w:rsidRDefault="00E12922" w14:paraId="19ECD7C2" w14:textId="67DEEDFA">
            <w:pPr>
              <w:spacing w:after="0" w:line="360" w:lineRule="auto"/>
              <w:jc w:val="both"/>
              <w:rPr>
                <w:rFonts w:ascii="Arial" w:hAnsi="Arial" w:cs="Arial"/>
              </w:rPr>
            </w:pPr>
            <w:r w:rsidRPr="00BF57FF">
              <w:rPr>
                <w:rFonts w:ascii="Arial" w:hAnsi="Arial" w:cs="Arial"/>
              </w:rPr>
              <w:t xml:space="preserve">Food and Agriculture </w:t>
            </w:r>
            <w:r w:rsidRPr="00BF57FF" w:rsidR="00812725">
              <w:rPr>
                <w:rFonts w:ascii="Arial" w:hAnsi="Arial" w:cs="Arial"/>
              </w:rPr>
              <w:t>Organisation</w:t>
            </w:r>
            <w:r w:rsidRPr="00BF57FF">
              <w:rPr>
                <w:rFonts w:ascii="Arial" w:hAnsi="Arial" w:cs="Arial"/>
              </w:rPr>
              <w:t xml:space="preserve"> of the United Nations</w:t>
            </w:r>
          </w:p>
        </w:tc>
      </w:tr>
      <w:tr w:rsidRPr="00BF57FF" w:rsidR="00E12922" w:rsidTr="00A321AD" w14:paraId="65E23405" w14:textId="77777777">
        <w:tc>
          <w:tcPr>
            <w:tcW w:w="2000" w:type="dxa"/>
            <w:tcBorders>
              <w:top w:val="single" w:color="9EC5E0" w:sz="2" w:space="0"/>
              <w:left w:val="single" w:color="9EC5E0" w:sz="2" w:space="0"/>
              <w:bottom w:val="single" w:color="9EC5E0" w:sz="2" w:space="0"/>
              <w:right w:val="single" w:color="9EC5E0" w:sz="2" w:space="0"/>
            </w:tcBorders>
            <w:shd w:val="clear" w:color="auto" w:fill="EAF3FB"/>
            <w:tcMar>
              <w:top w:w="70" w:type="dxa"/>
              <w:left w:w="120" w:type="dxa"/>
              <w:bottom w:w="70" w:type="dxa"/>
              <w:right w:w="120" w:type="dxa"/>
            </w:tcMar>
            <w:vAlign w:val="center"/>
          </w:tcPr>
          <w:p w:rsidRPr="00BF57FF" w:rsidR="00E12922" w:rsidP="00A70BBB" w:rsidRDefault="00E12922" w14:paraId="4B996A52" w14:textId="77777777">
            <w:pPr>
              <w:spacing w:after="0" w:line="360" w:lineRule="auto"/>
              <w:jc w:val="both"/>
              <w:rPr>
                <w:rFonts w:ascii="Arial" w:hAnsi="Arial" w:cs="Arial"/>
              </w:rPr>
            </w:pPr>
            <w:r w:rsidRPr="00BF57FF">
              <w:rPr>
                <w:rFonts w:ascii="Arial" w:hAnsi="Arial" w:cs="Arial"/>
                <w:b/>
                <w:bCs/>
              </w:rPr>
              <w:t>IDSP</w:t>
            </w:r>
          </w:p>
        </w:tc>
        <w:tc>
          <w:tcPr>
            <w:tcW w:w="7026" w:type="dxa"/>
            <w:tcBorders>
              <w:top w:val="single" w:color="9EC5E0" w:sz="2" w:space="0"/>
              <w:left w:val="single" w:color="9EC5E0" w:sz="2" w:space="0"/>
              <w:bottom w:val="single" w:color="9EC5E0" w:sz="2" w:space="0"/>
              <w:right w:val="single" w:color="9EC5E0" w:sz="2" w:space="0"/>
            </w:tcBorders>
            <w:shd w:val="clear" w:color="auto" w:fill="EAF3FB"/>
            <w:tcMar>
              <w:top w:w="70" w:type="dxa"/>
              <w:left w:w="120" w:type="dxa"/>
              <w:bottom w:w="70" w:type="dxa"/>
              <w:right w:w="120" w:type="dxa"/>
            </w:tcMar>
            <w:vAlign w:val="center"/>
          </w:tcPr>
          <w:p w:rsidRPr="00BF57FF" w:rsidR="00E12922" w:rsidP="00A70BBB" w:rsidRDefault="00E12922" w14:paraId="5790B7A6" w14:textId="77777777">
            <w:pPr>
              <w:spacing w:after="0" w:line="360" w:lineRule="auto"/>
              <w:jc w:val="both"/>
              <w:rPr>
                <w:rFonts w:ascii="Arial" w:hAnsi="Arial" w:cs="Arial"/>
              </w:rPr>
            </w:pPr>
            <w:r w:rsidRPr="00BF57FF">
              <w:rPr>
                <w:rFonts w:ascii="Arial" w:hAnsi="Arial" w:cs="Arial"/>
              </w:rPr>
              <w:t>Integrated Disease Surveillance Programme</w:t>
            </w:r>
          </w:p>
        </w:tc>
      </w:tr>
      <w:tr w:rsidRPr="00BF57FF" w:rsidR="00E12922" w:rsidTr="00A321AD" w14:paraId="65237A48" w14:textId="77777777">
        <w:tc>
          <w:tcPr>
            <w:tcW w:w="2000" w:type="dxa"/>
            <w:tcBorders>
              <w:top w:val="single" w:color="9EC5E0" w:sz="2" w:space="0"/>
              <w:left w:val="single" w:color="9EC5E0" w:sz="2" w:space="0"/>
              <w:bottom w:val="single" w:color="9EC5E0" w:sz="2" w:space="0"/>
              <w:right w:val="single" w:color="9EC5E0" w:sz="2" w:space="0"/>
            </w:tcBorders>
            <w:shd w:val="clear" w:color="auto" w:fill="FFFFFF"/>
            <w:tcMar>
              <w:top w:w="70" w:type="dxa"/>
              <w:left w:w="120" w:type="dxa"/>
              <w:bottom w:w="70" w:type="dxa"/>
              <w:right w:w="120" w:type="dxa"/>
            </w:tcMar>
            <w:vAlign w:val="center"/>
          </w:tcPr>
          <w:p w:rsidRPr="00BF57FF" w:rsidR="00E12922" w:rsidP="00A70BBB" w:rsidRDefault="00E12922" w14:paraId="31F2800E" w14:textId="77777777">
            <w:pPr>
              <w:spacing w:after="0" w:line="360" w:lineRule="auto"/>
              <w:jc w:val="both"/>
              <w:rPr>
                <w:rFonts w:ascii="Arial" w:hAnsi="Arial" w:cs="Arial"/>
              </w:rPr>
            </w:pPr>
            <w:r w:rsidRPr="00BF57FF">
              <w:rPr>
                <w:rFonts w:ascii="Arial" w:hAnsi="Arial" w:cs="Arial"/>
                <w:b/>
                <w:bCs/>
              </w:rPr>
              <w:t>KAP</w:t>
            </w:r>
          </w:p>
        </w:tc>
        <w:tc>
          <w:tcPr>
            <w:tcW w:w="7026" w:type="dxa"/>
            <w:tcBorders>
              <w:top w:val="single" w:color="9EC5E0" w:sz="2" w:space="0"/>
              <w:left w:val="single" w:color="9EC5E0" w:sz="2" w:space="0"/>
              <w:bottom w:val="single" w:color="9EC5E0" w:sz="2" w:space="0"/>
              <w:right w:val="single" w:color="9EC5E0" w:sz="2" w:space="0"/>
            </w:tcBorders>
            <w:shd w:val="clear" w:color="auto" w:fill="FFFFFF"/>
            <w:tcMar>
              <w:top w:w="70" w:type="dxa"/>
              <w:left w:w="120" w:type="dxa"/>
              <w:bottom w:w="70" w:type="dxa"/>
              <w:right w:w="120" w:type="dxa"/>
            </w:tcMar>
            <w:vAlign w:val="center"/>
          </w:tcPr>
          <w:p w:rsidRPr="00BF57FF" w:rsidR="00E12922" w:rsidP="00A70BBB" w:rsidRDefault="00E12922" w14:paraId="3F276391" w14:textId="77777777">
            <w:pPr>
              <w:spacing w:after="0" w:line="360" w:lineRule="auto"/>
              <w:jc w:val="both"/>
              <w:rPr>
                <w:rFonts w:ascii="Arial" w:hAnsi="Arial" w:cs="Arial"/>
              </w:rPr>
            </w:pPr>
            <w:r w:rsidRPr="00BF57FF">
              <w:rPr>
                <w:rFonts w:ascii="Arial" w:hAnsi="Arial" w:cs="Arial"/>
              </w:rPr>
              <w:t>Knowledge, Attitudes, and Practices</w:t>
            </w:r>
          </w:p>
        </w:tc>
      </w:tr>
      <w:tr w:rsidRPr="00BF57FF" w:rsidR="00E12922" w:rsidTr="00A321AD" w14:paraId="4C1A068B" w14:textId="77777777">
        <w:tc>
          <w:tcPr>
            <w:tcW w:w="2000" w:type="dxa"/>
            <w:tcBorders>
              <w:top w:val="single" w:color="9EC5E0" w:sz="2" w:space="0"/>
              <w:left w:val="single" w:color="9EC5E0" w:sz="2" w:space="0"/>
              <w:bottom w:val="single" w:color="9EC5E0" w:sz="2" w:space="0"/>
              <w:right w:val="single" w:color="9EC5E0" w:sz="2" w:space="0"/>
            </w:tcBorders>
            <w:shd w:val="clear" w:color="auto" w:fill="EAF3FB"/>
            <w:tcMar>
              <w:top w:w="70" w:type="dxa"/>
              <w:left w:w="120" w:type="dxa"/>
              <w:bottom w:w="70" w:type="dxa"/>
              <w:right w:w="120" w:type="dxa"/>
            </w:tcMar>
            <w:vAlign w:val="center"/>
          </w:tcPr>
          <w:p w:rsidRPr="00BF57FF" w:rsidR="00E12922" w:rsidP="00A70BBB" w:rsidRDefault="00E12922" w14:paraId="1D16F65F" w14:textId="77777777">
            <w:pPr>
              <w:spacing w:after="0" w:line="360" w:lineRule="auto"/>
              <w:jc w:val="both"/>
              <w:rPr>
                <w:rFonts w:ascii="Arial" w:hAnsi="Arial" w:cs="Arial"/>
              </w:rPr>
            </w:pPr>
            <w:r w:rsidRPr="00BF57FF">
              <w:rPr>
                <w:rFonts w:ascii="Arial" w:hAnsi="Arial" w:cs="Arial"/>
                <w:b/>
                <w:bCs/>
              </w:rPr>
              <w:t>MeSH</w:t>
            </w:r>
          </w:p>
        </w:tc>
        <w:tc>
          <w:tcPr>
            <w:tcW w:w="7026" w:type="dxa"/>
            <w:tcBorders>
              <w:top w:val="single" w:color="9EC5E0" w:sz="2" w:space="0"/>
              <w:left w:val="single" w:color="9EC5E0" w:sz="2" w:space="0"/>
              <w:bottom w:val="single" w:color="9EC5E0" w:sz="2" w:space="0"/>
              <w:right w:val="single" w:color="9EC5E0" w:sz="2" w:space="0"/>
            </w:tcBorders>
            <w:shd w:val="clear" w:color="auto" w:fill="EAF3FB"/>
            <w:tcMar>
              <w:top w:w="70" w:type="dxa"/>
              <w:left w:w="120" w:type="dxa"/>
              <w:bottom w:w="70" w:type="dxa"/>
              <w:right w:w="120" w:type="dxa"/>
            </w:tcMar>
            <w:vAlign w:val="center"/>
          </w:tcPr>
          <w:p w:rsidRPr="00BF57FF" w:rsidR="00E12922" w:rsidP="00A70BBB" w:rsidRDefault="00E12922" w14:paraId="14F668AA" w14:textId="77777777">
            <w:pPr>
              <w:spacing w:after="0" w:line="360" w:lineRule="auto"/>
              <w:jc w:val="both"/>
              <w:rPr>
                <w:rFonts w:ascii="Arial" w:hAnsi="Arial" w:cs="Arial"/>
              </w:rPr>
            </w:pPr>
            <w:r w:rsidRPr="00BF57FF">
              <w:rPr>
                <w:rFonts w:ascii="Arial" w:hAnsi="Arial" w:cs="Arial"/>
              </w:rPr>
              <w:t>Medical Subject Headings</w:t>
            </w:r>
          </w:p>
        </w:tc>
      </w:tr>
      <w:tr w:rsidRPr="00BF57FF" w:rsidR="00E12922" w:rsidTr="00A321AD" w14:paraId="0496449D" w14:textId="77777777">
        <w:tc>
          <w:tcPr>
            <w:tcW w:w="2000" w:type="dxa"/>
            <w:tcBorders>
              <w:top w:val="single" w:color="9EC5E0" w:sz="2" w:space="0"/>
              <w:left w:val="single" w:color="9EC5E0" w:sz="2" w:space="0"/>
              <w:bottom w:val="single" w:color="9EC5E0" w:sz="2" w:space="0"/>
              <w:right w:val="single" w:color="9EC5E0" w:sz="2" w:space="0"/>
            </w:tcBorders>
            <w:shd w:val="clear" w:color="auto" w:fill="FFFFFF"/>
            <w:tcMar>
              <w:top w:w="70" w:type="dxa"/>
              <w:left w:w="120" w:type="dxa"/>
              <w:bottom w:w="70" w:type="dxa"/>
              <w:right w:w="120" w:type="dxa"/>
            </w:tcMar>
            <w:vAlign w:val="center"/>
          </w:tcPr>
          <w:p w:rsidRPr="00BF57FF" w:rsidR="00E12922" w:rsidP="00A70BBB" w:rsidRDefault="00E12922" w14:paraId="1D79D299" w14:textId="77777777">
            <w:pPr>
              <w:spacing w:after="0" w:line="360" w:lineRule="auto"/>
              <w:jc w:val="both"/>
              <w:rPr>
                <w:rFonts w:ascii="Arial" w:hAnsi="Arial" w:cs="Arial"/>
              </w:rPr>
            </w:pPr>
            <w:r w:rsidRPr="00BF57FF">
              <w:rPr>
                <w:rFonts w:ascii="Arial" w:hAnsi="Arial" w:cs="Arial"/>
                <w:b/>
                <w:bCs/>
              </w:rPr>
              <w:t>MSc</w:t>
            </w:r>
          </w:p>
        </w:tc>
        <w:tc>
          <w:tcPr>
            <w:tcW w:w="7026" w:type="dxa"/>
            <w:tcBorders>
              <w:top w:val="single" w:color="9EC5E0" w:sz="2" w:space="0"/>
              <w:left w:val="single" w:color="9EC5E0" w:sz="2" w:space="0"/>
              <w:bottom w:val="single" w:color="9EC5E0" w:sz="2" w:space="0"/>
              <w:right w:val="single" w:color="9EC5E0" w:sz="2" w:space="0"/>
            </w:tcBorders>
            <w:shd w:val="clear" w:color="auto" w:fill="FFFFFF"/>
            <w:tcMar>
              <w:top w:w="70" w:type="dxa"/>
              <w:left w:w="120" w:type="dxa"/>
              <w:bottom w:w="70" w:type="dxa"/>
              <w:right w:w="120" w:type="dxa"/>
            </w:tcMar>
            <w:vAlign w:val="center"/>
          </w:tcPr>
          <w:p w:rsidRPr="00BF57FF" w:rsidR="00E12922" w:rsidP="00A70BBB" w:rsidRDefault="00E12922" w14:paraId="6590F1B9" w14:textId="77777777">
            <w:pPr>
              <w:spacing w:after="0" w:line="360" w:lineRule="auto"/>
              <w:jc w:val="both"/>
              <w:rPr>
                <w:rFonts w:ascii="Arial" w:hAnsi="Arial" w:cs="Arial"/>
              </w:rPr>
            </w:pPr>
            <w:r w:rsidRPr="00BF57FF">
              <w:rPr>
                <w:rFonts w:ascii="Arial" w:hAnsi="Arial" w:cs="Arial"/>
              </w:rPr>
              <w:t>Master of Science</w:t>
            </w:r>
          </w:p>
        </w:tc>
      </w:tr>
      <w:tr w:rsidRPr="00BF57FF" w:rsidR="00E12922" w:rsidTr="00A321AD" w14:paraId="79821EC8" w14:textId="77777777">
        <w:tc>
          <w:tcPr>
            <w:tcW w:w="2000" w:type="dxa"/>
            <w:tcBorders>
              <w:top w:val="single" w:color="9EC5E0" w:sz="2" w:space="0"/>
              <w:left w:val="single" w:color="9EC5E0" w:sz="2" w:space="0"/>
              <w:bottom w:val="single" w:color="9EC5E0" w:sz="2" w:space="0"/>
              <w:right w:val="single" w:color="9EC5E0" w:sz="2" w:space="0"/>
            </w:tcBorders>
            <w:shd w:val="clear" w:color="auto" w:fill="EAF3FB"/>
            <w:tcMar>
              <w:top w:w="70" w:type="dxa"/>
              <w:left w:w="120" w:type="dxa"/>
              <w:bottom w:w="70" w:type="dxa"/>
              <w:right w:w="120" w:type="dxa"/>
            </w:tcMar>
            <w:vAlign w:val="center"/>
          </w:tcPr>
          <w:p w:rsidRPr="00BF57FF" w:rsidR="00E12922" w:rsidP="00A70BBB" w:rsidRDefault="00E12922" w14:paraId="13D2FEEC" w14:textId="77777777">
            <w:pPr>
              <w:spacing w:after="0" w:line="360" w:lineRule="auto"/>
              <w:jc w:val="both"/>
              <w:rPr>
                <w:rFonts w:ascii="Arial" w:hAnsi="Arial" w:cs="Arial"/>
              </w:rPr>
            </w:pPr>
            <w:r w:rsidRPr="00BF57FF">
              <w:rPr>
                <w:rFonts w:ascii="Arial" w:hAnsi="Arial" w:cs="Arial"/>
                <w:b/>
                <w:bCs/>
              </w:rPr>
              <w:t>NAPRE</w:t>
            </w:r>
          </w:p>
        </w:tc>
        <w:tc>
          <w:tcPr>
            <w:tcW w:w="7026" w:type="dxa"/>
            <w:tcBorders>
              <w:top w:val="single" w:color="9EC5E0" w:sz="2" w:space="0"/>
              <w:left w:val="single" w:color="9EC5E0" w:sz="2" w:space="0"/>
              <w:bottom w:val="single" w:color="9EC5E0" w:sz="2" w:space="0"/>
              <w:right w:val="single" w:color="9EC5E0" w:sz="2" w:space="0"/>
            </w:tcBorders>
            <w:shd w:val="clear" w:color="auto" w:fill="EAF3FB"/>
            <w:tcMar>
              <w:top w:w="70" w:type="dxa"/>
              <w:left w:w="120" w:type="dxa"/>
              <w:bottom w:w="70" w:type="dxa"/>
              <w:right w:w="120" w:type="dxa"/>
            </w:tcMar>
            <w:vAlign w:val="center"/>
          </w:tcPr>
          <w:p w:rsidRPr="00BF57FF" w:rsidR="00E12922" w:rsidP="00A70BBB" w:rsidRDefault="00E12922" w14:paraId="208A6CF1" w14:textId="77777777">
            <w:pPr>
              <w:spacing w:after="0" w:line="360" w:lineRule="auto"/>
              <w:jc w:val="both"/>
              <w:rPr>
                <w:rFonts w:ascii="Arial" w:hAnsi="Arial" w:cs="Arial"/>
              </w:rPr>
            </w:pPr>
            <w:r w:rsidRPr="00BF57FF">
              <w:rPr>
                <w:rFonts w:ascii="Arial" w:hAnsi="Arial" w:cs="Arial"/>
              </w:rPr>
              <w:t>National Action Plan for Dog Mediated Rabies Elimination</w:t>
            </w:r>
          </w:p>
        </w:tc>
      </w:tr>
      <w:tr w:rsidRPr="00BF57FF" w:rsidR="00E12922" w:rsidTr="00A321AD" w14:paraId="6E5314A9" w14:textId="77777777">
        <w:tc>
          <w:tcPr>
            <w:tcW w:w="2000" w:type="dxa"/>
            <w:tcBorders>
              <w:top w:val="single" w:color="9EC5E0" w:sz="2" w:space="0"/>
              <w:left w:val="single" w:color="9EC5E0" w:sz="2" w:space="0"/>
              <w:bottom w:val="single" w:color="9EC5E0" w:sz="2" w:space="0"/>
              <w:right w:val="single" w:color="9EC5E0" w:sz="2" w:space="0"/>
            </w:tcBorders>
            <w:shd w:val="clear" w:color="auto" w:fill="FFFFFF"/>
            <w:tcMar>
              <w:top w:w="70" w:type="dxa"/>
              <w:left w:w="120" w:type="dxa"/>
              <w:bottom w:w="70" w:type="dxa"/>
              <w:right w:w="120" w:type="dxa"/>
            </w:tcMar>
            <w:vAlign w:val="center"/>
          </w:tcPr>
          <w:p w:rsidRPr="00BF57FF" w:rsidR="00E12922" w:rsidP="00A70BBB" w:rsidRDefault="00E12922" w14:paraId="0FE3D891" w14:textId="77777777">
            <w:pPr>
              <w:spacing w:after="0" w:line="360" w:lineRule="auto"/>
              <w:jc w:val="both"/>
              <w:rPr>
                <w:rFonts w:ascii="Arial" w:hAnsi="Arial" w:cs="Arial"/>
              </w:rPr>
            </w:pPr>
            <w:r w:rsidRPr="00BF57FF">
              <w:rPr>
                <w:rFonts w:ascii="Arial" w:hAnsi="Arial" w:cs="Arial"/>
                <w:b/>
                <w:bCs/>
              </w:rPr>
              <w:t>NCDC</w:t>
            </w:r>
          </w:p>
        </w:tc>
        <w:tc>
          <w:tcPr>
            <w:tcW w:w="7026" w:type="dxa"/>
            <w:tcBorders>
              <w:top w:val="single" w:color="9EC5E0" w:sz="2" w:space="0"/>
              <w:left w:val="single" w:color="9EC5E0" w:sz="2" w:space="0"/>
              <w:bottom w:val="single" w:color="9EC5E0" w:sz="2" w:space="0"/>
              <w:right w:val="single" w:color="9EC5E0" w:sz="2" w:space="0"/>
            </w:tcBorders>
            <w:shd w:val="clear" w:color="auto" w:fill="FFFFFF"/>
            <w:tcMar>
              <w:top w:w="70" w:type="dxa"/>
              <w:left w:w="120" w:type="dxa"/>
              <w:bottom w:w="70" w:type="dxa"/>
              <w:right w:w="120" w:type="dxa"/>
            </w:tcMar>
            <w:vAlign w:val="center"/>
          </w:tcPr>
          <w:p w:rsidRPr="00BF57FF" w:rsidR="00E12922" w:rsidP="00A70BBB" w:rsidRDefault="00E12922" w14:paraId="32F7FA88" w14:textId="77777777">
            <w:pPr>
              <w:spacing w:after="0" w:line="360" w:lineRule="auto"/>
              <w:jc w:val="both"/>
              <w:rPr>
                <w:rFonts w:ascii="Arial" w:hAnsi="Arial" w:cs="Arial"/>
              </w:rPr>
            </w:pPr>
            <w:r w:rsidRPr="00BF57FF">
              <w:rPr>
                <w:rFonts w:ascii="Arial" w:hAnsi="Arial" w:cs="Arial"/>
              </w:rPr>
              <w:t>National Centre for Disease Control (India)</w:t>
            </w:r>
          </w:p>
        </w:tc>
      </w:tr>
      <w:tr w:rsidRPr="00BF57FF" w:rsidR="00E12922" w:rsidTr="00A321AD" w14:paraId="059899C7" w14:textId="77777777">
        <w:tc>
          <w:tcPr>
            <w:tcW w:w="2000" w:type="dxa"/>
            <w:tcBorders>
              <w:top w:val="single" w:color="9EC5E0" w:sz="2" w:space="0"/>
              <w:left w:val="single" w:color="9EC5E0" w:sz="2" w:space="0"/>
              <w:bottom w:val="single" w:color="9EC5E0" w:sz="2" w:space="0"/>
              <w:right w:val="single" w:color="9EC5E0" w:sz="2" w:space="0"/>
            </w:tcBorders>
            <w:shd w:val="clear" w:color="auto" w:fill="EAF3FB"/>
            <w:tcMar>
              <w:top w:w="70" w:type="dxa"/>
              <w:left w:w="120" w:type="dxa"/>
              <w:bottom w:w="70" w:type="dxa"/>
              <w:right w:w="120" w:type="dxa"/>
            </w:tcMar>
            <w:vAlign w:val="center"/>
          </w:tcPr>
          <w:p w:rsidRPr="00BF57FF" w:rsidR="00E12922" w:rsidP="00A70BBB" w:rsidRDefault="00E12922" w14:paraId="044C8EC2" w14:textId="77777777">
            <w:pPr>
              <w:spacing w:after="0" w:line="360" w:lineRule="auto"/>
              <w:jc w:val="both"/>
              <w:rPr>
                <w:rFonts w:ascii="Arial" w:hAnsi="Arial" w:cs="Arial"/>
              </w:rPr>
            </w:pPr>
            <w:r w:rsidRPr="00BF57FF">
              <w:rPr>
                <w:rFonts w:ascii="Arial" w:hAnsi="Arial" w:cs="Arial"/>
                <w:b/>
                <w:bCs/>
              </w:rPr>
              <w:t>NHM</w:t>
            </w:r>
          </w:p>
        </w:tc>
        <w:tc>
          <w:tcPr>
            <w:tcW w:w="7026" w:type="dxa"/>
            <w:tcBorders>
              <w:top w:val="single" w:color="9EC5E0" w:sz="2" w:space="0"/>
              <w:left w:val="single" w:color="9EC5E0" w:sz="2" w:space="0"/>
              <w:bottom w:val="single" w:color="9EC5E0" w:sz="2" w:space="0"/>
              <w:right w:val="single" w:color="9EC5E0" w:sz="2" w:space="0"/>
            </w:tcBorders>
            <w:shd w:val="clear" w:color="auto" w:fill="EAF3FB"/>
            <w:tcMar>
              <w:top w:w="70" w:type="dxa"/>
              <w:left w:w="120" w:type="dxa"/>
              <w:bottom w:w="70" w:type="dxa"/>
              <w:right w:w="120" w:type="dxa"/>
            </w:tcMar>
            <w:vAlign w:val="center"/>
          </w:tcPr>
          <w:p w:rsidRPr="00BF57FF" w:rsidR="00E12922" w:rsidP="00A70BBB" w:rsidRDefault="00E12922" w14:paraId="080D6998" w14:textId="77777777">
            <w:pPr>
              <w:spacing w:after="0" w:line="360" w:lineRule="auto"/>
              <w:jc w:val="both"/>
              <w:rPr>
                <w:rFonts w:ascii="Arial" w:hAnsi="Arial" w:cs="Arial"/>
              </w:rPr>
            </w:pPr>
            <w:r w:rsidRPr="00BF57FF">
              <w:rPr>
                <w:rFonts w:ascii="Arial" w:hAnsi="Arial" w:cs="Arial"/>
              </w:rPr>
              <w:t>National Health Mission (India)</w:t>
            </w:r>
          </w:p>
        </w:tc>
      </w:tr>
      <w:tr w:rsidRPr="00BF57FF" w:rsidR="00E12922" w:rsidTr="00A321AD" w14:paraId="2214AA0F" w14:textId="77777777">
        <w:tc>
          <w:tcPr>
            <w:tcW w:w="2000" w:type="dxa"/>
            <w:tcBorders>
              <w:top w:val="single" w:color="9EC5E0" w:sz="2" w:space="0"/>
              <w:left w:val="single" w:color="9EC5E0" w:sz="2" w:space="0"/>
              <w:bottom w:val="single" w:color="9EC5E0" w:sz="2" w:space="0"/>
              <w:right w:val="single" w:color="9EC5E0" w:sz="2" w:space="0"/>
            </w:tcBorders>
            <w:shd w:val="clear" w:color="auto" w:fill="FFFFFF"/>
            <w:tcMar>
              <w:top w:w="70" w:type="dxa"/>
              <w:left w:w="120" w:type="dxa"/>
              <w:bottom w:w="70" w:type="dxa"/>
              <w:right w:w="120" w:type="dxa"/>
            </w:tcMar>
            <w:vAlign w:val="center"/>
          </w:tcPr>
          <w:p w:rsidRPr="00BF57FF" w:rsidR="00E12922" w:rsidP="00A70BBB" w:rsidRDefault="00E12922" w14:paraId="4A502B8D" w14:textId="77777777">
            <w:pPr>
              <w:spacing w:after="0" w:line="360" w:lineRule="auto"/>
              <w:jc w:val="both"/>
              <w:rPr>
                <w:rFonts w:ascii="Arial" w:hAnsi="Arial" w:cs="Arial"/>
              </w:rPr>
            </w:pPr>
            <w:r w:rsidRPr="00BF57FF">
              <w:rPr>
                <w:rFonts w:ascii="Arial" w:hAnsi="Arial" w:cs="Arial"/>
                <w:b/>
                <w:bCs/>
              </w:rPr>
              <w:t>NTD</w:t>
            </w:r>
          </w:p>
        </w:tc>
        <w:tc>
          <w:tcPr>
            <w:tcW w:w="7026" w:type="dxa"/>
            <w:tcBorders>
              <w:top w:val="single" w:color="9EC5E0" w:sz="2" w:space="0"/>
              <w:left w:val="single" w:color="9EC5E0" w:sz="2" w:space="0"/>
              <w:bottom w:val="single" w:color="9EC5E0" w:sz="2" w:space="0"/>
              <w:right w:val="single" w:color="9EC5E0" w:sz="2" w:space="0"/>
            </w:tcBorders>
            <w:shd w:val="clear" w:color="auto" w:fill="FFFFFF"/>
            <w:tcMar>
              <w:top w:w="70" w:type="dxa"/>
              <w:left w:w="120" w:type="dxa"/>
              <w:bottom w:w="70" w:type="dxa"/>
              <w:right w:w="120" w:type="dxa"/>
            </w:tcMar>
            <w:vAlign w:val="center"/>
          </w:tcPr>
          <w:p w:rsidRPr="00BF57FF" w:rsidR="00E12922" w:rsidP="00A70BBB" w:rsidRDefault="00E12922" w14:paraId="00A3AC46" w14:textId="77777777">
            <w:pPr>
              <w:spacing w:after="0" w:line="360" w:lineRule="auto"/>
              <w:jc w:val="both"/>
              <w:rPr>
                <w:rFonts w:ascii="Arial" w:hAnsi="Arial" w:cs="Arial"/>
              </w:rPr>
            </w:pPr>
            <w:r w:rsidRPr="00BF57FF">
              <w:rPr>
                <w:rFonts w:ascii="Arial" w:hAnsi="Arial" w:cs="Arial"/>
              </w:rPr>
              <w:t>Neglected Tropical Disease</w:t>
            </w:r>
          </w:p>
        </w:tc>
      </w:tr>
      <w:tr w:rsidRPr="00BF57FF" w:rsidR="00E12922" w:rsidTr="00A321AD" w14:paraId="0F473094" w14:textId="77777777">
        <w:tc>
          <w:tcPr>
            <w:tcW w:w="2000" w:type="dxa"/>
            <w:tcBorders>
              <w:top w:val="single" w:color="9EC5E0" w:sz="2" w:space="0"/>
              <w:left w:val="single" w:color="9EC5E0" w:sz="2" w:space="0"/>
              <w:bottom w:val="single" w:color="9EC5E0" w:sz="2" w:space="0"/>
              <w:right w:val="single" w:color="9EC5E0" w:sz="2" w:space="0"/>
            </w:tcBorders>
            <w:shd w:val="clear" w:color="auto" w:fill="EAF3FB"/>
            <w:tcMar>
              <w:top w:w="70" w:type="dxa"/>
              <w:left w:w="120" w:type="dxa"/>
              <w:bottom w:w="70" w:type="dxa"/>
              <w:right w:w="120" w:type="dxa"/>
            </w:tcMar>
            <w:vAlign w:val="center"/>
          </w:tcPr>
          <w:p w:rsidRPr="00BF57FF" w:rsidR="00E12922" w:rsidP="00A70BBB" w:rsidRDefault="00E12922" w14:paraId="0DCCD6DF" w14:textId="77777777">
            <w:pPr>
              <w:spacing w:after="0" w:line="360" w:lineRule="auto"/>
              <w:jc w:val="both"/>
              <w:rPr>
                <w:rFonts w:ascii="Arial" w:hAnsi="Arial" w:cs="Arial"/>
              </w:rPr>
            </w:pPr>
            <w:r w:rsidRPr="00BF57FF">
              <w:rPr>
                <w:rFonts w:ascii="Arial" w:hAnsi="Arial" w:cs="Arial"/>
                <w:b/>
                <w:bCs/>
              </w:rPr>
              <w:t>PEP</w:t>
            </w:r>
          </w:p>
        </w:tc>
        <w:tc>
          <w:tcPr>
            <w:tcW w:w="7026" w:type="dxa"/>
            <w:tcBorders>
              <w:top w:val="single" w:color="9EC5E0" w:sz="2" w:space="0"/>
              <w:left w:val="single" w:color="9EC5E0" w:sz="2" w:space="0"/>
              <w:bottom w:val="single" w:color="9EC5E0" w:sz="2" w:space="0"/>
              <w:right w:val="single" w:color="9EC5E0" w:sz="2" w:space="0"/>
            </w:tcBorders>
            <w:shd w:val="clear" w:color="auto" w:fill="EAF3FB"/>
            <w:tcMar>
              <w:top w:w="70" w:type="dxa"/>
              <w:left w:w="120" w:type="dxa"/>
              <w:bottom w:w="70" w:type="dxa"/>
              <w:right w:w="120" w:type="dxa"/>
            </w:tcMar>
            <w:vAlign w:val="center"/>
          </w:tcPr>
          <w:p w:rsidRPr="00BF57FF" w:rsidR="00E12922" w:rsidP="00A70BBB" w:rsidRDefault="00E12922" w14:paraId="065BEAB1" w14:textId="77777777">
            <w:pPr>
              <w:spacing w:after="0" w:line="360" w:lineRule="auto"/>
              <w:jc w:val="both"/>
              <w:rPr>
                <w:rFonts w:ascii="Arial" w:hAnsi="Arial" w:cs="Arial"/>
              </w:rPr>
            </w:pPr>
            <w:r w:rsidRPr="00BF57FF">
              <w:rPr>
                <w:rFonts w:ascii="Arial" w:hAnsi="Arial" w:cs="Arial"/>
              </w:rPr>
              <w:t>Post-Exposure Prophylaxis</w:t>
            </w:r>
          </w:p>
        </w:tc>
      </w:tr>
      <w:tr w:rsidRPr="00BF57FF" w:rsidR="00E12922" w:rsidTr="00A321AD" w14:paraId="35390823" w14:textId="77777777">
        <w:tc>
          <w:tcPr>
            <w:tcW w:w="2000" w:type="dxa"/>
            <w:tcBorders>
              <w:top w:val="single" w:color="9EC5E0" w:sz="2" w:space="0"/>
              <w:left w:val="single" w:color="9EC5E0" w:sz="2" w:space="0"/>
              <w:bottom w:val="single" w:color="9EC5E0" w:sz="2" w:space="0"/>
              <w:right w:val="single" w:color="9EC5E0" w:sz="2" w:space="0"/>
            </w:tcBorders>
            <w:shd w:val="clear" w:color="auto" w:fill="FFFFFF"/>
            <w:tcMar>
              <w:top w:w="70" w:type="dxa"/>
              <w:left w:w="120" w:type="dxa"/>
              <w:bottom w:w="70" w:type="dxa"/>
              <w:right w:w="120" w:type="dxa"/>
            </w:tcMar>
            <w:vAlign w:val="center"/>
          </w:tcPr>
          <w:p w:rsidRPr="00BF57FF" w:rsidR="00E12922" w:rsidP="00A70BBB" w:rsidRDefault="00E12922" w14:paraId="391F564D" w14:textId="77777777">
            <w:pPr>
              <w:spacing w:after="0" w:line="360" w:lineRule="auto"/>
              <w:jc w:val="both"/>
              <w:rPr>
                <w:rFonts w:ascii="Arial" w:hAnsi="Arial" w:cs="Arial"/>
              </w:rPr>
            </w:pPr>
            <w:r w:rsidRPr="00BF57FF">
              <w:rPr>
                <w:rFonts w:ascii="Arial" w:hAnsi="Arial" w:cs="Arial"/>
                <w:b/>
                <w:bCs/>
              </w:rPr>
              <w:t>PHC</w:t>
            </w:r>
          </w:p>
        </w:tc>
        <w:tc>
          <w:tcPr>
            <w:tcW w:w="7026" w:type="dxa"/>
            <w:tcBorders>
              <w:top w:val="single" w:color="9EC5E0" w:sz="2" w:space="0"/>
              <w:left w:val="single" w:color="9EC5E0" w:sz="2" w:space="0"/>
              <w:bottom w:val="single" w:color="9EC5E0" w:sz="2" w:space="0"/>
              <w:right w:val="single" w:color="9EC5E0" w:sz="2" w:space="0"/>
            </w:tcBorders>
            <w:shd w:val="clear" w:color="auto" w:fill="FFFFFF"/>
            <w:tcMar>
              <w:top w:w="70" w:type="dxa"/>
              <w:left w:w="120" w:type="dxa"/>
              <w:bottom w:w="70" w:type="dxa"/>
              <w:right w:w="120" w:type="dxa"/>
            </w:tcMar>
            <w:vAlign w:val="center"/>
          </w:tcPr>
          <w:p w:rsidRPr="00BF57FF" w:rsidR="00E12922" w:rsidP="00A70BBB" w:rsidRDefault="00E12922" w14:paraId="023E9078" w14:textId="77777777">
            <w:pPr>
              <w:spacing w:after="0" w:line="360" w:lineRule="auto"/>
              <w:jc w:val="both"/>
              <w:rPr>
                <w:rFonts w:ascii="Arial" w:hAnsi="Arial" w:cs="Arial"/>
              </w:rPr>
            </w:pPr>
            <w:r w:rsidRPr="00BF57FF">
              <w:rPr>
                <w:rFonts w:ascii="Arial" w:hAnsi="Arial" w:cs="Arial"/>
              </w:rPr>
              <w:t>Primary Health Centre</w:t>
            </w:r>
          </w:p>
        </w:tc>
      </w:tr>
      <w:tr w:rsidRPr="00BF57FF" w:rsidR="00E12922" w:rsidTr="00A321AD" w14:paraId="0DEAA7C9" w14:textId="77777777">
        <w:tc>
          <w:tcPr>
            <w:tcW w:w="2000" w:type="dxa"/>
            <w:tcBorders>
              <w:top w:val="single" w:color="9EC5E0" w:sz="2" w:space="0"/>
              <w:left w:val="single" w:color="9EC5E0" w:sz="2" w:space="0"/>
              <w:bottom w:val="single" w:color="9EC5E0" w:sz="2" w:space="0"/>
              <w:right w:val="single" w:color="9EC5E0" w:sz="2" w:space="0"/>
            </w:tcBorders>
            <w:shd w:val="clear" w:color="auto" w:fill="EAF3FB"/>
            <w:tcMar>
              <w:top w:w="70" w:type="dxa"/>
              <w:left w:w="120" w:type="dxa"/>
              <w:bottom w:w="70" w:type="dxa"/>
              <w:right w:w="120" w:type="dxa"/>
            </w:tcMar>
            <w:vAlign w:val="center"/>
          </w:tcPr>
          <w:p w:rsidRPr="00BF57FF" w:rsidR="00E12922" w:rsidP="00A70BBB" w:rsidRDefault="00E12922" w14:paraId="67F9F790" w14:textId="77777777">
            <w:pPr>
              <w:spacing w:after="0" w:line="360" w:lineRule="auto"/>
              <w:jc w:val="both"/>
              <w:rPr>
                <w:rFonts w:ascii="Arial" w:hAnsi="Arial" w:cs="Arial"/>
              </w:rPr>
            </w:pPr>
            <w:r w:rsidRPr="00BF57FF">
              <w:rPr>
                <w:rFonts w:ascii="Arial" w:hAnsi="Arial" w:cs="Arial"/>
                <w:b/>
                <w:bCs/>
              </w:rPr>
              <w:t>PICO</w:t>
            </w:r>
          </w:p>
        </w:tc>
        <w:tc>
          <w:tcPr>
            <w:tcW w:w="7026" w:type="dxa"/>
            <w:tcBorders>
              <w:top w:val="single" w:color="9EC5E0" w:sz="2" w:space="0"/>
              <w:left w:val="single" w:color="9EC5E0" w:sz="2" w:space="0"/>
              <w:bottom w:val="single" w:color="9EC5E0" w:sz="2" w:space="0"/>
              <w:right w:val="single" w:color="9EC5E0" w:sz="2" w:space="0"/>
            </w:tcBorders>
            <w:shd w:val="clear" w:color="auto" w:fill="EAF3FB"/>
            <w:tcMar>
              <w:top w:w="70" w:type="dxa"/>
              <w:left w:w="120" w:type="dxa"/>
              <w:bottom w:w="70" w:type="dxa"/>
              <w:right w:w="120" w:type="dxa"/>
            </w:tcMar>
            <w:vAlign w:val="center"/>
          </w:tcPr>
          <w:p w:rsidRPr="00BF57FF" w:rsidR="00E12922" w:rsidP="00A70BBB" w:rsidRDefault="00E12922" w14:paraId="7B9B3FC7" w14:textId="77777777">
            <w:pPr>
              <w:spacing w:after="0" w:line="360" w:lineRule="auto"/>
              <w:jc w:val="both"/>
              <w:rPr>
                <w:rFonts w:ascii="Arial" w:hAnsi="Arial" w:cs="Arial"/>
              </w:rPr>
            </w:pPr>
            <w:r w:rsidRPr="00BF57FF">
              <w:rPr>
                <w:rFonts w:ascii="Arial" w:hAnsi="Arial" w:cs="Arial"/>
              </w:rPr>
              <w:t>Population, Intervention, Comparison, Outcome</w:t>
            </w:r>
          </w:p>
        </w:tc>
      </w:tr>
      <w:tr w:rsidRPr="00BF57FF" w:rsidR="00E12922" w:rsidTr="00A321AD" w14:paraId="29ADAA20" w14:textId="77777777">
        <w:tc>
          <w:tcPr>
            <w:tcW w:w="2000" w:type="dxa"/>
            <w:tcBorders>
              <w:top w:val="single" w:color="9EC5E0" w:sz="2" w:space="0"/>
              <w:left w:val="single" w:color="9EC5E0" w:sz="2" w:space="0"/>
              <w:bottom w:val="single" w:color="9EC5E0" w:sz="2" w:space="0"/>
              <w:right w:val="single" w:color="9EC5E0" w:sz="2" w:space="0"/>
            </w:tcBorders>
            <w:shd w:val="clear" w:color="auto" w:fill="FFFFFF"/>
            <w:tcMar>
              <w:top w:w="70" w:type="dxa"/>
              <w:left w:w="120" w:type="dxa"/>
              <w:bottom w:w="70" w:type="dxa"/>
              <w:right w:w="120" w:type="dxa"/>
            </w:tcMar>
            <w:vAlign w:val="center"/>
          </w:tcPr>
          <w:p w:rsidRPr="00BF57FF" w:rsidR="00E12922" w:rsidP="00A70BBB" w:rsidRDefault="00E12922" w14:paraId="7E339279" w14:textId="77777777">
            <w:pPr>
              <w:spacing w:after="0" w:line="360" w:lineRule="auto"/>
              <w:jc w:val="both"/>
              <w:rPr>
                <w:rFonts w:ascii="Arial" w:hAnsi="Arial" w:cs="Arial"/>
              </w:rPr>
            </w:pPr>
            <w:r w:rsidRPr="00BF57FF">
              <w:rPr>
                <w:rFonts w:ascii="Arial" w:hAnsi="Arial" w:cs="Arial"/>
                <w:b/>
                <w:bCs/>
              </w:rPr>
              <w:t>PRISMA</w:t>
            </w:r>
          </w:p>
        </w:tc>
        <w:tc>
          <w:tcPr>
            <w:tcW w:w="7026" w:type="dxa"/>
            <w:tcBorders>
              <w:top w:val="single" w:color="9EC5E0" w:sz="2" w:space="0"/>
              <w:left w:val="single" w:color="9EC5E0" w:sz="2" w:space="0"/>
              <w:bottom w:val="single" w:color="9EC5E0" w:sz="2" w:space="0"/>
              <w:right w:val="single" w:color="9EC5E0" w:sz="2" w:space="0"/>
            </w:tcBorders>
            <w:shd w:val="clear" w:color="auto" w:fill="FFFFFF"/>
            <w:tcMar>
              <w:top w:w="70" w:type="dxa"/>
              <w:left w:w="120" w:type="dxa"/>
              <w:bottom w:w="70" w:type="dxa"/>
              <w:right w:w="120" w:type="dxa"/>
            </w:tcMar>
            <w:vAlign w:val="center"/>
          </w:tcPr>
          <w:p w:rsidRPr="00BF57FF" w:rsidR="00E12922" w:rsidP="00A70BBB" w:rsidRDefault="00E12922" w14:paraId="1B871E9A" w14:textId="77777777">
            <w:pPr>
              <w:spacing w:after="0" w:line="360" w:lineRule="auto"/>
              <w:jc w:val="both"/>
              <w:rPr>
                <w:rFonts w:ascii="Arial" w:hAnsi="Arial" w:cs="Arial"/>
              </w:rPr>
            </w:pPr>
            <w:r w:rsidRPr="00BF57FF">
              <w:rPr>
                <w:rFonts w:ascii="Arial" w:hAnsi="Arial" w:cs="Arial"/>
              </w:rPr>
              <w:t>Preferred Reporting Items for Systematic Reviews and Meta-Analyses</w:t>
            </w:r>
          </w:p>
        </w:tc>
      </w:tr>
      <w:tr w:rsidRPr="00BF57FF" w:rsidR="00E12922" w:rsidTr="00A321AD" w14:paraId="44F435CA" w14:textId="77777777">
        <w:tc>
          <w:tcPr>
            <w:tcW w:w="2000" w:type="dxa"/>
            <w:tcBorders>
              <w:top w:val="single" w:color="9EC5E0" w:sz="2" w:space="0"/>
              <w:left w:val="single" w:color="9EC5E0" w:sz="2" w:space="0"/>
              <w:bottom w:val="single" w:color="9EC5E0" w:sz="2" w:space="0"/>
              <w:right w:val="single" w:color="9EC5E0" w:sz="2" w:space="0"/>
            </w:tcBorders>
            <w:shd w:val="clear" w:color="auto" w:fill="EAF3FB"/>
            <w:tcMar>
              <w:top w:w="70" w:type="dxa"/>
              <w:left w:w="120" w:type="dxa"/>
              <w:bottom w:w="70" w:type="dxa"/>
              <w:right w:w="120" w:type="dxa"/>
            </w:tcMar>
            <w:vAlign w:val="center"/>
          </w:tcPr>
          <w:p w:rsidRPr="00BF57FF" w:rsidR="00E12922" w:rsidP="00A70BBB" w:rsidRDefault="00E12922" w14:paraId="06645F9A" w14:textId="77777777">
            <w:pPr>
              <w:spacing w:after="0" w:line="360" w:lineRule="auto"/>
              <w:jc w:val="both"/>
              <w:rPr>
                <w:rFonts w:ascii="Arial" w:hAnsi="Arial" w:cs="Arial"/>
              </w:rPr>
            </w:pPr>
            <w:r w:rsidRPr="00BF57FF">
              <w:rPr>
                <w:rFonts w:ascii="Arial" w:hAnsi="Arial" w:cs="Arial"/>
                <w:b/>
                <w:bCs/>
              </w:rPr>
              <w:t>PRISMA-S</w:t>
            </w:r>
          </w:p>
        </w:tc>
        <w:tc>
          <w:tcPr>
            <w:tcW w:w="7026" w:type="dxa"/>
            <w:tcBorders>
              <w:top w:val="single" w:color="9EC5E0" w:sz="2" w:space="0"/>
              <w:left w:val="single" w:color="9EC5E0" w:sz="2" w:space="0"/>
              <w:bottom w:val="single" w:color="9EC5E0" w:sz="2" w:space="0"/>
              <w:right w:val="single" w:color="9EC5E0" w:sz="2" w:space="0"/>
            </w:tcBorders>
            <w:shd w:val="clear" w:color="auto" w:fill="EAF3FB"/>
            <w:tcMar>
              <w:top w:w="70" w:type="dxa"/>
              <w:left w:w="120" w:type="dxa"/>
              <w:bottom w:w="70" w:type="dxa"/>
              <w:right w:w="120" w:type="dxa"/>
            </w:tcMar>
            <w:vAlign w:val="center"/>
          </w:tcPr>
          <w:p w:rsidRPr="00BF57FF" w:rsidR="00E12922" w:rsidP="00A70BBB" w:rsidRDefault="00E12922" w14:paraId="53B43F7B" w14:textId="77777777">
            <w:pPr>
              <w:spacing w:after="0" w:line="360" w:lineRule="auto"/>
              <w:jc w:val="both"/>
              <w:rPr>
                <w:rFonts w:ascii="Arial" w:hAnsi="Arial" w:cs="Arial"/>
              </w:rPr>
            </w:pPr>
            <w:r w:rsidRPr="00BF57FF">
              <w:rPr>
                <w:rFonts w:ascii="Arial" w:hAnsi="Arial" w:cs="Arial"/>
              </w:rPr>
              <w:t>PRISMA for Searching Extension</w:t>
            </w:r>
          </w:p>
        </w:tc>
      </w:tr>
      <w:tr w:rsidRPr="00BF57FF" w:rsidR="00E12922" w:rsidTr="00A321AD" w14:paraId="5C3BB0FF" w14:textId="77777777">
        <w:tc>
          <w:tcPr>
            <w:tcW w:w="2000" w:type="dxa"/>
            <w:tcBorders>
              <w:top w:val="single" w:color="9EC5E0" w:sz="2" w:space="0"/>
              <w:left w:val="single" w:color="9EC5E0" w:sz="2" w:space="0"/>
              <w:bottom w:val="single" w:color="9EC5E0" w:sz="2" w:space="0"/>
              <w:right w:val="single" w:color="9EC5E0" w:sz="2" w:space="0"/>
            </w:tcBorders>
            <w:shd w:val="clear" w:color="auto" w:fill="FFFFFF"/>
            <w:tcMar>
              <w:top w:w="70" w:type="dxa"/>
              <w:left w:w="120" w:type="dxa"/>
              <w:bottom w:w="70" w:type="dxa"/>
              <w:right w:w="120" w:type="dxa"/>
            </w:tcMar>
            <w:vAlign w:val="center"/>
          </w:tcPr>
          <w:p w:rsidRPr="00BF57FF" w:rsidR="00E12922" w:rsidP="00A70BBB" w:rsidRDefault="00E12922" w14:paraId="67C053A2" w14:textId="77777777">
            <w:pPr>
              <w:spacing w:after="0" w:line="360" w:lineRule="auto"/>
              <w:jc w:val="both"/>
              <w:rPr>
                <w:rFonts w:ascii="Arial" w:hAnsi="Arial" w:cs="Arial"/>
              </w:rPr>
            </w:pPr>
            <w:r w:rsidRPr="00BF57FF">
              <w:rPr>
                <w:rFonts w:ascii="Arial" w:hAnsi="Arial" w:cs="Arial"/>
                <w:b/>
                <w:bCs/>
              </w:rPr>
              <w:t>RIG</w:t>
            </w:r>
          </w:p>
        </w:tc>
        <w:tc>
          <w:tcPr>
            <w:tcW w:w="7026" w:type="dxa"/>
            <w:tcBorders>
              <w:top w:val="single" w:color="9EC5E0" w:sz="2" w:space="0"/>
              <w:left w:val="single" w:color="9EC5E0" w:sz="2" w:space="0"/>
              <w:bottom w:val="single" w:color="9EC5E0" w:sz="2" w:space="0"/>
              <w:right w:val="single" w:color="9EC5E0" w:sz="2" w:space="0"/>
            </w:tcBorders>
            <w:shd w:val="clear" w:color="auto" w:fill="FFFFFF"/>
            <w:tcMar>
              <w:top w:w="70" w:type="dxa"/>
              <w:left w:w="120" w:type="dxa"/>
              <w:bottom w:w="70" w:type="dxa"/>
              <w:right w:w="120" w:type="dxa"/>
            </w:tcMar>
            <w:vAlign w:val="center"/>
          </w:tcPr>
          <w:p w:rsidRPr="00BF57FF" w:rsidR="00E12922" w:rsidP="00A70BBB" w:rsidRDefault="00E12922" w14:paraId="5855521B" w14:textId="77777777">
            <w:pPr>
              <w:spacing w:after="0" w:line="360" w:lineRule="auto"/>
              <w:jc w:val="both"/>
              <w:rPr>
                <w:rFonts w:ascii="Arial" w:hAnsi="Arial" w:cs="Arial"/>
              </w:rPr>
            </w:pPr>
            <w:r w:rsidRPr="00BF57FF">
              <w:rPr>
                <w:rFonts w:ascii="Arial" w:hAnsi="Arial" w:cs="Arial"/>
              </w:rPr>
              <w:t>Rabies Immunoglobulin</w:t>
            </w:r>
          </w:p>
        </w:tc>
      </w:tr>
      <w:tr w:rsidRPr="00BF57FF" w:rsidR="00E12922" w:rsidTr="00A321AD" w14:paraId="0DC0FD92" w14:textId="77777777">
        <w:tc>
          <w:tcPr>
            <w:tcW w:w="2000" w:type="dxa"/>
            <w:tcBorders>
              <w:top w:val="single" w:color="9EC5E0" w:sz="2" w:space="0"/>
              <w:left w:val="single" w:color="9EC5E0" w:sz="2" w:space="0"/>
              <w:bottom w:val="single" w:color="9EC5E0" w:sz="2" w:space="0"/>
              <w:right w:val="single" w:color="9EC5E0" w:sz="2" w:space="0"/>
            </w:tcBorders>
            <w:shd w:val="clear" w:color="auto" w:fill="EAF3FB"/>
            <w:tcMar>
              <w:top w:w="70" w:type="dxa"/>
              <w:left w:w="120" w:type="dxa"/>
              <w:bottom w:w="70" w:type="dxa"/>
              <w:right w:w="120" w:type="dxa"/>
            </w:tcMar>
            <w:vAlign w:val="center"/>
          </w:tcPr>
          <w:p w:rsidRPr="00BF57FF" w:rsidR="00E12922" w:rsidP="00A70BBB" w:rsidRDefault="00E12922" w14:paraId="790202A5" w14:textId="77777777">
            <w:pPr>
              <w:spacing w:after="0" w:line="360" w:lineRule="auto"/>
              <w:jc w:val="both"/>
              <w:rPr>
                <w:rFonts w:ascii="Arial" w:hAnsi="Arial" w:cs="Arial"/>
              </w:rPr>
            </w:pPr>
            <w:r w:rsidRPr="00BF57FF">
              <w:rPr>
                <w:rFonts w:ascii="Arial" w:hAnsi="Arial" w:cs="Arial"/>
                <w:b/>
                <w:bCs/>
              </w:rPr>
              <w:t>SPIDER</w:t>
            </w:r>
          </w:p>
        </w:tc>
        <w:tc>
          <w:tcPr>
            <w:tcW w:w="7026" w:type="dxa"/>
            <w:tcBorders>
              <w:top w:val="single" w:color="9EC5E0" w:sz="2" w:space="0"/>
              <w:left w:val="single" w:color="9EC5E0" w:sz="2" w:space="0"/>
              <w:bottom w:val="single" w:color="9EC5E0" w:sz="2" w:space="0"/>
              <w:right w:val="single" w:color="9EC5E0" w:sz="2" w:space="0"/>
            </w:tcBorders>
            <w:shd w:val="clear" w:color="auto" w:fill="EAF3FB"/>
            <w:tcMar>
              <w:top w:w="70" w:type="dxa"/>
              <w:left w:w="120" w:type="dxa"/>
              <w:bottom w:w="70" w:type="dxa"/>
              <w:right w:w="120" w:type="dxa"/>
            </w:tcMar>
            <w:vAlign w:val="center"/>
          </w:tcPr>
          <w:p w:rsidRPr="00BF57FF" w:rsidR="00E12922" w:rsidP="00A70BBB" w:rsidRDefault="00E12922" w14:paraId="5D2C763E" w14:textId="77777777">
            <w:pPr>
              <w:spacing w:after="0" w:line="360" w:lineRule="auto"/>
              <w:jc w:val="both"/>
              <w:rPr>
                <w:rFonts w:ascii="Arial" w:hAnsi="Arial" w:cs="Arial"/>
              </w:rPr>
            </w:pPr>
            <w:r w:rsidRPr="00BF57FF">
              <w:rPr>
                <w:rFonts w:ascii="Arial" w:hAnsi="Arial" w:cs="Arial"/>
              </w:rPr>
              <w:t>Sample, Phenomenon of Interest, Design, Evaluation, Research type</w:t>
            </w:r>
          </w:p>
        </w:tc>
      </w:tr>
      <w:tr w:rsidRPr="00BF57FF" w:rsidR="00E12922" w:rsidTr="00A321AD" w14:paraId="605DE270" w14:textId="77777777">
        <w:tc>
          <w:tcPr>
            <w:tcW w:w="2000" w:type="dxa"/>
            <w:tcBorders>
              <w:top w:val="single" w:color="9EC5E0" w:sz="2" w:space="0"/>
              <w:left w:val="single" w:color="9EC5E0" w:sz="2" w:space="0"/>
              <w:bottom w:val="single" w:color="9EC5E0" w:sz="2" w:space="0"/>
              <w:right w:val="single" w:color="9EC5E0" w:sz="2" w:space="0"/>
            </w:tcBorders>
            <w:shd w:val="clear" w:color="auto" w:fill="FFFFFF"/>
            <w:tcMar>
              <w:top w:w="70" w:type="dxa"/>
              <w:left w:w="120" w:type="dxa"/>
              <w:bottom w:w="70" w:type="dxa"/>
              <w:right w:w="120" w:type="dxa"/>
            </w:tcMar>
            <w:vAlign w:val="center"/>
          </w:tcPr>
          <w:p w:rsidRPr="00BF57FF" w:rsidR="00E12922" w:rsidP="00A70BBB" w:rsidRDefault="00E12922" w14:paraId="3FCC83BC" w14:textId="77777777">
            <w:pPr>
              <w:spacing w:after="0" w:line="360" w:lineRule="auto"/>
              <w:jc w:val="both"/>
              <w:rPr>
                <w:rFonts w:ascii="Arial" w:hAnsi="Arial" w:cs="Arial"/>
              </w:rPr>
            </w:pPr>
            <w:r w:rsidRPr="00BF57FF">
              <w:rPr>
                <w:rFonts w:ascii="Arial" w:hAnsi="Arial" w:cs="Arial"/>
                <w:b/>
                <w:bCs/>
              </w:rPr>
              <w:t>SWOT</w:t>
            </w:r>
          </w:p>
        </w:tc>
        <w:tc>
          <w:tcPr>
            <w:tcW w:w="7026" w:type="dxa"/>
            <w:tcBorders>
              <w:top w:val="single" w:color="9EC5E0" w:sz="2" w:space="0"/>
              <w:left w:val="single" w:color="9EC5E0" w:sz="2" w:space="0"/>
              <w:bottom w:val="single" w:color="9EC5E0" w:sz="2" w:space="0"/>
              <w:right w:val="single" w:color="9EC5E0" w:sz="2" w:space="0"/>
            </w:tcBorders>
            <w:shd w:val="clear" w:color="auto" w:fill="FFFFFF"/>
            <w:tcMar>
              <w:top w:w="70" w:type="dxa"/>
              <w:left w:w="120" w:type="dxa"/>
              <w:bottom w:w="70" w:type="dxa"/>
              <w:right w:w="120" w:type="dxa"/>
            </w:tcMar>
            <w:vAlign w:val="center"/>
          </w:tcPr>
          <w:p w:rsidRPr="00BF57FF" w:rsidR="00E12922" w:rsidP="00A70BBB" w:rsidRDefault="00E12922" w14:paraId="23E697E5" w14:textId="77777777">
            <w:pPr>
              <w:spacing w:after="0" w:line="360" w:lineRule="auto"/>
              <w:jc w:val="both"/>
              <w:rPr>
                <w:rFonts w:ascii="Arial" w:hAnsi="Arial" w:cs="Arial"/>
              </w:rPr>
            </w:pPr>
            <w:r w:rsidRPr="00BF57FF">
              <w:rPr>
                <w:rFonts w:ascii="Arial" w:hAnsi="Arial" w:cs="Arial"/>
              </w:rPr>
              <w:t>Strengths, Weaknesses, Opportunities, Threats</w:t>
            </w:r>
          </w:p>
        </w:tc>
      </w:tr>
      <w:tr w:rsidRPr="00BF57FF" w:rsidR="00E12922" w:rsidTr="00A321AD" w14:paraId="66B8C971" w14:textId="77777777">
        <w:tc>
          <w:tcPr>
            <w:tcW w:w="2000" w:type="dxa"/>
            <w:tcBorders>
              <w:top w:val="single" w:color="9EC5E0" w:sz="2" w:space="0"/>
              <w:left w:val="single" w:color="9EC5E0" w:sz="2" w:space="0"/>
              <w:bottom w:val="single" w:color="9EC5E0" w:sz="2" w:space="0"/>
              <w:right w:val="single" w:color="9EC5E0" w:sz="2" w:space="0"/>
            </w:tcBorders>
            <w:shd w:val="clear" w:color="auto" w:fill="EAF3FB"/>
            <w:tcMar>
              <w:top w:w="70" w:type="dxa"/>
              <w:left w:w="120" w:type="dxa"/>
              <w:bottom w:w="70" w:type="dxa"/>
              <w:right w:w="120" w:type="dxa"/>
            </w:tcMar>
            <w:vAlign w:val="center"/>
          </w:tcPr>
          <w:p w:rsidRPr="00BF57FF" w:rsidR="00E12922" w:rsidP="00A70BBB" w:rsidRDefault="00E12922" w14:paraId="0CC4D003" w14:textId="77777777">
            <w:pPr>
              <w:spacing w:after="0" w:line="360" w:lineRule="auto"/>
              <w:jc w:val="both"/>
              <w:rPr>
                <w:rFonts w:ascii="Arial" w:hAnsi="Arial" w:cs="Arial"/>
              </w:rPr>
            </w:pPr>
            <w:r w:rsidRPr="00BF57FF">
              <w:rPr>
                <w:rFonts w:ascii="Arial" w:hAnsi="Arial" w:cs="Arial"/>
                <w:b/>
                <w:bCs/>
              </w:rPr>
              <w:t>UNEP</w:t>
            </w:r>
          </w:p>
        </w:tc>
        <w:tc>
          <w:tcPr>
            <w:tcW w:w="7026" w:type="dxa"/>
            <w:tcBorders>
              <w:top w:val="single" w:color="9EC5E0" w:sz="2" w:space="0"/>
              <w:left w:val="single" w:color="9EC5E0" w:sz="2" w:space="0"/>
              <w:bottom w:val="single" w:color="9EC5E0" w:sz="2" w:space="0"/>
              <w:right w:val="single" w:color="9EC5E0" w:sz="2" w:space="0"/>
            </w:tcBorders>
            <w:shd w:val="clear" w:color="auto" w:fill="EAF3FB"/>
            <w:tcMar>
              <w:top w:w="70" w:type="dxa"/>
              <w:left w:w="120" w:type="dxa"/>
              <w:bottom w:w="70" w:type="dxa"/>
              <w:right w:w="120" w:type="dxa"/>
            </w:tcMar>
            <w:vAlign w:val="center"/>
          </w:tcPr>
          <w:p w:rsidRPr="00BF57FF" w:rsidR="00E12922" w:rsidP="00A70BBB" w:rsidRDefault="00E12922" w14:paraId="756CB716" w14:textId="77777777">
            <w:pPr>
              <w:spacing w:after="0" w:line="360" w:lineRule="auto"/>
              <w:jc w:val="both"/>
              <w:rPr>
                <w:rFonts w:ascii="Arial" w:hAnsi="Arial" w:cs="Arial"/>
              </w:rPr>
            </w:pPr>
            <w:r w:rsidRPr="00BF57FF">
              <w:rPr>
                <w:rFonts w:ascii="Arial" w:hAnsi="Arial" w:cs="Arial"/>
              </w:rPr>
              <w:t>United Nations Environment Programme</w:t>
            </w:r>
          </w:p>
        </w:tc>
      </w:tr>
      <w:tr w:rsidRPr="00BF57FF" w:rsidR="00E12922" w:rsidTr="00A321AD" w14:paraId="0AD5FF8E" w14:textId="77777777">
        <w:tc>
          <w:tcPr>
            <w:tcW w:w="2000" w:type="dxa"/>
            <w:tcBorders>
              <w:top w:val="single" w:color="9EC5E0" w:sz="2" w:space="0"/>
              <w:left w:val="single" w:color="9EC5E0" w:sz="2" w:space="0"/>
              <w:bottom w:val="single" w:color="9EC5E0" w:sz="2" w:space="0"/>
              <w:right w:val="single" w:color="9EC5E0" w:sz="2" w:space="0"/>
            </w:tcBorders>
            <w:shd w:val="clear" w:color="auto" w:fill="FFFFFF"/>
            <w:tcMar>
              <w:top w:w="70" w:type="dxa"/>
              <w:left w:w="120" w:type="dxa"/>
              <w:bottom w:w="70" w:type="dxa"/>
              <w:right w:w="120" w:type="dxa"/>
            </w:tcMar>
            <w:vAlign w:val="center"/>
          </w:tcPr>
          <w:p w:rsidRPr="00BF57FF" w:rsidR="00E12922" w:rsidP="00A70BBB" w:rsidRDefault="00E12922" w14:paraId="5A14D708" w14:textId="77777777">
            <w:pPr>
              <w:spacing w:after="0" w:line="360" w:lineRule="auto"/>
              <w:jc w:val="both"/>
              <w:rPr>
                <w:rFonts w:ascii="Arial" w:hAnsi="Arial" w:cs="Arial"/>
              </w:rPr>
            </w:pPr>
            <w:r w:rsidRPr="00BF57FF">
              <w:rPr>
                <w:rFonts w:ascii="Arial" w:hAnsi="Arial" w:cs="Arial"/>
                <w:b/>
                <w:bCs/>
              </w:rPr>
              <w:t>UWTSD</w:t>
            </w:r>
          </w:p>
        </w:tc>
        <w:tc>
          <w:tcPr>
            <w:tcW w:w="7026" w:type="dxa"/>
            <w:tcBorders>
              <w:top w:val="single" w:color="9EC5E0" w:sz="2" w:space="0"/>
              <w:left w:val="single" w:color="9EC5E0" w:sz="2" w:space="0"/>
              <w:bottom w:val="single" w:color="9EC5E0" w:sz="2" w:space="0"/>
              <w:right w:val="single" w:color="9EC5E0" w:sz="2" w:space="0"/>
            </w:tcBorders>
            <w:shd w:val="clear" w:color="auto" w:fill="FFFFFF"/>
            <w:tcMar>
              <w:top w:w="70" w:type="dxa"/>
              <w:left w:w="120" w:type="dxa"/>
              <w:bottom w:w="70" w:type="dxa"/>
              <w:right w:w="120" w:type="dxa"/>
            </w:tcMar>
            <w:vAlign w:val="center"/>
          </w:tcPr>
          <w:p w:rsidRPr="00BF57FF" w:rsidR="00E12922" w:rsidP="00A70BBB" w:rsidRDefault="00E12922" w14:paraId="6C8A25B8" w14:textId="77777777">
            <w:pPr>
              <w:spacing w:after="0" w:line="360" w:lineRule="auto"/>
              <w:jc w:val="both"/>
              <w:rPr>
                <w:rFonts w:ascii="Arial" w:hAnsi="Arial" w:cs="Arial"/>
              </w:rPr>
            </w:pPr>
            <w:r w:rsidRPr="00BF57FF">
              <w:rPr>
                <w:rFonts w:ascii="Arial" w:hAnsi="Arial" w:cs="Arial"/>
              </w:rPr>
              <w:t>University of Wales Trinity Saint David</w:t>
            </w:r>
          </w:p>
        </w:tc>
      </w:tr>
      <w:tr w:rsidRPr="00BF57FF" w:rsidR="00E12922" w:rsidTr="00A321AD" w14:paraId="4DCC4D8F" w14:textId="77777777">
        <w:tc>
          <w:tcPr>
            <w:tcW w:w="2000" w:type="dxa"/>
            <w:tcBorders>
              <w:top w:val="single" w:color="9EC5E0" w:sz="2" w:space="0"/>
              <w:left w:val="single" w:color="9EC5E0" w:sz="2" w:space="0"/>
              <w:bottom w:val="single" w:color="9EC5E0" w:sz="2" w:space="0"/>
              <w:right w:val="single" w:color="9EC5E0" w:sz="2" w:space="0"/>
            </w:tcBorders>
            <w:shd w:val="clear" w:color="auto" w:fill="EAF3FB"/>
            <w:tcMar>
              <w:top w:w="70" w:type="dxa"/>
              <w:left w:w="120" w:type="dxa"/>
              <w:bottom w:w="70" w:type="dxa"/>
              <w:right w:w="120" w:type="dxa"/>
            </w:tcMar>
            <w:vAlign w:val="center"/>
          </w:tcPr>
          <w:p w:rsidRPr="00BF57FF" w:rsidR="00E12922" w:rsidP="00A70BBB" w:rsidRDefault="00E12922" w14:paraId="4EB999DD" w14:textId="77777777">
            <w:pPr>
              <w:spacing w:after="0" w:line="360" w:lineRule="auto"/>
              <w:jc w:val="both"/>
              <w:rPr>
                <w:rFonts w:ascii="Arial" w:hAnsi="Arial" w:cs="Arial"/>
              </w:rPr>
            </w:pPr>
            <w:r w:rsidRPr="00BF57FF">
              <w:rPr>
                <w:rFonts w:ascii="Arial" w:hAnsi="Arial" w:cs="Arial"/>
                <w:b/>
                <w:bCs/>
              </w:rPr>
              <w:t>WHO</w:t>
            </w:r>
          </w:p>
        </w:tc>
        <w:tc>
          <w:tcPr>
            <w:tcW w:w="7026" w:type="dxa"/>
            <w:tcBorders>
              <w:top w:val="single" w:color="9EC5E0" w:sz="2" w:space="0"/>
              <w:left w:val="single" w:color="9EC5E0" w:sz="2" w:space="0"/>
              <w:bottom w:val="single" w:color="9EC5E0" w:sz="2" w:space="0"/>
              <w:right w:val="single" w:color="9EC5E0" w:sz="2" w:space="0"/>
            </w:tcBorders>
            <w:shd w:val="clear" w:color="auto" w:fill="EAF3FB"/>
            <w:tcMar>
              <w:top w:w="70" w:type="dxa"/>
              <w:left w:w="120" w:type="dxa"/>
              <w:bottom w:w="70" w:type="dxa"/>
              <w:right w:w="120" w:type="dxa"/>
            </w:tcMar>
            <w:vAlign w:val="center"/>
          </w:tcPr>
          <w:p w:rsidRPr="00BF57FF" w:rsidR="00E12922" w:rsidP="00A70BBB" w:rsidRDefault="00E12922" w14:paraId="4150A4BA" w14:textId="77777777">
            <w:pPr>
              <w:spacing w:after="0" w:line="360" w:lineRule="auto"/>
              <w:jc w:val="both"/>
              <w:rPr>
                <w:rFonts w:ascii="Arial" w:hAnsi="Arial" w:cs="Arial"/>
              </w:rPr>
            </w:pPr>
            <w:r w:rsidRPr="00BF57FF">
              <w:rPr>
                <w:rFonts w:ascii="Arial" w:hAnsi="Arial" w:cs="Arial"/>
              </w:rPr>
              <w:t>World Health Organization</w:t>
            </w:r>
          </w:p>
        </w:tc>
      </w:tr>
      <w:tr w:rsidRPr="00BF57FF" w:rsidR="00E12922" w:rsidTr="00A321AD" w14:paraId="37C8670F" w14:textId="77777777">
        <w:tc>
          <w:tcPr>
            <w:tcW w:w="2000" w:type="dxa"/>
            <w:tcBorders>
              <w:top w:val="single" w:color="9EC5E0" w:sz="2" w:space="0"/>
              <w:left w:val="single" w:color="9EC5E0" w:sz="2" w:space="0"/>
              <w:bottom w:val="single" w:color="9EC5E0" w:sz="2" w:space="0"/>
              <w:right w:val="single" w:color="9EC5E0" w:sz="2" w:space="0"/>
            </w:tcBorders>
            <w:shd w:val="clear" w:color="auto" w:fill="FFFFFF"/>
            <w:tcMar>
              <w:top w:w="70" w:type="dxa"/>
              <w:left w:w="120" w:type="dxa"/>
              <w:bottom w:w="70" w:type="dxa"/>
              <w:right w:w="120" w:type="dxa"/>
            </w:tcMar>
            <w:vAlign w:val="center"/>
          </w:tcPr>
          <w:p w:rsidRPr="00BF57FF" w:rsidR="00E12922" w:rsidP="00A70BBB" w:rsidRDefault="00E12922" w14:paraId="31C8468F" w14:textId="77777777">
            <w:pPr>
              <w:spacing w:after="0" w:line="360" w:lineRule="auto"/>
              <w:jc w:val="both"/>
              <w:rPr>
                <w:rFonts w:ascii="Arial" w:hAnsi="Arial" w:cs="Arial"/>
              </w:rPr>
            </w:pPr>
            <w:r w:rsidRPr="00BF57FF">
              <w:rPr>
                <w:rFonts w:ascii="Arial" w:hAnsi="Arial" w:cs="Arial"/>
                <w:b/>
                <w:bCs/>
              </w:rPr>
              <w:t>WOAH</w:t>
            </w:r>
          </w:p>
        </w:tc>
        <w:tc>
          <w:tcPr>
            <w:tcW w:w="7026" w:type="dxa"/>
            <w:tcBorders>
              <w:top w:val="single" w:color="9EC5E0" w:sz="2" w:space="0"/>
              <w:left w:val="single" w:color="9EC5E0" w:sz="2" w:space="0"/>
              <w:bottom w:val="single" w:color="9EC5E0" w:sz="2" w:space="0"/>
              <w:right w:val="single" w:color="9EC5E0" w:sz="2" w:space="0"/>
            </w:tcBorders>
            <w:shd w:val="clear" w:color="auto" w:fill="FFFFFF"/>
            <w:tcMar>
              <w:top w:w="70" w:type="dxa"/>
              <w:left w:w="120" w:type="dxa"/>
              <w:bottom w:w="70" w:type="dxa"/>
              <w:right w:w="120" w:type="dxa"/>
            </w:tcMar>
            <w:vAlign w:val="center"/>
          </w:tcPr>
          <w:p w:rsidRPr="00BF57FF" w:rsidR="00E12922" w:rsidP="00A70BBB" w:rsidRDefault="00E12922" w14:paraId="6B47AD18" w14:textId="77777777">
            <w:pPr>
              <w:spacing w:after="0" w:line="360" w:lineRule="auto"/>
              <w:jc w:val="both"/>
              <w:rPr>
                <w:rFonts w:ascii="Arial" w:hAnsi="Arial" w:cs="Arial"/>
              </w:rPr>
            </w:pPr>
            <w:r w:rsidRPr="00BF57FF">
              <w:rPr>
                <w:rFonts w:ascii="Arial" w:hAnsi="Arial" w:cs="Arial"/>
              </w:rPr>
              <w:t>World Organisation for Animal Health (formerly OIE)</w:t>
            </w:r>
          </w:p>
        </w:tc>
      </w:tr>
    </w:tbl>
    <w:p w:rsidRPr="00BF57FF" w:rsidR="00F00AEE" w:rsidP="00A70BBB" w:rsidRDefault="00F00AEE" w14:paraId="0B65EE39" w14:textId="77777777">
      <w:pPr>
        <w:spacing w:line="360" w:lineRule="auto"/>
        <w:jc w:val="both"/>
        <w:rPr>
          <w:rStyle w:val="Strong"/>
          <w:rFonts w:ascii="Arial" w:hAnsi="Arial" w:eastAsia="Times New Roman" w:cs="Arial"/>
          <w:bCs w:val="0"/>
          <w:color w:val="000000"/>
        </w:rPr>
      </w:pPr>
      <w:r w:rsidRPr="00BF57FF">
        <w:rPr>
          <w:rStyle w:val="Strong"/>
          <w:rFonts w:ascii="Arial" w:hAnsi="Arial" w:cs="Arial"/>
          <w:b w:val="0"/>
          <w:bCs w:val="0"/>
        </w:rPr>
        <w:br w:type="page"/>
      </w:r>
    </w:p>
    <w:p w:rsidRPr="00BF57FF" w:rsidR="004F5DDA" w:rsidP="00A70BBB" w:rsidRDefault="004F5DDA" w14:paraId="0064DF9E" w14:textId="7D283AD5">
      <w:pPr>
        <w:pStyle w:val="Heading1"/>
        <w:spacing w:line="360" w:lineRule="auto"/>
        <w:jc w:val="both"/>
        <w:rPr>
          <w:rStyle w:val="Strong"/>
          <w:rFonts w:ascii="Arial" w:hAnsi="Arial" w:cs="Arial"/>
          <w:b/>
          <w:bCs w:val="0"/>
          <w:sz w:val="22"/>
        </w:rPr>
      </w:pPr>
      <w:bookmarkStart w:name="_Toc231298556" w:id="14"/>
      <w:r w:rsidRPr="00BF57FF">
        <w:rPr>
          <w:rStyle w:val="Strong"/>
          <w:rFonts w:ascii="Arial" w:hAnsi="Arial" w:cs="Arial"/>
          <w:b/>
          <w:bCs w:val="0"/>
          <w:sz w:val="22"/>
        </w:rPr>
        <w:t>CHAPTER 1: INTRODUCTION</w:t>
      </w:r>
      <w:bookmarkEnd w:id="12"/>
      <w:bookmarkEnd w:id="13"/>
      <w:bookmarkEnd w:id="14"/>
    </w:p>
    <w:p w:rsidRPr="00BF57FF" w:rsidR="004F5DDA" w:rsidP="00A70BBB" w:rsidRDefault="004F5DDA" w14:paraId="38E371BD" w14:textId="77777777">
      <w:pPr>
        <w:pStyle w:val="Heading2"/>
        <w:spacing w:line="360" w:lineRule="auto"/>
        <w:jc w:val="both"/>
        <w:rPr>
          <w:rFonts w:ascii="Arial" w:hAnsi="Arial" w:cs="Arial"/>
          <w:sz w:val="22"/>
        </w:rPr>
      </w:pPr>
      <w:bookmarkStart w:name="_Toc231005848" w:id="15"/>
      <w:bookmarkStart w:name="_Toc231298557" w:id="16"/>
      <w:r w:rsidRPr="00BF57FF">
        <w:rPr>
          <w:rFonts w:ascii="Arial" w:hAnsi="Arial" w:cs="Arial"/>
          <w:sz w:val="22"/>
        </w:rPr>
        <w:t>1.1 Background and Context</w:t>
      </w:r>
      <w:bookmarkEnd w:id="15"/>
      <w:bookmarkEnd w:id="16"/>
    </w:p>
    <w:p w:rsidRPr="00BF57FF" w:rsidR="00885751" w:rsidP="00A70BBB" w:rsidRDefault="00885751" w14:paraId="15A77953" w14:textId="520C0BBD">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Rabies is a zoonotic viral encephalitis caused by neurotropic lyssaviruses, characterised by an invariably fatal progression once clinical signs emerge (Fooks et al., 2017). Transmission occurs principally through the bite or scratch of an infected animal, with domestic dogs accounting for over ninety-nine </w:t>
      </w:r>
      <w:r w:rsidRPr="00BF57FF" w:rsidR="00812725">
        <w:rPr>
          <w:rFonts w:ascii="Arial" w:hAnsi="Arial" w:cs="Arial"/>
          <w:sz w:val="22"/>
          <w:szCs w:val="22"/>
          <w:lang w:val="en-GB"/>
        </w:rPr>
        <w:t>per cent</w:t>
      </w:r>
      <w:r w:rsidRPr="00BF57FF">
        <w:rPr>
          <w:rFonts w:ascii="Arial" w:hAnsi="Arial" w:cs="Arial"/>
          <w:sz w:val="22"/>
          <w:szCs w:val="22"/>
          <w:lang w:val="en-GB"/>
        </w:rPr>
        <w:t xml:space="preserve"> of human exposures globally (Hampson et al., 2015</w:t>
      </w:r>
      <w:r w:rsidRPr="00BF57FF" w:rsidR="00D729A4">
        <w:rPr>
          <w:rFonts w:ascii="Arial" w:hAnsi="Arial" w:cs="Arial"/>
          <w:sz w:val="22"/>
          <w:szCs w:val="22"/>
          <w:lang w:val="en-GB"/>
        </w:rPr>
        <w:t>; Kumar et al., 2023</w:t>
      </w:r>
      <w:r w:rsidRPr="00BF57FF">
        <w:rPr>
          <w:rFonts w:ascii="Arial" w:hAnsi="Arial" w:cs="Arial"/>
          <w:sz w:val="22"/>
          <w:szCs w:val="22"/>
          <w:lang w:val="en-GB"/>
        </w:rPr>
        <w:t>). Despite the existence of effective and accessible post-exposure prophylaxis — comprising prompt wound washing, a complete course of anti-rabies vaccination, and rabies immunoglobulin infiltration for severe exposures</w:t>
      </w:r>
      <w:r w:rsidRPr="00BF57FF" w:rsidR="00B617C1">
        <w:rPr>
          <w:rFonts w:ascii="Arial" w:hAnsi="Arial" w:cs="Arial"/>
          <w:sz w:val="22"/>
          <w:szCs w:val="22"/>
          <w:lang w:val="en-GB"/>
        </w:rPr>
        <w:t xml:space="preserve"> (World Health Organization, 2018c) </w:t>
      </w:r>
      <w:r w:rsidRPr="00BF57FF">
        <w:rPr>
          <w:rFonts w:ascii="Arial" w:hAnsi="Arial" w:cs="Arial"/>
          <w:sz w:val="22"/>
          <w:szCs w:val="22"/>
          <w:lang w:val="en-GB"/>
        </w:rPr>
        <w:t>— approximately 59,000 people die from dog-mediated rabies each year worldwide, the overwhelming majority in sub-Saharan Africa and South Asia (Hampson et al., 2015). These deaths are concentrated disproportionately among rural, low-income, and marginalised populations, who face the greatest risk of animal bite exposure whilst simultaneously encountering the most significant barriers to accessing and completing protective biomedical intervention</w:t>
      </w:r>
      <w:r w:rsidRPr="00BF57FF" w:rsidR="00B617C1">
        <w:rPr>
          <w:rFonts w:ascii="Arial" w:hAnsi="Arial" w:cs="Arial"/>
          <w:sz w:val="22"/>
          <w:szCs w:val="22"/>
          <w:lang w:val="en-GB"/>
        </w:rPr>
        <w:t xml:space="preserve"> (Sudarshan et al., 2007)</w:t>
      </w:r>
      <w:r w:rsidRPr="00BF57FF">
        <w:rPr>
          <w:rFonts w:ascii="Arial" w:hAnsi="Arial" w:cs="Arial"/>
          <w:sz w:val="22"/>
          <w:szCs w:val="22"/>
          <w:lang w:val="en-GB"/>
        </w:rPr>
        <w:t>.</w:t>
      </w:r>
    </w:p>
    <w:p w:rsidRPr="00BF57FF" w:rsidR="00885751" w:rsidP="00A70BBB" w:rsidRDefault="000D784D" w14:paraId="54E62225" w14:textId="5756D530">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India is the largest national </w:t>
      </w:r>
      <w:r w:rsidRPr="00BF57FF" w:rsidR="002D159A">
        <w:rPr>
          <w:rFonts w:ascii="Arial" w:hAnsi="Arial" w:cs="Arial"/>
          <w:sz w:val="22"/>
          <w:szCs w:val="22"/>
          <w:lang w:val="en-GB"/>
        </w:rPr>
        <w:t>contributor</w:t>
      </w:r>
      <w:r w:rsidRPr="00BF57FF">
        <w:rPr>
          <w:rFonts w:ascii="Arial" w:hAnsi="Arial" w:cs="Arial"/>
          <w:sz w:val="22"/>
          <w:szCs w:val="22"/>
          <w:lang w:val="en-GB"/>
        </w:rPr>
        <w:t xml:space="preserve"> to this global burden. The last national representative community-based burden study, carried out in 60 districts in fifteen Indian states between 2022</w:t>
      </w:r>
      <w:r w:rsidRPr="00BF57FF" w:rsidR="00FF0E6A">
        <w:rPr>
          <w:rFonts w:ascii="Arial" w:hAnsi="Arial" w:cs="Arial"/>
          <w:sz w:val="22"/>
          <w:szCs w:val="22"/>
          <w:lang w:val="en-GB"/>
        </w:rPr>
        <w:t xml:space="preserve"> and 20</w:t>
      </w:r>
      <w:r w:rsidRPr="00BF57FF">
        <w:rPr>
          <w:rFonts w:ascii="Arial" w:hAnsi="Arial" w:cs="Arial"/>
          <w:sz w:val="22"/>
          <w:szCs w:val="22"/>
          <w:lang w:val="en-GB"/>
        </w:rPr>
        <w:t>23, estimated 5,726 human deaths of rabies annually, and 9.1 million annual animal bite exposures, with just 79.5 per cent of bite victims having at least one dose of anti-rabies vaccine (Thangaraj et al., 2025). The burden distribution in India is significant: according to Janekunte et al. (2025), the incidence of dog bites was the highest in the country in 2018 (7.57 million cases), with the highest burden in Uttar Pradesh, Bihar, and Maharashtra. Mumbai surveillance data of stray dog bites further suggests that most category III exposures, or the most severe type of bite, necessitating immediate immunoglobulin and vaccination, are due to stray dog bites, highlighting the gap in fully providing PEP (Mukhopadhyay et al., 2026). The situation in Delhi</w:t>
      </w:r>
      <w:r w:rsidRPr="00BF57FF" w:rsidR="002D159A">
        <w:rPr>
          <w:rFonts w:ascii="Arial" w:hAnsi="Arial" w:cs="Arial"/>
          <w:sz w:val="22"/>
          <w:szCs w:val="22"/>
          <w:lang w:val="en-GB"/>
        </w:rPr>
        <w:t>,</w:t>
      </w:r>
      <w:r w:rsidRPr="00BF57FF">
        <w:rPr>
          <w:rFonts w:ascii="Arial" w:hAnsi="Arial" w:cs="Arial"/>
          <w:sz w:val="22"/>
          <w:szCs w:val="22"/>
          <w:lang w:val="en-GB"/>
        </w:rPr>
        <w:t xml:space="preserve"> with the growing dog-bite cases, the up-and-down implementation of </w:t>
      </w:r>
      <w:r w:rsidRPr="00BF57FF" w:rsidR="002D159A">
        <w:rPr>
          <w:rFonts w:ascii="Arial" w:hAnsi="Arial" w:cs="Arial"/>
          <w:sz w:val="22"/>
          <w:szCs w:val="22"/>
          <w:lang w:val="en-GB"/>
        </w:rPr>
        <w:t xml:space="preserve">the </w:t>
      </w:r>
      <w:r w:rsidRPr="00BF57FF">
        <w:rPr>
          <w:rFonts w:ascii="Arial" w:hAnsi="Arial" w:cs="Arial"/>
          <w:sz w:val="22"/>
          <w:szCs w:val="22"/>
          <w:lang w:val="en-GB"/>
        </w:rPr>
        <w:t>animal birth control program, and the continuous under-reporting</w:t>
      </w:r>
      <w:r w:rsidRPr="00BF57FF" w:rsidR="002D159A">
        <w:rPr>
          <w:rFonts w:ascii="Arial" w:hAnsi="Arial" w:cs="Arial"/>
          <w:sz w:val="22"/>
          <w:szCs w:val="22"/>
          <w:lang w:val="en-GB"/>
        </w:rPr>
        <w:t>, has</w:t>
      </w:r>
      <w:r w:rsidRPr="00BF57FF">
        <w:rPr>
          <w:rFonts w:ascii="Arial" w:hAnsi="Arial" w:cs="Arial"/>
          <w:sz w:val="22"/>
          <w:szCs w:val="22"/>
          <w:lang w:val="en-GB"/>
        </w:rPr>
        <w:t xml:space="preserve"> also been typical of the urban rabies management (Raj, 2026).</w:t>
      </w:r>
    </w:p>
    <w:p w:rsidRPr="00BF57FF" w:rsidR="00885751" w:rsidP="00A70BBB" w:rsidRDefault="00CA3148" w14:paraId="1BB8B9BD" w14:textId="35ABD96B">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The inability to achieve rabies </w:t>
      </w:r>
      <w:r w:rsidRPr="00BF57FF" w:rsidR="00805E86">
        <w:rPr>
          <w:rFonts w:ascii="Arial" w:hAnsi="Arial" w:cs="Arial"/>
          <w:sz w:val="22"/>
          <w:szCs w:val="22"/>
          <w:lang w:val="en-GB"/>
        </w:rPr>
        <w:t xml:space="preserve">elimination </w:t>
      </w:r>
      <w:r w:rsidRPr="00BF57FF">
        <w:rPr>
          <w:rFonts w:ascii="Arial" w:hAnsi="Arial" w:cs="Arial"/>
          <w:sz w:val="22"/>
          <w:szCs w:val="22"/>
          <w:lang w:val="en-GB"/>
        </w:rPr>
        <w:t xml:space="preserve">in India is not a symptom of lack of scientific knowledge or the means of intervention, which has been over a century old (Hemachudha et al., 2013; Acharya, Subedi and Wilson, 2021). According to Nadal (2020), factors that contribute to death in rabies are rooted in the social, cultural, and governance systems: the geographic accessibility of biomedical care, the cultural </w:t>
      </w:r>
      <w:r w:rsidRPr="00BF57FF">
        <w:rPr>
          <w:rFonts w:ascii="Arial" w:hAnsi="Arial" w:cs="Arial"/>
          <w:sz w:val="22"/>
          <w:szCs w:val="22"/>
          <w:lang w:val="en-GB"/>
        </w:rPr>
        <w:t>legitimacy assigned to traditional medicine, the trust of the community in formal health services, and the structural circumstances that determine whether the risk awareness can translate into timely protective action. Srinivasan et al. (2019) also place the ongoing rabies in India in a basic policy-practice gap</w:t>
      </w:r>
      <w:r w:rsidRPr="00BF57FF" w:rsidR="002D159A">
        <w:rPr>
          <w:rFonts w:ascii="Arial" w:hAnsi="Arial" w:cs="Arial"/>
          <w:sz w:val="22"/>
          <w:szCs w:val="22"/>
          <w:lang w:val="en-GB"/>
        </w:rPr>
        <w:t>,</w:t>
      </w:r>
      <w:r w:rsidRPr="00BF57FF">
        <w:rPr>
          <w:rFonts w:ascii="Arial" w:hAnsi="Arial" w:cs="Arial"/>
          <w:sz w:val="22"/>
          <w:szCs w:val="22"/>
          <w:lang w:val="en-GB"/>
        </w:rPr>
        <w:t xml:space="preserve"> of which the translation of accessible scientific knowledge into equitable, sustained, and accessible public health action has been systematically hindered by political marginalisation of the disease and of its main victims. The global goal to eradicate dog-mediated human rabies by 2030, formalised as the WHO Zero by 30 Strategic Plan (World Health Organization, 2018a) inspired India to develop the National Action Plan on Dog Mediated Rabies Elimination (NAPRE) in 2021 with a goal of seventy-five per</w:t>
      </w:r>
      <w:r w:rsidRPr="00BF57FF" w:rsidR="00E41448">
        <w:rPr>
          <w:rFonts w:ascii="Arial" w:hAnsi="Arial" w:cs="Arial"/>
          <w:sz w:val="22"/>
          <w:szCs w:val="22"/>
          <w:lang w:val="en-GB"/>
        </w:rPr>
        <w:t xml:space="preserve"> </w:t>
      </w:r>
      <w:r w:rsidRPr="00BF57FF">
        <w:rPr>
          <w:rFonts w:ascii="Arial" w:hAnsi="Arial" w:cs="Arial"/>
          <w:sz w:val="22"/>
          <w:szCs w:val="22"/>
          <w:lang w:val="en-GB"/>
        </w:rPr>
        <w:t>cent dog vaccination coverage by 2025 and a seventy-five per</w:t>
      </w:r>
      <w:r w:rsidRPr="00BF57FF" w:rsidR="00E41448">
        <w:rPr>
          <w:rFonts w:ascii="Arial" w:hAnsi="Arial" w:cs="Arial"/>
          <w:sz w:val="22"/>
          <w:szCs w:val="22"/>
          <w:lang w:val="en-GB"/>
        </w:rPr>
        <w:t xml:space="preserve"> </w:t>
      </w:r>
      <w:r w:rsidRPr="00BF57FF">
        <w:rPr>
          <w:rFonts w:ascii="Arial" w:hAnsi="Arial" w:cs="Arial"/>
          <w:sz w:val="22"/>
          <w:szCs w:val="22"/>
          <w:lang w:val="en-GB"/>
        </w:rPr>
        <w:t xml:space="preserve">cent reduction in human deaths by 2030 via a One Health approach (National Centre for Disease Control, 2021). Both goals are already lagging (Thangaraj et al., 2025; Pardeshi et al., 2026; Nadal, Bote and Abela, 2023). </w:t>
      </w:r>
    </w:p>
    <w:p w:rsidRPr="00BF57FF" w:rsidR="00885751" w:rsidP="00A70BBB" w:rsidRDefault="00885751" w14:paraId="18BA4867" w14:textId="6070C976">
      <w:pPr>
        <w:pStyle w:val="font-claude-response-body"/>
        <w:spacing w:before="0" w:beforeAutospacing="0" w:after="152" w:afterAutospacing="0" w:line="360" w:lineRule="auto"/>
        <w:jc w:val="both"/>
        <w:rPr>
          <w:rFonts w:ascii="Arial" w:hAnsi="Arial" w:cs="Arial"/>
          <w:sz w:val="22"/>
          <w:szCs w:val="22"/>
          <w:lang w:val="en-GB"/>
        </w:rPr>
      </w:pPr>
    </w:p>
    <w:p w:rsidRPr="00BF57FF" w:rsidR="00885751" w:rsidP="00A70BBB" w:rsidRDefault="00885751" w14:paraId="3D78487F" w14:textId="77777777">
      <w:pPr>
        <w:pStyle w:val="Heading2"/>
        <w:spacing w:line="360" w:lineRule="auto"/>
        <w:jc w:val="both"/>
        <w:rPr>
          <w:rFonts w:ascii="Arial" w:hAnsi="Arial" w:cs="Arial"/>
          <w:sz w:val="22"/>
        </w:rPr>
      </w:pPr>
      <w:bookmarkStart w:name="_Toc231298558" w:id="17"/>
      <w:r w:rsidRPr="00BF57FF">
        <w:rPr>
          <w:rFonts w:ascii="Arial" w:hAnsi="Arial" w:cs="Arial"/>
          <w:sz w:val="22"/>
        </w:rPr>
        <w:t>1.2 Problem Statement and Rationale</w:t>
      </w:r>
      <w:bookmarkEnd w:id="17"/>
    </w:p>
    <w:p w:rsidRPr="00BF57FF" w:rsidR="00885751" w:rsidP="00A70BBB" w:rsidRDefault="006727EB" w14:paraId="4A820900" w14:textId="0AB255A7">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A paradox recorded in literature is the driving force behind this dissertation: the knowledge, equipment and policy frameworks required to eradicate dog-induced human rabies fatalities in India are in place, but avoidable deaths persist at an alarming rate. The obstacles which perpetuate this failure must be identified to provide a precondition to bridging the gap between policy commitment and epidemiological reality.</w:t>
      </w:r>
    </w:p>
    <w:p w:rsidRPr="00BF57FF" w:rsidR="00885751" w:rsidP="00A70BBB" w:rsidRDefault="000B53EE" w14:paraId="79A02F2C" w14:textId="796F4C19">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One of the structural aspects of this failure is the surveillance infrastructure that is in place in India. In a record-based appraisal across seven Indian states, 2012-2016, Sudarshan and Ashwath Narayana (2019) recorded gross under-reporting of human deaths due to rabies by state governments to the central government, with no significant concordance of data in offices of Integrated Disease Surveillance Programmes and the National Centre for Disease Control. As Rubeshkumar et al. (202</w:t>
      </w:r>
      <w:r w:rsidRPr="00BF57FF" w:rsidR="00FE7389">
        <w:rPr>
          <w:rFonts w:ascii="Arial" w:hAnsi="Arial" w:cs="Arial"/>
          <w:sz w:val="22"/>
          <w:szCs w:val="22"/>
          <w:lang w:val="en-GB"/>
        </w:rPr>
        <w:t>3</w:t>
      </w:r>
      <w:r w:rsidRPr="00BF57FF">
        <w:rPr>
          <w:rFonts w:ascii="Arial" w:hAnsi="Arial" w:cs="Arial"/>
          <w:sz w:val="22"/>
          <w:szCs w:val="22"/>
          <w:lang w:val="en-GB"/>
        </w:rPr>
        <w:t>) illustrate in their study of secular dynamics in reported rabies in India 2005-2020, the observed downward trend in the number of cases cannot be considered a valid measure of the actual reduction in burden, as the deficits in surveillance of the situation are too severe. In the majority of states in India, rabies is non-notifiable, which means that systematic case ascertainment is structurally ineffective, and the progress towards elimination goals cannot be measured (Radhakrishnan et al., 2020).</w:t>
      </w:r>
    </w:p>
    <w:p w:rsidRPr="00BF57FF" w:rsidR="00885751" w:rsidP="00A70BBB" w:rsidRDefault="00C9576B" w14:paraId="113E9396" w14:textId="3D8D1162">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Barriers to PEP access and completion at the community and health-system interface are intersecting and reinforcing. A meta-analysis and systematic review of PEP </w:t>
      </w:r>
      <w:r w:rsidRPr="00BF57FF">
        <w:rPr>
          <w:rFonts w:ascii="Arial" w:hAnsi="Arial" w:cs="Arial"/>
          <w:sz w:val="22"/>
          <w:szCs w:val="22"/>
          <w:lang w:val="en-GB"/>
        </w:rPr>
        <w:t xml:space="preserve">adherence among the Indian population approximated a combined completion rate of fifty-seven per cent, which means that about fifty-seven out of a hundred Indians who have ever been bitten do not complete the treatment program to ensure protection (Debnath et al., 2025). Manual medicine, such as plant extracts, turmeric paste, and lime use on bite injuries, is reported to postpone or replace biomedical use of medical care in low- and middle-income environments in the world (Beasley et al., 2022). The barriers to timely and complete treatment are further complicated by structural weaknesses in the PEP programme in India, such as periodic supply of vaccines and immunoglobulins, geographic inaccessibility of anti-rabies clinics, and a significant lack of knowledge in community health workers (Pardeshi et al., 2026). These obstacles weigh down most on the rural, economically marginalised populations, the same most vulnerable to stray dog bites (Khan et al., 2026). This is a systematic review of the peer-reviewed literature on these barriers to direct research priorities and policy response. </w:t>
      </w:r>
    </w:p>
    <w:p w:rsidRPr="00BF57FF" w:rsidR="00885751" w:rsidP="00A70BBB" w:rsidRDefault="00885751" w14:paraId="28B0AAD9" w14:textId="61ED9C04">
      <w:pPr>
        <w:pStyle w:val="font-claude-response-body"/>
        <w:spacing w:before="0" w:beforeAutospacing="0" w:after="152" w:afterAutospacing="0" w:line="360" w:lineRule="auto"/>
        <w:jc w:val="both"/>
        <w:rPr>
          <w:rFonts w:ascii="Arial" w:hAnsi="Arial" w:cs="Arial"/>
          <w:sz w:val="22"/>
          <w:szCs w:val="22"/>
          <w:lang w:val="en-GB"/>
        </w:rPr>
      </w:pPr>
    </w:p>
    <w:p w:rsidRPr="00BF57FF" w:rsidR="00885751" w:rsidP="00A70BBB" w:rsidRDefault="00885751" w14:paraId="1C971A01" w14:textId="77777777">
      <w:pPr>
        <w:pStyle w:val="Heading2"/>
        <w:spacing w:line="360" w:lineRule="auto"/>
        <w:jc w:val="both"/>
        <w:rPr>
          <w:rFonts w:ascii="Arial" w:hAnsi="Arial" w:cs="Arial"/>
          <w:sz w:val="22"/>
        </w:rPr>
      </w:pPr>
      <w:bookmarkStart w:name="_Toc231298559" w:id="18"/>
      <w:r w:rsidRPr="00BF57FF">
        <w:rPr>
          <w:rFonts w:ascii="Arial" w:hAnsi="Arial" w:cs="Arial"/>
          <w:sz w:val="22"/>
        </w:rPr>
        <w:t>1.3 Aims and Objectives</w:t>
      </w:r>
      <w:bookmarkEnd w:id="18"/>
    </w:p>
    <w:p w:rsidRPr="00BF57FF" w:rsidR="00885751" w:rsidP="00A70BBB" w:rsidRDefault="00C31B94" w14:paraId="6BCD63AA" w14:textId="73F93696">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This dissertation identifies, evaluates and synthesises the peer-reviewed evidence on barriers to effective rabies surveillance and treatment in India in a systematised way, to produce a rigorous evidence base directly applicable to national elimination efforts under NAPRE and the WHO Zero by 30 Strategic Plan.</w:t>
      </w:r>
    </w:p>
    <w:p w:rsidRPr="00BF57FF" w:rsidR="00885751" w:rsidP="00A70BBB" w:rsidRDefault="00E2450C" w14:paraId="41755FA7" w14:textId="584CD4BB">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Th</w:t>
      </w:r>
      <w:r w:rsidRPr="00BF57FF" w:rsidR="0044093E">
        <w:rPr>
          <w:rFonts w:ascii="Arial" w:hAnsi="Arial" w:cs="Arial"/>
          <w:sz w:val="22"/>
          <w:szCs w:val="22"/>
          <w:lang w:val="en-GB"/>
        </w:rPr>
        <w:t>is</w:t>
      </w:r>
      <w:r w:rsidRPr="00BF57FF">
        <w:rPr>
          <w:rFonts w:ascii="Arial" w:hAnsi="Arial" w:cs="Arial"/>
          <w:sz w:val="22"/>
          <w:szCs w:val="22"/>
          <w:lang w:val="en-GB"/>
        </w:rPr>
        <w:t xml:space="preserve"> is </w:t>
      </w:r>
      <w:r w:rsidRPr="00BF57FF" w:rsidR="002D159A">
        <w:rPr>
          <w:rFonts w:ascii="Arial" w:hAnsi="Arial" w:cs="Arial"/>
          <w:sz w:val="22"/>
          <w:szCs w:val="22"/>
          <w:lang w:val="en-GB"/>
        </w:rPr>
        <w:t>organised</w:t>
      </w:r>
      <w:r w:rsidRPr="00BF57FF">
        <w:rPr>
          <w:rFonts w:ascii="Arial" w:hAnsi="Arial" w:cs="Arial"/>
          <w:sz w:val="22"/>
          <w:szCs w:val="22"/>
          <w:lang w:val="en-GB"/>
        </w:rPr>
        <w:t xml:space="preserve"> under the following three goals: </w:t>
      </w:r>
    </w:p>
    <w:p w:rsidRPr="00BF57FF" w:rsidR="00885751" w:rsidP="00A70BBB" w:rsidRDefault="00885751" w14:paraId="4EE35CEA" w14:textId="1A02F5BE">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b/>
          <w:bCs/>
          <w:sz w:val="22"/>
          <w:szCs w:val="22"/>
          <w:lang w:val="en-GB"/>
        </w:rPr>
        <w:t>Objective 1:</w:t>
      </w:r>
      <w:r w:rsidRPr="00BF57FF">
        <w:rPr>
          <w:rFonts w:ascii="Arial" w:hAnsi="Arial" w:cs="Arial"/>
          <w:sz w:val="22"/>
          <w:szCs w:val="22"/>
          <w:lang w:val="en-GB"/>
        </w:rPr>
        <w:t xml:space="preserve"> </w:t>
      </w:r>
      <w:r w:rsidRPr="00BF57FF" w:rsidR="0066264A">
        <w:rPr>
          <w:rFonts w:ascii="Arial" w:hAnsi="Arial" w:cs="Arial"/>
          <w:sz w:val="22"/>
          <w:szCs w:val="22"/>
          <w:lang w:val="en-GB"/>
        </w:rPr>
        <w:t>To determine health-system obstacles to PEP access and supply, and to evaluate community health worker status, capacity, and issues in rabies prevention, detection, referral, and surveillance in India.</w:t>
      </w:r>
    </w:p>
    <w:p w:rsidRPr="00BF57FF" w:rsidR="00885751" w:rsidP="00A70BBB" w:rsidRDefault="00885751" w14:paraId="03704F48" w14:textId="2CF26730">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b/>
          <w:bCs/>
          <w:sz w:val="22"/>
          <w:szCs w:val="22"/>
          <w:lang w:val="en-GB"/>
        </w:rPr>
        <w:t>Objective 2:</w:t>
      </w:r>
      <w:r w:rsidRPr="00BF57FF">
        <w:rPr>
          <w:rFonts w:ascii="Arial" w:hAnsi="Arial" w:cs="Arial"/>
          <w:sz w:val="22"/>
          <w:szCs w:val="22"/>
          <w:lang w:val="en-GB"/>
        </w:rPr>
        <w:t xml:space="preserve"> </w:t>
      </w:r>
      <w:r w:rsidRPr="00BF57FF" w:rsidR="00380F42">
        <w:rPr>
          <w:rFonts w:ascii="Arial" w:hAnsi="Arial" w:cs="Arial"/>
          <w:sz w:val="22"/>
          <w:szCs w:val="22"/>
          <w:lang w:val="en-GB"/>
        </w:rPr>
        <w:t>To investigate barriers at the community level</w:t>
      </w:r>
      <w:r w:rsidRPr="00BF57FF" w:rsidR="002D159A">
        <w:rPr>
          <w:rFonts w:ascii="Arial" w:hAnsi="Arial" w:cs="Arial"/>
          <w:sz w:val="22"/>
          <w:szCs w:val="22"/>
          <w:lang w:val="en-GB"/>
        </w:rPr>
        <w:t>,</w:t>
      </w:r>
      <w:r w:rsidRPr="00BF57FF" w:rsidR="00380F42">
        <w:rPr>
          <w:rFonts w:ascii="Arial" w:hAnsi="Arial" w:cs="Arial"/>
          <w:sz w:val="22"/>
          <w:szCs w:val="22"/>
          <w:lang w:val="en-GB"/>
        </w:rPr>
        <w:t xml:space="preserve"> such as lack of knowledge, cultural beliefs and use of traditional medicine</w:t>
      </w:r>
      <w:r w:rsidRPr="00BF57FF" w:rsidR="002D159A">
        <w:rPr>
          <w:rFonts w:ascii="Arial" w:hAnsi="Arial" w:cs="Arial"/>
          <w:sz w:val="22"/>
          <w:szCs w:val="22"/>
          <w:lang w:val="en-GB"/>
        </w:rPr>
        <w:t>,</w:t>
      </w:r>
      <w:r w:rsidRPr="00BF57FF" w:rsidR="00380F42">
        <w:rPr>
          <w:rFonts w:ascii="Arial" w:hAnsi="Arial" w:cs="Arial"/>
          <w:sz w:val="22"/>
          <w:szCs w:val="22"/>
          <w:lang w:val="en-GB"/>
        </w:rPr>
        <w:t xml:space="preserve"> that hinder the use of post-exposure prophylaxis among populations at risk of being bitten in India.</w:t>
      </w:r>
    </w:p>
    <w:p w:rsidRPr="00BF57FF" w:rsidR="00DE2D57" w:rsidP="00A70BBB" w:rsidRDefault="00885751" w14:paraId="3C85069E" w14:textId="77777777">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b/>
          <w:bCs/>
          <w:sz w:val="22"/>
          <w:szCs w:val="22"/>
          <w:lang w:val="en-GB"/>
        </w:rPr>
        <w:t>Objective 3:</w:t>
      </w:r>
      <w:r w:rsidRPr="00BF57FF">
        <w:rPr>
          <w:rFonts w:ascii="Arial" w:hAnsi="Arial" w:cs="Arial"/>
          <w:sz w:val="22"/>
          <w:szCs w:val="22"/>
          <w:lang w:val="en-GB"/>
        </w:rPr>
        <w:t xml:space="preserve"> </w:t>
      </w:r>
      <w:r w:rsidRPr="00BF57FF" w:rsidR="00DE2D57">
        <w:rPr>
          <w:rFonts w:ascii="Arial" w:hAnsi="Arial" w:cs="Arial"/>
          <w:sz w:val="22"/>
          <w:szCs w:val="22"/>
          <w:lang w:val="en-GB"/>
        </w:rPr>
        <w:t xml:space="preserve">To evaluate the sufficiency of rabies surveillance systems in India, and pinpoint structural factors that help perpetuate systematic under-reporting and data gaps that hinder national elimination planning. </w:t>
      </w:r>
    </w:p>
    <w:p w:rsidRPr="00BF57FF" w:rsidR="00885751" w:rsidP="00A70BBB" w:rsidRDefault="00DE2D57" w14:paraId="00462B4D" w14:textId="6FE56366">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These </w:t>
      </w:r>
      <w:r w:rsidRPr="00BF57FF" w:rsidR="00805E86">
        <w:rPr>
          <w:rFonts w:ascii="Arial" w:hAnsi="Arial" w:cs="Arial"/>
          <w:sz w:val="22"/>
          <w:szCs w:val="22"/>
          <w:lang w:val="en-GB"/>
        </w:rPr>
        <w:t>objectives</w:t>
      </w:r>
      <w:r w:rsidRPr="00BF57FF">
        <w:rPr>
          <w:rFonts w:ascii="Arial" w:hAnsi="Arial" w:cs="Arial"/>
          <w:sz w:val="22"/>
          <w:szCs w:val="22"/>
          <w:lang w:val="en-GB"/>
        </w:rPr>
        <w:t xml:space="preserve"> are </w:t>
      </w:r>
      <w:r w:rsidRPr="00BF57FF" w:rsidR="00805E86">
        <w:rPr>
          <w:rFonts w:ascii="Arial" w:hAnsi="Arial" w:cs="Arial"/>
          <w:sz w:val="22"/>
          <w:szCs w:val="22"/>
          <w:lang w:val="en-GB"/>
        </w:rPr>
        <w:t xml:space="preserve">designed to address </w:t>
      </w:r>
      <w:r w:rsidRPr="00BF57FF">
        <w:rPr>
          <w:rFonts w:ascii="Arial" w:hAnsi="Arial" w:cs="Arial"/>
          <w:sz w:val="22"/>
          <w:szCs w:val="22"/>
          <w:lang w:val="en-GB"/>
        </w:rPr>
        <w:t xml:space="preserve">the </w:t>
      </w:r>
      <w:r w:rsidRPr="00BF57FF" w:rsidR="002D159A">
        <w:rPr>
          <w:rFonts w:ascii="Arial" w:hAnsi="Arial" w:cs="Arial"/>
          <w:sz w:val="22"/>
          <w:szCs w:val="22"/>
          <w:lang w:val="en-GB"/>
        </w:rPr>
        <w:t>multidimensionality</w:t>
      </w:r>
      <w:r w:rsidRPr="00BF57FF">
        <w:rPr>
          <w:rFonts w:ascii="Arial" w:hAnsi="Arial" w:cs="Arial"/>
          <w:sz w:val="22"/>
          <w:szCs w:val="22"/>
          <w:lang w:val="en-GB"/>
        </w:rPr>
        <w:t xml:space="preserve"> of elimination barriers in </w:t>
      </w:r>
      <w:r w:rsidRPr="00BF57FF" w:rsidR="002D159A">
        <w:rPr>
          <w:rFonts w:ascii="Arial" w:hAnsi="Arial" w:cs="Arial"/>
          <w:sz w:val="22"/>
          <w:szCs w:val="22"/>
          <w:lang w:val="en-GB"/>
        </w:rPr>
        <w:t xml:space="preserve">the </w:t>
      </w:r>
      <w:r w:rsidRPr="00BF57FF">
        <w:rPr>
          <w:rFonts w:ascii="Arial" w:hAnsi="Arial" w:cs="Arial"/>
          <w:sz w:val="22"/>
          <w:szCs w:val="22"/>
          <w:lang w:val="en-GB"/>
        </w:rPr>
        <w:t xml:space="preserve">community, </w:t>
      </w:r>
      <w:r w:rsidRPr="00BF57FF" w:rsidR="002D159A">
        <w:rPr>
          <w:rFonts w:ascii="Arial" w:hAnsi="Arial" w:cs="Arial"/>
          <w:sz w:val="22"/>
          <w:szCs w:val="22"/>
          <w:lang w:val="en-GB"/>
        </w:rPr>
        <w:t>health system</w:t>
      </w:r>
      <w:r w:rsidRPr="00BF57FF">
        <w:rPr>
          <w:rFonts w:ascii="Arial" w:hAnsi="Arial" w:cs="Arial"/>
          <w:sz w:val="22"/>
          <w:szCs w:val="22"/>
          <w:lang w:val="en-GB"/>
        </w:rPr>
        <w:t>, and surveillance levels in a single analytical framework.</w:t>
      </w:r>
    </w:p>
    <w:p w:rsidRPr="00BF57FF" w:rsidR="00885751" w:rsidP="00A70BBB" w:rsidRDefault="00885751" w14:paraId="1EF7D15D" w14:textId="738731B9">
      <w:pPr>
        <w:pStyle w:val="font-claude-response-body"/>
        <w:spacing w:before="0" w:beforeAutospacing="0" w:after="152" w:afterAutospacing="0" w:line="360" w:lineRule="auto"/>
        <w:jc w:val="both"/>
        <w:rPr>
          <w:rFonts w:ascii="Arial" w:hAnsi="Arial" w:cs="Arial"/>
          <w:sz w:val="22"/>
          <w:szCs w:val="22"/>
          <w:lang w:val="en-GB"/>
        </w:rPr>
      </w:pPr>
    </w:p>
    <w:p w:rsidRPr="00BF57FF" w:rsidR="00885751" w:rsidP="00A70BBB" w:rsidRDefault="00885751" w14:paraId="24278C98" w14:textId="77777777">
      <w:pPr>
        <w:pStyle w:val="Heading2"/>
        <w:spacing w:line="360" w:lineRule="auto"/>
        <w:jc w:val="both"/>
        <w:rPr>
          <w:rFonts w:ascii="Arial" w:hAnsi="Arial" w:cs="Arial"/>
          <w:sz w:val="22"/>
        </w:rPr>
      </w:pPr>
      <w:bookmarkStart w:name="_Toc231298560" w:id="19"/>
      <w:r w:rsidRPr="00BF57FF">
        <w:rPr>
          <w:rFonts w:ascii="Arial" w:hAnsi="Arial" w:cs="Arial"/>
          <w:sz w:val="22"/>
        </w:rPr>
        <w:t>1.4 Research Question</w:t>
      </w:r>
      <w:bookmarkEnd w:id="19"/>
    </w:p>
    <w:p w:rsidRPr="00BF57FF" w:rsidR="00885751" w:rsidP="00A70BBB" w:rsidRDefault="0093182C" w14:paraId="1C4960BD" w14:textId="2A1BDD4D">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The analysis scope of this systematic review is determined by the following research question:</w:t>
      </w:r>
    </w:p>
    <w:p w:rsidRPr="00BF57FF" w:rsidR="00885751" w:rsidP="00A70BBB" w:rsidRDefault="00DD762A" w14:paraId="4610EB02" w14:textId="622B5ACF">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i/>
          <w:iCs/>
          <w:sz w:val="22"/>
          <w:szCs w:val="22"/>
          <w:lang w:val="en-GB"/>
        </w:rPr>
        <w:t>What are the community and health-system obstacles to effective rabies surveillance and treatment in India?</w:t>
      </w:r>
    </w:p>
    <w:p w:rsidRPr="00BF57FF" w:rsidR="00885751" w:rsidP="00A70BBB" w:rsidRDefault="00986CD7" w14:paraId="121475FC" w14:textId="7AD5D0FF">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The question identifies obstacles at multiple levels in India as the key geographic and policy environment, acknowledging that successful elimination planning is based on cross-domain analysis as opposed to emphasis on any one causal pathway. </w:t>
      </w:r>
    </w:p>
    <w:p w:rsidRPr="00BF57FF" w:rsidR="00885751" w:rsidP="00A70BBB" w:rsidRDefault="00885751" w14:paraId="35FEF840" w14:textId="248B721B">
      <w:pPr>
        <w:pStyle w:val="font-claude-response-body"/>
        <w:spacing w:before="0" w:beforeAutospacing="0" w:after="152" w:afterAutospacing="0" w:line="360" w:lineRule="auto"/>
        <w:jc w:val="both"/>
        <w:rPr>
          <w:rFonts w:ascii="Arial" w:hAnsi="Arial" w:cs="Arial"/>
          <w:sz w:val="22"/>
          <w:szCs w:val="22"/>
          <w:lang w:val="en-GB"/>
        </w:rPr>
      </w:pPr>
    </w:p>
    <w:p w:rsidRPr="00BF57FF" w:rsidR="00885751" w:rsidP="00A70BBB" w:rsidRDefault="00885751" w14:paraId="11866F77" w14:textId="77777777">
      <w:pPr>
        <w:pStyle w:val="Heading2"/>
        <w:spacing w:line="360" w:lineRule="auto"/>
        <w:jc w:val="both"/>
        <w:rPr>
          <w:rFonts w:ascii="Arial" w:hAnsi="Arial" w:cs="Arial"/>
          <w:sz w:val="22"/>
        </w:rPr>
      </w:pPr>
      <w:bookmarkStart w:name="_Toc231298561" w:id="20"/>
      <w:r w:rsidRPr="00BF57FF">
        <w:rPr>
          <w:rFonts w:ascii="Arial" w:hAnsi="Arial" w:cs="Arial"/>
          <w:sz w:val="22"/>
        </w:rPr>
        <w:t>1.5 Significance of the Study</w:t>
      </w:r>
      <w:bookmarkEnd w:id="20"/>
    </w:p>
    <w:p w:rsidRPr="00BF57FF" w:rsidR="00885751" w:rsidP="00A70BBB" w:rsidRDefault="00A849DC" w14:paraId="6D6EF541" w14:textId="5CB28086">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This systematic review has three levels of significance. On the epidemiological level, it is working on a disease that claims thousands of preventable deaths every year in India, and it is focused on the groups that are the least capable of </w:t>
      </w:r>
      <w:r w:rsidRPr="00BF57FF" w:rsidR="002D159A">
        <w:rPr>
          <w:rFonts w:ascii="Arial" w:hAnsi="Arial" w:cs="Arial"/>
          <w:sz w:val="22"/>
          <w:szCs w:val="22"/>
          <w:lang w:val="en-GB"/>
        </w:rPr>
        <w:t>overcoming</w:t>
      </w:r>
      <w:r w:rsidRPr="00BF57FF">
        <w:rPr>
          <w:rFonts w:ascii="Arial" w:hAnsi="Arial" w:cs="Arial"/>
          <w:sz w:val="22"/>
          <w:szCs w:val="22"/>
          <w:lang w:val="en-GB"/>
        </w:rPr>
        <w:t xml:space="preserve"> the barriers that perpetuate it. On the policy level, it produces synthesised evidence that is directly applicable to the implementation of NAPRE and commitments of India on the WHO Zero by 30 Strategic Plan (World Health Organization, 2018a). At the scientific level, it uses systematic review methodology to a literature whose historical features are defined by fragmented single-state studies of variable quality, and which creates a more robust and generalisable synthesis than individual studies can.</w:t>
      </w:r>
    </w:p>
    <w:p w:rsidRPr="00BF57FF" w:rsidR="00885751" w:rsidP="00A70BBB" w:rsidRDefault="0068147C" w14:paraId="54C3B453" w14:textId="3B05441C">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The specific relevance of the review is supported by facts that </w:t>
      </w:r>
      <w:r w:rsidRPr="00BF57FF" w:rsidR="0098136C">
        <w:rPr>
          <w:rFonts w:ascii="Arial" w:hAnsi="Arial" w:cs="Arial"/>
          <w:sz w:val="22"/>
          <w:szCs w:val="22"/>
          <w:lang w:val="en-GB"/>
        </w:rPr>
        <w:t>elimination in India</w:t>
      </w:r>
      <w:r w:rsidRPr="00BF57FF">
        <w:rPr>
          <w:rFonts w:ascii="Arial" w:hAnsi="Arial" w:cs="Arial"/>
          <w:sz w:val="22"/>
          <w:szCs w:val="22"/>
          <w:lang w:val="en-GB"/>
        </w:rPr>
        <w:t xml:space="preserve"> is possible. In a report on a data-driven One Health programme in the State of Goa, Gibson et al. (2022) reported the full </w:t>
      </w:r>
      <w:r w:rsidRPr="00BF57FF" w:rsidR="00805E86">
        <w:rPr>
          <w:rFonts w:ascii="Arial" w:hAnsi="Arial" w:cs="Arial"/>
          <w:sz w:val="22"/>
          <w:szCs w:val="22"/>
          <w:lang w:val="en-GB"/>
        </w:rPr>
        <w:t>elimination</w:t>
      </w:r>
      <w:r w:rsidRPr="00BF57FF">
        <w:rPr>
          <w:rFonts w:ascii="Arial" w:hAnsi="Arial" w:cs="Arial"/>
          <w:sz w:val="22"/>
          <w:szCs w:val="22"/>
          <w:lang w:val="en-GB"/>
        </w:rPr>
        <w:t xml:space="preserve"> of human rabies and a reduction of 92 per cent in monthly cases of canine rabies between 2013 and 2019 via mass dog vaccination using GPS, systematic community education (150,000 children annually), and post-bite response systems. The Goa experience confirms that the biological, logistical and community interaction requirements of elimination are achievable in the Indian setting. The long-standing inability to repeat this performance in the country, thus, requires a clear, evidence-based explanation of the obstacles behind it - the creation of which is the primary goal of this dissertation.</w:t>
      </w:r>
    </w:p>
    <w:p w:rsidRPr="00BF57FF" w:rsidR="00885751" w:rsidP="00A70BBB" w:rsidRDefault="00885751" w14:paraId="72E9BBC6" w14:textId="14A53EDE">
      <w:pPr>
        <w:pStyle w:val="font-claude-response-body"/>
        <w:spacing w:before="0" w:beforeAutospacing="0" w:after="152" w:afterAutospacing="0" w:line="360" w:lineRule="auto"/>
        <w:jc w:val="both"/>
        <w:rPr>
          <w:rFonts w:ascii="Arial" w:hAnsi="Arial" w:cs="Arial"/>
          <w:sz w:val="22"/>
          <w:szCs w:val="22"/>
          <w:lang w:val="en-GB"/>
        </w:rPr>
      </w:pPr>
    </w:p>
    <w:p w:rsidRPr="00BF57FF" w:rsidR="00885751" w:rsidP="00A70BBB" w:rsidRDefault="00885751" w14:paraId="0BD5A327" w14:textId="77777777">
      <w:pPr>
        <w:pStyle w:val="Heading2"/>
        <w:spacing w:line="360" w:lineRule="auto"/>
        <w:jc w:val="both"/>
        <w:rPr>
          <w:rFonts w:ascii="Arial" w:hAnsi="Arial" w:cs="Arial"/>
          <w:sz w:val="22"/>
        </w:rPr>
      </w:pPr>
      <w:bookmarkStart w:name="_Toc231298562" w:id="21"/>
      <w:r w:rsidRPr="00BF57FF">
        <w:rPr>
          <w:rFonts w:ascii="Arial" w:hAnsi="Arial" w:cs="Arial"/>
          <w:sz w:val="22"/>
        </w:rPr>
        <w:t>1.6 Outline of the Dissertation</w:t>
      </w:r>
      <w:bookmarkEnd w:id="21"/>
    </w:p>
    <w:p w:rsidRPr="00BF57FF" w:rsidR="00885751" w:rsidP="00A70BBB" w:rsidRDefault="00F743EA" w14:paraId="1DE0CB56" w14:textId="221028A5">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This dissertation consists of six chapters, arranged </w:t>
      </w:r>
      <w:r w:rsidRPr="00BF57FF" w:rsidR="00FE5C28">
        <w:rPr>
          <w:rFonts w:ascii="Arial" w:hAnsi="Arial" w:cs="Arial"/>
          <w:sz w:val="22"/>
          <w:szCs w:val="22"/>
          <w:lang w:val="en-GB"/>
        </w:rPr>
        <w:t>progressively</w:t>
      </w:r>
      <w:r w:rsidRPr="00BF57FF">
        <w:rPr>
          <w:rFonts w:ascii="Arial" w:hAnsi="Arial" w:cs="Arial"/>
          <w:sz w:val="22"/>
          <w:szCs w:val="22"/>
          <w:lang w:val="en-GB"/>
        </w:rPr>
        <w:t xml:space="preserve"> to start with contextual framing, then evolve to evidence synthesis and </w:t>
      </w:r>
      <w:r w:rsidRPr="00BF57FF" w:rsidR="002D159A">
        <w:rPr>
          <w:rFonts w:ascii="Arial" w:hAnsi="Arial" w:cs="Arial"/>
          <w:sz w:val="22"/>
          <w:szCs w:val="22"/>
          <w:lang w:val="en-GB"/>
        </w:rPr>
        <w:t>policy-relevant</w:t>
      </w:r>
      <w:r w:rsidRPr="00BF57FF">
        <w:rPr>
          <w:rFonts w:ascii="Arial" w:hAnsi="Arial" w:cs="Arial"/>
          <w:sz w:val="22"/>
          <w:szCs w:val="22"/>
          <w:lang w:val="en-GB"/>
        </w:rPr>
        <w:t xml:space="preserve"> conclusions.</w:t>
      </w:r>
    </w:p>
    <w:p w:rsidRPr="00BF57FF" w:rsidR="00885751" w:rsidP="00A70BBB" w:rsidRDefault="00D55BD8" w14:paraId="53E5769C" w14:textId="768AE66A">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Chapter 1 has provided the epidemiological, policy, and scientific background to the review, the statement of the problem and its rationale, the research goals, </w:t>
      </w:r>
      <w:r w:rsidRPr="00BF57FF" w:rsidR="002D159A">
        <w:rPr>
          <w:rFonts w:ascii="Arial" w:hAnsi="Arial" w:cs="Arial"/>
          <w:sz w:val="22"/>
          <w:szCs w:val="22"/>
          <w:lang w:val="en-GB"/>
        </w:rPr>
        <w:t>objectives</w:t>
      </w:r>
      <w:r w:rsidRPr="00BF57FF">
        <w:rPr>
          <w:rFonts w:ascii="Arial" w:hAnsi="Arial" w:cs="Arial"/>
          <w:sz w:val="22"/>
          <w:szCs w:val="22"/>
          <w:lang w:val="en-GB"/>
        </w:rPr>
        <w:t>, and questions, and the relevance of the study.</w:t>
      </w:r>
    </w:p>
    <w:p w:rsidRPr="00BF57FF" w:rsidR="00885751" w:rsidP="00A70BBB" w:rsidRDefault="00D55BD8" w14:paraId="25042CBE" w14:textId="4CB49B22">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Chapter 2 critically reviews literature available on rabies in India in s</w:t>
      </w:r>
      <w:r w:rsidRPr="00BF57FF" w:rsidR="00251CB3">
        <w:rPr>
          <w:rFonts w:ascii="Arial" w:hAnsi="Arial" w:cs="Arial"/>
          <w:sz w:val="22"/>
          <w:szCs w:val="22"/>
          <w:lang w:val="en-GB"/>
        </w:rPr>
        <w:t>even</w:t>
      </w:r>
      <w:r w:rsidRPr="00BF57FF">
        <w:rPr>
          <w:rFonts w:ascii="Arial" w:hAnsi="Arial" w:cs="Arial"/>
          <w:sz w:val="22"/>
          <w:szCs w:val="22"/>
          <w:lang w:val="en-GB"/>
        </w:rPr>
        <w:t xml:space="preserve"> substantive areas that include epidemiological burden, post-exposure prophylaxis compliance and barriers to access, community knowledge and health-seeking behaviour, health-system infrastructure, community health worker capacity, and surveillance inadequacy. It ends with an overview of the theoretical frameworks</w:t>
      </w:r>
      <w:r w:rsidRPr="00BF57FF" w:rsidR="002D159A">
        <w:rPr>
          <w:rFonts w:ascii="Arial" w:hAnsi="Arial" w:cs="Arial"/>
          <w:sz w:val="22"/>
          <w:szCs w:val="22"/>
          <w:lang w:val="en-GB"/>
        </w:rPr>
        <w:t>,</w:t>
      </w:r>
      <w:r w:rsidRPr="00BF57FF">
        <w:rPr>
          <w:rFonts w:ascii="Arial" w:hAnsi="Arial" w:cs="Arial"/>
          <w:sz w:val="22"/>
          <w:szCs w:val="22"/>
          <w:lang w:val="en-GB"/>
        </w:rPr>
        <w:t xml:space="preserve"> One Health, Zero by 30, and structural determinants of health, on which the </w:t>
      </w:r>
      <w:r w:rsidRPr="00BF57FF" w:rsidR="002D159A">
        <w:rPr>
          <w:rFonts w:ascii="Arial" w:hAnsi="Arial" w:cs="Arial"/>
          <w:sz w:val="22"/>
          <w:szCs w:val="22"/>
          <w:lang w:val="en-GB"/>
        </w:rPr>
        <w:t>review's</w:t>
      </w:r>
      <w:r w:rsidRPr="00BF57FF">
        <w:rPr>
          <w:rFonts w:ascii="Arial" w:hAnsi="Arial" w:cs="Arial"/>
          <w:sz w:val="22"/>
          <w:szCs w:val="22"/>
          <w:lang w:val="en-GB"/>
        </w:rPr>
        <w:t xml:space="preserve"> analytical approach is based.</w:t>
      </w:r>
    </w:p>
    <w:p w:rsidRPr="00BF57FF" w:rsidR="00885751" w:rsidP="00A70BBB" w:rsidRDefault="00FB66D9" w14:paraId="2C354858" w14:textId="780D085B">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Chapter 3 explains the systematic review approach as a whole, its philosophical basis, search strategy, inclusion and exclusion criteria, PRISMA 2020-informed study selection process, data extraction process, quality appraisal of CASP checklists, and the thematic synthesis approach.</w:t>
      </w:r>
    </w:p>
    <w:p w:rsidRPr="00BF57FF" w:rsidR="00885751" w:rsidP="00A70BBB" w:rsidRDefault="00FB66D9" w14:paraId="13253136" w14:textId="6BAAFD06">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Chapter 4 summarises the findings of the review, describing the twelve studies included in it and their quality profiles, and summarising their results under four inductively derived themes.</w:t>
      </w:r>
    </w:p>
    <w:p w:rsidRPr="00BF57FF" w:rsidR="00885751" w:rsidP="00A70BBB" w:rsidRDefault="00D573F5" w14:paraId="14DDA4E9" w14:textId="5CF5CAEF">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Chapter 5 explains the findings relative to broader literature and theoretical approaches, critically </w:t>
      </w:r>
      <w:r w:rsidRPr="00BF57FF" w:rsidR="00613854">
        <w:rPr>
          <w:rFonts w:ascii="Arial" w:hAnsi="Arial" w:cs="Arial"/>
          <w:sz w:val="22"/>
          <w:szCs w:val="22"/>
          <w:lang w:val="en-GB"/>
        </w:rPr>
        <w:t>analyses</w:t>
      </w:r>
      <w:r w:rsidRPr="00BF57FF">
        <w:rPr>
          <w:rFonts w:ascii="Arial" w:hAnsi="Arial" w:cs="Arial"/>
          <w:sz w:val="22"/>
          <w:szCs w:val="22"/>
          <w:lang w:val="en-GB"/>
        </w:rPr>
        <w:t xml:space="preserve"> each theme using the One Health and structural determinants perspectives, and discusses the limitations of the review.</w:t>
      </w:r>
    </w:p>
    <w:p w:rsidRPr="00BF57FF" w:rsidR="00885751" w:rsidP="00A70BBB" w:rsidRDefault="00D573F5" w14:paraId="160C2C47" w14:textId="05153E20">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Chapter 6 contains the conclusions of the dissertation, directly addresses the research question, explains the policy implications and recommendations, the future research priorities, and reflects critically on the academic and personal development gained during this investigation.</w:t>
      </w:r>
    </w:p>
    <w:p w:rsidRPr="00BF57FF" w:rsidR="00885751" w:rsidP="00A70BBB" w:rsidRDefault="00D573F5" w14:paraId="6C0B6B05" w14:textId="61835170">
      <w:pPr>
        <w:pStyle w:val="font-claude-response-body"/>
        <w:spacing w:before="0" w:beforeAutospacing="0" w:after="152" w:afterAutospacing="0" w:line="360" w:lineRule="auto"/>
        <w:jc w:val="both"/>
        <w:rPr>
          <w:rFonts w:ascii="Arial" w:hAnsi="Arial" w:cs="Arial"/>
          <w:i/>
          <w:iCs/>
          <w:sz w:val="22"/>
          <w:szCs w:val="22"/>
          <w:lang w:val="en-GB"/>
        </w:rPr>
      </w:pPr>
      <w:r w:rsidRPr="00BF57FF">
        <w:rPr>
          <w:rFonts w:ascii="Arial" w:hAnsi="Arial" w:cs="Arial"/>
          <w:i/>
          <w:iCs/>
          <w:sz w:val="22"/>
          <w:szCs w:val="22"/>
          <w:lang w:val="en-GB"/>
        </w:rPr>
        <w:t>The next chapter is a critical and analytical synthesis of the current literature on rabies in India</w:t>
      </w:r>
      <w:r w:rsidRPr="00BF57FF" w:rsidR="00613854">
        <w:rPr>
          <w:rFonts w:ascii="Arial" w:hAnsi="Arial" w:cs="Arial"/>
          <w:i/>
          <w:iCs/>
          <w:sz w:val="22"/>
          <w:szCs w:val="22"/>
          <w:lang w:val="en-GB"/>
        </w:rPr>
        <w:t>,</w:t>
      </w:r>
      <w:r w:rsidRPr="00BF57FF">
        <w:rPr>
          <w:rFonts w:ascii="Arial" w:hAnsi="Arial" w:cs="Arial"/>
          <w:i/>
          <w:iCs/>
          <w:sz w:val="22"/>
          <w:szCs w:val="22"/>
          <w:lang w:val="en-GB"/>
        </w:rPr>
        <w:t xml:space="preserve"> defining the evidence gaps and theoretical frameworks that inform and drive the systematic review undertaken in this dissertation.</w:t>
      </w:r>
    </w:p>
    <w:p w:rsidRPr="00BF57FF" w:rsidR="00F00AEE" w:rsidP="00A70BBB" w:rsidRDefault="00F00AEE" w14:paraId="68389C35" w14:textId="77777777">
      <w:pPr>
        <w:spacing w:line="360" w:lineRule="auto"/>
        <w:jc w:val="both"/>
        <w:rPr>
          <w:rStyle w:val="Strong"/>
          <w:rFonts w:ascii="Arial" w:hAnsi="Arial" w:cs="Arial"/>
          <w:bCs w:val="0"/>
        </w:rPr>
      </w:pPr>
      <w:bookmarkStart w:name="_Toc231005824" w:id="22"/>
      <w:bookmarkStart w:name="_Toc231005849" w:id="23"/>
      <w:r w:rsidRPr="00BF57FF">
        <w:rPr>
          <w:rStyle w:val="Strong"/>
          <w:rFonts w:ascii="Arial" w:hAnsi="Arial" w:cs="Arial"/>
          <w:bCs w:val="0"/>
        </w:rPr>
        <w:br w:type="page"/>
      </w:r>
    </w:p>
    <w:p w:rsidRPr="00BF57FF" w:rsidR="00FA3D67" w:rsidP="00A70BBB" w:rsidRDefault="00FA3D67" w14:paraId="139BF8CE" w14:textId="5ADCEB38">
      <w:pPr>
        <w:pStyle w:val="Heading1"/>
        <w:spacing w:line="360" w:lineRule="auto"/>
        <w:jc w:val="both"/>
        <w:rPr>
          <w:rStyle w:val="Strong"/>
          <w:rFonts w:ascii="Arial" w:hAnsi="Arial" w:cs="Arial" w:eastAsiaTheme="minorEastAsia"/>
          <w:bCs w:val="0"/>
          <w:color w:val="auto"/>
          <w:sz w:val="22"/>
        </w:rPr>
      </w:pPr>
      <w:bookmarkStart w:name="_Toc231298563" w:id="24"/>
      <w:r w:rsidRPr="00BF57FF">
        <w:rPr>
          <w:rStyle w:val="Strong"/>
          <w:rFonts w:ascii="Arial" w:hAnsi="Arial" w:cs="Arial"/>
          <w:b/>
          <w:bCs w:val="0"/>
          <w:sz w:val="22"/>
        </w:rPr>
        <w:t>CHAPTER 2: CRITICAL LITERATURE REVIEW</w:t>
      </w:r>
      <w:bookmarkEnd w:id="22"/>
      <w:bookmarkEnd w:id="23"/>
      <w:bookmarkEnd w:id="24"/>
    </w:p>
    <w:p w:rsidRPr="00BF57FF" w:rsidR="00FA3D67" w:rsidP="00A70BBB" w:rsidRDefault="00FA3D67" w14:paraId="61A4AE48" w14:textId="77777777">
      <w:pPr>
        <w:pStyle w:val="Heading2"/>
        <w:spacing w:line="360" w:lineRule="auto"/>
        <w:jc w:val="both"/>
        <w:rPr>
          <w:rFonts w:ascii="Arial" w:hAnsi="Arial" w:cs="Arial"/>
          <w:sz w:val="22"/>
        </w:rPr>
      </w:pPr>
      <w:bookmarkStart w:name="_Toc231005850" w:id="25"/>
      <w:bookmarkStart w:name="_Toc231298564" w:id="26"/>
      <w:r w:rsidRPr="00BF57FF">
        <w:rPr>
          <w:rFonts w:ascii="Arial" w:hAnsi="Arial" w:cs="Arial"/>
          <w:sz w:val="22"/>
        </w:rPr>
        <w:t>2.1 Introduction to the Chapter</w:t>
      </w:r>
      <w:bookmarkEnd w:id="25"/>
      <w:bookmarkEnd w:id="26"/>
    </w:p>
    <w:p w:rsidRPr="00BF57FF" w:rsidR="00FA3D67" w:rsidP="00A70BBB" w:rsidRDefault="00494CCF" w14:paraId="081F41E5" w14:textId="781DFE54">
      <w:pPr>
        <w:spacing w:after="152" w:line="360" w:lineRule="auto"/>
        <w:jc w:val="both"/>
        <w:rPr>
          <w:rFonts w:ascii="Arial" w:hAnsi="Arial" w:cs="Arial"/>
        </w:rPr>
      </w:pPr>
      <w:r w:rsidRPr="00BF57FF">
        <w:rPr>
          <w:rFonts w:ascii="Arial" w:hAnsi="Arial" w:eastAsia="Times New Roman" w:cs="Arial"/>
          <w:kern w:val="0"/>
          <w:lang w:eastAsia="en-US"/>
          <w14:ligatures w14:val="none"/>
        </w:rPr>
        <w:t>The chapter is a critical, analytical synthesis of the existing literature on the epidemiological, cultural, health-system, and structural aspects of rabies mortality in India. It is thematically organised in seven areas</w:t>
      </w:r>
      <w:r w:rsidRPr="00BF57FF" w:rsidR="00613854">
        <w:rPr>
          <w:rFonts w:ascii="Arial" w:hAnsi="Arial" w:eastAsia="Times New Roman" w:cs="Arial"/>
          <w:kern w:val="0"/>
          <w:lang w:eastAsia="en-US"/>
          <w14:ligatures w14:val="none"/>
        </w:rPr>
        <w:t>,</w:t>
      </w:r>
      <w:r w:rsidRPr="00BF57FF">
        <w:rPr>
          <w:rFonts w:ascii="Arial" w:hAnsi="Arial" w:eastAsia="Times New Roman" w:cs="Arial"/>
          <w:kern w:val="0"/>
          <w:lang w:eastAsia="en-US"/>
          <w14:ligatures w14:val="none"/>
        </w:rPr>
        <w:t xml:space="preserve"> including the epidemiological burden of rabies in India and how it is maintained; post-exposure prophylaxis access, compliance and barriers; community knowledge, attitudes and health-seeking behaviour; health-system infrastructure, supply chain and workforce failure; community health worker roles and capacity; surveillance system failure and the theoretical frameworks that give the interpretive architecture to this review. All through, rather than being solved overly, contrasting evidence and analytical tensions in the literature are expressed explicitly, as per the Level 7 scholarly expectations. The identified gaps in evidence and structural deficiencies within these areas drive the systematic review in this dissertation. The next chapter outlines the approach used in solving them.</w:t>
      </w:r>
    </w:p>
    <w:p w:rsidRPr="00BF57FF" w:rsidR="00FA3D67" w:rsidP="00A70BBB" w:rsidRDefault="00FA3D67" w14:paraId="322FA9E9" w14:textId="77777777">
      <w:pPr>
        <w:pStyle w:val="Heading2"/>
        <w:spacing w:line="360" w:lineRule="auto"/>
        <w:jc w:val="both"/>
        <w:rPr>
          <w:rFonts w:ascii="Arial" w:hAnsi="Arial" w:cs="Arial"/>
          <w:sz w:val="22"/>
        </w:rPr>
      </w:pPr>
      <w:bookmarkStart w:name="_Toc231005851" w:id="27"/>
      <w:bookmarkStart w:name="_Toc231298565" w:id="28"/>
      <w:r w:rsidRPr="00BF57FF">
        <w:rPr>
          <w:rFonts w:ascii="Arial" w:hAnsi="Arial" w:cs="Arial"/>
          <w:sz w:val="22"/>
        </w:rPr>
        <w:t>2.2 Epidemiology and Burden of Rabies in India</w:t>
      </w:r>
      <w:bookmarkEnd w:id="27"/>
      <w:bookmarkEnd w:id="28"/>
    </w:p>
    <w:p w:rsidRPr="00BF57FF" w:rsidR="00FA3D67" w:rsidP="00A70BBB" w:rsidRDefault="00595ED8" w14:paraId="69962091" w14:textId="4AF073B5">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Rabies is a neurotropic zoonotic viral infection caused by lyssaviruses, which is characterised by an almost universal fatality rate after the onset of clinical encephalitis (Fooks et al., 2017). It is the only major infectious disease that is both practically 100% fatal when symptomatic and practically 100% preventable by timely post-exposure prophylaxis, which paradoxically makes it a disease of systemic failure as opposed to scientific insufficiency (Hemachudha et al., 2013; Jackson, 2011; Zhang et al., 2016). Initial global burden estimates estimated 55,000 deaths annually due to rabies transmitted by dogs, with Africa and Asia contributing more than 95% of total mortality and an estimated economic cost of US</w:t>
      </w:r>
      <w:r w:rsidRPr="00BF57FF" w:rsidR="00EF4A2F">
        <w:rPr>
          <w:rFonts w:ascii="Arial" w:hAnsi="Arial" w:cs="Arial"/>
          <w:sz w:val="22"/>
          <w:szCs w:val="22"/>
          <w:lang w:val="en-GB"/>
        </w:rPr>
        <w:t>$</w:t>
      </w:r>
      <w:r w:rsidRPr="00BF57FF">
        <w:rPr>
          <w:rFonts w:ascii="Arial" w:hAnsi="Arial" w:cs="Arial"/>
          <w:sz w:val="22"/>
          <w:szCs w:val="22"/>
          <w:lang w:val="en-GB"/>
        </w:rPr>
        <w:t>583.5 million per year (Knobel et al., 2005). Later models estimated the global mortality at about 59,000 per year, creating 3.7 million disability-adjusted life years lost and economic losses of US</w:t>
      </w:r>
      <w:r w:rsidRPr="00BF57FF" w:rsidR="00EF4A2F">
        <w:rPr>
          <w:rFonts w:ascii="Arial" w:hAnsi="Arial" w:cs="Arial"/>
          <w:sz w:val="22"/>
          <w:szCs w:val="22"/>
          <w:lang w:val="en-GB"/>
        </w:rPr>
        <w:t>$</w:t>
      </w:r>
      <w:r w:rsidRPr="00BF57FF">
        <w:rPr>
          <w:rFonts w:ascii="Arial" w:hAnsi="Arial" w:cs="Arial"/>
          <w:sz w:val="22"/>
          <w:szCs w:val="22"/>
          <w:lang w:val="en-GB"/>
        </w:rPr>
        <w:t>8.6 billion, with India identified as the nation with the highest national burden of mortality (Hampson et al., 2015; Sudarshan et al., 2007; Menezes, 2008).</w:t>
      </w:r>
    </w:p>
    <w:p w:rsidRPr="00BF57FF" w:rsidR="00FA3D67" w:rsidP="00A70BBB" w:rsidRDefault="00E0515A" w14:paraId="3F6C3B1C" w14:textId="1CC0B949">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The burden is disproportionately and traditionally underestimated in India. A systematic review based on 35 primary India-specific studies estimated that the country alone contributes about 35 </w:t>
      </w:r>
      <w:r w:rsidRPr="00BF57FF" w:rsidR="00AA6610">
        <w:rPr>
          <w:rFonts w:ascii="Arial" w:hAnsi="Arial" w:cs="Arial"/>
          <w:sz w:val="22"/>
          <w:szCs w:val="22"/>
          <w:lang w:val="en-GB"/>
        </w:rPr>
        <w:t>per cent</w:t>
      </w:r>
      <w:r w:rsidRPr="00BF57FF">
        <w:rPr>
          <w:rFonts w:ascii="Arial" w:hAnsi="Arial" w:cs="Arial"/>
          <w:sz w:val="22"/>
          <w:szCs w:val="22"/>
          <w:lang w:val="en-GB"/>
        </w:rPr>
        <w:t xml:space="preserve"> of the global rabies cases each year and that the crude dog-bite incidence rate varies between 0.26 </w:t>
      </w:r>
      <w:r w:rsidRPr="00BF57FF" w:rsidR="00AA6610">
        <w:rPr>
          <w:rFonts w:ascii="Arial" w:hAnsi="Arial" w:cs="Arial"/>
          <w:sz w:val="22"/>
          <w:szCs w:val="22"/>
          <w:lang w:val="en-GB"/>
        </w:rPr>
        <w:t>per cent</w:t>
      </w:r>
      <w:r w:rsidRPr="00BF57FF">
        <w:rPr>
          <w:rFonts w:ascii="Arial" w:hAnsi="Arial" w:cs="Arial"/>
          <w:sz w:val="22"/>
          <w:szCs w:val="22"/>
          <w:lang w:val="en-GB"/>
        </w:rPr>
        <w:t xml:space="preserve"> and 2.5 per</w:t>
      </w:r>
      <w:r w:rsidRPr="00BF57FF" w:rsidR="00E41448">
        <w:rPr>
          <w:rFonts w:ascii="Arial" w:hAnsi="Arial" w:cs="Arial"/>
          <w:sz w:val="22"/>
          <w:szCs w:val="22"/>
          <w:lang w:val="en-GB"/>
        </w:rPr>
        <w:t xml:space="preserve"> </w:t>
      </w:r>
      <w:r w:rsidRPr="00BF57FF">
        <w:rPr>
          <w:rFonts w:ascii="Arial" w:hAnsi="Arial" w:cs="Arial"/>
          <w:sz w:val="22"/>
          <w:szCs w:val="22"/>
          <w:lang w:val="en-GB"/>
        </w:rPr>
        <w:t>cent across studies</w:t>
      </w:r>
      <w:r w:rsidRPr="00BF57FF" w:rsidR="00FE5C28">
        <w:rPr>
          <w:rFonts w:ascii="Arial" w:hAnsi="Arial" w:cs="Arial"/>
          <w:sz w:val="22"/>
          <w:szCs w:val="22"/>
          <w:lang w:val="en-GB"/>
        </w:rPr>
        <w:t xml:space="preserve">. </w:t>
      </w:r>
      <w:r w:rsidRPr="00BF57FF" w:rsidR="00251CB3">
        <w:rPr>
          <w:rFonts w:ascii="Arial" w:hAnsi="Arial" w:cs="Arial"/>
          <w:sz w:val="22"/>
          <w:szCs w:val="22"/>
          <w:lang w:val="en-GB"/>
        </w:rPr>
        <w:t>The same review estimated a direct treatment</w:t>
      </w:r>
      <w:r w:rsidRPr="00BF57FF" w:rsidR="00FE5C28">
        <w:rPr>
          <w:rFonts w:ascii="Arial" w:hAnsi="Arial" w:cs="Arial"/>
          <w:sz w:val="22"/>
          <w:szCs w:val="22"/>
          <w:lang w:val="en-GB"/>
        </w:rPr>
        <w:t xml:space="preserve"> cost burden of about US$2.85 million each year</w:t>
      </w:r>
      <w:r w:rsidRPr="00BF57FF" w:rsidR="00AC7807">
        <w:rPr>
          <w:rFonts w:ascii="Arial" w:hAnsi="Arial" w:cs="Arial"/>
          <w:sz w:val="22"/>
          <w:szCs w:val="22"/>
          <w:lang w:val="en-GB"/>
        </w:rPr>
        <w:t>,</w:t>
      </w:r>
      <w:r w:rsidRPr="00BF57FF" w:rsidR="00FE5C28">
        <w:rPr>
          <w:rFonts w:ascii="Arial" w:hAnsi="Arial" w:cs="Arial"/>
          <w:sz w:val="22"/>
          <w:szCs w:val="22"/>
          <w:lang w:val="en-GB"/>
        </w:rPr>
        <w:t xml:space="preserve"> based on studies reviewed by John et al. (2021). This figure</w:t>
      </w:r>
      <w:r w:rsidRPr="00BF57FF">
        <w:rPr>
          <w:rFonts w:ascii="Arial" w:hAnsi="Arial" w:cs="Arial"/>
          <w:sz w:val="22"/>
          <w:szCs w:val="22"/>
          <w:lang w:val="en-GB"/>
        </w:rPr>
        <w:t xml:space="preserve"> only captures </w:t>
      </w:r>
      <w:r w:rsidRPr="00BF57FF">
        <w:rPr>
          <w:rFonts w:ascii="Arial" w:hAnsi="Arial" w:cs="Arial"/>
          <w:sz w:val="22"/>
          <w:szCs w:val="22"/>
          <w:lang w:val="en-GB"/>
        </w:rPr>
        <w:t xml:space="preserve">direct medical costs and does not indicate the economic burden in terms of the loss of productivity in premature death. Notably, severe heterogeneity and limitations in the quality of available evidence were also noted in the same review, with most studies </w:t>
      </w:r>
      <w:r w:rsidRPr="00BF57FF" w:rsidR="00613854">
        <w:rPr>
          <w:rFonts w:ascii="Arial" w:hAnsi="Arial" w:cs="Arial"/>
          <w:sz w:val="22"/>
          <w:szCs w:val="22"/>
          <w:lang w:val="en-GB"/>
        </w:rPr>
        <w:t>utilising</w:t>
      </w:r>
      <w:r w:rsidRPr="00BF57FF">
        <w:rPr>
          <w:rFonts w:ascii="Arial" w:hAnsi="Arial" w:cs="Arial"/>
          <w:sz w:val="22"/>
          <w:szCs w:val="22"/>
          <w:lang w:val="en-GB"/>
        </w:rPr>
        <w:t xml:space="preserve"> administrative records</w:t>
      </w:r>
      <w:r w:rsidRPr="00BF57FF" w:rsidR="00613854">
        <w:rPr>
          <w:rFonts w:ascii="Arial" w:hAnsi="Arial" w:cs="Arial"/>
          <w:sz w:val="22"/>
          <w:szCs w:val="22"/>
          <w:lang w:val="en-GB"/>
        </w:rPr>
        <w:t>,</w:t>
      </w:r>
      <w:r w:rsidRPr="00BF57FF">
        <w:rPr>
          <w:rFonts w:ascii="Arial" w:hAnsi="Arial" w:cs="Arial"/>
          <w:sz w:val="22"/>
          <w:szCs w:val="22"/>
          <w:lang w:val="en-GB"/>
        </w:rPr>
        <w:t xml:space="preserve"> which are known to underestimate true incidence by a significant margin and have a geographic coverage that is focused on several states and leaves large regions unexplored (John et al., 2021; Rahman and Isloor, 2018).</w:t>
      </w:r>
    </w:p>
    <w:p w:rsidRPr="00BF57FF" w:rsidR="00FA3D67" w:rsidP="00A70BBB" w:rsidRDefault="00744F09" w14:paraId="3624723F" w14:textId="1B0A8518">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The latest national estimation that is the most methodologically sound contains a substantial revision of previous numbers. This cross-sectional survey of sixty districts in fifteen Indian states, using probability decision-tree modelling, estimated 5,726 human rabies deaths each year in India</w:t>
      </w:r>
      <w:r w:rsidRPr="00BF57FF" w:rsidR="00613854">
        <w:rPr>
          <w:rFonts w:ascii="Arial" w:hAnsi="Arial" w:cs="Arial"/>
          <w:sz w:val="22"/>
          <w:szCs w:val="22"/>
          <w:lang w:val="en-GB"/>
        </w:rPr>
        <w:t>,</w:t>
      </w:r>
      <w:r w:rsidRPr="00BF57FF">
        <w:rPr>
          <w:rFonts w:ascii="Arial" w:hAnsi="Arial" w:cs="Arial"/>
          <w:sz w:val="22"/>
          <w:szCs w:val="22"/>
          <w:lang w:val="en-GB"/>
        </w:rPr>
        <w:t xml:space="preserve"> together with 9.1 million animal bite exposures per year, of which 79.5 </w:t>
      </w:r>
      <w:r w:rsidRPr="00BF57FF" w:rsidR="00AA6610">
        <w:rPr>
          <w:rFonts w:ascii="Arial" w:hAnsi="Arial" w:cs="Arial"/>
          <w:sz w:val="22"/>
          <w:szCs w:val="22"/>
          <w:lang w:val="en-GB"/>
        </w:rPr>
        <w:t>per cent</w:t>
      </w:r>
      <w:r w:rsidRPr="00BF57FF">
        <w:rPr>
          <w:rFonts w:ascii="Arial" w:hAnsi="Arial" w:cs="Arial"/>
          <w:sz w:val="22"/>
          <w:szCs w:val="22"/>
          <w:lang w:val="en-GB"/>
        </w:rPr>
        <w:t xml:space="preserve"> of bite victims had at least one dose of anti-rabies vaccine (Thangaraj et al., 2025). The analytically important finding is </w:t>
      </w:r>
      <w:r w:rsidRPr="00BF57FF" w:rsidR="00332140">
        <w:rPr>
          <w:rFonts w:ascii="Arial" w:hAnsi="Arial" w:cs="Arial"/>
          <w:sz w:val="22"/>
          <w:szCs w:val="22"/>
          <w:lang w:val="en-GB"/>
        </w:rPr>
        <w:t xml:space="preserve">that </w:t>
      </w:r>
      <w:r w:rsidRPr="00BF57FF">
        <w:rPr>
          <w:rFonts w:ascii="Arial" w:hAnsi="Arial" w:cs="Arial"/>
          <w:sz w:val="22"/>
          <w:szCs w:val="22"/>
          <w:lang w:val="en-GB"/>
        </w:rPr>
        <w:t>the predominant incomplete, not absent</w:t>
      </w:r>
      <w:r w:rsidRPr="00BF57FF" w:rsidR="00332140">
        <w:rPr>
          <w:rFonts w:ascii="Arial" w:hAnsi="Arial" w:cs="Arial"/>
          <w:sz w:val="22"/>
          <w:szCs w:val="22"/>
          <w:lang w:val="en-GB"/>
        </w:rPr>
        <w:t>, treatment</w:t>
      </w:r>
      <w:r w:rsidRPr="00BF57FF">
        <w:rPr>
          <w:rFonts w:ascii="Arial" w:hAnsi="Arial" w:cs="Arial"/>
          <w:sz w:val="22"/>
          <w:szCs w:val="22"/>
          <w:lang w:val="en-GB"/>
        </w:rPr>
        <w:t xml:space="preserve"> failure mode, i. e.</w:t>
      </w:r>
      <w:r w:rsidRPr="00BF57FF" w:rsidR="00332140">
        <w:rPr>
          <w:rFonts w:ascii="Arial" w:hAnsi="Arial" w:cs="Arial"/>
          <w:sz w:val="22"/>
          <w:szCs w:val="22"/>
          <w:lang w:val="en-GB"/>
        </w:rPr>
        <w:t>,</w:t>
      </w:r>
      <w:r w:rsidRPr="00BF57FF">
        <w:rPr>
          <w:rFonts w:ascii="Arial" w:hAnsi="Arial" w:cs="Arial"/>
          <w:sz w:val="22"/>
          <w:szCs w:val="22"/>
          <w:lang w:val="en-GB"/>
        </w:rPr>
        <w:t xml:space="preserve"> system-level failures in the treatment pathway, and not non-engagement with healthcare, contribute an unacceptably high fraction of avoidable deaths (Wallace et al., 2017).</w:t>
      </w:r>
    </w:p>
    <w:p w:rsidRPr="00BF57FF" w:rsidR="00FA3D67" w:rsidP="00A70BBB" w:rsidRDefault="003D207D" w14:paraId="2F3FA2E5" w14:textId="4A77A27E">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This burden is not </w:t>
      </w:r>
      <w:r w:rsidRPr="00BF57FF" w:rsidR="00B61414">
        <w:rPr>
          <w:rFonts w:ascii="Arial" w:hAnsi="Arial" w:cs="Arial"/>
          <w:sz w:val="22"/>
          <w:szCs w:val="22"/>
          <w:lang w:val="en-GB"/>
        </w:rPr>
        <w:t>localised</w:t>
      </w:r>
      <w:r w:rsidRPr="00BF57FF">
        <w:rPr>
          <w:rFonts w:ascii="Arial" w:hAnsi="Arial" w:cs="Arial"/>
          <w:sz w:val="22"/>
          <w:szCs w:val="22"/>
          <w:lang w:val="en-GB"/>
        </w:rPr>
        <w:t xml:space="preserve"> but focused geographically. In 2018-2023, the geospatial analysis of dog bites at the state level reported the highest number of 7.57 million cases nationally, with Uttar Pradesh, Bihar, and Maharashtra reporting the highest absolute burden, followed by a decrease to 2.18 million cases in 2022 and an increase to 2.76 in 2023, indicating that the positive changes in the vaccination and sterilisation programmes are not durable and may be reversed (Janekunte et al., 2025). Mumbai urban data show that most category III exposures (immune-needing rabies immunoglobulin) to stray dogs are the leading cause of urban governance failures, as well as the risk of disease (Mukhopadhyay et al., 2026). In Delhi, there has been an increasing bite incidence, a disjointed Animal Birth Control programme delivery, and a Supreme Court intervention in 2025, all of which are indicative of a shift in bite management </w:t>
      </w:r>
      <w:r w:rsidRPr="00BF57FF" w:rsidR="00B61414">
        <w:rPr>
          <w:rFonts w:ascii="Arial" w:hAnsi="Arial" w:cs="Arial"/>
          <w:sz w:val="22"/>
          <w:szCs w:val="22"/>
          <w:lang w:val="en-GB"/>
        </w:rPr>
        <w:t>from</w:t>
      </w:r>
      <w:r w:rsidRPr="00BF57FF">
        <w:rPr>
          <w:rFonts w:ascii="Arial" w:hAnsi="Arial" w:cs="Arial"/>
          <w:sz w:val="22"/>
          <w:szCs w:val="22"/>
          <w:lang w:val="en-GB"/>
        </w:rPr>
        <w:t xml:space="preserve"> a routine public health issue to a governance crisis (Raj, 2026).</w:t>
      </w:r>
    </w:p>
    <w:p w:rsidRPr="00BF57FF" w:rsidR="00FA3D67" w:rsidP="00A70BBB" w:rsidRDefault="00251CB3" w14:paraId="3758F406" w14:textId="2D456090">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The rabies burden in India is not only an </w:t>
      </w:r>
      <w:r w:rsidRPr="00BF57FF" w:rsidR="00401792">
        <w:rPr>
          <w:rFonts w:ascii="Arial" w:hAnsi="Arial" w:cs="Arial"/>
          <w:sz w:val="22"/>
          <w:szCs w:val="22"/>
          <w:lang w:val="en-GB"/>
        </w:rPr>
        <w:t xml:space="preserve">epidemiological </w:t>
      </w:r>
      <w:r w:rsidRPr="00BF57FF">
        <w:rPr>
          <w:rFonts w:ascii="Arial" w:hAnsi="Arial" w:cs="Arial"/>
          <w:sz w:val="22"/>
          <w:szCs w:val="22"/>
          <w:lang w:val="en-GB"/>
        </w:rPr>
        <w:t>phenomenon but one deeply embedded in social, cultural, and governance structures</w:t>
      </w:r>
      <w:r w:rsidRPr="00BF57FF" w:rsidR="00401792">
        <w:rPr>
          <w:rFonts w:ascii="Arial" w:hAnsi="Arial" w:cs="Arial"/>
          <w:sz w:val="22"/>
          <w:szCs w:val="22"/>
          <w:lang w:val="en-GB"/>
        </w:rPr>
        <w:t>. In Nadal (2020), the medical anthropological field work in Delhi and Jaipur shows that preventable deaths are not merely due to lack of knowledge by individuals or failure of isolated systems</w:t>
      </w:r>
      <w:r w:rsidRPr="00BF57FF" w:rsidR="00B61414">
        <w:rPr>
          <w:rFonts w:ascii="Arial" w:hAnsi="Arial" w:cs="Arial"/>
          <w:sz w:val="22"/>
          <w:szCs w:val="22"/>
          <w:lang w:val="en-GB"/>
        </w:rPr>
        <w:t>,</w:t>
      </w:r>
      <w:r w:rsidRPr="00BF57FF" w:rsidR="00401792">
        <w:rPr>
          <w:rFonts w:ascii="Arial" w:hAnsi="Arial" w:cs="Arial"/>
          <w:sz w:val="22"/>
          <w:szCs w:val="22"/>
          <w:lang w:val="en-GB"/>
        </w:rPr>
        <w:t xml:space="preserve"> but are deeply structured relationships between the marginalised populations, </w:t>
      </w:r>
      <w:r w:rsidRPr="00BF57FF" w:rsidR="00B61414">
        <w:rPr>
          <w:rFonts w:ascii="Arial" w:hAnsi="Arial" w:cs="Arial"/>
          <w:sz w:val="22"/>
          <w:szCs w:val="22"/>
          <w:lang w:val="en-GB"/>
        </w:rPr>
        <w:t>free-roaming</w:t>
      </w:r>
      <w:r w:rsidRPr="00BF57FF" w:rsidR="00401792">
        <w:rPr>
          <w:rFonts w:ascii="Arial" w:hAnsi="Arial" w:cs="Arial"/>
          <w:sz w:val="22"/>
          <w:szCs w:val="22"/>
          <w:lang w:val="en-GB"/>
        </w:rPr>
        <w:t xml:space="preserve"> animals and a state health system that has systematically failed to prioritise a disease of the rural poor. Historical backgrounds of such deprioritisation, which can be followed to colonial scientific inquiry and post-independence resource allocation choices, </w:t>
      </w:r>
      <w:r w:rsidRPr="00BF57FF" w:rsidR="00401792">
        <w:rPr>
          <w:rFonts w:ascii="Arial" w:hAnsi="Arial" w:cs="Arial"/>
          <w:sz w:val="22"/>
          <w:szCs w:val="22"/>
          <w:lang w:val="en-GB"/>
        </w:rPr>
        <w:t>exacerbate the modern structural failures discussed in the following sections (Acharya, Subedi and Wilson, 2021). Previous data on national mortality surveys had estimated about 12,700 furious rabies deaths in 2005, of which 91% were in rural regions</w:t>
      </w:r>
      <w:r w:rsidRPr="00BF57FF" w:rsidR="00B61414">
        <w:rPr>
          <w:rFonts w:ascii="Arial" w:hAnsi="Arial" w:cs="Arial"/>
          <w:sz w:val="22"/>
          <w:szCs w:val="22"/>
          <w:lang w:val="en-GB"/>
        </w:rPr>
        <w:t>,</w:t>
      </w:r>
      <w:r w:rsidRPr="00BF57FF" w:rsidR="00401792">
        <w:rPr>
          <w:rFonts w:ascii="Arial" w:hAnsi="Arial" w:cs="Arial"/>
          <w:sz w:val="22"/>
          <w:szCs w:val="22"/>
          <w:lang w:val="en-GB"/>
        </w:rPr>
        <w:t xml:space="preserve"> and 50% were among children below the age of 15 years (Suraweera et al., 2012). Children below the age of 15 years are a disproportionately high-risk group of rabies exposure and death in endemic environments, and passive surveillance data are always underestimated on the actual burden of animal bites in children</w:t>
      </w:r>
      <w:r w:rsidRPr="00BF57FF" w:rsidR="00B61414">
        <w:rPr>
          <w:rFonts w:ascii="Arial" w:hAnsi="Arial" w:cs="Arial"/>
          <w:sz w:val="22"/>
          <w:szCs w:val="22"/>
          <w:lang w:val="en-GB"/>
        </w:rPr>
        <w:t>. School-based</w:t>
      </w:r>
      <w:r w:rsidRPr="00BF57FF" w:rsidR="00401792">
        <w:rPr>
          <w:rFonts w:ascii="Arial" w:hAnsi="Arial" w:cs="Arial"/>
          <w:sz w:val="22"/>
          <w:szCs w:val="22"/>
          <w:lang w:val="en-GB"/>
        </w:rPr>
        <w:t xml:space="preserve"> pre-exposure prophylaxis programmes have been proven to be both feasible and economically viable (Deray et al., 2018). The rural concentration of the risk and burden was confirmed by community survey data </w:t>
      </w:r>
      <w:r w:rsidRPr="00BF57FF" w:rsidR="0044093E">
        <w:rPr>
          <w:rFonts w:ascii="Arial" w:hAnsi="Arial" w:cs="Arial"/>
          <w:sz w:val="22"/>
          <w:szCs w:val="22"/>
          <w:lang w:val="en-GB"/>
        </w:rPr>
        <w:t>from seven Indian states, which reported an incidence of animal exposure of 1.26 per year, with 68.5% of exposures occurring</w:t>
      </w:r>
      <w:r w:rsidRPr="00BF57FF" w:rsidR="00401792">
        <w:rPr>
          <w:rFonts w:ascii="Arial" w:hAnsi="Arial" w:cs="Arial"/>
          <w:sz w:val="22"/>
          <w:szCs w:val="22"/>
          <w:lang w:val="en-GB"/>
        </w:rPr>
        <w:t xml:space="preserve"> in rural environments (Masthi, Pradeep and Bilagumba, 2019). </w:t>
      </w:r>
    </w:p>
    <w:p w:rsidRPr="00BF57FF" w:rsidR="00FA3D67" w:rsidP="00A70BBB" w:rsidRDefault="00FA3D67" w14:paraId="6A9652EF" w14:textId="2E7DC82C">
      <w:pPr>
        <w:spacing w:after="152" w:line="360" w:lineRule="auto"/>
        <w:jc w:val="both"/>
        <w:rPr>
          <w:rFonts w:ascii="Arial" w:hAnsi="Arial" w:cs="Arial"/>
        </w:rPr>
      </w:pPr>
    </w:p>
    <w:p w:rsidRPr="00BF57FF" w:rsidR="00FA3D67" w:rsidP="00A70BBB" w:rsidRDefault="00FA3D67" w14:paraId="23F882FA" w14:textId="77777777">
      <w:pPr>
        <w:pStyle w:val="Heading2"/>
        <w:spacing w:line="360" w:lineRule="auto"/>
        <w:jc w:val="both"/>
        <w:rPr>
          <w:rFonts w:ascii="Arial" w:hAnsi="Arial" w:cs="Arial"/>
          <w:sz w:val="22"/>
        </w:rPr>
      </w:pPr>
      <w:bookmarkStart w:name="_Toc231005852" w:id="29"/>
      <w:bookmarkStart w:name="_Toc231298566" w:id="30"/>
      <w:r w:rsidRPr="00BF57FF">
        <w:rPr>
          <w:rFonts w:ascii="Arial" w:hAnsi="Arial" w:cs="Arial"/>
          <w:sz w:val="22"/>
        </w:rPr>
        <w:t>2.3 Post-Exposure Prophylaxis: Access, Compliance, and Barriers</w:t>
      </w:r>
      <w:bookmarkEnd w:id="29"/>
      <w:bookmarkEnd w:id="30"/>
    </w:p>
    <w:p w:rsidRPr="00BF57FF" w:rsidR="00FA3D67" w:rsidP="00A70BBB" w:rsidRDefault="001261B6" w14:paraId="0FC576BB" w14:textId="0FA18364">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The final preventive measure </w:t>
      </w:r>
      <w:r w:rsidRPr="00BF57FF" w:rsidR="00613854">
        <w:rPr>
          <w:rFonts w:ascii="Arial" w:hAnsi="Arial" w:cs="Arial"/>
          <w:sz w:val="22"/>
          <w:szCs w:val="22"/>
          <w:lang w:val="en-GB"/>
        </w:rPr>
        <w:t>for</w:t>
      </w:r>
      <w:r w:rsidRPr="00BF57FF">
        <w:rPr>
          <w:rFonts w:ascii="Arial" w:hAnsi="Arial" w:cs="Arial"/>
          <w:sz w:val="22"/>
          <w:szCs w:val="22"/>
          <w:lang w:val="en-GB"/>
        </w:rPr>
        <w:t xml:space="preserve"> animals that may be rabid is post-exposure prophylaxis. The WHO-suggested category II and III exposure protocol </w:t>
      </w:r>
      <w:r w:rsidRPr="00BF57FF" w:rsidR="00AA6610">
        <w:rPr>
          <w:rFonts w:ascii="Arial" w:hAnsi="Arial" w:cs="Arial"/>
          <w:sz w:val="22"/>
          <w:szCs w:val="22"/>
          <w:lang w:val="en-GB"/>
        </w:rPr>
        <w:t>includes</w:t>
      </w:r>
      <w:r w:rsidRPr="00BF57FF">
        <w:rPr>
          <w:rFonts w:ascii="Arial" w:hAnsi="Arial" w:cs="Arial"/>
          <w:sz w:val="22"/>
          <w:szCs w:val="22"/>
          <w:lang w:val="en-GB"/>
        </w:rPr>
        <w:t xml:space="preserve"> wound washing with soap and water </w:t>
      </w:r>
      <w:r w:rsidRPr="00BF57FF" w:rsidR="00613854">
        <w:rPr>
          <w:rFonts w:ascii="Arial" w:hAnsi="Arial" w:cs="Arial"/>
          <w:sz w:val="22"/>
          <w:szCs w:val="22"/>
          <w:lang w:val="en-GB"/>
        </w:rPr>
        <w:t xml:space="preserve">for </w:t>
      </w:r>
      <w:r w:rsidRPr="00BF57FF">
        <w:rPr>
          <w:rFonts w:ascii="Arial" w:hAnsi="Arial" w:cs="Arial"/>
          <w:sz w:val="22"/>
          <w:szCs w:val="22"/>
          <w:lang w:val="en-GB"/>
        </w:rPr>
        <w:t>at least 15 minutes, an entire course of anti-rabies vaccination on the day of first contact, and infiltration of rabies immunoglobulin in and around the wound in case of category III bites (World Health Organization, 2018b). All the components of this protocol are required separately; incomplete compliance, especially the absence of immunoglobulin in severe exposures or an inability to get all vaccinations, is a strong indicator of the failure in treatment (World Health Organization, 2018c).</w:t>
      </w:r>
    </w:p>
    <w:p w:rsidRPr="00BF57FF" w:rsidR="00FA3D67" w:rsidP="00A70BBB" w:rsidRDefault="00613854" w14:paraId="2568A978" w14:textId="51A025B5">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India's</w:t>
      </w:r>
      <w:r w:rsidRPr="00BF57FF" w:rsidR="005D770D">
        <w:rPr>
          <w:rFonts w:ascii="Arial" w:hAnsi="Arial" w:cs="Arial"/>
          <w:sz w:val="22"/>
          <w:szCs w:val="22"/>
          <w:lang w:val="en-GB"/>
        </w:rPr>
        <w:t xml:space="preserve"> PEP completion rates evidence is consistently below the level needed to provide credible population-level protection. The largest meta-analysis of PEP compliance among the Indian population has estimated a pooled rate of 57 </w:t>
      </w:r>
      <w:r w:rsidRPr="00BF57FF" w:rsidR="00AA6610">
        <w:rPr>
          <w:rFonts w:ascii="Arial" w:hAnsi="Arial" w:cs="Arial"/>
          <w:sz w:val="22"/>
          <w:szCs w:val="22"/>
          <w:lang w:val="en-GB"/>
        </w:rPr>
        <w:t>per cent</w:t>
      </w:r>
      <w:r w:rsidRPr="00BF57FF" w:rsidR="005D770D">
        <w:rPr>
          <w:rFonts w:ascii="Arial" w:hAnsi="Arial" w:cs="Arial"/>
          <w:sz w:val="22"/>
          <w:szCs w:val="22"/>
          <w:lang w:val="en-GB"/>
        </w:rPr>
        <w:t xml:space="preserve">, or about four out of every ten bite victims accessing the healthcare system fail to take the entire course needed to ensure protection (Debnath et al., 2025). This observation is supported by national multi-state data on the Indian Multicentric Rabies Survey 2017: full intramuscular vaccination coverage was recorded at 65.9% and intradermal </w:t>
      </w:r>
      <w:r w:rsidRPr="00BF57FF">
        <w:rPr>
          <w:rFonts w:ascii="Arial" w:hAnsi="Arial" w:cs="Arial"/>
          <w:sz w:val="22"/>
          <w:szCs w:val="22"/>
          <w:lang w:val="en-GB"/>
        </w:rPr>
        <w:t>vaccination</w:t>
      </w:r>
      <w:r w:rsidRPr="00BF57FF" w:rsidR="005D770D">
        <w:rPr>
          <w:rFonts w:ascii="Arial" w:hAnsi="Arial" w:cs="Arial"/>
          <w:sz w:val="22"/>
          <w:szCs w:val="22"/>
          <w:lang w:val="en-GB"/>
        </w:rPr>
        <w:t xml:space="preserve"> coverage at 85.1%</w:t>
      </w:r>
      <w:r w:rsidRPr="00BF57FF">
        <w:rPr>
          <w:rFonts w:ascii="Arial" w:hAnsi="Arial" w:cs="Arial"/>
          <w:sz w:val="22"/>
          <w:szCs w:val="22"/>
          <w:lang w:val="en-GB"/>
        </w:rPr>
        <w:t>,</w:t>
      </w:r>
      <w:r w:rsidRPr="00BF57FF" w:rsidR="005D770D">
        <w:rPr>
          <w:rFonts w:ascii="Arial" w:hAnsi="Arial" w:cs="Arial"/>
          <w:sz w:val="22"/>
          <w:szCs w:val="22"/>
          <w:lang w:val="en-GB"/>
        </w:rPr>
        <w:t xml:space="preserve"> whereas</w:t>
      </w:r>
      <w:r w:rsidRPr="00BF57FF">
        <w:rPr>
          <w:rFonts w:ascii="Arial" w:hAnsi="Arial" w:cs="Arial"/>
          <w:sz w:val="22"/>
          <w:szCs w:val="22"/>
          <w:lang w:val="en-GB"/>
        </w:rPr>
        <w:t>,</w:t>
      </w:r>
      <w:r w:rsidRPr="00BF57FF" w:rsidR="005D770D">
        <w:rPr>
          <w:rFonts w:ascii="Arial" w:hAnsi="Arial" w:cs="Arial"/>
          <w:sz w:val="22"/>
          <w:szCs w:val="22"/>
          <w:lang w:val="en-GB"/>
        </w:rPr>
        <w:t xml:space="preserve"> more importantly, only 46.2% of the victims of category III exposure had received rabies immunoglobulin (Haradanhalli et al., 2019). Non-completion causes of this national study are analytically significant: loss of wages associated with clinic visits made up 32.1% of non-completion, forgotten appointment dates 17.9%, and distance to the anti-rabies clinic 14.3% - pointing </w:t>
      </w:r>
      <w:r w:rsidRPr="00BF57FF" w:rsidR="005D770D">
        <w:rPr>
          <w:rFonts w:ascii="Arial" w:hAnsi="Arial" w:cs="Arial"/>
          <w:sz w:val="22"/>
          <w:szCs w:val="22"/>
          <w:lang w:val="en-GB"/>
        </w:rPr>
        <w:t xml:space="preserve">squarely to structural and logistical barriers, as opposed to vaccine hesitancy or motivational deficits (Haradanhalli et al., 2019; Shankaraiah et al., 2015). Similar immunogenicity at much lower cost, abridged intradermal PEP schedules, which provide a full-course of protection in one week and have fewer clinic visits than conventional intramuscular schedules, have shown comparable immunogenicity, suggesting that schedule design is itself a structure determinant of completion rates among at-risk populations with logistical barriers (Kessels et al., 2019). </w:t>
      </w:r>
    </w:p>
    <w:p w:rsidRPr="00BF57FF" w:rsidR="00FA3D67" w:rsidP="00A70BBB" w:rsidRDefault="001F2F50" w14:paraId="3B3A29A6" w14:textId="23BC221B">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Late initiation of PEP aggravates these failures of completion. Maiti et al. (2026) discovered that 24.74% of animal bite victims in Central India took longer than 24 hours to initiate PEP, and rural residency, sociocultural myths about bite control</w:t>
      </w:r>
      <w:r w:rsidRPr="00BF57FF" w:rsidR="00613854">
        <w:rPr>
          <w:rFonts w:ascii="Arial" w:hAnsi="Arial" w:cs="Arial"/>
          <w:sz w:val="22"/>
          <w:szCs w:val="22"/>
          <w:lang w:val="en-GB"/>
        </w:rPr>
        <w:t>,</w:t>
      </w:r>
      <w:r w:rsidRPr="00BF57FF">
        <w:rPr>
          <w:rFonts w:ascii="Arial" w:hAnsi="Arial" w:cs="Arial"/>
          <w:sz w:val="22"/>
          <w:szCs w:val="22"/>
          <w:lang w:val="en-GB"/>
        </w:rPr>
        <w:t xml:space="preserve"> and the initial use of traditional remedies were the main determinants. In category III bites (the head or neck), the incubation period can be as short as two to three weeks, and the immunoglobulin administration delays up to 24 to 48 hours</w:t>
      </w:r>
      <w:r w:rsidRPr="00BF57FF" w:rsidR="00613854">
        <w:rPr>
          <w:rFonts w:ascii="Arial" w:hAnsi="Arial" w:cs="Arial"/>
          <w:sz w:val="22"/>
          <w:szCs w:val="22"/>
          <w:lang w:val="en-GB"/>
        </w:rPr>
        <w:t>, decreasing</w:t>
      </w:r>
      <w:r w:rsidRPr="00BF57FF">
        <w:rPr>
          <w:rFonts w:ascii="Arial" w:hAnsi="Arial" w:cs="Arial"/>
          <w:sz w:val="22"/>
          <w:szCs w:val="22"/>
          <w:lang w:val="en-GB"/>
        </w:rPr>
        <w:t xml:space="preserve"> its neutralising effect against the virus already spreading along the peripheral nerves (Fooks et al., 2017). The cumulative risk pathway, which is proven to be related to preventable mortality, is compounded due to delays in initiation and incomplete completion (Hemachudha et al., 2013).</w:t>
      </w:r>
    </w:p>
    <w:p w:rsidRPr="00BF57FF" w:rsidR="00FA3D67" w:rsidP="00A70BBB" w:rsidRDefault="00920C16" w14:paraId="415CA2F7" w14:textId="72BAF27A">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Supply-side failures are structural obstacles regardless of patient motivation. According to Pardeshi et al. (2026), the key weaknesses of the primary programme are intermittent availability of anti-rabies vaccination and extreme shortages of rabies immunoglobulin in rural government facilities, and patients are often referred to private pharmacies at prohibitive personal cost or not </w:t>
      </w:r>
      <w:r w:rsidRPr="00BF57FF" w:rsidR="00613854">
        <w:rPr>
          <w:rFonts w:ascii="Arial" w:hAnsi="Arial" w:cs="Arial"/>
          <w:sz w:val="22"/>
          <w:szCs w:val="22"/>
          <w:lang w:val="en-GB"/>
        </w:rPr>
        <w:t>immunised</w:t>
      </w:r>
      <w:r w:rsidRPr="00BF57FF">
        <w:rPr>
          <w:rFonts w:ascii="Arial" w:hAnsi="Arial" w:cs="Arial"/>
          <w:sz w:val="22"/>
          <w:szCs w:val="22"/>
          <w:lang w:val="en-GB"/>
        </w:rPr>
        <w:t xml:space="preserve"> at all. The cost burden is high: the median total cost of a full PEP course was USD 22 in government facilities and USD 58 in private hospitals, which is a prohibitive expense to low-income rural households (Haradanhalli, Hanumanthaiah and Varadappa, 2019). Reviewing patterns of non-compliance at a rural primary health centre in Maharashtra, Gadapani et al. (2019) observed that the use of traditional remedies </w:t>
      </w:r>
      <w:r w:rsidRPr="00BF57FF" w:rsidR="00613854">
        <w:rPr>
          <w:rFonts w:ascii="Arial" w:hAnsi="Arial" w:cs="Arial"/>
          <w:sz w:val="22"/>
          <w:szCs w:val="22"/>
          <w:lang w:val="en-GB"/>
        </w:rPr>
        <w:t>for</w:t>
      </w:r>
      <w:r w:rsidRPr="00BF57FF">
        <w:rPr>
          <w:rFonts w:ascii="Arial" w:hAnsi="Arial" w:cs="Arial"/>
          <w:sz w:val="22"/>
          <w:szCs w:val="22"/>
          <w:lang w:val="en-GB"/>
        </w:rPr>
        <w:t xml:space="preserve"> bite wounds, such as chilli paste, turmeric, and lime, was widespread among non-completing victims, reflecting the conflict between culturally ingrained behaviour in response to animal bites and biomedical consultation. The application of traditional medicine after animal bites is always linked to high delays in PEP, and the tendency is notably high in environments where formal healthcare is not available geographically or is mistrusted culturally (Beasley et al., 2022).</w:t>
      </w:r>
    </w:p>
    <w:p w:rsidRPr="00BF57FF" w:rsidR="00FA3D67" w:rsidP="00A70BBB" w:rsidRDefault="00FA3D67" w14:paraId="19E4B985" w14:textId="2A751D0C">
      <w:pPr>
        <w:spacing w:after="152" w:line="360" w:lineRule="auto"/>
        <w:jc w:val="both"/>
        <w:rPr>
          <w:rFonts w:ascii="Arial" w:hAnsi="Arial" w:cs="Arial"/>
        </w:rPr>
      </w:pPr>
    </w:p>
    <w:p w:rsidRPr="00BF57FF" w:rsidR="00FA3D67" w:rsidP="00A70BBB" w:rsidRDefault="00FA3D67" w14:paraId="76ADEA58" w14:textId="77777777">
      <w:pPr>
        <w:pStyle w:val="Heading2"/>
        <w:spacing w:line="360" w:lineRule="auto"/>
        <w:jc w:val="both"/>
        <w:rPr>
          <w:rFonts w:ascii="Arial" w:hAnsi="Arial" w:cs="Arial"/>
          <w:sz w:val="22"/>
        </w:rPr>
      </w:pPr>
      <w:bookmarkStart w:name="_Toc231005853" w:id="31"/>
      <w:bookmarkStart w:name="_Toc231298567" w:id="32"/>
      <w:r w:rsidRPr="00BF57FF">
        <w:rPr>
          <w:rFonts w:ascii="Arial" w:hAnsi="Arial" w:cs="Arial"/>
          <w:sz w:val="22"/>
        </w:rPr>
        <w:t>2.4 Community Knowledge, Attitudes, and Health-Seeking Behaviour</w:t>
      </w:r>
      <w:bookmarkEnd w:id="31"/>
      <w:bookmarkEnd w:id="32"/>
    </w:p>
    <w:p w:rsidRPr="00BF57FF" w:rsidR="00FA3D67" w:rsidP="00A70BBB" w:rsidRDefault="003E327D" w14:paraId="090439AB" w14:textId="3874434D">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The most consistently documented gaps in knowledge pertain to the transmission, severity, and the need </w:t>
      </w:r>
      <w:r w:rsidRPr="00BF57FF" w:rsidR="00613854">
        <w:rPr>
          <w:rFonts w:ascii="Arial" w:hAnsi="Arial" w:cs="Arial"/>
          <w:sz w:val="22"/>
          <w:szCs w:val="22"/>
          <w:lang w:val="en-GB"/>
        </w:rPr>
        <w:t>for</w:t>
      </w:r>
      <w:r w:rsidRPr="00BF57FF">
        <w:rPr>
          <w:rFonts w:ascii="Arial" w:hAnsi="Arial" w:cs="Arial"/>
          <w:sz w:val="22"/>
          <w:szCs w:val="22"/>
          <w:lang w:val="en-GB"/>
        </w:rPr>
        <w:t xml:space="preserve"> full PEP of rabies in India-specific literature. A community-based KAP study on 350 urban residents in Chennai found that 76% had heard about rabies, but only 37.3% were able to describe the appropriate first aid response to an animal bite, and only 35% of those bitten completed the entire vaccination course (Sivagurunathan et al., 2021). These results in a relatively accessible urban setting indicate </w:t>
      </w:r>
      <w:r w:rsidRPr="00BF57FF" w:rsidR="00613854">
        <w:rPr>
          <w:rFonts w:ascii="Arial" w:hAnsi="Arial" w:cs="Arial"/>
          <w:sz w:val="22"/>
          <w:szCs w:val="22"/>
          <w:lang w:val="en-GB"/>
        </w:rPr>
        <w:t>many</w:t>
      </w:r>
      <w:r w:rsidRPr="00BF57FF">
        <w:rPr>
          <w:rFonts w:ascii="Arial" w:hAnsi="Arial" w:cs="Arial"/>
          <w:sz w:val="22"/>
          <w:szCs w:val="22"/>
          <w:lang w:val="en-GB"/>
        </w:rPr>
        <w:t xml:space="preserve"> more deficits in rural environments. Similar statistics in Pakistan record that about 44% of dog bite victims in South Asia resort to the use of soap and water alone as opposed to the full recommended wound management guideline, stray dogs being the most common cause of category-relevant exposures, and children and lower limbs overrepresented victims of poor bite management practice (Khan et al., 2023). Surveys of community awareness done in seven states of India discovered that only 60.4% of adults were aware of rabies</w:t>
      </w:r>
      <w:r w:rsidRPr="00BF57FF" w:rsidR="00613854">
        <w:rPr>
          <w:rFonts w:ascii="Arial" w:hAnsi="Arial" w:cs="Arial"/>
          <w:sz w:val="22"/>
          <w:szCs w:val="22"/>
          <w:lang w:val="en-GB"/>
        </w:rPr>
        <w:t>,</w:t>
      </w:r>
      <w:r w:rsidRPr="00BF57FF">
        <w:rPr>
          <w:rFonts w:ascii="Arial" w:hAnsi="Arial" w:cs="Arial"/>
          <w:sz w:val="22"/>
          <w:szCs w:val="22"/>
          <w:lang w:val="en-GB"/>
        </w:rPr>
        <w:t xml:space="preserve"> and only 3.7% were aware of pre-exposure prophylaxis, which confirms that knowledge gaps in rural areas are not only significant but also nationally distributed (Masthi, Sanjay, Pradeep and Anwith, 2019). A rural western Indian cross-sectional study involving communities revealed that although 96.4 </w:t>
      </w:r>
      <w:r w:rsidRPr="00BF57FF" w:rsidR="00E41448">
        <w:rPr>
          <w:rFonts w:ascii="Arial" w:hAnsi="Arial" w:cs="Arial"/>
          <w:sz w:val="22"/>
          <w:szCs w:val="22"/>
          <w:lang w:val="en-GB"/>
        </w:rPr>
        <w:t>per cent</w:t>
      </w:r>
      <w:r w:rsidRPr="00BF57FF">
        <w:rPr>
          <w:rFonts w:ascii="Arial" w:hAnsi="Arial" w:cs="Arial"/>
          <w:sz w:val="22"/>
          <w:szCs w:val="22"/>
          <w:lang w:val="en-GB"/>
        </w:rPr>
        <w:t xml:space="preserve"> of participants had heard about rabies, in-depth knowledge of transmission, incubation, and treatment needs was poor, with knowledge gaps especially pronounced regarding the importance of animal health status and immunoglobulin needs in case of severe exposures (Tiwari et al., 2019b).</w:t>
      </w:r>
    </w:p>
    <w:p w:rsidRPr="00BF57FF" w:rsidR="00FA3D67" w:rsidP="00A70BBB" w:rsidRDefault="00315913" w14:paraId="022506CD" w14:textId="5BF450E0">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One particular and harmful misconception is repeated in different environments: when bitten by seemingly healthy or owned animals, many victims of bites do not seek medical attention, </w:t>
      </w:r>
      <w:r w:rsidRPr="00BF57FF" w:rsidR="00251CB3">
        <w:rPr>
          <w:rFonts w:ascii="Arial" w:hAnsi="Arial" w:cs="Arial"/>
          <w:sz w:val="22"/>
          <w:szCs w:val="22"/>
          <w:lang w:val="en-GB"/>
        </w:rPr>
        <w:t>unaware</w:t>
      </w:r>
      <w:r w:rsidRPr="00BF57FF">
        <w:rPr>
          <w:rFonts w:ascii="Arial" w:hAnsi="Arial" w:cs="Arial"/>
          <w:sz w:val="22"/>
          <w:szCs w:val="22"/>
          <w:lang w:val="en-GB"/>
        </w:rPr>
        <w:t xml:space="preserve"> that the incubation period in dogs can take several weeks and that the pre-symptomatic shedding of viruses in saliva can precede clinical manifestations by several weeks (Fooks et al., 2017). Such a misperception excludes a large percentage of truly </w:t>
      </w:r>
      <w:r w:rsidRPr="00BF57FF" w:rsidR="00613854">
        <w:rPr>
          <w:rFonts w:ascii="Arial" w:hAnsi="Arial" w:cs="Arial"/>
          <w:sz w:val="22"/>
          <w:szCs w:val="22"/>
          <w:lang w:val="en-GB"/>
        </w:rPr>
        <w:t>high-risk</w:t>
      </w:r>
      <w:r w:rsidRPr="00BF57FF">
        <w:rPr>
          <w:rFonts w:ascii="Arial" w:hAnsi="Arial" w:cs="Arial"/>
          <w:sz w:val="22"/>
          <w:szCs w:val="22"/>
          <w:lang w:val="en-GB"/>
        </w:rPr>
        <w:t xml:space="preserve"> exposures </w:t>
      </w:r>
      <w:r w:rsidRPr="00BF57FF" w:rsidR="00613854">
        <w:rPr>
          <w:rFonts w:ascii="Arial" w:hAnsi="Arial" w:cs="Arial"/>
          <w:sz w:val="22"/>
          <w:szCs w:val="22"/>
          <w:lang w:val="en-GB"/>
        </w:rPr>
        <w:t>from</w:t>
      </w:r>
      <w:r w:rsidRPr="00BF57FF">
        <w:rPr>
          <w:rFonts w:ascii="Arial" w:hAnsi="Arial" w:cs="Arial"/>
          <w:sz w:val="22"/>
          <w:szCs w:val="22"/>
          <w:lang w:val="en-GB"/>
        </w:rPr>
        <w:t xml:space="preserve"> the treatment pathway. Similar gaps are observed among community health workers: in rural Odisha, a significant share of ASHAs and ANMs failed to provide an adequate description of the post-bite wound care plan, could not differentiate between exposure groups, and failed to make regular referrals to anti-rabies clinics - all of which </w:t>
      </w:r>
      <w:r w:rsidRPr="00BF57FF" w:rsidR="00613854">
        <w:rPr>
          <w:rFonts w:ascii="Arial" w:hAnsi="Arial" w:cs="Arial"/>
          <w:sz w:val="22"/>
          <w:szCs w:val="22"/>
          <w:lang w:val="en-GB"/>
        </w:rPr>
        <w:t>contribute</w:t>
      </w:r>
      <w:r w:rsidRPr="00BF57FF">
        <w:rPr>
          <w:rFonts w:ascii="Arial" w:hAnsi="Arial" w:cs="Arial"/>
          <w:sz w:val="22"/>
          <w:szCs w:val="22"/>
          <w:lang w:val="en-GB"/>
        </w:rPr>
        <w:t xml:space="preserve"> to a setting-level ARV adherence rate of 47.9% (Sahu et al., 2021).</w:t>
      </w:r>
    </w:p>
    <w:p w:rsidRPr="00BF57FF" w:rsidR="00FA3D67" w:rsidP="00A70BBB" w:rsidRDefault="00266141" w14:paraId="6182AA5B" w14:textId="14430916">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Knowledge and behaviour, however, cannot be easily interpreted in terms of </w:t>
      </w:r>
      <w:r w:rsidRPr="00BF57FF" w:rsidR="00837588">
        <w:rPr>
          <w:rFonts w:ascii="Arial" w:hAnsi="Arial" w:cs="Arial"/>
          <w:sz w:val="22"/>
          <w:szCs w:val="22"/>
          <w:lang w:val="en-GB"/>
        </w:rPr>
        <w:t xml:space="preserve">an </w:t>
      </w:r>
      <w:r w:rsidRPr="00BF57FF" w:rsidR="00B61414">
        <w:rPr>
          <w:rFonts w:ascii="Arial" w:hAnsi="Arial" w:cs="Arial"/>
          <w:sz w:val="22"/>
          <w:szCs w:val="22"/>
          <w:lang w:val="en-GB"/>
        </w:rPr>
        <w:t>information deficit</w:t>
      </w:r>
      <w:r w:rsidRPr="00BF57FF">
        <w:rPr>
          <w:rFonts w:ascii="Arial" w:hAnsi="Arial" w:cs="Arial"/>
          <w:sz w:val="22"/>
          <w:szCs w:val="22"/>
          <w:lang w:val="en-GB"/>
        </w:rPr>
        <w:t xml:space="preserve">. Srinivasan et al. (2019) </w:t>
      </w:r>
      <w:r w:rsidRPr="00BF57FF" w:rsidR="00837588">
        <w:rPr>
          <w:rFonts w:ascii="Arial" w:hAnsi="Arial" w:cs="Arial"/>
          <w:sz w:val="22"/>
          <w:szCs w:val="22"/>
          <w:lang w:val="en-GB"/>
        </w:rPr>
        <w:t>criticise</w:t>
      </w:r>
      <w:r w:rsidRPr="00BF57FF">
        <w:rPr>
          <w:rFonts w:ascii="Arial" w:hAnsi="Arial" w:cs="Arial"/>
          <w:sz w:val="22"/>
          <w:szCs w:val="22"/>
          <w:lang w:val="en-GB"/>
        </w:rPr>
        <w:t xml:space="preserve"> the paradigm prevailing in the literature of rabies control in India, which has traditionally credited preventable deaths </w:t>
      </w:r>
      <w:r w:rsidRPr="00BF57FF">
        <w:rPr>
          <w:rFonts w:ascii="Arial" w:hAnsi="Arial" w:cs="Arial"/>
          <w:sz w:val="22"/>
          <w:szCs w:val="22"/>
          <w:lang w:val="en-GB"/>
        </w:rPr>
        <w:t>to community ignorance and has attempted to address the issue with health communication campaigns. Using both a study in Chennai and a historical analysis of the history of rabies governance in post-colonial India, they contend that the continued use of traditional medicine and the inability of biomedical messaging to sustain behaviour change are structural phenomena, the result of the lack of geographic access to formal care, financially predatory healthcare relations and the cultural authority of traditional healers locally embedded in India. Formal healthcare is seen as unreliable, costly, and disrespectful in many cases, so resorting to available and trusted culturally traditional care is a logical reaction rather than an irrational one (Srinivasan et al., 2019).</w:t>
      </w:r>
    </w:p>
    <w:p w:rsidRPr="00BF57FF" w:rsidR="00FA3D67" w:rsidP="00A70BBB" w:rsidRDefault="00CD728F" w14:paraId="6CCE54A0" w14:textId="394DD3D6">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Nadal (2020) continues this criticism of the structure by presenting ethnographic fieldwork in Delhi and Jaipur, revealing that access to services offered by traditional healers is a calculated trade-off between the accessibility of services, their affordability, and cultural legitimacy against </w:t>
      </w:r>
      <w:r w:rsidRPr="00BF57FF" w:rsidR="00837588">
        <w:rPr>
          <w:rFonts w:ascii="Arial" w:hAnsi="Arial" w:cs="Arial"/>
          <w:sz w:val="22"/>
          <w:szCs w:val="22"/>
          <w:lang w:val="en-GB"/>
        </w:rPr>
        <w:t xml:space="preserve">the </w:t>
      </w:r>
      <w:r w:rsidRPr="00BF57FF">
        <w:rPr>
          <w:rFonts w:ascii="Arial" w:hAnsi="Arial" w:cs="Arial"/>
          <w:sz w:val="22"/>
          <w:szCs w:val="22"/>
          <w:lang w:val="en-GB"/>
        </w:rPr>
        <w:t xml:space="preserve">previous experience of quality of formal healthcare. Traditional care is not merely an informational mistake in an environment where anti-rabies clinics are far, poorly stocked, and related to negative interactions with patients, but a rational default in populations in which the experience of formal services has rationally led to a loss of confidence. The direct implications of this analysis include behaviour change </w:t>
      </w:r>
      <w:r w:rsidRPr="00BF57FF" w:rsidR="006B1C0E">
        <w:rPr>
          <w:rFonts w:ascii="Arial" w:hAnsi="Arial" w:cs="Arial"/>
          <w:sz w:val="22"/>
          <w:szCs w:val="22"/>
          <w:lang w:val="en-GB"/>
        </w:rPr>
        <w:t>before</w:t>
      </w:r>
      <w:r w:rsidRPr="00BF57FF">
        <w:rPr>
          <w:rFonts w:ascii="Arial" w:hAnsi="Arial" w:cs="Arial"/>
          <w:sz w:val="22"/>
          <w:szCs w:val="22"/>
          <w:lang w:val="en-GB"/>
        </w:rPr>
        <w:t xml:space="preserve"> structural enhancement of service access and quality, without which long-term growth in PEP completion is likely to be minimal (Acharya, Subedi and Wilson, 2021). Similarly, qualitative studies in Gujarat also record that traditional and faith-based belief systems generate a high level of resistance against both post-exposure prophylaxis and canine vaccination, and that national elimination programmes need to </w:t>
      </w:r>
      <w:r w:rsidRPr="00BF57FF" w:rsidR="00837588">
        <w:rPr>
          <w:rFonts w:ascii="Arial" w:hAnsi="Arial" w:cs="Arial"/>
          <w:sz w:val="22"/>
          <w:szCs w:val="22"/>
          <w:lang w:val="en-GB"/>
        </w:rPr>
        <w:t>prioritise</w:t>
      </w:r>
      <w:r w:rsidRPr="00BF57FF">
        <w:rPr>
          <w:rFonts w:ascii="Arial" w:hAnsi="Arial" w:cs="Arial"/>
          <w:sz w:val="22"/>
          <w:szCs w:val="22"/>
          <w:lang w:val="en-GB"/>
        </w:rPr>
        <w:t xml:space="preserve"> intervention at the level of community worldview and not to view traditional medicine use as a health communication issue on its own (Nadal et al., 2022). </w:t>
      </w:r>
    </w:p>
    <w:p w:rsidRPr="00BF57FF" w:rsidR="00FA3D67" w:rsidP="00A70BBB" w:rsidRDefault="00FA3D67" w14:paraId="429180BA" w14:textId="69E82B43">
      <w:pPr>
        <w:spacing w:after="152" w:line="360" w:lineRule="auto"/>
        <w:jc w:val="both"/>
        <w:rPr>
          <w:rFonts w:ascii="Arial" w:hAnsi="Arial" w:cs="Arial"/>
        </w:rPr>
      </w:pPr>
    </w:p>
    <w:p w:rsidRPr="00BF57FF" w:rsidR="00FA3D67" w:rsidP="00A70BBB" w:rsidRDefault="00FA3D67" w14:paraId="63042A1F" w14:textId="77777777">
      <w:pPr>
        <w:pStyle w:val="Heading2"/>
        <w:spacing w:line="360" w:lineRule="auto"/>
        <w:jc w:val="both"/>
        <w:rPr>
          <w:rFonts w:ascii="Arial" w:hAnsi="Arial" w:cs="Arial"/>
          <w:sz w:val="22"/>
        </w:rPr>
      </w:pPr>
      <w:bookmarkStart w:name="_Toc231005854" w:id="33"/>
      <w:bookmarkStart w:name="_Toc231298568" w:id="34"/>
      <w:r w:rsidRPr="00BF57FF">
        <w:rPr>
          <w:rFonts w:ascii="Arial" w:hAnsi="Arial" w:cs="Arial"/>
          <w:sz w:val="22"/>
        </w:rPr>
        <w:t>2.5 Health System Barriers: Infrastructure, Supply Chain, and Workforce</w:t>
      </w:r>
      <w:bookmarkEnd w:id="33"/>
      <w:bookmarkEnd w:id="34"/>
    </w:p>
    <w:p w:rsidRPr="00BF57FF" w:rsidR="00FA3D67" w:rsidP="00A70BBB" w:rsidRDefault="001E0BFB" w14:paraId="31D0DD33" w14:textId="69A3C9AC">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The health infrastructure in India has been a chronic arrangement of a lack of nominal coverage and functional capacity to deliver rabies PEP. Although the National Health Mission has dramatically increased the number of primary healthcare units in rural India (Patel et al., 2015; Vellakkal et al., 2017), the ability of this infrastructure to appropriately address exposures to animal bites, such as wound care, exposure classification, vaccination, immunoglobulin acquisition, and follow-up appointment, is crippled by insufficient training, unreliable biological provision, and poor referral routes </w:t>
      </w:r>
      <w:r w:rsidRPr="00BF57FF">
        <w:rPr>
          <w:rFonts w:ascii="Arial" w:hAnsi="Arial" w:cs="Arial"/>
          <w:sz w:val="22"/>
          <w:szCs w:val="22"/>
          <w:lang w:val="en-GB"/>
        </w:rPr>
        <w:t>(Khan et al., 2026). The situation with urban primary healthcare through the National Urban Health Mission is no different, where urban poor services are under-resourced and reliant on intersectoral coordination</w:t>
      </w:r>
      <w:r w:rsidRPr="00BF57FF" w:rsidR="00837588">
        <w:rPr>
          <w:rFonts w:ascii="Arial" w:hAnsi="Arial" w:cs="Arial"/>
          <w:sz w:val="22"/>
          <w:szCs w:val="22"/>
          <w:lang w:val="en-GB"/>
        </w:rPr>
        <w:t>,</w:t>
      </w:r>
      <w:r w:rsidRPr="00BF57FF">
        <w:rPr>
          <w:rFonts w:ascii="Arial" w:hAnsi="Arial" w:cs="Arial"/>
          <w:sz w:val="22"/>
          <w:szCs w:val="22"/>
          <w:lang w:val="en-GB"/>
        </w:rPr>
        <w:t xml:space="preserve"> which is systematically blocked by institutional silos (Kumar, Kumar and Gupta, 2018).</w:t>
      </w:r>
    </w:p>
    <w:p w:rsidRPr="00BF57FF" w:rsidR="00FA3D67" w:rsidP="00A70BBB" w:rsidRDefault="00B5265F" w14:paraId="34C2C39F" w14:textId="29B67FC5">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The most evident national empirical indication of these infrastructure collapses is based on the Indian Multicentric Rabies Survey 2017. Evaluation of 35 anti-rabies clinics in seven states revealed that only 54.3% had adequate wound-washing facilities; 18.5% had reported vaccine stockouts; and 40% of government-sector clinics offered free rabies immunoglobulin (Sudarshan and Haradanhalli, 2019). The consequences to the category III victims are dire: patients who present to facilities without RIG are forced to purchase it independently at a </w:t>
      </w:r>
      <w:r w:rsidRPr="00BF57FF" w:rsidR="00837588">
        <w:rPr>
          <w:rFonts w:ascii="Arial" w:hAnsi="Arial" w:cs="Arial"/>
          <w:sz w:val="22"/>
          <w:szCs w:val="22"/>
          <w:lang w:val="en-GB"/>
        </w:rPr>
        <w:t>high</w:t>
      </w:r>
      <w:r w:rsidRPr="00BF57FF">
        <w:rPr>
          <w:rFonts w:ascii="Arial" w:hAnsi="Arial" w:cs="Arial"/>
          <w:sz w:val="22"/>
          <w:szCs w:val="22"/>
          <w:lang w:val="en-GB"/>
        </w:rPr>
        <w:t xml:space="preserve"> cost to themselves, are redirected to other </w:t>
      </w:r>
      <w:r w:rsidRPr="00BF57FF" w:rsidR="00837588">
        <w:rPr>
          <w:rFonts w:ascii="Arial" w:hAnsi="Arial" w:cs="Arial"/>
          <w:sz w:val="22"/>
          <w:szCs w:val="22"/>
          <w:lang w:val="en-GB"/>
        </w:rPr>
        <w:t>centres</w:t>
      </w:r>
      <w:r w:rsidRPr="00BF57FF">
        <w:rPr>
          <w:rFonts w:ascii="Arial" w:hAnsi="Arial" w:cs="Arial"/>
          <w:sz w:val="22"/>
          <w:szCs w:val="22"/>
          <w:lang w:val="en-GB"/>
        </w:rPr>
        <w:t xml:space="preserve"> with a delay, or treated to incomplete prophylaxis. </w:t>
      </w:r>
      <w:r w:rsidRPr="00BF57FF" w:rsidR="00251CB3">
        <w:rPr>
          <w:rFonts w:ascii="Arial" w:hAnsi="Arial" w:cs="Arial"/>
          <w:sz w:val="22"/>
          <w:szCs w:val="22"/>
          <w:lang w:val="en-GB"/>
        </w:rPr>
        <w:t>Each of these outcomes raises</w:t>
      </w:r>
      <w:r w:rsidRPr="00BF57FF">
        <w:rPr>
          <w:rFonts w:ascii="Arial" w:hAnsi="Arial" w:cs="Arial"/>
          <w:sz w:val="22"/>
          <w:szCs w:val="22"/>
          <w:lang w:val="en-GB"/>
        </w:rPr>
        <w:t xml:space="preserve"> the chances of the most severely exposed individuals failing to be treated (Hemachudha et al., 2013).</w:t>
      </w:r>
    </w:p>
    <w:p w:rsidRPr="00BF57FF" w:rsidR="00FA3D67" w:rsidP="00A70BBB" w:rsidRDefault="00E5098B" w14:paraId="2ED7794A" w14:textId="55E5FB03">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One structural flaw in the PEP programme of India that is best documented is the rabies biological supply chain. According to Pardeshi et al. (2026)</w:t>
      </w:r>
      <w:r w:rsidRPr="00BF57FF" w:rsidR="00837588">
        <w:rPr>
          <w:rFonts w:ascii="Arial" w:hAnsi="Arial" w:cs="Arial"/>
          <w:sz w:val="22"/>
          <w:szCs w:val="22"/>
          <w:lang w:val="en-GB"/>
        </w:rPr>
        <w:t>,</w:t>
      </w:r>
      <w:r w:rsidRPr="00BF57FF">
        <w:rPr>
          <w:rFonts w:ascii="Arial" w:hAnsi="Arial" w:cs="Arial"/>
          <w:sz w:val="22"/>
          <w:szCs w:val="22"/>
          <w:lang w:val="en-GB"/>
        </w:rPr>
        <w:t xml:space="preserve"> primary programme weaknesses include intermittent vaccine supply, acute shortages of rabies immunoglobulin, especially at the rural primary healthcare tier, and even equine immunoglobulin, the less expensive formulation, is not available in the primary healthcare level in most districts. The disparity between the protocol recommended by WHO and the one implemented in practice actually puts in place an inadvertent two-tier system where full PEP is unequally available to urban and better-off patients, whereas rural and poorer populations receive partial or low-quality prophylaxis (Pardeshi et al., 2026; Krishna et al., 2025). In three states in India, cold chain integrity measurements revealed that 9-35% inter-facility transfers of vaccines had been exposed to sub-zero temperatures, which demonstrated systematic temperature excursions potentially compromising biological potency </w:t>
      </w:r>
      <w:r w:rsidRPr="00BF57FF" w:rsidR="006B1C0E">
        <w:rPr>
          <w:rFonts w:ascii="Arial" w:hAnsi="Arial" w:cs="Arial"/>
          <w:sz w:val="22"/>
          <w:szCs w:val="22"/>
          <w:lang w:val="en-GB"/>
        </w:rPr>
        <w:t>before</w:t>
      </w:r>
      <w:r w:rsidRPr="00BF57FF">
        <w:rPr>
          <w:rFonts w:ascii="Arial" w:hAnsi="Arial" w:cs="Arial"/>
          <w:sz w:val="22"/>
          <w:szCs w:val="22"/>
          <w:lang w:val="en-GB"/>
        </w:rPr>
        <w:t xml:space="preserve"> administration (Das et al., 2019). Cold chain equipment breakdowns in LMICs are rooted </w:t>
      </w:r>
      <w:r w:rsidRPr="00BF57FF" w:rsidR="00837588">
        <w:rPr>
          <w:rFonts w:ascii="Arial" w:hAnsi="Arial" w:cs="Arial"/>
          <w:sz w:val="22"/>
          <w:szCs w:val="22"/>
          <w:lang w:val="en-GB"/>
        </w:rPr>
        <w:t>in</w:t>
      </w:r>
      <w:r w:rsidRPr="00BF57FF">
        <w:rPr>
          <w:rFonts w:ascii="Arial" w:hAnsi="Arial" w:cs="Arial"/>
          <w:sz w:val="22"/>
          <w:szCs w:val="22"/>
          <w:lang w:val="en-GB"/>
        </w:rPr>
        <w:t xml:space="preserve"> the failures in cooling units of refrigerators, poor maintenance capacity, and inadequately reliable power supply as the main structural factors of cold chain failure and vaccine wastage (Lennon et al., 2017). The gaps in cold-chain capacity, equipment malfunction, and temperature monitoring inadequacies have been proven to be structural impediments to vaccine access across ten countries, including India, which holds not only to rabies biologicals storage but to any thermolabile product (Ashok et al., 2017).</w:t>
      </w:r>
    </w:p>
    <w:p w:rsidRPr="00BF57FF" w:rsidR="00FA3D67" w:rsidP="00A70BBB" w:rsidRDefault="00C40628" w14:paraId="1B54CD26" w14:textId="4FF7D448">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Access geographically also exacerbates failures on the supply side. The national multi-state surveillance appraisal determined that some rural primary health centres surveyed lacked full PEP provision as a result of combined vaccine shortages and missing immunoglobulin, serving as a referral facility and not a treatment facility, and increasing both distance and delay to the patient care pathway (Sudarshan and Ashwath Narayana, 2019). Systematic supply chain dysfunction is indicated by the national procurement and distribution data showing that only 33.3% of the patients in government facilities who needed rabies immunoglobulin received it (Hanumanthaiah and Haradanhalli, 2019). In a 2025 national cross-sectional survey of 534 health facilities in 15 Indian states, RIG was found to be available in only 20.3% of the public sector facilities but only 1.8% in urban primary healthcare centres (Krishna et al., 2025). In phase III clinical trial data, monoclonal antibody replacements of equine and human rabies immunoglobulin have proven as effective and safe as category III prophylaxis post-exposure, and as a scalable response to immunoglobulin access crisis at government institutions (Liu et al., 2025). The significance of proper administration method is independently supported by experimental findings that systemic RIG dosing temporarily inhibits vaccine-induced immunogenicity, which proves the inability to achieve wound-localised infiltration by per WHO protocol, and systemic administration is a pharmacologically distinct method (Bernard et al., 2022). These failures are shown not to be predetermined by the experience of Goa: Gibson et al. (2022) report that effective PEP delivery, such as cold chain maintenance, immunoglobulin supply, and </w:t>
      </w:r>
      <w:r w:rsidRPr="00BF57FF" w:rsidR="00726ED9">
        <w:rPr>
          <w:rFonts w:ascii="Arial" w:hAnsi="Arial" w:cs="Arial"/>
          <w:sz w:val="22"/>
          <w:szCs w:val="22"/>
          <w:lang w:val="en-GB"/>
        </w:rPr>
        <w:t xml:space="preserve">a </w:t>
      </w:r>
      <w:r w:rsidRPr="00BF57FF">
        <w:rPr>
          <w:rFonts w:ascii="Arial" w:hAnsi="Arial" w:cs="Arial"/>
          <w:sz w:val="22"/>
          <w:szCs w:val="22"/>
          <w:lang w:val="en-GB"/>
        </w:rPr>
        <w:t xml:space="preserve">twenty-four-hour bite response line, resulted in human rabies eradication in six years, even under systematic mass dog vaccination. This counter-evidence places Indian healthcare system failures in rabies control as failures of governance and investment as opposed to structural necessities (Acharya, Subedi and Wilson, 2021). </w:t>
      </w:r>
    </w:p>
    <w:p w:rsidRPr="00BF57FF" w:rsidR="00FA3D67" w:rsidP="00A70BBB" w:rsidRDefault="00FA3D67" w14:paraId="1F4EE64D" w14:textId="0AD09FFE">
      <w:pPr>
        <w:spacing w:after="152" w:line="360" w:lineRule="auto"/>
        <w:jc w:val="both"/>
        <w:rPr>
          <w:rFonts w:ascii="Arial" w:hAnsi="Arial" w:cs="Arial"/>
        </w:rPr>
      </w:pPr>
    </w:p>
    <w:p w:rsidRPr="00BF57FF" w:rsidR="00FA3D67" w:rsidP="00A70BBB" w:rsidRDefault="00FA3D67" w14:paraId="30E5D3FE" w14:textId="77777777">
      <w:pPr>
        <w:pStyle w:val="Heading2"/>
        <w:spacing w:line="360" w:lineRule="auto"/>
        <w:jc w:val="both"/>
        <w:rPr>
          <w:rFonts w:ascii="Arial" w:hAnsi="Arial" w:cs="Arial"/>
          <w:sz w:val="22"/>
        </w:rPr>
      </w:pPr>
      <w:bookmarkStart w:name="_Toc231005855" w:id="35"/>
      <w:bookmarkStart w:name="_Toc231298569" w:id="36"/>
      <w:r w:rsidRPr="00BF57FF">
        <w:rPr>
          <w:rFonts w:ascii="Arial" w:hAnsi="Arial" w:cs="Arial"/>
          <w:sz w:val="22"/>
        </w:rPr>
        <w:t>2.6 Community Health Worker Roles and Capacity in Rabies Prevention</w:t>
      </w:r>
      <w:bookmarkEnd w:id="35"/>
      <w:bookmarkEnd w:id="36"/>
    </w:p>
    <w:p w:rsidRPr="00BF57FF" w:rsidR="00FA3D67" w:rsidP="00A70BBB" w:rsidRDefault="00774583" w14:paraId="7C027DB4" w14:textId="602A3E65">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Rabies prevention in India has a structurally central role played by community health workers, mainly Accredited Social Health Activists (ASHAs) and Auxiliary Nurse Midwives (ANMs). Being the first point of contact with rural households in terms of health services (Saprii et al., 2015), they can offer instant post-bite guidelines, refer the individuals exposed to anti-rabies </w:t>
      </w:r>
      <w:r w:rsidRPr="00BF57FF" w:rsidR="00002B4E">
        <w:rPr>
          <w:rFonts w:ascii="Arial" w:hAnsi="Arial" w:cs="Arial"/>
          <w:sz w:val="22"/>
          <w:szCs w:val="22"/>
          <w:lang w:val="en-GB"/>
        </w:rPr>
        <w:t>centres</w:t>
      </w:r>
      <w:r w:rsidRPr="00BF57FF">
        <w:rPr>
          <w:rFonts w:ascii="Arial" w:hAnsi="Arial" w:cs="Arial"/>
          <w:sz w:val="22"/>
          <w:szCs w:val="22"/>
          <w:lang w:val="en-GB"/>
        </w:rPr>
        <w:t xml:space="preserve">, assist with schedule adherence through follow-up, and conduct community education to address the knowledge gaps identified in Section 2.4. The National Action Plan on Dog Mediated Rabies Elimination in India </w:t>
      </w:r>
      <w:r w:rsidRPr="00BF57FF">
        <w:rPr>
          <w:rFonts w:ascii="Arial" w:hAnsi="Arial" w:cs="Arial"/>
          <w:sz w:val="22"/>
          <w:szCs w:val="22"/>
          <w:lang w:val="en-GB"/>
        </w:rPr>
        <w:t>identifies community health workers as key participants in prevention, case reporting, and community-level surveillance and assigns them duties directly linked to the Zero by 30 goal (National Centre for Disease Control, 2021).</w:t>
      </w:r>
    </w:p>
    <w:p w:rsidRPr="00BF57FF" w:rsidR="00FA3D67" w:rsidP="00A70BBB" w:rsidRDefault="001E5BB1" w14:paraId="069D58B5" w14:textId="7ECEFABF">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Empirical findings on CHW knowledge and performance in managing rabies habitually show a significant disconnect between this assigned role and field reality. In rural Odisha, a large share of ASHAs and ANMs could not properly list the three elements of the WHO post-bite guideline, failed to differentiate between the types of exposure, and were not aware that seemingly healthy animals could carry rabies during the pre-symptomatic period, which is part of a setting-level ARV compliance rate of just 47.9% with CHW in place (Sahu et al., 2021). These results are not a local failure but a national trend: training content and coverage of CHWs on rabies management </w:t>
      </w:r>
      <w:r w:rsidRPr="00BF57FF" w:rsidR="009715BD">
        <w:rPr>
          <w:rFonts w:ascii="Arial" w:hAnsi="Arial" w:cs="Arial"/>
          <w:sz w:val="22"/>
          <w:szCs w:val="22"/>
          <w:lang w:val="en-GB"/>
        </w:rPr>
        <w:t>differ</w:t>
      </w:r>
      <w:r w:rsidRPr="00BF57FF">
        <w:rPr>
          <w:rFonts w:ascii="Arial" w:hAnsi="Arial" w:cs="Arial"/>
          <w:sz w:val="22"/>
          <w:szCs w:val="22"/>
          <w:lang w:val="en-GB"/>
        </w:rPr>
        <w:t xml:space="preserve"> significantly across states and districts, and there is no national tracking system to evaluate training uptake, knowledge retention, or the degree to which any knowledge gained is translated to community action (Saprii et al., 2015).</w:t>
      </w:r>
    </w:p>
    <w:p w:rsidRPr="00BF57FF" w:rsidR="00FA3D67" w:rsidP="00A70BBB" w:rsidRDefault="00722DEF" w14:paraId="5D60C409" w14:textId="3B013173">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Lack of organized follow up systems is a </w:t>
      </w:r>
      <w:r w:rsidRPr="00BF57FF" w:rsidR="0098136C">
        <w:rPr>
          <w:rFonts w:ascii="Arial" w:hAnsi="Arial" w:cs="Arial"/>
          <w:sz w:val="22"/>
          <w:szCs w:val="22"/>
          <w:lang w:val="en-GB"/>
        </w:rPr>
        <w:t>closely related</w:t>
      </w:r>
      <w:r w:rsidRPr="00BF57FF">
        <w:rPr>
          <w:rFonts w:ascii="Arial" w:hAnsi="Arial" w:cs="Arial"/>
          <w:sz w:val="22"/>
          <w:szCs w:val="22"/>
          <w:lang w:val="en-GB"/>
        </w:rPr>
        <w:t xml:space="preserve"> operational shortcoming. A study by Gadapani et al. (2019) of non-compliance at a rural primary health centre in Maharashtra revealed that the most frequently given cause of non-adherence to the vaccination schedule was that they forgot their appointment dates - exactly the issue that a trained and empowered community health worker might help solve by providing proactive reminders and schedule assistance. The ability of CHWs to close the divide between exposure to bites and full cure thus depends not only on what is taught, but also on supervisory, operational, and accountability systems that can produce or fail to produce translation of the knowledge gained by the trained into community-wide action. Khan et al. (2026) specifically cite CHW training gaps and inadequate supervision as structural factors to rabies eradication at </w:t>
      </w:r>
      <w:r w:rsidRPr="00BF57FF" w:rsidR="00726ED9">
        <w:rPr>
          <w:rFonts w:ascii="Arial" w:hAnsi="Arial" w:cs="Arial"/>
          <w:sz w:val="22"/>
          <w:szCs w:val="22"/>
          <w:lang w:val="en-GB"/>
        </w:rPr>
        <w:t xml:space="preserve">the </w:t>
      </w:r>
      <w:r w:rsidRPr="00BF57FF">
        <w:rPr>
          <w:rFonts w:ascii="Arial" w:hAnsi="Arial" w:cs="Arial"/>
          <w:sz w:val="22"/>
          <w:szCs w:val="22"/>
          <w:lang w:val="en-GB"/>
        </w:rPr>
        <w:t xml:space="preserve">village </w:t>
      </w:r>
      <w:r w:rsidRPr="00BF57FF" w:rsidR="004101E1">
        <w:rPr>
          <w:rFonts w:ascii="Arial" w:hAnsi="Arial" w:cs="Arial"/>
          <w:sz w:val="22"/>
          <w:szCs w:val="22"/>
          <w:lang w:val="en-GB"/>
        </w:rPr>
        <w:t>level</w:t>
      </w:r>
      <w:r w:rsidRPr="00BF57FF" w:rsidR="00AA6610">
        <w:rPr>
          <w:rFonts w:ascii="Arial" w:hAnsi="Arial" w:cs="Arial"/>
          <w:sz w:val="22"/>
          <w:szCs w:val="22"/>
          <w:lang w:val="en-GB"/>
        </w:rPr>
        <w:t>,</w:t>
      </w:r>
      <w:r w:rsidRPr="00BF57FF" w:rsidR="004101E1">
        <w:rPr>
          <w:rFonts w:ascii="Arial" w:hAnsi="Arial" w:cs="Arial"/>
          <w:sz w:val="22"/>
          <w:szCs w:val="22"/>
          <w:lang w:val="en-GB"/>
        </w:rPr>
        <w:t xml:space="preserve"> yet</w:t>
      </w:r>
      <w:r w:rsidRPr="00BF57FF">
        <w:rPr>
          <w:rFonts w:ascii="Arial" w:hAnsi="Arial" w:cs="Arial"/>
          <w:sz w:val="22"/>
          <w:szCs w:val="22"/>
          <w:lang w:val="en-GB"/>
        </w:rPr>
        <w:t xml:space="preserve"> point out that the CHW network has a significant potential as a first line of defence against rabies mortality, which has so far not been met.</w:t>
      </w:r>
    </w:p>
    <w:p w:rsidRPr="00BF57FF" w:rsidR="00FA3D67" w:rsidP="00A70BBB" w:rsidRDefault="00FA3D67" w14:paraId="644D7485" w14:textId="00968BA0">
      <w:pPr>
        <w:spacing w:after="152" w:line="360" w:lineRule="auto"/>
        <w:jc w:val="both"/>
        <w:rPr>
          <w:rFonts w:ascii="Arial" w:hAnsi="Arial" w:cs="Arial"/>
        </w:rPr>
      </w:pPr>
    </w:p>
    <w:p w:rsidRPr="00BF57FF" w:rsidR="00FA3D67" w:rsidP="00A70BBB" w:rsidRDefault="00FA3D67" w14:paraId="0A7BF7B3" w14:textId="77777777">
      <w:pPr>
        <w:pStyle w:val="Heading2"/>
        <w:spacing w:line="360" w:lineRule="auto"/>
        <w:jc w:val="both"/>
        <w:rPr>
          <w:rFonts w:ascii="Arial" w:hAnsi="Arial" w:cs="Arial"/>
          <w:sz w:val="22"/>
        </w:rPr>
      </w:pPr>
      <w:bookmarkStart w:name="_Toc231005856" w:id="37"/>
      <w:bookmarkStart w:name="_Toc231298570" w:id="38"/>
      <w:r w:rsidRPr="00BF57FF">
        <w:rPr>
          <w:rFonts w:ascii="Arial" w:hAnsi="Arial" w:cs="Arial"/>
          <w:sz w:val="22"/>
        </w:rPr>
        <w:t>2.7 Surveillance Failures in India</w:t>
      </w:r>
      <w:bookmarkEnd w:id="37"/>
      <w:bookmarkEnd w:id="38"/>
    </w:p>
    <w:p w:rsidRPr="00BF57FF" w:rsidR="00FA3D67" w:rsidP="00A70BBB" w:rsidRDefault="00964A20" w14:paraId="50DA3849" w14:textId="0D68E2E0">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Proper programme management demands sound information on disease prevalence, health care access, treatment adherence and </w:t>
      </w:r>
      <w:r w:rsidRPr="00BF57FF" w:rsidR="00726ED9">
        <w:rPr>
          <w:rFonts w:ascii="Arial" w:hAnsi="Arial" w:cs="Arial"/>
          <w:sz w:val="22"/>
          <w:szCs w:val="22"/>
          <w:lang w:val="en-GB"/>
        </w:rPr>
        <w:t>immunisation</w:t>
      </w:r>
      <w:r w:rsidRPr="00BF57FF">
        <w:rPr>
          <w:rFonts w:ascii="Arial" w:hAnsi="Arial" w:cs="Arial"/>
          <w:sz w:val="22"/>
          <w:szCs w:val="22"/>
          <w:lang w:val="en-GB"/>
        </w:rPr>
        <w:t>. In the absence of such data, resource allocation is random, programme accountability does not exist</w:t>
      </w:r>
      <w:r w:rsidRPr="00BF57FF" w:rsidR="00726ED9">
        <w:rPr>
          <w:rFonts w:ascii="Arial" w:hAnsi="Arial" w:cs="Arial"/>
          <w:sz w:val="22"/>
          <w:szCs w:val="22"/>
          <w:lang w:val="en-GB"/>
        </w:rPr>
        <w:t>,</w:t>
      </w:r>
      <w:r w:rsidRPr="00BF57FF">
        <w:rPr>
          <w:rFonts w:ascii="Arial" w:hAnsi="Arial" w:cs="Arial"/>
          <w:sz w:val="22"/>
          <w:szCs w:val="22"/>
          <w:lang w:val="en-GB"/>
        </w:rPr>
        <w:t xml:space="preserve"> and progress towards the Zero by 30 target cannot be meaningfully measured. The existing surveillance systems in India are not sufficient to meet these needs on all levels of the reporting chain (Wallace et al., 2017).</w:t>
      </w:r>
    </w:p>
    <w:p w:rsidRPr="00BF57FF" w:rsidR="00FA3D67" w:rsidP="00A70BBB" w:rsidRDefault="00835A2B" w14:paraId="5EAE3371" w14:textId="11CE1DFB">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Systematic review of the rabies surveillance system in India that was carried out during the Indian Multicentric Rabies Survey revealed gross underreporting by state governments to the central government, and a total lack of concordance between data collected by Integrated Disease Surveillance Programme offices and data supplied to the National Centre of Disease Control (Sudarshan and Ashwath Narayana, 2019). Several structural conditions explain this failure. In the majority of Indian states, rabies is not notifiable, meaning that healthcare providers are not legally required to report to the public health authorities (Radhakrishnan et al., 2020). Clinical diagnosis is left to under-recognition of the paralytic form of the disease, with laboratory confirmation relying on a few national reference laboratories, as the means to ascertain the incidence of the disease (Mani et al., 2016). This laboratory capacity gap is defined by </w:t>
      </w:r>
      <w:r w:rsidRPr="00BF57FF" w:rsidR="00726ED9">
        <w:rPr>
          <w:rFonts w:ascii="Arial" w:hAnsi="Arial" w:cs="Arial"/>
          <w:sz w:val="22"/>
          <w:szCs w:val="22"/>
          <w:lang w:val="en-GB"/>
        </w:rPr>
        <w:t xml:space="preserve">the </w:t>
      </w:r>
      <w:r w:rsidRPr="00BF57FF">
        <w:rPr>
          <w:rFonts w:ascii="Arial" w:hAnsi="Arial" w:cs="Arial"/>
          <w:sz w:val="22"/>
          <w:szCs w:val="22"/>
          <w:lang w:val="en-GB"/>
        </w:rPr>
        <w:t xml:space="preserve">WHO Expert Consultation on Rabies as one of the key and urgent gaps in surveillance that should be systematically </w:t>
      </w:r>
      <w:r w:rsidRPr="00BF57FF" w:rsidR="00726ED9">
        <w:rPr>
          <w:rFonts w:ascii="Arial" w:hAnsi="Arial" w:cs="Arial"/>
          <w:sz w:val="22"/>
          <w:szCs w:val="22"/>
          <w:lang w:val="en-GB"/>
        </w:rPr>
        <w:t>addressed</w:t>
      </w:r>
      <w:r w:rsidRPr="00BF57FF">
        <w:rPr>
          <w:rFonts w:ascii="Arial" w:hAnsi="Arial" w:cs="Arial"/>
          <w:sz w:val="22"/>
          <w:szCs w:val="22"/>
          <w:lang w:val="en-GB"/>
        </w:rPr>
        <w:t xml:space="preserve"> (World Health Organization, 2018b; Ashwini, Pattanaik and Mani, 2024).</w:t>
      </w:r>
    </w:p>
    <w:p w:rsidRPr="00BF57FF" w:rsidR="00FA3D67" w:rsidP="00A70BBB" w:rsidRDefault="0091365B" w14:paraId="5BF8579B" w14:textId="2447EE5E">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It has important implications </w:t>
      </w:r>
      <w:r w:rsidRPr="00BF57FF" w:rsidR="00726ED9">
        <w:rPr>
          <w:rFonts w:ascii="Arial" w:hAnsi="Arial" w:cs="Arial"/>
          <w:sz w:val="22"/>
          <w:szCs w:val="22"/>
          <w:lang w:val="en-GB"/>
        </w:rPr>
        <w:t>for</w:t>
      </w:r>
      <w:r w:rsidRPr="00BF57FF">
        <w:rPr>
          <w:rFonts w:ascii="Arial" w:hAnsi="Arial" w:cs="Arial"/>
          <w:sz w:val="22"/>
          <w:szCs w:val="22"/>
          <w:lang w:val="en-GB"/>
        </w:rPr>
        <w:t xml:space="preserve"> trend interpretation. Secular analysis of reported national case data, 2005 to 2020, indicates a downward trend, although Rubeshkumar et al. (202</w:t>
      </w:r>
      <w:r w:rsidRPr="00BF57FF" w:rsidR="00FE7389">
        <w:rPr>
          <w:rFonts w:ascii="Arial" w:hAnsi="Arial" w:cs="Arial"/>
          <w:sz w:val="22"/>
          <w:szCs w:val="22"/>
          <w:lang w:val="en-GB"/>
        </w:rPr>
        <w:t>3</w:t>
      </w:r>
      <w:r w:rsidRPr="00BF57FF">
        <w:rPr>
          <w:rFonts w:ascii="Arial" w:hAnsi="Arial" w:cs="Arial"/>
          <w:sz w:val="22"/>
          <w:szCs w:val="22"/>
          <w:lang w:val="en-GB"/>
        </w:rPr>
        <w:t xml:space="preserve">) warn that with underlying surveillance deficits that severe, the downward trend </w:t>
      </w:r>
      <w:r w:rsidRPr="00BF57FF" w:rsidR="00DE5E04">
        <w:rPr>
          <w:rFonts w:ascii="Arial" w:hAnsi="Arial" w:cs="Arial"/>
          <w:sz w:val="22"/>
          <w:szCs w:val="22"/>
          <w:lang w:val="en-GB"/>
        </w:rPr>
        <w:t>cannot</w:t>
      </w:r>
      <w:r w:rsidRPr="00BF57FF">
        <w:rPr>
          <w:rFonts w:ascii="Arial" w:hAnsi="Arial" w:cs="Arial"/>
          <w:sz w:val="22"/>
          <w:szCs w:val="22"/>
          <w:lang w:val="en-GB"/>
        </w:rPr>
        <w:t xml:space="preserve"> be confidently interpreted as a real burden reduction and may be due to changed reporting practices or classification changes. India might not be able to know whether it is on track to Zero by 30</w:t>
      </w:r>
      <w:r w:rsidRPr="00BF57FF" w:rsidR="00726ED9">
        <w:rPr>
          <w:rFonts w:ascii="Arial" w:hAnsi="Arial" w:cs="Arial"/>
          <w:sz w:val="22"/>
          <w:szCs w:val="22"/>
          <w:lang w:val="en-GB"/>
        </w:rPr>
        <w:t>,</w:t>
      </w:r>
      <w:r w:rsidRPr="00BF57FF">
        <w:rPr>
          <w:rFonts w:ascii="Arial" w:hAnsi="Arial" w:cs="Arial"/>
          <w:sz w:val="22"/>
          <w:szCs w:val="22"/>
          <w:lang w:val="en-GB"/>
        </w:rPr>
        <w:t xml:space="preserve"> not due to the failure of control</w:t>
      </w:r>
      <w:r w:rsidRPr="00BF57FF" w:rsidR="00726ED9">
        <w:rPr>
          <w:rFonts w:ascii="Arial" w:hAnsi="Arial" w:cs="Arial"/>
          <w:sz w:val="22"/>
          <w:szCs w:val="22"/>
          <w:lang w:val="en-GB"/>
        </w:rPr>
        <w:t>,</w:t>
      </w:r>
      <w:r w:rsidRPr="00BF57FF">
        <w:rPr>
          <w:rFonts w:ascii="Arial" w:hAnsi="Arial" w:cs="Arial"/>
          <w:sz w:val="22"/>
          <w:szCs w:val="22"/>
          <w:lang w:val="en-GB"/>
        </w:rPr>
        <w:t xml:space="preserve"> but the instruments needed to measure control are structurally damaged (Wallace et al., 2017).</w:t>
      </w:r>
    </w:p>
    <w:p w:rsidRPr="00BF57FF" w:rsidR="00FA3D67" w:rsidP="00A70BBB" w:rsidRDefault="000E70B0" w14:paraId="6145C22D" w14:textId="798F063D">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Passive surveillance using technologies provides partial solutions. Vanak et al. (2023) have shown that passive One Health surveillance system adaptation of a street animal rescue platform in Pune resulted in the detection of 749 rabies-positive dogs in four years, facilitated near-real-time response to outbreaks, and facilitated selective community vaccination of about 23,000 dogs. This demonstration of concept shows the usefulness of community-based data collection, and it also reflects the problem of </w:t>
      </w:r>
      <w:r w:rsidRPr="00BF57FF" w:rsidR="00726ED9">
        <w:rPr>
          <w:rFonts w:ascii="Arial" w:hAnsi="Arial" w:cs="Arial"/>
          <w:sz w:val="22"/>
          <w:szCs w:val="22"/>
          <w:lang w:val="en-GB"/>
        </w:rPr>
        <w:t xml:space="preserve">the </w:t>
      </w:r>
      <w:r w:rsidRPr="00BF57FF">
        <w:rPr>
          <w:rFonts w:ascii="Arial" w:hAnsi="Arial" w:cs="Arial"/>
          <w:sz w:val="22"/>
          <w:szCs w:val="22"/>
          <w:lang w:val="en-GB"/>
        </w:rPr>
        <w:t xml:space="preserve">scale of rural areas with less institutional support and lab capacity. Remote-surveillance qualitative data </w:t>
      </w:r>
      <w:r w:rsidRPr="00BF57FF" w:rsidR="00726ED9">
        <w:rPr>
          <w:rFonts w:ascii="Arial" w:hAnsi="Arial" w:cs="Arial"/>
          <w:sz w:val="22"/>
          <w:szCs w:val="22"/>
          <w:lang w:val="en-GB"/>
        </w:rPr>
        <w:t>have</w:t>
      </w:r>
      <w:r w:rsidRPr="00BF57FF">
        <w:rPr>
          <w:rFonts w:ascii="Arial" w:hAnsi="Arial" w:cs="Arial"/>
          <w:sz w:val="22"/>
          <w:szCs w:val="22"/>
          <w:lang w:val="en-GB"/>
        </w:rPr>
        <w:t xml:space="preserve"> defined inadequate veterinary response capacity, lack of accessible post-exposure prophylaxis, and distrust of formal authorities in the community as structural obstacles to community reporting of potentially rabid animals</w:t>
      </w:r>
      <w:r w:rsidRPr="00BF57FF" w:rsidR="00726ED9">
        <w:rPr>
          <w:rFonts w:ascii="Arial" w:hAnsi="Arial" w:cs="Arial"/>
          <w:sz w:val="22"/>
          <w:szCs w:val="22"/>
          <w:lang w:val="en-GB"/>
        </w:rPr>
        <w:t>,</w:t>
      </w:r>
      <w:r w:rsidRPr="00BF57FF">
        <w:rPr>
          <w:rFonts w:ascii="Arial" w:hAnsi="Arial" w:cs="Arial"/>
          <w:sz w:val="22"/>
          <w:szCs w:val="22"/>
          <w:lang w:val="en-GB"/>
        </w:rPr>
        <w:t xml:space="preserve"> which again can be directly applied to rural India (Brookes et al., 2017). A sentinel-site surveillance of visceral leishmaniasis in Bihar showed that </w:t>
      </w:r>
      <w:r w:rsidRPr="00BF57FF" w:rsidR="00726ED9">
        <w:rPr>
          <w:rFonts w:ascii="Arial" w:hAnsi="Arial" w:cs="Arial"/>
          <w:sz w:val="22"/>
          <w:szCs w:val="22"/>
          <w:lang w:val="en-GB"/>
        </w:rPr>
        <w:t>organised</w:t>
      </w:r>
      <w:r w:rsidRPr="00BF57FF">
        <w:rPr>
          <w:rFonts w:ascii="Arial" w:hAnsi="Arial" w:cs="Arial"/>
          <w:sz w:val="22"/>
          <w:szCs w:val="22"/>
          <w:lang w:val="en-GB"/>
        </w:rPr>
        <w:t xml:space="preserve"> health-facility-based surveillance significantly enhanced the capture of cases and quality of data compared to passive models, which is a transferable demonstration of </w:t>
      </w:r>
      <w:r w:rsidRPr="00BF57FF" w:rsidR="00726ED9">
        <w:rPr>
          <w:rFonts w:ascii="Arial" w:hAnsi="Arial" w:cs="Arial"/>
          <w:sz w:val="22"/>
          <w:szCs w:val="22"/>
          <w:lang w:val="en-GB"/>
        </w:rPr>
        <w:t xml:space="preserve">the </w:t>
      </w:r>
      <w:r w:rsidRPr="00BF57FF">
        <w:rPr>
          <w:rFonts w:ascii="Arial" w:hAnsi="Arial" w:cs="Arial"/>
          <w:sz w:val="22"/>
          <w:szCs w:val="22"/>
          <w:lang w:val="en-GB"/>
        </w:rPr>
        <w:t xml:space="preserve">concept of reformed surveillance infrastructure in Indian rabies control (Das et al., 2021). </w:t>
      </w:r>
    </w:p>
    <w:p w:rsidRPr="00BF57FF" w:rsidR="00FA3D67" w:rsidP="00A70BBB" w:rsidRDefault="00FA3D67" w14:paraId="4C3735A1" w14:textId="2C602724">
      <w:pPr>
        <w:spacing w:after="152" w:line="360" w:lineRule="auto"/>
        <w:jc w:val="both"/>
        <w:rPr>
          <w:rFonts w:ascii="Arial" w:hAnsi="Arial" w:cs="Arial"/>
        </w:rPr>
      </w:pPr>
    </w:p>
    <w:p w:rsidRPr="00BF57FF" w:rsidR="00FA3D67" w:rsidP="00A70BBB" w:rsidRDefault="00FA3D67" w14:paraId="7D112FEF" w14:textId="77777777">
      <w:pPr>
        <w:pStyle w:val="Heading2"/>
        <w:spacing w:line="360" w:lineRule="auto"/>
        <w:jc w:val="both"/>
        <w:rPr>
          <w:rFonts w:ascii="Arial" w:hAnsi="Arial" w:cs="Arial"/>
          <w:sz w:val="22"/>
        </w:rPr>
      </w:pPr>
      <w:bookmarkStart w:name="_Toc231005857" w:id="39"/>
      <w:bookmarkStart w:name="_Toc231298571" w:id="40"/>
      <w:r w:rsidRPr="00BF57FF">
        <w:rPr>
          <w:rFonts w:ascii="Arial" w:hAnsi="Arial" w:cs="Arial"/>
          <w:sz w:val="22"/>
        </w:rPr>
        <w:t>2.8 Theoretical Frameworks: One Health, Zero by 30, and Structural Determinants of Health</w:t>
      </w:r>
      <w:bookmarkEnd w:id="39"/>
      <w:bookmarkEnd w:id="40"/>
    </w:p>
    <w:p w:rsidRPr="00BF57FF" w:rsidR="00FA3D67" w:rsidP="00A70BBB" w:rsidRDefault="00915583" w14:paraId="1768EAD9" w14:textId="5BAF707F">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This systematic review has an interpretive architecture based on three interrelated theoretical frameworks, which guide the analytical approach in Chapter 5.</w:t>
      </w:r>
    </w:p>
    <w:p w:rsidRPr="00BF57FF" w:rsidR="00FA3D67" w:rsidP="00A70BBB" w:rsidRDefault="007614C5" w14:paraId="2F064699" w14:textId="14C7DC46">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The conceptualisation of health as an integrated property of the human, animal and environmental system, as promoted by the WHO, FAO, WOAH, and UNEP, places zoonotic disease control as an intrinsically multi-sectoral issue (World Health Organization, 2018a; FAO, UNEP, WHO and WOAH, 2022). In the case of rabies, this implies that the provision of PEP, canine vaccinations, and dog population governance are not independent, but dependent elements of a system where failure in one area compromises the advancements in others. Tamil Nadu modelling shows that a coordinated One Health approach is far less expensive than a PEP-only one, and rabies mortality reduction costs much less than the WHO acceptability limits (Fitzpatrick et al., 2016). The Goa programme offers the strongest empirical validation: Gibson et al. (2022) report that multi-sectoral coordination, rather than any specific intervention, resulted in human rabies elimination. Further evidence of this effect of coverage on the difficulty of capturing and sterilising free-roaming dogs is field evidence in Goa that 58</w:t>
      </w:r>
      <w:r w:rsidRPr="00BF57FF" w:rsidR="00AA5CB3">
        <w:rPr>
          <w:rFonts w:ascii="Arial" w:hAnsi="Arial" w:cs="Arial"/>
          <w:sz w:val="22"/>
          <w:szCs w:val="22"/>
          <w:lang w:val="en-GB"/>
        </w:rPr>
        <w:t>-</w:t>
      </w:r>
      <w:r w:rsidRPr="00BF57FF">
        <w:rPr>
          <w:rFonts w:ascii="Arial" w:hAnsi="Arial" w:cs="Arial"/>
          <w:sz w:val="22"/>
          <w:szCs w:val="22"/>
          <w:lang w:val="en-GB"/>
        </w:rPr>
        <w:t xml:space="preserve">66% female coverage is insufficient to substantially decrease adult dogs after two years, even with single intensive campaigns (Fielding et al., 2023; Fielding et al., 2025). These results suggest that dog population control needs a long-term combined investment and not a time-based campaign, which further complicates the governance coordination issues that One Health operationalisation in India should handle. Nevertheless, siloed governance between ministries, lack of inter-sectoral accountability, and weak information-sharing mechanisms are recorded as structural barriers to the operationalisation of One Health in India: all these factors limit the capacity to coordinate effective One Health implementation in the country (Asaaga et al., 2021; Yasobant et al., 2021; Yasobant et al., 2020; Cleaveland et al., 2014). </w:t>
      </w:r>
    </w:p>
    <w:p w:rsidRPr="00BF57FF" w:rsidR="00FA3D67" w:rsidP="00A70BBB" w:rsidRDefault="0079449C" w14:paraId="1ECF252A" w14:textId="668995F0">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The global strategic plan, Zero by 30 (World Health Organization, 2018a), sets the normative framework with which the national response of India is evaluated in this dissertation. Zero by 30 sets zero human dog-caused rabies deaths by 2030 as achievable and mandatory, and delineates the policy pillars </w:t>
      </w:r>
      <w:r w:rsidRPr="00BF57FF" w:rsidR="00002B4E">
        <w:rPr>
          <w:rFonts w:ascii="Arial" w:hAnsi="Arial" w:cs="Arial"/>
          <w:sz w:val="22"/>
          <w:szCs w:val="22"/>
          <w:lang w:val="en-GB"/>
        </w:rPr>
        <w:t xml:space="preserve">of </w:t>
      </w:r>
      <w:r w:rsidRPr="00BF57FF">
        <w:rPr>
          <w:rFonts w:ascii="Arial" w:hAnsi="Arial" w:cs="Arial"/>
          <w:sz w:val="22"/>
          <w:szCs w:val="22"/>
          <w:lang w:val="en-GB"/>
        </w:rPr>
        <w:t xml:space="preserve">education, vaccination, prevention, surveillance, and diagnostics as an adequate national programme. The NAPRE of India is operationally consistent with this aim; the analytical issue of this </w:t>
      </w:r>
      <w:r w:rsidRPr="00BF57FF">
        <w:rPr>
          <w:rFonts w:ascii="Arial" w:hAnsi="Arial" w:cs="Arial"/>
          <w:sz w:val="22"/>
          <w:szCs w:val="22"/>
          <w:lang w:val="en-GB"/>
        </w:rPr>
        <w:t xml:space="preserve">review is </w:t>
      </w:r>
      <w:r w:rsidRPr="00BF57FF" w:rsidR="00002B4E">
        <w:rPr>
          <w:rFonts w:ascii="Arial" w:hAnsi="Arial" w:cs="Arial"/>
          <w:sz w:val="22"/>
          <w:szCs w:val="22"/>
          <w:lang w:val="en-GB"/>
        </w:rPr>
        <w:t>the</w:t>
      </w:r>
      <w:r w:rsidRPr="00BF57FF">
        <w:rPr>
          <w:rFonts w:ascii="Arial" w:hAnsi="Arial" w:cs="Arial"/>
          <w:sz w:val="22"/>
          <w:szCs w:val="22"/>
          <w:lang w:val="en-GB"/>
        </w:rPr>
        <w:t xml:space="preserve"> discrepancy between that commitment and the obstacles which inhibit its fulfilment.</w:t>
      </w:r>
    </w:p>
    <w:p w:rsidRPr="00BF57FF" w:rsidR="00FA3D67" w:rsidP="00A70BBB" w:rsidRDefault="00842AF5" w14:paraId="0BD17DF9" w14:textId="495C8E4B">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The framework of structural determinants of health, based on </w:t>
      </w:r>
      <w:r w:rsidRPr="00BF57FF" w:rsidR="00002B4E">
        <w:rPr>
          <w:rFonts w:ascii="Arial" w:hAnsi="Arial" w:cs="Arial"/>
          <w:sz w:val="22"/>
          <w:szCs w:val="22"/>
          <w:lang w:val="en-GB"/>
        </w:rPr>
        <w:t xml:space="preserve">the </w:t>
      </w:r>
      <w:r w:rsidRPr="00BF57FF">
        <w:rPr>
          <w:rFonts w:ascii="Arial" w:hAnsi="Arial" w:cs="Arial"/>
          <w:sz w:val="22"/>
          <w:szCs w:val="22"/>
          <w:lang w:val="en-GB"/>
        </w:rPr>
        <w:t xml:space="preserve">final report of </w:t>
      </w:r>
      <w:r w:rsidRPr="00BF57FF" w:rsidR="00002B4E">
        <w:rPr>
          <w:rFonts w:ascii="Arial" w:hAnsi="Arial" w:cs="Arial"/>
          <w:sz w:val="22"/>
          <w:szCs w:val="22"/>
          <w:lang w:val="en-GB"/>
        </w:rPr>
        <w:t xml:space="preserve">the </w:t>
      </w:r>
      <w:r w:rsidRPr="00BF57FF">
        <w:rPr>
          <w:rFonts w:ascii="Arial" w:hAnsi="Arial" w:cs="Arial"/>
          <w:sz w:val="22"/>
          <w:szCs w:val="22"/>
          <w:lang w:val="en-GB"/>
        </w:rPr>
        <w:t xml:space="preserve">WHO Commission on Social Determinants of Health (CSDH, 2008), guides essential focus on the socioeconomic, political and governance circumstances that generate health inequity irrespective of individual behaviour and clinical intervention. This framework can be applied to rabies mortality in India to understand why there are greater numbers of deaths that can be prevented among rural, low-income, and marginalised groups: not due to inherent failure but structural deprivation of equal access to equitable access to the accessible public health that exists in other groups </w:t>
      </w:r>
      <w:r w:rsidRPr="004273F4" w:rsidR="004273F4">
        <w:rPr>
          <w:rFonts w:ascii="Arial" w:hAnsi="Arial" w:cs="Arial"/>
          <w:sz w:val="22"/>
          <w:szCs w:val="22"/>
          <w:lang w:val="en-GB"/>
        </w:rPr>
        <w:t>(Thiagarajan, 2022)</w:t>
      </w:r>
      <w:r w:rsidRPr="00BF57FF">
        <w:rPr>
          <w:rFonts w:ascii="Arial" w:hAnsi="Arial" w:cs="Arial"/>
          <w:sz w:val="22"/>
          <w:szCs w:val="22"/>
          <w:lang w:val="en-GB"/>
        </w:rPr>
        <w:t>. Srinivasan et al. (2019) use this lens directly in the context of the rabies burden in India by stating that the only path to sustainable progress is by involving the political economy of disease, not its biology. This critical focus provides the critical aspect of the discussion in Chapter 5.</w:t>
      </w:r>
    </w:p>
    <w:p w:rsidRPr="00BF57FF" w:rsidR="009F64C5" w:rsidP="00A70BBB" w:rsidRDefault="00896D12" w14:paraId="0FABF09F" w14:textId="6935345D">
      <w:pPr>
        <w:pStyle w:val="font-claude-response-body"/>
        <w:spacing w:before="0" w:beforeAutospacing="0" w:after="152" w:afterAutospacing="0" w:line="360" w:lineRule="auto"/>
        <w:jc w:val="both"/>
        <w:rPr>
          <w:rFonts w:ascii="Arial" w:hAnsi="Arial" w:cs="Arial"/>
          <w:i/>
          <w:iCs/>
          <w:sz w:val="22"/>
          <w:szCs w:val="22"/>
          <w:lang w:val="en-GB"/>
        </w:rPr>
      </w:pPr>
      <w:r w:rsidRPr="00BF57FF">
        <w:rPr>
          <w:rFonts w:ascii="Arial" w:hAnsi="Arial" w:cs="Arial"/>
          <w:i/>
          <w:iCs/>
          <w:sz w:val="22"/>
          <w:szCs w:val="22"/>
          <w:lang w:val="en-GB"/>
        </w:rPr>
        <w:t xml:space="preserve">Chapter </w:t>
      </w:r>
      <w:r w:rsidRPr="00BF57FF" w:rsidR="0044093E">
        <w:rPr>
          <w:rFonts w:ascii="Arial" w:hAnsi="Arial" w:cs="Arial"/>
          <w:i/>
          <w:iCs/>
          <w:sz w:val="22"/>
          <w:szCs w:val="22"/>
          <w:lang w:val="en-GB"/>
        </w:rPr>
        <w:t>3</w:t>
      </w:r>
      <w:r w:rsidRPr="00BF57FF">
        <w:rPr>
          <w:rFonts w:ascii="Arial" w:hAnsi="Arial" w:cs="Arial"/>
          <w:i/>
          <w:iCs/>
          <w:sz w:val="22"/>
          <w:szCs w:val="22"/>
          <w:lang w:val="en-GB"/>
        </w:rPr>
        <w:t xml:space="preserve"> describes the systematic review methodology, such as philosophical underpinning, search strategy, inclusion and exclusion criteria, quality appraisal approach, and thematic synthesis method used to answer the research question stated in Chapter 1.</w:t>
      </w:r>
      <w:r w:rsidRPr="00BF57FF" w:rsidR="009F64C5">
        <w:rPr>
          <w:rFonts w:ascii="Arial" w:hAnsi="Arial" w:cs="Arial"/>
          <w:sz w:val="22"/>
          <w:szCs w:val="22"/>
          <w:lang w:val="en-GB"/>
        </w:rPr>
        <w:tab/>
      </w:r>
      <w:r w:rsidRPr="00BF57FF" w:rsidR="009F64C5">
        <w:rPr>
          <w:rFonts w:ascii="Arial" w:hAnsi="Arial" w:cs="Arial"/>
          <w:sz w:val="22"/>
          <w:szCs w:val="22"/>
          <w:lang w:val="en-GB"/>
        </w:rPr>
        <w:t xml:space="preserve"> </w:t>
      </w:r>
    </w:p>
    <w:p w:rsidRPr="00BF57FF" w:rsidR="00F00AEE" w:rsidP="00A70BBB" w:rsidRDefault="00F00AEE" w14:paraId="29F94A02" w14:textId="77777777">
      <w:pPr>
        <w:spacing w:line="360" w:lineRule="auto"/>
        <w:jc w:val="both"/>
        <w:rPr>
          <w:rStyle w:val="Strong"/>
          <w:rFonts w:ascii="Arial" w:hAnsi="Arial" w:eastAsia="Times New Roman" w:cs="Arial"/>
          <w:bCs w:val="0"/>
          <w:color w:val="000000"/>
        </w:rPr>
      </w:pPr>
      <w:bookmarkStart w:name="_Toc231005825" w:id="41"/>
      <w:bookmarkStart w:name="_Toc231005858" w:id="42"/>
      <w:r w:rsidRPr="00BF57FF">
        <w:rPr>
          <w:rStyle w:val="Strong"/>
          <w:rFonts w:ascii="Arial" w:hAnsi="Arial" w:cs="Arial"/>
          <w:b w:val="0"/>
          <w:bCs w:val="0"/>
        </w:rPr>
        <w:br w:type="page"/>
      </w:r>
    </w:p>
    <w:p w:rsidRPr="00BF57FF" w:rsidR="00C33C31" w:rsidP="00A70BBB" w:rsidRDefault="00C33C31" w14:paraId="31066B29" w14:textId="35376A64">
      <w:pPr>
        <w:pStyle w:val="Heading1"/>
        <w:spacing w:line="360" w:lineRule="auto"/>
        <w:jc w:val="both"/>
        <w:rPr>
          <w:rStyle w:val="Strong"/>
          <w:rFonts w:ascii="Arial" w:hAnsi="Arial" w:cs="Arial"/>
          <w:b/>
          <w:bCs w:val="0"/>
          <w:sz w:val="22"/>
        </w:rPr>
      </w:pPr>
      <w:bookmarkStart w:name="_Toc231298572" w:id="43"/>
      <w:r w:rsidRPr="00BF57FF">
        <w:rPr>
          <w:rStyle w:val="Strong"/>
          <w:rFonts w:ascii="Arial" w:hAnsi="Arial" w:cs="Arial"/>
          <w:b/>
          <w:bCs w:val="0"/>
          <w:sz w:val="22"/>
        </w:rPr>
        <w:t>CHAPTER 3: METHODOLOGY</w:t>
      </w:r>
      <w:bookmarkEnd w:id="41"/>
      <w:bookmarkEnd w:id="42"/>
      <w:bookmarkEnd w:id="43"/>
    </w:p>
    <w:p w:rsidRPr="00BF57FF" w:rsidR="00C33C31" w:rsidP="00A70BBB" w:rsidRDefault="00C33C31" w14:paraId="5E49C023" w14:textId="77777777">
      <w:pPr>
        <w:pStyle w:val="Heading2"/>
        <w:spacing w:line="360" w:lineRule="auto"/>
        <w:jc w:val="both"/>
        <w:rPr>
          <w:rFonts w:ascii="Arial" w:hAnsi="Arial" w:cs="Arial"/>
          <w:sz w:val="22"/>
        </w:rPr>
      </w:pPr>
      <w:bookmarkStart w:name="_Toc231005859" w:id="44"/>
      <w:bookmarkStart w:name="_Toc231298573" w:id="45"/>
      <w:r w:rsidRPr="00BF57FF">
        <w:rPr>
          <w:rFonts w:ascii="Arial" w:hAnsi="Arial" w:cs="Arial"/>
          <w:sz w:val="22"/>
        </w:rPr>
        <w:t>3.1 Introduction</w:t>
      </w:r>
      <w:bookmarkEnd w:id="44"/>
      <w:bookmarkEnd w:id="45"/>
    </w:p>
    <w:p w:rsidRPr="00BF57FF" w:rsidR="00C33C31" w:rsidP="00A70BBB" w:rsidRDefault="001B5EA7" w14:paraId="5CDF4ADB" w14:textId="6004A0F9">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This chapter presents the methodological framework underpinning the systematic review. It outlines the philosophical stance that underlies the research strategy, the design and rationale of the systematic review plan, the extensive search that was carried out in four electronic databases, the inclusion and exclusion criteria of studies, the selection process guided by PRISMA 2020 and the thematic synthesis process used to generate the analysis results. The chapter ends with ethical considerations, such as the AI use disclosure statement. All the methodological decisions are clearly justified to address the requirement of transparency and reproducibility of the systematic review reporting standards (Page et al., 2021a).</w:t>
      </w:r>
    </w:p>
    <w:p w:rsidRPr="00BF57FF" w:rsidR="00F00AEE" w:rsidP="00A70BBB" w:rsidRDefault="00F00AEE" w14:paraId="2F226C96" w14:textId="77777777">
      <w:pPr>
        <w:pStyle w:val="font-claude-response-body"/>
        <w:spacing w:before="0" w:beforeAutospacing="0" w:after="152" w:afterAutospacing="0" w:line="360" w:lineRule="auto"/>
        <w:jc w:val="both"/>
        <w:rPr>
          <w:rFonts w:ascii="Arial" w:hAnsi="Arial" w:cs="Arial"/>
          <w:sz w:val="22"/>
          <w:szCs w:val="22"/>
          <w:lang w:val="en-GB"/>
        </w:rPr>
      </w:pPr>
    </w:p>
    <w:p w:rsidRPr="00BF57FF" w:rsidR="00C33C31" w:rsidP="00A70BBB" w:rsidRDefault="00C33C31" w14:paraId="7D479E54" w14:textId="77777777">
      <w:pPr>
        <w:pStyle w:val="Heading2"/>
        <w:spacing w:line="360" w:lineRule="auto"/>
        <w:jc w:val="both"/>
        <w:rPr>
          <w:rFonts w:ascii="Arial" w:hAnsi="Arial" w:cs="Arial"/>
          <w:sz w:val="22"/>
        </w:rPr>
      </w:pPr>
      <w:bookmarkStart w:name="_Toc231005860" w:id="46"/>
      <w:bookmarkStart w:name="_Toc231298574" w:id="47"/>
      <w:r w:rsidRPr="00BF57FF">
        <w:rPr>
          <w:rFonts w:ascii="Arial" w:hAnsi="Arial" w:cs="Arial"/>
          <w:sz w:val="22"/>
        </w:rPr>
        <w:t>3.2 Research Philosophy</w:t>
      </w:r>
      <w:bookmarkEnd w:id="46"/>
      <w:bookmarkEnd w:id="47"/>
    </w:p>
    <w:p w:rsidRPr="00BF57FF" w:rsidR="00C33C31" w:rsidP="00A70BBB" w:rsidRDefault="00160789" w14:paraId="3F91F680" w14:textId="47BB8C28">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The paradigm of Research Onion (Saunders et al., 2019) offers the conceptual framework of the philosophical standpoint taken in the present review, which moves the outer circles of ontology and epistemology towards the inner circles of data collection and analysis methods.</w:t>
      </w:r>
    </w:p>
    <w:p w:rsidRPr="00BF57FF" w:rsidR="00C33C31" w:rsidP="00A70BBB" w:rsidRDefault="0034352E" w14:paraId="5DAA5B40" w14:textId="6E774EE5">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On the epistemological level, this review is based on an interpretivist paradigm. Interpretivism asserts that the phenomenon of social nature (such as health-seeking behaviours, institutional governance choices, and community knowledge structures) cannot be sufficiently explained by the objective measures but needs to be studied in the context and meaning-oriented inquiry (Saunders et al., 2019; Creswell and Creswell, 2018). This philosophical standpoint is specifically well adapted to a review that examines obstacles to rabies treatment and surveillance in India, as the phenomena of interest, namely cultural practices, failures in health systems governance, lack of knowledge, and political </w:t>
      </w:r>
      <w:r w:rsidRPr="00BF57FF" w:rsidR="00002B4E">
        <w:rPr>
          <w:rFonts w:ascii="Arial" w:hAnsi="Arial" w:cs="Arial"/>
          <w:sz w:val="22"/>
          <w:szCs w:val="22"/>
          <w:lang w:val="en-GB"/>
        </w:rPr>
        <w:t>underprioritisation</w:t>
      </w:r>
      <w:r w:rsidRPr="00BF57FF">
        <w:rPr>
          <w:rFonts w:ascii="Arial" w:hAnsi="Arial" w:cs="Arial"/>
          <w:sz w:val="22"/>
          <w:szCs w:val="22"/>
          <w:lang w:val="en-GB"/>
        </w:rPr>
        <w:t>, are social phenomena which cannot be characterised simply in quantitative terms.</w:t>
      </w:r>
    </w:p>
    <w:p w:rsidRPr="00BF57FF" w:rsidR="00C33C31" w:rsidP="00A70BBB" w:rsidRDefault="00BF21D0" w14:paraId="7B60EA5C" w14:textId="7A12B130">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This methodology is inductive: the data bring about analytical themes and explanatory patterns rather than a set theoretical hypothesis (Braun and Clarke, 2006). The study design is a systematic review, which was chosen due to its ability to generalise scattered evidence on a specific question with a clear, replicable procedure (Gough et al., 2017). The period of the review process itself is cross-sectional, and the evidence included refers to 2015-2026. The methods include structured database searching, study selection based on PRISMA 2020 and reflexive thematic synthesis.</w:t>
      </w:r>
    </w:p>
    <w:p w:rsidRPr="00BF57FF" w:rsidR="00F00AEE" w:rsidP="00A70BBB" w:rsidRDefault="00F00AEE" w14:paraId="2C6DDAA1" w14:textId="77777777">
      <w:pPr>
        <w:pStyle w:val="font-claude-response-body"/>
        <w:spacing w:before="0" w:beforeAutospacing="0" w:after="152" w:afterAutospacing="0" w:line="360" w:lineRule="auto"/>
        <w:jc w:val="both"/>
        <w:rPr>
          <w:rFonts w:ascii="Arial" w:hAnsi="Arial" w:cs="Arial"/>
          <w:sz w:val="22"/>
          <w:szCs w:val="22"/>
          <w:lang w:val="en-GB"/>
        </w:rPr>
      </w:pPr>
    </w:p>
    <w:p w:rsidRPr="00BF57FF" w:rsidR="00C33C31" w:rsidP="00A70BBB" w:rsidRDefault="00C33C31" w14:paraId="500BD55D" w14:textId="77777777">
      <w:pPr>
        <w:pStyle w:val="Heading2"/>
        <w:spacing w:line="360" w:lineRule="auto"/>
        <w:jc w:val="both"/>
        <w:rPr>
          <w:rFonts w:ascii="Arial" w:hAnsi="Arial" w:cs="Arial"/>
          <w:sz w:val="22"/>
        </w:rPr>
      </w:pPr>
      <w:bookmarkStart w:name="_Toc231005861" w:id="48"/>
      <w:bookmarkStart w:name="_Toc231298575" w:id="49"/>
      <w:r w:rsidRPr="00BF57FF">
        <w:rPr>
          <w:rFonts w:ascii="Arial" w:hAnsi="Arial" w:cs="Arial"/>
          <w:sz w:val="22"/>
        </w:rPr>
        <w:t>3.3 Research Design</w:t>
      </w:r>
      <w:bookmarkEnd w:id="48"/>
      <w:bookmarkEnd w:id="49"/>
    </w:p>
    <w:p w:rsidRPr="00BF57FF" w:rsidR="00C33C31" w:rsidP="00A70BBB" w:rsidRDefault="006B6DCA" w14:paraId="71053A0F" w14:textId="2977F919">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This research methodology is based on the proposal given during Term 2 of the programme. After receiving supervisor feedback and additional literature review, the proposed design was refined four times: the final search incorporated Scopus and Web of Science rather than Science Direct and Google Scholar to enhance peer-reviewed coverage; grey literature was excluded following initial scoping that sufficient primary evidence within the electronic databases is available; the date range was changed to </w:t>
      </w:r>
      <w:r w:rsidRPr="00BF57FF" w:rsidR="0044093E">
        <w:rPr>
          <w:rFonts w:ascii="Arial" w:hAnsi="Arial" w:cs="Arial"/>
          <w:sz w:val="22"/>
          <w:szCs w:val="22"/>
          <w:lang w:val="en-GB"/>
        </w:rPr>
        <w:t>May</w:t>
      </w:r>
      <w:r w:rsidRPr="00BF57FF">
        <w:rPr>
          <w:rFonts w:ascii="Arial" w:hAnsi="Arial" w:cs="Arial"/>
          <w:sz w:val="22"/>
          <w:szCs w:val="22"/>
          <w:lang w:val="en-GB"/>
        </w:rPr>
        <w:t xml:space="preserve"> 202</w:t>
      </w:r>
      <w:r w:rsidRPr="00BF57FF" w:rsidR="0044093E">
        <w:rPr>
          <w:rFonts w:ascii="Arial" w:hAnsi="Arial" w:cs="Arial"/>
          <w:sz w:val="22"/>
          <w:szCs w:val="22"/>
          <w:lang w:val="en-GB"/>
        </w:rPr>
        <w:t>6</w:t>
      </w:r>
      <w:r w:rsidRPr="00BF57FF">
        <w:rPr>
          <w:rFonts w:ascii="Arial" w:hAnsi="Arial" w:cs="Arial"/>
          <w:sz w:val="22"/>
          <w:szCs w:val="22"/>
          <w:lang w:val="en-GB"/>
        </w:rPr>
        <w:t xml:space="preserve"> to capture the latest publications; and thematic synthesis (Thomas and Harden, 2008) was used instead of thematic analysis since it is the more suitable method to use with the heterogeneous systematic review evidence. The research design was a systematic review since it provides high rigour, transparency and reproducibility compared to a conventional narrative one</w:t>
      </w:r>
      <w:r w:rsidRPr="00BF57FF" w:rsidR="00002B4E">
        <w:rPr>
          <w:rFonts w:ascii="Arial" w:hAnsi="Arial" w:cs="Arial"/>
          <w:sz w:val="22"/>
          <w:szCs w:val="22"/>
          <w:lang w:val="en-GB"/>
        </w:rPr>
        <w:t>,</w:t>
      </w:r>
      <w:r w:rsidRPr="00BF57FF">
        <w:rPr>
          <w:rFonts w:ascii="Arial" w:hAnsi="Arial" w:cs="Arial"/>
          <w:sz w:val="22"/>
          <w:szCs w:val="22"/>
          <w:lang w:val="en-GB"/>
        </w:rPr>
        <w:t xml:space="preserve"> as it explicitly and pre-specified its search strategy, selection criteria, appraisal approach and synthesis method (Gough et al., 2017; Aveyard, 2019</w:t>
      </w:r>
      <w:r w:rsidRPr="00BF57FF" w:rsidR="004C5531">
        <w:rPr>
          <w:rFonts w:ascii="Arial" w:hAnsi="Arial" w:cs="Arial"/>
          <w:sz w:val="22"/>
          <w:szCs w:val="22"/>
          <w:lang w:val="en-GB"/>
        </w:rPr>
        <w:t>; Aveyard, 2014</w:t>
      </w:r>
      <w:r w:rsidRPr="00BF57FF">
        <w:rPr>
          <w:rFonts w:ascii="Arial" w:hAnsi="Arial" w:cs="Arial"/>
          <w:sz w:val="22"/>
          <w:szCs w:val="22"/>
          <w:lang w:val="en-GB"/>
        </w:rPr>
        <w:t xml:space="preserve">). In a research question that concerns the scope of obstacles to effective rabies management in heterogeneous Indian contexts, a systematic review can be used to identify and assess the totality of existing peer-reviewed evidence instead of selectively relying on studies one knows. </w:t>
      </w:r>
    </w:p>
    <w:p w:rsidRPr="00BF57FF" w:rsidR="00C33C31" w:rsidP="00A70BBB" w:rsidRDefault="00090869" w14:paraId="70913327" w14:textId="7E8BB3D2">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Reporting follows the PRISMA 2020 principles (Page et al., 2021a), the modern standard of systematic review reporting that replaced the initial PRISMA statement (Moher et al., 2009) with new items, a modified flow diagram, and specific consideration of the certainty of evidence. The PRISMA 2020 Explanation and Elaboration companion (Page et al., 2021b) was also used to guide the reporting of certain items.</w:t>
      </w:r>
    </w:p>
    <w:p w:rsidRPr="00BF57FF" w:rsidR="00C33C31" w:rsidP="00A70BBB" w:rsidRDefault="006F5427" w14:paraId="5DDC9A92" w14:textId="340AE453">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The review is not a quantitative meta-analysis study since the data included in it are too heterogeneous in terms of study designs, populations, and outcome measures to allow any meaningful statistical pooling. Rather, the qualitative analytical tool is the thematic synthesis, which is suitable to make interpretive inferences using methodologically diverse primary data (Thomas and Harden, 2008).</w:t>
      </w:r>
    </w:p>
    <w:p w:rsidRPr="00BF57FF" w:rsidR="00F00AEE" w:rsidP="00A70BBB" w:rsidRDefault="00F00AEE" w14:paraId="6FBF8E1D" w14:textId="77777777">
      <w:pPr>
        <w:pStyle w:val="font-claude-response-body"/>
        <w:spacing w:before="0" w:beforeAutospacing="0" w:after="152" w:afterAutospacing="0" w:line="360" w:lineRule="auto"/>
        <w:jc w:val="both"/>
        <w:rPr>
          <w:rFonts w:ascii="Arial" w:hAnsi="Arial" w:cs="Arial"/>
          <w:sz w:val="22"/>
          <w:szCs w:val="22"/>
          <w:lang w:val="en-GB"/>
        </w:rPr>
      </w:pPr>
    </w:p>
    <w:p w:rsidRPr="00BF57FF" w:rsidR="00C33C31" w:rsidP="00A70BBB" w:rsidRDefault="00C33C31" w14:paraId="7322A934" w14:textId="77777777">
      <w:pPr>
        <w:pStyle w:val="Heading2"/>
        <w:spacing w:line="360" w:lineRule="auto"/>
        <w:jc w:val="both"/>
        <w:rPr>
          <w:rFonts w:ascii="Arial" w:hAnsi="Arial" w:cs="Arial"/>
          <w:sz w:val="22"/>
        </w:rPr>
      </w:pPr>
      <w:bookmarkStart w:name="_Toc231005862" w:id="50"/>
      <w:bookmarkStart w:name="_Toc231298576" w:id="51"/>
      <w:r w:rsidRPr="00BF57FF">
        <w:rPr>
          <w:rFonts w:ascii="Arial" w:hAnsi="Arial" w:cs="Arial"/>
          <w:sz w:val="22"/>
        </w:rPr>
        <w:t>3.4 Search Strategy</w:t>
      </w:r>
      <w:bookmarkEnd w:id="50"/>
      <w:bookmarkEnd w:id="51"/>
    </w:p>
    <w:p w:rsidRPr="00BF57FF" w:rsidR="00C33C31" w:rsidP="00A70BBB" w:rsidRDefault="00C8658A" w14:paraId="13C22BC0" w14:textId="3F35761C">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Four electronic databases, PubMed, Scopus, Web of Science, and CINAHL, were searched to maximise coverage of biomedical, epidemiological, public health, and nursing and allied health literature, respectively.</w:t>
      </w:r>
    </w:p>
    <w:p w:rsidRPr="00BF57FF" w:rsidR="0044093E" w:rsidP="00A70BBB" w:rsidRDefault="00486F48" w14:paraId="1CA83346" w14:textId="77777777">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The search was structured using a SPIDER framework (Sample, Phenomenon of Interest, Design, Evaluation, Research type), because SPIDER is more suitable than PICO to qualitative and mixed-evidence reviews on the experiences and structure of phenomena, and not isolated clinical interventions (Cooke et al., 2012; Aveyard, 2019). </w:t>
      </w:r>
    </w:p>
    <w:p w:rsidRPr="00BF57FF" w:rsidR="00C33C31" w:rsidP="00A70BBB" w:rsidRDefault="00486F48" w14:paraId="1B1521F8" w14:textId="2CA04C9F">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Three concept blocks were joined by Boolean AND:</w:t>
      </w:r>
    </w:p>
    <w:p w:rsidRPr="00BF57FF" w:rsidR="00C33C31" w:rsidP="00A70BBB" w:rsidRDefault="00C33C31" w14:paraId="14C4E9EF" w14:textId="77777777">
      <w:pPr>
        <w:pStyle w:val="font-claude-response-body"/>
        <w:spacing w:before="0" w:beforeAutospacing="0" w:after="152" w:afterAutospacing="0" w:line="360" w:lineRule="auto"/>
        <w:jc w:val="both"/>
        <w:rPr>
          <w:rFonts w:ascii="Arial" w:hAnsi="Arial" w:cs="Arial"/>
          <w:sz w:val="22"/>
          <w:szCs w:val="22"/>
          <w:lang w:val="en-GB"/>
        </w:rPr>
      </w:pPr>
      <w:r w:rsidRPr="00BF57FF">
        <w:rPr>
          <w:rStyle w:val="Strong"/>
          <w:rFonts w:ascii="Arial" w:hAnsi="Arial" w:cs="Arial"/>
          <w:sz w:val="22"/>
          <w:szCs w:val="22"/>
          <w:lang w:val="en-GB"/>
        </w:rPr>
        <w:t>Concept 1 (Condition):</w:t>
      </w:r>
      <w:r w:rsidRPr="00BF57FF">
        <w:rPr>
          <w:rFonts w:ascii="Arial" w:hAnsi="Arial" w:cs="Arial"/>
          <w:sz w:val="22"/>
          <w:szCs w:val="22"/>
          <w:lang w:val="en-GB"/>
        </w:rPr>
        <w:t xml:space="preserve"> rabies OR "dog bite*" OR "animal bite*" OR "dog-mediated rabies" OR "canine rabies"</w:t>
      </w:r>
    </w:p>
    <w:p w:rsidRPr="00BF57FF" w:rsidR="00C33C31" w:rsidP="00A70BBB" w:rsidRDefault="00C33C31" w14:paraId="614F2A33" w14:textId="77777777">
      <w:pPr>
        <w:pStyle w:val="font-claude-response-body"/>
        <w:spacing w:before="0" w:beforeAutospacing="0" w:after="152" w:afterAutospacing="0" w:line="360" w:lineRule="auto"/>
        <w:jc w:val="both"/>
        <w:rPr>
          <w:rFonts w:ascii="Arial" w:hAnsi="Arial" w:cs="Arial"/>
          <w:sz w:val="22"/>
          <w:szCs w:val="22"/>
          <w:lang w:val="en-GB"/>
        </w:rPr>
      </w:pPr>
      <w:r w:rsidRPr="00BF57FF">
        <w:rPr>
          <w:rStyle w:val="Strong"/>
          <w:rFonts w:ascii="Arial" w:hAnsi="Arial" w:cs="Arial"/>
          <w:sz w:val="22"/>
          <w:szCs w:val="22"/>
          <w:lang w:val="en-GB"/>
        </w:rPr>
        <w:t>Concept 2 (Setting):</w:t>
      </w:r>
      <w:r w:rsidRPr="00BF57FF">
        <w:rPr>
          <w:rFonts w:ascii="Arial" w:hAnsi="Arial" w:cs="Arial"/>
          <w:sz w:val="22"/>
          <w:szCs w:val="22"/>
          <w:lang w:val="en-GB"/>
        </w:rPr>
        <w:t xml:space="preserve"> India OR Indian</w:t>
      </w:r>
    </w:p>
    <w:p w:rsidRPr="00BF57FF" w:rsidR="00C33C31" w:rsidP="00A70BBB" w:rsidRDefault="00C33C31" w14:paraId="3512BF18" w14:textId="64539BA2">
      <w:pPr>
        <w:pStyle w:val="font-claude-response-body"/>
        <w:spacing w:before="0" w:beforeAutospacing="0" w:after="152" w:afterAutospacing="0" w:line="360" w:lineRule="auto"/>
        <w:jc w:val="both"/>
        <w:rPr>
          <w:rFonts w:ascii="Arial" w:hAnsi="Arial" w:cs="Arial"/>
          <w:sz w:val="22"/>
          <w:szCs w:val="22"/>
          <w:lang w:val="en-GB"/>
        </w:rPr>
      </w:pPr>
      <w:r w:rsidRPr="00BF57FF">
        <w:rPr>
          <w:rStyle w:val="Strong"/>
          <w:rFonts w:ascii="Arial" w:hAnsi="Arial" w:cs="Arial"/>
          <w:sz w:val="22"/>
          <w:szCs w:val="22"/>
          <w:lang w:val="en-GB"/>
        </w:rPr>
        <w:t>Concept 3 (Barriers/Focus):</w:t>
      </w:r>
      <w:r w:rsidRPr="00BF57FF">
        <w:rPr>
          <w:rFonts w:ascii="Arial" w:hAnsi="Arial" w:cs="Arial"/>
          <w:sz w:val="22"/>
          <w:szCs w:val="22"/>
          <w:lang w:val="en-GB"/>
        </w:rPr>
        <w:t xml:space="preserve"> barrier* OR challenge* OR surveillance OR "post-exposure prophylaxis" OR PEP OR treatment OR "anti-rabies vaccin*" OR immunoglobulin OR underreport* OR "health-seeking" OR </w:t>
      </w:r>
      <w:r w:rsidRPr="00BF57FF" w:rsidR="00AC6DF6">
        <w:rPr>
          <w:rFonts w:ascii="Arial" w:hAnsi="Arial" w:cs="Arial"/>
          <w:sz w:val="22"/>
          <w:szCs w:val="22"/>
          <w:lang w:val="en-GB"/>
        </w:rPr>
        <w:t>awareness, elimination,</w:t>
      </w:r>
      <w:r w:rsidRPr="00BF57FF">
        <w:rPr>
          <w:rFonts w:ascii="Arial" w:hAnsi="Arial" w:cs="Arial"/>
          <w:sz w:val="22"/>
          <w:szCs w:val="22"/>
          <w:lang w:val="en-GB"/>
        </w:rPr>
        <w:t xml:space="preserve"> OR control</w:t>
      </w:r>
    </w:p>
    <w:p w:rsidRPr="00BF57FF" w:rsidR="00C33C31" w:rsidP="00A70BBB" w:rsidRDefault="00DF3240" w14:paraId="2B39CA05" w14:textId="5EA00382">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Adaptations to the database were made. On PubMed, Medical Subject Headings (MeSH) were combined with free-text title-abstract terms: ("Rabies"[MeSH] OR rabies[tiab] OR "dog bite*"[tiab]) AND ("India"[</w:t>
      </w:r>
      <w:r w:rsidRPr="00BF57FF" w:rsidR="00AA6610">
        <w:rPr>
          <w:rFonts w:ascii="Arial" w:hAnsi="Arial" w:cs="Arial"/>
          <w:sz w:val="22"/>
          <w:szCs w:val="22"/>
          <w:lang w:val="en-GB"/>
        </w:rPr>
        <w:t>MeSH</w:t>
      </w:r>
      <w:r w:rsidRPr="00BF57FF">
        <w:rPr>
          <w:rFonts w:ascii="Arial" w:hAnsi="Arial" w:cs="Arial"/>
          <w:sz w:val="22"/>
          <w:szCs w:val="22"/>
          <w:lang w:val="en-GB"/>
        </w:rPr>
        <w:t>] OR India[tiab]) AND (barrier*[tiab] OR "Post-Exposure Prophylaxis"[</w:t>
      </w:r>
      <w:r w:rsidRPr="00BF57FF" w:rsidR="00AA6610">
        <w:rPr>
          <w:rFonts w:ascii="Arial" w:hAnsi="Arial" w:cs="Arial"/>
          <w:sz w:val="22"/>
          <w:szCs w:val="22"/>
          <w:lang w:val="en-GB"/>
        </w:rPr>
        <w:t>MeSH</w:t>
      </w:r>
      <w:r w:rsidRPr="00BF57FF">
        <w:rPr>
          <w:rFonts w:ascii="Arial" w:hAnsi="Arial" w:cs="Arial"/>
          <w:sz w:val="22"/>
          <w:szCs w:val="22"/>
          <w:lang w:val="en-GB"/>
        </w:rPr>
        <w:t>] OR surveillance[tiab] OR vaccin*[tiab]). Scopus used TITLE-ABSTRACT-KEYWORD (TITLE-ABS-KEY) Field searches</w:t>
      </w:r>
      <w:r w:rsidRPr="00BF57FF" w:rsidR="009715BD">
        <w:rPr>
          <w:rFonts w:ascii="Arial" w:hAnsi="Arial" w:cs="Arial"/>
          <w:sz w:val="22"/>
          <w:szCs w:val="22"/>
          <w:lang w:val="en-GB"/>
        </w:rPr>
        <w:t>,</w:t>
      </w:r>
      <w:r w:rsidRPr="00BF57FF">
        <w:rPr>
          <w:rFonts w:ascii="Arial" w:hAnsi="Arial" w:cs="Arial"/>
          <w:sz w:val="22"/>
          <w:szCs w:val="22"/>
          <w:lang w:val="en-GB"/>
        </w:rPr>
        <w:t xml:space="preserve"> and Web of </w:t>
      </w:r>
      <w:r w:rsidRPr="00BF57FF" w:rsidR="009715BD">
        <w:rPr>
          <w:rFonts w:ascii="Arial" w:hAnsi="Arial" w:cs="Arial"/>
          <w:sz w:val="22"/>
          <w:szCs w:val="22"/>
          <w:lang w:val="en-GB"/>
        </w:rPr>
        <w:t>Science</w:t>
      </w:r>
      <w:r w:rsidRPr="00BF57FF">
        <w:rPr>
          <w:rFonts w:ascii="Arial" w:hAnsi="Arial" w:cs="Arial"/>
          <w:sz w:val="22"/>
          <w:szCs w:val="22"/>
          <w:lang w:val="en-GB"/>
        </w:rPr>
        <w:t xml:space="preserve"> used Topic (TS=) field searches with similar free-text strings. CINAHL was searched using combined MeSH and title-abstract fields.</w:t>
      </w:r>
    </w:p>
    <w:p w:rsidRPr="00BF57FF" w:rsidR="00C33C31" w:rsidP="00A70BBB" w:rsidRDefault="000E77C7" w14:paraId="433D19FD" w14:textId="4A9364AC">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The search was limited to English-language sources published between 2015 and 202</w:t>
      </w:r>
      <w:r w:rsidRPr="00BF57FF" w:rsidR="0044093E">
        <w:rPr>
          <w:rFonts w:ascii="Arial" w:hAnsi="Arial" w:cs="Arial"/>
          <w:sz w:val="22"/>
          <w:szCs w:val="22"/>
          <w:lang w:val="en-GB"/>
        </w:rPr>
        <w:t>6</w:t>
      </w:r>
      <w:r w:rsidRPr="00BF57FF">
        <w:rPr>
          <w:rFonts w:ascii="Arial" w:hAnsi="Arial" w:cs="Arial"/>
          <w:sz w:val="22"/>
          <w:szCs w:val="22"/>
          <w:lang w:val="en-GB"/>
        </w:rPr>
        <w:t xml:space="preserve">, which covers the WHO Zero by 30 commitment to the present. No grey literature search was done. The search strings, number of hits, and dates of search are recorded in Appendix A as required by PRISMA-S extensions (Page et al., 2021a). </w:t>
      </w:r>
    </w:p>
    <w:p w:rsidRPr="00BF57FF" w:rsidR="00F00AEE" w:rsidP="00A70BBB" w:rsidRDefault="00F00AEE" w14:paraId="1DBD7418" w14:textId="77777777">
      <w:pPr>
        <w:pStyle w:val="font-claude-response-body"/>
        <w:spacing w:before="0" w:beforeAutospacing="0" w:after="152" w:afterAutospacing="0" w:line="360" w:lineRule="auto"/>
        <w:jc w:val="both"/>
        <w:rPr>
          <w:rFonts w:ascii="Arial" w:hAnsi="Arial" w:cs="Arial"/>
          <w:sz w:val="22"/>
          <w:szCs w:val="22"/>
          <w:lang w:val="en-GB"/>
        </w:rPr>
      </w:pPr>
    </w:p>
    <w:p w:rsidRPr="00BF57FF" w:rsidR="00C33C31" w:rsidP="00A70BBB" w:rsidRDefault="00C33C31" w14:paraId="1A1AE02B" w14:textId="77777777">
      <w:pPr>
        <w:pStyle w:val="Heading2"/>
        <w:spacing w:line="360" w:lineRule="auto"/>
        <w:jc w:val="both"/>
        <w:rPr>
          <w:rFonts w:ascii="Arial" w:hAnsi="Arial" w:cs="Arial"/>
          <w:sz w:val="22"/>
        </w:rPr>
      </w:pPr>
      <w:bookmarkStart w:name="_Toc231005863" w:id="52"/>
      <w:bookmarkStart w:name="_Toc231298577" w:id="53"/>
      <w:r w:rsidRPr="00BF57FF">
        <w:rPr>
          <w:rFonts w:ascii="Arial" w:hAnsi="Arial" w:cs="Arial"/>
          <w:sz w:val="22"/>
        </w:rPr>
        <w:t>3.5 Inclusion and Exclusion Criteria</w:t>
      </w:r>
      <w:bookmarkEnd w:id="52"/>
      <w:bookmarkEnd w:id="53"/>
    </w:p>
    <w:p w:rsidRPr="00BF57FF" w:rsidR="00DF07F2" w:rsidP="00A70BBB" w:rsidRDefault="000E77C7" w14:paraId="1C8F6275" w14:textId="08C501FA">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Inclusion and exclusion criteria were defined before data collection and used throughout the screening process. This is shown in Table 3.1.</w:t>
      </w:r>
    </w:p>
    <w:p w:rsidRPr="00BF57FF" w:rsidR="00DF07F2" w:rsidP="00A70BBB" w:rsidRDefault="00DF07F2" w14:paraId="73BEA439" w14:textId="70B1FC97">
      <w:pPr>
        <w:pStyle w:val="Caption"/>
        <w:keepNext/>
        <w:spacing w:line="360" w:lineRule="auto"/>
        <w:jc w:val="both"/>
        <w:rPr>
          <w:rFonts w:ascii="Arial" w:hAnsi="Arial" w:cs="Arial"/>
          <w:sz w:val="22"/>
          <w:szCs w:val="22"/>
        </w:rPr>
      </w:pPr>
      <w:bookmarkStart w:name="_Toc231243246" w:id="54"/>
      <w:bookmarkStart w:name="_Toc231243845" w:id="55"/>
      <w:r w:rsidRPr="00BF57FF">
        <w:rPr>
          <w:rFonts w:ascii="Arial" w:hAnsi="Arial" w:cs="Arial"/>
          <w:sz w:val="22"/>
          <w:szCs w:val="22"/>
        </w:rPr>
        <w:t>Table 3</w:t>
      </w:r>
      <w:r w:rsidRPr="00BF57FF" w:rsidR="00233E09">
        <w:rPr>
          <w:rFonts w:ascii="Arial" w:hAnsi="Arial" w:cs="Arial"/>
          <w:sz w:val="22"/>
          <w:szCs w:val="22"/>
        </w:rPr>
        <w:t>.</w:t>
      </w:r>
      <w:r w:rsidRPr="00BF57FF">
        <w:rPr>
          <w:rFonts w:ascii="Arial" w:hAnsi="Arial" w:cs="Arial"/>
          <w:sz w:val="22"/>
          <w:szCs w:val="22"/>
        </w:rPr>
        <w:fldChar w:fldCharType="begin"/>
      </w:r>
      <w:r w:rsidRPr="00BF57FF">
        <w:rPr>
          <w:rFonts w:ascii="Arial" w:hAnsi="Arial" w:cs="Arial"/>
          <w:sz w:val="22"/>
          <w:szCs w:val="22"/>
        </w:rPr>
        <w:instrText xml:space="preserve"> SEQ Table_3 \* ARABIC </w:instrText>
      </w:r>
      <w:r w:rsidRPr="00BF57FF">
        <w:rPr>
          <w:rFonts w:ascii="Arial" w:hAnsi="Arial" w:cs="Arial"/>
          <w:sz w:val="22"/>
          <w:szCs w:val="22"/>
        </w:rPr>
        <w:fldChar w:fldCharType="separate"/>
      </w:r>
      <w:r w:rsidRPr="00BF57FF">
        <w:rPr>
          <w:rFonts w:ascii="Arial" w:hAnsi="Arial" w:cs="Arial"/>
          <w:noProof/>
          <w:sz w:val="22"/>
          <w:szCs w:val="22"/>
        </w:rPr>
        <w:t>1</w:t>
      </w:r>
      <w:r w:rsidRPr="00BF57FF">
        <w:rPr>
          <w:rFonts w:ascii="Arial" w:hAnsi="Arial" w:cs="Arial"/>
          <w:sz w:val="22"/>
          <w:szCs w:val="22"/>
        </w:rPr>
        <w:fldChar w:fldCharType="end"/>
      </w:r>
      <w:r w:rsidRPr="00BF57FF">
        <w:rPr>
          <w:rFonts w:ascii="Arial" w:hAnsi="Arial" w:cs="Arial"/>
          <w:b/>
          <w:bCs/>
          <w:sz w:val="22"/>
          <w:szCs w:val="22"/>
        </w:rPr>
        <w:t xml:space="preserve"> </w:t>
      </w:r>
      <w:r w:rsidRPr="00BF57FF">
        <w:rPr>
          <w:rFonts w:ascii="Arial" w:hAnsi="Arial" w:cs="Arial"/>
          <w:sz w:val="22"/>
          <w:szCs w:val="22"/>
        </w:rPr>
        <w:t>Inclusion and Exclusion Criteria</w:t>
      </w:r>
      <w:bookmarkEnd w:id="54"/>
      <w:bookmarkEnd w:id="55"/>
    </w:p>
    <w:tbl>
      <w:tblPr>
        <w:tblW w:w="93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1600"/>
        <w:gridCol w:w="3880"/>
        <w:gridCol w:w="3880"/>
      </w:tblGrid>
      <w:tr w:rsidRPr="00BF57FF" w:rsidR="009D6E54" w:rsidTr="007D0664" w14:paraId="328B93BA" w14:textId="77777777">
        <w:trPr>
          <w:tblHeader/>
        </w:trPr>
        <w:tc>
          <w:tcPr>
            <w:tcW w:w="1600" w:type="dxa"/>
            <w:tcBorders>
              <w:top w:val="single" w:color="1B2A4A" w:sz="12" w:space="0"/>
              <w:left w:val="single" w:color="1B2A4A" w:sz="12" w:space="0"/>
              <w:bottom w:val="single" w:color="1B2A4A" w:sz="12" w:space="0"/>
              <w:right w:val="single" w:color="1B2A4A" w:sz="12" w:space="0"/>
            </w:tcBorders>
            <w:shd w:val="clear" w:color="auto" w:fill="1B2A4A"/>
            <w:tcMar>
              <w:top w:w="140" w:type="dxa"/>
              <w:left w:w="180" w:type="dxa"/>
              <w:bottom w:w="140" w:type="dxa"/>
              <w:right w:w="180" w:type="dxa"/>
            </w:tcMar>
            <w:vAlign w:val="center"/>
          </w:tcPr>
          <w:p w:rsidRPr="00BF57FF" w:rsidR="009D6E54" w:rsidP="00296EF3" w:rsidRDefault="009D6E54" w14:paraId="79773F84" w14:textId="77777777">
            <w:pPr>
              <w:spacing w:after="0" w:line="240" w:lineRule="auto"/>
              <w:jc w:val="both"/>
              <w:rPr>
                <w:rFonts w:ascii="Arial" w:hAnsi="Arial" w:cs="Arial"/>
              </w:rPr>
            </w:pPr>
            <w:r w:rsidRPr="00BF57FF">
              <w:rPr>
                <w:rFonts w:ascii="Arial" w:hAnsi="Arial" w:eastAsia="Arial" w:cs="Arial"/>
                <w:b/>
                <w:bCs/>
                <w:caps/>
                <w:color w:val="FFFFFF"/>
              </w:rPr>
              <w:t>Criterion</w:t>
            </w:r>
          </w:p>
        </w:tc>
        <w:tc>
          <w:tcPr>
            <w:tcW w:w="3880" w:type="dxa"/>
            <w:tcBorders>
              <w:top w:val="single" w:color="1B2A4A" w:sz="12" w:space="0"/>
              <w:left w:val="single" w:color="1B2A4A" w:sz="12" w:space="0"/>
              <w:bottom w:val="single" w:color="1B2A4A" w:sz="12" w:space="0"/>
              <w:right w:val="single" w:color="1B2A4A" w:sz="12" w:space="0"/>
            </w:tcBorders>
            <w:shd w:val="clear" w:color="auto" w:fill="0E6655"/>
            <w:tcMar>
              <w:top w:w="140" w:type="dxa"/>
              <w:left w:w="180" w:type="dxa"/>
              <w:bottom w:w="140" w:type="dxa"/>
              <w:right w:w="180" w:type="dxa"/>
            </w:tcMar>
            <w:vAlign w:val="center"/>
          </w:tcPr>
          <w:p w:rsidRPr="00BF57FF" w:rsidR="009D6E54" w:rsidP="00296EF3" w:rsidRDefault="009D6E54" w14:paraId="6ECCAD8D" w14:textId="6A22DA86">
            <w:pPr>
              <w:spacing w:after="0" w:line="240" w:lineRule="auto"/>
              <w:jc w:val="both"/>
              <w:rPr>
                <w:rFonts w:ascii="Arial" w:hAnsi="Arial" w:cs="Arial"/>
              </w:rPr>
            </w:pPr>
            <w:r w:rsidRPr="00BF57FF">
              <w:rPr>
                <w:rFonts w:ascii="Arial" w:hAnsi="Arial" w:eastAsia="Arial" w:cs="Arial"/>
                <w:b/>
                <w:bCs/>
                <w:caps/>
                <w:color w:val="FFFFFF"/>
              </w:rPr>
              <w:t xml:space="preserve"> Inclusion</w:t>
            </w:r>
          </w:p>
        </w:tc>
        <w:tc>
          <w:tcPr>
            <w:tcW w:w="3880" w:type="dxa"/>
            <w:tcBorders>
              <w:top w:val="single" w:color="1B2A4A" w:sz="12" w:space="0"/>
              <w:left w:val="single" w:color="1B2A4A" w:sz="12" w:space="0"/>
              <w:bottom w:val="single" w:color="1B2A4A" w:sz="12" w:space="0"/>
              <w:right w:val="single" w:color="1B2A4A" w:sz="12" w:space="0"/>
            </w:tcBorders>
            <w:shd w:val="clear" w:color="auto" w:fill="A93226"/>
            <w:tcMar>
              <w:top w:w="140" w:type="dxa"/>
              <w:left w:w="180" w:type="dxa"/>
              <w:bottom w:w="140" w:type="dxa"/>
              <w:right w:w="180" w:type="dxa"/>
            </w:tcMar>
            <w:vAlign w:val="center"/>
          </w:tcPr>
          <w:p w:rsidRPr="00BF57FF" w:rsidR="009D6E54" w:rsidP="00296EF3" w:rsidRDefault="009D6E54" w14:paraId="3D2AEB24" w14:textId="56263187">
            <w:pPr>
              <w:spacing w:after="0" w:line="240" w:lineRule="auto"/>
              <w:jc w:val="both"/>
              <w:rPr>
                <w:rFonts w:ascii="Arial" w:hAnsi="Arial" w:cs="Arial"/>
              </w:rPr>
            </w:pPr>
            <w:r w:rsidRPr="00BF57FF">
              <w:rPr>
                <w:rFonts w:ascii="Arial" w:hAnsi="Arial" w:eastAsia="Arial" w:cs="Arial"/>
                <w:b/>
                <w:bCs/>
                <w:caps/>
                <w:color w:val="FFFFFF"/>
              </w:rPr>
              <w:t xml:space="preserve"> Exclusion</w:t>
            </w:r>
          </w:p>
        </w:tc>
      </w:tr>
      <w:tr w:rsidRPr="00BF57FF" w:rsidR="009D6E54" w:rsidTr="007D0664" w14:paraId="6F7048B6" w14:textId="77777777">
        <w:tc>
          <w:tcPr>
            <w:tcW w:w="1600" w:type="dxa"/>
            <w:tcBorders>
              <w:top w:val="single" w:color="CBD9E8" w:sz="4" w:space="0"/>
              <w:left w:val="single" w:color="CBD9E8" w:sz="4" w:space="0"/>
              <w:bottom w:val="single" w:color="CBD9E8" w:sz="4" w:space="0"/>
              <w:right w:val="single" w:color="CBD9E8" w:sz="4" w:space="0"/>
            </w:tcBorders>
            <w:shd w:val="clear" w:color="auto" w:fill="EAF0FB"/>
            <w:tcMar>
              <w:top w:w="140" w:type="dxa"/>
              <w:left w:w="180" w:type="dxa"/>
              <w:bottom w:w="140" w:type="dxa"/>
              <w:right w:w="180" w:type="dxa"/>
            </w:tcMar>
            <w:vAlign w:val="center"/>
          </w:tcPr>
          <w:p w:rsidRPr="00BF57FF" w:rsidR="009D6E54" w:rsidP="00296EF3" w:rsidRDefault="009D6E54" w14:paraId="2FAF23A2" w14:textId="77777777">
            <w:pPr>
              <w:spacing w:after="0" w:line="240" w:lineRule="auto"/>
              <w:jc w:val="both"/>
              <w:rPr>
                <w:rFonts w:ascii="Arial" w:hAnsi="Arial" w:cs="Arial"/>
              </w:rPr>
            </w:pPr>
            <w:r w:rsidRPr="00BF57FF">
              <w:rPr>
                <w:rFonts w:ascii="Arial" w:hAnsi="Arial" w:eastAsia="Arial" w:cs="Arial"/>
                <w:b/>
                <w:bCs/>
                <w:color w:val="1B2A4A"/>
              </w:rPr>
              <w:t>Publication Type</w:t>
            </w:r>
          </w:p>
        </w:tc>
        <w:tc>
          <w:tcPr>
            <w:tcW w:w="3880" w:type="dxa"/>
            <w:tcBorders>
              <w:top w:val="single" w:color="CBD9E8" w:sz="4" w:space="0"/>
              <w:left w:val="single" w:color="CBD9E8" w:sz="4" w:space="0"/>
              <w:bottom w:val="single" w:color="CBD9E8" w:sz="4" w:space="0"/>
              <w:right w:val="single" w:color="CBD9E8" w:sz="4" w:space="0"/>
            </w:tcBorders>
            <w:shd w:val="clear" w:color="auto" w:fill="D5F0EB"/>
            <w:tcMar>
              <w:top w:w="100" w:type="dxa"/>
              <w:left w:w="180" w:type="dxa"/>
              <w:bottom w:w="100" w:type="dxa"/>
              <w:right w:w="180" w:type="dxa"/>
            </w:tcMar>
            <w:vAlign w:val="center"/>
          </w:tcPr>
          <w:p w:rsidRPr="00BF57FF" w:rsidR="009D6E54" w:rsidP="00296EF3" w:rsidRDefault="009D6E54" w14:paraId="6CF6C841" w14:textId="77777777">
            <w:pPr>
              <w:spacing w:after="0" w:line="240" w:lineRule="auto"/>
              <w:jc w:val="both"/>
              <w:rPr>
                <w:rFonts w:ascii="Arial" w:hAnsi="Arial" w:cs="Arial"/>
              </w:rPr>
            </w:pPr>
            <w:r w:rsidRPr="00BF57FF">
              <w:rPr>
                <w:rFonts w:ascii="Arial" w:hAnsi="Arial" w:eastAsia="Arial" w:cs="Arial"/>
                <w:color w:val="1A5632"/>
              </w:rPr>
              <w:t>Peer-reviewed journal articles</w:t>
            </w:r>
          </w:p>
          <w:p w:rsidRPr="00BF57FF" w:rsidR="009D6E54" w:rsidP="00296EF3" w:rsidRDefault="009D6E54" w14:paraId="526D4D9D" w14:textId="77777777">
            <w:pPr>
              <w:spacing w:after="0" w:line="240" w:lineRule="auto"/>
              <w:jc w:val="both"/>
              <w:rPr>
                <w:rFonts w:ascii="Arial" w:hAnsi="Arial" w:cs="Arial"/>
              </w:rPr>
            </w:pPr>
            <w:r w:rsidRPr="00BF57FF">
              <w:rPr>
                <w:rFonts w:ascii="Arial" w:hAnsi="Arial" w:eastAsia="Arial" w:cs="Arial"/>
                <w:color w:val="1A5632"/>
              </w:rPr>
              <w:t>Systematic reviews with India-specific data</w:t>
            </w:r>
          </w:p>
        </w:tc>
        <w:tc>
          <w:tcPr>
            <w:tcW w:w="3880" w:type="dxa"/>
            <w:tcBorders>
              <w:top w:val="single" w:color="CBD9E8" w:sz="4" w:space="0"/>
              <w:left w:val="single" w:color="CBD9E8" w:sz="4" w:space="0"/>
              <w:bottom w:val="single" w:color="CBD9E8" w:sz="4" w:space="0"/>
              <w:right w:val="single" w:color="CBD9E8" w:sz="4" w:space="0"/>
            </w:tcBorders>
            <w:shd w:val="clear" w:color="auto" w:fill="FDECEA"/>
            <w:tcMar>
              <w:top w:w="100" w:type="dxa"/>
              <w:left w:w="180" w:type="dxa"/>
              <w:bottom w:w="100" w:type="dxa"/>
              <w:right w:w="180" w:type="dxa"/>
            </w:tcMar>
            <w:vAlign w:val="center"/>
          </w:tcPr>
          <w:p w:rsidRPr="00BF57FF" w:rsidR="009D6E54" w:rsidP="00296EF3" w:rsidRDefault="009D6E54" w14:paraId="46475E5F" w14:textId="77777777">
            <w:pPr>
              <w:spacing w:after="0" w:line="240" w:lineRule="auto"/>
              <w:jc w:val="both"/>
              <w:rPr>
                <w:rFonts w:ascii="Arial" w:hAnsi="Arial" w:cs="Arial"/>
              </w:rPr>
            </w:pPr>
            <w:r w:rsidRPr="00BF57FF">
              <w:rPr>
                <w:rFonts w:ascii="Arial" w:hAnsi="Arial" w:eastAsia="Arial" w:cs="Arial"/>
                <w:color w:val="7B241C"/>
              </w:rPr>
              <w:t>Editorials and commentaries</w:t>
            </w:r>
          </w:p>
          <w:p w:rsidRPr="00BF57FF" w:rsidR="009D6E54" w:rsidP="00296EF3" w:rsidRDefault="009D6E54" w14:paraId="3AFC304A" w14:textId="77777777">
            <w:pPr>
              <w:spacing w:after="0" w:line="240" w:lineRule="auto"/>
              <w:jc w:val="both"/>
              <w:rPr>
                <w:rFonts w:ascii="Arial" w:hAnsi="Arial" w:cs="Arial"/>
              </w:rPr>
            </w:pPr>
            <w:r w:rsidRPr="00BF57FF">
              <w:rPr>
                <w:rFonts w:ascii="Arial" w:hAnsi="Arial" w:eastAsia="Arial" w:cs="Arial"/>
                <w:color w:val="7B241C"/>
              </w:rPr>
              <w:t>Conference abstracts</w:t>
            </w:r>
          </w:p>
          <w:p w:rsidRPr="00BF57FF" w:rsidR="009D6E54" w:rsidP="00296EF3" w:rsidRDefault="009D6E54" w14:paraId="77D54F2F" w14:textId="77777777">
            <w:pPr>
              <w:spacing w:after="0" w:line="240" w:lineRule="auto"/>
              <w:jc w:val="both"/>
              <w:rPr>
                <w:rFonts w:ascii="Arial" w:hAnsi="Arial" w:cs="Arial"/>
              </w:rPr>
            </w:pPr>
            <w:r w:rsidRPr="00BF57FF">
              <w:rPr>
                <w:rFonts w:ascii="Arial" w:hAnsi="Arial" w:eastAsia="Arial" w:cs="Arial"/>
                <w:color w:val="7B241C"/>
              </w:rPr>
              <w:t>Book chapters</w:t>
            </w:r>
          </w:p>
          <w:p w:rsidRPr="00BF57FF" w:rsidR="009D6E54" w:rsidP="00296EF3" w:rsidRDefault="009D6E54" w14:paraId="4D4BC924" w14:textId="77777777">
            <w:pPr>
              <w:spacing w:after="0" w:line="240" w:lineRule="auto"/>
              <w:jc w:val="both"/>
              <w:rPr>
                <w:rFonts w:ascii="Arial" w:hAnsi="Arial" w:cs="Arial"/>
              </w:rPr>
            </w:pPr>
            <w:r w:rsidRPr="00BF57FF">
              <w:rPr>
                <w:rFonts w:ascii="Arial" w:hAnsi="Arial" w:eastAsia="Arial" w:cs="Arial"/>
                <w:color w:val="7B241C"/>
              </w:rPr>
              <w:t>Grey literature</w:t>
            </w:r>
          </w:p>
        </w:tc>
      </w:tr>
      <w:tr w:rsidRPr="00BF57FF" w:rsidR="009D6E54" w:rsidTr="007D0664" w14:paraId="45F1F9F3" w14:textId="77777777">
        <w:tc>
          <w:tcPr>
            <w:tcW w:w="1600" w:type="dxa"/>
            <w:tcBorders>
              <w:top w:val="single" w:color="CBD9E8" w:sz="4" w:space="0"/>
              <w:left w:val="single" w:color="CBD9E8" w:sz="4" w:space="0"/>
              <w:bottom w:val="single" w:color="CBD9E8" w:sz="4" w:space="0"/>
              <w:right w:val="single" w:color="CBD9E8" w:sz="4" w:space="0"/>
            </w:tcBorders>
            <w:shd w:val="clear" w:color="auto" w:fill="D6E4F0"/>
            <w:tcMar>
              <w:top w:w="140" w:type="dxa"/>
              <w:left w:w="180" w:type="dxa"/>
              <w:bottom w:w="140" w:type="dxa"/>
              <w:right w:w="180" w:type="dxa"/>
            </w:tcMar>
            <w:vAlign w:val="center"/>
          </w:tcPr>
          <w:p w:rsidRPr="00BF57FF" w:rsidR="009D6E54" w:rsidP="00296EF3" w:rsidRDefault="009D6E54" w14:paraId="41A257C4" w14:textId="77777777">
            <w:pPr>
              <w:spacing w:after="0" w:line="240" w:lineRule="auto"/>
              <w:jc w:val="both"/>
              <w:rPr>
                <w:rFonts w:ascii="Arial" w:hAnsi="Arial" w:cs="Arial"/>
              </w:rPr>
            </w:pPr>
            <w:r w:rsidRPr="00BF57FF">
              <w:rPr>
                <w:rFonts w:ascii="Arial" w:hAnsi="Arial" w:eastAsia="Arial" w:cs="Arial"/>
                <w:b/>
                <w:bCs/>
                <w:color w:val="1B2A4A"/>
              </w:rPr>
              <w:t>Language</w:t>
            </w:r>
          </w:p>
        </w:tc>
        <w:tc>
          <w:tcPr>
            <w:tcW w:w="3880" w:type="dxa"/>
            <w:tcBorders>
              <w:top w:val="single" w:color="CBD9E8" w:sz="4" w:space="0"/>
              <w:left w:val="single" w:color="CBD9E8" w:sz="4" w:space="0"/>
              <w:bottom w:val="single" w:color="CBD9E8" w:sz="4" w:space="0"/>
              <w:right w:val="single" w:color="CBD9E8" w:sz="4" w:space="0"/>
            </w:tcBorders>
            <w:shd w:val="clear" w:color="auto" w:fill="A9DFBF"/>
            <w:tcMar>
              <w:top w:w="100" w:type="dxa"/>
              <w:left w:w="180" w:type="dxa"/>
              <w:bottom w:w="100" w:type="dxa"/>
              <w:right w:w="180" w:type="dxa"/>
            </w:tcMar>
            <w:vAlign w:val="center"/>
          </w:tcPr>
          <w:p w:rsidRPr="00BF57FF" w:rsidR="009D6E54" w:rsidP="00296EF3" w:rsidRDefault="009D6E54" w14:paraId="0C0DD88B" w14:textId="77777777">
            <w:pPr>
              <w:spacing w:after="0" w:line="240" w:lineRule="auto"/>
              <w:jc w:val="both"/>
              <w:rPr>
                <w:rFonts w:ascii="Arial" w:hAnsi="Arial" w:cs="Arial"/>
              </w:rPr>
            </w:pPr>
            <w:r w:rsidRPr="00BF57FF">
              <w:rPr>
                <w:rFonts w:ascii="Arial" w:hAnsi="Arial" w:eastAsia="Arial" w:cs="Arial"/>
                <w:color w:val="1A5632"/>
              </w:rPr>
              <w:t>English-language publications only</w:t>
            </w:r>
          </w:p>
        </w:tc>
        <w:tc>
          <w:tcPr>
            <w:tcW w:w="3880" w:type="dxa"/>
            <w:tcBorders>
              <w:top w:val="single" w:color="CBD9E8" w:sz="4" w:space="0"/>
              <w:left w:val="single" w:color="CBD9E8" w:sz="4" w:space="0"/>
              <w:bottom w:val="single" w:color="CBD9E8" w:sz="4" w:space="0"/>
              <w:right w:val="single" w:color="CBD9E8" w:sz="4" w:space="0"/>
            </w:tcBorders>
            <w:shd w:val="clear" w:color="auto" w:fill="F5CBA7"/>
            <w:tcMar>
              <w:top w:w="100" w:type="dxa"/>
              <w:left w:w="180" w:type="dxa"/>
              <w:bottom w:w="100" w:type="dxa"/>
              <w:right w:w="180" w:type="dxa"/>
            </w:tcMar>
            <w:vAlign w:val="center"/>
          </w:tcPr>
          <w:p w:rsidRPr="00BF57FF" w:rsidR="009D6E54" w:rsidP="00296EF3" w:rsidRDefault="009D6E54" w14:paraId="0A38F3E9" w14:textId="77777777">
            <w:pPr>
              <w:spacing w:after="0" w:line="240" w:lineRule="auto"/>
              <w:jc w:val="both"/>
              <w:rPr>
                <w:rFonts w:ascii="Arial" w:hAnsi="Arial" w:cs="Arial"/>
              </w:rPr>
            </w:pPr>
            <w:r w:rsidRPr="00BF57FF">
              <w:rPr>
                <w:rFonts w:ascii="Arial" w:hAnsi="Arial" w:eastAsia="Arial" w:cs="Arial"/>
                <w:color w:val="7B241C"/>
              </w:rPr>
              <w:t>Non-English language publications</w:t>
            </w:r>
          </w:p>
        </w:tc>
      </w:tr>
      <w:tr w:rsidRPr="00BF57FF" w:rsidR="009D6E54" w:rsidTr="007D0664" w14:paraId="69F4E895" w14:textId="77777777">
        <w:tc>
          <w:tcPr>
            <w:tcW w:w="1600" w:type="dxa"/>
            <w:tcBorders>
              <w:top w:val="single" w:color="CBD9E8" w:sz="4" w:space="0"/>
              <w:left w:val="single" w:color="CBD9E8" w:sz="4" w:space="0"/>
              <w:bottom w:val="single" w:color="CBD9E8" w:sz="4" w:space="0"/>
              <w:right w:val="single" w:color="CBD9E8" w:sz="4" w:space="0"/>
            </w:tcBorders>
            <w:shd w:val="clear" w:color="auto" w:fill="EAF0FB"/>
            <w:tcMar>
              <w:top w:w="140" w:type="dxa"/>
              <w:left w:w="180" w:type="dxa"/>
              <w:bottom w:w="140" w:type="dxa"/>
              <w:right w:w="180" w:type="dxa"/>
            </w:tcMar>
            <w:vAlign w:val="center"/>
          </w:tcPr>
          <w:p w:rsidRPr="00BF57FF" w:rsidR="009D6E54" w:rsidP="00296EF3" w:rsidRDefault="009D6E54" w14:paraId="6F0EC3FA" w14:textId="77777777">
            <w:pPr>
              <w:spacing w:after="0" w:line="240" w:lineRule="auto"/>
              <w:jc w:val="both"/>
              <w:rPr>
                <w:rFonts w:ascii="Arial" w:hAnsi="Arial" w:cs="Arial"/>
              </w:rPr>
            </w:pPr>
            <w:r w:rsidRPr="00BF57FF">
              <w:rPr>
                <w:rFonts w:ascii="Arial" w:hAnsi="Arial" w:eastAsia="Arial" w:cs="Arial"/>
                <w:b/>
                <w:bCs/>
                <w:color w:val="1B2A4A"/>
              </w:rPr>
              <w:t>Date Range</w:t>
            </w:r>
          </w:p>
        </w:tc>
        <w:tc>
          <w:tcPr>
            <w:tcW w:w="3880" w:type="dxa"/>
            <w:tcBorders>
              <w:top w:val="single" w:color="CBD9E8" w:sz="4" w:space="0"/>
              <w:left w:val="single" w:color="CBD9E8" w:sz="4" w:space="0"/>
              <w:bottom w:val="single" w:color="CBD9E8" w:sz="4" w:space="0"/>
              <w:right w:val="single" w:color="CBD9E8" w:sz="4" w:space="0"/>
            </w:tcBorders>
            <w:shd w:val="clear" w:color="auto" w:fill="D5F0EB"/>
            <w:tcMar>
              <w:top w:w="100" w:type="dxa"/>
              <w:left w:w="180" w:type="dxa"/>
              <w:bottom w:w="100" w:type="dxa"/>
              <w:right w:w="180" w:type="dxa"/>
            </w:tcMar>
            <w:vAlign w:val="center"/>
          </w:tcPr>
          <w:p w:rsidRPr="00BF57FF" w:rsidR="009D6E54" w:rsidP="00296EF3" w:rsidRDefault="009D6E54" w14:paraId="248152D2" w14:textId="77777777">
            <w:pPr>
              <w:spacing w:after="0" w:line="240" w:lineRule="auto"/>
              <w:jc w:val="both"/>
              <w:rPr>
                <w:rFonts w:ascii="Arial" w:hAnsi="Arial" w:cs="Arial"/>
              </w:rPr>
            </w:pPr>
            <w:r w:rsidRPr="00BF57FF">
              <w:rPr>
                <w:rFonts w:ascii="Arial" w:hAnsi="Arial" w:eastAsia="Arial" w:cs="Arial"/>
                <w:color w:val="1A5632"/>
              </w:rPr>
              <w:t>Published 2015–2026</w:t>
            </w:r>
          </w:p>
          <w:p w:rsidRPr="00BF57FF" w:rsidR="009D6E54" w:rsidP="00296EF3" w:rsidRDefault="009D6E54" w14:paraId="105305A7" w14:textId="3E10F2F0">
            <w:pPr>
              <w:spacing w:after="0" w:line="240" w:lineRule="auto"/>
              <w:jc w:val="both"/>
              <w:rPr>
                <w:rFonts w:ascii="Arial" w:hAnsi="Arial" w:cs="Arial"/>
              </w:rPr>
            </w:pPr>
            <w:r w:rsidRPr="00BF57FF">
              <w:rPr>
                <w:rFonts w:ascii="Arial" w:hAnsi="Arial" w:eastAsia="Arial" w:cs="Arial"/>
                <w:color w:val="1A5632"/>
              </w:rPr>
              <w:t xml:space="preserve">Aligned with </w:t>
            </w:r>
            <w:r w:rsidR="00296EF3">
              <w:rPr>
                <w:rFonts w:ascii="Arial" w:hAnsi="Arial" w:eastAsia="Arial" w:cs="Arial"/>
                <w:color w:val="1A5632"/>
              </w:rPr>
              <w:t xml:space="preserve">the </w:t>
            </w:r>
            <w:r w:rsidRPr="00BF57FF">
              <w:rPr>
                <w:rFonts w:ascii="Arial" w:hAnsi="Arial" w:eastAsia="Arial" w:cs="Arial"/>
                <w:color w:val="1A5632"/>
              </w:rPr>
              <w:t>WHO Zero by 30 commitment</w:t>
            </w:r>
          </w:p>
        </w:tc>
        <w:tc>
          <w:tcPr>
            <w:tcW w:w="3880" w:type="dxa"/>
            <w:tcBorders>
              <w:top w:val="single" w:color="CBD9E8" w:sz="4" w:space="0"/>
              <w:left w:val="single" w:color="CBD9E8" w:sz="4" w:space="0"/>
              <w:bottom w:val="single" w:color="CBD9E8" w:sz="4" w:space="0"/>
              <w:right w:val="single" w:color="CBD9E8" w:sz="4" w:space="0"/>
            </w:tcBorders>
            <w:shd w:val="clear" w:color="auto" w:fill="FDECEA"/>
            <w:tcMar>
              <w:top w:w="100" w:type="dxa"/>
              <w:left w:w="180" w:type="dxa"/>
              <w:bottom w:w="100" w:type="dxa"/>
              <w:right w:w="180" w:type="dxa"/>
            </w:tcMar>
            <w:vAlign w:val="center"/>
          </w:tcPr>
          <w:p w:rsidRPr="00BF57FF" w:rsidR="009D6E54" w:rsidP="00296EF3" w:rsidRDefault="009D6E54" w14:paraId="5C0C9675" w14:textId="77777777">
            <w:pPr>
              <w:spacing w:after="0" w:line="240" w:lineRule="auto"/>
              <w:jc w:val="both"/>
              <w:rPr>
                <w:rFonts w:ascii="Arial" w:hAnsi="Arial" w:cs="Arial"/>
              </w:rPr>
            </w:pPr>
            <w:r w:rsidRPr="00BF57FF">
              <w:rPr>
                <w:rFonts w:ascii="Arial" w:hAnsi="Arial" w:eastAsia="Arial" w:cs="Arial"/>
                <w:color w:val="7B241C"/>
              </w:rPr>
              <w:t>Published before January 2015</w:t>
            </w:r>
          </w:p>
        </w:tc>
      </w:tr>
      <w:tr w:rsidRPr="00BF57FF" w:rsidR="009D6E54" w:rsidTr="007D0664" w14:paraId="27D77013" w14:textId="77777777">
        <w:tc>
          <w:tcPr>
            <w:tcW w:w="1600" w:type="dxa"/>
            <w:tcBorders>
              <w:top w:val="single" w:color="CBD9E8" w:sz="4" w:space="0"/>
              <w:left w:val="single" w:color="CBD9E8" w:sz="4" w:space="0"/>
              <w:bottom w:val="single" w:color="CBD9E8" w:sz="4" w:space="0"/>
              <w:right w:val="single" w:color="CBD9E8" w:sz="4" w:space="0"/>
            </w:tcBorders>
            <w:shd w:val="clear" w:color="auto" w:fill="D6E4F0"/>
            <w:tcMar>
              <w:top w:w="140" w:type="dxa"/>
              <w:left w:w="180" w:type="dxa"/>
              <w:bottom w:w="140" w:type="dxa"/>
              <w:right w:w="180" w:type="dxa"/>
            </w:tcMar>
            <w:vAlign w:val="center"/>
          </w:tcPr>
          <w:p w:rsidRPr="00BF57FF" w:rsidR="009D6E54" w:rsidP="00296EF3" w:rsidRDefault="009D6E54" w14:paraId="738B9369" w14:textId="77777777">
            <w:pPr>
              <w:spacing w:after="0" w:line="240" w:lineRule="auto"/>
              <w:jc w:val="both"/>
              <w:rPr>
                <w:rFonts w:ascii="Arial" w:hAnsi="Arial" w:cs="Arial"/>
              </w:rPr>
            </w:pPr>
            <w:r w:rsidRPr="00BF57FF">
              <w:rPr>
                <w:rFonts w:ascii="Arial" w:hAnsi="Arial" w:eastAsia="Arial" w:cs="Arial"/>
                <w:b/>
                <w:bCs/>
                <w:color w:val="1B2A4A"/>
              </w:rPr>
              <w:t>Geographic Focus</w:t>
            </w:r>
          </w:p>
        </w:tc>
        <w:tc>
          <w:tcPr>
            <w:tcW w:w="3880" w:type="dxa"/>
            <w:tcBorders>
              <w:top w:val="single" w:color="CBD9E8" w:sz="4" w:space="0"/>
              <w:left w:val="single" w:color="CBD9E8" w:sz="4" w:space="0"/>
              <w:bottom w:val="single" w:color="CBD9E8" w:sz="4" w:space="0"/>
              <w:right w:val="single" w:color="CBD9E8" w:sz="4" w:space="0"/>
            </w:tcBorders>
            <w:shd w:val="clear" w:color="auto" w:fill="A9DFBF"/>
            <w:tcMar>
              <w:top w:w="100" w:type="dxa"/>
              <w:left w:w="180" w:type="dxa"/>
              <w:bottom w:w="100" w:type="dxa"/>
              <w:right w:w="180" w:type="dxa"/>
            </w:tcMar>
            <w:vAlign w:val="center"/>
          </w:tcPr>
          <w:p w:rsidRPr="00BF57FF" w:rsidR="009D6E54" w:rsidP="00296EF3" w:rsidRDefault="009D6E54" w14:paraId="4CA329F1" w14:textId="5A7E65B7">
            <w:pPr>
              <w:spacing w:after="0" w:line="240" w:lineRule="auto"/>
              <w:jc w:val="both"/>
              <w:rPr>
                <w:rFonts w:ascii="Arial" w:hAnsi="Arial" w:cs="Arial"/>
              </w:rPr>
            </w:pPr>
            <w:r w:rsidRPr="00BF57FF">
              <w:rPr>
                <w:rFonts w:ascii="Arial" w:hAnsi="Arial" w:eastAsia="Arial" w:cs="Arial"/>
                <w:color w:val="1A5632"/>
              </w:rPr>
              <w:t xml:space="preserve">India as </w:t>
            </w:r>
            <w:r w:rsidR="00296EF3">
              <w:rPr>
                <w:rFonts w:ascii="Arial" w:hAnsi="Arial" w:eastAsia="Arial" w:cs="Arial"/>
                <w:color w:val="1A5632"/>
              </w:rPr>
              <w:t xml:space="preserve">the </w:t>
            </w:r>
            <w:r w:rsidRPr="00BF57FF">
              <w:rPr>
                <w:rFonts w:ascii="Arial" w:hAnsi="Arial" w:eastAsia="Arial" w:cs="Arial"/>
                <w:color w:val="1A5632"/>
              </w:rPr>
              <w:t>primary or substantial focus</w:t>
            </w:r>
          </w:p>
        </w:tc>
        <w:tc>
          <w:tcPr>
            <w:tcW w:w="3880" w:type="dxa"/>
            <w:tcBorders>
              <w:top w:val="single" w:color="CBD9E8" w:sz="4" w:space="0"/>
              <w:left w:val="single" w:color="CBD9E8" w:sz="4" w:space="0"/>
              <w:bottom w:val="single" w:color="CBD9E8" w:sz="4" w:space="0"/>
              <w:right w:val="single" w:color="CBD9E8" w:sz="4" w:space="0"/>
            </w:tcBorders>
            <w:shd w:val="clear" w:color="auto" w:fill="F5CBA7"/>
            <w:tcMar>
              <w:top w:w="100" w:type="dxa"/>
              <w:left w:w="180" w:type="dxa"/>
              <w:bottom w:w="100" w:type="dxa"/>
              <w:right w:w="180" w:type="dxa"/>
            </w:tcMar>
            <w:vAlign w:val="center"/>
          </w:tcPr>
          <w:p w:rsidRPr="00BF57FF" w:rsidR="009D6E54" w:rsidP="00296EF3" w:rsidRDefault="009D6E54" w14:paraId="2A8CD3B3" w14:textId="77777777">
            <w:pPr>
              <w:spacing w:after="0" w:line="240" w:lineRule="auto"/>
              <w:jc w:val="both"/>
              <w:rPr>
                <w:rFonts w:ascii="Arial" w:hAnsi="Arial" w:cs="Arial"/>
              </w:rPr>
            </w:pPr>
            <w:r w:rsidRPr="00BF57FF">
              <w:rPr>
                <w:rFonts w:ascii="Arial" w:hAnsi="Arial" w:eastAsia="Arial" w:cs="Arial"/>
                <w:color w:val="7B241C"/>
              </w:rPr>
              <w:t>Non-India settings</w:t>
            </w:r>
          </w:p>
          <w:p w:rsidRPr="00BF57FF" w:rsidR="009D6E54" w:rsidP="00296EF3" w:rsidRDefault="009D6E54" w14:paraId="77A24900" w14:textId="77777777">
            <w:pPr>
              <w:spacing w:after="0" w:line="240" w:lineRule="auto"/>
              <w:jc w:val="both"/>
              <w:rPr>
                <w:rFonts w:ascii="Arial" w:hAnsi="Arial" w:cs="Arial"/>
              </w:rPr>
            </w:pPr>
            <w:r w:rsidRPr="00BF57FF">
              <w:rPr>
                <w:rFonts w:ascii="Arial" w:hAnsi="Arial" w:eastAsia="Arial" w:cs="Arial"/>
                <w:color w:val="7B241C"/>
              </w:rPr>
              <w:t>Multi-country studies without extractable India-specific findings</w:t>
            </w:r>
          </w:p>
        </w:tc>
      </w:tr>
      <w:tr w:rsidRPr="00BF57FF" w:rsidR="009D6E54" w:rsidTr="007D0664" w14:paraId="7979F566" w14:textId="77777777">
        <w:tc>
          <w:tcPr>
            <w:tcW w:w="1600" w:type="dxa"/>
            <w:tcBorders>
              <w:top w:val="single" w:color="CBD9E8" w:sz="4" w:space="0"/>
              <w:left w:val="single" w:color="CBD9E8" w:sz="4" w:space="0"/>
              <w:bottom w:val="single" w:color="CBD9E8" w:sz="4" w:space="0"/>
              <w:right w:val="single" w:color="CBD9E8" w:sz="4" w:space="0"/>
            </w:tcBorders>
            <w:shd w:val="clear" w:color="auto" w:fill="EAF0FB"/>
            <w:tcMar>
              <w:top w:w="140" w:type="dxa"/>
              <w:left w:w="180" w:type="dxa"/>
              <w:bottom w:w="140" w:type="dxa"/>
              <w:right w:w="180" w:type="dxa"/>
            </w:tcMar>
            <w:vAlign w:val="center"/>
          </w:tcPr>
          <w:p w:rsidRPr="00BF57FF" w:rsidR="009D6E54" w:rsidP="00296EF3" w:rsidRDefault="009D6E54" w14:paraId="0EF3521C" w14:textId="77777777">
            <w:pPr>
              <w:spacing w:after="0" w:line="240" w:lineRule="auto"/>
              <w:jc w:val="both"/>
              <w:rPr>
                <w:rFonts w:ascii="Arial" w:hAnsi="Arial" w:cs="Arial"/>
              </w:rPr>
            </w:pPr>
            <w:r w:rsidRPr="00BF57FF">
              <w:rPr>
                <w:rFonts w:ascii="Arial" w:hAnsi="Arial" w:eastAsia="Arial" w:cs="Arial"/>
                <w:b/>
                <w:bCs/>
                <w:color w:val="1B2A4A"/>
              </w:rPr>
              <w:t>Topic / Content</w:t>
            </w:r>
          </w:p>
        </w:tc>
        <w:tc>
          <w:tcPr>
            <w:tcW w:w="3880" w:type="dxa"/>
            <w:tcBorders>
              <w:top w:val="single" w:color="CBD9E8" w:sz="4" w:space="0"/>
              <w:left w:val="single" w:color="CBD9E8" w:sz="4" w:space="0"/>
              <w:bottom w:val="single" w:color="CBD9E8" w:sz="4" w:space="0"/>
              <w:right w:val="single" w:color="CBD9E8" w:sz="4" w:space="0"/>
            </w:tcBorders>
            <w:shd w:val="clear" w:color="auto" w:fill="D5F0EB"/>
            <w:tcMar>
              <w:top w:w="100" w:type="dxa"/>
              <w:left w:w="180" w:type="dxa"/>
              <w:bottom w:w="100" w:type="dxa"/>
              <w:right w:w="180" w:type="dxa"/>
            </w:tcMar>
            <w:vAlign w:val="center"/>
          </w:tcPr>
          <w:p w:rsidRPr="00BF57FF" w:rsidR="009D6E54" w:rsidP="00296EF3" w:rsidRDefault="009D6E54" w14:paraId="27A1C168" w14:textId="276B4D3A">
            <w:pPr>
              <w:spacing w:after="0" w:line="240" w:lineRule="auto"/>
              <w:jc w:val="both"/>
              <w:rPr>
                <w:rFonts w:ascii="Arial" w:hAnsi="Arial" w:cs="Arial"/>
              </w:rPr>
            </w:pPr>
            <w:r w:rsidRPr="00BF57FF">
              <w:rPr>
                <w:rFonts w:ascii="Arial" w:hAnsi="Arial" w:eastAsia="Arial" w:cs="Arial"/>
                <w:color w:val="1A5632"/>
              </w:rPr>
              <w:t xml:space="preserve">Barriers to PEP </w:t>
            </w:r>
            <w:r w:rsidR="00296EF3">
              <w:rPr>
                <w:rFonts w:ascii="Arial" w:hAnsi="Arial" w:eastAsia="Arial" w:cs="Arial"/>
                <w:color w:val="1A5632"/>
              </w:rPr>
              <w:t>access/completion</w:t>
            </w:r>
          </w:p>
          <w:p w:rsidRPr="00BF57FF" w:rsidR="009D6E54" w:rsidP="00296EF3" w:rsidRDefault="009D6E54" w14:paraId="03858655" w14:textId="77777777">
            <w:pPr>
              <w:spacing w:after="0" w:line="240" w:lineRule="auto"/>
              <w:jc w:val="both"/>
              <w:rPr>
                <w:rFonts w:ascii="Arial" w:hAnsi="Arial" w:cs="Arial"/>
              </w:rPr>
            </w:pPr>
            <w:r w:rsidRPr="00BF57FF">
              <w:rPr>
                <w:rFonts w:ascii="Arial" w:hAnsi="Arial" w:eastAsia="Arial" w:cs="Arial"/>
                <w:color w:val="1A5632"/>
              </w:rPr>
              <w:t>Community KAP regarding rabies</w:t>
            </w:r>
          </w:p>
          <w:p w:rsidRPr="00BF57FF" w:rsidR="009D6E54" w:rsidP="00296EF3" w:rsidRDefault="009D6E54" w14:paraId="347F0C4C" w14:textId="77777777">
            <w:pPr>
              <w:spacing w:after="0" w:line="240" w:lineRule="auto"/>
              <w:jc w:val="both"/>
              <w:rPr>
                <w:rFonts w:ascii="Arial" w:hAnsi="Arial" w:cs="Arial"/>
              </w:rPr>
            </w:pPr>
            <w:r w:rsidRPr="00BF57FF">
              <w:rPr>
                <w:rFonts w:ascii="Arial" w:hAnsi="Arial" w:eastAsia="Arial" w:cs="Arial"/>
                <w:color w:val="1A5632"/>
              </w:rPr>
              <w:t>CHW capacity in rabies prevention</w:t>
            </w:r>
          </w:p>
          <w:p w:rsidRPr="00BF57FF" w:rsidR="009D6E54" w:rsidP="00296EF3" w:rsidRDefault="009D6E54" w14:paraId="090799E7" w14:textId="77777777">
            <w:pPr>
              <w:spacing w:after="0" w:line="240" w:lineRule="auto"/>
              <w:jc w:val="both"/>
              <w:rPr>
                <w:rFonts w:ascii="Arial" w:hAnsi="Arial" w:cs="Arial"/>
              </w:rPr>
            </w:pPr>
            <w:r w:rsidRPr="00BF57FF">
              <w:rPr>
                <w:rFonts w:ascii="Arial" w:hAnsi="Arial" w:eastAsia="Arial" w:cs="Arial"/>
                <w:color w:val="1A5632"/>
              </w:rPr>
              <w:t>Rabies surveillance adequacy</w:t>
            </w:r>
          </w:p>
          <w:p w:rsidRPr="00BF57FF" w:rsidR="009D6E54" w:rsidP="00296EF3" w:rsidRDefault="009D6E54" w14:paraId="03A7E1AD" w14:textId="77777777">
            <w:pPr>
              <w:spacing w:after="0" w:line="240" w:lineRule="auto"/>
              <w:jc w:val="both"/>
              <w:rPr>
                <w:rFonts w:ascii="Arial" w:hAnsi="Arial" w:cs="Arial"/>
              </w:rPr>
            </w:pPr>
            <w:r w:rsidRPr="00BF57FF">
              <w:rPr>
                <w:rFonts w:ascii="Arial" w:hAnsi="Arial" w:eastAsia="Arial" w:cs="Arial"/>
                <w:color w:val="1A5632"/>
              </w:rPr>
              <w:t>Health system infrastructure</w:t>
            </w:r>
          </w:p>
          <w:p w:rsidRPr="00BF57FF" w:rsidR="009D6E54" w:rsidP="00296EF3" w:rsidRDefault="009D6E54" w14:paraId="5A896A82" w14:textId="77777777">
            <w:pPr>
              <w:spacing w:after="0" w:line="240" w:lineRule="auto"/>
              <w:jc w:val="both"/>
              <w:rPr>
                <w:rFonts w:ascii="Arial" w:hAnsi="Arial" w:cs="Arial"/>
              </w:rPr>
            </w:pPr>
            <w:r w:rsidRPr="00BF57FF">
              <w:rPr>
                <w:rFonts w:ascii="Arial" w:hAnsi="Arial" w:eastAsia="Arial" w:cs="Arial"/>
                <w:color w:val="1A5632"/>
              </w:rPr>
              <w:t>Traditional medicine use</w:t>
            </w:r>
          </w:p>
        </w:tc>
        <w:tc>
          <w:tcPr>
            <w:tcW w:w="3880" w:type="dxa"/>
            <w:tcBorders>
              <w:top w:val="single" w:color="CBD9E8" w:sz="4" w:space="0"/>
              <w:left w:val="single" w:color="CBD9E8" w:sz="4" w:space="0"/>
              <w:bottom w:val="single" w:color="CBD9E8" w:sz="4" w:space="0"/>
              <w:right w:val="single" w:color="CBD9E8" w:sz="4" w:space="0"/>
            </w:tcBorders>
            <w:shd w:val="clear" w:color="auto" w:fill="FDECEA"/>
            <w:tcMar>
              <w:top w:w="100" w:type="dxa"/>
              <w:left w:w="180" w:type="dxa"/>
              <w:bottom w:w="100" w:type="dxa"/>
              <w:right w:w="180" w:type="dxa"/>
            </w:tcMar>
            <w:vAlign w:val="center"/>
          </w:tcPr>
          <w:p w:rsidRPr="00BF57FF" w:rsidR="009D6E54" w:rsidP="00296EF3" w:rsidRDefault="009D6E54" w14:paraId="64C7F410" w14:textId="77777777">
            <w:pPr>
              <w:spacing w:after="0" w:line="240" w:lineRule="auto"/>
              <w:jc w:val="both"/>
              <w:rPr>
                <w:rFonts w:ascii="Arial" w:hAnsi="Arial" w:cs="Arial"/>
              </w:rPr>
            </w:pPr>
            <w:r w:rsidRPr="00BF57FF">
              <w:rPr>
                <w:rFonts w:ascii="Arial" w:hAnsi="Arial" w:eastAsia="Arial" w:cs="Arial"/>
                <w:color w:val="7B241C"/>
              </w:rPr>
              <w:t>Vaccine development studies</w:t>
            </w:r>
          </w:p>
          <w:p w:rsidRPr="00BF57FF" w:rsidR="009D6E54" w:rsidP="00296EF3" w:rsidRDefault="009D6E54" w14:paraId="65EAE6CC" w14:textId="77777777">
            <w:pPr>
              <w:spacing w:after="0" w:line="240" w:lineRule="auto"/>
              <w:jc w:val="both"/>
              <w:rPr>
                <w:rFonts w:ascii="Arial" w:hAnsi="Arial" w:cs="Arial"/>
              </w:rPr>
            </w:pPr>
            <w:r w:rsidRPr="00BF57FF">
              <w:rPr>
                <w:rFonts w:ascii="Arial" w:hAnsi="Arial" w:eastAsia="Arial" w:cs="Arial"/>
                <w:color w:val="7B241C"/>
              </w:rPr>
              <w:t>Animal-only rabies research</w:t>
            </w:r>
          </w:p>
          <w:p w:rsidRPr="00BF57FF" w:rsidR="009D6E54" w:rsidP="00296EF3" w:rsidRDefault="009D6E54" w14:paraId="7FA509E8" w14:textId="77777777">
            <w:pPr>
              <w:spacing w:after="0" w:line="240" w:lineRule="auto"/>
              <w:jc w:val="both"/>
              <w:rPr>
                <w:rFonts w:ascii="Arial" w:hAnsi="Arial" w:cs="Arial"/>
              </w:rPr>
            </w:pPr>
            <w:r w:rsidRPr="00BF57FF">
              <w:rPr>
                <w:rFonts w:ascii="Arial" w:hAnsi="Arial" w:eastAsia="Arial" w:cs="Arial"/>
                <w:color w:val="7B241C"/>
              </w:rPr>
              <w:t>Clinical pharmacology (no barrier content)</w:t>
            </w:r>
          </w:p>
        </w:tc>
      </w:tr>
      <w:tr w:rsidRPr="00BF57FF" w:rsidR="009D6E54" w:rsidTr="007D0664" w14:paraId="632CA63C" w14:textId="77777777">
        <w:tc>
          <w:tcPr>
            <w:tcW w:w="1600" w:type="dxa"/>
            <w:tcBorders>
              <w:top w:val="single" w:color="CBD9E8" w:sz="4" w:space="0"/>
              <w:left w:val="single" w:color="CBD9E8" w:sz="4" w:space="0"/>
              <w:bottom w:val="single" w:color="CBD9E8" w:sz="4" w:space="0"/>
              <w:right w:val="single" w:color="CBD9E8" w:sz="4" w:space="0"/>
            </w:tcBorders>
            <w:shd w:val="clear" w:color="auto" w:fill="D6E4F0"/>
            <w:tcMar>
              <w:top w:w="140" w:type="dxa"/>
              <w:left w:w="180" w:type="dxa"/>
              <w:bottom w:w="140" w:type="dxa"/>
              <w:right w:w="180" w:type="dxa"/>
            </w:tcMar>
            <w:vAlign w:val="center"/>
          </w:tcPr>
          <w:p w:rsidRPr="00BF57FF" w:rsidR="009D6E54" w:rsidP="00296EF3" w:rsidRDefault="009D6E54" w14:paraId="56C84E74" w14:textId="77777777">
            <w:pPr>
              <w:spacing w:after="0" w:line="240" w:lineRule="auto"/>
              <w:jc w:val="both"/>
              <w:rPr>
                <w:rFonts w:ascii="Arial" w:hAnsi="Arial" w:cs="Arial"/>
              </w:rPr>
            </w:pPr>
            <w:r w:rsidRPr="00BF57FF">
              <w:rPr>
                <w:rFonts w:ascii="Arial" w:hAnsi="Arial" w:eastAsia="Arial" w:cs="Arial"/>
                <w:b/>
                <w:bCs/>
                <w:color w:val="1B2A4A"/>
              </w:rPr>
              <w:t>Study Design</w:t>
            </w:r>
          </w:p>
        </w:tc>
        <w:tc>
          <w:tcPr>
            <w:tcW w:w="3880" w:type="dxa"/>
            <w:tcBorders>
              <w:top w:val="single" w:color="CBD9E8" w:sz="4" w:space="0"/>
              <w:left w:val="single" w:color="CBD9E8" w:sz="4" w:space="0"/>
              <w:bottom w:val="single" w:color="CBD9E8" w:sz="4" w:space="0"/>
              <w:right w:val="single" w:color="CBD9E8" w:sz="4" w:space="0"/>
            </w:tcBorders>
            <w:shd w:val="clear" w:color="auto" w:fill="A9DFBF"/>
            <w:tcMar>
              <w:top w:w="100" w:type="dxa"/>
              <w:left w:w="180" w:type="dxa"/>
              <w:bottom w:w="100" w:type="dxa"/>
              <w:right w:w="180" w:type="dxa"/>
            </w:tcMar>
            <w:vAlign w:val="center"/>
          </w:tcPr>
          <w:p w:rsidRPr="00BF57FF" w:rsidR="009D6E54" w:rsidP="00296EF3" w:rsidRDefault="009D6E54" w14:paraId="5D76907B" w14:textId="77777777">
            <w:pPr>
              <w:spacing w:after="0" w:line="240" w:lineRule="auto"/>
              <w:jc w:val="both"/>
              <w:rPr>
                <w:rFonts w:ascii="Arial" w:hAnsi="Arial" w:cs="Arial"/>
              </w:rPr>
            </w:pPr>
            <w:r w:rsidRPr="00BF57FF">
              <w:rPr>
                <w:rFonts w:ascii="Arial" w:hAnsi="Arial" w:eastAsia="Arial" w:cs="Arial"/>
                <w:color w:val="1A5632"/>
              </w:rPr>
              <w:t>Any primary study design</w:t>
            </w:r>
          </w:p>
          <w:p w:rsidRPr="00BF57FF" w:rsidR="009D6E54" w:rsidP="00296EF3" w:rsidRDefault="009D6E54" w14:paraId="28919E72" w14:textId="77777777">
            <w:pPr>
              <w:spacing w:after="0" w:line="240" w:lineRule="auto"/>
              <w:jc w:val="both"/>
              <w:rPr>
                <w:rFonts w:ascii="Arial" w:hAnsi="Arial" w:cs="Arial"/>
              </w:rPr>
            </w:pPr>
            <w:r w:rsidRPr="00BF57FF">
              <w:rPr>
                <w:rFonts w:ascii="Arial" w:hAnsi="Arial" w:eastAsia="Arial" w:cs="Arial"/>
                <w:color w:val="1A5632"/>
              </w:rPr>
              <w:t>Systematic reviews with India-specific synthesised data</w:t>
            </w:r>
          </w:p>
        </w:tc>
        <w:tc>
          <w:tcPr>
            <w:tcW w:w="3880" w:type="dxa"/>
            <w:tcBorders>
              <w:top w:val="single" w:color="CBD9E8" w:sz="4" w:space="0"/>
              <w:left w:val="single" w:color="CBD9E8" w:sz="4" w:space="0"/>
              <w:bottom w:val="single" w:color="CBD9E8" w:sz="4" w:space="0"/>
              <w:right w:val="single" w:color="CBD9E8" w:sz="4" w:space="0"/>
            </w:tcBorders>
            <w:shd w:val="clear" w:color="auto" w:fill="F5CBA7"/>
            <w:tcMar>
              <w:top w:w="100" w:type="dxa"/>
              <w:left w:w="180" w:type="dxa"/>
              <w:bottom w:w="100" w:type="dxa"/>
              <w:right w:w="180" w:type="dxa"/>
            </w:tcMar>
            <w:vAlign w:val="center"/>
          </w:tcPr>
          <w:p w:rsidRPr="00BF57FF" w:rsidR="009D6E54" w:rsidP="00296EF3" w:rsidRDefault="009D6E54" w14:paraId="75783422" w14:textId="77777777">
            <w:pPr>
              <w:spacing w:after="0" w:line="240" w:lineRule="auto"/>
              <w:jc w:val="both"/>
              <w:rPr>
                <w:rFonts w:ascii="Arial" w:hAnsi="Arial" w:cs="Arial"/>
              </w:rPr>
            </w:pPr>
            <w:r w:rsidRPr="00BF57FF">
              <w:rPr>
                <w:rFonts w:ascii="Arial" w:hAnsi="Arial" w:eastAsia="Arial" w:cs="Arial"/>
                <w:color w:val="7B241C"/>
              </w:rPr>
              <w:t>Single patient case reports</w:t>
            </w:r>
          </w:p>
          <w:p w:rsidRPr="00BF57FF" w:rsidR="009D6E54" w:rsidP="00296EF3" w:rsidRDefault="009D6E54" w14:paraId="1F74E973" w14:textId="77777777">
            <w:pPr>
              <w:spacing w:after="0" w:line="240" w:lineRule="auto"/>
              <w:jc w:val="both"/>
              <w:rPr>
                <w:rFonts w:ascii="Arial" w:hAnsi="Arial" w:cs="Arial"/>
              </w:rPr>
            </w:pPr>
            <w:r w:rsidRPr="00BF57FF">
              <w:rPr>
                <w:rFonts w:ascii="Arial" w:hAnsi="Arial" w:eastAsia="Arial" w:cs="Arial"/>
                <w:color w:val="7B241C"/>
              </w:rPr>
              <w:t>Duplicate datasets</w:t>
            </w:r>
          </w:p>
        </w:tc>
      </w:tr>
    </w:tbl>
    <w:p w:rsidRPr="00BF57FF" w:rsidR="00F00AEE" w:rsidP="00A70BBB" w:rsidRDefault="00F00AEE" w14:paraId="13F3CF60" w14:textId="77777777">
      <w:pPr>
        <w:spacing w:after="152" w:line="360" w:lineRule="auto"/>
        <w:jc w:val="both"/>
        <w:rPr>
          <w:rFonts w:ascii="Arial" w:hAnsi="Arial" w:cs="Arial"/>
        </w:rPr>
      </w:pPr>
    </w:p>
    <w:p w:rsidRPr="00BF57FF" w:rsidR="00B51E00" w:rsidP="00A70BBB" w:rsidRDefault="00DA38D2" w14:paraId="47D1EED2" w14:textId="4437034E">
      <w:pPr>
        <w:spacing w:after="152" w:line="360" w:lineRule="auto"/>
        <w:jc w:val="both"/>
        <w:rPr>
          <w:rFonts w:ascii="Arial" w:hAnsi="Arial" w:cs="Arial"/>
        </w:rPr>
      </w:pPr>
      <w:r w:rsidRPr="00BF57FF">
        <w:rPr>
          <w:rFonts w:ascii="Arial" w:hAnsi="Arial" w:cs="Arial"/>
        </w:rPr>
        <w:t xml:space="preserve">The wide scope of the study designs further indicates the diverse methodological environment of India-specific rabies literature and the analytical </w:t>
      </w:r>
      <w:r w:rsidRPr="00BF57FF" w:rsidR="00251CB3">
        <w:rPr>
          <w:rFonts w:ascii="Arial" w:hAnsi="Arial" w:cs="Arial"/>
        </w:rPr>
        <w:t xml:space="preserve">value </w:t>
      </w:r>
      <w:r w:rsidRPr="00BF57FF">
        <w:rPr>
          <w:rFonts w:ascii="Arial" w:hAnsi="Arial" w:cs="Arial"/>
        </w:rPr>
        <w:t xml:space="preserve">of thematic richness </w:t>
      </w:r>
      <w:r w:rsidRPr="00BF57FF" w:rsidR="00251CB3">
        <w:rPr>
          <w:rFonts w:ascii="Arial" w:hAnsi="Arial" w:cs="Arial"/>
        </w:rPr>
        <w:t xml:space="preserve">across heterogeneous </w:t>
      </w:r>
      <w:r w:rsidRPr="00BF57FF">
        <w:rPr>
          <w:rFonts w:ascii="Arial" w:hAnsi="Arial" w:cs="Arial"/>
        </w:rPr>
        <w:t xml:space="preserve">designs. The 2015 start date puts the evidence base in line with the WHO Zero by 30 strategic planning period. One of them, Hampson et al. (2015), was at the edge of the date range and was left because it presented the global burden estimation with India-specific estimates. </w:t>
      </w:r>
    </w:p>
    <w:p w:rsidRPr="00BF57FF" w:rsidR="00B51E00" w:rsidP="00A70BBB" w:rsidRDefault="00B51E00" w14:paraId="5BC3C4D4" w14:textId="73F48B98">
      <w:pPr>
        <w:spacing w:after="152" w:line="360" w:lineRule="auto"/>
        <w:ind w:left="705"/>
        <w:jc w:val="both"/>
        <w:rPr>
          <w:rFonts w:ascii="Arial" w:hAnsi="Arial" w:cs="Arial"/>
        </w:rPr>
      </w:pPr>
    </w:p>
    <w:p w:rsidRPr="00BF57FF" w:rsidR="00B51E00" w:rsidP="00A70BBB" w:rsidRDefault="00B51E00" w14:paraId="0062F15B" w14:textId="77777777">
      <w:pPr>
        <w:pStyle w:val="Heading2"/>
        <w:spacing w:line="360" w:lineRule="auto"/>
        <w:jc w:val="both"/>
        <w:rPr>
          <w:rFonts w:ascii="Arial" w:hAnsi="Arial" w:cs="Arial"/>
          <w:sz w:val="22"/>
        </w:rPr>
      </w:pPr>
      <w:bookmarkStart w:name="_Toc231005864" w:id="56"/>
      <w:bookmarkStart w:name="_Toc231298578" w:id="57"/>
      <w:r w:rsidRPr="00BF57FF">
        <w:rPr>
          <w:rFonts w:ascii="Arial" w:hAnsi="Arial" w:cs="Arial"/>
          <w:sz w:val="22"/>
        </w:rPr>
        <w:t>3.6 Study Selection — PRISMA 2020</w:t>
      </w:r>
      <w:bookmarkEnd w:id="56"/>
      <w:bookmarkEnd w:id="57"/>
    </w:p>
    <w:p w:rsidRPr="00BF57FF" w:rsidR="00B51E00" w:rsidP="00A70BBB" w:rsidRDefault="0074162C" w14:paraId="6ED1D898" w14:textId="625EDB25">
      <w:pPr>
        <w:spacing w:after="152" w:line="360" w:lineRule="auto"/>
        <w:jc w:val="both"/>
        <w:rPr>
          <w:rFonts w:ascii="Arial" w:hAnsi="Arial" w:cs="Arial"/>
        </w:rPr>
      </w:pPr>
      <w:r w:rsidRPr="00BF57FF">
        <w:rPr>
          <w:rFonts w:ascii="Arial" w:hAnsi="Arial" w:cs="Arial"/>
        </w:rPr>
        <w:t>The four-stage PRISMA 2020 approach was used to select the studies: identification, screening, eligibility, and inclusion (Page et al., 2021a). Search results were deduplicated and blindly screened in Rayyan.</w:t>
      </w:r>
    </w:p>
    <w:p w:rsidRPr="00BF57FF" w:rsidR="00B51E00" w:rsidP="00A70BBB" w:rsidRDefault="00B51E00" w14:paraId="036F2354" w14:textId="3997B946">
      <w:pPr>
        <w:spacing w:after="152" w:line="360" w:lineRule="auto"/>
        <w:jc w:val="both"/>
        <w:rPr>
          <w:rFonts w:ascii="Arial" w:hAnsi="Arial" w:cs="Arial"/>
        </w:rPr>
      </w:pPr>
      <w:r w:rsidRPr="00BF57FF">
        <w:rPr>
          <w:rFonts w:ascii="Arial" w:hAnsi="Arial" w:cs="Arial"/>
        </w:rPr>
        <w:t xml:space="preserve">Identification: </w:t>
      </w:r>
      <w:r w:rsidRPr="00BF57FF" w:rsidR="00EF7BC1">
        <w:rPr>
          <w:rFonts w:ascii="Arial" w:hAnsi="Arial" w:cs="Arial"/>
        </w:rPr>
        <w:t>The search of databases revealed 487 records available (PubMed: 142; Scopus: 156; Web of Science: 131; CINAHL: 58). Following deduplication, 163 duplicate records were removed, leaving 324 unique records.</w:t>
      </w:r>
    </w:p>
    <w:p w:rsidRPr="00BF57FF" w:rsidR="00B51E00" w:rsidP="00A70BBB" w:rsidRDefault="00B51E00" w14:paraId="59AB02CA" w14:textId="7855B262">
      <w:pPr>
        <w:spacing w:after="152" w:line="360" w:lineRule="auto"/>
        <w:jc w:val="both"/>
        <w:rPr>
          <w:rFonts w:ascii="Arial" w:hAnsi="Arial" w:cs="Arial"/>
        </w:rPr>
      </w:pPr>
      <w:r w:rsidRPr="00BF57FF">
        <w:rPr>
          <w:rFonts w:ascii="Arial" w:hAnsi="Arial" w:cs="Arial"/>
        </w:rPr>
        <w:t xml:space="preserve">Screening: </w:t>
      </w:r>
      <w:r w:rsidRPr="00BF57FF" w:rsidR="004715B5">
        <w:rPr>
          <w:rFonts w:ascii="Arial" w:hAnsi="Arial" w:cs="Arial"/>
        </w:rPr>
        <w:t>Title and abstract screening of 324 records was done against the inclusion and exclusion criteria. Out of these, 281 were eliminated, mostly due to geographic irrelevance, topic irrelevance, or wrong publication type. Forty-three records were found as potentially eligible.</w:t>
      </w:r>
    </w:p>
    <w:p w:rsidRPr="00BF57FF" w:rsidR="00B51E00" w:rsidP="00A70BBB" w:rsidRDefault="00BA198D" w14:paraId="1096DED8" w14:textId="717ECB6A">
      <w:pPr>
        <w:spacing w:after="152" w:line="360" w:lineRule="auto"/>
        <w:jc w:val="both"/>
        <w:rPr>
          <w:rFonts w:ascii="Arial" w:hAnsi="Arial" w:cs="Arial"/>
        </w:rPr>
      </w:pPr>
      <w:r w:rsidRPr="00BF57FF">
        <w:rPr>
          <w:rFonts w:ascii="Arial" w:hAnsi="Arial" w:cs="Arial"/>
        </w:rPr>
        <w:t xml:space="preserve">3 of the 43 reports requested in full-text were not available. Forty full-text reports were evaluated </w:t>
      </w:r>
      <w:r w:rsidRPr="00BF57FF" w:rsidR="00D86B91">
        <w:rPr>
          <w:rFonts w:ascii="Arial" w:hAnsi="Arial" w:cs="Arial"/>
        </w:rPr>
        <w:t>for</w:t>
      </w:r>
      <w:r w:rsidRPr="00BF57FF">
        <w:rPr>
          <w:rFonts w:ascii="Arial" w:hAnsi="Arial" w:cs="Arial"/>
        </w:rPr>
        <w:t xml:space="preserve"> eligibility. Among these, 28 were eliminated because of: not carried out in India or data not India-specific (n=8); did not focus on rabies barriers or PEP access or surveillance as the primary outcome (n=5); no primary data provided - opinion articles or policy documents only (n=6); out of date (n=4); not a peer-reviewed study (n=3); study protocol and no results available (n=2). </w:t>
      </w:r>
    </w:p>
    <w:p w:rsidRPr="00BF57FF" w:rsidR="00B51E00" w:rsidP="00A70BBB" w:rsidRDefault="00B51E00" w14:paraId="06EFC7AF" w14:textId="7DA6B00B">
      <w:pPr>
        <w:spacing w:after="152" w:line="360" w:lineRule="auto"/>
        <w:jc w:val="both"/>
        <w:rPr>
          <w:rFonts w:ascii="Arial" w:hAnsi="Arial" w:cs="Arial"/>
        </w:rPr>
      </w:pPr>
      <w:r w:rsidRPr="00BF57FF">
        <w:rPr>
          <w:rFonts w:ascii="Arial" w:hAnsi="Arial" w:cs="Arial"/>
        </w:rPr>
        <w:t xml:space="preserve">Inclusion: </w:t>
      </w:r>
      <w:r w:rsidRPr="00BF57FF" w:rsidR="00632150">
        <w:rPr>
          <w:rFonts w:ascii="Arial" w:hAnsi="Arial" w:cs="Arial"/>
        </w:rPr>
        <w:t>Twelve studies met all inclusion criteria and were included in the final synthesis. Figure 3.1 is a PRISMA 2020 flow diagram.</w:t>
      </w:r>
    </w:p>
    <w:p w:rsidRPr="00BF57FF" w:rsidR="005F5436" w:rsidP="00A70BBB" w:rsidRDefault="008721DA" w14:paraId="42CA83B7" w14:textId="77777777">
      <w:pPr>
        <w:spacing w:line="360" w:lineRule="auto"/>
        <w:jc w:val="both"/>
        <w:rPr>
          <w:rFonts w:ascii="Arial" w:hAnsi="Arial" w:cs="Arial"/>
        </w:rPr>
      </w:pPr>
      <w:r w:rsidRPr="00BF57FF">
        <w:rPr>
          <w:rFonts w:ascii="Arial" w:hAnsi="Arial" w:cs="Arial"/>
          <w:noProof/>
        </w:rPr>
        <w:drawing>
          <wp:inline distT="0" distB="0" distL="0" distR="0" wp14:anchorId="72056EA8" wp14:editId="58F985E6">
            <wp:extent cx="5731510" cy="6532880"/>
            <wp:effectExtent l="0" t="0" r="2540" b="1270"/>
            <wp:docPr id="1928105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105371" name=""/>
                    <pic:cNvPicPr/>
                  </pic:nvPicPr>
                  <pic:blipFill>
                    <a:blip r:embed="rId15"/>
                    <a:stretch>
                      <a:fillRect/>
                    </a:stretch>
                  </pic:blipFill>
                  <pic:spPr>
                    <a:xfrm>
                      <a:off x="0" y="0"/>
                      <a:ext cx="5731510" cy="6532880"/>
                    </a:xfrm>
                    <a:prstGeom prst="rect">
                      <a:avLst/>
                    </a:prstGeom>
                  </pic:spPr>
                </pic:pic>
              </a:graphicData>
            </a:graphic>
          </wp:inline>
        </w:drawing>
      </w:r>
    </w:p>
    <w:p w:rsidRPr="00BF57FF" w:rsidR="008721DA" w:rsidP="00A70BBB" w:rsidRDefault="00DF6556" w14:paraId="4ED75516" w14:textId="7C520822">
      <w:pPr>
        <w:pStyle w:val="Caption"/>
        <w:spacing w:line="360" w:lineRule="auto"/>
        <w:jc w:val="both"/>
        <w:rPr>
          <w:rFonts w:ascii="Arial" w:hAnsi="Arial" w:cs="Arial"/>
          <w:i w:val="0"/>
          <w:iCs w:val="0"/>
          <w:sz w:val="22"/>
          <w:szCs w:val="22"/>
        </w:rPr>
      </w:pPr>
      <w:bookmarkStart w:name="_Toc231243029" w:id="58"/>
      <w:bookmarkStart w:name="_Toc231244426" w:id="59"/>
      <w:r w:rsidRPr="00BF57FF">
        <w:rPr>
          <w:rFonts w:ascii="Arial" w:hAnsi="Arial" w:cs="Arial"/>
          <w:sz w:val="22"/>
          <w:szCs w:val="22"/>
        </w:rPr>
        <w:t>Figure 3</w:t>
      </w:r>
      <w:r w:rsidRPr="00BF57FF" w:rsidR="004D6273">
        <w:rPr>
          <w:rFonts w:ascii="Arial" w:hAnsi="Arial" w:cs="Arial"/>
          <w:sz w:val="22"/>
          <w:szCs w:val="22"/>
        </w:rPr>
        <w:t>.</w:t>
      </w:r>
      <w:r w:rsidRPr="00BF57FF">
        <w:rPr>
          <w:rFonts w:ascii="Arial" w:hAnsi="Arial" w:cs="Arial"/>
          <w:sz w:val="22"/>
          <w:szCs w:val="22"/>
        </w:rPr>
        <w:fldChar w:fldCharType="begin"/>
      </w:r>
      <w:r w:rsidRPr="00BF57FF">
        <w:rPr>
          <w:rFonts w:ascii="Arial" w:hAnsi="Arial" w:cs="Arial"/>
          <w:sz w:val="22"/>
          <w:szCs w:val="22"/>
        </w:rPr>
        <w:instrText xml:space="preserve"> SEQ Figure_3 \* ARABIC </w:instrText>
      </w:r>
      <w:r w:rsidRPr="00BF57FF">
        <w:rPr>
          <w:rFonts w:ascii="Arial" w:hAnsi="Arial" w:cs="Arial"/>
          <w:sz w:val="22"/>
          <w:szCs w:val="22"/>
        </w:rPr>
        <w:fldChar w:fldCharType="separate"/>
      </w:r>
      <w:r w:rsidRPr="00BF57FF">
        <w:rPr>
          <w:rFonts w:ascii="Arial" w:hAnsi="Arial" w:cs="Arial"/>
          <w:noProof/>
          <w:sz w:val="22"/>
          <w:szCs w:val="22"/>
        </w:rPr>
        <w:t>1</w:t>
      </w:r>
      <w:r w:rsidRPr="00BF57FF">
        <w:rPr>
          <w:rFonts w:ascii="Arial" w:hAnsi="Arial" w:cs="Arial"/>
          <w:noProof/>
          <w:sz w:val="22"/>
          <w:szCs w:val="22"/>
        </w:rPr>
        <w:fldChar w:fldCharType="end"/>
      </w:r>
      <w:r w:rsidRPr="00BF57FF">
        <w:rPr>
          <w:rFonts w:ascii="Arial" w:hAnsi="Arial" w:cs="Arial"/>
          <w:sz w:val="22"/>
          <w:szCs w:val="22"/>
        </w:rPr>
        <w:t xml:space="preserve"> PRISMA 2020 flow diagram illustrating the systematic search, screening, eligibility assessment, and inclusion process for the systematic review on barriers to rabies surveillance and treatment in India. Adapted from: Page, M.J., McKenzie, J.E., Bossuyt, P.M., et al. (2021) 'The PRISMA 2020 statement: an updated guideline for reporting systematic reviews', BMJ, 372, p.n71. Date range: 1 January 2015 – 31 May 2026.</w:t>
      </w:r>
      <w:bookmarkEnd w:id="58"/>
      <w:bookmarkEnd w:id="59"/>
    </w:p>
    <w:p w:rsidRPr="00BF57FF" w:rsidR="00B51E00" w:rsidP="00A70BBB" w:rsidRDefault="00B51E00" w14:paraId="37CC356E" w14:textId="079C460D">
      <w:pPr>
        <w:spacing w:after="152" w:line="360" w:lineRule="auto"/>
        <w:ind w:left="695"/>
        <w:jc w:val="both"/>
        <w:rPr>
          <w:rFonts w:ascii="Arial" w:hAnsi="Arial" w:cs="Arial"/>
        </w:rPr>
      </w:pPr>
    </w:p>
    <w:p w:rsidRPr="00BF57FF" w:rsidR="00B51E00" w:rsidP="00A70BBB" w:rsidRDefault="00B51E00" w14:paraId="302A80EC" w14:textId="77777777">
      <w:pPr>
        <w:pStyle w:val="Heading2"/>
        <w:spacing w:line="360" w:lineRule="auto"/>
        <w:ind w:left="0"/>
        <w:jc w:val="both"/>
        <w:rPr>
          <w:rFonts w:ascii="Arial" w:hAnsi="Arial" w:cs="Arial"/>
          <w:sz w:val="22"/>
        </w:rPr>
      </w:pPr>
      <w:bookmarkStart w:name="_Toc231005865" w:id="60"/>
      <w:bookmarkStart w:name="_Toc231298579" w:id="61"/>
      <w:r w:rsidRPr="00BF57FF">
        <w:rPr>
          <w:rFonts w:ascii="Arial" w:hAnsi="Arial" w:cs="Arial"/>
          <w:sz w:val="22"/>
        </w:rPr>
        <w:t>3.7 Data Extraction</w:t>
      </w:r>
      <w:bookmarkEnd w:id="60"/>
      <w:bookmarkEnd w:id="61"/>
    </w:p>
    <w:p w:rsidRPr="00BF57FF" w:rsidR="00B51E00" w:rsidP="00A70BBB" w:rsidRDefault="00A23AA5" w14:paraId="69A0ADE8" w14:textId="11B85A99">
      <w:pPr>
        <w:spacing w:after="152" w:line="360" w:lineRule="auto"/>
        <w:jc w:val="both"/>
        <w:rPr>
          <w:rFonts w:ascii="Arial" w:hAnsi="Arial" w:cs="Arial"/>
        </w:rPr>
      </w:pPr>
      <w:r w:rsidRPr="00BF57FF">
        <w:rPr>
          <w:rFonts w:ascii="Arial" w:hAnsi="Arial" w:cs="Arial"/>
        </w:rPr>
        <w:t xml:space="preserve">The reviewer used a standardised extraction template designed to support this review to extract data. For each included study, the following fields were extracted: author(s) and year; country and setting; study design; sample size and population; data collection method; key barrier-related findings; and author-reported limitations. This template was piloted on three studies and </w:t>
      </w:r>
      <w:r w:rsidRPr="00BF57FF" w:rsidR="00A906ED">
        <w:rPr>
          <w:rFonts w:ascii="Arial" w:hAnsi="Arial" w:cs="Arial"/>
        </w:rPr>
        <w:t>optimised</w:t>
      </w:r>
      <w:r w:rsidRPr="00BF57FF">
        <w:rPr>
          <w:rFonts w:ascii="Arial" w:hAnsi="Arial" w:cs="Arial"/>
        </w:rPr>
        <w:t xml:space="preserve"> </w:t>
      </w:r>
      <w:r w:rsidRPr="00BF57FF" w:rsidR="00347BE5">
        <w:rPr>
          <w:rFonts w:ascii="Arial" w:hAnsi="Arial" w:cs="Arial"/>
        </w:rPr>
        <w:t>before</w:t>
      </w:r>
      <w:r w:rsidRPr="00BF57FF">
        <w:rPr>
          <w:rFonts w:ascii="Arial" w:hAnsi="Arial" w:cs="Arial"/>
        </w:rPr>
        <w:t xml:space="preserve"> being used in full to provide conceptual consistency across the heterogeneous designs represented.</w:t>
      </w:r>
    </w:p>
    <w:p w:rsidRPr="00BF57FF" w:rsidR="00B51E00" w:rsidP="00A70BBB" w:rsidRDefault="00A23AA5" w14:paraId="543C84C2" w14:textId="78E15823">
      <w:pPr>
        <w:spacing w:after="152" w:line="360" w:lineRule="auto"/>
        <w:jc w:val="both"/>
        <w:rPr>
          <w:rFonts w:ascii="Arial" w:hAnsi="Arial" w:cs="Arial"/>
        </w:rPr>
      </w:pPr>
      <w:r w:rsidRPr="00BF57FF">
        <w:rPr>
          <w:rFonts w:ascii="Arial" w:hAnsi="Arial" w:cs="Arial"/>
        </w:rPr>
        <w:t>Quantitative results were copied verbatim when reported (e.g. compliance levels, delay percentages, etc.)</w:t>
      </w:r>
      <w:r w:rsidRPr="00BF57FF" w:rsidR="00A906ED">
        <w:rPr>
          <w:rFonts w:ascii="Arial" w:hAnsi="Arial" w:cs="Arial"/>
        </w:rPr>
        <w:t>,</w:t>
      </w:r>
      <w:r w:rsidRPr="00BF57FF">
        <w:rPr>
          <w:rFonts w:ascii="Arial" w:hAnsi="Arial" w:cs="Arial"/>
        </w:rPr>
        <w:t xml:space="preserve"> and qualitative or interpretive results were paraphrased, taking care to maintain original meaning and contextual subtlety. All information retrieved </w:t>
      </w:r>
      <w:r w:rsidRPr="00BF57FF" w:rsidR="00A906ED">
        <w:rPr>
          <w:rFonts w:ascii="Arial" w:hAnsi="Arial" w:cs="Arial"/>
        </w:rPr>
        <w:t>was</w:t>
      </w:r>
      <w:r w:rsidRPr="00BF57FF">
        <w:rPr>
          <w:rFonts w:ascii="Arial" w:hAnsi="Arial" w:cs="Arial"/>
        </w:rPr>
        <w:t xml:space="preserve"> checked against source documents to reduce transcription </w:t>
      </w:r>
      <w:r w:rsidRPr="00BF57FF" w:rsidR="00A906ED">
        <w:rPr>
          <w:rFonts w:ascii="Arial" w:hAnsi="Arial" w:cs="Arial"/>
        </w:rPr>
        <w:t>errors</w:t>
      </w:r>
      <w:r w:rsidRPr="00BF57FF">
        <w:rPr>
          <w:rFonts w:ascii="Arial" w:hAnsi="Arial" w:cs="Arial"/>
        </w:rPr>
        <w:t xml:space="preserve">. Complete extraction tables are presented in Appendix C. </w:t>
      </w:r>
    </w:p>
    <w:p w:rsidRPr="00BF57FF" w:rsidR="00B51E00" w:rsidP="00A70BBB" w:rsidRDefault="00B51E00" w14:paraId="30BDDA66" w14:textId="11380FB5">
      <w:pPr>
        <w:spacing w:after="152" w:line="360" w:lineRule="auto"/>
        <w:ind w:left="695"/>
        <w:jc w:val="both"/>
        <w:rPr>
          <w:rFonts w:ascii="Arial" w:hAnsi="Arial" w:cs="Arial"/>
        </w:rPr>
      </w:pPr>
    </w:p>
    <w:p w:rsidRPr="00BF57FF" w:rsidR="00B51E00" w:rsidP="00A70BBB" w:rsidRDefault="00B51E00" w14:paraId="7E703F50" w14:textId="727AA510">
      <w:pPr>
        <w:pStyle w:val="Heading2"/>
        <w:spacing w:line="360" w:lineRule="auto"/>
        <w:ind w:left="0"/>
        <w:jc w:val="both"/>
        <w:rPr>
          <w:rFonts w:ascii="Arial" w:hAnsi="Arial" w:cs="Arial"/>
          <w:sz w:val="22"/>
        </w:rPr>
      </w:pPr>
      <w:bookmarkStart w:name="_Toc231005866" w:id="62"/>
      <w:bookmarkStart w:name="_Toc231298580" w:id="63"/>
      <w:r w:rsidRPr="00BF57FF">
        <w:rPr>
          <w:rFonts w:ascii="Arial" w:hAnsi="Arial" w:cs="Arial"/>
          <w:sz w:val="22"/>
        </w:rPr>
        <w:t>3.8 Quality Appraisal</w:t>
      </w:r>
      <w:bookmarkEnd w:id="62"/>
      <w:bookmarkEnd w:id="63"/>
    </w:p>
    <w:p w:rsidRPr="00BF57FF" w:rsidR="00B51E00" w:rsidP="00A70BBB" w:rsidRDefault="00867657" w14:paraId="3339CC1C" w14:textId="2637D751">
      <w:pPr>
        <w:spacing w:after="152" w:line="360" w:lineRule="auto"/>
        <w:jc w:val="both"/>
        <w:rPr>
          <w:rFonts w:ascii="Arial" w:hAnsi="Arial" w:cs="Arial"/>
        </w:rPr>
      </w:pPr>
      <w:r w:rsidRPr="00BF57FF">
        <w:rPr>
          <w:rFonts w:ascii="Arial" w:hAnsi="Arial" w:cs="Arial"/>
        </w:rPr>
        <w:t xml:space="preserve">Since study designs were </w:t>
      </w:r>
      <w:r w:rsidRPr="00BF57FF" w:rsidR="00A906ED">
        <w:rPr>
          <w:rFonts w:ascii="Arial" w:hAnsi="Arial" w:cs="Arial"/>
        </w:rPr>
        <w:t>heterogeneous</w:t>
      </w:r>
      <w:r w:rsidRPr="00BF57FF">
        <w:rPr>
          <w:rFonts w:ascii="Arial" w:hAnsi="Arial" w:cs="Arial"/>
        </w:rPr>
        <w:t xml:space="preserve"> across the twelve studies incorporated, a set of design-specific quality appraisal tools </w:t>
      </w:r>
      <w:r w:rsidRPr="00BF57FF" w:rsidR="00A906ED">
        <w:rPr>
          <w:rFonts w:ascii="Arial" w:hAnsi="Arial" w:cs="Arial"/>
        </w:rPr>
        <w:t>was</w:t>
      </w:r>
      <w:r w:rsidRPr="00BF57FF">
        <w:rPr>
          <w:rFonts w:ascii="Arial" w:hAnsi="Arial" w:cs="Arial"/>
        </w:rPr>
        <w:t xml:space="preserve"> used instead of one (CASP, 2022; Gough et al., 2017). This is in line with the practice of systematic reviews involving mixed-design evidence (Higgins et al., 2019).</w:t>
      </w:r>
    </w:p>
    <w:p w:rsidRPr="00BF57FF" w:rsidR="00B51E00" w:rsidP="00A70BBB" w:rsidRDefault="00273D42" w14:paraId="4B582550" w14:textId="13BD4A59">
      <w:pPr>
        <w:spacing w:after="152" w:line="360" w:lineRule="auto"/>
        <w:jc w:val="both"/>
        <w:rPr>
          <w:rFonts w:ascii="Arial" w:hAnsi="Arial" w:cs="Arial"/>
        </w:rPr>
      </w:pPr>
      <w:r w:rsidRPr="00BF57FF">
        <w:rPr>
          <w:rFonts w:ascii="Arial" w:hAnsi="Arial" w:cs="Arial"/>
        </w:rPr>
        <w:t>Search comprehensiveness, selection validity, and the suitability of pooling were checked using the CASP Systematic Review Checklist, applied to the one systematic review and meta-analysis (Study 1: Debnath et al., 2025). The longitudinal programme evaluation (Study 2: Gibson et al., 2022) and the passive observational surveillance study (Study 7: Vanak et al., 2023) were assessed using the CASP Cohort Study Checklist in terms of exposure and outcome measurement, follow-up completeness, and confounding.</w:t>
      </w:r>
    </w:p>
    <w:p w:rsidRPr="00BF57FF" w:rsidR="00B51E00" w:rsidP="00A70BBB" w:rsidRDefault="00522BBC" w14:paraId="0F9C516C" w14:textId="5D74E674">
      <w:pPr>
        <w:spacing w:after="152" w:line="360" w:lineRule="auto"/>
        <w:jc w:val="both"/>
        <w:rPr>
          <w:rFonts w:ascii="Arial" w:hAnsi="Arial" w:cs="Arial"/>
        </w:rPr>
      </w:pPr>
      <w:r w:rsidRPr="00BF57FF">
        <w:rPr>
          <w:rFonts w:ascii="Arial" w:hAnsi="Arial" w:cs="Arial"/>
        </w:rPr>
        <w:t xml:space="preserve">The AXIS tool (A Critical Appraisal Tool for Cross-Sectional Studies) was used in the six cross-sectional and community survey studies (Studies 4, 5, 6, 8, 9, and 10) (Downes et al., 2016). AXIS was chosen, since CASP does not release a specific cross-sectional checklist; the cohort checklist would cause conceptual inconsistency when applied to cross-sectional designs, and would lower appraisal validity. AXIS is a list of twenty items created after a three-round Delphi procedure and expert agreement (Downes et al., 2016). Although it was not a traditional cross-sectional survey but a record-based surveillance appraisal, Study 8 (Sudarshan and Ashwath Narayana, 2019) was appraised using AXIS because they share the basic methodological </w:t>
      </w:r>
      <w:r w:rsidRPr="00BF57FF">
        <w:rPr>
          <w:rFonts w:ascii="Arial" w:hAnsi="Arial" w:cs="Arial"/>
        </w:rPr>
        <w:t>characteristics the tool measures (a fixed point of observation, no intervention, retrospective comparison of data, and possible systematic bias in source completeness), with the restriction that certain AXIS items that measure participant-recruitment are inapplicable to record-based designs, which is recognized as a limitation on the appraisal.</w:t>
      </w:r>
    </w:p>
    <w:p w:rsidRPr="00BF57FF" w:rsidR="00B51E00" w:rsidP="00A70BBB" w:rsidRDefault="00527499" w14:paraId="7AEC4A2A" w14:textId="1D1F634D">
      <w:pPr>
        <w:spacing w:after="152" w:line="360" w:lineRule="auto"/>
        <w:jc w:val="both"/>
        <w:rPr>
          <w:rFonts w:ascii="Arial" w:hAnsi="Arial" w:cs="Arial"/>
        </w:rPr>
      </w:pPr>
      <w:r w:rsidRPr="00BF57FF">
        <w:rPr>
          <w:rFonts w:ascii="Arial" w:hAnsi="Arial" w:cs="Arial"/>
        </w:rPr>
        <w:t>Structured narrative quality indicators (clarity of aims, methodological transparency, quality of data source, and acknowledgement of limitations) were used to appraise studies 3, 11, and 12</w:t>
      </w:r>
      <w:r w:rsidRPr="00BF57FF" w:rsidR="00D86B91">
        <w:rPr>
          <w:rFonts w:ascii="Arial" w:hAnsi="Arial" w:cs="Arial"/>
        </w:rPr>
        <w:t>,</w:t>
      </w:r>
      <w:r w:rsidRPr="00BF57FF">
        <w:rPr>
          <w:rFonts w:ascii="Arial" w:hAnsi="Arial" w:cs="Arial"/>
        </w:rPr>
        <w:t xml:space="preserve"> a narrative historical review, SWOT analysis, and global burden modelling study</w:t>
      </w:r>
      <w:r w:rsidRPr="00BF57FF" w:rsidR="00D86B91">
        <w:rPr>
          <w:rFonts w:ascii="Arial" w:hAnsi="Arial" w:cs="Arial"/>
        </w:rPr>
        <w:t>,</w:t>
      </w:r>
      <w:r w:rsidRPr="00BF57FF">
        <w:rPr>
          <w:rFonts w:ascii="Arial" w:hAnsi="Arial" w:cs="Arial"/>
        </w:rPr>
        <w:t xml:space="preserve"> respectively, in line with the advice on non-standard designs (Gough et al., 2017). Table 4.2 shows quality appraisal scores and judgements.</w:t>
      </w:r>
    </w:p>
    <w:p w:rsidRPr="00BF57FF" w:rsidR="00B51E00" w:rsidP="00A70BBB" w:rsidRDefault="00B51E00" w14:paraId="55E6145C" w14:textId="2EBF41F6">
      <w:pPr>
        <w:spacing w:after="152" w:line="360" w:lineRule="auto"/>
        <w:ind w:left="695"/>
        <w:jc w:val="both"/>
        <w:rPr>
          <w:rFonts w:ascii="Arial" w:hAnsi="Arial" w:cs="Arial"/>
        </w:rPr>
      </w:pPr>
    </w:p>
    <w:p w:rsidRPr="00BF57FF" w:rsidR="00B51E00" w:rsidP="00A70BBB" w:rsidRDefault="00B51E00" w14:paraId="76A7E4DC" w14:textId="77777777">
      <w:pPr>
        <w:pStyle w:val="Heading2"/>
        <w:spacing w:line="360" w:lineRule="auto"/>
        <w:jc w:val="both"/>
        <w:rPr>
          <w:rFonts w:ascii="Arial" w:hAnsi="Arial" w:cs="Arial"/>
          <w:sz w:val="22"/>
        </w:rPr>
      </w:pPr>
      <w:bookmarkStart w:name="_Toc231005867" w:id="64"/>
      <w:bookmarkStart w:name="_Toc231298581" w:id="65"/>
      <w:r w:rsidRPr="00BF57FF">
        <w:rPr>
          <w:rFonts w:ascii="Arial" w:hAnsi="Arial" w:cs="Arial"/>
          <w:sz w:val="22"/>
        </w:rPr>
        <w:t>3.9 Thematic Synthesis</w:t>
      </w:r>
      <w:bookmarkEnd w:id="64"/>
      <w:bookmarkEnd w:id="65"/>
    </w:p>
    <w:p w:rsidRPr="00BF57FF" w:rsidR="00B51E00" w:rsidP="00A70BBB" w:rsidRDefault="001B3B12" w14:paraId="2203CB27" w14:textId="7C221A26">
      <w:pPr>
        <w:spacing w:after="152" w:line="360" w:lineRule="auto"/>
        <w:ind w:left="10"/>
        <w:jc w:val="both"/>
        <w:rPr>
          <w:rFonts w:ascii="Arial" w:hAnsi="Arial" w:cs="Arial"/>
        </w:rPr>
      </w:pPr>
      <w:r w:rsidRPr="00BF57FF">
        <w:rPr>
          <w:rFonts w:ascii="Arial" w:hAnsi="Arial" w:cs="Arial"/>
        </w:rPr>
        <w:t>The analytical method used was thematic synthesis, based on the six phases of reflexivity presented by Braun and Clarke (2006), elaborated upon in their 2019 updates to their thoughts on reflexive practice. Thematic synthesis is more appropriate in systematic reviews involving heterogeneous study designs when the research question is interpretive and structural, as is the present case, and when statistical meta-analysis is not possible (Thomas and Harden, 2008).</w:t>
      </w:r>
    </w:p>
    <w:p w:rsidRPr="00BF57FF" w:rsidR="00B51E00" w:rsidP="00A70BBB" w:rsidRDefault="001B3B12" w14:paraId="06955B22" w14:textId="68B7CFFB">
      <w:pPr>
        <w:spacing w:after="152" w:line="360" w:lineRule="auto"/>
        <w:ind w:left="10"/>
        <w:jc w:val="both"/>
        <w:rPr>
          <w:rFonts w:ascii="Arial" w:hAnsi="Arial" w:cs="Arial"/>
        </w:rPr>
      </w:pPr>
      <w:r w:rsidRPr="00BF57FF">
        <w:rPr>
          <w:rFonts w:ascii="Arial" w:hAnsi="Arial" w:cs="Arial"/>
        </w:rPr>
        <w:t xml:space="preserve">The six phases were used iteratively on the data extracted </w:t>
      </w:r>
      <w:r w:rsidRPr="00BF57FF" w:rsidR="00A906ED">
        <w:rPr>
          <w:rFonts w:ascii="Arial" w:hAnsi="Arial" w:cs="Arial"/>
        </w:rPr>
        <w:t>from</w:t>
      </w:r>
      <w:r w:rsidRPr="00BF57FF">
        <w:rPr>
          <w:rFonts w:ascii="Arial" w:hAnsi="Arial" w:cs="Arial"/>
        </w:rPr>
        <w:t xml:space="preserve"> all </w:t>
      </w:r>
      <w:r w:rsidRPr="00BF57FF" w:rsidR="00347BE5">
        <w:rPr>
          <w:rFonts w:ascii="Arial" w:hAnsi="Arial" w:cs="Arial"/>
        </w:rPr>
        <w:t xml:space="preserve">twelve </w:t>
      </w:r>
      <w:r w:rsidRPr="00BF57FF">
        <w:rPr>
          <w:rFonts w:ascii="Arial" w:hAnsi="Arial" w:cs="Arial"/>
        </w:rPr>
        <w:t xml:space="preserve">of the included studies: </w:t>
      </w:r>
    </w:p>
    <w:p w:rsidRPr="00BF57FF" w:rsidR="00B51E00" w:rsidP="00A70BBB" w:rsidRDefault="00B51E00" w14:paraId="2AD5D12A" w14:textId="38FAEF64">
      <w:pPr>
        <w:numPr>
          <w:ilvl w:val="0"/>
          <w:numId w:val="9"/>
        </w:numPr>
        <w:spacing w:after="152" w:line="360" w:lineRule="auto"/>
        <w:jc w:val="both"/>
        <w:rPr>
          <w:rFonts w:ascii="Arial" w:hAnsi="Arial" w:cs="Arial"/>
        </w:rPr>
      </w:pPr>
      <w:r w:rsidRPr="00BF57FF">
        <w:rPr>
          <w:rFonts w:ascii="Arial" w:hAnsi="Arial" w:cs="Arial"/>
          <w:b/>
          <w:bCs/>
        </w:rPr>
        <w:t>Familiarisation</w:t>
      </w:r>
      <w:r w:rsidRPr="00BF57FF">
        <w:rPr>
          <w:rFonts w:ascii="Arial" w:hAnsi="Arial" w:cs="Arial"/>
        </w:rPr>
        <w:t xml:space="preserve"> — </w:t>
      </w:r>
      <w:r w:rsidRPr="00BF57FF" w:rsidR="00B96D9F">
        <w:rPr>
          <w:rFonts w:ascii="Arial" w:hAnsi="Arial" w:cs="Arial"/>
        </w:rPr>
        <w:t xml:space="preserve">close reading of all extracted data repeatedly to build extensive familiarity </w:t>
      </w:r>
      <w:r w:rsidRPr="00BF57FF" w:rsidR="00A906ED">
        <w:rPr>
          <w:rFonts w:ascii="Arial" w:hAnsi="Arial" w:cs="Arial"/>
        </w:rPr>
        <w:t>with the</w:t>
      </w:r>
      <w:r w:rsidRPr="00BF57FF" w:rsidR="00B96D9F">
        <w:rPr>
          <w:rFonts w:ascii="Arial" w:hAnsi="Arial" w:cs="Arial"/>
        </w:rPr>
        <w:t xml:space="preserve"> content and context</w:t>
      </w:r>
    </w:p>
    <w:p w:rsidRPr="00BF57FF" w:rsidR="00B51E00" w:rsidP="00A70BBB" w:rsidRDefault="00B51E00" w14:paraId="67C5F95E" w14:textId="4B549F91">
      <w:pPr>
        <w:numPr>
          <w:ilvl w:val="0"/>
          <w:numId w:val="9"/>
        </w:numPr>
        <w:spacing w:after="152" w:line="360" w:lineRule="auto"/>
        <w:jc w:val="both"/>
        <w:rPr>
          <w:rFonts w:ascii="Arial" w:hAnsi="Arial" w:cs="Arial"/>
        </w:rPr>
      </w:pPr>
      <w:r w:rsidRPr="00BF57FF">
        <w:rPr>
          <w:rFonts w:ascii="Arial" w:hAnsi="Arial" w:cs="Arial"/>
          <w:b/>
          <w:bCs/>
        </w:rPr>
        <w:t>Initial code generation</w:t>
      </w:r>
      <w:r w:rsidRPr="00BF57FF">
        <w:rPr>
          <w:rFonts w:ascii="Arial" w:hAnsi="Arial" w:cs="Arial"/>
        </w:rPr>
        <w:t xml:space="preserve"> — </w:t>
      </w:r>
      <w:r w:rsidRPr="00BF57FF" w:rsidR="00B96D9F">
        <w:rPr>
          <w:rFonts w:ascii="Arial" w:hAnsi="Arial" w:cs="Arial"/>
        </w:rPr>
        <w:t>systematic coding of barrier-relevant content in the dataset</w:t>
      </w:r>
    </w:p>
    <w:p w:rsidRPr="00BF57FF" w:rsidR="00B51E00" w:rsidP="00A70BBB" w:rsidRDefault="00B51E00" w14:paraId="30FC856F" w14:textId="1AB78C71">
      <w:pPr>
        <w:numPr>
          <w:ilvl w:val="0"/>
          <w:numId w:val="9"/>
        </w:numPr>
        <w:spacing w:after="152" w:line="360" w:lineRule="auto"/>
        <w:jc w:val="both"/>
        <w:rPr>
          <w:rFonts w:ascii="Arial" w:hAnsi="Arial" w:cs="Arial"/>
        </w:rPr>
      </w:pPr>
      <w:r w:rsidRPr="00BF57FF">
        <w:rPr>
          <w:rFonts w:ascii="Arial" w:hAnsi="Arial" w:cs="Arial"/>
          <w:b/>
          <w:bCs/>
        </w:rPr>
        <w:t>Searching for themes</w:t>
      </w:r>
      <w:r w:rsidRPr="00BF57FF">
        <w:rPr>
          <w:rFonts w:ascii="Arial" w:hAnsi="Arial" w:cs="Arial"/>
        </w:rPr>
        <w:t xml:space="preserve"> — </w:t>
      </w:r>
      <w:r w:rsidRPr="00BF57FF" w:rsidR="004B29C0">
        <w:rPr>
          <w:rFonts w:ascii="Arial" w:hAnsi="Arial" w:cs="Arial"/>
        </w:rPr>
        <w:t>clustering related codes to candidate themes</w:t>
      </w:r>
    </w:p>
    <w:p w:rsidRPr="00BF57FF" w:rsidR="00B51E00" w:rsidP="00A70BBB" w:rsidRDefault="00B51E00" w14:paraId="6297B795" w14:textId="52B9C1FB">
      <w:pPr>
        <w:numPr>
          <w:ilvl w:val="0"/>
          <w:numId w:val="9"/>
        </w:numPr>
        <w:spacing w:after="152" w:line="360" w:lineRule="auto"/>
        <w:jc w:val="both"/>
        <w:rPr>
          <w:rFonts w:ascii="Arial" w:hAnsi="Arial" w:cs="Arial"/>
        </w:rPr>
      </w:pPr>
      <w:r w:rsidRPr="00BF57FF">
        <w:rPr>
          <w:rFonts w:ascii="Arial" w:hAnsi="Arial" w:cs="Arial"/>
          <w:b/>
          <w:bCs/>
        </w:rPr>
        <w:t>Reviewing themes</w:t>
      </w:r>
      <w:r w:rsidRPr="00BF57FF">
        <w:rPr>
          <w:rFonts w:ascii="Arial" w:hAnsi="Arial" w:cs="Arial"/>
        </w:rPr>
        <w:t xml:space="preserve"> — </w:t>
      </w:r>
      <w:r w:rsidRPr="00BF57FF" w:rsidR="004B29C0">
        <w:rPr>
          <w:rFonts w:ascii="Arial" w:hAnsi="Arial" w:cs="Arial"/>
        </w:rPr>
        <w:t>asking internal coherence and boundary questions of candidate themes</w:t>
      </w:r>
    </w:p>
    <w:p w:rsidRPr="00BF57FF" w:rsidR="00B51E00" w:rsidP="00A70BBB" w:rsidRDefault="00B51E00" w14:paraId="716ABB2C" w14:textId="39B7534E">
      <w:pPr>
        <w:numPr>
          <w:ilvl w:val="0"/>
          <w:numId w:val="9"/>
        </w:numPr>
        <w:spacing w:after="152" w:line="360" w:lineRule="auto"/>
        <w:jc w:val="both"/>
        <w:rPr>
          <w:rFonts w:ascii="Arial" w:hAnsi="Arial" w:cs="Arial"/>
        </w:rPr>
      </w:pPr>
      <w:r w:rsidRPr="00BF57FF">
        <w:rPr>
          <w:rFonts w:ascii="Arial" w:hAnsi="Arial" w:cs="Arial"/>
          <w:b/>
          <w:bCs/>
        </w:rPr>
        <w:t>Defining and naming themes</w:t>
      </w:r>
      <w:r w:rsidRPr="00BF57FF">
        <w:rPr>
          <w:rFonts w:ascii="Arial" w:hAnsi="Arial" w:cs="Arial"/>
        </w:rPr>
        <w:t xml:space="preserve"> — </w:t>
      </w:r>
      <w:r w:rsidRPr="00BF57FF" w:rsidR="000F1FEB">
        <w:rPr>
          <w:rFonts w:ascii="Arial" w:hAnsi="Arial" w:cs="Arial"/>
        </w:rPr>
        <w:t>defining thematic labels and their scope.</w:t>
      </w:r>
    </w:p>
    <w:p w:rsidRPr="00BF57FF" w:rsidR="00B51E00" w:rsidP="00A70BBB" w:rsidRDefault="00B51E00" w14:paraId="269B8457" w14:textId="18DFDB03">
      <w:pPr>
        <w:numPr>
          <w:ilvl w:val="0"/>
          <w:numId w:val="9"/>
        </w:numPr>
        <w:spacing w:after="152" w:line="360" w:lineRule="auto"/>
        <w:jc w:val="both"/>
        <w:rPr>
          <w:rFonts w:ascii="Arial" w:hAnsi="Arial" w:cs="Arial"/>
        </w:rPr>
      </w:pPr>
      <w:r w:rsidRPr="00BF57FF">
        <w:rPr>
          <w:rFonts w:ascii="Arial" w:hAnsi="Arial" w:cs="Arial"/>
          <w:b/>
          <w:bCs/>
        </w:rPr>
        <w:t>Producing the report</w:t>
      </w:r>
      <w:r w:rsidRPr="00BF57FF">
        <w:rPr>
          <w:rFonts w:ascii="Arial" w:hAnsi="Arial" w:cs="Arial"/>
        </w:rPr>
        <w:t xml:space="preserve"> — </w:t>
      </w:r>
      <w:r w:rsidRPr="00BF57FF" w:rsidR="000F1FEB">
        <w:rPr>
          <w:rFonts w:ascii="Arial" w:hAnsi="Arial" w:cs="Arial"/>
        </w:rPr>
        <w:t>creating the analytical narrative in Chapter 4.</w:t>
      </w:r>
    </w:p>
    <w:p w:rsidRPr="00BF57FF" w:rsidR="00B51E00" w:rsidP="00A70BBB" w:rsidRDefault="00574083" w14:paraId="3730D319" w14:textId="6688AADE">
      <w:pPr>
        <w:spacing w:after="152" w:line="360" w:lineRule="auto"/>
        <w:ind w:left="705"/>
        <w:jc w:val="both"/>
        <w:rPr>
          <w:rFonts w:ascii="Arial" w:hAnsi="Arial" w:cs="Arial"/>
        </w:rPr>
      </w:pPr>
      <w:r w:rsidRPr="00BF57FF">
        <w:rPr>
          <w:rFonts w:ascii="Arial" w:hAnsi="Arial" w:cs="Arial"/>
        </w:rPr>
        <w:t xml:space="preserve">Following reflexive thematic analysis, the interpretive position of the researcher as active in the coding and development of the themes was </w:t>
      </w:r>
      <w:r w:rsidRPr="00BF57FF" w:rsidR="00A906ED">
        <w:rPr>
          <w:rFonts w:ascii="Arial" w:hAnsi="Arial" w:cs="Arial"/>
        </w:rPr>
        <w:t>recognised</w:t>
      </w:r>
      <w:r w:rsidRPr="00BF57FF">
        <w:rPr>
          <w:rFonts w:ascii="Arial" w:hAnsi="Arial" w:cs="Arial"/>
        </w:rPr>
        <w:t xml:space="preserve"> and aligned with the interpretivist epistemology developed in Section 3.2 (Braun and </w:t>
      </w:r>
      <w:r w:rsidRPr="00BF57FF">
        <w:rPr>
          <w:rFonts w:ascii="Arial" w:hAnsi="Arial" w:cs="Arial"/>
        </w:rPr>
        <w:t>Clarke, 2019; Lincoln and Guba, 1985). The synthesis produced four themes</w:t>
      </w:r>
      <w:r w:rsidRPr="00BF57FF" w:rsidR="00A906ED">
        <w:rPr>
          <w:rFonts w:ascii="Arial" w:hAnsi="Arial" w:cs="Arial"/>
        </w:rPr>
        <w:t>,</w:t>
      </w:r>
      <w:r w:rsidRPr="00BF57FF">
        <w:rPr>
          <w:rFonts w:ascii="Arial" w:hAnsi="Arial" w:cs="Arial"/>
        </w:rPr>
        <w:t xml:space="preserve"> which are outlined in Chapter 4.</w:t>
      </w:r>
    </w:p>
    <w:p w:rsidRPr="00BF57FF" w:rsidR="00B51E00" w:rsidP="00A70BBB" w:rsidRDefault="00B51E00" w14:paraId="671F4996" w14:textId="7A523E79">
      <w:pPr>
        <w:spacing w:after="152" w:line="360" w:lineRule="auto"/>
        <w:ind w:left="705"/>
        <w:jc w:val="both"/>
        <w:rPr>
          <w:rFonts w:ascii="Arial" w:hAnsi="Arial" w:cs="Arial"/>
        </w:rPr>
      </w:pPr>
    </w:p>
    <w:p w:rsidRPr="00BF57FF" w:rsidR="00B51E00" w:rsidP="00A70BBB" w:rsidRDefault="00B51E00" w14:paraId="3656E1B9" w14:textId="77777777">
      <w:pPr>
        <w:pStyle w:val="Heading2"/>
        <w:spacing w:line="360" w:lineRule="auto"/>
        <w:jc w:val="both"/>
        <w:rPr>
          <w:rFonts w:ascii="Arial" w:hAnsi="Arial" w:cs="Arial"/>
          <w:sz w:val="22"/>
        </w:rPr>
      </w:pPr>
      <w:bookmarkStart w:name="_Toc231005868" w:id="66"/>
      <w:bookmarkStart w:name="_Toc231298582" w:id="67"/>
      <w:r w:rsidRPr="00BF57FF">
        <w:rPr>
          <w:rFonts w:ascii="Arial" w:hAnsi="Arial" w:cs="Arial"/>
          <w:sz w:val="22"/>
        </w:rPr>
        <w:t>3.10 Ethical Considerations</w:t>
      </w:r>
      <w:bookmarkEnd w:id="66"/>
      <w:bookmarkEnd w:id="67"/>
    </w:p>
    <w:p w:rsidRPr="00BF57FF" w:rsidR="00B51E00" w:rsidP="00A70BBB" w:rsidRDefault="00934B30" w14:paraId="3E1E5511" w14:textId="627873E5">
      <w:pPr>
        <w:spacing w:after="152" w:line="360" w:lineRule="auto"/>
        <w:jc w:val="both"/>
        <w:rPr>
          <w:rFonts w:ascii="Arial" w:hAnsi="Arial" w:cs="Arial"/>
        </w:rPr>
      </w:pPr>
      <w:r w:rsidRPr="00BF57FF">
        <w:rPr>
          <w:rFonts w:ascii="Arial" w:hAnsi="Arial" w:cs="Arial"/>
        </w:rPr>
        <w:t>Since this is a secondary analysis of existing, publicly available, and peer-reviewed literature, no human subjects, no primary data collection, and no contact with personal data are involved, and thus no formal ethical approval was obtained by a research ethics committee. The study was carried out following the ethical principles and research governance model of the University of Wales Trinity Saint David</w:t>
      </w:r>
      <w:r w:rsidRPr="00BF57FF" w:rsidR="00347BE5">
        <w:rPr>
          <w:rFonts w:ascii="Arial" w:hAnsi="Arial" w:cs="Arial"/>
        </w:rPr>
        <w:t>,</w:t>
      </w:r>
      <w:r w:rsidRPr="00BF57FF">
        <w:rPr>
          <w:rFonts w:ascii="Arial" w:hAnsi="Arial" w:cs="Arial"/>
        </w:rPr>
        <w:t xml:space="preserve"> and the module ethics review form was duly filled and signed before the data collection process commenced. All references are quoted correctly and referenced in full. The proofreading was done using artificial intelligence tools alone as per the assessment policy of the University of Wales Trinity Saint David.</w:t>
      </w:r>
    </w:p>
    <w:p w:rsidRPr="00BF57FF" w:rsidR="00B51E00" w:rsidP="00A70BBB" w:rsidRDefault="00B51E00" w14:paraId="2CB2455E" w14:textId="1C85A25D">
      <w:pPr>
        <w:spacing w:after="152" w:line="360" w:lineRule="auto"/>
        <w:ind w:left="10"/>
        <w:jc w:val="both"/>
        <w:rPr>
          <w:rFonts w:ascii="Arial" w:hAnsi="Arial" w:cs="Arial"/>
        </w:rPr>
      </w:pPr>
      <w:r w:rsidRPr="00BF57FF">
        <w:rPr>
          <w:rFonts w:ascii="Arial" w:hAnsi="Arial" w:cs="Arial"/>
          <w:i/>
          <w:iCs/>
        </w:rPr>
        <w:t xml:space="preserve">The </w:t>
      </w:r>
      <w:r w:rsidRPr="00BF57FF" w:rsidR="00B71CD9">
        <w:rPr>
          <w:rFonts w:ascii="Arial" w:hAnsi="Arial" w:cs="Arial"/>
          <w:i/>
          <w:iCs/>
        </w:rPr>
        <w:t>next chapter introduces the findings of the systematic review, the nature and quality profile of the twelve studies included, and the synthesis of findings in the four inductively derived themes.</w:t>
      </w:r>
    </w:p>
    <w:p w:rsidRPr="00BF57FF" w:rsidR="004419E6" w:rsidP="00A70BBB" w:rsidRDefault="004419E6" w14:paraId="6B00DAE5" w14:textId="77777777">
      <w:pPr>
        <w:spacing w:line="360" w:lineRule="auto"/>
        <w:jc w:val="both"/>
        <w:rPr>
          <w:rFonts w:ascii="Arial" w:hAnsi="Arial" w:cs="Arial"/>
        </w:rPr>
      </w:pPr>
      <w:bookmarkStart w:name="_Toc231005826" w:id="68"/>
      <w:bookmarkStart w:name="_Toc231005869" w:id="69"/>
      <w:r w:rsidRPr="00BF57FF">
        <w:rPr>
          <w:rFonts w:ascii="Arial" w:hAnsi="Arial" w:cs="Arial"/>
        </w:rPr>
        <w:br w:type="page"/>
      </w:r>
    </w:p>
    <w:p w:rsidRPr="00BF57FF" w:rsidR="00C9726C" w:rsidP="00A70BBB" w:rsidRDefault="00C9726C" w14:paraId="77F79B82" w14:textId="2A5070B7">
      <w:pPr>
        <w:pStyle w:val="Heading1"/>
        <w:spacing w:line="360" w:lineRule="auto"/>
        <w:jc w:val="both"/>
        <w:rPr>
          <w:rStyle w:val="Strong"/>
          <w:rFonts w:ascii="Arial" w:hAnsi="Arial" w:cs="Arial" w:eastAsiaTheme="minorEastAsia"/>
          <w:bCs w:val="0"/>
          <w:color w:val="auto"/>
          <w:sz w:val="22"/>
        </w:rPr>
      </w:pPr>
      <w:bookmarkStart w:name="_Toc231298583" w:id="70"/>
      <w:r w:rsidRPr="00BF57FF">
        <w:rPr>
          <w:rStyle w:val="Strong"/>
          <w:rFonts w:ascii="Arial" w:hAnsi="Arial" w:cs="Arial"/>
          <w:b/>
          <w:bCs w:val="0"/>
          <w:sz w:val="22"/>
        </w:rPr>
        <w:t>CHAPTER 4: RESULTS</w:t>
      </w:r>
      <w:bookmarkEnd w:id="68"/>
      <w:bookmarkEnd w:id="69"/>
      <w:bookmarkEnd w:id="70"/>
    </w:p>
    <w:p w:rsidRPr="00BF57FF" w:rsidR="00E057A9" w:rsidP="00A70BBB" w:rsidRDefault="00E057A9" w14:paraId="6F9BD821" w14:textId="77777777">
      <w:pPr>
        <w:pStyle w:val="Heading2"/>
        <w:spacing w:after="160" w:line="360" w:lineRule="auto"/>
        <w:jc w:val="both"/>
        <w:rPr>
          <w:rFonts w:ascii="Arial" w:hAnsi="Arial" w:cs="Arial"/>
          <w:sz w:val="22"/>
        </w:rPr>
      </w:pPr>
      <w:bookmarkStart w:name="_Toc231005870" w:id="71"/>
      <w:bookmarkStart w:name="_Toc231298584" w:id="72"/>
      <w:r w:rsidRPr="00BF57FF">
        <w:rPr>
          <w:rFonts w:ascii="Arial" w:hAnsi="Arial" w:cs="Arial"/>
          <w:sz w:val="22"/>
        </w:rPr>
        <w:t>4.1 PRISMA Flow and Study Selection</w:t>
      </w:r>
      <w:bookmarkEnd w:id="71"/>
      <w:bookmarkEnd w:id="72"/>
    </w:p>
    <w:p w:rsidRPr="00BF57FF" w:rsidR="00E057A9" w:rsidP="00A70BBB" w:rsidRDefault="0098066B" w14:paraId="48BF4BFF" w14:textId="5104D22F">
      <w:pPr>
        <w:pStyle w:val="font-claude-response-body"/>
        <w:spacing w:before="0" w:beforeAutospacing="0" w:after="160"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The search of four electronic databases, PubMed, Scopus, Web of Science, and CINAHL, found a total of 487 records: PubMed (n = 142), Scopus (n=156), Web of Science (n=131), and CINAHL (n=58). After automated and manual deduplication with Rayyan, 163 duplicate records were deleted, leaving 324 distinct records to screen titles and abstracts. Among these, 281 records were eliminated at the title and abstract level due to not meeting the main inclusion criteria of geographic focus, relevance to the topic, type of study, or language. The rest of the 43 records were requested in full text; three of them were not accessible </w:t>
      </w:r>
      <w:r w:rsidRPr="00BF57FF" w:rsidR="00D86B91">
        <w:rPr>
          <w:rFonts w:ascii="Arial" w:hAnsi="Arial" w:cs="Arial"/>
          <w:sz w:val="22"/>
          <w:szCs w:val="22"/>
          <w:lang w:val="en-GB"/>
        </w:rPr>
        <w:t>through</w:t>
      </w:r>
      <w:r w:rsidRPr="00BF57FF">
        <w:rPr>
          <w:rFonts w:ascii="Arial" w:hAnsi="Arial" w:cs="Arial"/>
          <w:sz w:val="22"/>
          <w:szCs w:val="22"/>
          <w:lang w:val="en-GB"/>
        </w:rPr>
        <w:t xml:space="preserve"> institutional access. The 40 identified full-text articles were checked according to the entire inclusion and exclusion criteria; 28 articles were excluded at this point</w:t>
      </w:r>
      <w:r w:rsidRPr="00BF57FF" w:rsidR="00D86B91">
        <w:rPr>
          <w:rFonts w:ascii="Arial" w:hAnsi="Arial" w:cs="Arial"/>
          <w:sz w:val="22"/>
          <w:szCs w:val="22"/>
          <w:lang w:val="en-GB"/>
        </w:rPr>
        <w:t>,</w:t>
      </w:r>
      <w:r w:rsidRPr="00BF57FF">
        <w:rPr>
          <w:rFonts w:ascii="Arial" w:hAnsi="Arial" w:cs="Arial"/>
          <w:sz w:val="22"/>
          <w:szCs w:val="22"/>
          <w:lang w:val="en-GB"/>
        </w:rPr>
        <w:t xml:space="preserve"> with reasons recorded</w:t>
      </w:r>
      <w:r w:rsidRPr="00BF57FF" w:rsidR="00805E86">
        <w:rPr>
          <w:rFonts w:ascii="Arial" w:hAnsi="Arial" w:cs="Arial"/>
          <w:sz w:val="22"/>
          <w:szCs w:val="22"/>
          <w:lang w:val="en-GB"/>
        </w:rPr>
        <w:t xml:space="preserve"> </w:t>
      </w:r>
      <w:r w:rsidRPr="00BF57FF">
        <w:rPr>
          <w:rFonts w:ascii="Arial" w:hAnsi="Arial" w:cs="Arial"/>
          <w:sz w:val="22"/>
          <w:szCs w:val="22"/>
          <w:lang w:val="en-GB"/>
        </w:rPr>
        <w:t>(Appendix B). The thematic synthesis incorporated the 12 other studies.</w:t>
      </w:r>
    </w:p>
    <w:p w:rsidRPr="00BF57FF" w:rsidR="00E057A9" w:rsidP="00A70BBB" w:rsidRDefault="002E4349" w14:paraId="6DD33F97" w14:textId="0B96DEEF">
      <w:pPr>
        <w:pStyle w:val="font-claude-response-body"/>
        <w:spacing w:before="0" w:beforeAutospacing="0" w:after="160" w:afterAutospacing="0" w:line="360" w:lineRule="auto"/>
        <w:jc w:val="both"/>
        <w:rPr>
          <w:rFonts w:ascii="Arial" w:hAnsi="Arial" w:cs="Arial"/>
          <w:sz w:val="22"/>
          <w:szCs w:val="22"/>
          <w:lang w:val="en-GB"/>
        </w:rPr>
      </w:pPr>
      <w:r w:rsidRPr="00BF57FF">
        <w:rPr>
          <w:rFonts w:ascii="Arial" w:hAnsi="Arial" w:cs="Arial"/>
          <w:sz w:val="22"/>
          <w:szCs w:val="22"/>
          <w:lang w:val="en-GB"/>
        </w:rPr>
        <w:t>Figure 3.1 is the PRISMA 2020 flow diagram. Failure to address barriers to PEP access, compliance or surveillance was the most frequently used reason to exclude full-text as a primary outcome in an India-specific context (n = 5), then a geographic focus not in India (n = 8). The resulting sample of twelve studies was heterogeneous in design, setting, and outcome focus, and covered community, health-system, and surveillance aspects of the three objectives of the review.</w:t>
      </w:r>
    </w:p>
    <w:p w:rsidRPr="00BF57FF" w:rsidR="00E057A9" w:rsidP="00A70BBB" w:rsidRDefault="00E057A9" w14:paraId="5C3B6868" w14:textId="2FCB88F5">
      <w:pPr>
        <w:pStyle w:val="font-claude-response-body"/>
        <w:spacing w:before="0" w:beforeAutospacing="0" w:after="160" w:afterAutospacing="0" w:line="360" w:lineRule="auto"/>
        <w:jc w:val="both"/>
        <w:rPr>
          <w:rFonts w:ascii="Arial" w:hAnsi="Arial" w:cs="Arial"/>
          <w:sz w:val="22"/>
          <w:szCs w:val="22"/>
          <w:lang w:val="en-GB"/>
        </w:rPr>
      </w:pPr>
    </w:p>
    <w:p w:rsidRPr="00BF57FF" w:rsidR="00E057A9" w:rsidP="00A70BBB" w:rsidRDefault="00E057A9" w14:paraId="6E2154FD" w14:textId="77777777">
      <w:pPr>
        <w:pStyle w:val="Heading2"/>
        <w:spacing w:after="160" w:line="360" w:lineRule="auto"/>
        <w:jc w:val="both"/>
        <w:rPr>
          <w:rFonts w:ascii="Arial" w:hAnsi="Arial" w:cs="Arial"/>
          <w:sz w:val="22"/>
        </w:rPr>
      </w:pPr>
      <w:bookmarkStart w:name="_Toc231005871" w:id="73"/>
      <w:bookmarkStart w:name="_Toc231298585" w:id="74"/>
      <w:r w:rsidRPr="00BF57FF">
        <w:rPr>
          <w:rFonts w:ascii="Arial" w:hAnsi="Arial" w:cs="Arial"/>
          <w:sz w:val="22"/>
        </w:rPr>
        <w:t>4.2 Characteristics of Included Studies</w:t>
      </w:r>
      <w:bookmarkEnd w:id="73"/>
      <w:bookmarkEnd w:id="74"/>
    </w:p>
    <w:p w:rsidRPr="00BF57FF" w:rsidR="00E057A9" w:rsidP="00A70BBB" w:rsidRDefault="009C4528" w14:paraId="0FC66DBE" w14:textId="2C19C6E0">
      <w:pPr>
        <w:pStyle w:val="font-claude-response-body"/>
        <w:spacing w:before="0" w:beforeAutospacing="0" w:after="160"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The twelve studies included have been published </w:t>
      </w:r>
      <w:r w:rsidRPr="00BF57FF" w:rsidR="00D86B91">
        <w:rPr>
          <w:rFonts w:ascii="Arial" w:hAnsi="Arial" w:cs="Arial"/>
          <w:sz w:val="22"/>
          <w:szCs w:val="22"/>
          <w:lang w:val="en-GB"/>
        </w:rPr>
        <w:t>between</w:t>
      </w:r>
      <w:r w:rsidRPr="00BF57FF">
        <w:rPr>
          <w:rFonts w:ascii="Arial" w:hAnsi="Arial" w:cs="Arial"/>
          <w:sz w:val="22"/>
          <w:szCs w:val="22"/>
          <w:lang w:val="en-GB"/>
        </w:rPr>
        <w:t xml:space="preserve"> 2015</w:t>
      </w:r>
      <w:r w:rsidRPr="00BF57FF" w:rsidR="007E2182">
        <w:rPr>
          <w:rFonts w:ascii="Arial" w:hAnsi="Arial" w:cs="Arial"/>
          <w:sz w:val="22"/>
          <w:szCs w:val="22"/>
          <w:lang w:val="en-GB"/>
        </w:rPr>
        <w:t xml:space="preserve"> and </w:t>
      </w:r>
      <w:r w:rsidRPr="00BF57FF">
        <w:rPr>
          <w:rFonts w:ascii="Arial" w:hAnsi="Arial" w:cs="Arial"/>
          <w:sz w:val="22"/>
          <w:szCs w:val="22"/>
          <w:lang w:val="en-GB"/>
        </w:rPr>
        <w:t>2026 and represent a variety of methods that can be used</w:t>
      </w:r>
      <w:r w:rsidRPr="00BF57FF" w:rsidR="00B74624">
        <w:rPr>
          <w:rFonts w:ascii="Arial" w:hAnsi="Arial" w:cs="Arial"/>
          <w:sz w:val="22"/>
          <w:szCs w:val="22"/>
          <w:lang w:val="en-GB"/>
        </w:rPr>
        <w:t>,</w:t>
      </w:r>
      <w:r w:rsidRPr="00BF57FF">
        <w:rPr>
          <w:rFonts w:ascii="Arial" w:hAnsi="Arial" w:cs="Arial"/>
          <w:sz w:val="22"/>
          <w:szCs w:val="22"/>
          <w:lang w:val="en-GB"/>
        </w:rPr>
        <w:t xml:space="preserve"> due to the heterogeneous nature of the research question. The study designs were: a systematic review and meta-analysis (Debnath et al., 2025); a longitudinal intervention evaluation based on programme and surveillance data (Gibson et al., 2022); a narrative historical review (Radhakrishnan et al., 2020); three cross-sectional studies (Sahu et al., 2021; Sivagurunathan et al., 2021; Maiti et al., 2026); a community-based cross-sectional survey with probabilistic decision-tree modelling (</w:t>
      </w:r>
      <w:r w:rsidRPr="00BF57FF" w:rsidR="00AB7D2C">
        <w:rPr>
          <w:rFonts w:ascii="Arial" w:hAnsi="Arial" w:cs="Arial"/>
          <w:sz w:val="22"/>
          <w:szCs w:val="22"/>
          <w:lang w:val="en-GB"/>
        </w:rPr>
        <w:t>Thangaraj</w:t>
      </w:r>
      <w:r w:rsidRPr="00BF57FF">
        <w:rPr>
          <w:rFonts w:ascii="Arial" w:hAnsi="Arial" w:cs="Arial"/>
          <w:sz w:val="22"/>
          <w:szCs w:val="22"/>
          <w:lang w:val="en-GB"/>
        </w:rPr>
        <w:t xml:space="preserve"> et al., 2025); a retrospective cross-sectional study (Gadapani et al., 2019); a passive observational surveillance study (Vanak et al., 2023); a SWOT analysis review (Pardeshi et al., 2026); and a global burden modelling study that included India-specific estimates (Hampson et al., 2015).</w:t>
      </w:r>
    </w:p>
    <w:p w:rsidRPr="00BF57FF" w:rsidR="0047448E" w:rsidP="00A70BBB" w:rsidRDefault="00693D4D" w14:paraId="2A211E80" w14:textId="279363BF">
      <w:pPr>
        <w:pStyle w:val="font-claude-response-body"/>
        <w:spacing w:before="0" w:beforeAutospacing="0" w:after="160"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Geographically, the research was performed in several Indian states and locations, such as Goa (Gibson et al., 2022), rural Odisha (Sahu et al., 2021), urban Tamil Nadu </w:t>
      </w:r>
      <w:r w:rsidRPr="00BF57FF">
        <w:rPr>
          <w:rFonts w:ascii="Arial" w:hAnsi="Arial" w:cs="Arial"/>
          <w:sz w:val="22"/>
          <w:szCs w:val="22"/>
          <w:lang w:val="en-GB"/>
        </w:rPr>
        <w:t>(Sivagurunathan et al., 2021), rural Maharashtra (Gadapani et al., 2019), urban Maharashtra - Pune (Vanak et al., 2023), Madhya Pradesh (Maiti et al., 2026), a multi-state multi-location assessment of seven states (Sudarshan and Ashwath Narayana, 2019), and a national survey of sixty districts (</w:t>
      </w:r>
      <w:r w:rsidRPr="00BF57FF" w:rsidR="00AB7D2C">
        <w:rPr>
          <w:rFonts w:ascii="Arial" w:hAnsi="Arial" w:cs="Arial"/>
          <w:sz w:val="22"/>
          <w:szCs w:val="22"/>
          <w:lang w:val="en-GB"/>
        </w:rPr>
        <w:t>Thangaraj</w:t>
      </w:r>
      <w:r w:rsidRPr="00BF57FF">
        <w:rPr>
          <w:rFonts w:ascii="Arial" w:hAnsi="Arial" w:cs="Arial"/>
          <w:sz w:val="22"/>
          <w:szCs w:val="22"/>
          <w:lang w:val="en-GB"/>
        </w:rPr>
        <w:t xml:space="preserve"> et al., 2025). Debnath et al. (2025) synthesised national multi-state primary data; Pardeshi et al. (2026) undertook a national programme review; and Hampson et al. (2015) estimated the global burden with India-specific results clearly shown. Complete characteristics are given in Table 4.1.</w:t>
      </w:r>
    </w:p>
    <w:p w:rsidRPr="00BF57FF" w:rsidR="0047448E" w:rsidP="00A70BBB" w:rsidRDefault="0047448E" w14:paraId="1B2E09AA" w14:textId="2C4BE49C">
      <w:pPr>
        <w:pStyle w:val="font-claude-response-body"/>
        <w:spacing w:after="160" w:afterAutospacing="0" w:line="360" w:lineRule="auto"/>
        <w:jc w:val="both"/>
        <w:rPr>
          <w:rFonts w:ascii="Arial" w:hAnsi="Arial" w:cs="Arial"/>
          <w:sz w:val="22"/>
          <w:szCs w:val="22"/>
          <w:lang w:val="en-GB"/>
        </w:rPr>
      </w:pPr>
      <w:r w:rsidRPr="00BF57FF">
        <w:rPr>
          <w:rFonts w:ascii="Arial" w:hAnsi="Arial" w:cs="Arial"/>
          <w:i/>
          <w:iCs/>
          <w:sz w:val="22"/>
          <w:szCs w:val="22"/>
          <w:lang w:val="en-GB"/>
        </w:rPr>
        <w:t xml:space="preserve">All 12 studies listed in order of inclusion. Study designs are as reported by </w:t>
      </w:r>
      <w:r w:rsidRPr="00BF57FF" w:rsidR="00496577">
        <w:rPr>
          <w:rFonts w:ascii="Arial" w:hAnsi="Arial" w:cs="Arial"/>
          <w:i/>
          <w:iCs/>
          <w:sz w:val="22"/>
          <w:szCs w:val="22"/>
          <w:lang w:val="en-GB"/>
        </w:rPr>
        <w:t xml:space="preserve">the </w:t>
      </w:r>
      <w:r w:rsidRPr="00BF57FF">
        <w:rPr>
          <w:rFonts w:ascii="Arial" w:hAnsi="Arial" w:cs="Arial"/>
          <w:i/>
          <w:iCs/>
          <w:sz w:val="22"/>
          <w:szCs w:val="22"/>
          <w:lang w:val="en-GB"/>
        </w:rPr>
        <w:t>original authors. Themes refer to the four themes identified through thematic synthesis (Chapter 4).</w:t>
      </w:r>
    </w:p>
    <w:p w:rsidRPr="00BF57FF" w:rsidR="00233E09" w:rsidP="00A70BBB" w:rsidRDefault="00233E09" w14:paraId="73AF851B" w14:textId="1BC466A9">
      <w:pPr>
        <w:pStyle w:val="Caption"/>
        <w:keepNext/>
        <w:spacing w:line="360" w:lineRule="auto"/>
        <w:jc w:val="both"/>
        <w:rPr>
          <w:rFonts w:ascii="Arial" w:hAnsi="Arial" w:cs="Arial"/>
          <w:sz w:val="22"/>
          <w:szCs w:val="22"/>
        </w:rPr>
      </w:pPr>
      <w:bookmarkStart w:name="_Toc231243484" w:id="75"/>
      <w:bookmarkStart w:name="_Toc231243852" w:id="76"/>
      <w:r w:rsidRPr="00BF57FF">
        <w:rPr>
          <w:rFonts w:ascii="Arial" w:hAnsi="Arial" w:cs="Arial"/>
          <w:sz w:val="22"/>
          <w:szCs w:val="22"/>
        </w:rPr>
        <w:t xml:space="preserve">Table 4. </w:t>
      </w:r>
      <w:r w:rsidRPr="00BF57FF">
        <w:rPr>
          <w:rFonts w:ascii="Arial" w:hAnsi="Arial" w:cs="Arial"/>
          <w:sz w:val="22"/>
          <w:szCs w:val="22"/>
        </w:rPr>
        <w:fldChar w:fldCharType="begin"/>
      </w:r>
      <w:r w:rsidRPr="00BF57FF">
        <w:rPr>
          <w:rFonts w:ascii="Arial" w:hAnsi="Arial" w:cs="Arial"/>
          <w:sz w:val="22"/>
          <w:szCs w:val="22"/>
        </w:rPr>
        <w:instrText xml:space="preserve"> SEQ Table_4. \* ARABIC </w:instrText>
      </w:r>
      <w:r w:rsidRPr="00BF57FF">
        <w:rPr>
          <w:rFonts w:ascii="Arial" w:hAnsi="Arial" w:cs="Arial"/>
          <w:sz w:val="22"/>
          <w:szCs w:val="22"/>
        </w:rPr>
        <w:fldChar w:fldCharType="separate"/>
      </w:r>
      <w:r w:rsidRPr="00BF57FF" w:rsidR="00BB527A">
        <w:rPr>
          <w:rFonts w:ascii="Arial" w:hAnsi="Arial" w:cs="Arial"/>
          <w:noProof/>
          <w:sz w:val="22"/>
          <w:szCs w:val="22"/>
        </w:rPr>
        <w:t>1</w:t>
      </w:r>
      <w:r w:rsidRPr="00BF57FF">
        <w:rPr>
          <w:rFonts w:ascii="Arial" w:hAnsi="Arial" w:cs="Arial"/>
          <w:sz w:val="22"/>
          <w:szCs w:val="22"/>
        </w:rPr>
        <w:fldChar w:fldCharType="end"/>
      </w:r>
      <w:r w:rsidRPr="00BF57FF">
        <w:rPr>
          <w:rFonts w:ascii="Arial" w:hAnsi="Arial" w:cs="Arial"/>
          <w:sz w:val="22"/>
          <w:szCs w:val="22"/>
        </w:rPr>
        <w:t xml:space="preserve"> </w:t>
      </w:r>
      <w:r w:rsidRPr="00BF57FF">
        <w:rPr>
          <w:rFonts w:ascii="Arial" w:hAnsi="Arial" w:cs="Arial"/>
          <w:color w:val="auto"/>
          <w:sz w:val="22"/>
          <w:szCs w:val="22"/>
        </w:rPr>
        <w:t>Characteristics of Included Studies</w:t>
      </w:r>
      <w:bookmarkEnd w:id="75"/>
      <w:bookmarkEnd w:id="76"/>
    </w:p>
    <w:tbl>
      <w:tblPr>
        <w:tblW w:w="903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425"/>
        <w:gridCol w:w="1843"/>
        <w:gridCol w:w="1634"/>
        <w:gridCol w:w="1697"/>
        <w:gridCol w:w="2275"/>
        <w:gridCol w:w="1158"/>
      </w:tblGrid>
      <w:tr w:rsidRPr="00BF57FF" w:rsidR="0047448E" w:rsidTr="0047448E" w14:paraId="57C98511" w14:textId="77777777">
        <w:trPr>
          <w:tblHeader/>
        </w:trPr>
        <w:tc>
          <w:tcPr>
            <w:tcW w:w="360" w:type="dxa"/>
            <w:tcBorders>
              <w:top w:val="single" w:color="1A3C5E" w:sz="3" w:space="0"/>
              <w:left w:val="single" w:color="1A3C5E" w:sz="3" w:space="0"/>
              <w:bottom w:val="single" w:color="1A3C5E" w:sz="3" w:space="0"/>
              <w:right w:val="single" w:color="1A3C5E" w:sz="3" w:space="0"/>
            </w:tcBorders>
            <w:shd w:val="clear" w:color="auto" w:fill="1A3C5E"/>
            <w:tcMar>
              <w:top w:w="80" w:type="dxa"/>
              <w:left w:w="90" w:type="dxa"/>
              <w:bottom w:w="80" w:type="dxa"/>
              <w:right w:w="90" w:type="dxa"/>
            </w:tcMar>
            <w:vAlign w:val="center"/>
          </w:tcPr>
          <w:p w:rsidRPr="00BF57FF" w:rsidR="0047448E" w:rsidP="00A70BBB" w:rsidRDefault="0047448E" w14:paraId="503591DA"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w:t>
            </w:r>
          </w:p>
        </w:tc>
        <w:tc>
          <w:tcPr>
            <w:tcW w:w="1712" w:type="dxa"/>
            <w:tcBorders>
              <w:top w:val="single" w:color="1A3C5E" w:sz="3" w:space="0"/>
              <w:left w:val="single" w:color="1A3C5E" w:sz="3" w:space="0"/>
              <w:bottom w:val="single" w:color="1A3C5E" w:sz="3" w:space="0"/>
              <w:right w:val="single" w:color="1A3C5E" w:sz="3" w:space="0"/>
            </w:tcBorders>
            <w:shd w:val="clear" w:color="auto" w:fill="1A3C5E"/>
            <w:tcMar>
              <w:top w:w="80" w:type="dxa"/>
              <w:left w:w="90" w:type="dxa"/>
              <w:bottom w:w="80" w:type="dxa"/>
              <w:right w:w="90" w:type="dxa"/>
            </w:tcMar>
            <w:vAlign w:val="center"/>
          </w:tcPr>
          <w:p w:rsidRPr="00BF57FF" w:rsidR="0047448E" w:rsidP="00A70BBB" w:rsidRDefault="0047448E" w14:paraId="322942E5"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Author &amp; Year</w:t>
            </w:r>
          </w:p>
        </w:tc>
        <w:tc>
          <w:tcPr>
            <w:tcW w:w="1691" w:type="dxa"/>
            <w:tcBorders>
              <w:top w:val="single" w:color="1A3C5E" w:sz="3" w:space="0"/>
              <w:left w:val="single" w:color="1A3C5E" w:sz="3" w:space="0"/>
              <w:bottom w:val="single" w:color="1A3C5E" w:sz="3" w:space="0"/>
              <w:right w:val="single" w:color="1A3C5E" w:sz="3" w:space="0"/>
            </w:tcBorders>
            <w:shd w:val="clear" w:color="auto" w:fill="1A3C5E"/>
            <w:tcMar>
              <w:top w:w="80" w:type="dxa"/>
              <w:left w:w="90" w:type="dxa"/>
              <w:bottom w:w="80" w:type="dxa"/>
              <w:right w:w="90" w:type="dxa"/>
            </w:tcMar>
            <w:vAlign w:val="center"/>
          </w:tcPr>
          <w:p w:rsidRPr="00BF57FF" w:rsidR="0047448E" w:rsidP="00A70BBB" w:rsidRDefault="0047448E" w14:paraId="73F817D7"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Study Design &amp; Setting</w:t>
            </w:r>
          </w:p>
        </w:tc>
        <w:tc>
          <w:tcPr>
            <w:tcW w:w="1578" w:type="dxa"/>
            <w:tcBorders>
              <w:top w:val="single" w:color="1A3C5E" w:sz="3" w:space="0"/>
              <w:left w:val="single" w:color="1A3C5E" w:sz="3" w:space="0"/>
              <w:bottom w:val="single" w:color="1A3C5E" w:sz="3" w:space="0"/>
              <w:right w:val="single" w:color="1A3C5E" w:sz="3" w:space="0"/>
            </w:tcBorders>
            <w:shd w:val="clear" w:color="auto" w:fill="1A3C5E"/>
            <w:tcMar>
              <w:top w:w="80" w:type="dxa"/>
              <w:left w:w="90" w:type="dxa"/>
              <w:bottom w:w="80" w:type="dxa"/>
              <w:right w:w="90" w:type="dxa"/>
            </w:tcMar>
            <w:vAlign w:val="center"/>
          </w:tcPr>
          <w:p w:rsidRPr="00BF57FF" w:rsidR="0047448E" w:rsidP="00A70BBB" w:rsidRDefault="0047448E" w14:paraId="0FB78C58"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Sample / Data Source</w:t>
            </w:r>
          </w:p>
        </w:tc>
        <w:tc>
          <w:tcPr>
            <w:tcW w:w="2670" w:type="dxa"/>
            <w:tcBorders>
              <w:top w:val="single" w:color="1A3C5E" w:sz="3" w:space="0"/>
              <w:left w:val="single" w:color="1A3C5E" w:sz="3" w:space="0"/>
              <w:bottom w:val="single" w:color="1A3C5E" w:sz="3" w:space="0"/>
              <w:right w:val="single" w:color="1A3C5E" w:sz="3" w:space="0"/>
            </w:tcBorders>
            <w:shd w:val="clear" w:color="auto" w:fill="1A3C5E"/>
            <w:tcMar>
              <w:top w:w="80" w:type="dxa"/>
              <w:left w:w="90" w:type="dxa"/>
              <w:bottom w:w="80" w:type="dxa"/>
              <w:right w:w="90" w:type="dxa"/>
            </w:tcMar>
            <w:vAlign w:val="center"/>
          </w:tcPr>
          <w:p w:rsidRPr="00BF57FF" w:rsidR="0047448E" w:rsidP="00A70BBB" w:rsidRDefault="0047448E" w14:paraId="0F8FBB8D"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Key Findings Related to Review Themes</w:t>
            </w:r>
          </w:p>
        </w:tc>
        <w:tc>
          <w:tcPr>
            <w:tcW w:w="1021" w:type="dxa"/>
            <w:tcBorders>
              <w:top w:val="single" w:color="1A3C5E" w:sz="3" w:space="0"/>
              <w:left w:val="single" w:color="1A3C5E" w:sz="3" w:space="0"/>
              <w:bottom w:val="single" w:color="1A3C5E" w:sz="3" w:space="0"/>
              <w:right w:val="single" w:color="1A3C5E" w:sz="3" w:space="0"/>
            </w:tcBorders>
            <w:shd w:val="clear" w:color="auto" w:fill="1A3C5E"/>
            <w:tcMar>
              <w:top w:w="80" w:type="dxa"/>
              <w:left w:w="90" w:type="dxa"/>
              <w:bottom w:w="80" w:type="dxa"/>
              <w:right w:w="90" w:type="dxa"/>
            </w:tcMar>
            <w:vAlign w:val="center"/>
          </w:tcPr>
          <w:p w:rsidRPr="00BF57FF" w:rsidR="0047448E" w:rsidP="00A70BBB" w:rsidRDefault="0047448E" w14:paraId="181AD0D0"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Theme(s)</w:t>
            </w:r>
          </w:p>
        </w:tc>
      </w:tr>
      <w:tr w:rsidRPr="00BF57FF" w:rsidR="0047448E" w:rsidTr="0047448E" w14:paraId="634DE112" w14:textId="77777777">
        <w:tc>
          <w:tcPr>
            <w:tcW w:w="360" w:type="dxa"/>
            <w:tcBorders>
              <w:top w:val="single" w:color="9EC5E0" w:sz="3" w:space="0"/>
              <w:left w:val="single" w:color="9EC5E0" w:sz="3" w:space="0"/>
              <w:bottom w:val="single" w:color="9EC5E0" w:sz="3" w:space="0"/>
              <w:right w:val="single" w:color="9EC5E0" w:sz="3" w:space="0"/>
            </w:tcBorders>
            <w:shd w:val="clear" w:color="auto" w:fill="FFFFFF"/>
            <w:tcMar>
              <w:top w:w="70" w:type="dxa"/>
              <w:left w:w="90" w:type="dxa"/>
              <w:bottom w:w="70" w:type="dxa"/>
              <w:right w:w="90" w:type="dxa"/>
            </w:tcMar>
            <w:vAlign w:val="center"/>
          </w:tcPr>
          <w:p w:rsidRPr="00BF57FF" w:rsidR="0047448E" w:rsidP="00A70BBB" w:rsidRDefault="0047448E" w14:paraId="6902BE48"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1</w:t>
            </w:r>
          </w:p>
        </w:tc>
        <w:tc>
          <w:tcPr>
            <w:tcW w:w="1712" w:type="dxa"/>
            <w:tcBorders>
              <w:top w:val="single" w:color="9EC5E0" w:sz="3" w:space="0"/>
              <w:left w:val="single" w:color="9EC5E0" w:sz="3" w:space="0"/>
              <w:bottom w:val="single" w:color="9EC5E0" w:sz="3" w:space="0"/>
              <w:right w:val="single" w:color="9EC5E0" w:sz="3" w:space="0"/>
            </w:tcBorders>
            <w:shd w:val="clear" w:color="auto" w:fill="FFFFFF"/>
            <w:tcMar>
              <w:top w:w="70" w:type="dxa"/>
              <w:left w:w="90" w:type="dxa"/>
              <w:bottom w:w="70" w:type="dxa"/>
              <w:right w:w="90" w:type="dxa"/>
            </w:tcMar>
            <w:vAlign w:val="center"/>
          </w:tcPr>
          <w:p w:rsidRPr="00BF57FF" w:rsidR="0047448E" w:rsidP="00A70BBB" w:rsidRDefault="0047448E" w14:paraId="294AB995"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Debnath et al.</w:t>
            </w:r>
          </w:p>
          <w:p w:rsidRPr="00BF57FF" w:rsidR="0047448E" w:rsidP="00A70BBB" w:rsidRDefault="0047448E" w14:paraId="32BE5269"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(2025)</w:t>
            </w:r>
          </w:p>
        </w:tc>
        <w:tc>
          <w:tcPr>
            <w:tcW w:w="1691" w:type="dxa"/>
            <w:tcBorders>
              <w:top w:val="single" w:color="9EC5E0" w:sz="3" w:space="0"/>
              <w:left w:val="single" w:color="9EC5E0" w:sz="3" w:space="0"/>
              <w:bottom w:val="single" w:color="9EC5E0" w:sz="3" w:space="0"/>
              <w:right w:val="single" w:color="9EC5E0" w:sz="3" w:space="0"/>
            </w:tcBorders>
            <w:shd w:val="clear" w:color="auto" w:fill="FFFFFF"/>
            <w:tcMar>
              <w:top w:w="70" w:type="dxa"/>
              <w:left w:w="90" w:type="dxa"/>
              <w:bottom w:w="70" w:type="dxa"/>
              <w:right w:w="90" w:type="dxa"/>
            </w:tcMar>
            <w:vAlign w:val="center"/>
          </w:tcPr>
          <w:p w:rsidRPr="00BF57FF" w:rsidR="0047448E" w:rsidP="00A70BBB" w:rsidRDefault="0047448E" w14:paraId="4A6C5259"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Systematic Review &amp;</w:t>
            </w:r>
          </w:p>
          <w:p w:rsidRPr="00BF57FF" w:rsidR="0047448E" w:rsidP="00A70BBB" w:rsidRDefault="0047448E" w14:paraId="389FEFC2"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Meta-analysis</w:t>
            </w:r>
          </w:p>
          <w:p w:rsidRPr="00BF57FF" w:rsidR="0047448E" w:rsidP="00A70BBB" w:rsidRDefault="0047448E" w14:paraId="6ABDADA1"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India (national)</w:t>
            </w:r>
          </w:p>
        </w:tc>
        <w:tc>
          <w:tcPr>
            <w:tcW w:w="1578" w:type="dxa"/>
            <w:tcBorders>
              <w:top w:val="single" w:color="9EC5E0" w:sz="3" w:space="0"/>
              <w:left w:val="single" w:color="9EC5E0" w:sz="3" w:space="0"/>
              <w:bottom w:val="single" w:color="9EC5E0" w:sz="3" w:space="0"/>
              <w:right w:val="single" w:color="9EC5E0" w:sz="3" w:space="0"/>
            </w:tcBorders>
            <w:shd w:val="clear" w:color="auto" w:fill="FFFFFF"/>
            <w:tcMar>
              <w:top w:w="70" w:type="dxa"/>
              <w:left w:w="90" w:type="dxa"/>
              <w:bottom w:w="70" w:type="dxa"/>
              <w:right w:w="90" w:type="dxa"/>
            </w:tcMar>
            <w:vAlign w:val="center"/>
          </w:tcPr>
          <w:p w:rsidRPr="00BF57FF" w:rsidR="0047448E" w:rsidP="00A70BBB" w:rsidRDefault="0047448E" w14:paraId="09BAF69F"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14 primary studies;</w:t>
            </w:r>
          </w:p>
          <w:p w:rsidRPr="00BF57FF" w:rsidR="0047448E" w:rsidP="00A70BBB" w:rsidRDefault="0047448E" w14:paraId="6493F246"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3,847 participants</w:t>
            </w:r>
          </w:p>
        </w:tc>
        <w:tc>
          <w:tcPr>
            <w:tcW w:w="2670" w:type="dxa"/>
            <w:tcBorders>
              <w:top w:val="single" w:color="9EC5E0" w:sz="3" w:space="0"/>
              <w:left w:val="single" w:color="9EC5E0" w:sz="3" w:space="0"/>
              <w:bottom w:val="single" w:color="9EC5E0" w:sz="3" w:space="0"/>
              <w:right w:val="single" w:color="9EC5E0" w:sz="3" w:space="0"/>
            </w:tcBorders>
            <w:shd w:val="clear" w:color="auto" w:fill="FFFFFF"/>
            <w:tcMar>
              <w:top w:w="70" w:type="dxa"/>
              <w:left w:w="90" w:type="dxa"/>
              <w:bottom w:w="70" w:type="dxa"/>
              <w:right w:w="90" w:type="dxa"/>
            </w:tcMar>
            <w:vAlign w:val="center"/>
          </w:tcPr>
          <w:p w:rsidRPr="00BF57FF" w:rsidR="0047448E" w:rsidP="00A70BBB" w:rsidRDefault="0047448E" w14:paraId="1AC25055" w14:textId="77E16DDA">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Pooled PEP completion rate 57% (95% CI). Non-completion </w:t>
            </w:r>
            <w:r w:rsidRPr="00BF57FF" w:rsidR="00496577">
              <w:rPr>
                <w:rFonts w:ascii="Arial" w:hAnsi="Arial" w:cs="Arial"/>
                <w:sz w:val="22"/>
                <w:szCs w:val="22"/>
                <w:lang w:val="en-GB"/>
              </w:rPr>
              <w:t xml:space="preserve">is </w:t>
            </w:r>
            <w:r w:rsidRPr="00BF57FF">
              <w:rPr>
                <w:rFonts w:ascii="Arial" w:hAnsi="Arial" w:cs="Arial"/>
                <w:sz w:val="22"/>
                <w:szCs w:val="22"/>
                <w:lang w:val="en-GB"/>
              </w:rPr>
              <w:t>linked to rural residence, treatment cost, and knowledge gaps. Compliance lowest in rural/low-income populations.</w:t>
            </w:r>
          </w:p>
        </w:tc>
        <w:tc>
          <w:tcPr>
            <w:tcW w:w="1021" w:type="dxa"/>
            <w:tcBorders>
              <w:top w:val="single" w:color="9EC5E0" w:sz="3" w:space="0"/>
              <w:left w:val="single" w:color="9EC5E0" w:sz="3" w:space="0"/>
              <w:bottom w:val="single" w:color="9EC5E0" w:sz="3" w:space="0"/>
              <w:right w:val="single" w:color="9EC5E0" w:sz="3" w:space="0"/>
            </w:tcBorders>
            <w:shd w:val="clear" w:color="auto" w:fill="FFFFFF"/>
            <w:tcMar>
              <w:top w:w="70" w:type="dxa"/>
              <w:left w:w="90" w:type="dxa"/>
              <w:bottom w:w="70" w:type="dxa"/>
              <w:right w:w="90" w:type="dxa"/>
            </w:tcMar>
            <w:vAlign w:val="center"/>
          </w:tcPr>
          <w:p w:rsidRPr="00BF57FF" w:rsidR="0047448E" w:rsidP="00A70BBB" w:rsidRDefault="0047448E" w14:paraId="2B908BBF"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Theme 3</w:t>
            </w:r>
          </w:p>
        </w:tc>
      </w:tr>
      <w:tr w:rsidRPr="00BF57FF" w:rsidR="0047448E" w:rsidTr="0047448E" w14:paraId="21B2B9BB" w14:textId="77777777">
        <w:tc>
          <w:tcPr>
            <w:tcW w:w="360" w:type="dxa"/>
            <w:tcBorders>
              <w:top w:val="single" w:color="9EC5E0" w:sz="3" w:space="0"/>
              <w:left w:val="single" w:color="9EC5E0" w:sz="3" w:space="0"/>
              <w:bottom w:val="single" w:color="9EC5E0" w:sz="3" w:space="0"/>
              <w:right w:val="single" w:color="9EC5E0" w:sz="3" w:space="0"/>
            </w:tcBorders>
            <w:shd w:val="clear" w:color="auto" w:fill="EAF3FB"/>
            <w:tcMar>
              <w:top w:w="70" w:type="dxa"/>
              <w:left w:w="90" w:type="dxa"/>
              <w:bottom w:w="70" w:type="dxa"/>
              <w:right w:w="90" w:type="dxa"/>
            </w:tcMar>
            <w:vAlign w:val="center"/>
          </w:tcPr>
          <w:p w:rsidRPr="00BF57FF" w:rsidR="0047448E" w:rsidP="00A70BBB" w:rsidRDefault="0047448E" w14:paraId="3DC062B4"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2</w:t>
            </w:r>
          </w:p>
        </w:tc>
        <w:tc>
          <w:tcPr>
            <w:tcW w:w="1712" w:type="dxa"/>
            <w:tcBorders>
              <w:top w:val="single" w:color="9EC5E0" w:sz="3" w:space="0"/>
              <w:left w:val="single" w:color="9EC5E0" w:sz="3" w:space="0"/>
              <w:bottom w:val="single" w:color="9EC5E0" w:sz="3" w:space="0"/>
              <w:right w:val="single" w:color="9EC5E0" w:sz="3" w:space="0"/>
            </w:tcBorders>
            <w:shd w:val="clear" w:color="auto" w:fill="EAF3FB"/>
            <w:tcMar>
              <w:top w:w="70" w:type="dxa"/>
              <w:left w:w="90" w:type="dxa"/>
              <w:bottom w:w="70" w:type="dxa"/>
              <w:right w:w="90" w:type="dxa"/>
            </w:tcMar>
            <w:vAlign w:val="center"/>
          </w:tcPr>
          <w:p w:rsidRPr="00BF57FF" w:rsidR="0047448E" w:rsidP="00A70BBB" w:rsidRDefault="0047448E" w14:paraId="18977433"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Gibson et al.</w:t>
            </w:r>
          </w:p>
          <w:p w:rsidRPr="00BF57FF" w:rsidR="0047448E" w:rsidP="00A70BBB" w:rsidRDefault="0047448E" w14:paraId="05519615"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(2022)</w:t>
            </w:r>
          </w:p>
        </w:tc>
        <w:tc>
          <w:tcPr>
            <w:tcW w:w="1691" w:type="dxa"/>
            <w:tcBorders>
              <w:top w:val="single" w:color="9EC5E0" w:sz="3" w:space="0"/>
              <w:left w:val="single" w:color="9EC5E0" w:sz="3" w:space="0"/>
              <w:bottom w:val="single" w:color="9EC5E0" w:sz="3" w:space="0"/>
              <w:right w:val="single" w:color="9EC5E0" w:sz="3" w:space="0"/>
            </w:tcBorders>
            <w:shd w:val="clear" w:color="auto" w:fill="EAF3FB"/>
            <w:tcMar>
              <w:top w:w="70" w:type="dxa"/>
              <w:left w:w="90" w:type="dxa"/>
              <w:bottom w:w="70" w:type="dxa"/>
              <w:right w:w="90" w:type="dxa"/>
            </w:tcMar>
            <w:vAlign w:val="center"/>
          </w:tcPr>
          <w:p w:rsidRPr="00BF57FF" w:rsidR="0047448E" w:rsidP="00A70BBB" w:rsidRDefault="0047448E" w14:paraId="25F75708"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Longitudinal One Health</w:t>
            </w:r>
          </w:p>
          <w:p w:rsidRPr="00BF57FF" w:rsidR="0047448E" w:rsidP="00A70BBB" w:rsidRDefault="0047448E" w14:paraId="1CD2989D"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Intervention Evaluation</w:t>
            </w:r>
          </w:p>
          <w:p w:rsidRPr="00BF57FF" w:rsidR="0047448E" w:rsidP="00A70BBB" w:rsidRDefault="0047448E" w14:paraId="5635762E"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Goa, India (state-wide)</w:t>
            </w:r>
          </w:p>
        </w:tc>
        <w:tc>
          <w:tcPr>
            <w:tcW w:w="1578" w:type="dxa"/>
            <w:tcBorders>
              <w:top w:val="single" w:color="9EC5E0" w:sz="3" w:space="0"/>
              <w:left w:val="single" w:color="9EC5E0" w:sz="3" w:space="0"/>
              <w:bottom w:val="single" w:color="9EC5E0" w:sz="3" w:space="0"/>
              <w:right w:val="single" w:color="9EC5E0" w:sz="3" w:space="0"/>
            </w:tcBorders>
            <w:shd w:val="clear" w:color="auto" w:fill="EAF3FB"/>
            <w:tcMar>
              <w:top w:w="70" w:type="dxa"/>
              <w:left w:w="90" w:type="dxa"/>
              <w:bottom w:w="70" w:type="dxa"/>
              <w:right w:w="90" w:type="dxa"/>
            </w:tcMar>
            <w:vAlign w:val="center"/>
          </w:tcPr>
          <w:p w:rsidRPr="00BF57FF" w:rsidR="0047448E" w:rsidP="00A70BBB" w:rsidRDefault="0047448E" w14:paraId="5C03B6EC"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Dog vaccination records + human rabies surveillance, 2009–2020</w:t>
            </w:r>
          </w:p>
        </w:tc>
        <w:tc>
          <w:tcPr>
            <w:tcW w:w="2670" w:type="dxa"/>
            <w:tcBorders>
              <w:top w:val="single" w:color="9EC5E0" w:sz="3" w:space="0"/>
              <w:left w:val="single" w:color="9EC5E0" w:sz="3" w:space="0"/>
              <w:bottom w:val="single" w:color="9EC5E0" w:sz="3" w:space="0"/>
              <w:right w:val="single" w:color="9EC5E0" w:sz="3" w:space="0"/>
            </w:tcBorders>
            <w:shd w:val="clear" w:color="auto" w:fill="EAF3FB"/>
            <w:tcMar>
              <w:top w:w="70" w:type="dxa"/>
              <w:left w:w="90" w:type="dxa"/>
              <w:bottom w:w="70" w:type="dxa"/>
              <w:right w:w="90" w:type="dxa"/>
            </w:tcMar>
            <w:vAlign w:val="center"/>
          </w:tcPr>
          <w:p w:rsidRPr="00BF57FF" w:rsidR="0047448E" w:rsidP="00A70BBB" w:rsidRDefault="0047448E" w14:paraId="158D7160"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Human rabies eliminated by 2017; sustained 7+ years. 92% reduction in canine rabies. 95,000+ dogs vaccinated annually; </w:t>
            </w:r>
            <w:r w:rsidRPr="00BF57FF">
              <w:rPr>
                <w:rFonts w:ascii="Arial" w:hAnsi="Arial" w:cs="Arial"/>
                <w:sz w:val="22"/>
                <w:szCs w:val="22"/>
                <w:lang w:val="en-GB"/>
              </w:rPr>
              <w:t>150,000 children educated per year.</w:t>
            </w:r>
          </w:p>
        </w:tc>
        <w:tc>
          <w:tcPr>
            <w:tcW w:w="1021" w:type="dxa"/>
            <w:tcBorders>
              <w:top w:val="single" w:color="9EC5E0" w:sz="3" w:space="0"/>
              <w:left w:val="single" w:color="9EC5E0" w:sz="3" w:space="0"/>
              <w:bottom w:val="single" w:color="9EC5E0" w:sz="3" w:space="0"/>
              <w:right w:val="single" w:color="9EC5E0" w:sz="3" w:space="0"/>
            </w:tcBorders>
            <w:shd w:val="clear" w:color="auto" w:fill="EAF3FB"/>
            <w:tcMar>
              <w:top w:w="70" w:type="dxa"/>
              <w:left w:w="90" w:type="dxa"/>
              <w:bottom w:w="70" w:type="dxa"/>
              <w:right w:w="90" w:type="dxa"/>
            </w:tcMar>
            <w:vAlign w:val="center"/>
          </w:tcPr>
          <w:p w:rsidRPr="00BF57FF" w:rsidR="0047448E" w:rsidP="00A70BBB" w:rsidRDefault="0047448E" w14:paraId="6E432A17"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Theme 3</w:t>
            </w:r>
          </w:p>
        </w:tc>
      </w:tr>
      <w:tr w:rsidRPr="00BF57FF" w:rsidR="0047448E" w:rsidTr="0047448E" w14:paraId="4EA270D5" w14:textId="77777777">
        <w:tc>
          <w:tcPr>
            <w:tcW w:w="360" w:type="dxa"/>
            <w:tcBorders>
              <w:top w:val="single" w:color="9EC5E0" w:sz="3" w:space="0"/>
              <w:left w:val="single" w:color="9EC5E0" w:sz="3" w:space="0"/>
              <w:bottom w:val="single" w:color="9EC5E0" w:sz="3" w:space="0"/>
              <w:right w:val="single" w:color="9EC5E0" w:sz="3" w:space="0"/>
            </w:tcBorders>
            <w:shd w:val="clear" w:color="auto" w:fill="FFFFFF"/>
            <w:tcMar>
              <w:top w:w="70" w:type="dxa"/>
              <w:left w:w="90" w:type="dxa"/>
              <w:bottom w:w="70" w:type="dxa"/>
              <w:right w:w="90" w:type="dxa"/>
            </w:tcMar>
            <w:vAlign w:val="center"/>
          </w:tcPr>
          <w:p w:rsidRPr="00BF57FF" w:rsidR="0047448E" w:rsidP="00A70BBB" w:rsidRDefault="0047448E" w14:paraId="608BFAB2"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3</w:t>
            </w:r>
          </w:p>
        </w:tc>
        <w:tc>
          <w:tcPr>
            <w:tcW w:w="1712" w:type="dxa"/>
            <w:tcBorders>
              <w:top w:val="single" w:color="9EC5E0" w:sz="3" w:space="0"/>
              <w:left w:val="single" w:color="9EC5E0" w:sz="3" w:space="0"/>
              <w:bottom w:val="single" w:color="9EC5E0" w:sz="3" w:space="0"/>
              <w:right w:val="single" w:color="9EC5E0" w:sz="3" w:space="0"/>
            </w:tcBorders>
            <w:shd w:val="clear" w:color="auto" w:fill="FFFFFF"/>
            <w:tcMar>
              <w:top w:w="70" w:type="dxa"/>
              <w:left w:w="90" w:type="dxa"/>
              <w:bottom w:w="70" w:type="dxa"/>
              <w:right w:w="90" w:type="dxa"/>
            </w:tcMar>
            <w:vAlign w:val="center"/>
          </w:tcPr>
          <w:p w:rsidRPr="00BF57FF" w:rsidR="0047448E" w:rsidP="00A70BBB" w:rsidRDefault="0047448E" w14:paraId="751D6E9B"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Radhakrishnan</w:t>
            </w:r>
          </w:p>
          <w:p w:rsidRPr="00BF57FF" w:rsidR="0047448E" w:rsidP="00A70BBB" w:rsidRDefault="0047448E" w14:paraId="05291863"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et al. (2020)</w:t>
            </w:r>
          </w:p>
        </w:tc>
        <w:tc>
          <w:tcPr>
            <w:tcW w:w="1691" w:type="dxa"/>
            <w:tcBorders>
              <w:top w:val="single" w:color="9EC5E0" w:sz="3" w:space="0"/>
              <w:left w:val="single" w:color="9EC5E0" w:sz="3" w:space="0"/>
              <w:bottom w:val="single" w:color="9EC5E0" w:sz="3" w:space="0"/>
              <w:right w:val="single" w:color="9EC5E0" w:sz="3" w:space="0"/>
            </w:tcBorders>
            <w:shd w:val="clear" w:color="auto" w:fill="FFFFFF"/>
            <w:tcMar>
              <w:top w:w="70" w:type="dxa"/>
              <w:left w:w="90" w:type="dxa"/>
              <w:bottom w:w="70" w:type="dxa"/>
              <w:right w:w="90" w:type="dxa"/>
            </w:tcMar>
            <w:vAlign w:val="center"/>
          </w:tcPr>
          <w:p w:rsidRPr="00BF57FF" w:rsidR="0047448E" w:rsidP="00A70BBB" w:rsidRDefault="0047448E" w14:paraId="14994CFC"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Narrative Historical</w:t>
            </w:r>
          </w:p>
          <w:p w:rsidRPr="00BF57FF" w:rsidR="0047448E" w:rsidP="00A70BBB" w:rsidRDefault="0047448E" w14:paraId="582B09CE"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Review</w:t>
            </w:r>
          </w:p>
          <w:p w:rsidRPr="00BF57FF" w:rsidR="0047448E" w:rsidP="00A70BBB" w:rsidRDefault="0047448E" w14:paraId="06240EC3"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India (national);</w:t>
            </w:r>
          </w:p>
          <w:p w:rsidRPr="00BF57FF" w:rsidR="0047448E" w:rsidP="00A70BBB" w:rsidRDefault="0047448E" w14:paraId="30570A09"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1900–2019</w:t>
            </w:r>
          </w:p>
        </w:tc>
        <w:tc>
          <w:tcPr>
            <w:tcW w:w="1578" w:type="dxa"/>
            <w:tcBorders>
              <w:top w:val="single" w:color="9EC5E0" w:sz="3" w:space="0"/>
              <w:left w:val="single" w:color="9EC5E0" w:sz="3" w:space="0"/>
              <w:bottom w:val="single" w:color="9EC5E0" w:sz="3" w:space="0"/>
              <w:right w:val="single" w:color="9EC5E0" w:sz="3" w:space="0"/>
            </w:tcBorders>
            <w:shd w:val="clear" w:color="auto" w:fill="FFFFFF"/>
            <w:tcMar>
              <w:top w:w="70" w:type="dxa"/>
              <w:left w:w="90" w:type="dxa"/>
              <w:bottom w:w="70" w:type="dxa"/>
              <w:right w:w="90" w:type="dxa"/>
            </w:tcMar>
            <w:vAlign w:val="center"/>
          </w:tcPr>
          <w:p w:rsidRPr="00BF57FF" w:rsidR="0047448E" w:rsidP="00A70BBB" w:rsidRDefault="0047448E" w14:paraId="1628C1C8"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Published literature, Govt of India records, historical policy documents</w:t>
            </w:r>
          </w:p>
        </w:tc>
        <w:tc>
          <w:tcPr>
            <w:tcW w:w="2670" w:type="dxa"/>
            <w:tcBorders>
              <w:top w:val="single" w:color="9EC5E0" w:sz="3" w:space="0"/>
              <w:left w:val="single" w:color="9EC5E0" w:sz="3" w:space="0"/>
              <w:bottom w:val="single" w:color="9EC5E0" w:sz="3" w:space="0"/>
              <w:right w:val="single" w:color="9EC5E0" w:sz="3" w:space="0"/>
            </w:tcBorders>
            <w:shd w:val="clear" w:color="auto" w:fill="FFFFFF"/>
            <w:tcMar>
              <w:top w:w="70" w:type="dxa"/>
              <w:left w:w="90" w:type="dxa"/>
              <w:bottom w:w="70" w:type="dxa"/>
              <w:right w:w="90" w:type="dxa"/>
            </w:tcMar>
            <w:vAlign w:val="center"/>
          </w:tcPr>
          <w:p w:rsidRPr="00BF57FF" w:rsidR="0047448E" w:rsidP="00A70BBB" w:rsidRDefault="0047448E" w14:paraId="349EC636"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Rabies non-notifiable in most states. Colonial Pasteur model reproduced urban-centralised treatment dependence. Post-independence deprioritisation entrenched surveillance gaps.</w:t>
            </w:r>
          </w:p>
        </w:tc>
        <w:tc>
          <w:tcPr>
            <w:tcW w:w="1021" w:type="dxa"/>
            <w:tcBorders>
              <w:top w:val="single" w:color="9EC5E0" w:sz="3" w:space="0"/>
              <w:left w:val="single" w:color="9EC5E0" w:sz="3" w:space="0"/>
              <w:bottom w:val="single" w:color="9EC5E0" w:sz="3" w:space="0"/>
              <w:right w:val="single" w:color="9EC5E0" w:sz="3" w:space="0"/>
            </w:tcBorders>
            <w:shd w:val="clear" w:color="auto" w:fill="FFFFFF"/>
            <w:tcMar>
              <w:top w:w="70" w:type="dxa"/>
              <w:left w:w="90" w:type="dxa"/>
              <w:bottom w:w="70" w:type="dxa"/>
              <w:right w:w="90" w:type="dxa"/>
            </w:tcMar>
            <w:vAlign w:val="center"/>
          </w:tcPr>
          <w:p w:rsidRPr="00BF57FF" w:rsidR="0047448E" w:rsidP="00A70BBB" w:rsidRDefault="0047448E" w14:paraId="4A26D411"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Theme 4</w:t>
            </w:r>
          </w:p>
        </w:tc>
      </w:tr>
      <w:tr w:rsidRPr="00BF57FF" w:rsidR="0047448E" w:rsidTr="0047448E" w14:paraId="0D622595" w14:textId="77777777">
        <w:tc>
          <w:tcPr>
            <w:tcW w:w="360" w:type="dxa"/>
            <w:tcBorders>
              <w:top w:val="single" w:color="9EC5E0" w:sz="3" w:space="0"/>
              <w:left w:val="single" w:color="9EC5E0" w:sz="3" w:space="0"/>
              <w:bottom w:val="single" w:color="9EC5E0" w:sz="3" w:space="0"/>
              <w:right w:val="single" w:color="9EC5E0" w:sz="3" w:space="0"/>
            </w:tcBorders>
            <w:shd w:val="clear" w:color="auto" w:fill="EAF3FB"/>
            <w:tcMar>
              <w:top w:w="70" w:type="dxa"/>
              <w:left w:w="90" w:type="dxa"/>
              <w:bottom w:w="70" w:type="dxa"/>
              <w:right w:w="90" w:type="dxa"/>
            </w:tcMar>
            <w:vAlign w:val="center"/>
          </w:tcPr>
          <w:p w:rsidRPr="00BF57FF" w:rsidR="0047448E" w:rsidP="00A70BBB" w:rsidRDefault="0047448E" w14:paraId="48CF815B"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4</w:t>
            </w:r>
          </w:p>
        </w:tc>
        <w:tc>
          <w:tcPr>
            <w:tcW w:w="1712" w:type="dxa"/>
            <w:tcBorders>
              <w:top w:val="single" w:color="9EC5E0" w:sz="3" w:space="0"/>
              <w:left w:val="single" w:color="9EC5E0" w:sz="3" w:space="0"/>
              <w:bottom w:val="single" w:color="9EC5E0" w:sz="3" w:space="0"/>
              <w:right w:val="single" w:color="9EC5E0" w:sz="3" w:space="0"/>
            </w:tcBorders>
            <w:shd w:val="clear" w:color="auto" w:fill="EAF3FB"/>
            <w:tcMar>
              <w:top w:w="70" w:type="dxa"/>
              <w:left w:w="90" w:type="dxa"/>
              <w:bottom w:w="70" w:type="dxa"/>
              <w:right w:w="90" w:type="dxa"/>
            </w:tcMar>
            <w:vAlign w:val="center"/>
          </w:tcPr>
          <w:p w:rsidRPr="00BF57FF" w:rsidR="0047448E" w:rsidP="00A70BBB" w:rsidRDefault="0047448E" w14:paraId="5BA26210"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Sahu et al.</w:t>
            </w:r>
          </w:p>
          <w:p w:rsidRPr="00BF57FF" w:rsidR="0047448E" w:rsidP="00A70BBB" w:rsidRDefault="0047448E" w14:paraId="7F98F020"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(2021)</w:t>
            </w:r>
          </w:p>
        </w:tc>
        <w:tc>
          <w:tcPr>
            <w:tcW w:w="1691" w:type="dxa"/>
            <w:tcBorders>
              <w:top w:val="single" w:color="9EC5E0" w:sz="3" w:space="0"/>
              <w:left w:val="single" w:color="9EC5E0" w:sz="3" w:space="0"/>
              <w:bottom w:val="single" w:color="9EC5E0" w:sz="3" w:space="0"/>
              <w:right w:val="single" w:color="9EC5E0" w:sz="3" w:space="0"/>
            </w:tcBorders>
            <w:shd w:val="clear" w:color="auto" w:fill="EAF3FB"/>
            <w:tcMar>
              <w:top w:w="70" w:type="dxa"/>
              <w:left w:w="90" w:type="dxa"/>
              <w:bottom w:w="70" w:type="dxa"/>
              <w:right w:w="90" w:type="dxa"/>
            </w:tcMar>
            <w:vAlign w:val="center"/>
          </w:tcPr>
          <w:p w:rsidRPr="00BF57FF" w:rsidR="0047448E" w:rsidP="00A70BBB" w:rsidRDefault="0047448E" w14:paraId="2941068B"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Cross-Sectional Survey</w:t>
            </w:r>
          </w:p>
          <w:p w:rsidRPr="00BF57FF" w:rsidR="0047448E" w:rsidP="00A70BBB" w:rsidRDefault="0047448E" w14:paraId="3EA4D358"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Rural Odisha</w:t>
            </w:r>
          </w:p>
          <w:p w:rsidRPr="00BF57FF" w:rsidR="0047448E" w:rsidP="00A70BBB" w:rsidRDefault="0047448E" w14:paraId="544CB06F"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(Sundargarh district)</w:t>
            </w:r>
          </w:p>
        </w:tc>
        <w:tc>
          <w:tcPr>
            <w:tcW w:w="1578" w:type="dxa"/>
            <w:tcBorders>
              <w:top w:val="single" w:color="9EC5E0" w:sz="3" w:space="0"/>
              <w:left w:val="single" w:color="9EC5E0" w:sz="3" w:space="0"/>
              <w:bottom w:val="single" w:color="9EC5E0" w:sz="3" w:space="0"/>
              <w:right w:val="single" w:color="9EC5E0" w:sz="3" w:space="0"/>
            </w:tcBorders>
            <w:shd w:val="clear" w:color="auto" w:fill="EAF3FB"/>
            <w:tcMar>
              <w:top w:w="70" w:type="dxa"/>
              <w:left w:w="90" w:type="dxa"/>
              <w:bottom w:w="70" w:type="dxa"/>
              <w:right w:w="90" w:type="dxa"/>
            </w:tcMar>
            <w:vAlign w:val="center"/>
          </w:tcPr>
          <w:p w:rsidRPr="00BF57FF" w:rsidR="0047448E" w:rsidP="00A70BBB" w:rsidRDefault="0047448E" w14:paraId="1D196785"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138 animal bite victims;</w:t>
            </w:r>
          </w:p>
          <w:p w:rsidRPr="00BF57FF" w:rsidR="0047448E" w:rsidP="00A70BBB" w:rsidRDefault="0047448E" w14:paraId="72A520F2"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71 CHWs (ASHAs/ANMs)</w:t>
            </w:r>
          </w:p>
        </w:tc>
        <w:tc>
          <w:tcPr>
            <w:tcW w:w="2670" w:type="dxa"/>
            <w:tcBorders>
              <w:top w:val="single" w:color="9EC5E0" w:sz="3" w:space="0"/>
              <w:left w:val="single" w:color="9EC5E0" w:sz="3" w:space="0"/>
              <w:bottom w:val="single" w:color="9EC5E0" w:sz="3" w:space="0"/>
              <w:right w:val="single" w:color="9EC5E0" w:sz="3" w:space="0"/>
            </w:tcBorders>
            <w:shd w:val="clear" w:color="auto" w:fill="EAF3FB"/>
            <w:tcMar>
              <w:top w:w="70" w:type="dxa"/>
              <w:left w:w="90" w:type="dxa"/>
              <w:bottom w:w="70" w:type="dxa"/>
              <w:right w:w="90" w:type="dxa"/>
            </w:tcMar>
            <w:vAlign w:val="center"/>
          </w:tcPr>
          <w:p w:rsidRPr="00BF57FF" w:rsidR="0047448E" w:rsidP="00A70BBB" w:rsidRDefault="0047448E" w14:paraId="43EDD6A1"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ARV compliance 47.9%; RIG compliance 49.4% (category III). CHWs unable to identify all WHO first-aid steps or distinguish category II from category III exposures.</w:t>
            </w:r>
          </w:p>
        </w:tc>
        <w:tc>
          <w:tcPr>
            <w:tcW w:w="1021" w:type="dxa"/>
            <w:tcBorders>
              <w:top w:val="single" w:color="9EC5E0" w:sz="3" w:space="0"/>
              <w:left w:val="single" w:color="9EC5E0" w:sz="3" w:space="0"/>
              <w:bottom w:val="single" w:color="9EC5E0" w:sz="3" w:space="0"/>
              <w:right w:val="single" w:color="9EC5E0" w:sz="3" w:space="0"/>
            </w:tcBorders>
            <w:shd w:val="clear" w:color="auto" w:fill="EAF3FB"/>
            <w:tcMar>
              <w:top w:w="70" w:type="dxa"/>
              <w:left w:w="90" w:type="dxa"/>
              <w:bottom w:w="70" w:type="dxa"/>
              <w:right w:w="90" w:type="dxa"/>
            </w:tcMar>
            <w:vAlign w:val="center"/>
          </w:tcPr>
          <w:p w:rsidRPr="00BF57FF" w:rsidR="0047448E" w:rsidP="00A70BBB" w:rsidRDefault="0047448E" w14:paraId="164FBBED"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Themes</w:t>
            </w:r>
          </w:p>
          <w:p w:rsidRPr="00BF57FF" w:rsidR="0047448E" w:rsidP="00A70BBB" w:rsidRDefault="0047448E" w14:paraId="0BE939FC"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1, 3</w:t>
            </w:r>
          </w:p>
        </w:tc>
      </w:tr>
      <w:tr w:rsidRPr="00BF57FF" w:rsidR="0047448E" w:rsidTr="0047448E" w14:paraId="13228F59" w14:textId="77777777">
        <w:tc>
          <w:tcPr>
            <w:tcW w:w="360" w:type="dxa"/>
            <w:tcBorders>
              <w:top w:val="single" w:color="9EC5E0" w:sz="3" w:space="0"/>
              <w:left w:val="single" w:color="9EC5E0" w:sz="3" w:space="0"/>
              <w:bottom w:val="single" w:color="9EC5E0" w:sz="3" w:space="0"/>
              <w:right w:val="single" w:color="9EC5E0" w:sz="3" w:space="0"/>
            </w:tcBorders>
            <w:shd w:val="clear" w:color="auto" w:fill="FFFFFF"/>
            <w:tcMar>
              <w:top w:w="70" w:type="dxa"/>
              <w:left w:w="90" w:type="dxa"/>
              <w:bottom w:w="70" w:type="dxa"/>
              <w:right w:w="90" w:type="dxa"/>
            </w:tcMar>
            <w:vAlign w:val="center"/>
          </w:tcPr>
          <w:p w:rsidRPr="00BF57FF" w:rsidR="0047448E" w:rsidP="00A70BBB" w:rsidRDefault="0047448E" w14:paraId="09487EFA"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5</w:t>
            </w:r>
          </w:p>
        </w:tc>
        <w:tc>
          <w:tcPr>
            <w:tcW w:w="1712" w:type="dxa"/>
            <w:tcBorders>
              <w:top w:val="single" w:color="9EC5E0" w:sz="3" w:space="0"/>
              <w:left w:val="single" w:color="9EC5E0" w:sz="3" w:space="0"/>
              <w:bottom w:val="single" w:color="9EC5E0" w:sz="3" w:space="0"/>
              <w:right w:val="single" w:color="9EC5E0" w:sz="3" w:space="0"/>
            </w:tcBorders>
            <w:shd w:val="clear" w:color="auto" w:fill="FFFFFF"/>
            <w:tcMar>
              <w:top w:w="70" w:type="dxa"/>
              <w:left w:w="90" w:type="dxa"/>
              <w:bottom w:w="70" w:type="dxa"/>
              <w:right w:w="90" w:type="dxa"/>
            </w:tcMar>
            <w:vAlign w:val="center"/>
          </w:tcPr>
          <w:p w:rsidRPr="00BF57FF" w:rsidR="0047448E" w:rsidP="00A70BBB" w:rsidRDefault="0047448E" w14:paraId="3D3BF8FD"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Thangaraj et al.</w:t>
            </w:r>
          </w:p>
          <w:p w:rsidRPr="00BF57FF" w:rsidR="0047448E" w:rsidP="00A70BBB" w:rsidRDefault="0047448E" w14:paraId="40CBD648"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(2025)</w:t>
            </w:r>
          </w:p>
        </w:tc>
        <w:tc>
          <w:tcPr>
            <w:tcW w:w="1691" w:type="dxa"/>
            <w:tcBorders>
              <w:top w:val="single" w:color="9EC5E0" w:sz="3" w:space="0"/>
              <w:left w:val="single" w:color="9EC5E0" w:sz="3" w:space="0"/>
              <w:bottom w:val="single" w:color="9EC5E0" w:sz="3" w:space="0"/>
              <w:right w:val="single" w:color="9EC5E0" w:sz="3" w:space="0"/>
            </w:tcBorders>
            <w:shd w:val="clear" w:color="auto" w:fill="FFFFFF"/>
            <w:tcMar>
              <w:top w:w="70" w:type="dxa"/>
              <w:left w:w="90" w:type="dxa"/>
              <w:bottom w:w="70" w:type="dxa"/>
              <w:right w:w="90" w:type="dxa"/>
            </w:tcMar>
            <w:vAlign w:val="center"/>
          </w:tcPr>
          <w:p w:rsidRPr="00BF57FF" w:rsidR="0047448E" w:rsidP="00A70BBB" w:rsidRDefault="0047448E" w14:paraId="66E84FDC"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Community Survey +</w:t>
            </w:r>
          </w:p>
          <w:p w:rsidRPr="00BF57FF" w:rsidR="0047448E" w:rsidP="00A70BBB" w:rsidRDefault="0047448E" w14:paraId="794CA49A"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Decision-Tree Modelling</w:t>
            </w:r>
          </w:p>
          <w:p w:rsidRPr="00BF57FF" w:rsidR="0047448E" w:rsidP="00A70BBB" w:rsidRDefault="0047448E" w14:paraId="0C53A78D"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India (60 districts,</w:t>
            </w:r>
          </w:p>
          <w:p w:rsidRPr="00BF57FF" w:rsidR="0047448E" w:rsidP="00A70BBB" w:rsidRDefault="0047448E" w14:paraId="004F8C97"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15 states)</w:t>
            </w:r>
          </w:p>
        </w:tc>
        <w:tc>
          <w:tcPr>
            <w:tcW w:w="1578" w:type="dxa"/>
            <w:tcBorders>
              <w:top w:val="single" w:color="9EC5E0" w:sz="3" w:space="0"/>
              <w:left w:val="single" w:color="9EC5E0" w:sz="3" w:space="0"/>
              <w:bottom w:val="single" w:color="9EC5E0" w:sz="3" w:space="0"/>
              <w:right w:val="single" w:color="9EC5E0" w:sz="3" w:space="0"/>
            </w:tcBorders>
            <w:shd w:val="clear" w:color="auto" w:fill="FFFFFF"/>
            <w:tcMar>
              <w:top w:w="70" w:type="dxa"/>
              <w:left w:w="90" w:type="dxa"/>
              <w:bottom w:w="70" w:type="dxa"/>
              <w:right w:w="90" w:type="dxa"/>
            </w:tcMar>
            <w:vAlign w:val="center"/>
          </w:tcPr>
          <w:p w:rsidRPr="00BF57FF" w:rsidR="0047448E" w:rsidP="00A70BBB" w:rsidRDefault="0047448E" w14:paraId="06D13175" w14:textId="7F2A119C">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1,238 rabies death narratives; 9.1 million annual </w:t>
            </w:r>
            <w:r w:rsidRPr="00BF57FF" w:rsidR="007E2182">
              <w:rPr>
                <w:rFonts w:ascii="Arial" w:hAnsi="Arial" w:cs="Arial"/>
                <w:sz w:val="22"/>
                <w:szCs w:val="22"/>
                <w:lang w:val="en-GB"/>
              </w:rPr>
              <w:t>bites</w:t>
            </w:r>
            <w:r w:rsidRPr="00BF57FF" w:rsidR="00251EC8">
              <w:rPr>
                <w:rFonts w:ascii="Arial" w:hAnsi="Arial" w:cs="Arial"/>
                <w:sz w:val="22"/>
                <w:szCs w:val="22"/>
                <w:lang w:val="en-GB"/>
              </w:rPr>
              <w:t>,</w:t>
            </w:r>
            <w:r w:rsidRPr="00BF57FF">
              <w:rPr>
                <w:rFonts w:ascii="Arial" w:hAnsi="Arial" w:cs="Arial"/>
                <w:sz w:val="22"/>
                <w:szCs w:val="22"/>
                <w:lang w:val="en-GB"/>
              </w:rPr>
              <w:t xml:space="preserve"> events modelled</w:t>
            </w:r>
          </w:p>
        </w:tc>
        <w:tc>
          <w:tcPr>
            <w:tcW w:w="2670" w:type="dxa"/>
            <w:tcBorders>
              <w:top w:val="single" w:color="9EC5E0" w:sz="3" w:space="0"/>
              <w:left w:val="single" w:color="9EC5E0" w:sz="3" w:space="0"/>
              <w:bottom w:val="single" w:color="9EC5E0" w:sz="3" w:space="0"/>
              <w:right w:val="single" w:color="9EC5E0" w:sz="3" w:space="0"/>
            </w:tcBorders>
            <w:shd w:val="clear" w:color="auto" w:fill="FFFFFF"/>
            <w:tcMar>
              <w:top w:w="70" w:type="dxa"/>
              <w:left w:w="90" w:type="dxa"/>
              <w:bottom w:w="70" w:type="dxa"/>
              <w:right w:w="90" w:type="dxa"/>
            </w:tcMar>
            <w:vAlign w:val="center"/>
          </w:tcPr>
          <w:p w:rsidRPr="00BF57FF" w:rsidR="0047448E" w:rsidP="00A70BBB" w:rsidRDefault="0047448E" w14:paraId="22631C9D"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5,726 deaths/year; 9.1 million bites/year. 79.5% received at least one ARV dose. First nationally representative estimate in </w:t>
            </w:r>
            <w:r w:rsidRPr="00BF57FF">
              <w:rPr>
                <w:rFonts w:ascii="Arial" w:hAnsi="Arial" w:cs="Arial"/>
                <w:sz w:val="22"/>
                <w:szCs w:val="22"/>
                <w:lang w:val="en-GB"/>
              </w:rPr>
              <w:t>approximately two decades.</w:t>
            </w:r>
          </w:p>
        </w:tc>
        <w:tc>
          <w:tcPr>
            <w:tcW w:w="1021" w:type="dxa"/>
            <w:tcBorders>
              <w:top w:val="single" w:color="9EC5E0" w:sz="3" w:space="0"/>
              <w:left w:val="single" w:color="9EC5E0" w:sz="3" w:space="0"/>
              <w:bottom w:val="single" w:color="9EC5E0" w:sz="3" w:space="0"/>
              <w:right w:val="single" w:color="9EC5E0" w:sz="3" w:space="0"/>
            </w:tcBorders>
            <w:shd w:val="clear" w:color="auto" w:fill="FFFFFF"/>
            <w:tcMar>
              <w:top w:w="70" w:type="dxa"/>
              <w:left w:w="90" w:type="dxa"/>
              <w:bottom w:w="70" w:type="dxa"/>
              <w:right w:w="90" w:type="dxa"/>
            </w:tcMar>
            <w:vAlign w:val="center"/>
          </w:tcPr>
          <w:p w:rsidRPr="00BF57FF" w:rsidR="0047448E" w:rsidP="00A70BBB" w:rsidRDefault="0047448E" w14:paraId="4F4D8359"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Themes</w:t>
            </w:r>
          </w:p>
          <w:p w:rsidRPr="00BF57FF" w:rsidR="0047448E" w:rsidP="00A70BBB" w:rsidRDefault="0047448E" w14:paraId="6BB4D37F"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3, 4</w:t>
            </w:r>
          </w:p>
        </w:tc>
      </w:tr>
      <w:tr w:rsidRPr="00BF57FF" w:rsidR="0047448E" w:rsidTr="0047448E" w14:paraId="676EA312" w14:textId="77777777">
        <w:tc>
          <w:tcPr>
            <w:tcW w:w="360" w:type="dxa"/>
            <w:tcBorders>
              <w:top w:val="single" w:color="9EC5E0" w:sz="3" w:space="0"/>
              <w:left w:val="single" w:color="9EC5E0" w:sz="3" w:space="0"/>
              <w:bottom w:val="single" w:color="9EC5E0" w:sz="3" w:space="0"/>
              <w:right w:val="single" w:color="9EC5E0" w:sz="3" w:space="0"/>
            </w:tcBorders>
            <w:shd w:val="clear" w:color="auto" w:fill="EAF3FB"/>
            <w:tcMar>
              <w:top w:w="70" w:type="dxa"/>
              <w:left w:w="90" w:type="dxa"/>
              <w:bottom w:w="70" w:type="dxa"/>
              <w:right w:w="90" w:type="dxa"/>
            </w:tcMar>
            <w:vAlign w:val="center"/>
          </w:tcPr>
          <w:p w:rsidRPr="00BF57FF" w:rsidR="0047448E" w:rsidP="00A70BBB" w:rsidRDefault="0047448E" w14:paraId="2FE20580"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6</w:t>
            </w:r>
          </w:p>
        </w:tc>
        <w:tc>
          <w:tcPr>
            <w:tcW w:w="1712" w:type="dxa"/>
            <w:tcBorders>
              <w:top w:val="single" w:color="9EC5E0" w:sz="3" w:space="0"/>
              <w:left w:val="single" w:color="9EC5E0" w:sz="3" w:space="0"/>
              <w:bottom w:val="single" w:color="9EC5E0" w:sz="3" w:space="0"/>
              <w:right w:val="single" w:color="9EC5E0" w:sz="3" w:space="0"/>
            </w:tcBorders>
            <w:shd w:val="clear" w:color="auto" w:fill="EAF3FB"/>
            <w:tcMar>
              <w:top w:w="70" w:type="dxa"/>
              <w:left w:w="90" w:type="dxa"/>
              <w:bottom w:w="70" w:type="dxa"/>
              <w:right w:w="90" w:type="dxa"/>
            </w:tcMar>
            <w:vAlign w:val="center"/>
          </w:tcPr>
          <w:p w:rsidRPr="00BF57FF" w:rsidR="0047448E" w:rsidP="00A70BBB" w:rsidRDefault="0047448E" w14:paraId="0CF9D3DF"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Sivagurunathan</w:t>
            </w:r>
          </w:p>
          <w:p w:rsidRPr="00BF57FF" w:rsidR="0047448E" w:rsidP="00A70BBB" w:rsidRDefault="0047448E" w14:paraId="6741D9B7"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et al. (2021)</w:t>
            </w:r>
          </w:p>
        </w:tc>
        <w:tc>
          <w:tcPr>
            <w:tcW w:w="1691" w:type="dxa"/>
            <w:tcBorders>
              <w:top w:val="single" w:color="9EC5E0" w:sz="3" w:space="0"/>
              <w:left w:val="single" w:color="9EC5E0" w:sz="3" w:space="0"/>
              <w:bottom w:val="single" w:color="9EC5E0" w:sz="3" w:space="0"/>
              <w:right w:val="single" w:color="9EC5E0" w:sz="3" w:space="0"/>
            </w:tcBorders>
            <w:shd w:val="clear" w:color="auto" w:fill="EAF3FB"/>
            <w:tcMar>
              <w:top w:w="70" w:type="dxa"/>
              <w:left w:w="90" w:type="dxa"/>
              <w:bottom w:w="70" w:type="dxa"/>
              <w:right w:w="90" w:type="dxa"/>
            </w:tcMar>
            <w:vAlign w:val="center"/>
          </w:tcPr>
          <w:p w:rsidRPr="00BF57FF" w:rsidR="0047448E" w:rsidP="00A70BBB" w:rsidRDefault="0047448E" w14:paraId="644A3B2A"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Community KAP</w:t>
            </w:r>
          </w:p>
          <w:p w:rsidRPr="00BF57FF" w:rsidR="0047448E" w:rsidP="00A70BBB" w:rsidRDefault="0047448E" w14:paraId="0ECC9380"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Cross-Sectional Survey</w:t>
            </w:r>
          </w:p>
          <w:p w:rsidRPr="00BF57FF" w:rsidR="0047448E" w:rsidP="00A70BBB" w:rsidRDefault="0047448E" w14:paraId="594355CA"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Urban Chennai,</w:t>
            </w:r>
          </w:p>
          <w:p w:rsidRPr="00BF57FF" w:rsidR="0047448E" w:rsidP="00A70BBB" w:rsidRDefault="0047448E" w14:paraId="073EFA62"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Tamil Nadu</w:t>
            </w:r>
          </w:p>
        </w:tc>
        <w:tc>
          <w:tcPr>
            <w:tcW w:w="1578" w:type="dxa"/>
            <w:tcBorders>
              <w:top w:val="single" w:color="9EC5E0" w:sz="3" w:space="0"/>
              <w:left w:val="single" w:color="9EC5E0" w:sz="3" w:space="0"/>
              <w:bottom w:val="single" w:color="9EC5E0" w:sz="3" w:space="0"/>
              <w:right w:val="single" w:color="9EC5E0" w:sz="3" w:space="0"/>
            </w:tcBorders>
            <w:shd w:val="clear" w:color="auto" w:fill="EAF3FB"/>
            <w:tcMar>
              <w:top w:w="70" w:type="dxa"/>
              <w:left w:w="90" w:type="dxa"/>
              <w:bottom w:w="70" w:type="dxa"/>
              <w:right w:w="90" w:type="dxa"/>
            </w:tcMar>
            <w:vAlign w:val="center"/>
          </w:tcPr>
          <w:p w:rsidRPr="00BF57FF" w:rsidR="0047448E" w:rsidP="00A70BBB" w:rsidRDefault="0047448E" w14:paraId="16182678"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200 adult urban</w:t>
            </w:r>
          </w:p>
          <w:p w:rsidRPr="00BF57FF" w:rsidR="0047448E" w:rsidP="00A70BBB" w:rsidRDefault="0047448E" w14:paraId="37888B28"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residents</w:t>
            </w:r>
          </w:p>
        </w:tc>
        <w:tc>
          <w:tcPr>
            <w:tcW w:w="2670" w:type="dxa"/>
            <w:tcBorders>
              <w:top w:val="single" w:color="9EC5E0" w:sz="3" w:space="0"/>
              <w:left w:val="single" w:color="9EC5E0" w:sz="3" w:space="0"/>
              <w:bottom w:val="single" w:color="9EC5E0" w:sz="3" w:space="0"/>
              <w:right w:val="single" w:color="9EC5E0" w:sz="3" w:space="0"/>
            </w:tcBorders>
            <w:shd w:val="clear" w:color="auto" w:fill="EAF3FB"/>
            <w:tcMar>
              <w:top w:w="70" w:type="dxa"/>
              <w:left w:w="90" w:type="dxa"/>
              <w:bottom w:w="70" w:type="dxa"/>
              <w:right w:w="90" w:type="dxa"/>
            </w:tcMar>
            <w:vAlign w:val="center"/>
          </w:tcPr>
          <w:p w:rsidRPr="00BF57FF" w:rsidR="0047448E" w:rsidP="00A70BBB" w:rsidRDefault="0047448E" w14:paraId="0C4F54E7" w14:textId="5BEE15EE">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76% heard of rabies; only 37.3% knew correct first aid; only 37.5% of bite victims washed </w:t>
            </w:r>
            <w:r w:rsidRPr="00BF57FF" w:rsidR="00D86B91">
              <w:rPr>
                <w:rFonts w:ascii="Arial" w:hAnsi="Arial" w:cs="Arial"/>
                <w:sz w:val="22"/>
                <w:szCs w:val="22"/>
                <w:lang w:val="en-GB"/>
              </w:rPr>
              <w:t xml:space="preserve">the </w:t>
            </w:r>
            <w:r w:rsidRPr="00BF57FF">
              <w:rPr>
                <w:rFonts w:ascii="Arial" w:hAnsi="Arial" w:cs="Arial"/>
                <w:sz w:val="22"/>
                <w:szCs w:val="22"/>
                <w:lang w:val="en-GB"/>
              </w:rPr>
              <w:t xml:space="preserve">wound with soap and water; 35% completed </w:t>
            </w:r>
            <w:r w:rsidRPr="00BF57FF" w:rsidR="00D86B91">
              <w:rPr>
                <w:rFonts w:ascii="Arial" w:hAnsi="Arial" w:cs="Arial"/>
                <w:sz w:val="22"/>
                <w:szCs w:val="22"/>
                <w:lang w:val="en-GB"/>
              </w:rPr>
              <w:t xml:space="preserve">the </w:t>
            </w:r>
            <w:r w:rsidRPr="00BF57FF">
              <w:rPr>
                <w:rFonts w:ascii="Arial" w:hAnsi="Arial" w:cs="Arial"/>
                <w:sz w:val="22"/>
                <w:szCs w:val="22"/>
                <w:lang w:val="en-GB"/>
              </w:rPr>
              <w:t>full vaccination course.</w:t>
            </w:r>
          </w:p>
        </w:tc>
        <w:tc>
          <w:tcPr>
            <w:tcW w:w="1021" w:type="dxa"/>
            <w:tcBorders>
              <w:top w:val="single" w:color="9EC5E0" w:sz="3" w:space="0"/>
              <w:left w:val="single" w:color="9EC5E0" w:sz="3" w:space="0"/>
              <w:bottom w:val="single" w:color="9EC5E0" w:sz="3" w:space="0"/>
              <w:right w:val="single" w:color="9EC5E0" w:sz="3" w:space="0"/>
            </w:tcBorders>
            <w:shd w:val="clear" w:color="auto" w:fill="EAF3FB"/>
            <w:tcMar>
              <w:top w:w="70" w:type="dxa"/>
              <w:left w:w="90" w:type="dxa"/>
              <w:bottom w:w="70" w:type="dxa"/>
              <w:right w:w="90" w:type="dxa"/>
            </w:tcMar>
            <w:vAlign w:val="center"/>
          </w:tcPr>
          <w:p w:rsidRPr="00BF57FF" w:rsidR="0047448E" w:rsidP="00A70BBB" w:rsidRDefault="0047448E" w14:paraId="5A78CD73"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Theme 1</w:t>
            </w:r>
          </w:p>
        </w:tc>
      </w:tr>
      <w:tr w:rsidRPr="00BF57FF" w:rsidR="0047448E" w:rsidTr="0047448E" w14:paraId="4F679041" w14:textId="77777777">
        <w:tc>
          <w:tcPr>
            <w:tcW w:w="360" w:type="dxa"/>
            <w:tcBorders>
              <w:top w:val="single" w:color="9EC5E0" w:sz="3" w:space="0"/>
              <w:left w:val="single" w:color="9EC5E0" w:sz="3" w:space="0"/>
              <w:bottom w:val="single" w:color="9EC5E0" w:sz="3" w:space="0"/>
              <w:right w:val="single" w:color="9EC5E0" w:sz="3" w:space="0"/>
            </w:tcBorders>
            <w:shd w:val="clear" w:color="auto" w:fill="FFFFFF"/>
            <w:tcMar>
              <w:top w:w="70" w:type="dxa"/>
              <w:left w:w="90" w:type="dxa"/>
              <w:bottom w:w="70" w:type="dxa"/>
              <w:right w:w="90" w:type="dxa"/>
            </w:tcMar>
            <w:vAlign w:val="center"/>
          </w:tcPr>
          <w:p w:rsidRPr="00BF57FF" w:rsidR="0047448E" w:rsidP="00A70BBB" w:rsidRDefault="0047448E" w14:paraId="1A72D1C4"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7</w:t>
            </w:r>
          </w:p>
        </w:tc>
        <w:tc>
          <w:tcPr>
            <w:tcW w:w="1712" w:type="dxa"/>
            <w:tcBorders>
              <w:top w:val="single" w:color="9EC5E0" w:sz="3" w:space="0"/>
              <w:left w:val="single" w:color="9EC5E0" w:sz="3" w:space="0"/>
              <w:bottom w:val="single" w:color="9EC5E0" w:sz="3" w:space="0"/>
              <w:right w:val="single" w:color="9EC5E0" w:sz="3" w:space="0"/>
            </w:tcBorders>
            <w:shd w:val="clear" w:color="auto" w:fill="FFFFFF"/>
            <w:tcMar>
              <w:top w:w="70" w:type="dxa"/>
              <w:left w:w="90" w:type="dxa"/>
              <w:bottom w:w="70" w:type="dxa"/>
              <w:right w:w="90" w:type="dxa"/>
            </w:tcMar>
            <w:vAlign w:val="center"/>
          </w:tcPr>
          <w:p w:rsidRPr="00BF57FF" w:rsidR="0047448E" w:rsidP="00A70BBB" w:rsidRDefault="0047448E" w14:paraId="41E61914"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Vanak et al.</w:t>
            </w:r>
          </w:p>
          <w:p w:rsidRPr="00BF57FF" w:rsidR="0047448E" w:rsidP="00A70BBB" w:rsidRDefault="0047448E" w14:paraId="335CFC0B"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(2023)</w:t>
            </w:r>
          </w:p>
        </w:tc>
        <w:tc>
          <w:tcPr>
            <w:tcW w:w="1691" w:type="dxa"/>
            <w:tcBorders>
              <w:top w:val="single" w:color="9EC5E0" w:sz="3" w:space="0"/>
              <w:left w:val="single" w:color="9EC5E0" w:sz="3" w:space="0"/>
              <w:bottom w:val="single" w:color="9EC5E0" w:sz="3" w:space="0"/>
              <w:right w:val="single" w:color="9EC5E0" w:sz="3" w:space="0"/>
            </w:tcBorders>
            <w:shd w:val="clear" w:color="auto" w:fill="FFFFFF"/>
            <w:tcMar>
              <w:top w:w="70" w:type="dxa"/>
              <w:left w:w="90" w:type="dxa"/>
              <w:bottom w:w="70" w:type="dxa"/>
              <w:right w:w="90" w:type="dxa"/>
            </w:tcMar>
            <w:vAlign w:val="center"/>
          </w:tcPr>
          <w:p w:rsidRPr="00BF57FF" w:rsidR="0047448E" w:rsidP="00A70BBB" w:rsidRDefault="0047448E" w14:paraId="113DFB6E"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Passive Observational</w:t>
            </w:r>
          </w:p>
          <w:p w:rsidRPr="00BF57FF" w:rsidR="0047448E" w:rsidP="00A70BBB" w:rsidRDefault="0047448E" w14:paraId="11E35EBD"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Surveillance Study</w:t>
            </w:r>
          </w:p>
          <w:p w:rsidRPr="00BF57FF" w:rsidR="0047448E" w:rsidP="00A70BBB" w:rsidRDefault="0047448E" w14:paraId="5AB63FD7"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Urban Pune,</w:t>
            </w:r>
          </w:p>
          <w:p w:rsidRPr="00BF57FF" w:rsidR="0047448E" w:rsidP="00A70BBB" w:rsidRDefault="0047448E" w14:paraId="1CBC0A60"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Maharashtra</w:t>
            </w:r>
          </w:p>
        </w:tc>
        <w:tc>
          <w:tcPr>
            <w:tcW w:w="1578" w:type="dxa"/>
            <w:tcBorders>
              <w:top w:val="single" w:color="9EC5E0" w:sz="3" w:space="0"/>
              <w:left w:val="single" w:color="9EC5E0" w:sz="3" w:space="0"/>
              <w:bottom w:val="single" w:color="9EC5E0" w:sz="3" w:space="0"/>
              <w:right w:val="single" w:color="9EC5E0" w:sz="3" w:space="0"/>
            </w:tcBorders>
            <w:shd w:val="clear" w:color="auto" w:fill="FFFFFF"/>
            <w:tcMar>
              <w:top w:w="70" w:type="dxa"/>
              <w:left w:w="90" w:type="dxa"/>
              <w:bottom w:w="70" w:type="dxa"/>
              <w:right w:w="90" w:type="dxa"/>
            </w:tcMar>
            <w:vAlign w:val="center"/>
          </w:tcPr>
          <w:p w:rsidRPr="00BF57FF" w:rsidR="0047448E" w:rsidP="00A70BBB" w:rsidRDefault="0047448E" w14:paraId="74E6D499"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90,700+ community</w:t>
            </w:r>
          </w:p>
          <w:p w:rsidRPr="00BF57FF" w:rsidR="0047448E" w:rsidP="00A70BBB" w:rsidRDefault="0047448E" w14:paraId="5676D59C"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call reports (2015–2021);</w:t>
            </w:r>
          </w:p>
          <w:p w:rsidRPr="00BF57FF" w:rsidR="0047448E" w:rsidP="00A70BBB" w:rsidRDefault="0047448E" w14:paraId="27EDAE65"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Hawk Data Pro platform</w:t>
            </w:r>
          </w:p>
        </w:tc>
        <w:tc>
          <w:tcPr>
            <w:tcW w:w="2670" w:type="dxa"/>
            <w:tcBorders>
              <w:top w:val="single" w:color="9EC5E0" w:sz="3" w:space="0"/>
              <w:left w:val="single" w:color="9EC5E0" w:sz="3" w:space="0"/>
              <w:bottom w:val="single" w:color="9EC5E0" w:sz="3" w:space="0"/>
              <w:right w:val="single" w:color="9EC5E0" w:sz="3" w:space="0"/>
            </w:tcBorders>
            <w:shd w:val="clear" w:color="auto" w:fill="FFFFFF"/>
            <w:tcMar>
              <w:top w:w="70" w:type="dxa"/>
              <w:left w:w="90" w:type="dxa"/>
              <w:bottom w:w="70" w:type="dxa"/>
              <w:right w:w="90" w:type="dxa"/>
            </w:tcMar>
            <w:vAlign w:val="center"/>
          </w:tcPr>
          <w:p w:rsidRPr="00BF57FF" w:rsidR="0047448E" w:rsidP="00A70BBB" w:rsidRDefault="0047448E" w14:paraId="644821AB"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749 dogs confirmed rabies-positive. Outbreak detected and managed in near-real time. ~23,000 dogs vaccinated; ~21,000 people provided bite education.</w:t>
            </w:r>
          </w:p>
        </w:tc>
        <w:tc>
          <w:tcPr>
            <w:tcW w:w="1021" w:type="dxa"/>
            <w:tcBorders>
              <w:top w:val="single" w:color="9EC5E0" w:sz="3" w:space="0"/>
              <w:left w:val="single" w:color="9EC5E0" w:sz="3" w:space="0"/>
              <w:bottom w:val="single" w:color="9EC5E0" w:sz="3" w:space="0"/>
              <w:right w:val="single" w:color="9EC5E0" w:sz="3" w:space="0"/>
            </w:tcBorders>
            <w:shd w:val="clear" w:color="auto" w:fill="FFFFFF"/>
            <w:tcMar>
              <w:top w:w="70" w:type="dxa"/>
              <w:left w:w="90" w:type="dxa"/>
              <w:bottom w:w="70" w:type="dxa"/>
              <w:right w:w="90" w:type="dxa"/>
            </w:tcMar>
            <w:vAlign w:val="center"/>
          </w:tcPr>
          <w:p w:rsidRPr="00BF57FF" w:rsidR="0047448E" w:rsidP="00A70BBB" w:rsidRDefault="0047448E" w14:paraId="3E409A2D"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Theme 4</w:t>
            </w:r>
          </w:p>
        </w:tc>
      </w:tr>
      <w:tr w:rsidRPr="00BF57FF" w:rsidR="0047448E" w:rsidTr="0047448E" w14:paraId="54CD05B9" w14:textId="77777777">
        <w:tc>
          <w:tcPr>
            <w:tcW w:w="360" w:type="dxa"/>
            <w:tcBorders>
              <w:top w:val="single" w:color="9EC5E0" w:sz="3" w:space="0"/>
              <w:left w:val="single" w:color="9EC5E0" w:sz="3" w:space="0"/>
              <w:bottom w:val="single" w:color="9EC5E0" w:sz="3" w:space="0"/>
              <w:right w:val="single" w:color="9EC5E0" w:sz="3" w:space="0"/>
            </w:tcBorders>
            <w:shd w:val="clear" w:color="auto" w:fill="EAF3FB"/>
            <w:tcMar>
              <w:top w:w="70" w:type="dxa"/>
              <w:left w:w="90" w:type="dxa"/>
              <w:bottom w:w="70" w:type="dxa"/>
              <w:right w:w="90" w:type="dxa"/>
            </w:tcMar>
            <w:vAlign w:val="center"/>
          </w:tcPr>
          <w:p w:rsidRPr="00BF57FF" w:rsidR="0047448E" w:rsidP="00A70BBB" w:rsidRDefault="0047448E" w14:paraId="5315FAA2"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8</w:t>
            </w:r>
          </w:p>
        </w:tc>
        <w:tc>
          <w:tcPr>
            <w:tcW w:w="1712" w:type="dxa"/>
            <w:tcBorders>
              <w:top w:val="single" w:color="9EC5E0" w:sz="3" w:space="0"/>
              <w:left w:val="single" w:color="9EC5E0" w:sz="3" w:space="0"/>
              <w:bottom w:val="single" w:color="9EC5E0" w:sz="3" w:space="0"/>
              <w:right w:val="single" w:color="9EC5E0" w:sz="3" w:space="0"/>
            </w:tcBorders>
            <w:shd w:val="clear" w:color="auto" w:fill="EAF3FB"/>
            <w:tcMar>
              <w:top w:w="70" w:type="dxa"/>
              <w:left w:w="90" w:type="dxa"/>
              <w:bottom w:w="70" w:type="dxa"/>
              <w:right w:w="90" w:type="dxa"/>
            </w:tcMar>
            <w:vAlign w:val="center"/>
          </w:tcPr>
          <w:p w:rsidRPr="00BF57FF" w:rsidR="0047448E" w:rsidP="00A70BBB" w:rsidRDefault="0047448E" w14:paraId="0D3CFDB5"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Sudarshan &amp;</w:t>
            </w:r>
          </w:p>
          <w:p w:rsidRPr="00BF57FF" w:rsidR="0047448E" w:rsidP="00A70BBB" w:rsidRDefault="0047448E" w14:paraId="77DDCEF5"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Ashwath Narayana</w:t>
            </w:r>
          </w:p>
          <w:p w:rsidRPr="00BF57FF" w:rsidR="0047448E" w:rsidP="00A70BBB" w:rsidRDefault="0047448E" w14:paraId="135994C7"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(2019)</w:t>
            </w:r>
          </w:p>
        </w:tc>
        <w:tc>
          <w:tcPr>
            <w:tcW w:w="1691" w:type="dxa"/>
            <w:tcBorders>
              <w:top w:val="single" w:color="9EC5E0" w:sz="3" w:space="0"/>
              <w:left w:val="single" w:color="9EC5E0" w:sz="3" w:space="0"/>
              <w:bottom w:val="single" w:color="9EC5E0" w:sz="3" w:space="0"/>
              <w:right w:val="single" w:color="9EC5E0" w:sz="3" w:space="0"/>
            </w:tcBorders>
            <w:shd w:val="clear" w:color="auto" w:fill="EAF3FB"/>
            <w:tcMar>
              <w:top w:w="70" w:type="dxa"/>
              <w:left w:w="90" w:type="dxa"/>
              <w:bottom w:w="70" w:type="dxa"/>
              <w:right w:w="90" w:type="dxa"/>
            </w:tcMar>
            <w:vAlign w:val="center"/>
          </w:tcPr>
          <w:p w:rsidRPr="00BF57FF" w:rsidR="0047448E" w:rsidP="00A70BBB" w:rsidRDefault="0047448E" w14:paraId="6EAD4EDC"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Record-Based</w:t>
            </w:r>
          </w:p>
          <w:p w:rsidRPr="00BF57FF" w:rsidR="0047448E" w:rsidP="00A70BBB" w:rsidRDefault="0047448E" w14:paraId="09B75373"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Surveillance Appraisal</w:t>
            </w:r>
          </w:p>
          <w:p w:rsidRPr="00BF57FF" w:rsidR="0047448E" w:rsidP="00A70BBB" w:rsidRDefault="0047448E" w14:paraId="59090A43"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Seven Indian states</w:t>
            </w:r>
          </w:p>
        </w:tc>
        <w:tc>
          <w:tcPr>
            <w:tcW w:w="1578" w:type="dxa"/>
            <w:tcBorders>
              <w:top w:val="single" w:color="9EC5E0" w:sz="3" w:space="0"/>
              <w:left w:val="single" w:color="9EC5E0" w:sz="3" w:space="0"/>
              <w:bottom w:val="single" w:color="9EC5E0" w:sz="3" w:space="0"/>
              <w:right w:val="single" w:color="9EC5E0" w:sz="3" w:space="0"/>
            </w:tcBorders>
            <w:shd w:val="clear" w:color="auto" w:fill="EAF3FB"/>
            <w:tcMar>
              <w:top w:w="70" w:type="dxa"/>
              <w:left w:w="90" w:type="dxa"/>
              <w:bottom w:w="70" w:type="dxa"/>
              <w:right w:w="90" w:type="dxa"/>
            </w:tcMar>
            <w:vAlign w:val="center"/>
          </w:tcPr>
          <w:p w:rsidRPr="00BF57FF" w:rsidR="0047448E" w:rsidP="00A70BBB" w:rsidRDefault="0047448E" w14:paraId="4ADBA1FA"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State IDSP office records compared with NCDC national data</w:t>
            </w:r>
          </w:p>
        </w:tc>
        <w:tc>
          <w:tcPr>
            <w:tcW w:w="2670" w:type="dxa"/>
            <w:tcBorders>
              <w:top w:val="single" w:color="9EC5E0" w:sz="3" w:space="0"/>
              <w:left w:val="single" w:color="9EC5E0" w:sz="3" w:space="0"/>
              <w:bottom w:val="single" w:color="9EC5E0" w:sz="3" w:space="0"/>
              <w:right w:val="single" w:color="9EC5E0" w:sz="3" w:space="0"/>
            </w:tcBorders>
            <w:shd w:val="clear" w:color="auto" w:fill="EAF3FB"/>
            <w:tcMar>
              <w:top w:w="70" w:type="dxa"/>
              <w:left w:w="90" w:type="dxa"/>
              <w:bottom w:w="70" w:type="dxa"/>
              <w:right w:w="90" w:type="dxa"/>
            </w:tcMar>
            <w:vAlign w:val="center"/>
          </w:tcPr>
          <w:p w:rsidRPr="00BF57FF" w:rsidR="0047448E" w:rsidP="00A70BBB" w:rsidRDefault="0047448E" w14:paraId="66E1D467"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Gross under-reporting of human rabies. No concordance between state IDSP offices and NCDC. Surveillance infrastructure fragmented and systematically inadequate.</w:t>
            </w:r>
          </w:p>
        </w:tc>
        <w:tc>
          <w:tcPr>
            <w:tcW w:w="1021" w:type="dxa"/>
            <w:tcBorders>
              <w:top w:val="single" w:color="9EC5E0" w:sz="3" w:space="0"/>
              <w:left w:val="single" w:color="9EC5E0" w:sz="3" w:space="0"/>
              <w:bottom w:val="single" w:color="9EC5E0" w:sz="3" w:space="0"/>
              <w:right w:val="single" w:color="9EC5E0" w:sz="3" w:space="0"/>
            </w:tcBorders>
            <w:shd w:val="clear" w:color="auto" w:fill="EAF3FB"/>
            <w:tcMar>
              <w:top w:w="70" w:type="dxa"/>
              <w:left w:w="90" w:type="dxa"/>
              <w:bottom w:w="70" w:type="dxa"/>
              <w:right w:w="90" w:type="dxa"/>
            </w:tcMar>
            <w:vAlign w:val="center"/>
          </w:tcPr>
          <w:p w:rsidRPr="00BF57FF" w:rsidR="0047448E" w:rsidP="00A70BBB" w:rsidRDefault="0047448E" w14:paraId="009E526E"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Theme 4</w:t>
            </w:r>
          </w:p>
        </w:tc>
      </w:tr>
      <w:tr w:rsidRPr="00BF57FF" w:rsidR="0047448E" w:rsidTr="0047448E" w14:paraId="3D7BCEDD" w14:textId="77777777">
        <w:tc>
          <w:tcPr>
            <w:tcW w:w="360" w:type="dxa"/>
            <w:tcBorders>
              <w:top w:val="single" w:color="9EC5E0" w:sz="3" w:space="0"/>
              <w:left w:val="single" w:color="9EC5E0" w:sz="3" w:space="0"/>
              <w:bottom w:val="single" w:color="9EC5E0" w:sz="3" w:space="0"/>
              <w:right w:val="single" w:color="9EC5E0" w:sz="3" w:space="0"/>
            </w:tcBorders>
            <w:shd w:val="clear" w:color="auto" w:fill="FFFFFF"/>
            <w:tcMar>
              <w:top w:w="70" w:type="dxa"/>
              <w:left w:w="90" w:type="dxa"/>
              <w:bottom w:w="70" w:type="dxa"/>
              <w:right w:w="90" w:type="dxa"/>
            </w:tcMar>
            <w:vAlign w:val="center"/>
          </w:tcPr>
          <w:p w:rsidRPr="00BF57FF" w:rsidR="0047448E" w:rsidP="00A70BBB" w:rsidRDefault="0047448E" w14:paraId="58617A26"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9</w:t>
            </w:r>
          </w:p>
        </w:tc>
        <w:tc>
          <w:tcPr>
            <w:tcW w:w="1712" w:type="dxa"/>
            <w:tcBorders>
              <w:top w:val="single" w:color="9EC5E0" w:sz="3" w:space="0"/>
              <w:left w:val="single" w:color="9EC5E0" w:sz="3" w:space="0"/>
              <w:bottom w:val="single" w:color="9EC5E0" w:sz="3" w:space="0"/>
              <w:right w:val="single" w:color="9EC5E0" w:sz="3" w:space="0"/>
            </w:tcBorders>
            <w:shd w:val="clear" w:color="auto" w:fill="FFFFFF"/>
            <w:tcMar>
              <w:top w:w="70" w:type="dxa"/>
              <w:left w:w="90" w:type="dxa"/>
              <w:bottom w:w="70" w:type="dxa"/>
              <w:right w:w="90" w:type="dxa"/>
            </w:tcMar>
            <w:vAlign w:val="center"/>
          </w:tcPr>
          <w:p w:rsidRPr="00BF57FF" w:rsidR="0047448E" w:rsidP="00A70BBB" w:rsidRDefault="0047448E" w14:paraId="2E97F758"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Gadapani et al.</w:t>
            </w:r>
          </w:p>
          <w:p w:rsidRPr="00BF57FF" w:rsidR="0047448E" w:rsidP="00A70BBB" w:rsidRDefault="0047448E" w14:paraId="16F8C842"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(2019)</w:t>
            </w:r>
          </w:p>
        </w:tc>
        <w:tc>
          <w:tcPr>
            <w:tcW w:w="1691" w:type="dxa"/>
            <w:tcBorders>
              <w:top w:val="single" w:color="9EC5E0" w:sz="3" w:space="0"/>
              <w:left w:val="single" w:color="9EC5E0" w:sz="3" w:space="0"/>
              <w:bottom w:val="single" w:color="9EC5E0" w:sz="3" w:space="0"/>
              <w:right w:val="single" w:color="9EC5E0" w:sz="3" w:space="0"/>
            </w:tcBorders>
            <w:shd w:val="clear" w:color="auto" w:fill="FFFFFF"/>
            <w:tcMar>
              <w:top w:w="70" w:type="dxa"/>
              <w:left w:w="90" w:type="dxa"/>
              <w:bottom w:w="70" w:type="dxa"/>
              <w:right w:w="90" w:type="dxa"/>
            </w:tcMar>
            <w:vAlign w:val="center"/>
          </w:tcPr>
          <w:p w:rsidRPr="00BF57FF" w:rsidR="0047448E" w:rsidP="00A70BBB" w:rsidRDefault="0047448E" w14:paraId="612744EC"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Retrospective</w:t>
            </w:r>
          </w:p>
          <w:p w:rsidRPr="00BF57FF" w:rsidR="0047448E" w:rsidP="00A70BBB" w:rsidRDefault="0047448E" w14:paraId="3A8BED5F"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Cross-Sectional Study</w:t>
            </w:r>
          </w:p>
          <w:p w:rsidRPr="00BF57FF" w:rsidR="0047448E" w:rsidP="00A70BBB" w:rsidRDefault="0047448E" w14:paraId="251E34F9"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Rural Maharashtra</w:t>
            </w:r>
          </w:p>
          <w:p w:rsidRPr="00BF57FF" w:rsidR="0047448E" w:rsidP="00A70BBB" w:rsidRDefault="0047448E" w14:paraId="12E2F7AC"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(rural PHC)</w:t>
            </w:r>
          </w:p>
        </w:tc>
        <w:tc>
          <w:tcPr>
            <w:tcW w:w="1578" w:type="dxa"/>
            <w:tcBorders>
              <w:top w:val="single" w:color="9EC5E0" w:sz="3" w:space="0"/>
              <w:left w:val="single" w:color="9EC5E0" w:sz="3" w:space="0"/>
              <w:bottom w:val="single" w:color="9EC5E0" w:sz="3" w:space="0"/>
              <w:right w:val="single" w:color="9EC5E0" w:sz="3" w:space="0"/>
            </w:tcBorders>
            <w:shd w:val="clear" w:color="auto" w:fill="FFFFFF"/>
            <w:tcMar>
              <w:top w:w="70" w:type="dxa"/>
              <w:left w:w="90" w:type="dxa"/>
              <w:bottom w:w="70" w:type="dxa"/>
              <w:right w:w="90" w:type="dxa"/>
            </w:tcMar>
            <w:vAlign w:val="center"/>
          </w:tcPr>
          <w:p w:rsidRPr="00BF57FF" w:rsidR="0047448E" w:rsidP="00A70BBB" w:rsidRDefault="0047448E" w14:paraId="28443257"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448 animal bite case</w:t>
            </w:r>
          </w:p>
          <w:p w:rsidRPr="00BF57FF" w:rsidR="0047448E" w:rsidP="00A70BBB" w:rsidRDefault="0047448E" w14:paraId="5B4BF790"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records from one</w:t>
            </w:r>
          </w:p>
          <w:p w:rsidRPr="00BF57FF" w:rsidR="0047448E" w:rsidP="00A70BBB" w:rsidRDefault="0047448E" w14:paraId="0C6545DA"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rural PHC</w:t>
            </w:r>
          </w:p>
        </w:tc>
        <w:tc>
          <w:tcPr>
            <w:tcW w:w="2670" w:type="dxa"/>
            <w:tcBorders>
              <w:top w:val="single" w:color="9EC5E0" w:sz="3" w:space="0"/>
              <w:left w:val="single" w:color="9EC5E0" w:sz="3" w:space="0"/>
              <w:bottom w:val="single" w:color="9EC5E0" w:sz="3" w:space="0"/>
              <w:right w:val="single" w:color="9EC5E0" w:sz="3" w:space="0"/>
            </w:tcBorders>
            <w:shd w:val="clear" w:color="auto" w:fill="FFFFFF"/>
            <w:tcMar>
              <w:top w:w="70" w:type="dxa"/>
              <w:left w:w="90" w:type="dxa"/>
              <w:bottom w:w="70" w:type="dxa"/>
              <w:right w:w="90" w:type="dxa"/>
            </w:tcMar>
            <w:vAlign w:val="center"/>
          </w:tcPr>
          <w:p w:rsidRPr="00BF57FF" w:rsidR="0047448E" w:rsidP="00A70BBB" w:rsidRDefault="0047448E" w14:paraId="24357D4F" w14:textId="226EDFE5">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Only 40.4% completed </w:t>
            </w:r>
            <w:r w:rsidRPr="00BF57FF" w:rsidR="00496577">
              <w:rPr>
                <w:rFonts w:ascii="Arial" w:hAnsi="Arial" w:cs="Arial"/>
                <w:sz w:val="22"/>
                <w:szCs w:val="22"/>
                <w:lang w:val="en-GB"/>
              </w:rPr>
              <w:t xml:space="preserve">the </w:t>
            </w:r>
            <w:r w:rsidRPr="00BF57FF">
              <w:rPr>
                <w:rFonts w:ascii="Arial" w:hAnsi="Arial" w:cs="Arial"/>
                <w:sz w:val="22"/>
                <w:szCs w:val="22"/>
                <w:lang w:val="en-GB"/>
              </w:rPr>
              <w:t>full PEP. Low awareness across all age groups. Rural service gaps and lack of awareness primary drivers of non-compliance.</w:t>
            </w:r>
          </w:p>
        </w:tc>
        <w:tc>
          <w:tcPr>
            <w:tcW w:w="1021" w:type="dxa"/>
            <w:tcBorders>
              <w:top w:val="single" w:color="9EC5E0" w:sz="3" w:space="0"/>
              <w:left w:val="single" w:color="9EC5E0" w:sz="3" w:space="0"/>
              <w:bottom w:val="single" w:color="9EC5E0" w:sz="3" w:space="0"/>
              <w:right w:val="single" w:color="9EC5E0" w:sz="3" w:space="0"/>
            </w:tcBorders>
            <w:shd w:val="clear" w:color="auto" w:fill="FFFFFF"/>
            <w:tcMar>
              <w:top w:w="70" w:type="dxa"/>
              <w:left w:w="90" w:type="dxa"/>
              <w:bottom w:w="70" w:type="dxa"/>
              <w:right w:w="90" w:type="dxa"/>
            </w:tcMar>
            <w:vAlign w:val="center"/>
          </w:tcPr>
          <w:p w:rsidRPr="00BF57FF" w:rsidR="0047448E" w:rsidP="00A70BBB" w:rsidRDefault="0047448E" w14:paraId="3315139F"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Themes</w:t>
            </w:r>
          </w:p>
          <w:p w:rsidRPr="00BF57FF" w:rsidR="0047448E" w:rsidP="00A70BBB" w:rsidRDefault="0047448E" w14:paraId="4A9E7F05"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1, 3</w:t>
            </w:r>
          </w:p>
        </w:tc>
      </w:tr>
      <w:tr w:rsidRPr="00BF57FF" w:rsidR="0047448E" w:rsidTr="0047448E" w14:paraId="5307434A" w14:textId="77777777">
        <w:tc>
          <w:tcPr>
            <w:tcW w:w="360" w:type="dxa"/>
            <w:tcBorders>
              <w:top w:val="single" w:color="9EC5E0" w:sz="3" w:space="0"/>
              <w:left w:val="single" w:color="9EC5E0" w:sz="3" w:space="0"/>
              <w:bottom w:val="single" w:color="9EC5E0" w:sz="3" w:space="0"/>
              <w:right w:val="single" w:color="9EC5E0" w:sz="3" w:space="0"/>
            </w:tcBorders>
            <w:shd w:val="clear" w:color="auto" w:fill="EAF3FB"/>
            <w:tcMar>
              <w:top w:w="70" w:type="dxa"/>
              <w:left w:w="90" w:type="dxa"/>
              <w:bottom w:w="70" w:type="dxa"/>
              <w:right w:w="90" w:type="dxa"/>
            </w:tcMar>
            <w:vAlign w:val="center"/>
          </w:tcPr>
          <w:p w:rsidRPr="00BF57FF" w:rsidR="0047448E" w:rsidP="00A70BBB" w:rsidRDefault="0047448E" w14:paraId="51BBCB47"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10</w:t>
            </w:r>
          </w:p>
        </w:tc>
        <w:tc>
          <w:tcPr>
            <w:tcW w:w="1712" w:type="dxa"/>
            <w:tcBorders>
              <w:top w:val="single" w:color="9EC5E0" w:sz="3" w:space="0"/>
              <w:left w:val="single" w:color="9EC5E0" w:sz="3" w:space="0"/>
              <w:bottom w:val="single" w:color="9EC5E0" w:sz="3" w:space="0"/>
              <w:right w:val="single" w:color="9EC5E0" w:sz="3" w:space="0"/>
            </w:tcBorders>
            <w:shd w:val="clear" w:color="auto" w:fill="EAF3FB"/>
            <w:tcMar>
              <w:top w:w="70" w:type="dxa"/>
              <w:left w:w="90" w:type="dxa"/>
              <w:bottom w:w="70" w:type="dxa"/>
              <w:right w:w="90" w:type="dxa"/>
            </w:tcMar>
            <w:vAlign w:val="center"/>
          </w:tcPr>
          <w:p w:rsidRPr="00BF57FF" w:rsidR="0047448E" w:rsidP="00A70BBB" w:rsidRDefault="0047448E" w14:paraId="2C723836"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Maiti et al.</w:t>
            </w:r>
          </w:p>
          <w:p w:rsidRPr="00BF57FF" w:rsidR="0047448E" w:rsidP="00A70BBB" w:rsidRDefault="0047448E" w14:paraId="34E34C28"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(2026)</w:t>
            </w:r>
          </w:p>
        </w:tc>
        <w:tc>
          <w:tcPr>
            <w:tcW w:w="1691" w:type="dxa"/>
            <w:tcBorders>
              <w:top w:val="single" w:color="9EC5E0" w:sz="3" w:space="0"/>
              <w:left w:val="single" w:color="9EC5E0" w:sz="3" w:space="0"/>
              <w:bottom w:val="single" w:color="9EC5E0" w:sz="3" w:space="0"/>
              <w:right w:val="single" w:color="9EC5E0" w:sz="3" w:space="0"/>
            </w:tcBorders>
            <w:shd w:val="clear" w:color="auto" w:fill="EAF3FB"/>
            <w:tcMar>
              <w:top w:w="70" w:type="dxa"/>
              <w:left w:w="90" w:type="dxa"/>
              <w:bottom w:w="70" w:type="dxa"/>
              <w:right w:w="90" w:type="dxa"/>
            </w:tcMar>
            <w:vAlign w:val="center"/>
          </w:tcPr>
          <w:p w:rsidRPr="00BF57FF" w:rsidR="0047448E" w:rsidP="00A70BBB" w:rsidRDefault="0047448E" w14:paraId="0EED5A86"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Cross-Sectional Study</w:t>
            </w:r>
          </w:p>
          <w:p w:rsidRPr="00BF57FF" w:rsidR="0047448E" w:rsidP="00A70BBB" w:rsidRDefault="0047448E" w14:paraId="42B67ECD"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Jabalpur, Madhya</w:t>
            </w:r>
          </w:p>
          <w:p w:rsidRPr="00BF57FF" w:rsidR="0047448E" w:rsidP="00A70BBB" w:rsidRDefault="0047448E" w14:paraId="6E2B5A2F"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Pradesh (tertiary</w:t>
            </w:r>
          </w:p>
          <w:p w:rsidRPr="00BF57FF" w:rsidR="0047448E" w:rsidP="00A70BBB" w:rsidRDefault="0047448E" w14:paraId="102FA381"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care hospital)</w:t>
            </w:r>
          </w:p>
        </w:tc>
        <w:tc>
          <w:tcPr>
            <w:tcW w:w="1578" w:type="dxa"/>
            <w:tcBorders>
              <w:top w:val="single" w:color="9EC5E0" w:sz="3" w:space="0"/>
              <w:left w:val="single" w:color="9EC5E0" w:sz="3" w:space="0"/>
              <w:bottom w:val="single" w:color="9EC5E0" w:sz="3" w:space="0"/>
              <w:right w:val="single" w:color="9EC5E0" w:sz="3" w:space="0"/>
            </w:tcBorders>
            <w:shd w:val="clear" w:color="auto" w:fill="EAF3FB"/>
            <w:tcMar>
              <w:top w:w="70" w:type="dxa"/>
              <w:left w:w="90" w:type="dxa"/>
              <w:bottom w:w="70" w:type="dxa"/>
              <w:right w:w="90" w:type="dxa"/>
            </w:tcMar>
            <w:vAlign w:val="center"/>
          </w:tcPr>
          <w:p w:rsidRPr="00BF57FF" w:rsidR="0047448E" w:rsidP="00A70BBB" w:rsidRDefault="0047448E" w14:paraId="0EA04B08" w14:textId="2B3C9416">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388 animal bite victims attending </w:t>
            </w:r>
            <w:r w:rsidRPr="00BF57FF" w:rsidR="00496577">
              <w:rPr>
                <w:rFonts w:ascii="Arial" w:hAnsi="Arial" w:cs="Arial"/>
                <w:sz w:val="22"/>
                <w:szCs w:val="22"/>
                <w:lang w:val="en-GB"/>
              </w:rPr>
              <w:t xml:space="preserve">the </w:t>
            </w:r>
            <w:r w:rsidRPr="00BF57FF">
              <w:rPr>
                <w:rFonts w:ascii="Arial" w:hAnsi="Arial" w:cs="Arial"/>
                <w:sz w:val="22"/>
                <w:szCs w:val="22"/>
                <w:lang w:val="en-GB"/>
              </w:rPr>
              <w:t>anti-rabies clinic</w:t>
            </w:r>
          </w:p>
        </w:tc>
        <w:tc>
          <w:tcPr>
            <w:tcW w:w="2670" w:type="dxa"/>
            <w:tcBorders>
              <w:top w:val="single" w:color="9EC5E0" w:sz="3" w:space="0"/>
              <w:left w:val="single" w:color="9EC5E0" w:sz="3" w:space="0"/>
              <w:bottom w:val="single" w:color="9EC5E0" w:sz="3" w:space="0"/>
              <w:right w:val="single" w:color="9EC5E0" w:sz="3" w:space="0"/>
            </w:tcBorders>
            <w:shd w:val="clear" w:color="auto" w:fill="EAF3FB"/>
            <w:tcMar>
              <w:top w:w="70" w:type="dxa"/>
              <w:left w:w="90" w:type="dxa"/>
              <w:bottom w:w="70" w:type="dxa"/>
              <w:right w:w="90" w:type="dxa"/>
            </w:tcMar>
            <w:vAlign w:val="center"/>
          </w:tcPr>
          <w:p w:rsidRPr="00BF57FF" w:rsidR="0047448E" w:rsidP="00A70BBB" w:rsidRDefault="0047448E" w14:paraId="366B2A1A" w14:textId="761E194B">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24.74% delayed PEP initiation beyond 24 hours. Sociocultural myths and traditional remedy use </w:t>
            </w:r>
            <w:r w:rsidRPr="00BF57FF" w:rsidR="00496577">
              <w:rPr>
                <w:rFonts w:ascii="Arial" w:hAnsi="Arial" w:cs="Arial"/>
                <w:sz w:val="22"/>
                <w:szCs w:val="22"/>
                <w:lang w:val="en-GB"/>
              </w:rPr>
              <w:t xml:space="preserve">were </w:t>
            </w:r>
            <w:r w:rsidRPr="00BF57FF">
              <w:rPr>
                <w:rFonts w:ascii="Arial" w:hAnsi="Arial" w:cs="Arial"/>
                <w:sz w:val="22"/>
                <w:szCs w:val="22"/>
                <w:lang w:val="en-GB"/>
              </w:rPr>
              <w:t>identified as primary causal factors for delay.</w:t>
            </w:r>
          </w:p>
        </w:tc>
        <w:tc>
          <w:tcPr>
            <w:tcW w:w="1021" w:type="dxa"/>
            <w:tcBorders>
              <w:top w:val="single" w:color="9EC5E0" w:sz="3" w:space="0"/>
              <w:left w:val="single" w:color="9EC5E0" w:sz="3" w:space="0"/>
              <w:bottom w:val="single" w:color="9EC5E0" w:sz="3" w:space="0"/>
              <w:right w:val="single" w:color="9EC5E0" w:sz="3" w:space="0"/>
            </w:tcBorders>
            <w:shd w:val="clear" w:color="auto" w:fill="EAF3FB"/>
            <w:tcMar>
              <w:top w:w="70" w:type="dxa"/>
              <w:left w:w="90" w:type="dxa"/>
              <w:bottom w:w="70" w:type="dxa"/>
              <w:right w:w="90" w:type="dxa"/>
            </w:tcMar>
            <w:vAlign w:val="center"/>
          </w:tcPr>
          <w:p w:rsidRPr="00BF57FF" w:rsidR="0047448E" w:rsidP="00A70BBB" w:rsidRDefault="0047448E" w14:paraId="483B0A20"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Themes</w:t>
            </w:r>
          </w:p>
          <w:p w:rsidRPr="00BF57FF" w:rsidR="0047448E" w:rsidP="00A70BBB" w:rsidRDefault="0047448E" w14:paraId="1C004FEF"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1, 2</w:t>
            </w:r>
          </w:p>
        </w:tc>
      </w:tr>
      <w:tr w:rsidRPr="00BF57FF" w:rsidR="0047448E" w:rsidTr="0047448E" w14:paraId="47D1799D" w14:textId="77777777">
        <w:tc>
          <w:tcPr>
            <w:tcW w:w="360" w:type="dxa"/>
            <w:tcBorders>
              <w:top w:val="single" w:color="9EC5E0" w:sz="3" w:space="0"/>
              <w:left w:val="single" w:color="9EC5E0" w:sz="3" w:space="0"/>
              <w:bottom w:val="single" w:color="9EC5E0" w:sz="3" w:space="0"/>
              <w:right w:val="single" w:color="9EC5E0" w:sz="3" w:space="0"/>
            </w:tcBorders>
            <w:shd w:val="clear" w:color="auto" w:fill="FFFFFF"/>
            <w:tcMar>
              <w:top w:w="70" w:type="dxa"/>
              <w:left w:w="90" w:type="dxa"/>
              <w:bottom w:w="70" w:type="dxa"/>
              <w:right w:w="90" w:type="dxa"/>
            </w:tcMar>
            <w:vAlign w:val="center"/>
          </w:tcPr>
          <w:p w:rsidRPr="00BF57FF" w:rsidR="0047448E" w:rsidP="00A70BBB" w:rsidRDefault="0047448E" w14:paraId="58AD41F4"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11</w:t>
            </w:r>
          </w:p>
        </w:tc>
        <w:tc>
          <w:tcPr>
            <w:tcW w:w="1712" w:type="dxa"/>
            <w:tcBorders>
              <w:top w:val="single" w:color="9EC5E0" w:sz="3" w:space="0"/>
              <w:left w:val="single" w:color="9EC5E0" w:sz="3" w:space="0"/>
              <w:bottom w:val="single" w:color="9EC5E0" w:sz="3" w:space="0"/>
              <w:right w:val="single" w:color="9EC5E0" w:sz="3" w:space="0"/>
            </w:tcBorders>
            <w:shd w:val="clear" w:color="auto" w:fill="FFFFFF"/>
            <w:tcMar>
              <w:top w:w="70" w:type="dxa"/>
              <w:left w:w="90" w:type="dxa"/>
              <w:bottom w:w="70" w:type="dxa"/>
              <w:right w:w="90" w:type="dxa"/>
            </w:tcMar>
            <w:vAlign w:val="center"/>
          </w:tcPr>
          <w:p w:rsidRPr="00BF57FF" w:rsidR="0047448E" w:rsidP="00A70BBB" w:rsidRDefault="0047448E" w14:paraId="09C7FFD7"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Pardeshi et al.</w:t>
            </w:r>
          </w:p>
          <w:p w:rsidRPr="00BF57FF" w:rsidR="0047448E" w:rsidP="00A70BBB" w:rsidRDefault="0047448E" w14:paraId="58AE988C"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(2026)</w:t>
            </w:r>
          </w:p>
        </w:tc>
        <w:tc>
          <w:tcPr>
            <w:tcW w:w="1691" w:type="dxa"/>
            <w:tcBorders>
              <w:top w:val="single" w:color="9EC5E0" w:sz="3" w:space="0"/>
              <w:left w:val="single" w:color="9EC5E0" w:sz="3" w:space="0"/>
              <w:bottom w:val="single" w:color="9EC5E0" w:sz="3" w:space="0"/>
              <w:right w:val="single" w:color="9EC5E0" w:sz="3" w:space="0"/>
            </w:tcBorders>
            <w:shd w:val="clear" w:color="auto" w:fill="FFFFFF"/>
            <w:tcMar>
              <w:top w:w="70" w:type="dxa"/>
              <w:left w:w="90" w:type="dxa"/>
              <w:bottom w:w="70" w:type="dxa"/>
              <w:right w:w="90" w:type="dxa"/>
            </w:tcMar>
            <w:vAlign w:val="center"/>
          </w:tcPr>
          <w:p w:rsidRPr="00BF57FF" w:rsidR="0047448E" w:rsidP="00A70BBB" w:rsidRDefault="0047448E" w14:paraId="3D1F0A9A"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SWOT Analysis</w:t>
            </w:r>
          </w:p>
          <w:p w:rsidRPr="00BF57FF" w:rsidR="0047448E" w:rsidP="00A70BBB" w:rsidRDefault="0047448E" w14:paraId="6AE68451"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Review</w:t>
            </w:r>
          </w:p>
          <w:p w:rsidRPr="00BF57FF" w:rsidR="0047448E" w:rsidP="00A70BBB" w:rsidRDefault="0047448E" w14:paraId="286F177B"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India (national)</w:t>
            </w:r>
          </w:p>
        </w:tc>
        <w:tc>
          <w:tcPr>
            <w:tcW w:w="1578" w:type="dxa"/>
            <w:tcBorders>
              <w:top w:val="single" w:color="9EC5E0" w:sz="3" w:space="0"/>
              <w:left w:val="single" w:color="9EC5E0" w:sz="3" w:space="0"/>
              <w:bottom w:val="single" w:color="9EC5E0" w:sz="3" w:space="0"/>
              <w:right w:val="single" w:color="9EC5E0" w:sz="3" w:space="0"/>
            </w:tcBorders>
            <w:shd w:val="clear" w:color="auto" w:fill="FFFFFF"/>
            <w:tcMar>
              <w:top w:w="70" w:type="dxa"/>
              <w:left w:w="90" w:type="dxa"/>
              <w:bottom w:w="70" w:type="dxa"/>
              <w:right w:w="90" w:type="dxa"/>
            </w:tcMar>
            <w:vAlign w:val="center"/>
          </w:tcPr>
          <w:p w:rsidRPr="00BF57FF" w:rsidR="0047448E" w:rsidP="00A70BBB" w:rsidRDefault="0047448E" w14:paraId="48E48D7E" w14:textId="768E001F">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Programme documents, policy literature, </w:t>
            </w:r>
            <w:r w:rsidRPr="00BF57FF" w:rsidR="00496577">
              <w:rPr>
                <w:rFonts w:ascii="Arial" w:hAnsi="Arial" w:cs="Arial"/>
                <w:sz w:val="22"/>
                <w:szCs w:val="22"/>
                <w:lang w:val="en-GB"/>
              </w:rPr>
              <w:t xml:space="preserve">and </w:t>
            </w:r>
            <w:r w:rsidRPr="00BF57FF">
              <w:rPr>
                <w:rFonts w:ascii="Arial" w:hAnsi="Arial" w:cs="Arial"/>
                <w:sz w:val="22"/>
                <w:szCs w:val="22"/>
                <w:lang w:val="en-GB"/>
              </w:rPr>
              <w:t>national surveillance reports</w:t>
            </w:r>
          </w:p>
        </w:tc>
        <w:tc>
          <w:tcPr>
            <w:tcW w:w="2670" w:type="dxa"/>
            <w:tcBorders>
              <w:top w:val="single" w:color="9EC5E0" w:sz="3" w:space="0"/>
              <w:left w:val="single" w:color="9EC5E0" w:sz="3" w:space="0"/>
              <w:bottom w:val="single" w:color="9EC5E0" w:sz="3" w:space="0"/>
              <w:right w:val="single" w:color="9EC5E0" w:sz="3" w:space="0"/>
            </w:tcBorders>
            <w:shd w:val="clear" w:color="auto" w:fill="FFFFFF"/>
            <w:tcMar>
              <w:top w:w="70" w:type="dxa"/>
              <w:left w:w="90" w:type="dxa"/>
              <w:bottom w:w="70" w:type="dxa"/>
              <w:right w:w="90" w:type="dxa"/>
            </w:tcMar>
            <w:vAlign w:val="center"/>
          </w:tcPr>
          <w:p w:rsidRPr="00BF57FF" w:rsidR="0047448E" w:rsidP="00A70BBB" w:rsidRDefault="0047448E" w14:paraId="03150361"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Weaknesses: supply chain, RIG unavailability. Threats: traditional medicine, under-reporting. Opportunities: digital health, Zero by 30. Strengths: NAPRE, WHO vaccines.</w:t>
            </w:r>
          </w:p>
        </w:tc>
        <w:tc>
          <w:tcPr>
            <w:tcW w:w="1021" w:type="dxa"/>
            <w:tcBorders>
              <w:top w:val="single" w:color="9EC5E0" w:sz="3" w:space="0"/>
              <w:left w:val="single" w:color="9EC5E0" w:sz="3" w:space="0"/>
              <w:bottom w:val="single" w:color="9EC5E0" w:sz="3" w:space="0"/>
              <w:right w:val="single" w:color="9EC5E0" w:sz="3" w:space="0"/>
            </w:tcBorders>
            <w:shd w:val="clear" w:color="auto" w:fill="FFFFFF"/>
            <w:tcMar>
              <w:top w:w="70" w:type="dxa"/>
              <w:left w:w="90" w:type="dxa"/>
              <w:bottom w:w="70" w:type="dxa"/>
              <w:right w:w="90" w:type="dxa"/>
            </w:tcMar>
            <w:vAlign w:val="center"/>
          </w:tcPr>
          <w:p w:rsidRPr="00BF57FF" w:rsidR="0047448E" w:rsidP="00A70BBB" w:rsidRDefault="0047448E" w14:paraId="582F433B"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Themes</w:t>
            </w:r>
          </w:p>
          <w:p w:rsidRPr="00BF57FF" w:rsidR="0047448E" w:rsidP="00A70BBB" w:rsidRDefault="0047448E" w14:paraId="2833019C"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2, 3</w:t>
            </w:r>
          </w:p>
        </w:tc>
      </w:tr>
      <w:tr w:rsidRPr="00BF57FF" w:rsidR="0047448E" w:rsidTr="0047448E" w14:paraId="234CD033" w14:textId="77777777">
        <w:tc>
          <w:tcPr>
            <w:tcW w:w="360" w:type="dxa"/>
            <w:tcBorders>
              <w:top w:val="single" w:color="9EC5E0" w:sz="3" w:space="0"/>
              <w:left w:val="single" w:color="9EC5E0" w:sz="3" w:space="0"/>
              <w:bottom w:val="single" w:color="9EC5E0" w:sz="3" w:space="0"/>
              <w:right w:val="single" w:color="9EC5E0" w:sz="3" w:space="0"/>
            </w:tcBorders>
            <w:shd w:val="clear" w:color="auto" w:fill="EAF3FB"/>
            <w:tcMar>
              <w:top w:w="70" w:type="dxa"/>
              <w:left w:w="90" w:type="dxa"/>
              <w:bottom w:w="70" w:type="dxa"/>
              <w:right w:w="90" w:type="dxa"/>
            </w:tcMar>
            <w:vAlign w:val="center"/>
          </w:tcPr>
          <w:p w:rsidRPr="00BF57FF" w:rsidR="0047448E" w:rsidP="00A70BBB" w:rsidRDefault="0047448E" w14:paraId="4A3361DD"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12</w:t>
            </w:r>
          </w:p>
        </w:tc>
        <w:tc>
          <w:tcPr>
            <w:tcW w:w="1712" w:type="dxa"/>
            <w:tcBorders>
              <w:top w:val="single" w:color="9EC5E0" w:sz="3" w:space="0"/>
              <w:left w:val="single" w:color="9EC5E0" w:sz="3" w:space="0"/>
              <w:bottom w:val="single" w:color="9EC5E0" w:sz="3" w:space="0"/>
              <w:right w:val="single" w:color="9EC5E0" w:sz="3" w:space="0"/>
            </w:tcBorders>
            <w:shd w:val="clear" w:color="auto" w:fill="EAF3FB"/>
            <w:tcMar>
              <w:top w:w="70" w:type="dxa"/>
              <w:left w:w="90" w:type="dxa"/>
              <w:bottom w:w="70" w:type="dxa"/>
              <w:right w:w="90" w:type="dxa"/>
            </w:tcMar>
            <w:vAlign w:val="center"/>
          </w:tcPr>
          <w:p w:rsidRPr="00BF57FF" w:rsidR="0047448E" w:rsidP="00A70BBB" w:rsidRDefault="0047448E" w14:paraId="303E2F5B"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Hampson et al.</w:t>
            </w:r>
          </w:p>
          <w:p w:rsidRPr="00BF57FF" w:rsidR="0047448E" w:rsidP="00A70BBB" w:rsidRDefault="0047448E" w14:paraId="5CAB8841"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(2015)</w:t>
            </w:r>
          </w:p>
        </w:tc>
        <w:tc>
          <w:tcPr>
            <w:tcW w:w="1691" w:type="dxa"/>
            <w:tcBorders>
              <w:top w:val="single" w:color="9EC5E0" w:sz="3" w:space="0"/>
              <w:left w:val="single" w:color="9EC5E0" w:sz="3" w:space="0"/>
              <w:bottom w:val="single" w:color="9EC5E0" w:sz="3" w:space="0"/>
              <w:right w:val="single" w:color="9EC5E0" w:sz="3" w:space="0"/>
            </w:tcBorders>
            <w:shd w:val="clear" w:color="auto" w:fill="EAF3FB"/>
            <w:tcMar>
              <w:top w:w="70" w:type="dxa"/>
              <w:left w:w="90" w:type="dxa"/>
              <w:bottom w:w="70" w:type="dxa"/>
              <w:right w:w="90" w:type="dxa"/>
            </w:tcMar>
            <w:vAlign w:val="center"/>
          </w:tcPr>
          <w:p w:rsidRPr="00BF57FF" w:rsidR="0047448E" w:rsidP="00A70BBB" w:rsidRDefault="0047448E" w14:paraId="3B97096B"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Global Burden</w:t>
            </w:r>
          </w:p>
          <w:p w:rsidRPr="00BF57FF" w:rsidR="0047448E" w:rsidP="00A70BBB" w:rsidRDefault="0047448E" w14:paraId="2C51259D"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Modelling Study</w:t>
            </w:r>
          </w:p>
          <w:p w:rsidRPr="00BF57FF" w:rsidR="0047448E" w:rsidP="00A70BBB" w:rsidRDefault="0047448E" w14:paraId="401CC669"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Global (87 countries;</w:t>
            </w:r>
          </w:p>
          <w:p w:rsidRPr="00BF57FF" w:rsidR="0047448E" w:rsidP="00A70BBB" w:rsidRDefault="0047448E" w14:paraId="2AF483D6"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India data extracted)</w:t>
            </w:r>
          </w:p>
        </w:tc>
        <w:tc>
          <w:tcPr>
            <w:tcW w:w="1578" w:type="dxa"/>
            <w:tcBorders>
              <w:top w:val="single" w:color="9EC5E0" w:sz="3" w:space="0"/>
              <w:left w:val="single" w:color="9EC5E0" w:sz="3" w:space="0"/>
              <w:bottom w:val="single" w:color="9EC5E0" w:sz="3" w:space="0"/>
              <w:right w:val="single" w:color="9EC5E0" w:sz="3" w:space="0"/>
            </w:tcBorders>
            <w:shd w:val="clear" w:color="auto" w:fill="EAF3FB"/>
            <w:tcMar>
              <w:top w:w="70" w:type="dxa"/>
              <w:left w:w="90" w:type="dxa"/>
              <w:bottom w:w="70" w:type="dxa"/>
              <w:right w:w="90" w:type="dxa"/>
            </w:tcMar>
            <w:vAlign w:val="center"/>
          </w:tcPr>
          <w:p w:rsidRPr="00BF57FF" w:rsidR="0047448E" w:rsidP="00A70BBB" w:rsidRDefault="0047448E" w14:paraId="01726C7B"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Country-level epidemiological and economic </w:t>
            </w:r>
            <w:r w:rsidRPr="00BF57FF">
              <w:rPr>
                <w:rFonts w:ascii="Arial" w:hAnsi="Arial" w:cs="Arial"/>
                <w:sz w:val="22"/>
                <w:szCs w:val="22"/>
                <w:lang w:val="en-GB"/>
              </w:rPr>
              <w:t>data, 87 countries</w:t>
            </w:r>
          </w:p>
        </w:tc>
        <w:tc>
          <w:tcPr>
            <w:tcW w:w="2670" w:type="dxa"/>
            <w:tcBorders>
              <w:top w:val="single" w:color="9EC5E0" w:sz="3" w:space="0"/>
              <w:left w:val="single" w:color="9EC5E0" w:sz="3" w:space="0"/>
              <w:bottom w:val="single" w:color="9EC5E0" w:sz="3" w:space="0"/>
              <w:right w:val="single" w:color="9EC5E0" w:sz="3" w:space="0"/>
            </w:tcBorders>
            <w:shd w:val="clear" w:color="auto" w:fill="EAF3FB"/>
            <w:tcMar>
              <w:top w:w="70" w:type="dxa"/>
              <w:left w:w="90" w:type="dxa"/>
              <w:bottom w:w="70" w:type="dxa"/>
              <w:right w:w="90" w:type="dxa"/>
            </w:tcMar>
            <w:vAlign w:val="center"/>
          </w:tcPr>
          <w:p w:rsidRPr="00BF57FF" w:rsidR="0047448E" w:rsidP="00A70BBB" w:rsidRDefault="0047448E" w14:paraId="1DB865F4" w14:textId="414C44DB">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~59,000 global deaths/year. India holds </w:t>
            </w:r>
            <w:r w:rsidRPr="00BF57FF" w:rsidR="00496577">
              <w:rPr>
                <w:rFonts w:ascii="Arial" w:hAnsi="Arial" w:cs="Arial"/>
                <w:sz w:val="22"/>
                <w:szCs w:val="22"/>
                <w:lang w:val="en-GB"/>
              </w:rPr>
              <w:t xml:space="preserve">the </w:t>
            </w:r>
            <w:r w:rsidRPr="00BF57FF">
              <w:rPr>
                <w:rFonts w:ascii="Arial" w:hAnsi="Arial" w:cs="Arial"/>
                <w:sz w:val="22"/>
                <w:szCs w:val="22"/>
                <w:lang w:val="en-GB"/>
              </w:rPr>
              <w:t xml:space="preserve">highest absolute national </w:t>
            </w:r>
            <w:r w:rsidRPr="00BF57FF">
              <w:rPr>
                <w:rFonts w:ascii="Arial" w:hAnsi="Arial" w:cs="Arial"/>
                <w:sz w:val="22"/>
                <w:szCs w:val="22"/>
                <w:lang w:val="en-GB"/>
              </w:rPr>
              <w:t xml:space="preserve">burden (~20,000 deaths/year estimated). Global economic cost </w:t>
            </w:r>
            <w:r w:rsidRPr="00BF57FF" w:rsidR="00D86B91">
              <w:rPr>
                <w:rFonts w:ascii="Arial" w:hAnsi="Arial" w:cs="Arial"/>
                <w:sz w:val="22"/>
                <w:szCs w:val="22"/>
                <w:lang w:val="en-GB"/>
              </w:rPr>
              <w:t>is US$8.6</w:t>
            </w:r>
            <w:r w:rsidRPr="00BF57FF">
              <w:rPr>
                <w:rFonts w:ascii="Arial" w:hAnsi="Arial" w:cs="Arial"/>
                <w:sz w:val="22"/>
                <w:szCs w:val="22"/>
                <w:lang w:val="en-GB"/>
              </w:rPr>
              <w:t xml:space="preserve"> billion/year.</w:t>
            </w:r>
          </w:p>
        </w:tc>
        <w:tc>
          <w:tcPr>
            <w:tcW w:w="1021" w:type="dxa"/>
            <w:tcBorders>
              <w:top w:val="single" w:color="9EC5E0" w:sz="3" w:space="0"/>
              <w:left w:val="single" w:color="9EC5E0" w:sz="3" w:space="0"/>
              <w:bottom w:val="single" w:color="9EC5E0" w:sz="3" w:space="0"/>
              <w:right w:val="single" w:color="9EC5E0" w:sz="3" w:space="0"/>
            </w:tcBorders>
            <w:shd w:val="clear" w:color="auto" w:fill="EAF3FB"/>
            <w:tcMar>
              <w:top w:w="70" w:type="dxa"/>
              <w:left w:w="90" w:type="dxa"/>
              <w:bottom w:w="70" w:type="dxa"/>
              <w:right w:w="90" w:type="dxa"/>
            </w:tcMar>
            <w:vAlign w:val="center"/>
          </w:tcPr>
          <w:p w:rsidRPr="00BF57FF" w:rsidR="0047448E" w:rsidP="00A70BBB" w:rsidRDefault="0047448E" w14:paraId="462C0F1E"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Theme 4</w:t>
            </w:r>
          </w:p>
        </w:tc>
      </w:tr>
    </w:tbl>
    <w:p w:rsidRPr="00BF57FF" w:rsidR="00E057A9" w:rsidP="00A70BBB" w:rsidRDefault="0047448E" w14:paraId="493518EE" w14:textId="759AAAA2">
      <w:pPr>
        <w:pStyle w:val="font-claude-response-body"/>
        <w:spacing w:before="0" w:line="360" w:lineRule="auto"/>
        <w:jc w:val="both"/>
        <w:rPr>
          <w:rFonts w:ascii="Arial" w:hAnsi="Arial" w:cs="Arial"/>
          <w:sz w:val="22"/>
          <w:szCs w:val="22"/>
          <w:lang w:val="en-GB"/>
        </w:rPr>
      </w:pPr>
      <w:r w:rsidRPr="00BF57FF">
        <w:rPr>
          <w:rFonts w:ascii="Arial" w:hAnsi="Arial" w:cs="Arial"/>
          <w:i/>
          <w:iCs/>
          <w:sz w:val="22"/>
          <w:szCs w:val="22"/>
          <w:lang w:val="en-GB"/>
        </w:rPr>
        <w:t xml:space="preserve">Source: Author compilation from included studies. See Chapter 3 for </w:t>
      </w:r>
      <w:r w:rsidRPr="00BF57FF" w:rsidR="00D86B91">
        <w:rPr>
          <w:rFonts w:ascii="Arial" w:hAnsi="Arial" w:cs="Arial"/>
          <w:i/>
          <w:iCs/>
          <w:sz w:val="22"/>
          <w:szCs w:val="22"/>
          <w:lang w:val="en-GB"/>
        </w:rPr>
        <w:t xml:space="preserve">the </w:t>
      </w:r>
      <w:r w:rsidRPr="00BF57FF">
        <w:rPr>
          <w:rFonts w:ascii="Arial" w:hAnsi="Arial" w:cs="Arial"/>
          <w:i/>
          <w:iCs/>
          <w:sz w:val="22"/>
          <w:szCs w:val="22"/>
          <w:lang w:val="en-GB"/>
        </w:rPr>
        <w:t>full PRISMA selection process and Appendix C for complete data extraction tables.</w:t>
      </w:r>
    </w:p>
    <w:p w:rsidRPr="00BF57FF" w:rsidR="00E057A9" w:rsidP="00A70BBB" w:rsidRDefault="00E057A9" w14:paraId="150A4CF0" w14:textId="77777777">
      <w:pPr>
        <w:pStyle w:val="Heading2"/>
        <w:spacing w:after="0" w:line="360" w:lineRule="auto"/>
        <w:jc w:val="both"/>
        <w:rPr>
          <w:rFonts w:ascii="Arial" w:hAnsi="Arial" w:cs="Arial"/>
          <w:sz w:val="22"/>
        </w:rPr>
      </w:pPr>
      <w:bookmarkStart w:name="_Toc231005872" w:id="77"/>
      <w:bookmarkStart w:name="_Toc231298586" w:id="78"/>
      <w:r w:rsidRPr="00BF57FF">
        <w:rPr>
          <w:rFonts w:ascii="Arial" w:hAnsi="Arial" w:cs="Arial"/>
          <w:sz w:val="22"/>
        </w:rPr>
        <w:t>4.3 Quality Profile of Included Studies</w:t>
      </w:r>
      <w:bookmarkEnd w:id="77"/>
      <w:bookmarkEnd w:id="78"/>
    </w:p>
    <w:p w:rsidRPr="00BF57FF" w:rsidR="0047448E" w:rsidP="00A70BBB" w:rsidRDefault="00A24B77" w14:paraId="24D61CFF" w14:textId="510DDF0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Three validated tools were used to conduct quality appraisal based on the study design. Study 1 (Debnath et al., 2025) was assessed using the CASP Systematic Review Checklist and scored as high-quality due to an explicit use of search methodology, clear inclusion criteria, and its methods of heterogeneity and synthesis. Studies 2 (Gibson et al., 2022) and 7 (Vanak et al., 2023) were identified as high-quality studies (with a CASP Cohort Study Checklist) with a clear definition of outcome measures, a longitudinal design, and a large sample size. The AXIS Tool for Appraisal of Cross-Sectional Studies was applied to Studies 4, 5, 6, 8, 9, and 10 (Sahu et al., 2021; Thangaraj et al., 2025; Sivagurunathan et al., 2021; Sudarshan and Ashwath Narayana, 2019; Gadapani et al., 2019; Maiti et al., 2026), with ratings ranging from moderate to high across this group, reflecting variation in sample size, sampling method, and potential for bias. Studies 3, 11 and 12, the historical review (Radhakrishnan et al., 2020), SWOT analysis (Pardeshi et al., 2026) and global burden modelling study (Hampson et al., 2015) were assessed by a narrative quality framework suitable </w:t>
      </w:r>
      <w:r w:rsidRPr="00BF57FF" w:rsidR="00D86B91">
        <w:rPr>
          <w:rFonts w:ascii="Arial" w:hAnsi="Arial" w:cs="Arial"/>
          <w:sz w:val="22"/>
          <w:szCs w:val="22"/>
          <w:lang w:val="en-GB"/>
        </w:rPr>
        <w:t>for</w:t>
      </w:r>
      <w:r w:rsidRPr="00BF57FF">
        <w:rPr>
          <w:rFonts w:ascii="Arial" w:hAnsi="Arial" w:cs="Arial"/>
          <w:sz w:val="22"/>
          <w:szCs w:val="22"/>
          <w:lang w:val="en-GB"/>
        </w:rPr>
        <w:t xml:space="preserve"> their non-quantitative or non-systematic design. Studies 3 and 11 were rated moderate to adequate, indicating the lack of systematic evidence </w:t>
      </w:r>
      <w:r w:rsidRPr="00BF57FF" w:rsidR="00D86B91">
        <w:rPr>
          <w:rFonts w:ascii="Arial" w:hAnsi="Arial" w:cs="Arial"/>
          <w:sz w:val="22"/>
          <w:szCs w:val="22"/>
          <w:lang w:val="en-GB"/>
        </w:rPr>
        <w:t xml:space="preserve">in </w:t>
      </w:r>
      <w:r w:rsidRPr="00BF57FF">
        <w:rPr>
          <w:rFonts w:ascii="Arial" w:hAnsi="Arial" w:cs="Arial"/>
          <w:sz w:val="22"/>
          <w:szCs w:val="22"/>
          <w:lang w:val="en-GB"/>
        </w:rPr>
        <w:t>selection processes. Study 12 was rated highly in terms of quality within the narrative framework</w:t>
      </w:r>
      <w:r w:rsidRPr="00BF57FF" w:rsidR="00A906ED">
        <w:rPr>
          <w:rFonts w:ascii="Arial" w:hAnsi="Arial" w:cs="Arial"/>
          <w:sz w:val="22"/>
          <w:szCs w:val="22"/>
          <w:lang w:val="en-GB"/>
        </w:rPr>
        <w:t>,</w:t>
      </w:r>
      <w:r w:rsidRPr="00BF57FF">
        <w:rPr>
          <w:rFonts w:ascii="Arial" w:hAnsi="Arial" w:cs="Arial"/>
          <w:sz w:val="22"/>
          <w:szCs w:val="22"/>
          <w:lang w:val="en-GB"/>
        </w:rPr>
        <w:t xml:space="preserve"> indicating the clarity of the modelling approach, the scope of evidence at </w:t>
      </w:r>
      <w:r w:rsidRPr="00BF57FF" w:rsidR="00A906ED">
        <w:rPr>
          <w:rFonts w:ascii="Arial" w:hAnsi="Arial" w:cs="Arial"/>
          <w:sz w:val="22"/>
          <w:szCs w:val="22"/>
          <w:lang w:val="en-GB"/>
        </w:rPr>
        <w:t xml:space="preserve">the </w:t>
      </w:r>
      <w:r w:rsidRPr="00BF57FF">
        <w:rPr>
          <w:rFonts w:ascii="Arial" w:hAnsi="Arial" w:cs="Arial"/>
          <w:sz w:val="22"/>
          <w:szCs w:val="22"/>
          <w:lang w:val="en-GB"/>
        </w:rPr>
        <w:t>country level, and the quantification of uncertainty. Table 4.2 shows full appraisal detail.</w:t>
      </w:r>
    </w:p>
    <w:p w:rsidRPr="00BF57FF" w:rsidR="00BB527A" w:rsidP="00A70BBB" w:rsidRDefault="007E7195" w14:paraId="41A80837" w14:textId="63CDA72B">
      <w:pPr>
        <w:pStyle w:val="font-claude-response-body"/>
        <w:spacing w:after="0" w:line="360" w:lineRule="auto"/>
        <w:jc w:val="both"/>
        <w:rPr>
          <w:rFonts w:ascii="Arial" w:hAnsi="Arial" w:cs="Arial"/>
          <w:i/>
          <w:iCs/>
          <w:sz w:val="22"/>
          <w:szCs w:val="22"/>
          <w:lang w:val="en-GB"/>
        </w:rPr>
      </w:pPr>
      <w:r w:rsidRPr="00BF57FF">
        <w:rPr>
          <w:rFonts w:ascii="Arial" w:hAnsi="Arial" w:cs="Arial"/>
          <w:i/>
          <w:iCs/>
          <w:sz w:val="22"/>
          <w:szCs w:val="22"/>
          <w:lang w:val="en-GB"/>
        </w:rPr>
        <w:t xml:space="preserve">CASP Systematic Review Checklist (Study 1); CASP Cohort Study Checklist (Studies 2, 7); AXIS Tool (Studies 4, 5, 6, 8, 9, 10); Narrative Quality Appraisal (Studies 3, 11, </w:t>
      </w:r>
      <w:r w:rsidRPr="00BF57FF">
        <w:rPr>
          <w:rFonts w:ascii="Arial" w:hAnsi="Arial" w:cs="Arial"/>
          <w:i/>
          <w:iCs/>
          <w:sz w:val="22"/>
          <w:szCs w:val="22"/>
          <w:lang w:val="en-GB"/>
        </w:rPr>
        <w:t>12). Ratings — High: meets ≥80% of appraisal criteria; Moderate: 50–79%; Adequate: 30–49%.</w:t>
      </w:r>
    </w:p>
    <w:p w:rsidRPr="00BF57FF" w:rsidR="00BB527A" w:rsidP="00A70BBB" w:rsidRDefault="00BB527A" w14:paraId="443929E4" w14:textId="5C0281C6">
      <w:pPr>
        <w:pStyle w:val="Caption"/>
        <w:keepNext/>
        <w:spacing w:line="360" w:lineRule="auto"/>
        <w:jc w:val="both"/>
        <w:rPr>
          <w:rFonts w:ascii="Arial" w:hAnsi="Arial" w:cs="Arial"/>
          <w:sz w:val="22"/>
          <w:szCs w:val="22"/>
        </w:rPr>
      </w:pPr>
      <w:bookmarkStart w:name="_Toc231243853" w:id="79"/>
      <w:r w:rsidRPr="00BF57FF">
        <w:rPr>
          <w:rFonts w:ascii="Arial" w:hAnsi="Arial" w:cs="Arial"/>
          <w:sz w:val="22"/>
          <w:szCs w:val="22"/>
        </w:rPr>
        <w:t xml:space="preserve">Table 4. </w:t>
      </w:r>
      <w:r w:rsidRPr="00BF57FF">
        <w:rPr>
          <w:rFonts w:ascii="Arial" w:hAnsi="Arial" w:cs="Arial"/>
          <w:sz w:val="22"/>
          <w:szCs w:val="22"/>
        </w:rPr>
        <w:fldChar w:fldCharType="begin"/>
      </w:r>
      <w:r w:rsidRPr="00BF57FF">
        <w:rPr>
          <w:rFonts w:ascii="Arial" w:hAnsi="Arial" w:cs="Arial"/>
          <w:sz w:val="22"/>
          <w:szCs w:val="22"/>
        </w:rPr>
        <w:instrText xml:space="preserve"> SEQ Table_4. \* ARABIC </w:instrText>
      </w:r>
      <w:r w:rsidRPr="00BF57FF">
        <w:rPr>
          <w:rFonts w:ascii="Arial" w:hAnsi="Arial" w:cs="Arial"/>
          <w:sz w:val="22"/>
          <w:szCs w:val="22"/>
        </w:rPr>
        <w:fldChar w:fldCharType="separate"/>
      </w:r>
      <w:r w:rsidRPr="00BF57FF">
        <w:rPr>
          <w:rFonts w:ascii="Arial" w:hAnsi="Arial" w:cs="Arial"/>
          <w:noProof/>
          <w:sz w:val="22"/>
          <w:szCs w:val="22"/>
        </w:rPr>
        <w:t>2</w:t>
      </w:r>
      <w:r w:rsidRPr="00BF57FF">
        <w:rPr>
          <w:rFonts w:ascii="Arial" w:hAnsi="Arial" w:cs="Arial"/>
          <w:sz w:val="22"/>
          <w:szCs w:val="22"/>
        </w:rPr>
        <w:fldChar w:fldCharType="end"/>
      </w:r>
      <w:r w:rsidRPr="00BF57FF">
        <w:rPr>
          <w:rFonts w:ascii="Arial" w:hAnsi="Arial" w:cs="Arial"/>
          <w:sz w:val="22"/>
          <w:szCs w:val="22"/>
        </w:rPr>
        <w:t xml:space="preserve">  Quality Profile of Included Studies</w:t>
      </w:r>
      <w:bookmarkEnd w:id="79"/>
    </w:p>
    <w:tbl>
      <w:tblPr>
        <w:tblW w:w="903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426"/>
        <w:gridCol w:w="1843"/>
        <w:gridCol w:w="1445"/>
        <w:gridCol w:w="1143"/>
        <w:gridCol w:w="1989"/>
        <w:gridCol w:w="2187"/>
      </w:tblGrid>
      <w:tr w:rsidRPr="00BF57FF" w:rsidR="0047448E" w:rsidTr="0047448E" w14:paraId="3201D137" w14:textId="77777777">
        <w:trPr>
          <w:tblHeader/>
        </w:trPr>
        <w:tc>
          <w:tcPr>
            <w:tcW w:w="360" w:type="dxa"/>
            <w:tcBorders>
              <w:top w:val="single" w:color="1A6B6B" w:sz="3" w:space="0"/>
              <w:left w:val="single" w:color="1A6B6B" w:sz="3" w:space="0"/>
              <w:bottom w:val="single" w:color="1A6B6B" w:sz="3" w:space="0"/>
              <w:right w:val="single" w:color="1A6B6B" w:sz="3" w:space="0"/>
            </w:tcBorders>
            <w:shd w:val="clear" w:color="auto" w:fill="1A6B6B"/>
            <w:tcMar>
              <w:top w:w="80" w:type="dxa"/>
              <w:left w:w="90" w:type="dxa"/>
              <w:bottom w:w="80" w:type="dxa"/>
              <w:right w:w="90" w:type="dxa"/>
            </w:tcMar>
            <w:vAlign w:val="center"/>
          </w:tcPr>
          <w:p w:rsidRPr="00BF57FF" w:rsidR="0047448E" w:rsidP="00A70BBB" w:rsidRDefault="0047448E" w14:paraId="4D0DA1B7"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w:t>
            </w:r>
          </w:p>
        </w:tc>
        <w:tc>
          <w:tcPr>
            <w:tcW w:w="1592" w:type="dxa"/>
            <w:tcBorders>
              <w:top w:val="single" w:color="1A6B6B" w:sz="3" w:space="0"/>
              <w:left w:val="single" w:color="1A6B6B" w:sz="3" w:space="0"/>
              <w:bottom w:val="single" w:color="1A6B6B" w:sz="3" w:space="0"/>
              <w:right w:val="single" w:color="1A6B6B" w:sz="3" w:space="0"/>
            </w:tcBorders>
            <w:shd w:val="clear" w:color="auto" w:fill="1A6B6B"/>
            <w:tcMar>
              <w:top w:w="80" w:type="dxa"/>
              <w:left w:w="90" w:type="dxa"/>
              <w:bottom w:w="80" w:type="dxa"/>
              <w:right w:w="90" w:type="dxa"/>
            </w:tcMar>
            <w:vAlign w:val="center"/>
          </w:tcPr>
          <w:p w:rsidRPr="00BF57FF" w:rsidR="0047448E" w:rsidP="00A70BBB" w:rsidRDefault="0047448E" w14:paraId="1F01C079"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Author &amp; Year</w:t>
            </w:r>
          </w:p>
        </w:tc>
        <w:tc>
          <w:tcPr>
            <w:tcW w:w="1605" w:type="dxa"/>
            <w:tcBorders>
              <w:top w:val="single" w:color="1A6B6B" w:sz="3" w:space="0"/>
              <w:left w:val="single" w:color="1A6B6B" w:sz="3" w:space="0"/>
              <w:bottom w:val="single" w:color="1A6B6B" w:sz="3" w:space="0"/>
              <w:right w:val="single" w:color="1A6B6B" w:sz="3" w:space="0"/>
            </w:tcBorders>
            <w:shd w:val="clear" w:color="auto" w:fill="1A6B6B"/>
            <w:tcMar>
              <w:top w:w="80" w:type="dxa"/>
              <w:left w:w="90" w:type="dxa"/>
              <w:bottom w:w="80" w:type="dxa"/>
              <w:right w:w="90" w:type="dxa"/>
            </w:tcMar>
            <w:vAlign w:val="center"/>
          </w:tcPr>
          <w:p w:rsidRPr="00BF57FF" w:rsidR="0047448E" w:rsidP="00A70BBB" w:rsidRDefault="0047448E" w14:paraId="2141B761"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Appraisal Tool</w:t>
            </w:r>
          </w:p>
        </w:tc>
        <w:tc>
          <w:tcPr>
            <w:tcW w:w="1000" w:type="dxa"/>
            <w:tcBorders>
              <w:top w:val="single" w:color="1A6B6B" w:sz="3" w:space="0"/>
              <w:left w:val="single" w:color="1A6B6B" w:sz="3" w:space="0"/>
              <w:bottom w:val="single" w:color="1A6B6B" w:sz="3" w:space="0"/>
              <w:right w:val="single" w:color="1A6B6B" w:sz="3" w:space="0"/>
            </w:tcBorders>
            <w:shd w:val="clear" w:color="auto" w:fill="1A6B6B"/>
            <w:tcMar>
              <w:top w:w="80" w:type="dxa"/>
              <w:left w:w="90" w:type="dxa"/>
              <w:bottom w:w="80" w:type="dxa"/>
              <w:right w:w="90" w:type="dxa"/>
            </w:tcMar>
            <w:vAlign w:val="center"/>
          </w:tcPr>
          <w:p w:rsidRPr="00BF57FF" w:rsidR="0047448E" w:rsidP="00A70BBB" w:rsidRDefault="0047448E" w14:paraId="7124BA69"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Overall Quality</w:t>
            </w:r>
          </w:p>
        </w:tc>
        <w:tc>
          <w:tcPr>
            <w:tcW w:w="2215" w:type="dxa"/>
            <w:tcBorders>
              <w:top w:val="single" w:color="1A6B6B" w:sz="3" w:space="0"/>
              <w:left w:val="single" w:color="1A6B6B" w:sz="3" w:space="0"/>
              <w:bottom w:val="single" w:color="1A6B6B" w:sz="3" w:space="0"/>
              <w:right w:val="single" w:color="1A6B6B" w:sz="3" w:space="0"/>
            </w:tcBorders>
            <w:shd w:val="clear" w:color="auto" w:fill="1A6B6B"/>
            <w:tcMar>
              <w:top w:w="80" w:type="dxa"/>
              <w:left w:w="90" w:type="dxa"/>
              <w:bottom w:w="80" w:type="dxa"/>
              <w:right w:w="90" w:type="dxa"/>
            </w:tcMar>
            <w:vAlign w:val="center"/>
          </w:tcPr>
          <w:p w:rsidRPr="00BF57FF" w:rsidR="0047448E" w:rsidP="00A70BBB" w:rsidRDefault="0047448E" w14:paraId="29103480"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Key Strengths</w:t>
            </w:r>
          </w:p>
        </w:tc>
        <w:tc>
          <w:tcPr>
            <w:tcW w:w="2261" w:type="dxa"/>
            <w:tcBorders>
              <w:top w:val="single" w:color="1A6B6B" w:sz="3" w:space="0"/>
              <w:left w:val="single" w:color="1A6B6B" w:sz="3" w:space="0"/>
              <w:bottom w:val="single" w:color="1A6B6B" w:sz="3" w:space="0"/>
              <w:right w:val="single" w:color="1A6B6B" w:sz="3" w:space="0"/>
            </w:tcBorders>
            <w:shd w:val="clear" w:color="auto" w:fill="1A6B6B"/>
            <w:tcMar>
              <w:top w:w="80" w:type="dxa"/>
              <w:left w:w="90" w:type="dxa"/>
              <w:bottom w:w="80" w:type="dxa"/>
              <w:right w:w="90" w:type="dxa"/>
            </w:tcMar>
            <w:vAlign w:val="center"/>
          </w:tcPr>
          <w:p w:rsidRPr="00BF57FF" w:rsidR="0047448E" w:rsidP="00A70BBB" w:rsidRDefault="0047448E" w14:paraId="6DBACAC5"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Key Limitations</w:t>
            </w:r>
          </w:p>
        </w:tc>
      </w:tr>
      <w:tr w:rsidRPr="00BF57FF" w:rsidR="0047448E" w:rsidTr="0047448E" w14:paraId="682AD85D" w14:textId="77777777">
        <w:tc>
          <w:tcPr>
            <w:tcW w:w="360" w:type="dxa"/>
            <w:tcBorders>
              <w:top w:val="single" w:color="85C9B5" w:sz="3" w:space="0"/>
              <w:left w:val="single" w:color="85C9B5" w:sz="3" w:space="0"/>
              <w:bottom w:val="single" w:color="85C9B5" w:sz="3" w:space="0"/>
              <w:right w:val="single" w:color="85C9B5" w:sz="3" w:space="0"/>
            </w:tcBorders>
            <w:shd w:val="clear" w:color="auto" w:fill="FFFFFF"/>
            <w:tcMar>
              <w:top w:w="70" w:type="dxa"/>
              <w:left w:w="90" w:type="dxa"/>
              <w:bottom w:w="70" w:type="dxa"/>
              <w:right w:w="90" w:type="dxa"/>
            </w:tcMar>
            <w:vAlign w:val="center"/>
          </w:tcPr>
          <w:p w:rsidRPr="00BF57FF" w:rsidR="0047448E" w:rsidP="00A70BBB" w:rsidRDefault="0047448E" w14:paraId="0AC40952"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1</w:t>
            </w:r>
          </w:p>
        </w:tc>
        <w:tc>
          <w:tcPr>
            <w:tcW w:w="1592" w:type="dxa"/>
            <w:tcBorders>
              <w:top w:val="single" w:color="85C9B5" w:sz="3" w:space="0"/>
              <w:left w:val="single" w:color="85C9B5" w:sz="3" w:space="0"/>
              <w:bottom w:val="single" w:color="85C9B5" w:sz="3" w:space="0"/>
              <w:right w:val="single" w:color="85C9B5" w:sz="3" w:space="0"/>
            </w:tcBorders>
            <w:shd w:val="clear" w:color="auto" w:fill="FFFFFF"/>
            <w:tcMar>
              <w:top w:w="70" w:type="dxa"/>
              <w:left w:w="90" w:type="dxa"/>
              <w:bottom w:w="70" w:type="dxa"/>
              <w:right w:w="90" w:type="dxa"/>
            </w:tcMar>
            <w:vAlign w:val="center"/>
          </w:tcPr>
          <w:p w:rsidRPr="00BF57FF" w:rsidR="0047448E" w:rsidP="00A70BBB" w:rsidRDefault="0047448E" w14:paraId="1DA63634"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Debnath et al.</w:t>
            </w:r>
          </w:p>
          <w:p w:rsidRPr="00BF57FF" w:rsidR="0047448E" w:rsidP="00A70BBB" w:rsidRDefault="0047448E" w14:paraId="0C7A3133"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(2025)</w:t>
            </w:r>
          </w:p>
        </w:tc>
        <w:tc>
          <w:tcPr>
            <w:tcW w:w="1605" w:type="dxa"/>
            <w:tcBorders>
              <w:top w:val="single" w:color="85C9B5" w:sz="3" w:space="0"/>
              <w:left w:val="single" w:color="85C9B5" w:sz="3" w:space="0"/>
              <w:bottom w:val="single" w:color="85C9B5" w:sz="3" w:space="0"/>
              <w:right w:val="single" w:color="85C9B5" w:sz="3" w:space="0"/>
            </w:tcBorders>
            <w:shd w:val="clear" w:color="auto" w:fill="FFFFFF"/>
            <w:tcMar>
              <w:top w:w="70" w:type="dxa"/>
              <w:left w:w="90" w:type="dxa"/>
              <w:bottom w:w="70" w:type="dxa"/>
              <w:right w:w="90" w:type="dxa"/>
            </w:tcMar>
            <w:vAlign w:val="center"/>
          </w:tcPr>
          <w:p w:rsidRPr="00BF57FF" w:rsidR="0047448E" w:rsidP="00A70BBB" w:rsidRDefault="0047448E" w14:paraId="46BE2FDE"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CASP Systematic</w:t>
            </w:r>
          </w:p>
          <w:p w:rsidRPr="00BF57FF" w:rsidR="0047448E" w:rsidP="00A70BBB" w:rsidRDefault="0047448E" w14:paraId="093F3649"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Review Checklist</w:t>
            </w:r>
          </w:p>
        </w:tc>
        <w:tc>
          <w:tcPr>
            <w:tcW w:w="1000" w:type="dxa"/>
            <w:tcBorders>
              <w:top w:val="single" w:color="85C9B5" w:sz="3" w:space="0"/>
              <w:left w:val="single" w:color="85C9B5" w:sz="3" w:space="0"/>
              <w:bottom w:val="single" w:color="85C9B5" w:sz="3" w:space="0"/>
              <w:right w:val="single" w:color="85C9B5" w:sz="3" w:space="0"/>
            </w:tcBorders>
            <w:shd w:val="clear" w:color="auto" w:fill="FFFFFF"/>
            <w:tcMar>
              <w:top w:w="70" w:type="dxa"/>
              <w:left w:w="70" w:type="dxa"/>
              <w:bottom w:w="70" w:type="dxa"/>
              <w:right w:w="70" w:type="dxa"/>
            </w:tcMar>
            <w:vAlign w:val="center"/>
          </w:tcPr>
          <w:p w:rsidRPr="00BF57FF" w:rsidR="0047448E" w:rsidP="00A70BBB" w:rsidRDefault="0047448E" w14:paraId="591251CE"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High</w:t>
            </w:r>
          </w:p>
        </w:tc>
        <w:tc>
          <w:tcPr>
            <w:tcW w:w="2215" w:type="dxa"/>
            <w:tcBorders>
              <w:top w:val="single" w:color="85C9B5" w:sz="3" w:space="0"/>
              <w:left w:val="single" w:color="85C9B5" w:sz="3" w:space="0"/>
              <w:bottom w:val="single" w:color="85C9B5" w:sz="3" w:space="0"/>
              <w:right w:val="single" w:color="85C9B5" w:sz="3" w:space="0"/>
            </w:tcBorders>
            <w:shd w:val="clear" w:color="auto" w:fill="FFFFFF"/>
            <w:tcMar>
              <w:top w:w="70" w:type="dxa"/>
              <w:left w:w="90" w:type="dxa"/>
              <w:bottom w:w="70" w:type="dxa"/>
              <w:right w:w="90" w:type="dxa"/>
            </w:tcMar>
            <w:vAlign w:val="center"/>
          </w:tcPr>
          <w:p w:rsidRPr="00BF57FF" w:rsidR="0047448E" w:rsidP="00A70BBB" w:rsidRDefault="0047448E" w14:paraId="2ED92A06"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PRISMA-guided; pooled analysis with 95% CI; I² heterogeneity quantified; multi-state coverage.</w:t>
            </w:r>
          </w:p>
        </w:tc>
        <w:tc>
          <w:tcPr>
            <w:tcW w:w="2261" w:type="dxa"/>
            <w:tcBorders>
              <w:top w:val="single" w:color="85C9B5" w:sz="3" w:space="0"/>
              <w:left w:val="single" w:color="85C9B5" w:sz="3" w:space="0"/>
              <w:bottom w:val="single" w:color="85C9B5" w:sz="3" w:space="0"/>
              <w:right w:val="single" w:color="85C9B5" w:sz="3" w:space="0"/>
            </w:tcBorders>
            <w:shd w:val="clear" w:color="auto" w:fill="FFFFFF"/>
            <w:tcMar>
              <w:top w:w="70" w:type="dxa"/>
              <w:left w:w="90" w:type="dxa"/>
              <w:bottom w:w="70" w:type="dxa"/>
              <w:right w:w="90" w:type="dxa"/>
            </w:tcMar>
            <w:vAlign w:val="center"/>
          </w:tcPr>
          <w:p w:rsidRPr="00BF57FF" w:rsidR="0047448E" w:rsidP="00A70BBB" w:rsidRDefault="0047448E" w14:paraId="5C2DE804" w14:textId="3CF9676F">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Compliance definitions varied across primary studies; publication bias </w:t>
            </w:r>
            <w:r w:rsidRPr="00BF57FF" w:rsidR="00A906ED">
              <w:rPr>
                <w:rFonts w:ascii="Arial" w:hAnsi="Arial" w:cs="Arial"/>
                <w:sz w:val="22"/>
                <w:szCs w:val="22"/>
                <w:lang w:val="en-GB"/>
              </w:rPr>
              <w:t xml:space="preserve">was </w:t>
            </w:r>
            <w:r w:rsidRPr="00BF57FF">
              <w:rPr>
                <w:rFonts w:ascii="Arial" w:hAnsi="Arial" w:cs="Arial"/>
                <w:sz w:val="22"/>
                <w:szCs w:val="22"/>
                <w:lang w:val="en-GB"/>
              </w:rPr>
              <w:t>acknowledged but not fully corrected.</w:t>
            </w:r>
          </w:p>
        </w:tc>
      </w:tr>
      <w:tr w:rsidRPr="00BF57FF" w:rsidR="0047448E" w:rsidTr="0047448E" w14:paraId="70F9CF3D" w14:textId="77777777">
        <w:tc>
          <w:tcPr>
            <w:tcW w:w="360" w:type="dxa"/>
            <w:tcBorders>
              <w:top w:val="single" w:color="85C9B5" w:sz="3" w:space="0"/>
              <w:left w:val="single" w:color="85C9B5" w:sz="3" w:space="0"/>
              <w:bottom w:val="single" w:color="85C9B5" w:sz="3" w:space="0"/>
              <w:right w:val="single" w:color="85C9B5" w:sz="3" w:space="0"/>
            </w:tcBorders>
            <w:shd w:val="clear" w:color="auto" w:fill="EBF9F9"/>
            <w:tcMar>
              <w:top w:w="70" w:type="dxa"/>
              <w:left w:w="90" w:type="dxa"/>
              <w:bottom w:w="70" w:type="dxa"/>
              <w:right w:w="90" w:type="dxa"/>
            </w:tcMar>
            <w:vAlign w:val="center"/>
          </w:tcPr>
          <w:p w:rsidRPr="00BF57FF" w:rsidR="0047448E" w:rsidP="00A70BBB" w:rsidRDefault="0047448E" w14:paraId="4EBB4BBD"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2</w:t>
            </w:r>
          </w:p>
        </w:tc>
        <w:tc>
          <w:tcPr>
            <w:tcW w:w="1592" w:type="dxa"/>
            <w:tcBorders>
              <w:top w:val="single" w:color="85C9B5" w:sz="3" w:space="0"/>
              <w:left w:val="single" w:color="85C9B5" w:sz="3" w:space="0"/>
              <w:bottom w:val="single" w:color="85C9B5" w:sz="3" w:space="0"/>
              <w:right w:val="single" w:color="85C9B5" w:sz="3" w:space="0"/>
            </w:tcBorders>
            <w:shd w:val="clear" w:color="auto" w:fill="EBF9F9"/>
            <w:tcMar>
              <w:top w:w="70" w:type="dxa"/>
              <w:left w:w="90" w:type="dxa"/>
              <w:bottom w:w="70" w:type="dxa"/>
              <w:right w:w="90" w:type="dxa"/>
            </w:tcMar>
            <w:vAlign w:val="center"/>
          </w:tcPr>
          <w:p w:rsidRPr="00BF57FF" w:rsidR="0047448E" w:rsidP="00A70BBB" w:rsidRDefault="0047448E" w14:paraId="02557758"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Gibson et al.</w:t>
            </w:r>
          </w:p>
          <w:p w:rsidRPr="00BF57FF" w:rsidR="0047448E" w:rsidP="00A70BBB" w:rsidRDefault="0047448E" w14:paraId="23D00ABE"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(2022)</w:t>
            </w:r>
          </w:p>
        </w:tc>
        <w:tc>
          <w:tcPr>
            <w:tcW w:w="1605" w:type="dxa"/>
            <w:tcBorders>
              <w:top w:val="single" w:color="85C9B5" w:sz="3" w:space="0"/>
              <w:left w:val="single" w:color="85C9B5" w:sz="3" w:space="0"/>
              <w:bottom w:val="single" w:color="85C9B5" w:sz="3" w:space="0"/>
              <w:right w:val="single" w:color="85C9B5" w:sz="3" w:space="0"/>
            </w:tcBorders>
            <w:shd w:val="clear" w:color="auto" w:fill="EBF9F9"/>
            <w:tcMar>
              <w:top w:w="70" w:type="dxa"/>
              <w:left w:w="90" w:type="dxa"/>
              <w:bottom w:w="70" w:type="dxa"/>
              <w:right w:w="90" w:type="dxa"/>
            </w:tcMar>
            <w:vAlign w:val="center"/>
          </w:tcPr>
          <w:p w:rsidRPr="00BF57FF" w:rsidR="0047448E" w:rsidP="00A70BBB" w:rsidRDefault="0047448E" w14:paraId="7F38CF19"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CASP Cohort</w:t>
            </w:r>
          </w:p>
          <w:p w:rsidRPr="00BF57FF" w:rsidR="0047448E" w:rsidP="00A70BBB" w:rsidRDefault="0047448E" w14:paraId="416DEC24"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Study Checklist</w:t>
            </w:r>
          </w:p>
        </w:tc>
        <w:tc>
          <w:tcPr>
            <w:tcW w:w="1000" w:type="dxa"/>
            <w:tcBorders>
              <w:top w:val="single" w:color="85C9B5" w:sz="3" w:space="0"/>
              <w:left w:val="single" w:color="85C9B5" w:sz="3" w:space="0"/>
              <w:bottom w:val="single" w:color="85C9B5" w:sz="3" w:space="0"/>
              <w:right w:val="single" w:color="85C9B5" w:sz="3" w:space="0"/>
            </w:tcBorders>
            <w:shd w:val="clear" w:color="auto" w:fill="EBF9F9"/>
            <w:tcMar>
              <w:top w:w="70" w:type="dxa"/>
              <w:left w:w="70" w:type="dxa"/>
              <w:bottom w:w="70" w:type="dxa"/>
              <w:right w:w="70" w:type="dxa"/>
            </w:tcMar>
            <w:vAlign w:val="center"/>
          </w:tcPr>
          <w:p w:rsidRPr="00BF57FF" w:rsidR="0047448E" w:rsidP="00A70BBB" w:rsidRDefault="0047448E" w14:paraId="3108F6DF"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High</w:t>
            </w:r>
          </w:p>
        </w:tc>
        <w:tc>
          <w:tcPr>
            <w:tcW w:w="2215" w:type="dxa"/>
            <w:tcBorders>
              <w:top w:val="single" w:color="85C9B5" w:sz="3" w:space="0"/>
              <w:left w:val="single" w:color="85C9B5" w:sz="3" w:space="0"/>
              <w:bottom w:val="single" w:color="85C9B5" w:sz="3" w:space="0"/>
              <w:right w:val="single" w:color="85C9B5" w:sz="3" w:space="0"/>
            </w:tcBorders>
            <w:shd w:val="clear" w:color="auto" w:fill="EBF9F9"/>
            <w:tcMar>
              <w:top w:w="70" w:type="dxa"/>
              <w:left w:w="90" w:type="dxa"/>
              <w:bottom w:w="70" w:type="dxa"/>
              <w:right w:w="90" w:type="dxa"/>
            </w:tcMar>
            <w:vAlign w:val="center"/>
          </w:tcPr>
          <w:p w:rsidRPr="00BF57FF" w:rsidR="0047448E" w:rsidP="00A70BBB" w:rsidRDefault="0047448E" w14:paraId="3FF3A207"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Multi-year longitudinal data (2009–2020); prospective programme evaluation; clearly defined human and canine outcome measures.</w:t>
            </w:r>
          </w:p>
        </w:tc>
        <w:tc>
          <w:tcPr>
            <w:tcW w:w="2261" w:type="dxa"/>
            <w:tcBorders>
              <w:top w:val="single" w:color="85C9B5" w:sz="3" w:space="0"/>
              <w:left w:val="single" w:color="85C9B5" w:sz="3" w:space="0"/>
              <w:bottom w:val="single" w:color="85C9B5" w:sz="3" w:space="0"/>
              <w:right w:val="single" w:color="85C9B5" w:sz="3" w:space="0"/>
            </w:tcBorders>
            <w:shd w:val="clear" w:color="auto" w:fill="EBF9F9"/>
            <w:tcMar>
              <w:top w:w="70" w:type="dxa"/>
              <w:left w:w="90" w:type="dxa"/>
              <w:bottom w:w="70" w:type="dxa"/>
              <w:right w:w="90" w:type="dxa"/>
            </w:tcMar>
            <w:vAlign w:val="center"/>
          </w:tcPr>
          <w:p w:rsidRPr="00BF57FF" w:rsidR="0047448E" w:rsidP="00A70BBB" w:rsidRDefault="0047448E" w14:paraId="009BB84B"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Single state (Goa) limits generalisability; no concurrent control population; some confounders not fully quantified.</w:t>
            </w:r>
          </w:p>
        </w:tc>
      </w:tr>
      <w:tr w:rsidRPr="00BF57FF" w:rsidR="0047448E" w:rsidTr="0047448E" w14:paraId="2BC736F8" w14:textId="77777777">
        <w:tc>
          <w:tcPr>
            <w:tcW w:w="360" w:type="dxa"/>
            <w:tcBorders>
              <w:top w:val="single" w:color="85C9B5" w:sz="3" w:space="0"/>
              <w:left w:val="single" w:color="85C9B5" w:sz="3" w:space="0"/>
              <w:bottom w:val="single" w:color="85C9B5" w:sz="3" w:space="0"/>
              <w:right w:val="single" w:color="85C9B5" w:sz="3" w:space="0"/>
            </w:tcBorders>
            <w:shd w:val="clear" w:color="auto" w:fill="FFFFFF"/>
            <w:tcMar>
              <w:top w:w="70" w:type="dxa"/>
              <w:left w:w="90" w:type="dxa"/>
              <w:bottom w:w="70" w:type="dxa"/>
              <w:right w:w="90" w:type="dxa"/>
            </w:tcMar>
            <w:vAlign w:val="center"/>
          </w:tcPr>
          <w:p w:rsidRPr="00BF57FF" w:rsidR="0047448E" w:rsidP="00A70BBB" w:rsidRDefault="0047448E" w14:paraId="3A9047A1"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3</w:t>
            </w:r>
          </w:p>
        </w:tc>
        <w:tc>
          <w:tcPr>
            <w:tcW w:w="1592" w:type="dxa"/>
            <w:tcBorders>
              <w:top w:val="single" w:color="85C9B5" w:sz="3" w:space="0"/>
              <w:left w:val="single" w:color="85C9B5" w:sz="3" w:space="0"/>
              <w:bottom w:val="single" w:color="85C9B5" w:sz="3" w:space="0"/>
              <w:right w:val="single" w:color="85C9B5" w:sz="3" w:space="0"/>
            </w:tcBorders>
            <w:shd w:val="clear" w:color="auto" w:fill="FFFFFF"/>
            <w:tcMar>
              <w:top w:w="70" w:type="dxa"/>
              <w:left w:w="90" w:type="dxa"/>
              <w:bottom w:w="70" w:type="dxa"/>
              <w:right w:w="90" w:type="dxa"/>
            </w:tcMar>
            <w:vAlign w:val="center"/>
          </w:tcPr>
          <w:p w:rsidRPr="00BF57FF" w:rsidR="0047448E" w:rsidP="00A70BBB" w:rsidRDefault="0047448E" w14:paraId="4C18C33B"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Radhakrishnan</w:t>
            </w:r>
          </w:p>
          <w:p w:rsidRPr="00BF57FF" w:rsidR="0047448E" w:rsidP="00A70BBB" w:rsidRDefault="0047448E" w14:paraId="6D067CCE"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et al. (2020)</w:t>
            </w:r>
          </w:p>
        </w:tc>
        <w:tc>
          <w:tcPr>
            <w:tcW w:w="1605" w:type="dxa"/>
            <w:tcBorders>
              <w:top w:val="single" w:color="85C9B5" w:sz="3" w:space="0"/>
              <w:left w:val="single" w:color="85C9B5" w:sz="3" w:space="0"/>
              <w:bottom w:val="single" w:color="85C9B5" w:sz="3" w:space="0"/>
              <w:right w:val="single" w:color="85C9B5" w:sz="3" w:space="0"/>
            </w:tcBorders>
            <w:shd w:val="clear" w:color="auto" w:fill="FFFFFF"/>
            <w:tcMar>
              <w:top w:w="70" w:type="dxa"/>
              <w:left w:w="90" w:type="dxa"/>
              <w:bottom w:w="70" w:type="dxa"/>
              <w:right w:w="90" w:type="dxa"/>
            </w:tcMar>
            <w:vAlign w:val="center"/>
          </w:tcPr>
          <w:p w:rsidRPr="00BF57FF" w:rsidR="0047448E" w:rsidP="00A70BBB" w:rsidRDefault="0047448E" w14:paraId="2CEEEAE4"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Narrative Quality</w:t>
            </w:r>
          </w:p>
          <w:p w:rsidRPr="00BF57FF" w:rsidR="0047448E" w:rsidP="00A70BBB" w:rsidRDefault="0047448E" w14:paraId="64B5F0A3"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Appraisal</w:t>
            </w:r>
          </w:p>
        </w:tc>
        <w:tc>
          <w:tcPr>
            <w:tcW w:w="1000" w:type="dxa"/>
            <w:tcBorders>
              <w:top w:val="single" w:color="85C9B5" w:sz="3" w:space="0"/>
              <w:left w:val="single" w:color="85C9B5" w:sz="3" w:space="0"/>
              <w:bottom w:val="single" w:color="85C9B5" w:sz="3" w:space="0"/>
              <w:right w:val="single" w:color="85C9B5" w:sz="3" w:space="0"/>
            </w:tcBorders>
            <w:shd w:val="clear" w:color="auto" w:fill="FFFFFF"/>
            <w:tcMar>
              <w:top w:w="70" w:type="dxa"/>
              <w:left w:w="70" w:type="dxa"/>
              <w:bottom w:w="70" w:type="dxa"/>
              <w:right w:w="70" w:type="dxa"/>
            </w:tcMar>
            <w:vAlign w:val="center"/>
          </w:tcPr>
          <w:p w:rsidRPr="00BF57FF" w:rsidR="0047448E" w:rsidP="00A70BBB" w:rsidRDefault="0047448E" w14:paraId="32DD85D1"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Moderate</w:t>
            </w:r>
          </w:p>
        </w:tc>
        <w:tc>
          <w:tcPr>
            <w:tcW w:w="2215" w:type="dxa"/>
            <w:tcBorders>
              <w:top w:val="single" w:color="85C9B5" w:sz="3" w:space="0"/>
              <w:left w:val="single" w:color="85C9B5" w:sz="3" w:space="0"/>
              <w:bottom w:val="single" w:color="85C9B5" w:sz="3" w:space="0"/>
              <w:right w:val="single" w:color="85C9B5" w:sz="3" w:space="0"/>
            </w:tcBorders>
            <w:shd w:val="clear" w:color="auto" w:fill="FFFFFF"/>
            <w:tcMar>
              <w:top w:w="70" w:type="dxa"/>
              <w:left w:w="90" w:type="dxa"/>
              <w:bottom w:w="70" w:type="dxa"/>
              <w:right w:w="90" w:type="dxa"/>
            </w:tcMar>
            <w:vAlign w:val="center"/>
          </w:tcPr>
          <w:p w:rsidRPr="00BF57FF" w:rsidR="0047448E" w:rsidP="00A70BBB" w:rsidRDefault="0047448E" w14:paraId="77636C47"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Comprehensive historical scope; transparent analytical rationale; multi-source evidence base spanning over a century.</w:t>
            </w:r>
          </w:p>
        </w:tc>
        <w:tc>
          <w:tcPr>
            <w:tcW w:w="2261" w:type="dxa"/>
            <w:tcBorders>
              <w:top w:val="single" w:color="85C9B5" w:sz="3" w:space="0"/>
              <w:left w:val="single" w:color="85C9B5" w:sz="3" w:space="0"/>
              <w:bottom w:val="single" w:color="85C9B5" w:sz="3" w:space="0"/>
              <w:right w:val="single" w:color="85C9B5" w:sz="3" w:space="0"/>
            </w:tcBorders>
            <w:shd w:val="clear" w:color="auto" w:fill="FFFFFF"/>
            <w:tcMar>
              <w:top w:w="70" w:type="dxa"/>
              <w:left w:w="90" w:type="dxa"/>
              <w:bottom w:w="70" w:type="dxa"/>
              <w:right w:w="90" w:type="dxa"/>
            </w:tcMar>
            <w:vAlign w:val="center"/>
          </w:tcPr>
          <w:p w:rsidRPr="00BF57FF" w:rsidR="0047448E" w:rsidP="00A70BBB" w:rsidRDefault="0047448E" w14:paraId="3C3DD954"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No quantitative outcome data; analytical framework not fully operationalised; potential interpretive bias in source selection.</w:t>
            </w:r>
          </w:p>
        </w:tc>
      </w:tr>
      <w:tr w:rsidRPr="00BF57FF" w:rsidR="0047448E" w:rsidTr="0047448E" w14:paraId="59FB0BB8" w14:textId="77777777">
        <w:tc>
          <w:tcPr>
            <w:tcW w:w="360" w:type="dxa"/>
            <w:tcBorders>
              <w:top w:val="single" w:color="85C9B5" w:sz="3" w:space="0"/>
              <w:left w:val="single" w:color="85C9B5" w:sz="3" w:space="0"/>
              <w:bottom w:val="single" w:color="85C9B5" w:sz="3" w:space="0"/>
              <w:right w:val="single" w:color="85C9B5" w:sz="3" w:space="0"/>
            </w:tcBorders>
            <w:shd w:val="clear" w:color="auto" w:fill="EBF9F9"/>
            <w:tcMar>
              <w:top w:w="70" w:type="dxa"/>
              <w:left w:w="90" w:type="dxa"/>
              <w:bottom w:w="70" w:type="dxa"/>
              <w:right w:w="90" w:type="dxa"/>
            </w:tcMar>
            <w:vAlign w:val="center"/>
          </w:tcPr>
          <w:p w:rsidRPr="00BF57FF" w:rsidR="0047448E" w:rsidP="00A70BBB" w:rsidRDefault="0047448E" w14:paraId="14949E90"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4</w:t>
            </w:r>
          </w:p>
        </w:tc>
        <w:tc>
          <w:tcPr>
            <w:tcW w:w="1592" w:type="dxa"/>
            <w:tcBorders>
              <w:top w:val="single" w:color="85C9B5" w:sz="3" w:space="0"/>
              <w:left w:val="single" w:color="85C9B5" w:sz="3" w:space="0"/>
              <w:bottom w:val="single" w:color="85C9B5" w:sz="3" w:space="0"/>
              <w:right w:val="single" w:color="85C9B5" w:sz="3" w:space="0"/>
            </w:tcBorders>
            <w:shd w:val="clear" w:color="auto" w:fill="EBF9F9"/>
            <w:tcMar>
              <w:top w:w="70" w:type="dxa"/>
              <w:left w:w="90" w:type="dxa"/>
              <w:bottom w:w="70" w:type="dxa"/>
              <w:right w:w="90" w:type="dxa"/>
            </w:tcMar>
            <w:vAlign w:val="center"/>
          </w:tcPr>
          <w:p w:rsidRPr="00BF57FF" w:rsidR="0047448E" w:rsidP="00A70BBB" w:rsidRDefault="0047448E" w14:paraId="2493C551"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Sahu et al.</w:t>
            </w:r>
          </w:p>
          <w:p w:rsidRPr="00BF57FF" w:rsidR="0047448E" w:rsidP="00A70BBB" w:rsidRDefault="0047448E" w14:paraId="54058772"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(2021)</w:t>
            </w:r>
          </w:p>
        </w:tc>
        <w:tc>
          <w:tcPr>
            <w:tcW w:w="1605" w:type="dxa"/>
            <w:tcBorders>
              <w:top w:val="single" w:color="85C9B5" w:sz="3" w:space="0"/>
              <w:left w:val="single" w:color="85C9B5" w:sz="3" w:space="0"/>
              <w:bottom w:val="single" w:color="85C9B5" w:sz="3" w:space="0"/>
              <w:right w:val="single" w:color="85C9B5" w:sz="3" w:space="0"/>
            </w:tcBorders>
            <w:shd w:val="clear" w:color="auto" w:fill="EBF9F9"/>
            <w:tcMar>
              <w:top w:w="70" w:type="dxa"/>
              <w:left w:w="90" w:type="dxa"/>
              <w:bottom w:w="70" w:type="dxa"/>
              <w:right w:w="90" w:type="dxa"/>
            </w:tcMar>
            <w:vAlign w:val="center"/>
          </w:tcPr>
          <w:p w:rsidRPr="00BF57FF" w:rsidR="0047448E" w:rsidP="00A70BBB" w:rsidRDefault="0047448E" w14:paraId="732A0424"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AXIS Tool</w:t>
            </w:r>
          </w:p>
          <w:p w:rsidRPr="00BF57FF" w:rsidR="0047448E" w:rsidP="00A70BBB" w:rsidRDefault="0047448E" w14:paraId="2DEDD037"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(Cross-Sectional</w:t>
            </w:r>
          </w:p>
          <w:p w:rsidRPr="00BF57FF" w:rsidR="0047448E" w:rsidP="00A70BBB" w:rsidRDefault="0047448E" w14:paraId="1759A0A1"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Studies)</w:t>
            </w:r>
          </w:p>
        </w:tc>
        <w:tc>
          <w:tcPr>
            <w:tcW w:w="1000" w:type="dxa"/>
            <w:tcBorders>
              <w:top w:val="single" w:color="85C9B5" w:sz="3" w:space="0"/>
              <w:left w:val="single" w:color="85C9B5" w:sz="3" w:space="0"/>
              <w:bottom w:val="single" w:color="85C9B5" w:sz="3" w:space="0"/>
              <w:right w:val="single" w:color="85C9B5" w:sz="3" w:space="0"/>
            </w:tcBorders>
            <w:shd w:val="clear" w:color="auto" w:fill="EBF9F9"/>
            <w:tcMar>
              <w:top w:w="70" w:type="dxa"/>
              <w:left w:w="70" w:type="dxa"/>
              <w:bottom w:w="70" w:type="dxa"/>
              <w:right w:w="70" w:type="dxa"/>
            </w:tcMar>
            <w:vAlign w:val="center"/>
          </w:tcPr>
          <w:p w:rsidRPr="00BF57FF" w:rsidR="0047448E" w:rsidP="00A70BBB" w:rsidRDefault="0047448E" w14:paraId="64740160"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Moderate</w:t>
            </w:r>
          </w:p>
        </w:tc>
        <w:tc>
          <w:tcPr>
            <w:tcW w:w="2215" w:type="dxa"/>
            <w:tcBorders>
              <w:top w:val="single" w:color="85C9B5" w:sz="3" w:space="0"/>
              <w:left w:val="single" w:color="85C9B5" w:sz="3" w:space="0"/>
              <w:bottom w:val="single" w:color="85C9B5" w:sz="3" w:space="0"/>
              <w:right w:val="single" w:color="85C9B5" w:sz="3" w:space="0"/>
            </w:tcBorders>
            <w:shd w:val="clear" w:color="auto" w:fill="EBF9F9"/>
            <w:tcMar>
              <w:top w:w="70" w:type="dxa"/>
              <w:left w:w="90" w:type="dxa"/>
              <w:bottom w:w="70" w:type="dxa"/>
              <w:right w:w="90" w:type="dxa"/>
            </w:tcMar>
            <w:vAlign w:val="center"/>
          </w:tcPr>
          <w:p w:rsidRPr="00BF57FF" w:rsidR="0047448E" w:rsidP="00A70BBB" w:rsidRDefault="0047448E" w14:paraId="5165A541"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Clearly defined population; both patient and CHW </w:t>
            </w:r>
            <w:r w:rsidRPr="00BF57FF">
              <w:rPr>
                <w:rFonts w:ascii="Arial" w:hAnsi="Arial" w:cs="Arial"/>
                <w:sz w:val="22"/>
                <w:szCs w:val="22"/>
                <w:lang w:val="en-GB"/>
              </w:rPr>
              <w:t>outcomes measured; rural setting adds ecological validity.</w:t>
            </w:r>
          </w:p>
        </w:tc>
        <w:tc>
          <w:tcPr>
            <w:tcW w:w="2261" w:type="dxa"/>
            <w:tcBorders>
              <w:top w:val="single" w:color="85C9B5" w:sz="3" w:space="0"/>
              <w:left w:val="single" w:color="85C9B5" w:sz="3" w:space="0"/>
              <w:bottom w:val="single" w:color="85C9B5" w:sz="3" w:space="0"/>
              <w:right w:val="single" w:color="85C9B5" w:sz="3" w:space="0"/>
            </w:tcBorders>
            <w:shd w:val="clear" w:color="auto" w:fill="EBF9F9"/>
            <w:tcMar>
              <w:top w:w="70" w:type="dxa"/>
              <w:left w:w="90" w:type="dxa"/>
              <w:bottom w:w="70" w:type="dxa"/>
              <w:right w:w="90" w:type="dxa"/>
            </w:tcMar>
            <w:vAlign w:val="center"/>
          </w:tcPr>
          <w:p w:rsidRPr="00BF57FF" w:rsidR="0047448E" w:rsidP="00A70BBB" w:rsidRDefault="0047448E" w14:paraId="43817F3C"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Small sample (n=138 patients; n=71 CHWs); single </w:t>
            </w:r>
            <w:r w:rsidRPr="00BF57FF">
              <w:rPr>
                <w:rFonts w:ascii="Arial" w:hAnsi="Arial" w:cs="Arial"/>
                <w:sz w:val="22"/>
                <w:szCs w:val="22"/>
                <w:lang w:val="en-GB"/>
              </w:rPr>
              <w:t>district; self-reported CHW knowledge may involve social desirability bias.</w:t>
            </w:r>
          </w:p>
        </w:tc>
      </w:tr>
      <w:tr w:rsidRPr="00BF57FF" w:rsidR="0047448E" w:rsidTr="0047448E" w14:paraId="5AC396D7" w14:textId="77777777">
        <w:tc>
          <w:tcPr>
            <w:tcW w:w="360" w:type="dxa"/>
            <w:tcBorders>
              <w:top w:val="single" w:color="85C9B5" w:sz="3" w:space="0"/>
              <w:left w:val="single" w:color="85C9B5" w:sz="3" w:space="0"/>
              <w:bottom w:val="single" w:color="85C9B5" w:sz="3" w:space="0"/>
              <w:right w:val="single" w:color="85C9B5" w:sz="3" w:space="0"/>
            </w:tcBorders>
            <w:shd w:val="clear" w:color="auto" w:fill="FFFFFF"/>
            <w:tcMar>
              <w:top w:w="70" w:type="dxa"/>
              <w:left w:w="90" w:type="dxa"/>
              <w:bottom w:w="70" w:type="dxa"/>
              <w:right w:w="90" w:type="dxa"/>
            </w:tcMar>
            <w:vAlign w:val="center"/>
          </w:tcPr>
          <w:p w:rsidRPr="00BF57FF" w:rsidR="0047448E" w:rsidP="00A70BBB" w:rsidRDefault="0047448E" w14:paraId="0EFD7367"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5</w:t>
            </w:r>
          </w:p>
        </w:tc>
        <w:tc>
          <w:tcPr>
            <w:tcW w:w="1592" w:type="dxa"/>
            <w:tcBorders>
              <w:top w:val="single" w:color="85C9B5" w:sz="3" w:space="0"/>
              <w:left w:val="single" w:color="85C9B5" w:sz="3" w:space="0"/>
              <w:bottom w:val="single" w:color="85C9B5" w:sz="3" w:space="0"/>
              <w:right w:val="single" w:color="85C9B5" w:sz="3" w:space="0"/>
            </w:tcBorders>
            <w:shd w:val="clear" w:color="auto" w:fill="FFFFFF"/>
            <w:tcMar>
              <w:top w:w="70" w:type="dxa"/>
              <w:left w:w="90" w:type="dxa"/>
              <w:bottom w:w="70" w:type="dxa"/>
              <w:right w:w="90" w:type="dxa"/>
            </w:tcMar>
            <w:vAlign w:val="center"/>
          </w:tcPr>
          <w:p w:rsidRPr="00BF57FF" w:rsidR="0047448E" w:rsidP="00A70BBB" w:rsidRDefault="0047448E" w14:paraId="2C40FCED"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Thangaraj et al.</w:t>
            </w:r>
          </w:p>
          <w:p w:rsidRPr="00BF57FF" w:rsidR="0047448E" w:rsidP="00A70BBB" w:rsidRDefault="0047448E" w14:paraId="5433E703"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(2025)</w:t>
            </w:r>
          </w:p>
        </w:tc>
        <w:tc>
          <w:tcPr>
            <w:tcW w:w="1605" w:type="dxa"/>
            <w:tcBorders>
              <w:top w:val="single" w:color="85C9B5" w:sz="3" w:space="0"/>
              <w:left w:val="single" w:color="85C9B5" w:sz="3" w:space="0"/>
              <w:bottom w:val="single" w:color="85C9B5" w:sz="3" w:space="0"/>
              <w:right w:val="single" w:color="85C9B5" w:sz="3" w:space="0"/>
            </w:tcBorders>
            <w:shd w:val="clear" w:color="auto" w:fill="FFFFFF"/>
            <w:tcMar>
              <w:top w:w="70" w:type="dxa"/>
              <w:left w:w="90" w:type="dxa"/>
              <w:bottom w:w="70" w:type="dxa"/>
              <w:right w:w="90" w:type="dxa"/>
            </w:tcMar>
            <w:vAlign w:val="center"/>
          </w:tcPr>
          <w:p w:rsidRPr="00BF57FF" w:rsidR="0047448E" w:rsidP="00A70BBB" w:rsidRDefault="0047448E" w14:paraId="663252E7"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AXIS Tool</w:t>
            </w:r>
          </w:p>
        </w:tc>
        <w:tc>
          <w:tcPr>
            <w:tcW w:w="1000" w:type="dxa"/>
            <w:tcBorders>
              <w:top w:val="single" w:color="85C9B5" w:sz="3" w:space="0"/>
              <w:left w:val="single" w:color="85C9B5" w:sz="3" w:space="0"/>
              <w:bottom w:val="single" w:color="85C9B5" w:sz="3" w:space="0"/>
              <w:right w:val="single" w:color="85C9B5" w:sz="3" w:space="0"/>
            </w:tcBorders>
            <w:shd w:val="clear" w:color="auto" w:fill="FFFFFF"/>
            <w:tcMar>
              <w:top w:w="70" w:type="dxa"/>
              <w:left w:w="70" w:type="dxa"/>
              <w:bottom w:w="70" w:type="dxa"/>
              <w:right w:w="70" w:type="dxa"/>
            </w:tcMar>
            <w:vAlign w:val="center"/>
          </w:tcPr>
          <w:p w:rsidRPr="00BF57FF" w:rsidR="0047448E" w:rsidP="00A70BBB" w:rsidRDefault="0047448E" w14:paraId="33A34894"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High</w:t>
            </w:r>
          </w:p>
        </w:tc>
        <w:tc>
          <w:tcPr>
            <w:tcW w:w="2215" w:type="dxa"/>
            <w:tcBorders>
              <w:top w:val="single" w:color="85C9B5" w:sz="3" w:space="0"/>
              <w:left w:val="single" w:color="85C9B5" w:sz="3" w:space="0"/>
              <w:bottom w:val="single" w:color="85C9B5" w:sz="3" w:space="0"/>
              <w:right w:val="single" w:color="85C9B5" w:sz="3" w:space="0"/>
            </w:tcBorders>
            <w:shd w:val="clear" w:color="auto" w:fill="FFFFFF"/>
            <w:tcMar>
              <w:top w:w="70" w:type="dxa"/>
              <w:left w:w="90" w:type="dxa"/>
              <w:bottom w:w="70" w:type="dxa"/>
              <w:right w:w="90" w:type="dxa"/>
            </w:tcMar>
            <w:vAlign w:val="center"/>
          </w:tcPr>
          <w:p w:rsidRPr="00BF57FF" w:rsidR="0047448E" w:rsidP="00A70BBB" w:rsidRDefault="0047448E" w14:paraId="1A241562"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Nationally representative multi-state design; probabilistic modelling with uncertainty bounds; first community-level national estimate in ~20 years.</w:t>
            </w:r>
          </w:p>
        </w:tc>
        <w:tc>
          <w:tcPr>
            <w:tcW w:w="2261" w:type="dxa"/>
            <w:tcBorders>
              <w:top w:val="single" w:color="85C9B5" w:sz="3" w:space="0"/>
              <w:left w:val="single" w:color="85C9B5" w:sz="3" w:space="0"/>
              <w:bottom w:val="single" w:color="85C9B5" w:sz="3" w:space="0"/>
              <w:right w:val="single" w:color="85C9B5" w:sz="3" w:space="0"/>
            </w:tcBorders>
            <w:shd w:val="clear" w:color="auto" w:fill="FFFFFF"/>
            <w:tcMar>
              <w:top w:w="70" w:type="dxa"/>
              <w:left w:w="90" w:type="dxa"/>
              <w:bottom w:w="70" w:type="dxa"/>
              <w:right w:w="90" w:type="dxa"/>
            </w:tcMar>
            <w:vAlign w:val="center"/>
          </w:tcPr>
          <w:p w:rsidRPr="00BF57FF" w:rsidR="0047448E" w:rsidP="00A70BBB" w:rsidRDefault="00A906ED" w14:paraId="75550C3E" w14:textId="605E503E">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The decision-tree</w:t>
            </w:r>
            <w:r w:rsidRPr="00BF57FF" w:rsidR="0047448E">
              <w:rPr>
                <w:rFonts w:ascii="Arial" w:hAnsi="Arial" w:cs="Arial"/>
                <w:sz w:val="22"/>
                <w:szCs w:val="22"/>
                <w:lang w:val="en-GB"/>
              </w:rPr>
              <w:t xml:space="preserve"> model relies on assumption-based probabilities; </w:t>
            </w:r>
            <w:r w:rsidRPr="00BF57FF">
              <w:rPr>
                <w:rFonts w:ascii="Arial" w:hAnsi="Arial" w:cs="Arial"/>
                <w:sz w:val="22"/>
                <w:szCs w:val="22"/>
                <w:lang w:val="en-GB"/>
              </w:rPr>
              <w:t xml:space="preserve">the </w:t>
            </w:r>
            <w:r w:rsidRPr="00BF57FF" w:rsidR="0047448E">
              <w:rPr>
                <w:rFonts w:ascii="Arial" w:hAnsi="Arial" w:cs="Arial"/>
                <w:sz w:val="22"/>
                <w:szCs w:val="22"/>
                <w:lang w:val="en-GB"/>
              </w:rPr>
              <w:t xml:space="preserve">verbal autopsy method may misclassify </w:t>
            </w:r>
            <w:r w:rsidRPr="00BF57FF">
              <w:rPr>
                <w:rFonts w:ascii="Arial" w:hAnsi="Arial" w:cs="Arial"/>
                <w:sz w:val="22"/>
                <w:szCs w:val="22"/>
                <w:lang w:val="en-GB"/>
              </w:rPr>
              <w:t xml:space="preserve">the </w:t>
            </w:r>
            <w:r w:rsidRPr="00BF57FF" w:rsidR="0047448E">
              <w:rPr>
                <w:rFonts w:ascii="Arial" w:hAnsi="Arial" w:cs="Arial"/>
                <w:sz w:val="22"/>
                <w:szCs w:val="22"/>
                <w:lang w:val="en-GB"/>
              </w:rPr>
              <w:t>cause of death.</w:t>
            </w:r>
          </w:p>
        </w:tc>
      </w:tr>
      <w:tr w:rsidRPr="00BF57FF" w:rsidR="0047448E" w:rsidTr="0047448E" w14:paraId="328EEF2F" w14:textId="77777777">
        <w:tc>
          <w:tcPr>
            <w:tcW w:w="360" w:type="dxa"/>
            <w:tcBorders>
              <w:top w:val="single" w:color="85C9B5" w:sz="3" w:space="0"/>
              <w:left w:val="single" w:color="85C9B5" w:sz="3" w:space="0"/>
              <w:bottom w:val="single" w:color="85C9B5" w:sz="3" w:space="0"/>
              <w:right w:val="single" w:color="85C9B5" w:sz="3" w:space="0"/>
            </w:tcBorders>
            <w:shd w:val="clear" w:color="auto" w:fill="EBF9F9"/>
            <w:tcMar>
              <w:top w:w="70" w:type="dxa"/>
              <w:left w:w="90" w:type="dxa"/>
              <w:bottom w:w="70" w:type="dxa"/>
              <w:right w:w="90" w:type="dxa"/>
            </w:tcMar>
            <w:vAlign w:val="center"/>
          </w:tcPr>
          <w:p w:rsidRPr="00BF57FF" w:rsidR="0047448E" w:rsidP="00A70BBB" w:rsidRDefault="0047448E" w14:paraId="1C7E9ABD"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6</w:t>
            </w:r>
          </w:p>
        </w:tc>
        <w:tc>
          <w:tcPr>
            <w:tcW w:w="1592" w:type="dxa"/>
            <w:tcBorders>
              <w:top w:val="single" w:color="85C9B5" w:sz="3" w:space="0"/>
              <w:left w:val="single" w:color="85C9B5" w:sz="3" w:space="0"/>
              <w:bottom w:val="single" w:color="85C9B5" w:sz="3" w:space="0"/>
              <w:right w:val="single" w:color="85C9B5" w:sz="3" w:space="0"/>
            </w:tcBorders>
            <w:shd w:val="clear" w:color="auto" w:fill="EBF9F9"/>
            <w:tcMar>
              <w:top w:w="70" w:type="dxa"/>
              <w:left w:w="90" w:type="dxa"/>
              <w:bottom w:w="70" w:type="dxa"/>
              <w:right w:w="90" w:type="dxa"/>
            </w:tcMar>
            <w:vAlign w:val="center"/>
          </w:tcPr>
          <w:p w:rsidRPr="00BF57FF" w:rsidR="0047448E" w:rsidP="00A70BBB" w:rsidRDefault="0047448E" w14:paraId="4002F5F7"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Sivagurunathan</w:t>
            </w:r>
          </w:p>
          <w:p w:rsidRPr="00BF57FF" w:rsidR="0047448E" w:rsidP="00A70BBB" w:rsidRDefault="0047448E" w14:paraId="4CA2CC23"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et al. (2021)</w:t>
            </w:r>
          </w:p>
        </w:tc>
        <w:tc>
          <w:tcPr>
            <w:tcW w:w="1605" w:type="dxa"/>
            <w:tcBorders>
              <w:top w:val="single" w:color="85C9B5" w:sz="3" w:space="0"/>
              <w:left w:val="single" w:color="85C9B5" w:sz="3" w:space="0"/>
              <w:bottom w:val="single" w:color="85C9B5" w:sz="3" w:space="0"/>
              <w:right w:val="single" w:color="85C9B5" w:sz="3" w:space="0"/>
            </w:tcBorders>
            <w:shd w:val="clear" w:color="auto" w:fill="EBF9F9"/>
            <w:tcMar>
              <w:top w:w="70" w:type="dxa"/>
              <w:left w:w="90" w:type="dxa"/>
              <w:bottom w:w="70" w:type="dxa"/>
              <w:right w:w="90" w:type="dxa"/>
            </w:tcMar>
            <w:vAlign w:val="center"/>
          </w:tcPr>
          <w:p w:rsidRPr="00BF57FF" w:rsidR="0047448E" w:rsidP="00A70BBB" w:rsidRDefault="0047448E" w14:paraId="1C7E3887"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AXIS Tool</w:t>
            </w:r>
          </w:p>
        </w:tc>
        <w:tc>
          <w:tcPr>
            <w:tcW w:w="1000" w:type="dxa"/>
            <w:tcBorders>
              <w:top w:val="single" w:color="85C9B5" w:sz="3" w:space="0"/>
              <w:left w:val="single" w:color="85C9B5" w:sz="3" w:space="0"/>
              <w:bottom w:val="single" w:color="85C9B5" w:sz="3" w:space="0"/>
              <w:right w:val="single" w:color="85C9B5" w:sz="3" w:space="0"/>
            </w:tcBorders>
            <w:shd w:val="clear" w:color="auto" w:fill="EBF9F9"/>
            <w:tcMar>
              <w:top w:w="70" w:type="dxa"/>
              <w:left w:w="70" w:type="dxa"/>
              <w:bottom w:w="70" w:type="dxa"/>
              <w:right w:w="70" w:type="dxa"/>
            </w:tcMar>
            <w:vAlign w:val="center"/>
          </w:tcPr>
          <w:p w:rsidRPr="00BF57FF" w:rsidR="0047448E" w:rsidP="00A70BBB" w:rsidRDefault="0047448E" w14:paraId="314B5668"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Moderate</w:t>
            </w:r>
          </w:p>
        </w:tc>
        <w:tc>
          <w:tcPr>
            <w:tcW w:w="2215" w:type="dxa"/>
            <w:tcBorders>
              <w:top w:val="single" w:color="85C9B5" w:sz="3" w:space="0"/>
              <w:left w:val="single" w:color="85C9B5" w:sz="3" w:space="0"/>
              <w:bottom w:val="single" w:color="85C9B5" w:sz="3" w:space="0"/>
              <w:right w:val="single" w:color="85C9B5" w:sz="3" w:space="0"/>
            </w:tcBorders>
            <w:shd w:val="clear" w:color="auto" w:fill="EBF9F9"/>
            <w:tcMar>
              <w:top w:w="70" w:type="dxa"/>
              <w:left w:w="90" w:type="dxa"/>
              <w:bottom w:w="70" w:type="dxa"/>
              <w:right w:w="90" w:type="dxa"/>
            </w:tcMar>
            <w:vAlign w:val="center"/>
          </w:tcPr>
          <w:p w:rsidRPr="00BF57FF" w:rsidR="0047448E" w:rsidP="00A70BBB" w:rsidRDefault="0047448E" w14:paraId="323E9293"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Standardised KAP instrument; adequate urban sample; outcome definitions clear and reproducible.</w:t>
            </w:r>
          </w:p>
        </w:tc>
        <w:tc>
          <w:tcPr>
            <w:tcW w:w="2261" w:type="dxa"/>
            <w:tcBorders>
              <w:top w:val="single" w:color="85C9B5" w:sz="3" w:space="0"/>
              <w:left w:val="single" w:color="85C9B5" w:sz="3" w:space="0"/>
              <w:bottom w:val="single" w:color="85C9B5" w:sz="3" w:space="0"/>
              <w:right w:val="single" w:color="85C9B5" w:sz="3" w:space="0"/>
            </w:tcBorders>
            <w:shd w:val="clear" w:color="auto" w:fill="EBF9F9"/>
            <w:tcMar>
              <w:top w:w="70" w:type="dxa"/>
              <w:left w:w="90" w:type="dxa"/>
              <w:bottom w:w="70" w:type="dxa"/>
              <w:right w:w="90" w:type="dxa"/>
            </w:tcMar>
            <w:vAlign w:val="center"/>
          </w:tcPr>
          <w:p w:rsidRPr="00BF57FF" w:rsidR="0047448E" w:rsidP="00A70BBB" w:rsidRDefault="0047448E" w14:paraId="2589CD1F"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Urban (Chennai) setting only; convenience sampling limits representativeness; social desirability bias in practice reporting possible.</w:t>
            </w:r>
          </w:p>
        </w:tc>
      </w:tr>
      <w:tr w:rsidRPr="00BF57FF" w:rsidR="0047448E" w:rsidTr="0047448E" w14:paraId="65151FC7" w14:textId="77777777">
        <w:tc>
          <w:tcPr>
            <w:tcW w:w="360" w:type="dxa"/>
            <w:tcBorders>
              <w:top w:val="single" w:color="85C9B5" w:sz="3" w:space="0"/>
              <w:left w:val="single" w:color="85C9B5" w:sz="3" w:space="0"/>
              <w:bottom w:val="single" w:color="85C9B5" w:sz="3" w:space="0"/>
              <w:right w:val="single" w:color="85C9B5" w:sz="3" w:space="0"/>
            </w:tcBorders>
            <w:shd w:val="clear" w:color="auto" w:fill="FFFFFF"/>
            <w:tcMar>
              <w:top w:w="70" w:type="dxa"/>
              <w:left w:w="90" w:type="dxa"/>
              <w:bottom w:w="70" w:type="dxa"/>
              <w:right w:w="90" w:type="dxa"/>
            </w:tcMar>
            <w:vAlign w:val="center"/>
          </w:tcPr>
          <w:p w:rsidRPr="00BF57FF" w:rsidR="0047448E" w:rsidP="00A70BBB" w:rsidRDefault="0047448E" w14:paraId="307ABE82"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7</w:t>
            </w:r>
          </w:p>
        </w:tc>
        <w:tc>
          <w:tcPr>
            <w:tcW w:w="1592" w:type="dxa"/>
            <w:tcBorders>
              <w:top w:val="single" w:color="85C9B5" w:sz="3" w:space="0"/>
              <w:left w:val="single" w:color="85C9B5" w:sz="3" w:space="0"/>
              <w:bottom w:val="single" w:color="85C9B5" w:sz="3" w:space="0"/>
              <w:right w:val="single" w:color="85C9B5" w:sz="3" w:space="0"/>
            </w:tcBorders>
            <w:shd w:val="clear" w:color="auto" w:fill="FFFFFF"/>
            <w:tcMar>
              <w:top w:w="70" w:type="dxa"/>
              <w:left w:w="90" w:type="dxa"/>
              <w:bottom w:w="70" w:type="dxa"/>
              <w:right w:w="90" w:type="dxa"/>
            </w:tcMar>
            <w:vAlign w:val="center"/>
          </w:tcPr>
          <w:p w:rsidRPr="00BF57FF" w:rsidR="0047448E" w:rsidP="00A70BBB" w:rsidRDefault="0047448E" w14:paraId="6FEB524C"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Vanak et al.</w:t>
            </w:r>
          </w:p>
          <w:p w:rsidRPr="00BF57FF" w:rsidR="0047448E" w:rsidP="00A70BBB" w:rsidRDefault="0047448E" w14:paraId="31C11BFB"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(2023)</w:t>
            </w:r>
          </w:p>
        </w:tc>
        <w:tc>
          <w:tcPr>
            <w:tcW w:w="1605" w:type="dxa"/>
            <w:tcBorders>
              <w:top w:val="single" w:color="85C9B5" w:sz="3" w:space="0"/>
              <w:left w:val="single" w:color="85C9B5" w:sz="3" w:space="0"/>
              <w:bottom w:val="single" w:color="85C9B5" w:sz="3" w:space="0"/>
              <w:right w:val="single" w:color="85C9B5" w:sz="3" w:space="0"/>
            </w:tcBorders>
            <w:shd w:val="clear" w:color="auto" w:fill="FFFFFF"/>
            <w:tcMar>
              <w:top w:w="70" w:type="dxa"/>
              <w:left w:w="90" w:type="dxa"/>
              <w:bottom w:w="70" w:type="dxa"/>
              <w:right w:w="90" w:type="dxa"/>
            </w:tcMar>
            <w:vAlign w:val="center"/>
          </w:tcPr>
          <w:p w:rsidRPr="00BF57FF" w:rsidR="0047448E" w:rsidP="00A70BBB" w:rsidRDefault="0047448E" w14:paraId="585B3516"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CASP Cohort</w:t>
            </w:r>
          </w:p>
          <w:p w:rsidRPr="00BF57FF" w:rsidR="0047448E" w:rsidP="00A70BBB" w:rsidRDefault="0047448E" w14:paraId="3E108314"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Study Checklist</w:t>
            </w:r>
          </w:p>
        </w:tc>
        <w:tc>
          <w:tcPr>
            <w:tcW w:w="1000" w:type="dxa"/>
            <w:tcBorders>
              <w:top w:val="single" w:color="85C9B5" w:sz="3" w:space="0"/>
              <w:left w:val="single" w:color="85C9B5" w:sz="3" w:space="0"/>
              <w:bottom w:val="single" w:color="85C9B5" w:sz="3" w:space="0"/>
              <w:right w:val="single" w:color="85C9B5" w:sz="3" w:space="0"/>
            </w:tcBorders>
            <w:shd w:val="clear" w:color="auto" w:fill="FFFFFF"/>
            <w:tcMar>
              <w:top w:w="70" w:type="dxa"/>
              <w:left w:w="70" w:type="dxa"/>
              <w:bottom w:w="70" w:type="dxa"/>
              <w:right w:w="70" w:type="dxa"/>
            </w:tcMar>
            <w:vAlign w:val="center"/>
          </w:tcPr>
          <w:p w:rsidRPr="00BF57FF" w:rsidR="0047448E" w:rsidP="00A70BBB" w:rsidRDefault="0047448E" w14:paraId="1A817A4C"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High</w:t>
            </w:r>
          </w:p>
        </w:tc>
        <w:tc>
          <w:tcPr>
            <w:tcW w:w="2215" w:type="dxa"/>
            <w:tcBorders>
              <w:top w:val="single" w:color="85C9B5" w:sz="3" w:space="0"/>
              <w:left w:val="single" w:color="85C9B5" w:sz="3" w:space="0"/>
              <w:bottom w:val="single" w:color="85C9B5" w:sz="3" w:space="0"/>
              <w:right w:val="single" w:color="85C9B5" w:sz="3" w:space="0"/>
            </w:tcBorders>
            <w:shd w:val="clear" w:color="auto" w:fill="FFFFFF"/>
            <w:tcMar>
              <w:top w:w="70" w:type="dxa"/>
              <w:left w:w="90" w:type="dxa"/>
              <w:bottom w:w="70" w:type="dxa"/>
              <w:right w:w="90" w:type="dxa"/>
            </w:tcMar>
            <w:vAlign w:val="center"/>
          </w:tcPr>
          <w:p w:rsidRPr="00BF57FF" w:rsidR="0047448E" w:rsidP="00A70BBB" w:rsidRDefault="0047448E" w14:paraId="743D7BE4"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Large dataset (90,700+ reports); 6-year period; novel validated surveillance system; outcomes clearly defined.</w:t>
            </w:r>
          </w:p>
        </w:tc>
        <w:tc>
          <w:tcPr>
            <w:tcW w:w="2261" w:type="dxa"/>
            <w:tcBorders>
              <w:top w:val="single" w:color="85C9B5" w:sz="3" w:space="0"/>
              <w:left w:val="single" w:color="85C9B5" w:sz="3" w:space="0"/>
              <w:bottom w:val="single" w:color="85C9B5" w:sz="3" w:space="0"/>
              <w:right w:val="single" w:color="85C9B5" w:sz="3" w:space="0"/>
            </w:tcBorders>
            <w:shd w:val="clear" w:color="auto" w:fill="FFFFFF"/>
            <w:tcMar>
              <w:top w:w="70" w:type="dxa"/>
              <w:left w:w="90" w:type="dxa"/>
              <w:bottom w:w="70" w:type="dxa"/>
              <w:right w:w="90" w:type="dxa"/>
            </w:tcMar>
            <w:vAlign w:val="center"/>
          </w:tcPr>
          <w:p w:rsidRPr="00BF57FF" w:rsidR="0047448E" w:rsidP="00A70BBB" w:rsidRDefault="0047448E" w14:paraId="75C6C233"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Single city (Pune); voluntary reporting introduces selection bias; passive design may under-detect in lower-engagement areas.</w:t>
            </w:r>
          </w:p>
        </w:tc>
      </w:tr>
      <w:tr w:rsidRPr="00BF57FF" w:rsidR="0047448E" w:rsidTr="0047448E" w14:paraId="23587271" w14:textId="77777777">
        <w:tc>
          <w:tcPr>
            <w:tcW w:w="360" w:type="dxa"/>
            <w:tcBorders>
              <w:top w:val="single" w:color="85C9B5" w:sz="3" w:space="0"/>
              <w:left w:val="single" w:color="85C9B5" w:sz="3" w:space="0"/>
              <w:bottom w:val="single" w:color="85C9B5" w:sz="3" w:space="0"/>
              <w:right w:val="single" w:color="85C9B5" w:sz="3" w:space="0"/>
            </w:tcBorders>
            <w:shd w:val="clear" w:color="auto" w:fill="EBF9F9"/>
            <w:tcMar>
              <w:top w:w="70" w:type="dxa"/>
              <w:left w:w="90" w:type="dxa"/>
              <w:bottom w:w="70" w:type="dxa"/>
              <w:right w:w="90" w:type="dxa"/>
            </w:tcMar>
            <w:vAlign w:val="center"/>
          </w:tcPr>
          <w:p w:rsidRPr="00BF57FF" w:rsidR="0047448E" w:rsidP="00A70BBB" w:rsidRDefault="0047448E" w14:paraId="7670FBDE"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8</w:t>
            </w:r>
          </w:p>
        </w:tc>
        <w:tc>
          <w:tcPr>
            <w:tcW w:w="1592" w:type="dxa"/>
            <w:tcBorders>
              <w:top w:val="single" w:color="85C9B5" w:sz="3" w:space="0"/>
              <w:left w:val="single" w:color="85C9B5" w:sz="3" w:space="0"/>
              <w:bottom w:val="single" w:color="85C9B5" w:sz="3" w:space="0"/>
              <w:right w:val="single" w:color="85C9B5" w:sz="3" w:space="0"/>
            </w:tcBorders>
            <w:shd w:val="clear" w:color="auto" w:fill="EBF9F9"/>
            <w:tcMar>
              <w:top w:w="70" w:type="dxa"/>
              <w:left w:w="90" w:type="dxa"/>
              <w:bottom w:w="70" w:type="dxa"/>
              <w:right w:w="90" w:type="dxa"/>
            </w:tcMar>
            <w:vAlign w:val="center"/>
          </w:tcPr>
          <w:p w:rsidRPr="00BF57FF" w:rsidR="0047448E" w:rsidP="00A70BBB" w:rsidRDefault="0047448E" w14:paraId="677B6709"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Sudarshan &amp;</w:t>
            </w:r>
          </w:p>
          <w:p w:rsidRPr="00BF57FF" w:rsidR="0047448E" w:rsidP="00A70BBB" w:rsidRDefault="0047448E" w14:paraId="042CB9FC"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Ashwath Narayana</w:t>
            </w:r>
          </w:p>
          <w:p w:rsidRPr="00BF57FF" w:rsidR="0047448E" w:rsidP="00A70BBB" w:rsidRDefault="0047448E" w14:paraId="42E7B9BC"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(2019)</w:t>
            </w:r>
          </w:p>
        </w:tc>
        <w:tc>
          <w:tcPr>
            <w:tcW w:w="1605" w:type="dxa"/>
            <w:tcBorders>
              <w:top w:val="single" w:color="85C9B5" w:sz="3" w:space="0"/>
              <w:left w:val="single" w:color="85C9B5" w:sz="3" w:space="0"/>
              <w:bottom w:val="single" w:color="85C9B5" w:sz="3" w:space="0"/>
              <w:right w:val="single" w:color="85C9B5" w:sz="3" w:space="0"/>
            </w:tcBorders>
            <w:shd w:val="clear" w:color="auto" w:fill="EBF9F9"/>
            <w:tcMar>
              <w:top w:w="70" w:type="dxa"/>
              <w:left w:w="90" w:type="dxa"/>
              <w:bottom w:w="70" w:type="dxa"/>
              <w:right w:w="90" w:type="dxa"/>
            </w:tcMar>
            <w:vAlign w:val="center"/>
          </w:tcPr>
          <w:p w:rsidRPr="00BF57FF" w:rsidR="0047448E" w:rsidP="00A70BBB" w:rsidRDefault="0047448E" w14:paraId="4ECD3C2F"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AXIS Tool</w:t>
            </w:r>
          </w:p>
        </w:tc>
        <w:tc>
          <w:tcPr>
            <w:tcW w:w="1000" w:type="dxa"/>
            <w:tcBorders>
              <w:top w:val="single" w:color="85C9B5" w:sz="3" w:space="0"/>
              <w:left w:val="single" w:color="85C9B5" w:sz="3" w:space="0"/>
              <w:bottom w:val="single" w:color="85C9B5" w:sz="3" w:space="0"/>
              <w:right w:val="single" w:color="85C9B5" w:sz="3" w:space="0"/>
            </w:tcBorders>
            <w:shd w:val="clear" w:color="auto" w:fill="EBF9F9"/>
            <w:tcMar>
              <w:top w:w="70" w:type="dxa"/>
              <w:left w:w="70" w:type="dxa"/>
              <w:bottom w:w="70" w:type="dxa"/>
              <w:right w:w="70" w:type="dxa"/>
            </w:tcMar>
            <w:vAlign w:val="center"/>
          </w:tcPr>
          <w:p w:rsidRPr="00BF57FF" w:rsidR="0047448E" w:rsidP="00A70BBB" w:rsidRDefault="0047448E" w14:paraId="328ABD94"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Moderate</w:t>
            </w:r>
          </w:p>
        </w:tc>
        <w:tc>
          <w:tcPr>
            <w:tcW w:w="2215" w:type="dxa"/>
            <w:tcBorders>
              <w:top w:val="single" w:color="85C9B5" w:sz="3" w:space="0"/>
              <w:left w:val="single" w:color="85C9B5" w:sz="3" w:space="0"/>
              <w:bottom w:val="single" w:color="85C9B5" w:sz="3" w:space="0"/>
              <w:right w:val="single" w:color="85C9B5" w:sz="3" w:space="0"/>
            </w:tcBorders>
            <w:shd w:val="clear" w:color="auto" w:fill="EBF9F9"/>
            <w:tcMar>
              <w:top w:w="70" w:type="dxa"/>
              <w:left w:w="90" w:type="dxa"/>
              <w:bottom w:w="70" w:type="dxa"/>
              <w:right w:w="90" w:type="dxa"/>
            </w:tcMar>
            <w:vAlign w:val="center"/>
          </w:tcPr>
          <w:p w:rsidRPr="00BF57FF" w:rsidR="0047448E" w:rsidP="00A70BBB" w:rsidRDefault="0047448E" w14:paraId="0F979CD4"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Multi-state scope; directly compares state vs national </w:t>
            </w:r>
            <w:r w:rsidRPr="00BF57FF">
              <w:rPr>
                <w:rFonts w:ascii="Arial" w:hAnsi="Arial" w:cs="Arial"/>
                <w:sz w:val="22"/>
                <w:szCs w:val="22"/>
                <w:lang w:val="en-GB"/>
              </w:rPr>
              <w:t>records; highly policy-relevant concordance assessment.</w:t>
            </w:r>
          </w:p>
        </w:tc>
        <w:tc>
          <w:tcPr>
            <w:tcW w:w="2261" w:type="dxa"/>
            <w:tcBorders>
              <w:top w:val="single" w:color="85C9B5" w:sz="3" w:space="0"/>
              <w:left w:val="single" w:color="85C9B5" w:sz="3" w:space="0"/>
              <w:bottom w:val="single" w:color="85C9B5" w:sz="3" w:space="0"/>
              <w:right w:val="single" w:color="85C9B5" w:sz="3" w:space="0"/>
            </w:tcBorders>
            <w:shd w:val="clear" w:color="auto" w:fill="EBF9F9"/>
            <w:tcMar>
              <w:top w:w="70" w:type="dxa"/>
              <w:left w:w="90" w:type="dxa"/>
              <w:bottom w:w="70" w:type="dxa"/>
              <w:right w:w="90" w:type="dxa"/>
            </w:tcMar>
            <w:vAlign w:val="center"/>
          </w:tcPr>
          <w:p w:rsidRPr="00BF57FF" w:rsidR="0047448E" w:rsidP="00A70BBB" w:rsidRDefault="0047448E" w14:paraId="46681E1F"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Record-based design; completeness of </w:t>
            </w:r>
            <w:r w:rsidRPr="00BF57FF">
              <w:rPr>
                <w:rFonts w:ascii="Arial" w:hAnsi="Arial" w:cs="Arial"/>
                <w:sz w:val="22"/>
                <w:szCs w:val="22"/>
                <w:lang w:val="en-GB"/>
              </w:rPr>
              <w:t>source records not independently verified; surveillance infrastructure may have changed since data collection.</w:t>
            </w:r>
          </w:p>
        </w:tc>
      </w:tr>
      <w:tr w:rsidRPr="00BF57FF" w:rsidR="0047448E" w:rsidTr="0047448E" w14:paraId="0B2010BC" w14:textId="77777777">
        <w:tc>
          <w:tcPr>
            <w:tcW w:w="360" w:type="dxa"/>
            <w:tcBorders>
              <w:top w:val="single" w:color="85C9B5" w:sz="3" w:space="0"/>
              <w:left w:val="single" w:color="85C9B5" w:sz="3" w:space="0"/>
              <w:bottom w:val="single" w:color="85C9B5" w:sz="3" w:space="0"/>
              <w:right w:val="single" w:color="85C9B5" w:sz="3" w:space="0"/>
            </w:tcBorders>
            <w:shd w:val="clear" w:color="auto" w:fill="FFFFFF"/>
            <w:tcMar>
              <w:top w:w="70" w:type="dxa"/>
              <w:left w:w="90" w:type="dxa"/>
              <w:bottom w:w="70" w:type="dxa"/>
              <w:right w:w="90" w:type="dxa"/>
            </w:tcMar>
            <w:vAlign w:val="center"/>
          </w:tcPr>
          <w:p w:rsidRPr="00BF57FF" w:rsidR="0047448E" w:rsidP="00A70BBB" w:rsidRDefault="0047448E" w14:paraId="132B111A"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9</w:t>
            </w:r>
          </w:p>
        </w:tc>
        <w:tc>
          <w:tcPr>
            <w:tcW w:w="1592" w:type="dxa"/>
            <w:tcBorders>
              <w:top w:val="single" w:color="85C9B5" w:sz="3" w:space="0"/>
              <w:left w:val="single" w:color="85C9B5" w:sz="3" w:space="0"/>
              <w:bottom w:val="single" w:color="85C9B5" w:sz="3" w:space="0"/>
              <w:right w:val="single" w:color="85C9B5" w:sz="3" w:space="0"/>
            </w:tcBorders>
            <w:shd w:val="clear" w:color="auto" w:fill="FFFFFF"/>
            <w:tcMar>
              <w:top w:w="70" w:type="dxa"/>
              <w:left w:w="90" w:type="dxa"/>
              <w:bottom w:w="70" w:type="dxa"/>
              <w:right w:w="90" w:type="dxa"/>
            </w:tcMar>
            <w:vAlign w:val="center"/>
          </w:tcPr>
          <w:p w:rsidRPr="00BF57FF" w:rsidR="0047448E" w:rsidP="00A70BBB" w:rsidRDefault="0047448E" w14:paraId="763BC0D3"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Gadapani et al.</w:t>
            </w:r>
          </w:p>
          <w:p w:rsidRPr="00BF57FF" w:rsidR="0047448E" w:rsidP="00A70BBB" w:rsidRDefault="0047448E" w14:paraId="6D614933"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(2019)</w:t>
            </w:r>
          </w:p>
        </w:tc>
        <w:tc>
          <w:tcPr>
            <w:tcW w:w="1605" w:type="dxa"/>
            <w:tcBorders>
              <w:top w:val="single" w:color="85C9B5" w:sz="3" w:space="0"/>
              <w:left w:val="single" w:color="85C9B5" w:sz="3" w:space="0"/>
              <w:bottom w:val="single" w:color="85C9B5" w:sz="3" w:space="0"/>
              <w:right w:val="single" w:color="85C9B5" w:sz="3" w:space="0"/>
            </w:tcBorders>
            <w:shd w:val="clear" w:color="auto" w:fill="FFFFFF"/>
            <w:tcMar>
              <w:top w:w="70" w:type="dxa"/>
              <w:left w:w="90" w:type="dxa"/>
              <w:bottom w:w="70" w:type="dxa"/>
              <w:right w:w="90" w:type="dxa"/>
            </w:tcMar>
            <w:vAlign w:val="center"/>
          </w:tcPr>
          <w:p w:rsidRPr="00BF57FF" w:rsidR="0047448E" w:rsidP="00A70BBB" w:rsidRDefault="0047448E" w14:paraId="48420EC1"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AXIS Tool</w:t>
            </w:r>
          </w:p>
        </w:tc>
        <w:tc>
          <w:tcPr>
            <w:tcW w:w="1000" w:type="dxa"/>
            <w:tcBorders>
              <w:top w:val="single" w:color="85C9B5" w:sz="3" w:space="0"/>
              <w:left w:val="single" w:color="85C9B5" w:sz="3" w:space="0"/>
              <w:bottom w:val="single" w:color="85C9B5" w:sz="3" w:space="0"/>
              <w:right w:val="single" w:color="85C9B5" w:sz="3" w:space="0"/>
            </w:tcBorders>
            <w:shd w:val="clear" w:color="auto" w:fill="FFFFFF"/>
            <w:tcMar>
              <w:top w:w="70" w:type="dxa"/>
              <w:left w:w="70" w:type="dxa"/>
              <w:bottom w:w="70" w:type="dxa"/>
              <w:right w:w="70" w:type="dxa"/>
            </w:tcMar>
            <w:vAlign w:val="center"/>
          </w:tcPr>
          <w:p w:rsidRPr="00BF57FF" w:rsidR="0047448E" w:rsidP="00A70BBB" w:rsidRDefault="0047448E" w14:paraId="293CEB3D"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Moderate</w:t>
            </w:r>
          </w:p>
        </w:tc>
        <w:tc>
          <w:tcPr>
            <w:tcW w:w="2215" w:type="dxa"/>
            <w:tcBorders>
              <w:top w:val="single" w:color="85C9B5" w:sz="3" w:space="0"/>
              <w:left w:val="single" w:color="85C9B5" w:sz="3" w:space="0"/>
              <w:bottom w:val="single" w:color="85C9B5" w:sz="3" w:space="0"/>
              <w:right w:val="single" w:color="85C9B5" w:sz="3" w:space="0"/>
            </w:tcBorders>
            <w:shd w:val="clear" w:color="auto" w:fill="FFFFFF"/>
            <w:tcMar>
              <w:top w:w="70" w:type="dxa"/>
              <w:left w:w="90" w:type="dxa"/>
              <w:bottom w:w="70" w:type="dxa"/>
              <w:right w:w="90" w:type="dxa"/>
            </w:tcMar>
            <w:vAlign w:val="center"/>
          </w:tcPr>
          <w:p w:rsidRPr="00BF57FF" w:rsidR="0047448E" w:rsidP="00A70BBB" w:rsidRDefault="0047448E" w14:paraId="211956EF" w14:textId="6E88EF83">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Clear case ascertainment from PHC records; </w:t>
            </w:r>
            <w:r w:rsidRPr="00BF57FF" w:rsidR="00496577">
              <w:rPr>
                <w:rFonts w:ascii="Arial" w:hAnsi="Arial" w:cs="Arial"/>
                <w:sz w:val="22"/>
                <w:szCs w:val="22"/>
                <w:lang w:val="en-GB"/>
              </w:rPr>
              <w:t xml:space="preserve">the </w:t>
            </w:r>
            <w:r w:rsidRPr="00BF57FF">
              <w:rPr>
                <w:rFonts w:ascii="Arial" w:hAnsi="Arial" w:cs="Arial"/>
                <w:sz w:val="22"/>
                <w:szCs w:val="22"/>
                <w:lang w:val="en-GB"/>
              </w:rPr>
              <w:t>rural primary health centre adds ecological validity.</w:t>
            </w:r>
          </w:p>
        </w:tc>
        <w:tc>
          <w:tcPr>
            <w:tcW w:w="2261" w:type="dxa"/>
            <w:tcBorders>
              <w:top w:val="single" w:color="85C9B5" w:sz="3" w:space="0"/>
              <w:left w:val="single" w:color="85C9B5" w:sz="3" w:space="0"/>
              <w:bottom w:val="single" w:color="85C9B5" w:sz="3" w:space="0"/>
              <w:right w:val="single" w:color="85C9B5" w:sz="3" w:space="0"/>
            </w:tcBorders>
            <w:shd w:val="clear" w:color="auto" w:fill="FFFFFF"/>
            <w:tcMar>
              <w:top w:w="70" w:type="dxa"/>
              <w:left w:w="90" w:type="dxa"/>
              <w:bottom w:w="70" w:type="dxa"/>
              <w:right w:w="90" w:type="dxa"/>
            </w:tcMar>
            <w:vAlign w:val="center"/>
          </w:tcPr>
          <w:p w:rsidRPr="00BF57FF" w:rsidR="0047448E" w:rsidP="00A70BBB" w:rsidRDefault="0047448E" w14:paraId="6428C525"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Retrospective design; single PHC; data completeness dependent on existing PHC record quality; no follow-up component.</w:t>
            </w:r>
          </w:p>
        </w:tc>
      </w:tr>
      <w:tr w:rsidRPr="00BF57FF" w:rsidR="0047448E" w:rsidTr="0047448E" w14:paraId="54124657" w14:textId="77777777">
        <w:tc>
          <w:tcPr>
            <w:tcW w:w="360" w:type="dxa"/>
            <w:tcBorders>
              <w:top w:val="single" w:color="85C9B5" w:sz="3" w:space="0"/>
              <w:left w:val="single" w:color="85C9B5" w:sz="3" w:space="0"/>
              <w:bottom w:val="single" w:color="85C9B5" w:sz="3" w:space="0"/>
              <w:right w:val="single" w:color="85C9B5" w:sz="3" w:space="0"/>
            </w:tcBorders>
            <w:shd w:val="clear" w:color="auto" w:fill="EBF9F9"/>
            <w:tcMar>
              <w:top w:w="70" w:type="dxa"/>
              <w:left w:w="90" w:type="dxa"/>
              <w:bottom w:w="70" w:type="dxa"/>
              <w:right w:w="90" w:type="dxa"/>
            </w:tcMar>
            <w:vAlign w:val="center"/>
          </w:tcPr>
          <w:p w:rsidRPr="00BF57FF" w:rsidR="0047448E" w:rsidP="00A70BBB" w:rsidRDefault="0047448E" w14:paraId="682EAC2D"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10</w:t>
            </w:r>
          </w:p>
        </w:tc>
        <w:tc>
          <w:tcPr>
            <w:tcW w:w="1592" w:type="dxa"/>
            <w:tcBorders>
              <w:top w:val="single" w:color="85C9B5" w:sz="3" w:space="0"/>
              <w:left w:val="single" w:color="85C9B5" w:sz="3" w:space="0"/>
              <w:bottom w:val="single" w:color="85C9B5" w:sz="3" w:space="0"/>
              <w:right w:val="single" w:color="85C9B5" w:sz="3" w:space="0"/>
            </w:tcBorders>
            <w:shd w:val="clear" w:color="auto" w:fill="EBF9F9"/>
            <w:tcMar>
              <w:top w:w="70" w:type="dxa"/>
              <w:left w:w="90" w:type="dxa"/>
              <w:bottom w:w="70" w:type="dxa"/>
              <w:right w:w="90" w:type="dxa"/>
            </w:tcMar>
            <w:vAlign w:val="center"/>
          </w:tcPr>
          <w:p w:rsidRPr="00BF57FF" w:rsidR="0047448E" w:rsidP="00A70BBB" w:rsidRDefault="0047448E" w14:paraId="619016CF"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Maiti et al.</w:t>
            </w:r>
          </w:p>
          <w:p w:rsidRPr="00BF57FF" w:rsidR="0047448E" w:rsidP="00A70BBB" w:rsidRDefault="0047448E" w14:paraId="6FC7E295"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(2026)</w:t>
            </w:r>
          </w:p>
        </w:tc>
        <w:tc>
          <w:tcPr>
            <w:tcW w:w="1605" w:type="dxa"/>
            <w:tcBorders>
              <w:top w:val="single" w:color="85C9B5" w:sz="3" w:space="0"/>
              <w:left w:val="single" w:color="85C9B5" w:sz="3" w:space="0"/>
              <w:bottom w:val="single" w:color="85C9B5" w:sz="3" w:space="0"/>
              <w:right w:val="single" w:color="85C9B5" w:sz="3" w:space="0"/>
            </w:tcBorders>
            <w:shd w:val="clear" w:color="auto" w:fill="EBF9F9"/>
            <w:tcMar>
              <w:top w:w="70" w:type="dxa"/>
              <w:left w:w="90" w:type="dxa"/>
              <w:bottom w:w="70" w:type="dxa"/>
              <w:right w:w="90" w:type="dxa"/>
            </w:tcMar>
            <w:vAlign w:val="center"/>
          </w:tcPr>
          <w:p w:rsidRPr="00BF57FF" w:rsidR="0047448E" w:rsidP="00A70BBB" w:rsidRDefault="0047448E" w14:paraId="624C50BC"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AXIS Tool</w:t>
            </w:r>
          </w:p>
        </w:tc>
        <w:tc>
          <w:tcPr>
            <w:tcW w:w="1000" w:type="dxa"/>
            <w:tcBorders>
              <w:top w:val="single" w:color="85C9B5" w:sz="3" w:space="0"/>
              <w:left w:val="single" w:color="85C9B5" w:sz="3" w:space="0"/>
              <w:bottom w:val="single" w:color="85C9B5" w:sz="3" w:space="0"/>
              <w:right w:val="single" w:color="85C9B5" w:sz="3" w:space="0"/>
            </w:tcBorders>
            <w:shd w:val="clear" w:color="auto" w:fill="EBF9F9"/>
            <w:tcMar>
              <w:top w:w="70" w:type="dxa"/>
              <w:left w:w="70" w:type="dxa"/>
              <w:bottom w:w="70" w:type="dxa"/>
              <w:right w:w="70" w:type="dxa"/>
            </w:tcMar>
            <w:vAlign w:val="center"/>
          </w:tcPr>
          <w:p w:rsidRPr="00BF57FF" w:rsidR="0047448E" w:rsidP="00A70BBB" w:rsidRDefault="0047448E" w14:paraId="24C217A3"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Moderate</w:t>
            </w:r>
          </w:p>
        </w:tc>
        <w:tc>
          <w:tcPr>
            <w:tcW w:w="2215" w:type="dxa"/>
            <w:tcBorders>
              <w:top w:val="single" w:color="85C9B5" w:sz="3" w:space="0"/>
              <w:left w:val="single" w:color="85C9B5" w:sz="3" w:space="0"/>
              <w:bottom w:val="single" w:color="85C9B5" w:sz="3" w:space="0"/>
              <w:right w:val="single" w:color="85C9B5" w:sz="3" w:space="0"/>
            </w:tcBorders>
            <w:shd w:val="clear" w:color="auto" w:fill="EBF9F9"/>
            <w:tcMar>
              <w:top w:w="70" w:type="dxa"/>
              <w:left w:w="90" w:type="dxa"/>
              <w:bottom w:w="70" w:type="dxa"/>
              <w:right w:w="90" w:type="dxa"/>
            </w:tcMar>
            <w:vAlign w:val="center"/>
          </w:tcPr>
          <w:p w:rsidRPr="00BF57FF" w:rsidR="0047448E" w:rsidP="00A70BBB" w:rsidRDefault="0047448E" w14:paraId="45118BCD"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Clear outcome definition (PEP delay &gt;24 hours); adequate sample; tertiary hospital provides complete clinical records.</w:t>
            </w:r>
          </w:p>
        </w:tc>
        <w:tc>
          <w:tcPr>
            <w:tcW w:w="2261" w:type="dxa"/>
            <w:tcBorders>
              <w:top w:val="single" w:color="85C9B5" w:sz="3" w:space="0"/>
              <w:left w:val="single" w:color="85C9B5" w:sz="3" w:space="0"/>
              <w:bottom w:val="single" w:color="85C9B5" w:sz="3" w:space="0"/>
              <w:right w:val="single" w:color="85C9B5" w:sz="3" w:space="0"/>
            </w:tcBorders>
            <w:shd w:val="clear" w:color="auto" w:fill="EBF9F9"/>
            <w:tcMar>
              <w:top w:w="70" w:type="dxa"/>
              <w:left w:w="90" w:type="dxa"/>
              <w:bottom w:w="70" w:type="dxa"/>
              <w:right w:w="90" w:type="dxa"/>
            </w:tcMar>
            <w:vAlign w:val="center"/>
          </w:tcPr>
          <w:p w:rsidRPr="00BF57FF" w:rsidR="0047448E" w:rsidP="00A70BBB" w:rsidRDefault="0047448E" w14:paraId="4D2D0B2B"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Single site (Jabalpur); tertiary care setting may not reflect primary-care level patterns; cross-sectional design only.</w:t>
            </w:r>
          </w:p>
        </w:tc>
      </w:tr>
      <w:tr w:rsidRPr="00BF57FF" w:rsidR="0047448E" w:rsidTr="0047448E" w14:paraId="349BD225" w14:textId="77777777">
        <w:tc>
          <w:tcPr>
            <w:tcW w:w="360" w:type="dxa"/>
            <w:tcBorders>
              <w:top w:val="single" w:color="85C9B5" w:sz="3" w:space="0"/>
              <w:left w:val="single" w:color="85C9B5" w:sz="3" w:space="0"/>
              <w:bottom w:val="single" w:color="85C9B5" w:sz="3" w:space="0"/>
              <w:right w:val="single" w:color="85C9B5" w:sz="3" w:space="0"/>
            </w:tcBorders>
            <w:shd w:val="clear" w:color="auto" w:fill="FFFFFF"/>
            <w:tcMar>
              <w:top w:w="70" w:type="dxa"/>
              <w:left w:w="90" w:type="dxa"/>
              <w:bottom w:w="70" w:type="dxa"/>
              <w:right w:w="90" w:type="dxa"/>
            </w:tcMar>
            <w:vAlign w:val="center"/>
          </w:tcPr>
          <w:p w:rsidRPr="00BF57FF" w:rsidR="0047448E" w:rsidP="00A70BBB" w:rsidRDefault="0047448E" w14:paraId="5C2149A7"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11</w:t>
            </w:r>
          </w:p>
        </w:tc>
        <w:tc>
          <w:tcPr>
            <w:tcW w:w="1592" w:type="dxa"/>
            <w:tcBorders>
              <w:top w:val="single" w:color="85C9B5" w:sz="3" w:space="0"/>
              <w:left w:val="single" w:color="85C9B5" w:sz="3" w:space="0"/>
              <w:bottom w:val="single" w:color="85C9B5" w:sz="3" w:space="0"/>
              <w:right w:val="single" w:color="85C9B5" w:sz="3" w:space="0"/>
            </w:tcBorders>
            <w:shd w:val="clear" w:color="auto" w:fill="FFFFFF"/>
            <w:tcMar>
              <w:top w:w="70" w:type="dxa"/>
              <w:left w:w="90" w:type="dxa"/>
              <w:bottom w:w="70" w:type="dxa"/>
              <w:right w:w="90" w:type="dxa"/>
            </w:tcMar>
            <w:vAlign w:val="center"/>
          </w:tcPr>
          <w:p w:rsidRPr="00BF57FF" w:rsidR="0047448E" w:rsidP="00A70BBB" w:rsidRDefault="0047448E" w14:paraId="0413618A"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Pardeshi et al.</w:t>
            </w:r>
          </w:p>
          <w:p w:rsidRPr="00BF57FF" w:rsidR="0047448E" w:rsidP="00A70BBB" w:rsidRDefault="0047448E" w14:paraId="7691A4C0"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(2026)</w:t>
            </w:r>
          </w:p>
        </w:tc>
        <w:tc>
          <w:tcPr>
            <w:tcW w:w="1605" w:type="dxa"/>
            <w:tcBorders>
              <w:top w:val="single" w:color="85C9B5" w:sz="3" w:space="0"/>
              <w:left w:val="single" w:color="85C9B5" w:sz="3" w:space="0"/>
              <w:bottom w:val="single" w:color="85C9B5" w:sz="3" w:space="0"/>
              <w:right w:val="single" w:color="85C9B5" w:sz="3" w:space="0"/>
            </w:tcBorders>
            <w:shd w:val="clear" w:color="auto" w:fill="FFFFFF"/>
            <w:tcMar>
              <w:top w:w="70" w:type="dxa"/>
              <w:left w:w="90" w:type="dxa"/>
              <w:bottom w:w="70" w:type="dxa"/>
              <w:right w:w="90" w:type="dxa"/>
            </w:tcMar>
            <w:vAlign w:val="center"/>
          </w:tcPr>
          <w:p w:rsidRPr="00BF57FF" w:rsidR="0047448E" w:rsidP="00A70BBB" w:rsidRDefault="0047448E" w14:paraId="4C6A4DBD"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Narrative Quality</w:t>
            </w:r>
          </w:p>
          <w:p w:rsidRPr="00BF57FF" w:rsidR="0047448E" w:rsidP="00A70BBB" w:rsidRDefault="0047448E" w14:paraId="25352C65"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Appraisal</w:t>
            </w:r>
          </w:p>
        </w:tc>
        <w:tc>
          <w:tcPr>
            <w:tcW w:w="1000" w:type="dxa"/>
            <w:tcBorders>
              <w:top w:val="single" w:color="85C9B5" w:sz="3" w:space="0"/>
              <w:left w:val="single" w:color="85C9B5" w:sz="3" w:space="0"/>
              <w:bottom w:val="single" w:color="85C9B5" w:sz="3" w:space="0"/>
              <w:right w:val="single" w:color="85C9B5" w:sz="3" w:space="0"/>
            </w:tcBorders>
            <w:shd w:val="clear" w:color="auto" w:fill="FFFFFF"/>
            <w:tcMar>
              <w:top w:w="70" w:type="dxa"/>
              <w:left w:w="70" w:type="dxa"/>
              <w:bottom w:w="70" w:type="dxa"/>
              <w:right w:w="70" w:type="dxa"/>
            </w:tcMar>
            <w:vAlign w:val="center"/>
          </w:tcPr>
          <w:p w:rsidRPr="00BF57FF" w:rsidR="0047448E" w:rsidP="00A70BBB" w:rsidRDefault="0047448E" w14:paraId="03F4E547"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Adequate</w:t>
            </w:r>
          </w:p>
        </w:tc>
        <w:tc>
          <w:tcPr>
            <w:tcW w:w="2215" w:type="dxa"/>
            <w:tcBorders>
              <w:top w:val="single" w:color="85C9B5" w:sz="3" w:space="0"/>
              <w:left w:val="single" w:color="85C9B5" w:sz="3" w:space="0"/>
              <w:bottom w:val="single" w:color="85C9B5" w:sz="3" w:space="0"/>
              <w:right w:val="single" w:color="85C9B5" w:sz="3" w:space="0"/>
            </w:tcBorders>
            <w:shd w:val="clear" w:color="auto" w:fill="FFFFFF"/>
            <w:tcMar>
              <w:top w:w="70" w:type="dxa"/>
              <w:left w:w="90" w:type="dxa"/>
              <w:bottom w:w="70" w:type="dxa"/>
              <w:right w:w="90" w:type="dxa"/>
            </w:tcMar>
            <w:vAlign w:val="center"/>
          </w:tcPr>
          <w:p w:rsidRPr="00BF57FF" w:rsidR="0047448E" w:rsidP="00A70BBB" w:rsidRDefault="00496577" w14:paraId="650C8C50" w14:textId="20873D5D">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The </w:t>
            </w:r>
            <w:r w:rsidRPr="00BF57FF" w:rsidR="0047448E">
              <w:rPr>
                <w:rFonts w:ascii="Arial" w:hAnsi="Arial" w:cs="Arial"/>
                <w:sz w:val="22"/>
                <w:szCs w:val="22"/>
                <w:lang w:val="en-GB"/>
              </w:rPr>
              <w:t xml:space="preserve">SWOT framework provides </w:t>
            </w:r>
            <w:r w:rsidRPr="00BF57FF">
              <w:rPr>
                <w:rFonts w:ascii="Arial" w:hAnsi="Arial" w:cs="Arial"/>
                <w:sz w:val="22"/>
                <w:szCs w:val="22"/>
                <w:lang w:val="en-GB"/>
              </w:rPr>
              <w:t xml:space="preserve">a </w:t>
            </w:r>
            <w:r w:rsidRPr="00BF57FF" w:rsidR="0047448E">
              <w:rPr>
                <w:rFonts w:ascii="Arial" w:hAnsi="Arial" w:cs="Arial"/>
                <w:sz w:val="22"/>
                <w:szCs w:val="22"/>
                <w:lang w:val="en-GB"/>
              </w:rPr>
              <w:t xml:space="preserve">structured synthesis across multiple programme dimensions; </w:t>
            </w:r>
            <w:r w:rsidRPr="00BF57FF">
              <w:rPr>
                <w:rFonts w:ascii="Arial" w:hAnsi="Arial" w:cs="Arial"/>
                <w:sz w:val="22"/>
                <w:szCs w:val="22"/>
                <w:lang w:val="en-GB"/>
              </w:rPr>
              <w:t xml:space="preserve">it </w:t>
            </w:r>
            <w:r w:rsidRPr="00BF57FF" w:rsidR="0047448E">
              <w:rPr>
                <w:rFonts w:ascii="Arial" w:hAnsi="Arial" w:cs="Arial"/>
                <w:sz w:val="22"/>
                <w:szCs w:val="22"/>
                <w:lang w:val="en-GB"/>
              </w:rPr>
              <w:t>draws on diverse source types.</w:t>
            </w:r>
          </w:p>
        </w:tc>
        <w:tc>
          <w:tcPr>
            <w:tcW w:w="2261" w:type="dxa"/>
            <w:tcBorders>
              <w:top w:val="single" w:color="85C9B5" w:sz="3" w:space="0"/>
              <w:left w:val="single" w:color="85C9B5" w:sz="3" w:space="0"/>
              <w:bottom w:val="single" w:color="85C9B5" w:sz="3" w:space="0"/>
              <w:right w:val="single" w:color="85C9B5" w:sz="3" w:space="0"/>
            </w:tcBorders>
            <w:shd w:val="clear" w:color="auto" w:fill="FFFFFF"/>
            <w:tcMar>
              <w:top w:w="70" w:type="dxa"/>
              <w:left w:w="90" w:type="dxa"/>
              <w:bottom w:w="70" w:type="dxa"/>
              <w:right w:w="90" w:type="dxa"/>
            </w:tcMar>
            <w:vAlign w:val="center"/>
          </w:tcPr>
          <w:p w:rsidRPr="00BF57FF" w:rsidR="0047448E" w:rsidP="00A70BBB" w:rsidRDefault="0047448E" w14:paraId="2D6FC9C2"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Review methodology not systematically reported; evidence selection for SWOT categories not transparently documented.</w:t>
            </w:r>
          </w:p>
        </w:tc>
      </w:tr>
      <w:tr w:rsidRPr="00BF57FF" w:rsidR="0047448E" w:rsidTr="0047448E" w14:paraId="1B385BAE" w14:textId="77777777">
        <w:tc>
          <w:tcPr>
            <w:tcW w:w="360" w:type="dxa"/>
            <w:tcBorders>
              <w:top w:val="single" w:color="85C9B5" w:sz="3" w:space="0"/>
              <w:left w:val="single" w:color="85C9B5" w:sz="3" w:space="0"/>
              <w:bottom w:val="single" w:color="85C9B5" w:sz="3" w:space="0"/>
              <w:right w:val="single" w:color="85C9B5" w:sz="3" w:space="0"/>
            </w:tcBorders>
            <w:shd w:val="clear" w:color="auto" w:fill="EBF9F9"/>
            <w:tcMar>
              <w:top w:w="70" w:type="dxa"/>
              <w:left w:w="90" w:type="dxa"/>
              <w:bottom w:w="70" w:type="dxa"/>
              <w:right w:w="90" w:type="dxa"/>
            </w:tcMar>
            <w:vAlign w:val="center"/>
          </w:tcPr>
          <w:p w:rsidRPr="00BF57FF" w:rsidR="0047448E" w:rsidP="00A70BBB" w:rsidRDefault="0047448E" w14:paraId="58D9B7E5"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12</w:t>
            </w:r>
          </w:p>
        </w:tc>
        <w:tc>
          <w:tcPr>
            <w:tcW w:w="1592" w:type="dxa"/>
            <w:tcBorders>
              <w:top w:val="single" w:color="85C9B5" w:sz="3" w:space="0"/>
              <w:left w:val="single" w:color="85C9B5" w:sz="3" w:space="0"/>
              <w:bottom w:val="single" w:color="85C9B5" w:sz="3" w:space="0"/>
              <w:right w:val="single" w:color="85C9B5" w:sz="3" w:space="0"/>
            </w:tcBorders>
            <w:shd w:val="clear" w:color="auto" w:fill="EBF9F9"/>
            <w:tcMar>
              <w:top w:w="70" w:type="dxa"/>
              <w:left w:w="90" w:type="dxa"/>
              <w:bottom w:w="70" w:type="dxa"/>
              <w:right w:w="90" w:type="dxa"/>
            </w:tcMar>
            <w:vAlign w:val="center"/>
          </w:tcPr>
          <w:p w:rsidRPr="00BF57FF" w:rsidR="0047448E" w:rsidP="00A70BBB" w:rsidRDefault="0047448E" w14:paraId="3370BFF5"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Hampson et al.</w:t>
            </w:r>
          </w:p>
          <w:p w:rsidRPr="00BF57FF" w:rsidR="0047448E" w:rsidP="00A70BBB" w:rsidRDefault="0047448E" w14:paraId="0780E5D6"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(2015)</w:t>
            </w:r>
          </w:p>
        </w:tc>
        <w:tc>
          <w:tcPr>
            <w:tcW w:w="1605" w:type="dxa"/>
            <w:tcBorders>
              <w:top w:val="single" w:color="85C9B5" w:sz="3" w:space="0"/>
              <w:left w:val="single" w:color="85C9B5" w:sz="3" w:space="0"/>
              <w:bottom w:val="single" w:color="85C9B5" w:sz="3" w:space="0"/>
              <w:right w:val="single" w:color="85C9B5" w:sz="3" w:space="0"/>
            </w:tcBorders>
            <w:shd w:val="clear" w:color="auto" w:fill="EBF9F9"/>
            <w:tcMar>
              <w:top w:w="70" w:type="dxa"/>
              <w:left w:w="90" w:type="dxa"/>
              <w:bottom w:w="70" w:type="dxa"/>
              <w:right w:w="90" w:type="dxa"/>
            </w:tcMar>
            <w:vAlign w:val="center"/>
          </w:tcPr>
          <w:p w:rsidRPr="00BF57FF" w:rsidR="0047448E" w:rsidP="00A70BBB" w:rsidRDefault="007E7195" w14:paraId="06D31FEB" w14:textId="36EA265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Narrative Quality Appraisal</w:t>
            </w:r>
          </w:p>
        </w:tc>
        <w:tc>
          <w:tcPr>
            <w:tcW w:w="1000" w:type="dxa"/>
            <w:tcBorders>
              <w:top w:val="single" w:color="85C9B5" w:sz="3" w:space="0"/>
              <w:left w:val="single" w:color="85C9B5" w:sz="3" w:space="0"/>
              <w:bottom w:val="single" w:color="85C9B5" w:sz="3" w:space="0"/>
              <w:right w:val="single" w:color="85C9B5" w:sz="3" w:space="0"/>
            </w:tcBorders>
            <w:shd w:val="clear" w:color="auto" w:fill="EBF9F9"/>
            <w:tcMar>
              <w:top w:w="70" w:type="dxa"/>
              <w:left w:w="70" w:type="dxa"/>
              <w:bottom w:w="70" w:type="dxa"/>
              <w:right w:w="70" w:type="dxa"/>
            </w:tcMar>
            <w:vAlign w:val="center"/>
          </w:tcPr>
          <w:p w:rsidRPr="00BF57FF" w:rsidR="0047448E" w:rsidP="00A70BBB" w:rsidRDefault="0047448E" w14:paraId="6C7C290D"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b/>
                <w:bCs/>
                <w:sz w:val="22"/>
                <w:szCs w:val="22"/>
                <w:lang w:val="en-GB"/>
              </w:rPr>
              <w:t>High</w:t>
            </w:r>
          </w:p>
        </w:tc>
        <w:tc>
          <w:tcPr>
            <w:tcW w:w="2215" w:type="dxa"/>
            <w:tcBorders>
              <w:top w:val="single" w:color="85C9B5" w:sz="3" w:space="0"/>
              <w:left w:val="single" w:color="85C9B5" w:sz="3" w:space="0"/>
              <w:bottom w:val="single" w:color="85C9B5" w:sz="3" w:space="0"/>
              <w:right w:val="single" w:color="85C9B5" w:sz="3" w:space="0"/>
            </w:tcBorders>
            <w:shd w:val="clear" w:color="auto" w:fill="EBF9F9"/>
            <w:tcMar>
              <w:top w:w="70" w:type="dxa"/>
              <w:left w:w="90" w:type="dxa"/>
              <w:bottom w:w="70" w:type="dxa"/>
              <w:right w:w="90" w:type="dxa"/>
            </w:tcMar>
            <w:vAlign w:val="center"/>
          </w:tcPr>
          <w:p w:rsidRPr="00BF57FF" w:rsidR="0047448E" w:rsidP="00A70BBB" w:rsidRDefault="0047448E" w14:paraId="723FB7C7"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Multi-country evidence base (87 countries); transparent modelling methodology; uncertainty ranges stated; widely peer-reviewed global benchmark.</w:t>
            </w:r>
          </w:p>
        </w:tc>
        <w:tc>
          <w:tcPr>
            <w:tcW w:w="2261" w:type="dxa"/>
            <w:tcBorders>
              <w:top w:val="single" w:color="85C9B5" w:sz="3" w:space="0"/>
              <w:left w:val="single" w:color="85C9B5" w:sz="3" w:space="0"/>
              <w:bottom w:val="single" w:color="85C9B5" w:sz="3" w:space="0"/>
              <w:right w:val="single" w:color="85C9B5" w:sz="3" w:space="0"/>
            </w:tcBorders>
            <w:shd w:val="clear" w:color="auto" w:fill="EBF9F9"/>
            <w:tcMar>
              <w:top w:w="70" w:type="dxa"/>
              <w:left w:w="90" w:type="dxa"/>
              <w:bottom w:w="70" w:type="dxa"/>
              <w:right w:w="90" w:type="dxa"/>
            </w:tcMar>
            <w:vAlign w:val="center"/>
          </w:tcPr>
          <w:p w:rsidRPr="00BF57FF" w:rsidR="0047448E" w:rsidP="00A70BBB" w:rsidRDefault="0047448E" w14:paraId="117A4867" w14:textId="77777777">
            <w:pPr>
              <w:pStyle w:val="font-claude-response-body"/>
              <w:spacing w:before="0" w:beforeAutospacing="0" w:after="0" w:afterAutospacing="0" w:line="360" w:lineRule="auto"/>
              <w:jc w:val="both"/>
              <w:rPr>
                <w:rFonts w:ascii="Arial" w:hAnsi="Arial" w:cs="Arial"/>
                <w:sz w:val="22"/>
                <w:szCs w:val="22"/>
                <w:lang w:val="en-GB"/>
              </w:rPr>
            </w:pPr>
            <w:r w:rsidRPr="00BF57FF">
              <w:rPr>
                <w:rFonts w:ascii="Arial" w:hAnsi="Arial" w:cs="Arial"/>
                <w:sz w:val="22"/>
                <w:szCs w:val="22"/>
                <w:lang w:val="en-GB"/>
              </w:rPr>
              <w:t>Published 2015 — estimates may not reflect current India-specific conditions; uniform modelling assumptions applied across heterogeneous country contexts.</w:t>
            </w:r>
          </w:p>
        </w:tc>
      </w:tr>
    </w:tbl>
    <w:p w:rsidRPr="00BF57FF" w:rsidR="00E057A9" w:rsidP="00A70BBB" w:rsidRDefault="0047448E" w14:paraId="08E59210" w14:textId="0BA77E40">
      <w:pPr>
        <w:pStyle w:val="font-claude-response-body"/>
        <w:spacing w:before="0" w:after="240" w:afterAutospacing="0" w:line="360" w:lineRule="auto"/>
        <w:jc w:val="both"/>
        <w:rPr>
          <w:rFonts w:ascii="Arial" w:hAnsi="Arial" w:cs="Arial"/>
          <w:sz w:val="22"/>
          <w:szCs w:val="22"/>
          <w:lang w:val="en-GB"/>
        </w:rPr>
      </w:pPr>
      <w:r w:rsidRPr="00BF57FF">
        <w:rPr>
          <w:rFonts w:ascii="Arial" w:hAnsi="Arial" w:cs="Arial"/>
          <w:i/>
          <w:iCs/>
          <w:sz w:val="22"/>
          <w:szCs w:val="22"/>
          <w:lang w:val="en-GB"/>
        </w:rPr>
        <w:t xml:space="preserve">Source: </w:t>
      </w:r>
      <w:r w:rsidRPr="00BF57FF" w:rsidR="007E7195">
        <w:rPr>
          <w:rFonts w:ascii="Arial" w:hAnsi="Arial" w:cs="Arial"/>
          <w:i/>
          <w:iCs/>
          <w:sz w:val="22"/>
          <w:szCs w:val="22"/>
          <w:lang w:val="en-GB"/>
        </w:rPr>
        <w:t>Author appraisal using CASP (2022), AXIS (Downes et al., 2016), and structured narrative quality criteria (Gough et al., 2017).</w:t>
      </w:r>
    </w:p>
    <w:p w:rsidRPr="00BF57FF" w:rsidR="00E057A9" w:rsidP="00A70BBB" w:rsidRDefault="00E057A9" w14:paraId="6A211E1E" w14:textId="77777777">
      <w:pPr>
        <w:pStyle w:val="Heading2"/>
        <w:spacing w:after="240" w:line="360" w:lineRule="auto"/>
        <w:jc w:val="both"/>
        <w:rPr>
          <w:rFonts w:ascii="Arial" w:hAnsi="Arial" w:cs="Arial"/>
          <w:sz w:val="22"/>
        </w:rPr>
      </w:pPr>
      <w:bookmarkStart w:name="_Toc231005873" w:id="80"/>
      <w:bookmarkStart w:name="_Toc231298587" w:id="81"/>
      <w:r w:rsidRPr="00BF57FF">
        <w:rPr>
          <w:rFonts w:ascii="Arial" w:hAnsi="Arial" w:cs="Arial"/>
          <w:sz w:val="22"/>
        </w:rPr>
        <w:t>4.4 Theme 1 — Community Knowledge Gaps and Risk Perception Deficits</w:t>
      </w:r>
      <w:bookmarkEnd w:id="80"/>
      <w:bookmarkEnd w:id="81"/>
    </w:p>
    <w:p w:rsidRPr="00BF57FF" w:rsidR="00E057A9" w:rsidP="00A70BBB" w:rsidRDefault="00FC3989" w14:paraId="138D487B" w14:textId="2DF934B7">
      <w:pPr>
        <w:pStyle w:val="font-claude-response-body"/>
        <w:spacing w:before="0" w:beforeAutospacing="0" w:after="240" w:afterAutospacing="0" w:line="360" w:lineRule="auto"/>
        <w:jc w:val="both"/>
        <w:rPr>
          <w:rFonts w:ascii="Arial" w:hAnsi="Arial" w:cs="Arial"/>
          <w:sz w:val="22"/>
          <w:szCs w:val="22"/>
          <w:lang w:val="en-GB"/>
        </w:rPr>
      </w:pPr>
      <w:r w:rsidRPr="00BF57FF">
        <w:rPr>
          <w:rFonts w:ascii="Arial" w:hAnsi="Arial" w:cs="Arial"/>
          <w:sz w:val="22"/>
          <w:szCs w:val="22"/>
          <w:lang w:val="en-GB"/>
        </w:rPr>
        <w:t>The initial theme that surfaced in the synthesis was a pattern of knowledge gaps in the area of rabies spreading, the needs of post-exposure prophylaxis, and proper first aid treatment of animal bites. This topic was supported by four studies included in urban and rural areas and among community members and frontline health workers (Sivagurunathan et al., 2021; Sahu et al., 2021; Gadapani et al., 2019; Maiti et al., 2026).</w:t>
      </w:r>
    </w:p>
    <w:p w:rsidRPr="00BF57FF" w:rsidR="00E057A9" w:rsidP="00A70BBB" w:rsidRDefault="005256F1" w14:paraId="2E225985" w14:textId="394AEBA5">
      <w:pPr>
        <w:pStyle w:val="font-claude-response-body"/>
        <w:spacing w:before="0" w:beforeAutospacing="0" w:after="240"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Sivagurunathan et al. (2021) provided a KAP study in the community of 200 urban residents in Chennai, Tamil Nadu. Even though a majority of the participants (76 </w:t>
      </w:r>
      <w:r w:rsidRPr="00BF57FF" w:rsidR="00AA6610">
        <w:rPr>
          <w:rFonts w:ascii="Arial" w:hAnsi="Arial" w:cs="Arial"/>
          <w:sz w:val="22"/>
          <w:szCs w:val="22"/>
          <w:lang w:val="en-GB"/>
        </w:rPr>
        <w:t>per cent</w:t>
      </w:r>
      <w:r w:rsidRPr="00BF57FF">
        <w:rPr>
          <w:rFonts w:ascii="Arial" w:hAnsi="Arial" w:cs="Arial"/>
          <w:sz w:val="22"/>
          <w:szCs w:val="22"/>
          <w:lang w:val="en-GB"/>
        </w:rPr>
        <w:t xml:space="preserve">) said that they </w:t>
      </w:r>
      <w:r w:rsidRPr="00BF57FF" w:rsidR="00D86B91">
        <w:rPr>
          <w:rFonts w:ascii="Arial" w:hAnsi="Arial" w:cs="Arial"/>
          <w:sz w:val="22"/>
          <w:szCs w:val="22"/>
          <w:lang w:val="en-GB"/>
        </w:rPr>
        <w:t xml:space="preserve">had </w:t>
      </w:r>
      <w:r w:rsidRPr="00BF57FF">
        <w:rPr>
          <w:rFonts w:ascii="Arial" w:hAnsi="Arial" w:cs="Arial"/>
          <w:sz w:val="22"/>
          <w:szCs w:val="22"/>
          <w:lang w:val="en-GB"/>
        </w:rPr>
        <w:t xml:space="preserve">heard about rabies, only 37.3 </w:t>
      </w:r>
      <w:r w:rsidRPr="00BF57FF" w:rsidR="00AA6610">
        <w:rPr>
          <w:rFonts w:ascii="Arial" w:hAnsi="Arial" w:cs="Arial"/>
          <w:sz w:val="22"/>
          <w:szCs w:val="22"/>
          <w:lang w:val="en-GB"/>
        </w:rPr>
        <w:t>per cent</w:t>
      </w:r>
      <w:r w:rsidRPr="00BF57FF">
        <w:rPr>
          <w:rFonts w:ascii="Arial" w:hAnsi="Arial" w:cs="Arial"/>
          <w:sz w:val="22"/>
          <w:szCs w:val="22"/>
          <w:lang w:val="en-GB"/>
        </w:rPr>
        <w:t xml:space="preserve"> were able to use the correct first aid response to an animal bite. It is interesting to note that less than 37.5 </w:t>
      </w:r>
      <w:r w:rsidRPr="00BF57FF" w:rsidR="00AA6610">
        <w:rPr>
          <w:rFonts w:ascii="Arial" w:hAnsi="Arial" w:cs="Arial"/>
          <w:sz w:val="22"/>
          <w:szCs w:val="22"/>
          <w:lang w:val="en-GB"/>
        </w:rPr>
        <w:t>per cent</w:t>
      </w:r>
      <w:r w:rsidRPr="00BF57FF">
        <w:rPr>
          <w:rFonts w:ascii="Arial" w:hAnsi="Arial" w:cs="Arial"/>
          <w:sz w:val="22"/>
          <w:szCs w:val="22"/>
          <w:lang w:val="en-GB"/>
        </w:rPr>
        <w:t xml:space="preserve"> of victims of animal bites washed the wound with soap and running water, which demonstrates that there is an urgent mismatch between theoretical knowledge and </w:t>
      </w:r>
      <w:r w:rsidRPr="00BF57FF" w:rsidR="00E9789E">
        <w:rPr>
          <w:rFonts w:ascii="Arial" w:hAnsi="Arial" w:cs="Arial"/>
          <w:sz w:val="22"/>
          <w:szCs w:val="22"/>
          <w:lang w:val="en-GB"/>
        </w:rPr>
        <w:t>practical</w:t>
      </w:r>
      <w:r w:rsidRPr="00BF57FF">
        <w:rPr>
          <w:rFonts w:ascii="Arial" w:hAnsi="Arial" w:cs="Arial"/>
          <w:sz w:val="22"/>
          <w:szCs w:val="22"/>
          <w:lang w:val="en-GB"/>
        </w:rPr>
        <w:t xml:space="preserve"> implementation during the period of injury. Only 35 </w:t>
      </w:r>
      <w:r w:rsidRPr="00BF57FF" w:rsidR="00AA6610">
        <w:rPr>
          <w:rFonts w:ascii="Arial" w:hAnsi="Arial" w:cs="Arial"/>
          <w:sz w:val="22"/>
          <w:szCs w:val="22"/>
          <w:lang w:val="en-GB"/>
        </w:rPr>
        <w:t>per cent</w:t>
      </w:r>
      <w:r w:rsidRPr="00BF57FF">
        <w:rPr>
          <w:rFonts w:ascii="Arial" w:hAnsi="Arial" w:cs="Arial"/>
          <w:sz w:val="22"/>
          <w:szCs w:val="22"/>
          <w:lang w:val="en-GB"/>
        </w:rPr>
        <w:t xml:space="preserve"> of those bitten completed the complete course of vaccination. One myth identified in the study was the confusion of the apparent health of an animal with the risk of the animal transmitting rabies - many participants thought that bites by apparently healthy animals or owned animals were riskless, effectively eliminating a large proportion of true exposures in the biomedical treatment pathway. Such results are especially interesting </w:t>
      </w:r>
      <w:r w:rsidRPr="00BF57FF">
        <w:rPr>
          <w:rFonts w:ascii="Arial" w:hAnsi="Arial" w:cs="Arial"/>
          <w:sz w:val="22"/>
          <w:szCs w:val="22"/>
          <w:lang w:val="en-GB"/>
        </w:rPr>
        <w:t>due to the urban environment; the lack of knowledge in rural communities is probably much worse.</w:t>
      </w:r>
    </w:p>
    <w:p w:rsidRPr="00BF57FF" w:rsidR="00E057A9" w:rsidP="00A70BBB" w:rsidRDefault="00F23BF8" w14:paraId="76D11E0D" w14:textId="5B56D87A">
      <w:pPr>
        <w:pStyle w:val="font-claude-response-body"/>
        <w:spacing w:before="0" w:beforeAutospacing="0" w:after="240" w:afterAutospacing="0" w:line="360" w:lineRule="auto"/>
        <w:jc w:val="both"/>
        <w:rPr>
          <w:rFonts w:ascii="Arial" w:hAnsi="Arial" w:cs="Arial"/>
          <w:sz w:val="22"/>
          <w:szCs w:val="22"/>
          <w:lang w:val="en-GB"/>
        </w:rPr>
      </w:pPr>
      <w:r w:rsidRPr="00BF57FF">
        <w:rPr>
          <w:rFonts w:ascii="Arial" w:hAnsi="Arial" w:cs="Arial"/>
          <w:sz w:val="22"/>
          <w:szCs w:val="22"/>
          <w:lang w:val="en-GB"/>
        </w:rPr>
        <w:t>In a cross-sectional study of 138 animal bite victims and 71 community health workers, namely, ASHAs and ANMs in rural Odisha, Sahu et al. (2021) reported both community and health-worker deficits in compounds. Bite victims had compliance with anti-rabies vaccines of 47.9 per</w:t>
      </w:r>
      <w:r w:rsidRPr="00BF57FF" w:rsidR="00E41448">
        <w:rPr>
          <w:rFonts w:ascii="Arial" w:hAnsi="Arial" w:cs="Arial"/>
          <w:sz w:val="22"/>
          <w:szCs w:val="22"/>
          <w:lang w:val="en-GB"/>
        </w:rPr>
        <w:t xml:space="preserve"> </w:t>
      </w:r>
      <w:r w:rsidRPr="00BF57FF">
        <w:rPr>
          <w:rFonts w:ascii="Arial" w:hAnsi="Arial" w:cs="Arial"/>
          <w:sz w:val="22"/>
          <w:szCs w:val="22"/>
          <w:lang w:val="en-GB"/>
        </w:rPr>
        <w:t>cent</w:t>
      </w:r>
      <w:r w:rsidRPr="00BF57FF" w:rsidR="00E41448">
        <w:rPr>
          <w:rFonts w:ascii="Arial" w:hAnsi="Arial" w:cs="Arial"/>
          <w:sz w:val="22"/>
          <w:szCs w:val="22"/>
          <w:lang w:val="en-GB"/>
        </w:rPr>
        <w:t>,</w:t>
      </w:r>
      <w:r w:rsidRPr="00BF57FF">
        <w:rPr>
          <w:rFonts w:ascii="Arial" w:hAnsi="Arial" w:cs="Arial"/>
          <w:sz w:val="22"/>
          <w:szCs w:val="22"/>
          <w:lang w:val="en-GB"/>
        </w:rPr>
        <w:t xml:space="preserve"> with rabies immunoglobulin compliance of only 49.4 </w:t>
      </w:r>
      <w:r w:rsidRPr="00BF57FF" w:rsidR="00AA6610">
        <w:rPr>
          <w:rFonts w:ascii="Arial" w:hAnsi="Arial" w:cs="Arial"/>
          <w:sz w:val="22"/>
          <w:szCs w:val="22"/>
          <w:lang w:val="en-GB"/>
        </w:rPr>
        <w:t>per cent</w:t>
      </w:r>
      <w:r w:rsidRPr="00BF57FF">
        <w:rPr>
          <w:rFonts w:ascii="Arial" w:hAnsi="Arial" w:cs="Arial"/>
          <w:sz w:val="22"/>
          <w:szCs w:val="22"/>
          <w:lang w:val="en-GB"/>
        </w:rPr>
        <w:t xml:space="preserve"> among category III exposures. A large percentage of participants at the CHW level failed to label all three elements of the WHO-suggested first aid guidelines</w:t>
      </w:r>
      <w:r w:rsidRPr="00BF57FF" w:rsidR="008C59B3">
        <w:rPr>
          <w:rFonts w:ascii="Arial" w:hAnsi="Arial" w:cs="Arial"/>
          <w:sz w:val="22"/>
          <w:szCs w:val="22"/>
          <w:lang w:val="en-GB"/>
        </w:rPr>
        <w:t xml:space="preserve"> correctly</w:t>
      </w:r>
      <w:r w:rsidRPr="00BF57FF">
        <w:rPr>
          <w:rFonts w:ascii="Arial" w:hAnsi="Arial" w:cs="Arial"/>
          <w:sz w:val="22"/>
          <w:szCs w:val="22"/>
          <w:lang w:val="en-GB"/>
        </w:rPr>
        <w:t>, and many of them were unable to consistently differentiate between category II and category III exposures, which is what defines the presence or absence of immunoglobulin in clinical guidelines.</w:t>
      </w:r>
    </w:p>
    <w:p w:rsidRPr="00BF57FF" w:rsidR="00E057A9" w:rsidP="00A70BBB" w:rsidRDefault="00135D93" w14:paraId="4F7AD7A7" w14:textId="51035947">
      <w:pPr>
        <w:pStyle w:val="font-claude-response-body"/>
        <w:spacing w:before="0" w:beforeAutospacing="0" w:after="240"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A study by Gadapani et al. (2019) of 448 cases of retrospective animal bites at a rural primary health centre in Maharashtra found that the main factor behind non-completion was lack of awareness and that victims often stopped treatment when they stopped experiencing immediate effects without understanding that the entire course of vaccination should be followed regardless of symptom manifestation. Maiti et al. (2026) introduce the time factor: out of 388 victims of animal bites who came to </w:t>
      </w:r>
      <w:r w:rsidRPr="00BF57FF" w:rsidR="008C59B3">
        <w:rPr>
          <w:rFonts w:ascii="Arial" w:hAnsi="Arial" w:cs="Arial"/>
          <w:sz w:val="22"/>
          <w:szCs w:val="22"/>
          <w:lang w:val="en-GB"/>
        </w:rPr>
        <w:t xml:space="preserve">a </w:t>
      </w:r>
      <w:r w:rsidRPr="00BF57FF">
        <w:rPr>
          <w:rFonts w:ascii="Arial" w:hAnsi="Arial" w:cs="Arial"/>
          <w:sz w:val="22"/>
          <w:szCs w:val="22"/>
          <w:lang w:val="en-GB"/>
        </w:rPr>
        <w:t xml:space="preserve">tertiary care hospital in Jabalpur, 24.74 </w:t>
      </w:r>
      <w:r w:rsidRPr="00BF57FF" w:rsidR="00AA6610">
        <w:rPr>
          <w:rFonts w:ascii="Arial" w:hAnsi="Arial" w:cs="Arial"/>
          <w:sz w:val="22"/>
          <w:szCs w:val="22"/>
          <w:lang w:val="en-GB"/>
        </w:rPr>
        <w:t>per cent</w:t>
      </w:r>
      <w:r w:rsidRPr="00BF57FF">
        <w:rPr>
          <w:rFonts w:ascii="Arial" w:hAnsi="Arial" w:cs="Arial"/>
          <w:sz w:val="22"/>
          <w:szCs w:val="22"/>
          <w:lang w:val="en-GB"/>
        </w:rPr>
        <w:t xml:space="preserve"> waited more than 24 hours to initiate PEP, and rural residence and sociocultural misconceptions</w:t>
      </w:r>
      <w:r w:rsidRPr="00BF57FF" w:rsidR="008C59B3">
        <w:rPr>
          <w:rFonts w:ascii="Arial" w:hAnsi="Arial" w:cs="Arial"/>
          <w:sz w:val="22"/>
          <w:szCs w:val="22"/>
          <w:lang w:val="en-GB"/>
        </w:rPr>
        <w:t>,</w:t>
      </w:r>
      <w:r w:rsidRPr="00BF57FF">
        <w:rPr>
          <w:rFonts w:ascii="Arial" w:hAnsi="Arial" w:cs="Arial"/>
          <w:sz w:val="22"/>
          <w:szCs w:val="22"/>
          <w:lang w:val="en-GB"/>
        </w:rPr>
        <w:t xml:space="preserve"> such as beliefs that bites by seemingly healthy animals are not dangerous</w:t>
      </w:r>
      <w:r w:rsidRPr="00BF57FF" w:rsidR="008C59B3">
        <w:rPr>
          <w:rFonts w:ascii="Arial" w:hAnsi="Arial" w:cs="Arial"/>
          <w:sz w:val="22"/>
          <w:szCs w:val="22"/>
          <w:lang w:val="en-GB"/>
        </w:rPr>
        <w:t>,</w:t>
      </w:r>
      <w:r w:rsidRPr="00BF57FF">
        <w:rPr>
          <w:rFonts w:ascii="Arial" w:hAnsi="Arial" w:cs="Arial"/>
          <w:sz w:val="22"/>
          <w:szCs w:val="22"/>
          <w:lang w:val="en-GB"/>
        </w:rPr>
        <w:t xml:space="preserve"> were determined to be the key </w:t>
      </w:r>
      <w:r w:rsidRPr="00BF57FF" w:rsidR="00435105">
        <w:rPr>
          <w:rFonts w:ascii="Arial" w:hAnsi="Arial" w:cs="Arial"/>
          <w:sz w:val="22"/>
          <w:szCs w:val="22"/>
          <w:lang w:val="en-GB"/>
        </w:rPr>
        <w:t>delay factors</w:t>
      </w:r>
      <w:r w:rsidRPr="00BF57FF">
        <w:rPr>
          <w:rFonts w:ascii="Arial" w:hAnsi="Arial" w:cs="Arial"/>
          <w:sz w:val="22"/>
          <w:szCs w:val="22"/>
          <w:lang w:val="en-GB"/>
        </w:rPr>
        <w:t xml:space="preserve">. </w:t>
      </w:r>
      <w:r w:rsidRPr="00BF57FF" w:rsidR="00AB7D2C">
        <w:rPr>
          <w:rFonts w:ascii="Arial" w:hAnsi="Arial" w:cs="Arial"/>
          <w:sz w:val="22"/>
          <w:szCs w:val="22"/>
          <w:lang w:val="en-GB"/>
        </w:rPr>
        <w:t>Thangaraj</w:t>
      </w:r>
      <w:r w:rsidRPr="00BF57FF">
        <w:rPr>
          <w:rFonts w:ascii="Arial" w:hAnsi="Arial" w:cs="Arial"/>
          <w:sz w:val="22"/>
          <w:szCs w:val="22"/>
          <w:lang w:val="en-GB"/>
        </w:rPr>
        <w:t xml:space="preserve"> et al. (2025) reported that nationally, 79.5 </w:t>
      </w:r>
      <w:r w:rsidRPr="00BF57FF" w:rsidR="00AA6610">
        <w:rPr>
          <w:rFonts w:ascii="Arial" w:hAnsi="Arial" w:cs="Arial"/>
          <w:sz w:val="22"/>
          <w:szCs w:val="22"/>
          <w:lang w:val="en-GB"/>
        </w:rPr>
        <w:t>per cent</w:t>
      </w:r>
      <w:r w:rsidRPr="00BF57FF">
        <w:rPr>
          <w:rFonts w:ascii="Arial" w:hAnsi="Arial" w:cs="Arial"/>
          <w:sz w:val="22"/>
          <w:szCs w:val="22"/>
          <w:lang w:val="en-GB"/>
        </w:rPr>
        <w:t xml:space="preserve"> of victims of bites in sixty districts reported receiving at least one ARV dose, but significantly less completed the entire protective course, indicating that deficits in knowledge contributed to lapses in adherence to the entire course of vaccination, rather than just the initial action to seek treatment. </w:t>
      </w:r>
    </w:p>
    <w:p w:rsidRPr="00BF57FF" w:rsidR="00E057A9" w:rsidP="00A70BBB" w:rsidRDefault="004F4C18" w14:paraId="169B8F8F" w14:textId="0879F981">
      <w:pPr>
        <w:pStyle w:val="font-claude-response-body"/>
        <w:spacing w:before="0" w:beforeAutospacing="0" w:after="240" w:afterAutospacing="0" w:line="360" w:lineRule="auto"/>
        <w:jc w:val="both"/>
        <w:rPr>
          <w:rFonts w:ascii="Arial" w:hAnsi="Arial" w:cs="Arial"/>
          <w:sz w:val="22"/>
          <w:szCs w:val="22"/>
          <w:lang w:val="en-GB"/>
        </w:rPr>
      </w:pPr>
      <w:r w:rsidRPr="00BF57FF">
        <w:rPr>
          <w:rFonts w:ascii="Arial" w:hAnsi="Arial" w:cs="Arial"/>
          <w:sz w:val="22"/>
          <w:szCs w:val="22"/>
          <w:lang w:val="en-GB"/>
        </w:rPr>
        <w:t>Taken together, these four studies suggest that knowledge gaps exist at various stages of the care pathway, between exposure testing and first care-seeking to complete treatment, and cross-setting consistency is evidence of a systemic, not a localised, failure.</w:t>
      </w:r>
    </w:p>
    <w:p w:rsidRPr="00BF57FF" w:rsidR="00E057A9" w:rsidP="00A70BBB" w:rsidRDefault="00E057A9" w14:paraId="68DF2090" w14:textId="77777777">
      <w:pPr>
        <w:pStyle w:val="Heading2"/>
        <w:spacing w:after="240" w:line="360" w:lineRule="auto"/>
        <w:jc w:val="both"/>
        <w:rPr>
          <w:rFonts w:ascii="Arial" w:hAnsi="Arial" w:cs="Arial"/>
          <w:sz w:val="22"/>
        </w:rPr>
      </w:pPr>
      <w:bookmarkStart w:name="_Toc231005874" w:id="82"/>
      <w:bookmarkStart w:name="_Toc231298588" w:id="83"/>
      <w:r w:rsidRPr="00BF57FF">
        <w:rPr>
          <w:rFonts w:ascii="Arial" w:hAnsi="Arial" w:cs="Arial"/>
          <w:sz w:val="22"/>
        </w:rPr>
        <w:t>4.5 Theme 2 — Traditional Medicine Use as a Structural Barrier to Post-Exposure Prophylaxis</w:t>
      </w:r>
      <w:bookmarkEnd w:id="82"/>
      <w:bookmarkEnd w:id="83"/>
    </w:p>
    <w:p w:rsidRPr="00BF57FF" w:rsidR="00E057A9" w:rsidP="00A70BBB" w:rsidRDefault="00A91627" w14:paraId="52F11651" w14:textId="1655A1C4">
      <w:pPr>
        <w:pStyle w:val="font-claude-response-body"/>
        <w:spacing w:before="0" w:beforeAutospacing="0" w:after="240"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The second theme identified in the synthesis was the systematic </w:t>
      </w:r>
      <w:r w:rsidRPr="00BF57FF" w:rsidR="008C59B3">
        <w:rPr>
          <w:rFonts w:ascii="Arial" w:hAnsi="Arial" w:cs="Arial"/>
          <w:sz w:val="22"/>
          <w:szCs w:val="22"/>
          <w:lang w:val="en-GB"/>
        </w:rPr>
        <w:t>utilisation</w:t>
      </w:r>
      <w:r w:rsidRPr="00BF57FF">
        <w:rPr>
          <w:rFonts w:ascii="Arial" w:hAnsi="Arial" w:cs="Arial"/>
          <w:sz w:val="22"/>
          <w:szCs w:val="22"/>
          <w:lang w:val="en-GB"/>
        </w:rPr>
        <w:t xml:space="preserve"> of traditional medicine after animal bites as the impediment to prompt and full PEP. The </w:t>
      </w:r>
      <w:r w:rsidRPr="00BF57FF">
        <w:rPr>
          <w:rFonts w:ascii="Arial" w:hAnsi="Arial" w:cs="Arial"/>
          <w:sz w:val="22"/>
          <w:szCs w:val="22"/>
          <w:lang w:val="en-GB"/>
        </w:rPr>
        <w:t>frequency of traditional remedy use, its contribution to postponing seeking medical care, and the failure of the existing health system to disrupt the trend at the community level have been consistently reported in four studies included (Maiti et al., 2026; Gadapani et al., 2019; Pardeshi et al., 2026; Sahu et al., 2021).</w:t>
      </w:r>
    </w:p>
    <w:p w:rsidRPr="00BF57FF" w:rsidR="00E057A9" w:rsidP="00A70BBB" w:rsidRDefault="00A91627" w14:paraId="05F211BF" w14:textId="276A2BD4">
      <w:pPr>
        <w:pStyle w:val="font-claude-response-body"/>
        <w:spacing w:before="0" w:beforeAutospacing="0" w:after="240"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The most direct quantitative evidence is by Maiti et al. (2026). Sociocultural myths and early use of traditional remedies were defined as the main causative factors of PEP initiation delay more than 24 hours in their cross-sectional study of animal bite victims in Jabalpur, Madhya Pradesh. Certain methods recorded were the use of plant extracts, turmeric paste, lime and chilli to bite wounds; all of which are delay mechanisms, with bites to the head or neck having shorter incubation times, potentially decreasing the efficacy of immunoglobulin administered </w:t>
      </w:r>
      <w:r w:rsidRPr="00BF57FF" w:rsidR="008C59B3">
        <w:rPr>
          <w:rFonts w:ascii="Arial" w:hAnsi="Arial" w:cs="Arial"/>
          <w:sz w:val="22"/>
          <w:szCs w:val="22"/>
          <w:lang w:val="en-GB"/>
        </w:rPr>
        <w:t>afterwards</w:t>
      </w:r>
      <w:r w:rsidRPr="00BF57FF">
        <w:rPr>
          <w:rFonts w:ascii="Arial" w:hAnsi="Arial" w:cs="Arial"/>
          <w:sz w:val="22"/>
          <w:szCs w:val="22"/>
          <w:lang w:val="en-GB"/>
        </w:rPr>
        <w:t xml:space="preserve">. These delays have temporal importance, as the neurotropic rabies virus gradually reduces the time interval during which effective immunoglobulin infiltration can take place once the virus </w:t>
      </w:r>
      <w:r w:rsidRPr="00BF57FF" w:rsidR="008C59B3">
        <w:rPr>
          <w:rFonts w:ascii="Arial" w:hAnsi="Arial" w:cs="Arial"/>
          <w:sz w:val="22"/>
          <w:szCs w:val="22"/>
          <w:lang w:val="en-GB"/>
        </w:rPr>
        <w:t>starts</w:t>
      </w:r>
      <w:r w:rsidRPr="00BF57FF">
        <w:rPr>
          <w:rFonts w:ascii="Arial" w:hAnsi="Arial" w:cs="Arial"/>
          <w:sz w:val="22"/>
          <w:szCs w:val="22"/>
          <w:lang w:val="en-GB"/>
        </w:rPr>
        <w:t xml:space="preserve"> to migrate along peripheral nerves (Hemachudha et al., 2013). Of the 24.74 </w:t>
      </w:r>
      <w:r w:rsidRPr="00BF57FF" w:rsidR="00AA6610">
        <w:rPr>
          <w:rFonts w:ascii="Arial" w:hAnsi="Arial" w:cs="Arial"/>
          <w:sz w:val="22"/>
          <w:szCs w:val="22"/>
          <w:lang w:val="en-GB"/>
        </w:rPr>
        <w:t>per cent</w:t>
      </w:r>
      <w:r w:rsidRPr="00BF57FF">
        <w:rPr>
          <w:rFonts w:ascii="Arial" w:hAnsi="Arial" w:cs="Arial"/>
          <w:sz w:val="22"/>
          <w:szCs w:val="22"/>
          <w:lang w:val="en-GB"/>
        </w:rPr>
        <w:t xml:space="preserve"> who did not initiate, traditional use of remedies was the most common primary reason why they did not visit the clinic within the first 24 hours of exposure.</w:t>
      </w:r>
    </w:p>
    <w:p w:rsidRPr="00BF57FF" w:rsidR="00E057A9" w:rsidP="00A70BBB" w:rsidRDefault="007428DD" w14:paraId="329F8A94" w14:textId="081CA95E">
      <w:pPr>
        <w:pStyle w:val="font-claude-response-body"/>
        <w:spacing w:before="0" w:beforeAutospacing="0" w:after="240" w:afterAutospacing="0" w:line="360" w:lineRule="auto"/>
        <w:jc w:val="both"/>
        <w:rPr>
          <w:rFonts w:ascii="Arial" w:hAnsi="Arial" w:cs="Arial"/>
          <w:sz w:val="22"/>
          <w:szCs w:val="22"/>
          <w:lang w:val="en-GB"/>
        </w:rPr>
      </w:pPr>
      <w:r w:rsidRPr="00BF57FF">
        <w:rPr>
          <w:rFonts w:ascii="Arial" w:hAnsi="Arial" w:cs="Arial"/>
          <w:sz w:val="22"/>
          <w:szCs w:val="22"/>
          <w:lang w:val="en-GB"/>
        </w:rPr>
        <w:t>In the rural Maharashtra PHC cohort, Gadapani et al. (2019) reported that bite wounds were initially treated using home remedies, and that this pre-treatment was linked to increased delays in the wound washing and immunoglobulin regimen. Pardeshi et al. (2026) categorically define traditional medicine preference as a programmatic threat in their SWOT analysis of the PEP programme in India. The analytic significance of the characterisation of traditional medicine use as a systemic threat, and not an individual behaviour, is that it places this phenomenon outside the scope of patient education, as well as indicates its capacity to interact with supply-side failures: in a context where immunoglobulin is inaccessible at government facilities and travel is prohibitively expensive, traditional medicine can be the only available acute response to a bite injury.</w:t>
      </w:r>
    </w:p>
    <w:p w:rsidRPr="00BF57FF" w:rsidR="00E057A9" w:rsidP="00A70BBB" w:rsidRDefault="00424EF3" w14:paraId="2D942077" w14:textId="129CF816">
      <w:pPr>
        <w:pStyle w:val="font-claude-response-body"/>
        <w:spacing w:before="0" w:beforeAutospacing="0" w:after="240"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Sahu et al. (2021) record that CHWs in rural Odisha had often been unable to advise bite victims against </w:t>
      </w:r>
      <w:r w:rsidRPr="00BF57FF" w:rsidR="008C59B3">
        <w:rPr>
          <w:rFonts w:ascii="Arial" w:hAnsi="Arial" w:cs="Arial"/>
          <w:sz w:val="22"/>
          <w:szCs w:val="22"/>
          <w:lang w:val="en-GB"/>
        </w:rPr>
        <w:t xml:space="preserve">the </w:t>
      </w:r>
      <w:r w:rsidRPr="00BF57FF">
        <w:rPr>
          <w:rFonts w:ascii="Arial" w:hAnsi="Arial" w:cs="Arial"/>
          <w:sz w:val="22"/>
          <w:szCs w:val="22"/>
          <w:lang w:val="en-GB"/>
        </w:rPr>
        <w:t xml:space="preserve">use of traditional remedies or to express the need to act on the wound immediately, so that the initial formal health contact that a bite victim has may indeed support and not replace an intention to use traditional care. </w:t>
      </w:r>
    </w:p>
    <w:p w:rsidRPr="00BF57FF" w:rsidR="00E057A9" w:rsidP="00A70BBB" w:rsidRDefault="00E057A9" w14:paraId="26AE40C3" w14:textId="6C10CD69">
      <w:pPr>
        <w:pStyle w:val="font-claude-response-body"/>
        <w:spacing w:before="0" w:beforeAutospacing="0" w:after="240" w:afterAutospacing="0" w:line="360" w:lineRule="auto"/>
        <w:jc w:val="both"/>
        <w:rPr>
          <w:rFonts w:ascii="Arial" w:hAnsi="Arial" w:cs="Arial"/>
          <w:sz w:val="22"/>
          <w:szCs w:val="22"/>
          <w:lang w:val="en-GB"/>
        </w:rPr>
      </w:pPr>
    </w:p>
    <w:p w:rsidRPr="00BF57FF" w:rsidR="00E057A9" w:rsidP="00A70BBB" w:rsidRDefault="00E057A9" w14:paraId="05F72FEA" w14:textId="77777777">
      <w:pPr>
        <w:pStyle w:val="Heading2"/>
        <w:spacing w:after="240" w:line="360" w:lineRule="auto"/>
        <w:jc w:val="both"/>
        <w:rPr>
          <w:rFonts w:ascii="Arial" w:hAnsi="Arial" w:cs="Arial"/>
          <w:sz w:val="22"/>
        </w:rPr>
      </w:pPr>
      <w:bookmarkStart w:name="_Toc231005875" w:id="84"/>
      <w:bookmarkStart w:name="_Toc231298589" w:id="85"/>
      <w:r w:rsidRPr="00BF57FF">
        <w:rPr>
          <w:rFonts w:ascii="Arial" w:hAnsi="Arial" w:cs="Arial"/>
          <w:sz w:val="22"/>
        </w:rPr>
        <w:t>4.6 Theme 3 — Health System Failures and PEP Inaccessibility</w:t>
      </w:r>
      <w:bookmarkEnd w:id="84"/>
      <w:bookmarkEnd w:id="85"/>
    </w:p>
    <w:p w:rsidRPr="00BF57FF" w:rsidR="00E057A9" w:rsidP="00A70BBB" w:rsidRDefault="00424EF3" w14:paraId="76F5EAE3" w14:textId="4021FF27">
      <w:pPr>
        <w:pStyle w:val="font-claude-response-body"/>
        <w:spacing w:before="0" w:beforeAutospacing="0" w:after="240"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The third theme was weaknesses in the health system of India that deny bite-exposed persons the ability to access and successfully receive effective PEP. The six studies provided evidence of a nationally sub-optimal PEP rate of completion, acute shortages of vaccine and immunoglobulin, geographic and financial barriers, and gaps in CHW capacity that together deter treatment delivery (Debnath et al., 2025; </w:t>
      </w:r>
      <w:r w:rsidRPr="00BF57FF" w:rsidR="00AB7D2C">
        <w:rPr>
          <w:rFonts w:ascii="Arial" w:hAnsi="Arial" w:cs="Arial"/>
          <w:sz w:val="22"/>
          <w:szCs w:val="22"/>
          <w:lang w:val="en-GB"/>
        </w:rPr>
        <w:t>Thangaraj</w:t>
      </w:r>
      <w:r w:rsidRPr="00BF57FF">
        <w:rPr>
          <w:rFonts w:ascii="Arial" w:hAnsi="Arial" w:cs="Arial"/>
          <w:sz w:val="22"/>
          <w:szCs w:val="22"/>
          <w:lang w:val="en-GB"/>
        </w:rPr>
        <w:t xml:space="preserve"> et al., 2025; Gibson et al., 2022; Pardeshi et al., 2026; Gadapani et al., 2019; Sahu et al., 2021).</w:t>
      </w:r>
    </w:p>
    <w:p w:rsidRPr="00BF57FF" w:rsidR="00E057A9" w:rsidP="00A70BBB" w:rsidRDefault="00733F5A" w14:paraId="53410039" w14:textId="54E41075">
      <w:pPr>
        <w:pStyle w:val="font-claude-response-body"/>
        <w:spacing w:before="0" w:beforeAutospacing="0" w:after="240"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In the sole systematic review and meta-analysis included in the </w:t>
      </w:r>
      <w:r w:rsidRPr="00BF57FF" w:rsidR="008A6494">
        <w:rPr>
          <w:rFonts w:ascii="Arial" w:hAnsi="Arial" w:cs="Arial"/>
          <w:sz w:val="22"/>
          <w:szCs w:val="22"/>
          <w:lang w:val="en-GB"/>
        </w:rPr>
        <w:t>sample</w:t>
      </w:r>
      <w:r w:rsidRPr="00BF57FF">
        <w:rPr>
          <w:rFonts w:ascii="Arial" w:hAnsi="Arial" w:cs="Arial"/>
          <w:sz w:val="22"/>
          <w:szCs w:val="22"/>
          <w:lang w:val="en-GB"/>
        </w:rPr>
        <w:t xml:space="preserve">, Debnath et al. (2025) estimated a pooled PEP completion rate of 57 </w:t>
      </w:r>
      <w:r w:rsidRPr="00BF57FF" w:rsidR="00AA6610">
        <w:rPr>
          <w:rFonts w:ascii="Arial" w:hAnsi="Arial" w:cs="Arial"/>
          <w:sz w:val="22"/>
          <w:szCs w:val="22"/>
          <w:lang w:val="en-GB"/>
        </w:rPr>
        <w:t>per cent</w:t>
      </w:r>
      <w:r w:rsidRPr="00BF57FF">
        <w:rPr>
          <w:rFonts w:ascii="Arial" w:hAnsi="Arial" w:cs="Arial"/>
          <w:sz w:val="22"/>
          <w:szCs w:val="22"/>
          <w:lang w:val="en-GB"/>
        </w:rPr>
        <w:t xml:space="preserve"> of the Indian population, synthesising the results of 14 primary studies with 3,847 participants. This number means that about every four out of ten bite-exposed persons who receive healthcare system fail to take the treatment course needed to ensure protection. The predictors of non-completion found in the meta-analysis were rural residence, distance to anti-rabies clinics, direct cost of treatment, indirect </w:t>
      </w:r>
      <w:r w:rsidRPr="00BF57FF" w:rsidR="008A6494">
        <w:rPr>
          <w:rFonts w:ascii="Arial" w:hAnsi="Arial" w:cs="Arial"/>
          <w:sz w:val="22"/>
          <w:szCs w:val="22"/>
          <w:lang w:val="en-GB"/>
        </w:rPr>
        <w:t>costs</w:t>
      </w:r>
      <w:r w:rsidRPr="00BF57FF">
        <w:rPr>
          <w:rFonts w:ascii="Arial" w:hAnsi="Arial" w:cs="Arial"/>
          <w:sz w:val="22"/>
          <w:szCs w:val="22"/>
          <w:lang w:val="en-GB"/>
        </w:rPr>
        <w:t xml:space="preserve"> such as loss of daily wages due to multiple clinic visits and lack of knowledge about the need to receive the full vaccination schedule. The aggregate estimate conceals a wide range of differentiation: even in the primary studies included in the meta-analysis, completion rates were as low as 40 </w:t>
      </w:r>
      <w:r w:rsidRPr="00BF57FF" w:rsidR="00AA6610">
        <w:rPr>
          <w:rFonts w:ascii="Arial" w:hAnsi="Arial" w:cs="Arial"/>
          <w:sz w:val="22"/>
          <w:szCs w:val="22"/>
          <w:lang w:val="en-GB"/>
        </w:rPr>
        <w:t>per cent</w:t>
      </w:r>
      <w:r w:rsidRPr="00BF57FF">
        <w:rPr>
          <w:rFonts w:ascii="Arial" w:hAnsi="Arial" w:cs="Arial"/>
          <w:sz w:val="22"/>
          <w:szCs w:val="22"/>
          <w:lang w:val="en-GB"/>
        </w:rPr>
        <w:t xml:space="preserve"> in the rural area, implying that systemic failure is sharpest in the place of the greatest risk of exposure. </w:t>
      </w:r>
    </w:p>
    <w:p w:rsidRPr="00BF57FF" w:rsidR="00E057A9" w:rsidP="00A70BBB" w:rsidRDefault="00733F5A" w14:paraId="7FB26AFC" w14:textId="38810867">
      <w:pPr>
        <w:pStyle w:val="font-claude-response-body"/>
        <w:spacing w:before="0" w:beforeAutospacing="0" w:after="240"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This finding is put in perspective by national burden data of Thangaraj et al. (2025): although 79.5 </w:t>
      </w:r>
      <w:r w:rsidRPr="00BF57FF" w:rsidR="00AA6610">
        <w:rPr>
          <w:rFonts w:ascii="Arial" w:hAnsi="Arial" w:cs="Arial"/>
          <w:sz w:val="22"/>
          <w:szCs w:val="22"/>
          <w:lang w:val="en-GB"/>
        </w:rPr>
        <w:t>per cent</w:t>
      </w:r>
      <w:r w:rsidRPr="00BF57FF">
        <w:rPr>
          <w:rFonts w:ascii="Arial" w:hAnsi="Arial" w:cs="Arial"/>
          <w:sz w:val="22"/>
          <w:szCs w:val="22"/>
          <w:lang w:val="en-GB"/>
        </w:rPr>
        <w:t xml:space="preserve"> of bite victims in sixty districts in fifteen states received at least one dose of ARVs, this number overstates the proportion of the population receiving full and effective protection, as partial vaccination provides much less immunity than the full schedule (Hemachudha et al., 2013). The difference between the percentage initiating PEP and the percentage completing it - which Debnath et al. (2025) estimate to be 57 </w:t>
      </w:r>
      <w:r w:rsidRPr="00BF57FF" w:rsidR="00AA6610">
        <w:rPr>
          <w:rFonts w:ascii="Arial" w:hAnsi="Arial" w:cs="Arial"/>
          <w:sz w:val="22"/>
          <w:szCs w:val="22"/>
          <w:lang w:val="en-GB"/>
        </w:rPr>
        <w:t>per cent</w:t>
      </w:r>
      <w:r w:rsidRPr="00BF57FF">
        <w:rPr>
          <w:rFonts w:ascii="Arial" w:hAnsi="Arial" w:cs="Arial"/>
          <w:sz w:val="22"/>
          <w:szCs w:val="22"/>
          <w:lang w:val="en-GB"/>
        </w:rPr>
        <w:t xml:space="preserve"> - is the quantifiable health system failure directly translated into avoidable deaths.</w:t>
      </w:r>
    </w:p>
    <w:p w:rsidRPr="00BF57FF" w:rsidR="00E057A9" w:rsidP="00A70BBB" w:rsidRDefault="001E2E6D" w14:paraId="7ABF5568" w14:textId="54B7A722">
      <w:pPr>
        <w:pStyle w:val="font-claude-response-body"/>
        <w:spacing w:before="0" w:beforeAutospacing="0" w:after="240" w:afterAutospacing="0" w:line="360" w:lineRule="auto"/>
        <w:jc w:val="both"/>
        <w:rPr>
          <w:rFonts w:ascii="Arial" w:hAnsi="Arial" w:cs="Arial"/>
          <w:sz w:val="22"/>
          <w:szCs w:val="22"/>
          <w:lang w:val="en-GB"/>
        </w:rPr>
      </w:pPr>
      <w:r w:rsidRPr="00BF57FF">
        <w:rPr>
          <w:rFonts w:ascii="Arial" w:hAnsi="Arial" w:cs="Arial"/>
          <w:sz w:val="22"/>
          <w:szCs w:val="22"/>
          <w:lang w:val="en-GB"/>
        </w:rPr>
        <w:t>The SWOT analysis by Pardeshi et al. (2026) reveals the following structural weaknesses as the most critical ones: intermittent stockouts of vaccines at the government level, the unavailability of rabies immunoglobulin persistently at the primary and secondary care level, and the lack of cold chain infrastructure in rural areas. The lack of immunoglobulin is especially consequential since</w:t>
      </w:r>
      <w:r w:rsidRPr="00BF57FF" w:rsidR="008A6494">
        <w:rPr>
          <w:rFonts w:ascii="Arial" w:hAnsi="Arial" w:cs="Arial"/>
          <w:sz w:val="22"/>
          <w:szCs w:val="22"/>
          <w:lang w:val="en-GB"/>
        </w:rPr>
        <w:t>,</w:t>
      </w:r>
      <w:r w:rsidRPr="00BF57FF">
        <w:rPr>
          <w:rFonts w:ascii="Arial" w:hAnsi="Arial" w:cs="Arial"/>
          <w:sz w:val="22"/>
          <w:szCs w:val="22"/>
          <w:lang w:val="en-GB"/>
        </w:rPr>
        <w:t xml:space="preserve"> in the case of category III exposures, the passive immunisation in and around the wound is a WHO-</w:t>
      </w:r>
      <w:r w:rsidRPr="00BF57FF">
        <w:rPr>
          <w:rFonts w:ascii="Arial" w:hAnsi="Arial" w:cs="Arial"/>
          <w:sz w:val="22"/>
          <w:szCs w:val="22"/>
          <w:lang w:val="en-GB"/>
        </w:rPr>
        <w:t>standard of treatment that cannot be replaced by vaccination alone (Hemachudha et al., 2013). To the extent feasible in their single-site retrospective design, Gadapani et al. (2019) support this at the field level: rural primary health centres in Maharashtra were often unable to offer full PEP, acting as referral hubs instead of treatment facilities, which further increased distance and time and cost to the treatment pathway of rural bite victims, who already face significant access barriers.</w:t>
      </w:r>
    </w:p>
    <w:p w:rsidRPr="00BF57FF" w:rsidR="00E057A9" w:rsidP="00A70BBB" w:rsidRDefault="00B5154A" w14:paraId="193C6D65" w14:textId="08334B6B">
      <w:pPr>
        <w:pStyle w:val="font-claude-response-body"/>
        <w:spacing w:before="0" w:beforeAutospacing="0" w:after="240"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It is in this framework of systemic failure that the results of Gibson et al. (2022) are a proof-of-concept. By using a combination of investment in dependable vaccine supply, immunoglobulin availability, mass dog vaccination of more than 95,000 animals a year, GPS-directed field response, and systematic community education of 150,000 schoolchildren a year, the Goa programme has eliminated human rabies, which has been sustained over seven years since 2017 and has reduced canine rabies cases by 92 </w:t>
      </w:r>
      <w:r w:rsidRPr="00BF57FF" w:rsidR="00AA6610">
        <w:rPr>
          <w:rFonts w:ascii="Arial" w:hAnsi="Arial" w:cs="Arial"/>
          <w:sz w:val="22"/>
          <w:szCs w:val="22"/>
          <w:lang w:val="en-GB"/>
        </w:rPr>
        <w:t>per cent</w:t>
      </w:r>
      <w:r w:rsidRPr="00BF57FF">
        <w:rPr>
          <w:rFonts w:ascii="Arial" w:hAnsi="Arial" w:cs="Arial"/>
          <w:sz w:val="22"/>
          <w:szCs w:val="22"/>
          <w:lang w:val="en-GB"/>
        </w:rPr>
        <w:t xml:space="preserve"> per month. Sahu et al. (2021) depict the intersection of CHW knowledge gaps and supply shortages: as frontline workers fail to educate bite victims on treatment, and facilities fail to offer full PEP, the overall barrier significantly outweighs each failure on its own.</w:t>
      </w:r>
    </w:p>
    <w:p w:rsidRPr="00BF57FF" w:rsidR="00E057A9" w:rsidP="00A70BBB" w:rsidRDefault="00E057A9" w14:paraId="3E3D83D9" w14:textId="5BA51726">
      <w:pPr>
        <w:pStyle w:val="font-claude-response-body"/>
        <w:spacing w:before="0" w:beforeAutospacing="0" w:after="240" w:afterAutospacing="0" w:line="360" w:lineRule="auto"/>
        <w:jc w:val="both"/>
        <w:rPr>
          <w:rFonts w:ascii="Arial" w:hAnsi="Arial" w:cs="Arial"/>
          <w:sz w:val="22"/>
          <w:szCs w:val="22"/>
          <w:lang w:val="en-GB"/>
        </w:rPr>
      </w:pPr>
    </w:p>
    <w:p w:rsidRPr="00BF57FF" w:rsidR="00E057A9" w:rsidP="00A70BBB" w:rsidRDefault="00E057A9" w14:paraId="58F7F299" w14:textId="77777777">
      <w:pPr>
        <w:pStyle w:val="Heading2"/>
        <w:spacing w:after="240" w:line="360" w:lineRule="auto"/>
        <w:jc w:val="both"/>
        <w:rPr>
          <w:rFonts w:ascii="Arial" w:hAnsi="Arial" w:cs="Arial"/>
          <w:sz w:val="22"/>
        </w:rPr>
      </w:pPr>
      <w:bookmarkStart w:name="_Toc231005876" w:id="86"/>
      <w:bookmarkStart w:name="_Toc231298590" w:id="87"/>
      <w:r w:rsidRPr="00BF57FF">
        <w:rPr>
          <w:rFonts w:ascii="Arial" w:hAnsi="Arial" w:cs="Arial"/>
          <w:sz w:val="22"/>
        </w:rPr>
        <w:t>4.7 Theme 4 — Surveillance Inadequacy and Under-Reporting</w:t>
      </w:r>
      <w:bookmarkEnd w:id="86"/>
      <w:bookmarkEnd w:id="87"/>
    </w:p>
    <w:p w:rsidRPr="00BF57FF" w:rsidR="00E057A9" w:rsidP="00A70BBB" w:rsidRDefault="00CA5E04" w14:paraId="3B22BE76" w14:textId="2B0B42FE">
      <w:pPr>
        <w:pStyle w:val="font-claude-response-body"/>
        <w:spacing w:before="0" w:beforeAutospacing="0" w:after="240"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The fourth theme was the insufficiency of </w:t>
      </w:r>
      <w:r w:rsidRPr="00BF57FF" w:rsidR="008A6494">
        <w:rPr>
          <w:rFonts w:ascii="Arial" w:hAnsi="Arial" w:cs="Arial"/>
          <w:sz w:val="22"/>
          <w:szCs w:val="22"/>
          <w:lang w:val="en-GB"/>
        </w:rPr>
        <w:t>India's</w:t>
      </w:r>
      <w:r w:rsidRPr="00BF57FF">
        <w:rPr>
          <w:rFonts w:ascii="Arial" w:hAnsi="Arial" w:cs="Arial"/>
          <w:sz w:val="22"/>
          <w:szCs w:val="22"/>
          <w:lang w:val="en-GB"/>
        </w:rPr>
        <w:t xml:space="preserve"> rabies surveillance systems</w:t>
      </w:r>
      <w:r w:rsidRPr="00BF57FF" w:rsidR="008A6494">
        <w:rPr>
          <w:rFonts w:ascii="Arial" w:hAnsi="Arial" w:cs="Arial"/>
          <w:sz w:val="22"/>
          <w:szCs w:val="22"/>
          <w:lang w:val="en-GB"/>
        </w:rPr>
        <w:t>,</w:t>
      </w:r>
      <w:r w:rsidRPr="00BF57FF">
        <w:rPr>
          <w:rFonts w:ascii="Arial" w:hAnsi="Arial" w:cs="Arial"/>
          <w:sz w:val="22"/>
          <w:szCs w:val="22"/>
          <w:lang w:val="en-GB"/>
        </w:rPr>
        <w:t xml:space="preserve"> which have always underestimated the real burden of the disease, produced unreliable trend data, and do not provide the information infrastructure needed to manage targeted </w:t>
      </w:r>
      <w:r w:rsidRPr="00BF57FF" w:rsidR="00622EEC">
        <w:rPr>
          <w:rFonts w:ascii="Arial" w:hAnsi="Arial" w:cs="Arial"/>
          <w:sz w:val="22"/>
          <w:szCs w:val="22"/>
          <w:lang w:val="en-GB"/>
        </w:rPr>
        <w:t>programmes</w:t>
      </w:r>
      <w:r w:rsidRPr="00BF57FF">
        <w:rPr>
          <w:rFonts w:ascii="Arial" w:hAnsi="Arial" w:cs="Arial"/>
          <w:sz w:val="22"/>
          <w:szCs w:val="22"/>
          <w:lang w:val="en-GB"/>
        </w:rPr>
        <w:t xml:space="preserve"> or to identify progress. Five studies were found and reported the structural origins, operational forms and magnitude of this failure (Sudarshan and Ashwath Narayana, 2019; Radhakrishnan et al., 2020; Hampson et al., 2015; Vanak et al., 2023; Thangaraj et al., 2025).</w:t>
      </w:r>
    </w:p>
    <w:p w:rsidRPr="00BF57FF" w:rsidR="00E057A9" w:rsidP="00A70BBB" w:rsidRDefault="00C65C9D" w14:paraId="3EF17767" w14:textId="3EDBEB94">
      <w:pPr>
        <w:pStyle w:val="font-claude-response-body"/>
        <w:spacing w:before="0" w:beforeAutospacing="0" w:after="240"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Sudarshan and Ashwath Narayana (2019) used record-based surveillance appraisal in seven Indian states, directly comparing animal bites and human rabies cases held at the state-level Integrated Disease Surveillance Programme offices with those held at the National Centre for Disease Control. The results showed significant inconsistency between the two sources: the reporting was so partial that the central system received only a part of the cases reported at </w:t>
      </w:r>
      <w:r w:rsidRPr="00BF57FF" w:rsidR="00622EEC">
        <w:rPr>
          <w:rFonts w:ascii="Arial" w:hAnsi="Arial" w:cs="Arial"/>
          <w:sz w:val="22"/>
          <w:szCs w:val="22"/>
          <w:lang w:val="en-GB"/>
        </w:rPr>
        <w:t xml:space="preserve">the </w:t>
      </w:r>
      <w:r w:rsidRPr="00BF57FF">
        <w:rPr>
          <w:rFonts w:ascii="Arial" w:hAnsi="Arial" w:cs="Arial"/>
          <w:sz w:val="22"/>
          <w:szCs w:val="22"/>
          <w:lang w:val="en-GB"/>
        </w:rPr>
        <w:t xml:space="preserve">state level, and there was no systematic reconciliation procedure. Radhakrishnan et al. (2020) determine the structural causes of the problem, but their historical review, limited by the absence of </w:t>
      </w:r>
      <w:r w:rsidRPr="00BF57FF">
        <w:rPr>
          <w:rFonts w:ascii="Arial" w:hAnsi="Arial" w:cs="Arial"/>
          <w:sz w:val="22"/>
          <w:szCs w:val="22"/>
          <w:lang w:val="en-GB"/>
        </w:rPr>
        <w:t xml:space="preserve">quantitative outcome data, confirms that rabies is not notifiable in most Indian states, and that healthcare providers have no legal duty to report the cases to the local health authorities. This non-notifiable condition is </w:t>
      </w:r>
      <w:r w:rsidRPr="00BF57FF" w:rsidR="00622EEC">
        <w:rPr>
          <w:rFonts w:ascii="Arial" w:hAnsi="Arial" w:cs="Arial"/>
          <w:sz w:val="22"/>
          <w:szCs w:val="22"/>
          <w:lang w:val="en-GB"/>
        </w:rPr>
        <w:t>attributed</w:t>
      </w:r>
      <w:r w:rsidRPr="00BF57FF">
        <w:rPr>
          <w:rFonts w:ascii="Arial" w:hAnsi="Arial" w:cs="Arial"/>
          <w:sz w:val="22"/>
          <w:szCs w:val="22"/>
          <w:lang w:val="en-GB"/>
        </w:rPr>
        <w:t xml:space="preserve"> to the colonial era of administrative de-prioritisation of rabies, which created a surveillance negligence trend, and the governance failure of the post-independence era, which created a structural deficit that has continued over decades.</w:t>
      </w:r>
    </w:p>
    <w:p w:rsidRPr="00BF57FF" w:rsidR="00E057A9" w:rsidP="00A70BBB" w:rsidRDefault="00565357" w14:paraId="507E8FA5" w14:textId="5A780ECD">
      <w:pPr>
        <w:pStyle w:val="font-claude-response-body"/>
        <w:spacing w:before="0" w:beforeAutospacing="0" w:after="240" w:afterAutospacing="0" w:line="360" w:lineRule="auto"/>
        <w:jc w:val="both"/>
        <w:rPr>
          <w:rFonts w:ascii="Arial" w:hAnsi="Arial" w:cs="Arial"/>
          <w:sz w:val="22"/>
          <w:szCs w:val="22"/>
          <w:lang w:val="en-GB"/>
        </w:rPr>
      </w:pPr>
      <w:r w:rsidRPr="00BF57FF">
        <w:rPr>
          <w:rFonts w:ascii="Arial" w:hAnsi="Arial" w:cs="Arial"/>
          <w:sz w:val="22"/>
          <w:szCs w:val="22"/>
          <w:lang w:val="en-GB"/>
        </w:rPr>
        <w:t>The magnitude of the discrepancy between reported and estimated true burden is demonstrated by Hampson et al. (2015), who estimated that the number of people killed by rabies annually in India was around 20000, which is why India leads the absolute national rabies mortality in the world. Based on this, Thangaraj et al. (2025)</w:t>
      </w:r>
      <w:r w:rsidRPr="00BF57FF" w:rsidR="00622EEC">
        <w:rPr>
          <w:rFonts w:ascii="Arial" w:hAnsi="Arial" w:cs="Arial"/>
          <w:sz w:val="22"/>
          <w:szCs w:val="22"/>
          <w:lang w:val="en-GB"/>
        </w:rPr>
        <w:t>,</w:t>
      </w:r>
      <w:r w:rsidRPr="00BF57FF">
        <w:rPr>
          <w:rFonts w:ascii="Arial" w:hAnsi="Arial" w:cs="Arial"/>
          <w:sz w:val="22"/>
          <w:szCs w:val="22"/>
          <w:lang w:val="en-GB"/>
        </w:rPr>
        <w:t xml:space="preserve"> with the first nationally representative community-based burden estimate in some twenty years</w:t>
      </w:r>
      <w:r w:rsidRPr="00BF57FF" w:rsidR="00622EEC">
        <w:rPr>
          <w:rFonts w:ascii="Arial" w:hAnsi="Arial" w:cs="Arial"/>
          <w:sz w:val="22"/>
          <w:szCs w:val="22"/>
          <w:lang w:val="en-GB"/>
        </w:rPr>
        <w:t>,</w:t>
      </w:r>
      <w:r w:rsidRPr="00BF57FF">
        <w:rPr>
          <w:rFonts w:ascii="Arial" w:hAnsi="Arial" w:cs="Arial"/>
          <w:sz w:val="22"/>
          <w:szCs w:val="22"/>
          <w:lang w:val="en-GB"/>
        </w:rPr>
        <w:t xml:space="preserve"> came up with a figure of 5,726 deaths per year, still significantly exceeding official reported figures. Collectively</w:t>
      </w:r>
      <w:r w:rsidRPr="00BF57FF" w:rsidR="003C22F2">
        <w:rPr>
          <w:rFonts w:ascii="Arial" w:hAnsi="Arial" w:cs="Arial"/>
          <w:sz w:val="22"/>
          <w:szCs w:val="22"/>
          <w:lang w:val="en-GB"/>
        </w:rPr>
        <w:t>,</w:t>
      </w:r>
      <w:r w:rsidRPr="00BF57FF">
        <w:rPr>
          <w:rFonts w:ascii="Arial" w:hAnsi="Arial" w:cs="Arial"/>
          <w:sz w:val="22"/>
          <w:szCs w:val="22"/>
          <w:lang w:val="en-GB"/>
        </w:rPr>
        <w:t xml:space="preserve"> the estimates affirm the existence of the surveillance gap and the invisibility of the actual burden of India to the systems that drive elimination planning. </w:t>
      </w:r>
    </w:p>
    <w:p w:rsidRPr="00BF57FF" w:rsidR="00E057A9" w:rsidP="00A70BBB" w:rsidRDefault="003B4AE9" w14:paraId="225995FE" w14:textId="65B17C95">
      <w:pPr>
        <w:pStyle w:val="font-claude-response-body"/>
        <w:spacing w:before="0" w:beforeAutospacing="0" w:after="240"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Vanak et al. (2023) present a different design of passive surveillance that has quantifiable performance benefits over traditional designs. The Hawk Data Pro in Pune had more than 90,700 community calls during four years of operation; 749 dogs were reported rabies-positive, allowing targeted vaccination of about 23,000 animals and community education of about 21,000 residents. The ability of the system to identify a large urban outbreak in near-real time demonstrates the surveillance dividend that can be obtained with community-based reporting systems. It is reliant on urban civic infrastructure, laboratory capacity, and digital systems not yet accessible on </w:t>
      </w:r>
      <w:r w:rsidRPr="00BF57FF" w:rsidR="003C22F2">
        <w:rPr>
          <w:rFonts w:ascii="Arial" w:hAnsi="Arial" w:cs="Arial"/>
          <w:sz w:val="22"/>
          <w:szCs w:val="22"/>
          <w:lang w:val="en-GB"/>
        </w:rPr>
        <w:t xml:space="preserve">a </w:t>
      </w:r>
      <w:r w:rsidRPr="00BF57FF">
        <w:rPr>
          <w:rFonts w:ascii="Arial" w:hAnsi="Arial" w:cs="Arial"/>
          <w:sz w:val="22"/>
          <w:szCs w:val="22"/>
          <w:lang w:val="en-GB"/>
        </w:rPr>
        <w:t xml:space="preserve">rural scale. The difference between the Pune system and how the conventional surveillance showed highlights the extent to which the current national infrastructure </w:t>
      </w:r>
      <w:r w:rsidRPr="00BF57FF" w:rsidR="003C22F2">
        <w:rPr>
          <w:rFonts w:ascii="Arial" w:hAnsi="Arial" w:cs="Arial"/>
          <w:sz w:val="22"/>
          <w:szCs w:val="22"/>
          <w:lang w:val="en-GB"/>
        </w:rPr>
        <w:t>underreports</w:t>
      </w:r>
      <w:r w:rsidRPr="00BF57FF">
        <w:rPr>
          <w:rFonts w:ascii="Arial" w:hAnsi="Arial" w:cs="Arial"/>
          <w:sz w:val="22"/>
          <w:szCs w:val="22"/>
          <w:lang w:val="en-GB"/>
        </w:rPr>
        <w:t xml:space="preserve"> the real extent of rabies exposure and transmission. </w:t>
      </w:r>
    </w:p>
    <w:p w:rsidRPr="00BF57FF" w:rsidR="00E057A9" w:rsidP="00A70BBB" w:rsidRDefault="001D3D1D" w14:paraId="61DBFE13" w14:textId="75010EB8">
      <w:pPr>
        <w:pStyle w:val="font-claude-response-body"/>
        <w:spacing w:before="0" w:beforeAutospacing="0" w:after="240" w:afterAutospacing="0" w:line="360" w:lineRule="auto"/>
        <w:jc w:val="both"/>
        <w:rPr>
          <w:rFonts w:ascii="Arial" w:hAnsi="Arial" w:cs="Arial"/>
          <w:sz w:val="22"/>
          <w:szCs w:val="22"/>
          <w:lang w:val="en-GB"/>
        </w:rPr>
      </w:pPr>
      <w:r w:rsidRPr="00BF57FF">
        <w:rPr>
          <w:rFonts w:ascii="Arial" w:hAnsi="Arial" w:cs="Arial"/>
          <w:i/>
          <w:iCs/>
          <w:sz w:val="22"/>
          <w:szCs w:val="22"/>
          <w:lang w:val="en-GB"/>
        </w:rPr>
        <w:t>These</w:t>
      </w:r>
      <w:r w:rsidRPr="00BF57FF" w:rsidR="00E057A9">
        <w:rPr>
          <w:rFonts w:ascii="Arial" w:hAnsi="Arial" w:cs="Arial"/>
          <w:i/>
          <w:iCs/>
          <w:sz w:val="22"/>
          <w:szCs w:val="22"/>
          <w:lang w:val="en-GB"/>
        </w:rPr>
        <w:t xml:space="preserve"> </w:t>
      </w:r>
      <w:r w:rsidRPr="00BF57FF">
        <w:rPr>
          <w:rFonts w:ascii="Arial" w:hAnsi="Arial" w:cs="Arial"/>
          <w:i/>
          <w:iCs/>
          <w:sz w:val="22"/>
          <w:szCs w:val="22"/>
          <w:lang w:val="en-GB"/>
        </w:rPr>
        <w:t>four themes are discussed in the next chapter in terms of the broader evidence base and the theoretical frameworks that inform the analytical approach of this review.</w:t>
      </w:r>
    </w:p>
    <w:p w:rsidRPr="00BF57FF" w:rsidR="00C0054D" w:rsidP="00A70BBB" w:rsidRDefault="00C0054D" w14:paraId="49C9D312" w14:textId="2A8EB561">
      <w:pPr>
        <w:pStyle w:val="font-claude-response-body"/>
        <w:spacing w:before="0" w:beforeAutospacing="0" w:after="0" w:afterAutospacing="0" w:line="360" w:lineRule="auto"/>
        <w:jc w:val="both"/>
        <w:rPr>
          <w:rFonts w:ascii="Arial" w:hAnsi="Arial" w:cs="Arial"/>
          <w:sz w:val="22"/>
          <w:szCs w:val="22"/>
          <w:lang w:val="en-GB"/>
        </w:rPr>
      </w:pPr>
    </w:p>
    <w:p w:rsidRPr="00BF57FF" w:rsidR="009706D0" w:rsidP="00A70BBB" w:rsidRDefault="009706D0" w14:paraId="6F2446E6" w14:textId="11048396">
      <w:pPr>
        <w:spacing w:after="0" w:line="360" w:lineRule="auto"/>
        <w:jc w:val="both"/>
        <w:rPr>
          <w:rFonts w:ascii="Arial" w:hAnsi="Arial" w:cs="Arial"/>
        </w:rPr>
      </w:pPr>
    </w:p>
    <w:p w:rsidRPr="00BF57FF" w:rsidR="009F64C5" w:rsidP="00A70BBB" w:rsidRDefault="00DD7AA5" w14:paraId="1E0DD3AE" w14:textId="14EC5F70">
      <w:pPr>
        <w:pStyle w:val="Heading1"/>
        <w:spacing w:line="360" w:lineRule="auto"/>
        <w:jc w:val="both"/>
        <w:rPr>
          <w:rStyle w:val="Strong"/>
          <w:rFonts w:ascii="Arial" w:hAnsi="Arial" w:cs="Arial"/>
          <w:b/>
          <w:bCs w:val="0"/>
          <w:sz w:val="22"/>
        </w:rPr>
      </w:pPr>
      <w:bookmarkStart w:name="_Toc231005827" w:id="88"/>
      <w:bookmarkStart w:name="_Toc231005877" w:id="89"/>
      <w:bookmarkStart w:name="_Toc231298591" w:id="90"/>
      <w:r w:rsidRPr="00BF57FF">
        <w:rPr>
          <w:rStyle w:val="Strong"/>
          <w:rFonts w:ascii="Arial" w:hAnsi="Arial" w:cs="Arial"/>
          <w:b/>
          <w:bCs w:val="0"/>
          <w:sz w:val="22"/>
        </w:rPr>
        <w:t xml:space="preserve">Chapter 5: </w:t>
      </w:r>
      <w:r w:rsidRPr="00BF57FF" w:rsidR="009F64C5">
        <w:rPr>
          <w:rStyle w:val="Strong"/>
          <w:rFonts w:ascii="Arial" w:hAnsi="Arial" w:cs="Arial"/>
          <w:b/>
          <w:bCs w:val="0"/>
          <w:sz w:val="22"/>
        </w:rPr>
        <w:t>Discussion</w:t>
      </w:r>
      <w:bookmarkEnd w:id="88"/>
      <w:bookmarkEnd w:id="89"/>
      <w:bookmarkEnd w:id="90"/>
      <w:r w:rsidRPr="00BF57FF" w:rsidR="009F64C5">
        <w:rPr>
          <w:rStyle w:val="Strong"/>
          <w:rFonts w:ascii="Arial" w:hAnsi="Arial" w:cs="Arial"/>
          <w:b/>
          <w:bCs w:val="0"/>
          <w:sz w:val="22"/>
        </w:rPr>
        <w:t xml:space="preserve"> </w:t>
      </w:r>
    </w:p>
    <w:p w:rsidRPr="00BF57FF" w:rsidR="00A4702F" w:rsidP="00A70BBB" w:rsidRDefault="00A4702F" w14:paraId="6448682E" w14:textId="6775FD1F">
      <w:pPr>
        <w:pStyle w:val="Heading2"/>
        <w:spacing w:line="360" w:lineRule="auto"/>
        <w:jc w:val="both"/>
        <w:rPr>
          <w:rFonts w:ascii="Arial" w:hAnsi="Arial" w:cs="Arial"/>
          <w:sz w:val="22"/>
        </w:rPr>
      </w:pPr>
      <w:bookmarkStart w:name="_Toc231005878" w:id="91"/>
      <w:bookmarkStart w:name="_Toc231298592" w:id="92"/>
      <w:r w:rsidRPr="00BF57FF">
        <w:rPr>
          <w:rFonts w:ascii="Arial" w:hAnsi="Arial" w:cs="Arial"/>
          <w:sz w:val="22"/>
        </w:rPr>
        <w:t>5.1 Introduction</w:t>
      </w:r>
      <w:bookmarkEnd w:id="91"/>
      <w:bookmarkEnd w:id="92"/>
    </w:p>
    <w:p w:rsidRPr="00BF57FF" w:rsidR="00D371C9" w:rsidP="00A70BBB" w:rsidRDefault="0067798E" w14:paraId="42826785" w14:textId="0041493A">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This chapter explains the four themes in Chapter 4, namely community knowledge gaps and risk perception deficits, traditional medicine use as a structural barrier to post-exposure prophylaxis, health system failures and PEP inaccessibility, and surveillance inadequacy and under-reporting, in the context of the rest of the literature and the three theoretical frameworks presented in Chapter 2. All themes are discussed in the analytical prism of One Health, structural determinants of health, and </w:t>
      </w:r>
      <w:r w:rsidRPr="00BF57FF" w:rsidR="00622EEC">
        <w:rPr>
          <w:rFonts w:ascii="Arial" w:hAnsi="Arial" w:cs="Arial"/>
          <w:sz w:val="22"/>
          <w:szCs w:val="22"/>
          <w:lang w:val="en-GB"/>
        </w:rPr>
        <w:t xml:space="preserve">the </w:t>
      </w:r>
      <w:r w:rsidRPr="00BF57FF">
        <w:rPr>
          <w:rFonts w:ascii="Arial" w:hAnsi="Arial" w:cs="Arial"/>
          <w:sz w:val="22"/>
          <w:szCs w:val="22"/>
          <w:lang w:val="en-GB"/>
        </w:rPr>
        <w:t>WHO Zero by 30 Strategic Plan, which is used to shed light on how the current system in India contributes to avoidable rabies deaths. Where the results of the included studies are consistent or inconsistent with the global evidence, this is clarified. The chapter ends by analysing the implications of the synthesised evidence on the One Health policy and Zero by 30 progress, and a candid discussion of the methodological limitations of this review.</w:t>
      </w:r>
    </w:p>
    <w:p w:rsidRPr="00BF57FF" w:rsidR="00BB527A" w:rsidP="00A70BBB" w:rsidRDefault="00BB527A" w14:paraId="62F97187" w14:textId="09DB49DC">
      <w:pPr>
        <w:pStyle w:val="Caption"/>
        <w:keepNext/>
        <w:spacing w:line="360" w:lineRule="auto"/>
        <w:jc w:val="both"/>
        <w:rPr>
          <w:rFonts w:ascii="Arial" w:hAnsi="Arial" w:cs="Arial"/>
          <w:sz w:val="22"/>
          <w:szCs w:val="22"/>
        </w:rPr>
      </w:pPr>
      <w:bookmarkStart w:name="_Toc231243856" w:id="93"/>
      <w:r w:rsidRPr="00BF57FF">
        <w:rPr>
          <w:rFonts w:ascii="Arial" w:hAnsi="Arial" w:cs="Arial"/>
          <w:sz w:val="22"/>
          <w:szCs w:val="22"/>
        </w:rPr>
        <w:t xml:space="preserve">Table 5. </w:t>
      </w:r>
      <w:r w:rsidRPr="00BF57FF">
        <w:rPr>
          <w:rFonts w:ascii="Arial" w:hAnsi="Arial" w:cs="Arial"/>
          <w:sz w:val="22"/>
          <w:szCs w:val="22"/>
        </w:rPr>
        <w:fldChar w:fldCharType="begin"/>
      </w:r>
      <w:r w:rsidRPr="00BF57FF">
        <w:rPr>
          <w:rFonts w:ascii="Arial" w:hAnsi="Arial" w:cs="Arial"/>
          <w:sz w:val="22"/>
          <w:szCs w:val="22"/>
        </w:rPr>
        <w:instrText xml:space="preserve"> SEQ Table_5. \* ARABIC </w:instrText>
      </w:r>
      <w:r w:rsidRPr="00BF57FF">
        <w:rPr>
          <w:rFonts w:ascii="Arial" w:hAnsi="Arial" w:cs="Arial"/>
          <w:sz w:val="22"/>
          <w:szCs w:val="22"/>
        </w:rPr>
        <w:fldChar w:fldCharType="separate"/>
      </w:r>
      <w:r w:rsidRPr="00BF57FF">
        <w:rPr>
          <w:rFonts w:ascii="Arial" w:hAnsi="Arial" w:cs="Arial"/>
          <w:noProof/>
          <w:sz w:val="22"/>
          <w:szCs w:val="22"/>
        </w:rPr>
        <w:t>1</w:t>
      </w:r>
      <w:r w:rsidRPr="00BF57FF">
        <w:rPr>
          <w:rFonts w:ascii="Arial" w:hAnsi="Arial" w:cs="Arial"/>
          <w:sz w:val="22"/>
          <w:szCs w:val="22"/>
        </w:rPr>
        <w:fldChar w:fldCharType="end"/>
      </w:r>
      <w:r w:rsidRPr="00BF57FF">
        <w:rPr>
          <w:rFonts w:ascii="Arial" w:hAnsi="Arial" w:cs="Arial"/>
          <w:sz w:val="22"/>
          <w:szCs w:val="22"/>
        </w:rPr>
        <w:t xml:space="preserve"> Summary of Key Quantitative Indicators from Included Studies</w:t>
      </w:r>
      <w:bookmarkEnd w:id="93"/>
    </w:p>
    <w:tbl>
      <w:tblPr>
        <w:tblW w:w="93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4805"/>
        <w:gridCol w:w="1463"/>
        <w:gridCol w:w="3092"/>
      </w:tblGrid>
      <w:tr w:rsidRPr="00BF57FF" w:rsidR="00D371C9" w:rsidTr="004A604A" w14:paraId="6E3DA0E8" w14:textId="77777777">
        <w:trPr>
          <w:tblHeader/>
        </w:trPr>
        <w:tc>
          <w:tcPr>
            <w:tcW w:w="4600" w:type="dxa"/>
            <w:tcBorders>
              <w:top w:val="single" w:color="CCCCCC" w:sz="4" w:space="0"/>
              <w:left w:val="single" w:color="CCCCCC" w:sz="4" w:space="0"/>
              <w:bottom w:val="single" w:color="CCCCCC" w:sz="4" w:space="0"/>
              <w:right w:val="single" w:color="CCCCCC" w:sz="4" w:space="0"/>
            </w:tcBorders>
            <w:shd w:val="clear" w:color="auto" w:fill="1F3864"/>
            <w:tcMar>
              <w:top w:w="100" w:type="dxa"/>
              <w:left w:w="140" w:type="dxa"/>
              <w:bottom w:w="100" w:type="dxa"/>
              <w:right w:w="140" w:type="dxa"/>
            </w:tcMar>
            <w:vAlign w:val="center"/>
          </w:tcPr>
          <w:p w:rsidRPr="00BF57FF" w:rsidR="00D371C9" w:rsidP="00A70BBB" w:rsidRDefault="00D371C9" w14:paraId="29850FBE" w14:textId="77777777">
            <w:pPr>
              <w:spacing w:after="0" w:line="360" w:lineRule="auto"/>
              <w:jc w:val="both"/>
              <w:rPr>
                <w:rFonts w:ascii="Arial" w:hAnsi="Arial" w:cs="Arial"/>
              </w:rPr>
            </w:pPr>
            <w:r w:rsidRPr="00BF57FF">
              <w:rPr>
                <w:rFonts w:ascii="Arial" w:hAnsi="Arial" w:eastAsia="Arial" w:cs="Arial"/>
                <w:b/>
                <w:bCs/>
                <w:color w:val="FFFFFF"/>
              </w:rPr>
              <w:t>Indicator</w:t>
            </w:r>
          </w:p>
        </w:tc>
        <w:tc>
          <w:tcPr>
            <w:tcW w:w="1400" w:type="dxa"/>
            <w:tcBorders>
              <w:top w:val="single" w:color="CCCCCC" w:sz="4" w:space="0"/>
              <w:left w:val="single" w:color="CCCCCC" w:sz="4" w:space="0"/>
              <w:bottom w:val="single" w:color="CCCCCC" w:sz="4" w:space="0"/>
              <w:right w:val="single" w:color="CCCCCC" w:sz="4" w:space="0"/>
            </w:tcBorders>
            <w:shd w:val="clear" w:color="auto" w:fill="1F3864"/>
            <w:tcMar>
              <w:top w:w="100" w:type="dxa"/>
              <w:left w:w="140" w:type="dxa"/>
              <w:bottom w:w="100" w:type="dxa"/>
              <w:right w:w="140" w:type="dxa"/>
            </w:tcMar>
            <w:vAlign w:val="center"/>
          </w:tcPr>
          <w:p w:rsidRPr="00BF57FF" w:rsidR="00D371C9" w:rsidP="00A70BBB" w:rsidRDefault="00D371C9" w14:paraId="70B9AFAE" w14:textId="77777777">
            <w:pPr>
              <w:spacing w:after="0" w:line="360" w:lineRule="auto"/>
              <w:jc w:val="both"/>
              <w:rPr>
                <w:rFonts w:ascii="Arial" w:hAnsi="Arial" w:cs="Arial"/>
              </w:rPr>
            </w:pPr>
            <w:r w:rsidRPr="00BF57FF">
              <w:rPr>
                <w:rFonts w:ascii="Arial" w:hAnsi="Arial" w:eastAsia="Arial" w:cs="Arial"/>
                <w:b/>
                <w:bCs/>
                <w:color w:val="FFFFFF"/>
              </w:rPr>
              <w:t>Figure</w:t>
            </w:r>
          </w:p>
        </w:tc>
        <w:tc>
          <w:tcPr>
            <w:tcW w:w="2960" w:type="dxa"/>
            <w:tcBorders>
              <w:top w:val="single" w:color="CCCCCC" w:sz="4" w:space="0"/>
              <w:left w:val="single" w:color="CCCCCC" w:sz="4" w:space="0"/>
              <w:bottom w:val="single" w:color="CCCCCC" w:sz="4" w:space="0"/>
              <w:right w:val="single" w:color="CCCCCC" w:sz="4" w:space="0"/>
            </w:tcBorders>
            <w:shd w:val="clear" w:color="auto" w:fill="1F3864"/>
            <w:tcMar>
              <w:top w:w="100" w:type="dxa"/>
              <w:left w:w="140" w:type="dxa"/>
              <w:bottom w:w="100" w:type="dxa"/>
              <w:right w:w="140" w:type="dxa"/>
            </w:tcMar>
            <w:vAlign w:val="center"/>
          </w:tcPr>
          <w:p w:rsidRPr="00BF57FF" w:rsidR="00D371C9" w:rsidP="00A70BBB" w:rsidRDefault="00D371C9" w14:paraId="1E95A73D" w14:textId="77777777">
            <w:pPr>
              <w:spacing w:after="0" w:line="360" w:lineRule="auto"/>
              <w:jc w:val="both"/>
              <w:rPr>
                <w:rFonts w:ascii="Arial" w:hAnsi="Arial" w:cs="Arial"/>
              </w:rPr>
            </w:pPr>
            <w:r w:rsidRPr="00BF57FF">
              <w:rPr>
                <w:rFonts w:ascii="Arial" w:hAnsi="Arial" w:eastAsia="Arial" w:cs="Arial"/>
                <w:b/>
                <w:bCs/>
                <w:color w:val="FFFFFF"/>
              </w:rPr>
              <w:t>Source</w:t>
            </w:r>
          </w:p>
        </w:tc>
      </w:tr>
      <w:tr w:rsidRPr="00BF57FF" w:rsidR="00D371C9" w:rsidTr="004A604A" w14:paraId="205C3FC8" w14:textId="77777777">
        <w:tc>
          <w:tcPr>
            <w:tcW w:w="4600" w:type="dxa"/>
            <w:tcBorders>
              <w:top w:val="single" w:color="CCCCCC" w:sz="4" w:space="0"/>
              <w:left w:val="single" w:color="CCCCCC" w:sz="4" w:space="0"/>
              <w:bottom w:val="single" w:color="CCCCCC" w:sz="4" w:space="0"/>
              <w:right w:val="single" w:color="CCCCCC" w:sz="4" w:space="0"/>
            </w:tcBorders>
            <w:shd w:val="clear" w:color="auto" w:fill="FFFFFF"/>
            <w:tcMar>
              <w:top w:w="80" w:type="dxa"/>
              <w:left w:w="140" w:type="dxa"/>
              <w:bottom w:w="80" w:type="dxa"/>
              <w:right w:w="140" w:type="dxa"/>
            </w:tcMar>
            <w:vAlign w:val="center"/>
          </w:tcPr>
          <w:p w:rsidRPr="00BF57FF" w:rsidR="00D371C9" w:rsidP="00A70BBB" w:rsidRDefault="00D371C9" w14:paraId="4D52C4A3" w14:textId="77777777">
            <w:pPr>
              <w:spacing w:after="0" w:line="360" w:lineRule="auto"/>
              <w:jc w:val="both"/>
              <w:rPr>
                <w:rFonts w:ascii="Arial" w:hAnsi="Arial" w:cs="Arial"/>
              </w:rPr>
            </w:pPr>
            <w:r w:rsidRPr="00BF57FF">
              <w:rPr>
                <w:rFonts w:ascii="Arial" w:hAnsi="Arial" w:eastAsia="Arial" w:cs="Arial"/>
                <w:b/>
                <w:bCs/>
              </w:rPr>
              <w:t>Estimated annual human rabies deaths in India</w:t>
            </w:r>
          </w:p>
        </w:tc>
        <w:tc>
          <w:tcPr>
            <w:tcW w:w="1400" w:type="dxa"/>
            <w:tcBorders>
              <w:top w:val="single" w:color="CCCCCC" w:sz="4" w:space="0"/>
              <w:left w:val="single" w:color="CCCCCC" w:sz="4" w:space="0"/>
              <w:bottom w:val="single" w:color="CCCCCC" w:sz="4" w:space="0"/>
              <w:right w:val="single" w:color="CCCCCC" w:sz="4" w:space="0"/>
            </w:tcBorders>
            <w:shd w:val="clear" w:color="auto" w:fill="FFFFFF"/>
            <w:tcMar>
              <w:top w:w="80" w:type="dxa"/>
              <w:left w:w="140" w:type="dxa"/>
              <w:bottom w:w="80" w:type="dxa"/>
              <w:right w:w="140" w:type="dxa"/>
            </w:tcMar>
            <w:vAlign w:val="center"/>
          </w:tcPr>
          <w:p w:rsidRPr="00BF57FF" w:rsidR="00D371C9" w:rsidP="00A70BBB" w:rsidRDefault="00D371C9" w14:paraId="7B4E91D4" w14:textId="77777777">
            <w:pPr>
              <w:spacing w:after="0" w:line="360" w:lineRule="auto"/>
              <w:jc w:val="both"/>
              <w:rPr>
                <w:rFonts w:ascii="Arial" w:hAnsi="Arial" w:cs="Arial"/>
              </w:rPr>
            </w:pPr>
            <w:r w:rsidRPr="00BF57FF">
              <w:rPr>
                <w:rFonts w:ascii="Arial" w:hAnsi="Arial" w:eastAsia="Arial" w:cs="Arial"/>
              </w:rPr>
              <w:t>5,726</w:t>
            </w:r>
          </w:p>
        </w:tc>
        <w:tc>
          <w:tcPr>
            <w:tcW w:w="2960" w:type="dxa"/>
            <w:tcBorders>
              <w:top w:val="single" w:color="CCCCCC" w:sz="4" w:space="0"/>
              <w:left w:val="single" w:color="CCCCCC" w:sz="4" w:space="0"/>
              <w:bottom w:val="single" w:color="CCCCCC" w:sz="4" w:space="0"/>
              <w:right w:val="single" w:color="CCCCCC" w:sz="4" w:space="0"/>
            </w:tcBorders>
            <w:shd w:val="clear" w:color="auto" w:fill="FFFFFF"/>
            <w:tcMar>
              <w:top w:w="80" w:type="dxa"/>
              <w:left w:w="140" w:type="dxa"/>
              <w:bottom w:w="80" w:type="dxa"/>
              <w:right w:w="140" w:type="dxa"/>
            </w:tcMar>
            <w:vAlign w:val="center"/>
          </w:tcPr>
          <w:p w:rsidRPr="00BF57FF" w:rsidR="00D371C9" w:rsidP="00A70BBB" w:rsidRDefault="00D371C9" w14:paraId="103D7272" w14:textId="77777777">
            <w:pPr>
              <w:spacing w:after="0" w:line="360" w:lineRule="auto"/>
              <w:jc w:val="both"/>
              <w:rPr>
                <w:rFonts w:ascii="Arial" w:hAnsi="Arial" w:cs="Arial"/>
              </w:rPr>
            </w:pPr>
            <w:r w:rsidRPr="00BF57FF">
              <w:rPr>
                <w:rFonts w:ascii="Arial" w:hAnsi="Arial" w:eastAsia="Arial" w:cs="Arial"/>
              </w:rPr>
              <w:t>Thangaraj et al. (2025)</w:t>
            </w:r>
          </w:p>
        </w:tc>
      </w:tr>
      <w:tr w:rsidRPr="00BF57FF" w:rsidR="00D371C9" w:rsidTr="004A604A" w14:paraId="46A44A4E" w14:textId="77777777">
        <w:tc>
          <w:tcPr>
            <w:tcW w:w="4600" w:type="dxa"/>
            <w:tcBorders>
              <w:top w:val="single" w:color="CCCCCC" w:sz="4" w:space="0"/>
              <w:left w:val="single" w:color="CCCCCC" w:sz="4" w:space="0"/>
              <w:bottom w:val="single" w:color="CCCCCC" w:sz="4" w:space="0"/>
              <w:right w:val="single" w:color="CCCCCC" w:sz="4" w:space="0"/>
            </w:tcBorders>
            <w:shd w:val="clear" w:color="auto" w:fill="EEF3F9"/>
            <w:tcMar>
              <w:top w:w="80" w:type="dxa"/>
              <w:left w:w="140" w:type="dxa"/>
              <w:bottom w:w="80" w:type="dxa"/>
              <w:right w:w="140" w:type="dxa"/>
            </w:tcMar>
            <w:vAlign w:val="center"/>
          </w:tcPr>
          <w:p w:rsidRPr="00BF57FF" w:rsidR="00D371C9" w:rsidP="00A70BBB" w:rsidRDefault="00D371C9" w14:paraId="0E079042" w14:textId="77777777">
            <w:pPr>
              <w:spacing w:after="0" w:line="360" w:lineRule="auto"/>
              <w:jc w:val="both"/>
              <w:rPr>
                <w:rFonts w:ascii="Arial" w:hAnsi="Arial" w:cs="Arial"/>
              </w:rPr>
            </w:pPr>
            <w:r w:rsidRPr="00BF57FF">
              <w:rPr>
                <w:rFonts w:ascii="Arial" w:hAnsi="Arial" w:eastAsia="Arial" w:cs="Arial"/>
                <w:b/>
                <w:bCs/>
              </w:rPr>
              <w:t>Estimated annual animal bite exposures in India</w:t>
            </w:r>
          </w:p>
        </w:tc>
        <w:tc>
          <w:tcPr>
            <w:tcW w:w="1400" w:type="dxa"/>
            <w:tcBorders>
              <w:top w:val="single" w:color="CCCCCC" w:sz="4" w:space="0"/>
              <w:left w:val="single" w:color="CCCCCC" w:sz="4" w:space="0"/>
              <w:bottom w:val="single" w:color="CCCCCC" w:sz="4" w:space="0"/>
              <w:right w:val="single" w:color="CCCCCC" w:sz="4" w:space="0"/>
            </w:tcBorders>
            <w:shd w:val="clear" w:color="auto" w:fill="EEF3F9"/>
            <w:tcMar>
              <w:top w:w="80" w:type="dxa"/>
              <w:left w:w="140" w:type="dxa"/>
              <w:bottom w:w="80" w:type="dxa"/>
              <w:right w:w="140" w:type="dxa"/>
            </w:tcMar>
            <w:vAlign w:val="center"/>
          </w:tcPr>
          <w:p w:rsidRPr="00BF57FF" w:rsidR="00D371C9" w:rsidP="00A70BBB" w:rsidRDefault="00D371C9" w14:paraId="5335FB15" w14:textId="77777777">
            <w:pPr>
              <w:spacing w:after="0" w:line="360" w:lineRule="auto"/>
              <w:jc w:val="both"/>
              <w:rPr>
                <w:rFonts w:ascii="Arial" w:hAnsi="Arial" w:cs="Arial"/>
              </w:rPr>
            </w:pPr>
            <w:r w:rsidRPr="00BF57FF">
              <w:rPr>
                <w:rFonts w:ascii="Arial" w:hAnsi="Arial" w:eastAsia="Arial" w:cs="Arial"/>
              </w:rPr>
              <w:t>9.1 million</w:t>
            </w:r>
          </w:p>
        </w:tc>
        <w:tc>
          <w:tcPr>
            <w:tcW w:w="2960" w:type="dxa"/>
            <w:tcBorders>
              <w:top w:val="single" w:color="CCCCCC" w:sz="4" w:space="0"/>
              <w:left w:val="single" w:color="CCCCCC" w:sz="4" w:space="0"/>
              <w:bottom w:val="single" w:color="CCCCCC" w:sz="4" w:space="0"/>
              <w:right w:val="single" w:color="CCCCCC" w:sz="4" w:space="0"/>
            </w:tcBorders>
            <w:shd w:val="clear" w:color="auto" w:fill="EEF3F9"/>
            <w:tcMar>
              <w:top w:w="80" w:type="dxa"/>
              <w:left w:w="140" w:type="dxa"/>
              <w:bottom w:w="80" w:type="dxa"/>
              <w:right w:w="140" w:type="dxa"/>
            </w:tcMar>
            <w:vAlign w:val="center"/>
          </w:tcPr>
          <w:p w:rsidRPr="00BF57FF" w:rsidR="00D371C9" w:rsidP="00A70BBB" w:rsidRDefault="00D371C9" w14:paraId="58EE3CEE" w14:textId="77777777">
            <w:pPr>
              <w:spacing w:after="0" w:line="360" w:lineRule="auto"/>
              <w:jc w:val="both"/>
              <w:rPr>
                <w:rFonts w:ascii="Arial" w:hAnsi="Arial" w:cs="Arial"/>
              </w:rPr>
            </w:pPr>
            <w:r w:rsidRPr="00BF57FF">
              <w:rPr>
                <w:rFonts w:ascii="Arial" w:hAnsi="Arial" w:eastAsia="Arial" w:cs="Arial"/>
              </w:rPr>
              <w:t>Thangaraj et al. (2025)</w:t>
            </w:r>
          </w:p>
        </w:tc>
      </w:tr>
      <w:tr w:rsidRPr="00BF57FF" w:rsidR="00D371C9" w:rsidTr="004A604A" w14:paraId="3EA58B0B" w14:textId="77777777">
        <w:tc>
          <w:tcPr>
            <w:tcW w:w="4600" w:type="dxa"/>
            <w:tcBorders>
              <w:top w:val="single" w:color="CCCCCC" w:sz="4" w:space="0"/>
              <w:left w:val="single" w:color="CCCCCC" w:sz="4" w:space="0"/>
              <w:bottom w:val="single" w:color="CCCCCC" w:sz="4" w:space="0"/>
              <w:right w:val="single" w:color="CCCCCC" w:sz="4" w:space="0"/>
            </w:tcBorders>
            <w:shd w:val="clear" w:color="auto" w:fill="FFFFFF"/>
            <w:tcMar>
              <w:top w:w="80" w:type="dxa"/>
              <w:left w:w="140" w:type="dxa"/>
              <w:bottom w:w="80" w:type="dxa"/>
              <w:right w:w="140" w:type="dxa"/>
            </w:tcMar>
            <w:vAlign w:val="center"/>
          </w:tcPr>
          <w:p w:rsidRPr="00BF57FF" w:rsidR="00D371C9" w:rsidP="00A70BBB" w:rsidRDefault="00D371C9" w14:paraId="27C375FE" w14:textId="77777777">
            <w:pPr>
              <w:spacing w:after="0" w:line="360" w:lineRule="auto"/>
              <w:jc w:val="both"/>
              <w:rPr>
                <w:rFonts w:ascii="Arial" w:hAnsi="Arial" w:cs="Arial"/>
              </w:rPr>
            </w:pPr>
            <w:r w:rsidRPr="00BF57FF">
              <w:rPr>
                <w:rFonts w:ascii="Arial" w:hAnsi="Arial" w:eastAsia="Arial" w:cs="Arial"/>
                <w:b/>
                <w:bCs/>
              </w:rPr>
              <w:t>Bite victims receiving at least one ARV dose</w:t>
            </w:r>
          </w:p>
        </w:tc>
        <w:tc>
          <w:tcPr>
            <w:tcW w:w="1400" w:type="dxa"/>
            <w:tcBorders>
              <w:top w:val="single" w:color="CCCCCC" w:sz="4" w:space="0"/>
              <w:left w:val="single" w:color="CCCCCC" w:sz="4" w:space="0"/>
              <w:bottom w:val="single" w:color="CCCCCC" w:sz="4" w:space="0"/>
              <w:right w:val="single" w:color="CCCCCC" w:sz="4" w:space="0"/>
            </w:tcBorders>
            <w:shd w:val="clear" w:color="auto" w:fill="FFFFFF"/>
            <w:tcMar>
              <w:top w:w="80" w:type="dxa"/>
              <w:left w:w="140" w:type="dxa"/>
              <w:bottom w:w="80" w:type="dxa"/>
              <w:right w:w="140" w:type="dxa"/>
            </w:tcMar>
            <w:vAlign w:val="center"/>
          </w:tcPr>
          <w:p w:rsidRPr="00BF57FF" w:rsidR="00D371C9" w:rsidP="00A70BBB" w:rsidRDefault="00D371C9" w14:paraId="10925B15" w14:textId="77777777">
            <w:pPr>
              <w:spacing w:after="0" w:line="360" w:lineRule="auto"/>
              <w:jc w:val="both"/>
              <w:rPr>
                <w:rFonts w:ascii="Arial" w:hAnsi="Arial" w:cs="Arial"/>
              </w:rPr>
            </w:pPr>
            <w:r w:rsidRPr="00BF57FF">
              <w:rPr>
                <w:rFonts w:ascii="Arial" w:hAnsi="Arial" w:eastAsia="Arial" w:cs="Arial"/>
              </w:rPr>
              <w:t>79.5%</w:t>
            </w:r>
          </w:p>
        </w:tc>
        <w:tc>
          <w:tcPr>
            <w:tcW w:w="2960" w:type="dxa"/>
            <w:tcBorders>
              <w:top w:val="single" w:color="CCCCCC" w:sz="4" w:space="0"/>
              <w:left w:val="single" w:color="CCCCCC" w:sz="4" w:space="0"/>
              <w:bottom w:val="single" w:color="CCCCCC" w:sz="4" w:space="0"/>
              <w:right w:val="single" w:color="CCCCCC" w:sz="4" w:space="0"/>
            </w:tcBorders>
            <w:shd w:val="clear" w:color="auto" w:fill="FFFFFF"/>
            <w:tcMar>
              <w:top w:w="80" w:type="dxa"/>
              <w:left w:w="140" w:type="dxa"/>
              <w:bottom w:w="80" w:type="dxa"/>
              <w:right w:w="140" w:type="dxa"/>
            </w:tcMar>
            <w:vAlign w:val="center"/>
          </w:tcPr>
          <w:p w:rsidRPr="00BF57FF" w:rsidR="00D371C9" w:rsidP="00A70BBB" w:rsidRDefault="00D371C9" w14:paraId="59BCE4E2" w14:textId="77777777">
            <w:pPr>
              <w:spacing w:after="0" w:line="360" w:lineRule="auto"/>
              <w:jc w:val="both"/>
              <w:rPr>
                <w:rFonts w:ascii="Arial" w:hAnsi="Arial" w:cs="Arial"/>
              </w:rPr>
            </w:pPr>
            <w:r w:rsidRPr="00BF57FF">
              <w:rPr>
                <w:rFonts w:ascii="Arial" w:hAnsi="Arial" w:eastAsia="Arial" w:cs="Arial"/>
              </w:rPr>
              <w:t>Thangaraj et al. (2025)</w:t>
            </w:r>
          </w:p>
        </w:tc>
      </w:tr>
      <w:tr w:rsidRPr="00BF57FF" w:rsidR="00D371C9" w:rsidTr="004A604A" w14:paraId="1FE24CE6" w14:textId="77777777">
        <w:tc>
          <w:tcPr>
            <w:tcW w:w="4600" w:type="dxa"/>
            <w:tcBorders>
              <w:top w:val="single" w:color="CCCCCC" w:sz="4" w:space="0"/>
              <w:left w:val="single" w:color="CCCCCC" w:sz="4" w:space="0"/>
              <w:bottom w:val="single" w:color="CCCCCC" w:sz="4" w:space="0"/>
              <w:right w:val="single" w:color="CCCCCC" w:sz="4" w:space="0"/>
            </w:tcBorders>
            <w:shd w:val="clear" w:color="auto" w:fill="EEF3F9"/>
            <w:tcMar>
              <w:top w:w="80" w:type="dxa"/>
              <w:left w:w="140" w:type="dxa"/>
              <w:bottom w:w="80" w:type="dxa"/>
              <w:right w:w="140" w:type="dxa"/>
            </w:tcMar>
            <w:vAlign w:val="center"/>
          </w:tcPr>
          <w:p w:rsidRPr="00BF57FF" w:rsidR="00D371C9" w:rsidP="00A70BBB" w:rsidRDefault="00D371C9" w14:paraId="6FD3EFC6" w14:textId="77777777">
            <w:pPr>
              <w:spacing w:after="0" w:line="360" w:lineRule="auto"/>
              <w:jc w:val="both"/>
              <w:rPr>
                <w:rFonts w:ascii="Arial" w:hAnsi="Arial" w:cs="Arial"/>
              </w:rPr>
            </w:pPr>
            <w:r w:rsidRPr="00BF57FF">
              <w:rPr>
                <w:rFonts w:ascii="Arial" w:hAnsi="Arial" w:eastAsia="Arial" w:cs="Arial"/>
                <w:b/>
                <w:bCs/>
              </w:rPr>
              <w:t>Pooled PEP completion rate across India</w:t>
            </w:r>
          </w:p>
        </w:tc>
        <w:tc>
          <w:tcPr>
            <w:tcW w:w="1400" w:type="dxa"/>
            <w:tcBorders>
              <w:top w:val="single" w:color="CCCCCC" w:sz="4" w:space="0"/>
              <w:left w:val="single" w:color="CCCCCC" w:sz="4" w:space="0"/>
              <w:bottom w:val="single" w:color="CCCCCC" w:sz="4" w:space="0"/>
              <w:right w:val="single" w:color="CCCCCC" w:sz="4" w:space="0"/>
            </w:tcBorders>
            <w:shd w:val="clear" w:color="auto" w:fill="EEF3F9"/>
            <w:tcMar>
              <w:top w:w="80" w:type="dxa"/>
              <w:left w:w="140" w:type="dxa"/>
              <w:bottom w:w="80" w:type="dxa"/>
              <w:right w:w="140" w:type="dxa"/>
            </w:tcMar>
            <w:vAlign w:val="center"/>
          </w:tcPr>
          <w:p w:rsidRPr="00BF57FF" w:rsidR="00D371C9" w:rsidP="00A70BBB" w:rsidRDefault="00D371C9" w14:paraId="30A26369" w14:textId="77777777">
            <w:pPr>
              <w:spacing w:after="0" w:line="360" w:lineRule="auto"/>
              <w:jc w:val="both"/>
              <w:rPr>
                <w:rFonts w:ascii="Arial" w:hAnsi="Arial" w:cs="Arial"/>
              </w:rPr>
            </w:pPr>
            <w:r w:rsidRPr="00BF57FF">
              <w:rPr>
                <w:rFonts w:ascii="Arial" w:hAnsi="Arial" w:eastAsia="Arial" w:cs="Arial"/>
              </w:rPr>
              <w:t>57%</w:t>
            </w:r>
          </w:p>
        </w:tc>
        <w:tc>
          <w:tcPr>
            <w:tcW w:w="2960" w:type="dxa"/>
            <w:tcBorders>
              <w:top w:val="single" w:color="CCCCCC" w:sz="4" w:space="0"/>
              <w:left w:val="single" w:color="CCCCCC" w:sz="4" w:space="0"/>
              <w:bottom w:val="single" w:color="CCCCCC" w:sz="4" w:space="0"/>
              <w:right w:val="single" w:color="CCCCCC" w:sz="4" w:space="0"/>
            </w:tcBorders>
            <w:shd w:val="clear" w:color="auto" w:fill="EEF3F9"/>
            <w:tcMar>
              <w:top w:w="80" w:type="dxa"/>
              <w:left w:w="140" w:type="dxa"/>
              <w:bottom w:w="80" w:type="dxa"/>
              <w:right w:w="140" w:type="dxa"/>
            </w:tcMar>
            <w:vAlign w:val="center"/>
          </w:tcPr>
          <w:p w:rsidRPr="00BF57FF" w:rsidR="00D371C9" w:rsidP="00A70BBB" w:rsidRDefault="00D371C9" w14:paraId="60CC7CF2" w14:textId="77777777">
            <w:pPr>
              <w:spacing w:after="0" w:line="360" w:lineRule="auto"/>
              <w:jc w:val="both"/>
              <w:rPr>
                <w:rFonts w:ascii="Arial" w:hAnsi="Arial" w:cs="Arial"/>
              </w:rPr>
            </w:pPr>
            <w:r w:rsidRPr="00BF57FF">
              <w:rPr>
                <w:rFonts w:ascii="Arial" w:hAnsi="Arial" w:eastAsia="Arial" w:cs="Arial"/>
              </w:rPr>
              <w:t>Debnath et al. (2025)</w:t>
            </w:r>
          </w:p>
        </w:tc>
      </w:tr>
      <w:tr w:rsidRPr="00BF57FF" w:rsidR="00D371C9" w:rsidTr="004A604A" w14:paraId="7C0F9C52" w14:textId="77777777">
        <w:tc>
          <w:tcPr>
            <w:tcW w:w="4600" w:type="dxa"/>
            <w:tcBorders>
              <w:top w:val="single" w:color="CCCCCC" w:sz="4" w:space="0"/>
              <w:left w:val="single" w:color="CCCCCC" w:sz="4" w:space="0"/>
              <w:bottom w:val="single" w:color="CCCCCC" w:sz="4" w:space="0"/>
              <w:right w:val="single" w:color="CCCCCC" w:sz="4" w:space="0"/>
            </w:tcBorders>
            <w:shd w:val="clear" w:color="auto" w:fill="FFFFFF"/>
            <w:tcMar>
              <w:top w:w="80" w:type="dxa"/>
              <w:left w:w="140" w:type="dxa"/>
              <w:bottom w:w="80" w:type="dxa"/>
              <w:right w:w="140" w:type="dxa"/>
            </w:tcMar>
            <w:vAlign w:val="center"/>
          </w:tcPr>
          <w:p w:rsidRPr="00BF57FF" w:rsidR="00D371C9" w:rsidP="00A70BBB" w:rsidRDefault="00D371C9" w14:paraId="47ACC622" w14:textId="67F96BF2">
            <w:pPr>
              <w:spacing w:after="0" w:line="360" w:lineRule="auto"/>
              <w:jc w:val="both"/>
              <w:rPr>
                <w:rFonts w:ascii="Arial" w:hAnsi="Arial" w:cs="Arial"/>
              </w:rPr>
            </w:pPr>
            <w:r w:rsidRPr="00BF57FF">
              <w:rPr>
                <w:rFonts w:ascii="Arial" w:hAnsi="Arial" w:eastAsia="Arial" w:cs="Arial"/>
                <w:b/>
                <w:bCs/>
              </w:rPr>
              <w:t xml:space="preserve">Category III victims receiving RIG at </w:t>
            </w:r>
            <w:r w:rsidRPr="00BF57FF" w:rsidR="00435105">
              <w:rPr>
                <w:rFonts w:ascii="Arial" w:hAnsi="Arial" w:eastAsia="Arial" w:cs="Arial"/>
                <w:b/>
                <w:bCs/>
              </w:rPr>
              <w:t xml:space="preserve">the </w:t>
            </w:r>
            <w:r w:rsidRPr="00BF57FF">
              <w:rPr>
                <w:rFonts w:ascii="Arial" w:hAnsi="Arial" w:eastAsia="Arial" w:cs="Arial"/>
                <w:b/>
                <w:bCs/>
              </w:rPr>
              <w:t>point of care</w:t>
            </w:r>
          </w:p>
        </w:tc>
        <w:tc>
          <w:tcPr>
            <w:tcW w:w="1400" w:type="dxa"/>
            <w:tcBorders>
              <w:top w:val="single" w:color="CCCCCC" w:sz="4" w:space="0"/>
              <w:left w:val="single" w:color="CCCCCC" w:sz="4" w:space="0"/>
              <w:bottom w:val="single" w:color="CCCCCC" w:sz="4" w:space="0"/>
              <w:right w:val="single" w:color="CCCCCC" w:sz="4" w:space="0"/>
            </w:tcBorders>
            <w:shd w:val="clear" w:color="auto" w:fill="FFFFFF"/>
            <w:tcMar>
              <w:top w:w="80" w:type="dxa"/>
              <w:left w:w="140" w:type="dxa"/>
              <w:bottom w:w="80" w:type="dxa"/>
              <w:right w:w="140" w:type="dxa"/>
            </w:tcMar>
            <w:vAlign w:val="center"/>
          </w:tcPr>
          <w:p w:rsidRPr="00BF57FF" w:rsidR="00D371C9" w:rsidP="00A70BBB" w:rsidRDefault="00D371C9" w14:paraId="4A39D121" w14:textId="77777777">
            <w:pPr>
              <w:spacing w:after="0" w:line="360" w:lineRule="auto"/>
              <w:jc w:val="both"/>
              <w:rPr>
                <w:rFonts w:ascii="Arial" w:hAnsi="Arial" w:cs="Arial"/>
              </w:rPr>
            </w:pPr>
            <w:r w:rsidRPr="00BF57FF">
              <w:rPr>
                <w:rFonts w:ascii="Arial" w:hAnsi="Arial" w:eastAsia="Arial" w:cs="Arial"/>
              </w:rPr>
              <w:t>46.2%</w:t>
            </w:r>
          </w:p>
        </w:tc>
        <w:tc>
          <w:tcPr>
            <w:tcW w:w="2960" w:type="dxa"/>
            <w:tcBorders>
              <w:top w:val="single" w:color="CCCCCC" w:sz="4" w:space="0"/>
              <w:left w:val="single" w:color="CCCCCC" w:sz="4" w:space="0"/>
              <w:bottom w:val="single" w:color="CCCCCC" w:sz="4" w:space="0"/>
              <w:right w:val="single" w:color="CCCCCC" w:sz="4" w:space="0"/>
            </w:tcBorders>
            <w:shd w:val="clear" w:color="auto" w:fill="FFFFFF"/>
            <w:tcMar>
              <w:top w:w="80" w:type="dxa"/>
              <w:left w:w="140" w:type="dxa"/>
              <w:bottom w:w="80" w:type="dxa"/>
              <w:right w:w="140" w:type="dxa"/>
            </w:tcMar>
            <w:vAlign w:val="center"/>
          </w:tcPr>
          <w:p w:rsidRPr="00BF57FF" w:rsidR="00D371C9" w:rsidP="00A70BBB" w:rsidRDefault="00D371C9" w14:paraId="2718C378" w14:textId="77777777">
            <w:pPr>
              <w:spacing w:after="0" w:line="360" w:lineRule="auto"/>
              <w:jc w:val="both"/>
              <w:rPr>
                <w:rFonts w:ascii="Arial" w:hAnsi="Arial" w:cs="Arial"/>
              </w:rPr>
            </w:pPr>
            <w:r w:rsidRPr="00BF57FF">
              <w:rPr>
                <w:rFonts w:ascii="Arial" w:hAnsi="Arial" w:eastAsia="Arial" w:cs="Arial"/>
              </w:rPr>
              <w:t>Haradanhalli et al. (2019)</w:t>
            </w:r>
          </w:p>
        </w:tc>
      </w:tr>
      <w:tr w:rsidRPr="00BF57FF" w:rsidR="00D371C9" w:rsidTr="004A604A" w14:paraId="421527BF" w14:textId="77777777">
        <w:tc>
          <w:tcPr>
            <w:tcW w:w="4600" w:type="dxa"/>
            <w:tcBorders>
              <w:top w:val="single" w:color="CCCCCC" w:sz="4" w:space="0"/>
              <w:left w:val="single" w:color="CCCCCC" w:sz="4" w:space="0"/>
              <w:bottom w:val="single" w:color="CCCCCC" w:sz="4" w:space="0"/>
              <w:right w:val="single" w:color="CCCCCC" w:sz="4" w:space="0"/>
            </w:tcBorders>
            <w:shd w:val="clear" w:color="auto" w:fill="EEF3F9"/>
            <w:tcMar>
              <w:top w:w="80" w:type="dxa"/>
              <w:left w:w="140" w:type="dxa"/>
              <w:bottom w:w="80" w:type="dxa"/>
              <w:right w:w="140" w:type="dxa"/>
            </w:tcMar>
            <w:vAlign w:val="center"/>
          </w:tcPr>
          <w:p w:rsidRPr="00BF57FF" w:rsidR="00D371C9" w:rsidP="00A70BBB" w:rsidRDefault="00D371C9" w14:paraId="7DECEBCC" w14:textId="77777777">
            <w:pPr>
              <w:spacing w:after="0" w:line="360" w:lineRule="auto"/>
              <w:jc w:val="both"/>
              <w:rPr>
                <w:rFonts w:ascii="Arial" w:hAnsi="Arial" w:cs="Arial"/>
              </w:rPr>
            </w:pPr>
            <w:r w:rsidRPr="00BF57FF">
              <w:rPr>
                <w:rFonts w:ascii="Arial" w:hAnsi="Arial" w:eastAsia="Arial" w:cs="Arial"/>
                <w:b/>
                <w:bCs/>
              </w:rPr>
              <w:t>RIG available at public sector facilities</w:t>
            </w:r>
          </w:p>
        </w:tc>
        <w:tc>
          <w:tcPr>
            <w:tcW w:w="1400" w:type="dxa"/>
            <w:tcBorders>
              <w:top w:val="single" w:color="CCCCCC" w:sz="4" w:space="0"/>
              <w:left w:val="single" w:color="CCCCCC" w:sz="4" w:space="0"/>
              <w:bottom w:val="single" w:color="CCCCCC" w:sz="4" w:space="0"/>
              <w:right w:val="single" w:color="CCCCCC" w:sz="4" w:space="0"/>
            </w:tcBorders>
            <w:shd w:val="clear" w:color="auto" w:fill="EEF3F9"/>
            <w:tcMar>
              <w:top w:w="80" w:type="dxa"/>
              <w:left w:w="140" w:type="dxa"/>
              <w:bottom w:w="80" w:type="dxa"/>
              <w:right w:w="140" w:type="dxa"/>
            </w:tcMar>
            <w:vAlign w:val="center"/>
          </w:tcPr>
          <w:p w:rsidRPr="00BF57FF" w:rsidR="00D371C9" w:rsidP="00A70BBB" w:rsidRDefault="00D371C9" w14:paraId="051EF49D" w14:textId="77777777">
            <w:pPr>
              <w:spacing w:after="0" w:line="360" w:lineRule="auto"/>
              <w:jc w:val="both"/>
              <w:rPr>
                <w:rFonts w:ascii="Arial" w:hAnsi="Arial" w:cs="Arial"/>
              </w:rPr>
            </w:pPr>
            <w:r w:rsidRPr="00BF57FF">
              <w:rPr>
                <w:rFonts w:ascii="Arial" w:hAnsi="Arial" w:eastAsia="Arial" w:cs="Arial"/>
              </w:rPr>
              <w:t>20.3%</w:t>
            </w:r>
          </w:p>
        </w:tc>
        <w:tc>
          <w:tcPr>
            <w:tcW w:w="2960" w:type="dxa"/>
            <w:tcBorders>
              <w:top w:val="single" w:color="CCCCCC" w:sz="4" w:space="0"/>
              <w:left w:val="single" w:color="CCCCCC" w:sz="4" w:space="0"/>
              <w:bottom w:val="single" w:color="CCCCCC" w:sz="4" w:space="0"/>
              <w:right w:val="single" w:color="CCCCCC" w:sz="4" w:space="0"/>
            </w:tcBorders>
            <w:shd w:val="clear" w:color="auto" w:fill="EEF3F9"/>
            <w:tcMar>
              <w:top w:w="80" w:type="dxa"/>
              <w:left w:w="140" w:type="dxa"/>
              <w:bottom w:w="80" w:type="dxa"/>
              <w:right w:w="140" w:type="dxa"/>
            </w:tcMar>
            <w:vAlign w:val="center"/>
          </w:tcPr>
          <w:p w:rsidRPr="00BF57FF" w:rsidR="00D371C9" w:rsidP="00A70BBB" w:rsidRDefault="00D371C9" w14:paraId="0F9AD61F" w14:textId="77777777">
            <w:pPr>
              <w:spacing w:after="0" w:line="360" w:lineRule="auto"/>
              <w:jc w:val="both"/>
              <w:rPr>
                <w:rFonts w:ascii="Arial" w:hAnsi="Arial" w:cs="Arial"/>
              </w:rPr>
            </w:pPr>
            <w:r w:rsidRPr="00BF57FF">
              <w:rPr>
                <w:rFonts w:ascii="Arial" w:hAnsi="Arial" w:eastAsia="Arial" w:cs="Arial"/>
              </w:rPr>
              <w:t>Krishna et al. (2025)</w:t>
            </w:r>
          </w:p>
        </w:tc>
      </w:tr>
      <w:tr w:rsidRPr="00BF57FF" w:rsidR="00D371C9" w:rsidTr="004A604A" w14:paraId="5E70E2C2" w14:textId="77777777">
        <w:tc>
          <w:tcPr>
            <w:tcW w:w="4600" w:type="dxa"/>
            <w:tcBorders>
              <w:top w:val="single" w:color="CCCCCC" w:sz="4" w:space="0"/>
              <w:left w:val="single" w:color="CCCCCC" w:sz="4" w:space="0"/>
              <w:bottom w:val="single" w:color="CCCCCC" w:sz="4" w:space="0"/>
              <w:right w:val="single" w:color="CCCCCC" w:sz="4" w:space="0"/>
            </w:tcBorders>
            <w:shd w:val="clear" w:color="auto" w:fill="FFFFFF"/>
            <w:tcMar>
              <w:top w:w="80" w:type="dxa"/>
              <w:left w:w="140" w:type="dxa"/>
              <w:bottom w:w="80" w:type="dxa"/>
              <w:right w:w="140" w:type="dxa"/>
            </w:tcMar>
            <w:vAlign w:val="center"/>
          </w:tcPr>
          <w:p w:rsidRPr="00BF57FF" w:rsidR="00D371C9" w:rsidP="00A70BBB" w:rsidRDefault="00D371C9" w14:paraId="40A2A4FA" w14:textId="428F8318">
            <w:pPr>
              <w:spacing w:after="0" w:line="360" w:lineRule="auto"/>
              <w:jc w:val="both"/>
              <w:rPr>
                <w:rFonts w:ascii="Arial" w:hAnsi="Arial" w:cs="Arial"/>
              </w:rPr>
            </w:pPr>
            <w:r w:rsidRPr="00BF57FF">
              <w:rPr>
                <w:rFonts w:ascii="Arial" w:hAnsi="Arial" w:eastAsia="Arial" w:cs="Arial"/>
                <w:b/>
                <w:bCs/>
              </w:rPr>
              <w:t xml:space="preserve">RIG </w:t>
            </w:r>
            <w:r w:rsidRPr="00BF57FF" w:rsidR="00435105">
              <w:rPr>
                <w:rFonts w:ascii="Arial" w:hAnsi="Arial" w:eastAsia="Arial" w:cs="Arial"/>
                <w:b/>
                <w:bCs/>
              </w:rPr>
              <w:t xml:space="preserve">was </w:t>
            </w:r>
            <w:r w:rsidRPr="00BF57FF">
              <w:rPr>
                <w:rFonts w:ascii="Arial" w:hAnsi="Arial" w:eastAsia="Arial" w:cs="Arial"/>
                <w:b/>
                <w:bCs/>
              </w:rPr>
              <w:t xml:space="preserve">administered to </w:t>
            </w:r>
            <w:r w:rsidRPr="00BF57FF" w:rsidR="00435105">
              <w:rPr>
                <w:rFonts w:ascii="Arial" w:hAnsi="Arial" w:eastAsia="Arial" w:cs="Arial"/>
                <w:b/>
                <w:bCs/>
              </w:rPr>
              <w:t>the patients in the government facility</w:t>
            </w:r>
          </w:p>
        </w:tc>
        <w:tc>
          <w:tcPr>
            <w:tcW w:w="1400" w:type="dxa"/>
            <w:tcBorders>
              <w:top w:val="single" w:color="CCCCCC" w:sz="4" w:space="0"/>
              <w:left w:val="single" w:color="CCCCCC" w:sz="4" w:space="0"/>
              <w:bottom w:val="single" w:color="CCCCCC" w:sz="4" w:space="0"/>
              <w:right w:val="single" w:color="CCCCCC" w:sz="4" w:space="0"/>
            </w:tcBorders>
            <w:shd w:val="clear" w:color="auto" w:fill="FFFFFF"/>
            <w:tcMar>
              <w:top w:w="80" w:type="dxa"/>
              <w:left w:w="140" w:type="dxa"/>
              <w:bottom w:w="80" w:type="dxa"/>
              <w:right w:w="140" w:type="dxa"/>
            </w:tcMar>
            <w:vAlign w:val="center"/>
          </w:tcPr>
          <w:p w:rsidRPr="00BF57FF" w:rsidR="00D371C9" w:rsidP="00A70BBB" w:rsidRDefault="00D371C9" w14:paraId="3A9FD573" w14:textId="77777777">
            <w:pPr>
              <w:spacing w:after="0" w:line="360" w:lineRule="auto"/>
              <w:jc w:val="both"/>
              <w:rPr>
                <w:rFonts w:ascii="Arial" w:hAnsi="Arial" w:cs="Arial"/>
              </w:rPr>
            </w:pPr>
            <w:r w:rsidRPr="00BF57FF">
              <w:rPr>
                <w:rFonts w:ascii="Arial" w:hAnsi="Arial" w:eastAsia="Arial" w:cs="Arial"/>
              </w:rPr>
              <w:t>33.3%</w:t>
            </w:r>
          </w:p>
        </w:tc>
        <w:tc>
          <w:tcPr>
            <w:tcW w:w="2960" w:type="dxa"/>
            <w:tcBorders>
              <w:top w:val="single" w:color="CCCCCC" w:sz="4" w:space="0"/>
              <w:left w:val="single" w:color="CCCCCC" w:sz="4" w:space="0"/>
              <w:bottom w:val="single" w:color="CCCCCC" w:sz="4" w:space="0"/>
              <w:right w:val="single" w:color="CCCCCC" w:sz="4" w:space="0"/>
            </w:tcBorders>
            <w:shd w:val="clear" w:color="auto" w:fill="FFFFFF"/>
            <w:tcMar>
              <w:top w:w="80" w:type="dxa"/>
              <w:left w:w="140" w:type="dxa"/>
              <w:bottom w:w="80" w:type="dxa"/>
              <w:right w:w="140" w:type="dxa"/>
            </w:tcMar>
            <w:vAlign w:val="center"/>
          </w:tcPr>
          <w:p w:rsidRPr="00BF57FF" w:rsidR="00D371C9" w:rsidP="00A70BBB" w:rsidRDefault="00D371C9" w14:paraId="20CC7352" w14:textId="77777777">
            <w:pPr>
              <w:spacing w:after="0" w:line="360" w:lineRule="auto"/>
              <w:jc w:val="both"/>
              <w:rPr>
                <w:rFonts w:ascii="Arial" w:hAnsi="Arial" w:cs="Arial"/>
              </w:rPr>
            </w:pPr>
            <w:r w:rsidRPr="00BF57FF">
              <w:rPr>
                <w:rFonts w:ascii="Arial" w:hAnsi="Arial" w:eastAsia="Arial" w:cs="Arial"/>
              </w:rPr>
              <w:t>Hanumanthaiah &amp; Haradanhalli (2019)</w:t>
            </w:r>
          </w:p>
        </w:tc>
      </w:tr>
      <w:tr w:rsidRPr="00BF57FF" w:rsidR="00D371C9" w:rsidTr="004A604A" w14:paraId="2D924D65" w14:textId="77777777">
        <w:tc>
          <w:tcPr>
            <w:tcW w:w="4600" w:type="dxa"/>
            <w:tcBorders>
              <w:top w:val="single" w:color="CCCCCC" w:sz="4" w:space="0"/>
              <w:left w:val="single" w:color="CCCCCC" w:sz="4" w:space="0"/>
              <w:bottom w:val="single" w:color="CCCCCC" w:sz="4" w:space="0"/>
              <w:right w:val="single" w:color="CCCCCC" w:sz="4" w:space="0"/>
            </w:tcBorders>
            <w:shd w:val="clear" w:color="auto" w:fill="EEF3F9"/>
            <w:tcMar>
              <w:top w:w="80" w:type="dxa"/>
              <w:left w:w="140" w:type="dxa"/>
              <w:bottom w:w="80" w:type="dxa"/>
              <w:right w:w="140" w:type="dxa"/>
            </w:tcMar>
            <w:vAlign w:val="center"/>
          </w:tcPr>
          <w:p w:rsidRPr="00BF57FF" w:rsidR="00D371C9" w:rsidP="00A70BBB" w:rsidRDefault="00D371C9" w14:paraId="2BB821BE" w14:textId="77777777">
            <w:pPr>
              <w:spacing w:after="0" w:line="360" w:lineRule="auto"/>
              <w:jc w:val="both"/>
              <w:rPr>
                <w:rFonts w:ascii="Arial" w:hAnsi="Arial" w:cs="Arial"/>
              </w:rPr>
            </w:pPr>
            <w:r w:rsidRPr="00BF57FF">
              <w:rPr>
                <w:rFonts w:ascii="Arial" w:hAnsi="Arial" w:eastAsia="Arial" w:cs="Arial"/>
                <w:b/>
                <w:bCs/>
              </w:rPr>
              <w:t>Anti-rabies clinics with adequate wound-washing facilities</w:t>
            </w:r>
          </w:p>
        </w:tc>
        <w:tc>
          <w:tcPr>
            <w:tcW w:w="1400" w:type="dxa"/>
            <w:tcBorders>
              <w:top w:val="single" w:color="CCCCCC" w:sz="4" w:space="0"/>
              <w:left w:val="single" w:color="CCCCCC" w:sz="4" w:space="0"/>
              <w:bottom w:val="single" w:color="CCCCCC" w:sz="4" w:space="0"/>
              <w:right w:val="single" w:color="CCCCCC" w:sz="4" w:space="0"/>
            </w:tcBorders>
            <w:shd w:val="clear" w:color="auto" w:fill="EEF3F9"/>
            <w:tcMar>
              <w:top w:w="80" w:type="dxa"/>
              <w:left w:w="140" w:type="dxa"/>
              <w:bottom w:w="80" w:type="dxa"/>
              <w:right w:w="140" w:type="dxa"/>
            </w:tcMar>
            <w:vAlign w:val="center"/>
          </w:tcPr>
          <w:p w:rsidRPr="00BF57FF" w:rsidR="00D371C9" w:rsidP="00A70BBB" w:rsidRDefault="00D371C9" w14:paraId="51F333C3" w14:textId="77777777">
            <w:pPr>
              <w:spacing w:after="0" w:line="360" w:lineRule="auto"/>
              <w:jc w:val="both"/>
              <w:rPr>
                <w:rFonts w:ascii="Arial" w:hAnsi="Arial" w:cs="Arial"/>
              </w:rPr>
            </w:pPr>
            <w:r w:rsidRPr="00BF57FF">
              <w:rPr>
                <w:rFonts w:ascii="Arial" w:hAnsi="Arial" w:eastAsia="Arial" w:cs="Arial"/>
              </w:rPr>
              <w:t>54.3%</w:t>
            </w:r>
          </w:p>
        </w:tc>
        <w:tc>
          <w:tcPr>
            <w:tcW w:w="2960" w:type="dxa"/>
            <w:tcBorders>
              <w:top w:val="single" w:color="CCCCCC" w:sz="4" w:space="0"/>
              <w:left w:val="single" w:color="CCCCCC" w:sz="4" w:space="0"/>
              <w:bottom w:val="single" w:color="CCCCCC" w:sz="4" w:space="0"/>
              <w:right w:val="single" w:color="CCCCCC" w:sz="4" w:space="0"/>
            </w:tcBorders>
            <w:shd w:val="clear" w:color="auto" w:fill="EEF3F9"/>
            <w:tcMar>
              <w:top w:w="80" w:type="dxa"/>
              <w:left w:w="140" w:type="dxa"/>
              <w:bottom w:w="80" w:type="dxa"/>
              <w:right w:w="140" w:type="dxa"/>
            </w:tcMar>
            <w:vAlign w:val="center"/>
          </w:tcPr>
          <w:p w:rsidRPr="00BF57FF" w:rsidR="00D371C9" w:rsidP="00A70BBB" w:rsidRDefault="00D371C9" w14:paraId="7A15B373" w14:textId="77777777">
            <w:pPr>
              <w:spacing w:after="0" w:line="360" w:lineRule="auto"/>
              <w:jc w:val="both"/>
              <w:rPr>
                <w:rFonts w:ascii="Arial" w:hAnsi="Arial" w:cs="Arial"/>
              </w:rPr>
            </w:pPr>
            <w:r w:rsidRPr="00BF57FF">
              <w:rPr>
                <w:rFonts w:ascii="Arial" w:hAnsi="Arial" w:eastAsia="Arial" w:cs="Arial"/>
              </w:rPr>
              <w:t>Sudarshan &amp; Haradanhalli (2019)</w:t>
            </w:r>
          </w:p>
        </w:tc>
      </w:tr>
      <w:tr w:rsidRPr="00BF57FF" w:rsidR="00D371C9" w:rsidTr="004A604A" w14:paraId="327D8B50" w14:textId="77777777">
        <w:tc>
          <w:tcPr>
            <w:tcW w:w="4600" w:type="dxa"/>
            <w:tcBorders>
              <w:top w:val="single" w:color="CCCCCC" w:sz="4" w:space="0"/>
              <w:left w:val="single" w:color="CCCCCC" w:sz="4" w:space="0"/>
              <w:bottom w:val="single" w:color="CCCCCC" w:sz="4" w:space="0"/>
              <w:right w:val="single" w:color="CCCCCC" w:sz="4" w:space="0"/>
            </w:tcBorders>
            <w:shd w:val="clear" w:color="auto" w:fill="FFFFFF"/>
            <w:tcMar>
              <w:top w:w="80" w:type="dxa"/>
              <w:left w:w="140" w:type="dxa"/>
              <w:bottom w:w="80" w:type="dxa"/>
              <w:right w:w="140" w:type="dxa"/>
            </w:tcMar>
            <w:vAlign w:val="center"/>
          </w:tcPr>
          <w:p w:rsidRPr="00BF57FF" w:rsidR="00D371C9" w:rsidP="00A70BBB" w:rsidRDefault="00D371C9" w14:paraId="60AFF707" w14:textId="77777777">
            <w:pPr>
              <w:spacing w:after="0" w:line="360" w:lineRule="auto"/>
              <w:jc w:val="both"/>
              <w:rPr>
                <w:rFonts w:ascii="Arial" w:hAnsi="Arial" w:cs="Arial"/>
              </w:rPr>
            </w:pPr>
            <w:r w:rsidRPr="00BF57FF">
              <w:rPr>
                <w:rFonts w:ascii="Arial" w:hAnsi="Arial" w:eastAsia="Arial" w:cs="Arial"/>
                <w:b/>
                <w:bCs/>
              </w:rPr>
              <w:t>Government facilities reporting vaccine stockouts</w:t>
            </w:r>
          </w:p>
        </w:tc>
        <w:tc>
          <w:tcPr>
            <w:tcW w:w="1400" w:type="dxa"/>
            <w:tcBorders>
              <w:top w:val="single" w:color="CCCCCC" w:sz="4" w:space="0"/>
              <w:left w:val="single" w:color="CCCCCC" w:sz="4" w:space="0"/>
              <w:bottom w:val="single" w:color="CCCCCC" w:sz="4" w:space="0"/>
              <w:right w:val="single" w:color="CCCCCC" w:sz="4" w:space="0"/>
            </w:tcBorders>
            <w:shd w:val="clear" w:color="auto" w:fill="FFFFFF"/>
            <w:tcMar>
              <w:top w:w="80" w:type="dxa"/>
              <w:left w:w="140" w:type="dxa"/>
              <w:bottom w:w="80" w:type="dxa"/>
              <w:right w:w="140" w:type="dxa"/>
            </w:tcMar>
            <w:vAlign w:val="center"/>
          </w:tcPr>
          <w:p w:rsidRPr="00BF57FF" w:rsidR="00D371C9" w:rsidP="00A70BBB" w:rsidRDefault="00D371C9" w14:paraId="59A4B17E" w14:textId="77777777">
            <w:pPr>
              <w:spacing w:after="0" w:line="360" w:lineRule="auto"/>
              <w:jc w:val="both"/>
              <w:rPr>
                <w:rFonts w:ascii="Arial" w:hAnsi="Arial" w:cs="Arial"/>
              </w:rPr>
            </w:pPr>
            <w:r w:rsidRPr="00BF57FF">
              <w:rPr>
                <w:rFonts w:ascii="Arial" w:hAnsi="Arial" w:eastAsia="Arial" w:cs="Arial"/>
              </w:rPr>
              <w:t>18.5%</w:t>
            </w:r>
          </w:p>
        </w:tc>
        <w:tc>
          <w:tcPr>
            <w:tcW w:w="2960" w:type="dxa"/>
            <w:tcBorders>
              <w:top w:val="single" w:color="CCCCCC" w:sz="4" w:space="0"/>
              <w:left w:val="single" w:color="CCCCCC" w:sz="4" w:space="0"/>
              <w:bottom w:val="single" w:color="CCCCCC" w:sz="4" w:space="0"/>
              <w:right w:val="single" w:color="CCCCCC" w:sz="4" w:space="0"/>
            </w:tcBorders>
            <w:shd w:val="clear" w:color="auto" w:fill="FFFFFF"/>
            <w:tcMar>
              <w:top w:w="80" w:type="dxa"/>
              <w:left w:w="140" w:type="dxa"/>
              <w:bottom w:w="80" w:type="dxa"/>
              <w:right w:w="140" w:type="dxa"/>
            </w:tcMar>
            <w:vAlign w:val="center"/>
          </w:tcPr>
          <w:p w:rsidRPr="00BF57FF" w:rsidR="00D371C9" w:rsidP="00A70BBB" w:rsidRDefault="00D371C9" w14:paraId="1E3A0279" w14:textId="77777777">
            <w:pPr>
              <w:spacing w:after="0" w:line="360" w:lineRule="auto"/>
              <w:jc w:val="both"/>
              <w:rPr>
                <w:rFonts w:ascii="Arial" w:hAnsi="Arial" w:cs="Arial"/>
              </w:rPr>
            </w:pPr>
            <w:r w:rsidRPr="00BF57FF">
              <w:rPr>
                <w:rFonts w:ascii="Arial" w:hAnsi="Arial" w:eastAsia="Arial" w:cs="Arial"/>
              </w:rPr>
              <w:t>Sudarshan &amp; Haradanhalli (2019)</w:t>
            </w:r>
          </w:p>
        </w:tc>
      </w:tr>
      <w:tr w:rsidRPr="00BF57FF" w:rsidR="00D371C9" w:rsidTr="004A604A" w14:paraId="7E5DCC05" w14:textId="77777777">
        <w:tc>
          <w:tcPr>
            <w:tcW w:w="4600" w:type="dxa"/>
            <w:tcBorders>
              <w:top w:val="single" w:color="CCCCCC" w:sz="4" w:space="0"/>
              <w:left w:val="single" w:color="CCCCCC" w:sz="4" w:space="0"/>
              <w:bottom w:val="single" w:color="CCCCCC" w:sz="4" w:space="0"/>
              <w:right w:val="single" w:color="CCCCCC" w:sz="4" w:space="0"/>
            </w:tcBorders>
            <w:shd w:val="clear" w:color="auto" w:fill="EEF3F9"/>
            <w:tcMar>
              <w:top w:w="80" w:type="dxa"/>
              <w:left w:w="140" w:type="dxa"/>
              <w:bottom w:w="80" w:type="dxa"/>
              <w:right w:w="140" w:type="dxa"/>
            </w:tcMar>
            <w:vAlign w:val="center"/>
          </w:tcPr>
          <w:p w:rsidRPr="00BF57FF" w:rsidR="00D371C9" w:rsidP="00A70BBB" w:rsidRDefault="00D371C9" w14:paraId="15564E1D" w14:textId="77777777">
            <w:pPr>
              <w:spacing w:after="0" w:line="360" w:lineRule="auto"/>
              <w:jc w:val="both"/>
              <w:rPr>
                <w:rFonts w:ascii="Arial" w:hAnsi="Arial" w:cs="Arial"/>
              </w:rPr>
            </w:pPr>
            <w:r w:rsidRPr="00BF57FF">
              <w:rPr>
                <w:rFonts w:ascii="Arial" w:hAnsi="Arial" w:eastAsia="Arial" w:cs="Arial"/>
                <w:b/>
                <w:bCs/>
              </w:rPr>
              <w:t>Anti-rabies clinics providing RIG free of charge</w:t>
            </w:r>
          </w:p>
        </w:tc>
        <w:tc>
          <w:tcPr>
            <w:tcW w:w="1400" w:type="dxa"/>
            <w:tcBorders>
              <w:top w:val="single" w:color="CCCCCC" w:sz="4" w:space="0"/>
              <w:left w:val="single" w:color="CCCCCC" w:sz="4" w:space="0"/>
              <w:bottom w:val="single" w:color="CCCCCC" w:sz="4" w:space="0"/>
              <w:right w:val="single" w:color="CCCCCC" w:sz="4" w:space="0"/>
            </w:tcBorders>
            <w:shd w:val="clear" w:color="auto" w:fill="EEF3F9"/>
            <w:tcMar>
              <w:top w:w="80" w:type="dxa"/>
              <w:left w:w="140" w:type="dxa"/>
              <w:bottom w:w="80" w:type="dxa"/>
              <w:right w:w="140" w:type="dxa"/>
            </w:tcMar>
            <w:vAlign w:val="center"/>
          </w:tcPr>
          <w:p w:rsidRPr="00BF57FF" w:rsidR="00D371C9" w:rsidP="00A70BBB" w:rsidRDefault="00D371C9" w14:paraId="2AFF5E0B" w14:textId="77777777">
            <w:pPr>
              <w:spacing w:after="0" w:line="360" w:lineRule="auto"/>
              <w:jc w:val="both"/>
              <w:rPr>
                <w:rFonts w:ascii="Arial" w:hAnsi="Arial" w:cs="Arial"/>
              </w:rPr>
            </w:pPr>
            <w:r w:rsidRPr="00BF57FF">
              <w:rPr>
                <w:rFonts w:ascii="Arial" w:hAnsi="Arial" w:eastAsia="Arial" w:cs="Arial"/>
              </w:rPr>
              <w:t>40%</w:t>
            </w:r>
          </w:p>
        </w:tc>
        <w:tc>
          <w:tcPr>
            <w:tcW w:w="2960" w:type="dxa"/>
            <w:tcBorders>
              <w:top w:val="single" w:color="CCCCCC" w:sz="4" w:space="0"/>
              <w:left w:val="single" w:color="CCCCCC" w:sz="4" w:space="0"/>
              <w:bottom w:val="single" w:color="CCCCCC" w:sz="4" w:space="0"/>
              <w:right w:val="single" w:color="CCCCCC" w:sz="4" w:space="0"/>
            </w:tcBorders>
            <w:shd w:val="clear" w:color="auto" w:fill="EEF3F9"/>
            <w:tcMar>
              <w:top w:w="80" w:type="dxa"/>
              <w:left w:w="140" w:type="dxa"/>
              <w:bottom w:w="80" w:type="dxa"/>
              <w:right w:w="140" w:type="dxa"/>
            </w:tcMar>
            <w:vAlign w:val="center"/>
          </w:tcPr>
          <w:p w:rsidRPr="00BF57FF" w:rsidR="00D371C9" w:rsidP="00A70BBB" w:rsidRDefault="00D371C9" w14:paraId="21C7859E" w14:textId="77777777">
            <w:pPr>
              <w:spacing w:after="0" w:line="360" w:lineRule="auto"/>
              <w:jc w:val="both"/>
              <w:rPr>
                <w:rFonts w:ascii="Arial" w:hAnsi="Arial" w:cs="Arial"/>
              </w:rPr>
            </w:pPr>
            <w:r w:rsidRPr="00BF57FF">
              <w:rPr>
                <w:rFonts w:ascii="Arial" w:hAnsi="Arial" w:eastAsia="Arial" w:cs="Arial"/>
              </w:rPr>
              <w:t>Sudarshan &amp; Haradanhalli (2019)</w:t>
            </w:r>
          </w:p>
        </w:tc>
      </w:tr>
      <w:tr w:rsidRPr="00BF57FF" w:rsidR="00D371C9" w:rsidTr="004A604A" w14:paraId="20F28C1E" w14:textId="77777777">
        <w:tc>
          <w:tcPr>
            <w:tcW w:w="4600" w:type="dxa"/>
            <w:tcBorders>
              <w:top w:val="single" w:color="CCCCCC" w:sz="4" w:space="0"/>
              <w:left w:val="single" w:color="CCCCCC" w:sz="4" w:space="0"/>
              <w:bottom w:val="single" w:color="CCCCCC" w:sz="4" w:space="0"/>
              <w:right w:val="single" w:color="CCCCCC" w:sz="4" w:space="0"/>
            </w:tcBorders>
            <w:shd w:val="clear" w:color="auto" w:fill="FFFFFF"/>
            <w:tcMar>
              <w:top w:w="80" w:type="dxa"/>
              <w:left w:w="140" w:type="dxa"/>
              <w:bottom w:w="80" w:type="dxa"/>
              <w:right w:w="140" w:type="dxa"/>
            </w:tcMar>
            <w:vAlign w:val="center"/>
          </w:tcPr>
          <w:p w:rsidRPr="00BF57FF" w:rsidR="00D371C9" w:rsidP="00A70BBB" w:rsidRDefault="00D371C9" w14:paraId="6F68E2E9" w14:textId="77777777">
            <w:pPr>
              <w:spacing w:after="0" w:line="360" w:lineRule="auto"/>
              <w:jc w:val="both"/>
              <w:rPr>
                <w:rFonts w:ascii="Arial" w:hAnsi="Arial" w:cs="Arial"/>
              </w:rPr>
            </w:pPr>
            <w:r w:rsidRPr="00BF57FF">
              <w:rPr>
                <w:rFonts w:ascii="Arial" w:hAnsi="Arial" w:eastAsia="Arial" w:cs="Arial"/>
                <w:b/>
                <w:bCs/>
              </w:rPr>
              <w:t>ARV compliance rate — rural Odisha</w:t>
            </w:r>
          </w:p>
        </w:tc>
        <w:tc>
          <w:tcPr>
            <w:tcW w:w="1400" w:type="dxa"/>
            <w:tcBorders>
              <w:top w:val="single" w:color="CCCCCC" w:sz="4" w:space="0"/>
              <w:left w:val="single" w:color="CCCCCC" w:sz="4" w:space="0"/>
              <w:bottom w:val="single" w:color="CCCCCC" w:sz="4" w:space="0"/>
              <w:right w:val="single" w:color="CCCCCC" w:sz="4" w:space="0"/>
            </w:tcBorders>
            <w:shd w:val="clear" w:color="auto" w:fill="FFFFFF"/>
            <w:tcMar>
              <w:top w:w="80" w:type="dxa"/>
              <w:left w:w="140" w:type="dxa"/>
              <w:bottom w:w="80" w:type="dxa"/>
              <w:right w:w="140" w:type="dxa"/>
            </w:tcMar>
            <w:vAlign w:val="center"/>
          </w:tcPr>
          <w:p w:rsidRPr="00BF57FF" w:rsidR="00D371C9" w:rsidP="00A70BBB" w:rsidRDefault="00D371C9" w14:paraId="25D5F1AB" w14:textId="77777777">
            <w:pPr>
              <w:spacing w:after="0" w:line="360" w:lineRule="auto"/>
              <w:jc w:val="both"/>
              <w:rPr>
                <w:rFonts w:ascii="Arial" w:hAnsi="Arial" w:cs="Arial"/>
              </w:rPr>
            </w:pPr>
            <w:r w:rsidRPr="00BF57FF">
              <w:rPr>
                <w:rFonts w:ascii="Arial" w:hAnsi="Arial" w:eastAsia="Arial" w:cs="Arial"/>
              </w:rPr>
              <w:t>47.9%</w:t>
            </w:r>
          </w:p>
        </w:tc>
        <w:tc>
          <w:tcPr>
            <w:tcW w:w="2960" w:type="dxa"/>
            <w:tcBorders>
              <w:top w:val="single" w:color="CCCCCC" w:sz="4" w:space="0"/>
              <w:left w:val="single" w:color="CCCCCC" w:sz="4" w:space="0"/>
              <w:bottom w:val="single" w:color="CCCCCC" w:sz="4" w:space="0"/>
              <w:right w:val="single" w:color="CCCCCC" w:sz="4" w:space="0"/>
            </w:tcBorders>
            <w:shd w:val="clear" w:color="auto" w:fill="FFFFFF"/>
            <w:tcMar>
              <w:top w:w="80" w:type="dxa"/>
              <w:left w:w="140" w:type="dxa"/>
              <w:bottom w:w="80" w:type="dxa"/>
              <w:right w:w="140" w:type="dxa"/>
            </w:tcMar>
            <w:vAlign w:val="center"/>
          </w:tcPr>
          <w:p w:rsidRPr="00BF57FF" w:rsidR="00D371C9" w:rsidP="00A70BBB" w:rsidRDefault="00D371C9" w14:paraId="1BA4EBB0" w14:textId="77777777">
            <w:pPr>
              <w:spacing w:after="0" w:line="360" w:lineRule="auto"/>
              <w:jc w:val="both"/>
              <w:rPr>
                <w:rFonts w:ascii="Arial" w:hAnsi="Arial" w:cs="Arial"/>
              </w:rPr>
            </w:pPr>
            <w:r w:rsidRPr="00BF57FF">
              <w:rPr>
                <w:rFonts w:ascii="Arial" w:hAnsi="Arial" w:eastAsia="Arial" w:cs="Arial"/>
              </w:rPr>
              <w:t>Sahu et al. (2021)</w:t>
            </w:r>
          </w:p>
        </w:tc>
      </w:tr>
      <w:tr w:rsidRPr="00BF57FF" w:rsidR="00D371C9" w:rsidTr="004A604A" w14:paraId="660CECCD" w14:textId="77777777">
        <w:tc>
          <w:tcPr>
            <w:tcW w:w="4600" w:type="dxa"/>
            <w:tcBorders>
              <w:top w:val="single" w:color="CCCCCC" w:sz="4" w:space="0"/>
              <w:left w:val="single" w:color="CCCCCC" w:sz="4" w:space="0"/>
              <w:bottom w:val="single" w:color="CCCCCC" w:sz="4" w:space="0"/>
              <w:right w:val="single" w:color="CCCCCC" w:sz="4" w:space="0"/>
            </w:tcBorders>
            <w:shd w:val="clear" w:color="auto" w:fill="EEF3F9"/>
            <w:tcMar>
              <w:top w:w="80" w:type="dxa"/>
              <w:left w:w="140" w:type="dxa"/>
              <w:bottom w:w="80" w:type="dxa"/>
              <w:right w:w="140" w:type="dxa"/>
            </w:tcMar>
            <w:vAlign w:val="center"/>
          </w:tcPr>
          <w:p w:rsidRPr="00BF57FF" w:rsidR="00D371C9" w:rsidP="00A70BBB" w:rsidRDefault="00D371C9" w14:paraId="13F611D3" w14:textId="0C266C2B">
            <w:pPr>
              <w:spacing w:after="0" w:line="360" w:lineRule="auto"/>
              <w:jc w:val="both"/>
              <w:rPr>
                <w:rFonts w:ascii="Arial" w:hAnsi="Arial" w:cs="Arial"/>
              </w:rPr>
            </w:pPr>
            <w:r w:rsidRPr="00BF57FF">
              <w:rPr>
                <w:rFonts w:ascii="Arial" w:hAnsi="Arial" w:eastAsia="Arial" w:cs="Arial"/>
                <w:b/>
                <w:bCs/>
              </w:rPr>
              <w:t xml:space="preserve">Community members </w:t>
            </w:r>
            <w:r w:rsidRPr="00BF57FF" w:rsidR="00435105">
              <w:rPr>
                <w:rFonts w:ascii="Arial" w:hAnsi="Arial" w:eastAsia="Arial" w:cs="Arial"/>
                <w:b/>
                <w:bCs/>
              </w:rPr>
              <w:t>know the</w:t>
            </w:r>
            <w:r w:rsidRPr="00BF57FF">
              <w:rPr>
                <w:rFonts w:ascii="Arial" w:hAnsi="Arial" w:eastAsia="Arial" w:cs="Arial"/>
                <w:b/>
                <w:bCs/>
              </w:rPr>
              <w:t xml:space="preserve"> correct bite first aid</w:t>
            </w:r>
          </w:p>
        </w:tc>
        <w:tc>
          <w:tcPr>
            <w:tcW w:w="1400" w:type="dxa"/>
            <w:tcBorders>
              <w:top w:val="single" w:color="CCCCCC" w:sz="4" w:space="0"/>
              <w:left w:val="single" w:color="CCCCCC" w:sz="4" w:space="0"/>
              <w:bottom w:val="single" w:color="CCCCCC" w:sz="4" w:space="0"/>
              <w:right w:val="single" w:color="CCCCCC" w:sz="4" w:space="0"/>
            </w:tcBorders>
            <w:shd w:val="clear" w:color="auto" w:fill="EEF3F9"/>
            <w:tcMar>
              <w:top w:w="80" w:type="dxa"/>
              <w:left w:w="140" w:type="dxa"/>
              <w:bottom w:w="80" w:type="dxa"/>
              <w:right w:w="140" w:type="dxa"/>
            </w:tcMar>
            <w:vAlign w:val="center"/>
          </w:tcPr>
          <w:p w:rsidRPr="00BF57FF" w:rsidR="00D371C9" w:rsidP="00A70BBB" w:rsidRDefault="00D371C9" w14:paraId="62168499" w14:textId="77777777">
            <w:pPr>
              <w:spacing w:after="0" w:line="360" w:lineRule="auto"/>
              <w:jc w:val="both"/>
              <w:rPr>
                <w:rFonts w:ascii="Arial" w:hAnsi="Arial" w:cs="Arial"/>
              </w:rPr>
            </w:pPr>
            <w:r w:rsidRPr="00BF57FF">
              <w:rPr>
                <w:rFonts w:ascii="Arial" w:hAnsi="Arial" w:eastAsia="Arial" w:cs="Arial"/>
              </w:rPr>
              <w:t>37.3%</w:t>
            </w:r>
          </w:p>
        </w:tc>
        <w:tc>
          <w:tcPr>
            <w:tcW w:w="2960" w:type="dxa"/>
            <w:tcBorders>
              <w:top w:val="single" w:color="CCCCCC" w:sz="4" w:space="0"/>
              <w:left w:val="single" w:color="CCCCCC" w:sz="4" w:space="0"/>
              <w:bottom w:val="single" w:color="CCCCCC" w:sz="4" w:space="0"/>
              <w:right w:val="single" w:color="CCCCCC" w:sz="4" w:space="0"/>
            </w:tcBorders>
            <w:shd w:val="clear" w:color="auto" w:fill="EEF3F9"/>
            <w:tcMar>
              <w:top w:w="80" w:type="dxa"/>
              <w:left w:w="140" w:type="dxa"/>
              <w:bottom w:w="80" w:type="dxa"/>
              <w:right w:w="140" w:type="dxa"/>
            </w:tcMar>
            <w:vAlign w:val="center"/>
          </w:tcPr>
          <w:p w:rsidRPr="00BF57FF" w:rsidR="00D371C9" w:rsidP="00A70BBB" w:rsidRDefault="00D371C9" w14:paraId="14E9BD39" w14:textId="77777777">
            <w:pPr>
              <w:spacing w:after="0" w:line="360" w:lineRule="auto"/>
              <w:jc w:val="both"/>
              <w:rPr>
                <w:rFonts w:ascii="Arial" w:hAnsi="Arial" w:cs="Arial"/>
              </w:rPr>
            </w:pPr>
            <w:r w:rsidRPr="00BF57FF">
              <w:rPr>
                <w:rFonts w:ascii="Arial" w:hAnsi="Arial" w:eastAsia="Arial" w:cs="Arial"/>
              </w:rPr>
              <w:t>Sivagurunathan et al. (2021)</w:t>
            </w:r>
          </w:p>
        </w:tc>
      </w:tr>
      <w:tr w:rsidRPr="00BF57FF" w:rsidR="00D371C9" w:rsidTr="004A604A" w14:paraId="78600DBE" w14:textId="77777777">
        <w:tc>
          <w:tcPr>
            <w:tcW w:w="4600" w:type="dxa"/>
            <w:tcBorders>
              <w:top w:val="single" w:color="CCCCCC" w:sz="4" w:space="0"/>
              <w:left w:val="single" w:color="CCCCCC" w:sz="4" w:space="0"/>
              <w:bottom w:val="single" w:color="CCCCCC" w:sz="4" w:space="0"/>
              <w:right w:val="single" w:color="CCCCCC" w:sz="4" w:space="0"/>
            </w:tcBorders>
            <w:shd w:val="clear" w:color="auto" w:fill="FFFFFF"/>
            <w:tcMar>
              <w:top w:w="80" w:type="dxa"/>
              <w:left w:w="140" w:type="dxa"/>
              <w:bottom w:w="80" w:type="dxa"/>
              <w:right w:w="140" w:type="dxa"/>
            </w:tcMar>
            <w:vAlign w:val="center"/>
          </w:tcPr>
          <w:p w:rsidRPr="00BF57FF" w:rsidR="00D371C9" w:rsidP="00A70BBB" w:rsidRDefault="00D371C9" w14:paraId="18E55E0D" w14:textId="77777777">
            <w:pPr>
              <w:spacing w:after="0" w:line="360" w:lineRule="auto"/>
              <w:jc w:val="both"/>
              <w:rPr>
                <w:rFonts w:ascii="Arial" w:hAnsi="Arial" w:cs="Arial"/>
              </w:rPr>
            </w:pPr>
            <w:r w:rsidRPr="00BF57FF">
              <w:rPr>
                <w:rFonts w:ascii="Arial" w:hAnsi="Arial" w:eastAsia="Arial" w:cs="Arial"/>
                <w:b/>
                <w:bCs/>
              </w:rPr>
              <w:t>Bite victims delaying PEP initiation beyond 24 hours</w:t>
            </w:r>
          </w:p>
        </w:tc>
        <w:tc>
          <w:tcPr>
            <w:tcW w:w="1400" w:type="dxa"/>
            <w:tcBorders>
              <w:top w:val="single" w:color="CCCCCC" w:sz="4" w:space="0"/>
              <w:left w:val="single" w:color="CCCCCC" w:sz="4" w:space="0"/>
              <w:bottom w:val="single" w:color="CCCCCC" w:sz="4" w:space="0"/>
              <w:right w:val="single" w:color="CCCCCC" w:sz="4" w:space="0"/>
            </w:tcBorders>
            <w:shd w:val="clear" w:color="auto" w:fill="FFFFFF"/>
            <w:tcMar>
              <w:top w:w="80" w:type="dxa"/>
              <w:left w:w="140" w:type="dxa"/>
              <w:bottom w:w="80" w:type="dxa"/>
              <w:right w:w="140" w:type="dxa"/>
            </w:tcMar>
            <w:vAlign w:val="center"/>
          </w:tcPr>
          <w:p w:rsidRPr="00BF57FF" w:rsidR="00D371C9" w:rsidP="00A70BBB" w:rsidRDefault="00D371C9" w14:paraId="3255C994" w14:textId="77777777">
            <w:pPr>
              <w:spacing w:after="0" w:line="360" w:lineRule="auto"/>
              <w:jc w:val="both"/>
              <w:rPr>
                <w:rFonts w:ascii="Arial" w:hAnsi="Arial" w:cs="Arial"/>
              </w:rPr>
            </w:pPr>
            <w:r w:rsidRPr="00BF57FF">
              <w:rPr>
                <w:rFonts w:ascii="Arial" w:hAnsi="Arial" w:eastAsia="Arial" w:cs="Arial"/>
              </w:rPr>
              <w:t>24.74%</w:t>
            </w:r>
          </w:p>
        </w:tc>
        <w:tc>
          <w:tcPr>
            <w:tcW w:w="2960" w:type="dxa"/>
            <w:tcBorders>
              <w:top w:val="single" w:color="CCCCCC" w:sz="4" w:space="0"/>
              <w:left w:val="single" w:color="CCCCCC" w:sz="4" w:space="0"/>
              <w:bottom w:val="single" w:color="CCCCCC" w:sz="4" w:space="0"/>
              <w:right w:val="single" w:color="CCCCCC" w:sz="4" w:space="0"/>
            </w:tcBorders>
            <w:shd w:val="clear" w:color="auto" w:fill="FFFFFF"/>
            <w:tcMar>
              <w:top w:w="80" w:type="dxa"/>
              <w:left w:w="140" w:type="dxa"/>
              <w:bottom w:w="80" w:type="dxa"/>
              <w:right w:w="140" w:type="dxa"/>
            </w:tcMar>
            <w:vAlign w:val="center"/>
          </w:tcPr>
          <w:p w:rsidRPr="00BF57FF" w:rsidR="00D371C9" w:rsidP="00A70BBB" w:rsidRDefault="00D371C9" w14:paraId="2022F6BA" w14:textId="77777777">
            <w:pPr>
              <w:spacing w:after="0" w:line="360" w:lineRule="auto"/>
              <w:jc w:val="both"/>
              <w:rPr>
                <w:rFonts w:ascii="Arial" w:hAnsi="Arial" w:cs="Arial"/>
              </w:rPr>
            </w:pPr>
            <w:r w:rsidRPr="00BF57FF">
              <w:rPr>
                <w:rFonts w:ascii="Arial" w:hAnsi="Arial" w:eastAsia="Arial" w:cs="Arial"/>
              </w:rPr>
              <w:t>Maiti et al. (2026)</w:t>
            </w:r>
          </w:p>
        </w:tc>
      </w:tr>
      <w:tr w:rsidRPr="00BF57FF" w:rsidR="00D371C9" w:rsidTr="004A604A" w14:paraId="210C8DB7" w14:textId="77777777">
        <w:tc>
          <w:tcPr>
            <w:tcW w:w="4600" w:type="dxa"/>
            <w:tcBorders>
              <w:top w:val="single" w:color="CCCCCC" w:sz="4" w:space="0"/>
              <w:left w:val="single" w:color="CCCCCC" w:sz="4" w:space="0"/>
              <w:bottom w:val="single" w:color="CCCCCC" w:sz="4" w:space="0"/>
              <w:right w:val="single" w:color="CCCCCC" w:sz="4" w:space="0"/>
            </w:tcBorders>
            <w:shd w:val="clear" w:color="auto" w:fill="EEF3F9"/>
            <w:tcMar>
              <w:top w:w="80" w:type="dxa"/>
              <w:left w:w="140" w:type="dxa"/>
              <w:bottom w:w="80" w:type="dxa"/>
              <w:right w:w="140" w:type="dxa"/>
            </w:tcMar>
            <w:vAlign w:val="center"/>
          </w:tcPr>
          <w:p w:rsidRPr="00BF57FF" w:rsidR="00D371C9" w:rsidP="00A70BBB" w:rsidRDefault="00D371C9" w14:paraId="17FC1981" w14:textId="77777777">
            <w:pPr>
              <w:spacing w:after="0" w:line="360" w:lineRule="auto"/>
              <w:jc w:val="both"/>
              <w:rPr>
                <w:rFonts w:ascii="Arial" w:hAnsi="Arial" w:cs="Arial"/>
              </w:rPr>
            </w:pPr>
            <w:r w:rsidRPr="00BF57FF">
              <w:rPr>
                <w:rFonts w:ascii="Arial" w:hAnsi="Arial" w:eastAsia="Arial" w:cs="Arial"/>
                <w:b/>
                <w:bCs/>
              </w:rPr>
              <w:t>Community members aware of rabies — 7 states</w:t>
            </w:r>
          </w:p>
        </w:tc>
        <w:tc>
          <w:tcPr>
            <w:tcW w:w="1400" w:type="dxa"/>
            <w:tcBorders>
              <w:top w:val="single" w:color="CCCCCC" w:sz="4" w:space="0"/>
              <w:left w:val="single" w:color="CCCCCC" w:sz="4" w:space="0"/>
              <w:bottom w:val="single" w:color="CCCCCC" w:sz="4" w:space="0"/>
              <w:right w:val="single" w:color="CCCCCC" w:sz="4" w:space="0"/>
            </w:tcBorders>
            <w:shd w:val="clear" w:color="auto" w:fill="EEF3F9"/>
            <w:tcMar>
              <w:top w:w="80" w:type="dxa"/>
              <w:left w:w="140" w:type="dxa"/>
              <w:bottom w:w="80" w:type="dxa"/>
              <w:right w:w="140" w:type="dxa"/>
            </w:tcMar>
            <w:vAlign w:val="center"/>
          </w:tcPr>
          <w:p w:rsidRPr="00BF57FF" w:rsidR="00D371C9" w:rsidP="00A70BBB" w:rsidRDefault="00D371C9" w14:paraId="3D6B177F" w14:textId="77777777">
            <w:pPr>
              <w:spacing w:after="0" w:line="360" w:lineRule="auto"/>
              <w:jc w:val="both"/>
              <w:rPr>
                <w:rFonts w:ascii="Arial" w:hAnsi="Arial" w:cs="Arial"/>
              </w:rPr>
            </w:pPr>
            <w:r w:rsidRPr="00BF57FF">
              <w:rPr>
                <w:rFonts w:ascii="Arial" w:hAnsi="Arial" w:eastAsia="Arial" w:cs="Arial"/>
              </w:rPr>
              <w:t>60.4%</w:t>
            </w:r>
          </w:p>
        </w:tc>
        <w:tc>
          <w:tcPr>
            <w:tcW w:w="2960" w:type="dxa"/>
            <w:tcBorders>
              <w:top w:val="single" w:color="CCCCCC" w:sz="4" w:space="0"/>
              <w:left w:val="single" w:color="CCCCCC" w:sz="4" w:space="0"/>
              <w:bottom w:val="single" w:color="CCCCCC" w:sz="4" w:space="0"/>
              <w:right w:val="single" w:color="CCCCCC" w:sz="4" w:space="0"/>
            </w:tcBorders>
            <w:shd w:val="clear" w:color="auto" w:fill="EEF3F9"/>
            <w:tcMar>
              <w:top w:w="80" w:type="dxa"/>
              <w:left w:w="140" w:type="dxa"/>
              <w:bottom w:w="80" w:type="dxa"/>
              <w:right w:w="140" w:type="dxa"/>
            </w:tcMar>
            <w:vAlign w:val="center"/>
          </w:tcPr>
          <w:p w:rsidRPr="00BF57FF" w:rsidR="00D371C9" w:rsidP="00A70BBB" w:rsidRDefault="00D371C9" w14:paraId="50712E5D" w14:textId="77777777">
            <w:pPr>
              <w:spacing w:after="0" w:line="360" w:lineRule="auto"/>
              <w:jc w:val="both"/>
              <w:rPr>
                <w:rFonts w:ascii="Arial" w:hAnsi="Arial" w:cs="Arial"/>
              </w:rPr>
            </w:pPr>
            <w:r w:rsidRPr="00BF57FF">
              <w:rPr>
                <w:rFonts w:ascii="Arial" w:hAnsi="Arial" w:eastAsia="Arial" w:cs="Arial"/>
              </w:rPr>
              <w:t>Masthi, Sanjay, Pradeep &amp; Anwith (2019)</w:t>
            </w:r>
          </w:p>
        </w:tc>
      </w:tr>
    </w:tbl>
    <w:p w:rsidRPr="00BF57FF" w:rsidR="004C5531" w:rsidP="00A70BBB" w:rsidRDefault="004C5531" w14:paraId="49645BC4" w14:textId="77777777">
      <w:pPr>
        <w:pStyle w:val="font-claude-response-body"/>
        <w:spacing w:before="0" w:beforeAutospacing="0" w:after="152" w:afterAutospacing="0" w:line="360" w:lineRule="auto"/>
        <w:jc w:val="both"/>
        <w:rPr>
          <w:rFonts w:ascii="Arial" w:hAnsi="Arial" w:cs="Arial"/>
          <w:i/>
          <w:iCs/>
          <w:sz w:val="22"/>
          <w:szCs w:val="22"/>
          <w:lang w:val="en-GB"/>
        </w:rPr>
      </w:pPr>
    </w:p>
    <w:p w:rsidRPr="00BF57FF" w:rsidR="00D371C9" w:rsidP="00A70BBB" w:rsidRDefault="00D371C9" w14:paraId="199128AC" w14:textId="53B7B33F">
      <w:pPr>
        <w:pStyle w:val="font-claude-response-body"/>
        <w:spacing w:before="0" w:beforeAutospacing="0" w:after="152" w:afterAutospacing="0" w:line="360" w:lineRule="auto"/>
        <w:jc w:val="both"/>
        <w:rPr>
          <w:rFonts w:ascii="Arial" w:hAnsi="Arial" w:cs="Arial"/>
          <w:i/>
          <w:iCs/>
          <w:sz w:val="22"/>
          <w:szCs w:val="22"/>
          <w:lang w:val="en-GB"/>
        </w:rPr>
      </w:pPr>
      <w:r w:rsidRPr="00BF57FF">
        <w:rPr>
          <w:rFonts w:ascii="Arial" w:hAnsi="Arial" w:cs="Arial"/>
          <w:i/>
          <w:iCs/>
          <w:sz w:val="22"/>
          <w:szCs w:val="22"/>
          <w:lang w:val="en-GB"/>
        </w:rPr>
        <w:t>Source: Author compilation from included studies. See Table 4.1 and Appendix C for full study characteristics and data extraction.</w:t>
      </w:r>
    </w:p>
    <w:p w:rsidRPr="00BF57FF" w:rsidR="00A4702F" w:rsidP="00A70BBB" w:rsidRDefault="00A4702F" w14:paraId="2D22F2DB" w14:textId="4019425C">
      <w:pPr>
        <w:spacing w:after="152" w:line="360" w:lineRule="auto"/>
        <w:jc w:val="both"/>
        <w:rPr>
          <w:rFonts w:ascii="Arial" w:hAnsi="Arial" w:cs="Arial"/>
        </w:rPr>
      </w:pPr>
    </w:p>
    <w:p w:rsidRPr="00BF57FF" w:rsidR="00A4702F" w:rsidP="00A70BBB" w:rsidRDefault="00A4702F" w14:paraId="30CB8BA8" w14:textId="77777777">
      <w:pPr>
        <w:pStyle w:val="Heading2"/>
        <w:spacing w:line="360" w:lineRule="auto"/>
        <w:jc w:val="both"/>
        <w:rPr>
          <w:rFonts w:ascii="Arial" w:hAnsi="Arial" w:cs="Arial"/>
          <w:sz w:val="22"/>
        </w:rPr>
      </w:pPr>
      <w:bookmarkStart w:name="_Toc231005879" w:id="94"/>
      <w:bookmarkStart w:name="_Toc231298593" w:id="95"/>
      <w:r w:rsidRPr="00BF57FF">
        <w:rPr>
          <w:rFonts w:ascii="Arial" w:hAnsi="Arial" w:cs="Arial"/>
          <w:sz w:val="22"/>
        </w:rPr>
        <w:t>5.2 Theme 1 — Community Knowledge Gaps and Risk Perception Deficits</w:t>
      </w:r>
      <w:bookmarkEnd w:id="94"/>
      <w:bookmarkEnd w:id="95"/>
    </w:p>
    <w:p w:rsidRPr="00BF57FF" w:rsidR="00A4702F" w:rsidP="00A70BBB" w:rsidRDefault="007C248D" w14:paraId="0BB98C8B" w14:textId="3520A4D8">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The knowledge gaps reported in four studies included (in urban Tamil Nadu, rural Maharashtra, urban-rural Odisha, and Central India) are directionally significant and of a significant magnitude (Sivagurunathan et al., 2021; Gadapani et al., 2019; Sahu et al., 2021; Maiti et al., 2026). This trend is supported by independent evidence: KAP studies in both urban</w:t>
      </w:r>
      <w:r w:rsidRPr="00BF57FF" w:rsidR="00622EEC">
        <w:rPr>
          <w:rFonts w:ascii="Arial" w:hAnsi="Arial" w:cs="Arial"/>
          <w:sz w:val="22"/>
          <w:szCs w:val="22"/>
          <w:lang w:val="en-GB"/>
        </w:rPr>
        <w:t>,</w:t>
      </w:r>
      <w:r w:rsidRPr="00BF57FF">
        <w:rPr>
          <w:rFonts w:ascii="Arial" w:hAnsi="Arial" w:cs="Arial"/>
          <w:sz w:val="22"/>
          <w:szCs w:val="22"/>
          <w:lang w:val="en-GB"/>
        </w:rPr>
        <w:t xml:space="preserve"> the city of Panchkula (Tiwari et al., 2019a) and rural</w:t>
      </w:r>
      <w:r w:rsidRPr="00BF57FF" w:rsidR="00622EEC">
        <w:rPr>
          <w:rFonts w:ascii="Arial" w:hAnsi="Arial" w:cs="Arial"/>
          <w:sz w:val="22"/>
          <w:szCs w:val="22"/>
          <w:lang w:val="en-GB"/>
        </w:rPr>
        <w:t>,</w:t>
      </w:r>
      <w:r w:rsidRPr="00BF57FF">
        <w:rPr>
          <w:rFonts w:ascii="Arial" w:hAnsi="Arial" w:cs="Arial"/>
          <w:sz w:val="22"/>
          <w:szCs w:val="22"/>
          <w:lang w:val="en-GB"/>
        </w:rPr>
        <w:t xml:space="preserve"> the village of Shirsuphal (Tiwari et al., 2019b) record high levels of awareness of the disease name and critically low levels of sufficient awareness of transmission routes, treatment needs, and first-aid. The cross-setting consistency of this result suggests that this was not a localised anomaly but a systemic malfunction of the Indian public health education system with regard to the prevention of rabies.</w:t>
      </w:r>
    </w:p>
    <w:p w:rsidRPr="00BF57FF" w:rsidR="00A4702F" w:rsidP="00A70BBB" w:rsidRDefault="003A4E09" w14:paraId="6851622C" w14:textId="2D003D43">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These deficits are better described as inequitably distributed along the social gradient than spread randomly throughout the population through the use of the structural determinants of health framework (CSDH, 2008). The most </w:t>
      </w:r>
      <w:r w:rsidRPr="00BF57FF" w:rsidR="00622EEC">
        <w:rPr>
          <w:rFonts w:ascii="Arial" w:hAnsi="Arial" w:cs="Arial"/>
          <w:sz w:val="22"/>
          <w:szCs w:val="22"/>
          <w:lang w:val="en-GB"/>
        </w:rPr>
        <w:t>knowledge-deficient</w:t>
      </w:r>
      <w:r w:rsidRPr="00BF57FF">
        <w:rPr>
          <w:rFonts w:ascii="Arial" w:hAnsi="Arial" w:cs="Arial"/>
          <w:sz w:val="22"/>
          <w:szCs w:val="22"/>
          <w:lang w:val="en-GB"/>
        </w:rPr>
        <w:t xml:space="preserve"> groups are in rural and lower-income populations, which are the most at risk of animal </w:t>
      </w:r>
      <w:r w:rsidRPr="00BF57FF">
        <w:rPr>
          <w:rFonts w:ascii="Arial" w:hAnsi="Arial" w:cs="Arial"/>
          <w:sz w:val="22"/>
          <w:szCs w:val="22"/>
          <w:lang w:val="en-GB"/>
        </w:rPr>
        <w:t>bites. This distributional congruency</w:t>
      </w:r>
      <w:r w:rsidRPr="00BF57FF" w:rsidR="003C22F2">
        <w:rPr>
          <w:rFonts w:ascii="Arial" w:hAnsi="Arial" w:cs="Arial"/>
          <w:sz w:val="22"/>
          <w:szCs w:val="22"/>
          <w:lang w:val="en-GB"/>
        </w:rPr>
        <w:t>,</w:t>
      </w:r>
      <w:r w:rsidRPr="00BF57FF">
        <w:rPr>
          <w:rFonts w:ascii="Arial" w:hAnsi="Arial" w:cs="Arial"/>
          <w:sz w:val="22"/>
          <w:szCs w:val="22"/>
          <w:lang w:val="en-GB"/>
        </w:rPr>
        <w:t xml:space="preserve"> in which social disadvantage exacerbates exposure and treatment </w:t>
      </w:r>
      <w:r w:rsidRPr="00BF57FF" w:rsidR="003C22F2">
        <w:rPr>
          <w:rFonts w:ascii="Arial" w:hAnsi="Arial" w:cs="Arial"/>
          <w:sz w:val="22"/>
          <w:szCs w:val="22"/>
          <w:lang w:val="en-GB"/>
        </w:rPr>
        <w:t>barriers,</w:t>
      </w:r>
      <w:r w:rsidRPr="00BF57FF">
        <w:rPr>
          <w:rFonts w:ascii="Arial" w:hAnsi="Arial" w:cs="Arial"/>
          <w:sz w:val="22"/>
          <w:szCs w:val="22"/>
          <w:lang w:val="en-GB"/>
        </w:rPr>
        <w:t xml:space="preserve"> is the trend </w:t>
      </w:r>
      <w:r w:rsidRPr="00BF57FF" w:rsidR="003C22F2">
        <w:rPr>
          <w:rFonts w:ascii="Arial" w:hAnsi="Arial" w:cs="Arial"/>
          <w:sz w:val="22"/>
          <w:szCs w:val="22"/>
          <w:lang w:val="en-GB"/>
        </w:rPr>
        <w:t xml:space="preserve">that </w:t>
      </w:r>
      <w:r w:rsidRPr="00BF57FF">
        <w:rPr>
          <w:rFonts w:ascii="Arial" w:hAnsi="Arial" w:cs="Arial"/>
          <w:sz w:val="22"/>
          <w:szCs w:val="22"/>
          <w:lang w:val="en-GB"/>
        </w:rPr>
        <w:t>structural determinants theory would predict (CSDH, 2008; Srinivasan et al., 2019). The structural analysis places knowledge-based interventions as a necessary but entirely inadequate measure</w:t>
      </w:r>
      <w:r w:rsidRPr="00BF57FF" w:rsidR="003C22F2">
        <w:rPr>
          <w:rFonts w:ascii="Arial" w:hAnsi="Arial" w:cs="Arial"/>
          <w:sz w:val="22"/>
          <w:szCs w:val="22"/>
          <w:lang w:val="en-GB"/>
        </w:rPr>
        <w:t>,</w:t>
      </w:r>
      <w:r w:rsidRPr="00BF57FF">
        <w:rPr>
          <w:rFonts w:ascii="Arial" w:hAnsi="Arial" w:cs="Arial"/>
          <w:sz w:val="22"/>
          <w:szCs w:val="22"/>
          <w:lang w:val="en-GB"/>
        </w:rPr>
        <w:t xml:space="preserve"> as no better knowledge can replace accessible and reliable services.</w:t>
      </w:r>
    </w:p>
    <w:p w:rsidRPr="00BF57FF" w:rsidR="00A4702F" w:rsidP="00A70BBB" w:rsidRDefault="003A4E09" w14:paraId="15301C3C" w14:textId="16343DC2">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This CHW knowledge failure is analytically important as it disrupts the information cascade at the community-healthcare interface: people who report after being bitten by seemingly healthy animals can be given false reassurance by poorly informed health workers, which strengthens but does not change the misconception on the community level reported by Sivagurunathan et al. (2021). Knowledge failures reported by Sahu et al. (2021) are especially noteworthy in terms of One Health. The first formal connector in the community disease detection and referral chain in India is the ASHAs and ANMs; failure in the first link (CHWs failing to see the importance of bites by seemingly healthy animals or failing to accurately grade exposure severity) causes the rest of the community-level surveillance response to break down before formal systems can react. This is not just a deficiency in </w:t>
      </w:r>
      <w:r w:rsidRPr="00BF57FF" w:rsidR="003C22F2">
        <w:rPr>
          <w:rFonts w:ascii="Arial" w:hAnsi="Arial" w:cs="Arial"/>
          <w:sz w:val="22"/>
          <w:szCs w:val="22"/>
          <w:lang w:val="en-GB"/>
        </w:rPr>
        <w:t xml:space="preserve">the </w:t>
      </w:r>
      <w:r w:rsidRPr="00BF57FF">
        <w:rPr>
          <w:rFonts w:ascii="Arial" w:hAnsi="Arial" w:cs="Arial"/>
          <w:sz w:val="22"/>
          <w:szCs w:val="22"/>
          <w:lang w:val="en-GB"/>
        </w:rPr>
        <w:t>human health system but a failure to monitor the human-animal interface</w:t>
      </w:r>
      <w:r w:rsidRPr="00BF57FF" w:rsidR="003C22F2">
        <w:rPr>
          <w:rFonts w:ascii="Arial" w:hAnsi="Arial" w:cs="Arial"/>
          <w:sz w:val="22"/>
          <w:szCs w:val="22"/>
          <w:lang w:val="en-GB"/>
        </w:rPr>
        <w:t>,</w:t>
      </w:r>
      <w:r w:rsidRPr="00BF57FF">
        <w:rPr>
          <w:rFonts w:ascii="Arial" w:hAnsi="Arial" w:cs="Arial"/>
          <w:sz w:val="22"/>
          <w:szCs w:val="22"/>
          <w:lang w:val="en-GB"/>
        </w:rPr>
        <w:t xml:space="preserve"> which community health workers are structurally placed to do.</w:t>
      </w:r>
    </w:p>
    <w:p w:rsidRPr="00BF57FF" w:rsidR="00A4702F" w:rsidP="00A70BBB" w:rsidRDefault="005834B2" w14:paraId="71B7F300" w14:textId="1193D265">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The evidence shows that there is a lack of health communication campaigns to overcome these deficits. Srinivasan et al. (2019) explain that the continuing failure of information delivery to create sustained behaviour change in India is not a failure of the message, but rather a structural situation in which messages are received: inaccessibility to formal healthcare, intermittent unreliability, </w:t>
      </w:r>
      <w:r w:rsidRPr="00BF57FF" w:rsidR="003C22F2">
        <w:rPr>
          <w:rFonts w:ascii="Arial" w:hAnsi="Arial" w:cs="Arial"/>
          <w:sz w:val="22"/>
          <w:szCs w:val="22"/>
          <w:lang w:val="en-GB"/>
        </w:rPr>
        <w:t xml:space="preserve">and </w:t>
      </w:r>
      <w:r w:rsidRPr="00BF57FF">
        <w:rPr>
          <w:rFonts w:ascii="Arial" w:hAnsi="Arial" w:cs="Arial"/>
          <w:sz w:val="22"/>
          <w:szCs w:val="22"/>
          <w:lang w:val="en-GB"/>
        </w:rPr>
        <w:t xml:space="preserve">disrespectful messaging. This </w:t>
      </w:r>
      <w:r w:rsidRPr="00BF57FF" w:rsidR="003C22F2">
        <w:rPr>
          <w:rFonts w:ascii="Arial" w:hAnsi="Arial" w:cs="Arial"/>
          <w:sz w:val="22"/>
          <w:szCs w:val="22"/>
          <w:lang w:val="en-GB"/>
        </w:rPr>
        <w:t>is anthropologically</w:t>
      </w:r>
      <w:r w:rsidRPr="00BF57FF">
        <w:rPr>
          <w:rFonts w:ascii="Arial" w:hAnsi="Arial" w:cs="Arial"/>
          <w:sz w:val="22"/>
          <w:szCs w:val="22"/>
          <w:lang w:val="en-GB"/>
        </w:rPr>
        <w:t xml:space="preserve"> supported by Nadal (2020), who finds that communities with the highest exposure to rabies are those where the structural relationship with formal healthcare has the least institutional trust. Solving Theme 1 thus requires </w:t>
      </w:r>
      <w:r w:rsidRPr="00BF57FF" w:rsidR="003C22F2">
        <w:rPr>
          <w:rFonts w:ascii="Arial" w:hAnsi="Arial" w:cs="Arial"/>
          <w:sz w:val="22"/>
          <w:szCs w:val="22"/>
          <w:lang w:val="en-GB"/>
        </w:rPr>
        <w:t>governance-level</w:t>
      </w:r>
      <w:r w:rsidRPr="00BF57FF">
        <w:rPr>
          <w:rFonts w:ascii="Arial" w:hAnsi="Arial" w:cs="Arial"/>
          <w:sz w:val="22"/>
          <w:szCs w:val="22"/>
          <w:lang w:val="en-GB"/>
        </w:rPr>
        <w:t xml:space="preserve"> investments in quality of service and relations with </w:t>
      </w:r>
      <w:r w:rsidRPr="00BF57FF" w:rsidR="003C22F2">
        <w:rPr>
          <w:rFonts w:ascii="Arial" w:hAnsi="Arial" w:cs="Arial"/>
          <w:sz w:val="22"/>
          <w:szCs w:val="22"/>
          <w:lang w:val="en-GB"/>
        </w:rPr>
        <w:t xml:space="preserve">the </w:t>
      </w:r>
      <w:r w:rsidRPr="00BF57FF">
        <w:rPr>
          <w:rFonts w:ascii="Arial" w:hAnsi="Arial" w:cs="Arial"/>
          <w:sz w:val="22"/>
          <w:szCs w:val="22"/>
          <w:lang w:val="en-GB"/>
        </w:rPr>
        <w:t>community, rather than enhanced communication materials.</w:t>
      </w:r>
    </w:p>
    <w:p w:rsidRPr="00BF57FF" w:rsidR="00A4702F" w:rsidP="00A70BBB" w:rsidRDefault="00A4702F" w14:paraId="38F23299" w14:textId="24139984">
      <w:pPr>
        <w:spacing w:after="152" w:line="360" w:lineRule="auto"/>
        <w:jc w:val="both"/>
        <w:rPr>
          <w:rFonts w:ascii="Arial" w:hAnsi="Arial" w:cs="Arial"/>
        </w:rPr>
      </w:pPr>
    </w:p>
    <w:p w:rsidRPr="00BF57FF" w:rsidR="00A4702F" w:rsidP="00A70BBB" w:rsidRDefault="00A4702F" w14:paraId="3E8BEB21" w14:textId="77777777">
      <w:pPr>
        <w:pStyle w:val="Heading2"/>
        <w:spacing w:line="360" w:lineRule="auto"/>
        <w:jc w:val="both"/>
        <w:rPr>
          <w:rFonts w:ascii="Arial" w:hAnsi="Arial" w:cs="Arial"/>
          <w:sz w:val="22"/>
        </w:rPr>
      </w:pPr>
      <w:bookmarkStart w:name="_Toc231005880" w:id="96"/>
      <w:bookmarkStart w:name="_Toc231298594" w:id="97"/>
      <w:r w:rsidRPr="00BF57FF">
        <w:rPr>
          <w:rFonts w:ascii="Arial" w:hAnsi="Arial" w:cs="Arial"/>
          <w:sz w:val="22"/>
        </w:rPr>
        <w:t>5.3 Theme 2 — Traditional Medicine Use as Structural Barrier: Global Comparison</w:t>
      </w:r>
      <w:bookmarkEnd w:id="96"/>
      <w:bookmarkEnd w:id="97"/>
    </w:p>
    <w:p w:rsidRPr="00BF57FF" w:rsidR="00A4702F" w:rsidP="00A70BBB" w:rsidRDefault="005834B2" w14:paraId="18C818C6" w14:textId="60173BDE">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The evidence synthesised in Theme 2</w:t>
      </w:r>
      <w:r w:rsidRPr="00BF57FF" w:rsidR="003C22F2">
        <w:rPr>
          <w:rFonts w:ascii="Arial" w:hAnsi="Arial" w:cs="Arial"/>
          <w:sz w:val="22"/>
          <w:szCs w:val="22"/>
          <w:lang w:val="en-GB"/>
        </w:rPr>
        <w:t>,</w:t>
      </w:r>
      <w:r w:rsidRPr="00BF57FF">
        <w:rPr>
          <w:rFonts w:ascii="Arial" w:hAnsi="Arial" w:cs="Arial"/>
          <w:sz w:val="22"/>
          <w:szCs w:val="22"/>
          <w:lang w:val="en-GB"/>
        </w:rPr>
        <w:t xml:space="preserve"> traditional remedies applied to bite wounds, delayed biomedical care-seeking, and CHW inability to change the pattern (Maiti et al., 2026; Gadapani et al., 2019; Pardeshi et al., 2026; Sahu et al., 2021) is in line with and supported substantially by evidence across countries. In a systematic literature review </w:t>
      </w:r>
      <w:r w:rsidRPr="00BF57FF">
        <w:rPr>
          <w:rFonts w:ascii="Arial" w:hAnsi="Arial" w:cs="Arial"/>
          <w:sz w:val="22"/>
          <w:szCs w:val="22"/>
          <w:lang w:val="en-GB"/>
        </w:rPr>
        <w:t xml:space="preserve">of 50 studies, encompassing low and middle-income countries, Beasley et al. (2022) report the use of traditional medicine after animal bites as a cross-continental phenomenon, which is consistently linked to the late use of PEP, with India specifically noted as an environment where the trend is sufficiently high. The review determines the mechanism that supports the use of traditional medicine as a cognitive reinforcement dynamic: since the risk of death due to rabies following a bite by a dog of unknown status is about 1.9 </w:t>
      </w:r>
      <w:r w:rsidRPr="00BF57FF" w:rsidR="00DE5E04">
        <w:rPr>
          <w:rFonts w:ascii="Arial" w:hAnsi="Arial" w:cs="Arial"/>
          <w:sz w:val="22"/>
          <w:szCs w:val="22"/>
          <w:lang w:val="en-GB"/>
        </w:rPr>
        <w:t>per cent</w:t>
      </w:r>
      <w:r w:rsidRPr="00BF57FF">
        <w:rPr>
          <w:rFonts w:ascii="Arial" w:hAnsi="Arial" w:cs="Arial"/>
          <w:sz w:val="22"/>
          <w:szCs w:val="22"/>
          <w:lang w:val="en-GB"/>
        </w:rPr>
        <w:t>, the apparent success rate of traditional healers is about 98.1 percent, not due to the pharmacological action, but to the low baseline transmission probability (Beasley et al., 2022). This statistical fact makes traditional medicine culturally plausible</w:t>
      </w:r>
      <w:r w:rsidRPr="00BF57FF" w:rsidR="00587517">
        <w:rPr>
          <w:rFonts w:ascii="Arial" w:hAnsi="Arial" w:cs="Arial"/>
          <w:sz w:val="22"/>
          <w:szCs w:val="22"/>
          <w:lang w:val="en-GB"/>
        </w:rPr>
        <w:t>,</w:t>
      </w:r>
      <w:r w:rsidRPr="00BF57FF">
        <w:rPr>
          <w:rFonts w:ascii="Arial" w:hAnsi="Arial" w:cs="Arial"/>
          <w:sz w:val="22"/>
          <w:szCs w:val="22"/>
          <w:lang w:val="en-GB"/>
        </w:rPr>
        <w:t xml:space="preserve"> and efforts to challenge it with information only are structurally invalidated by the fact that the largest majority of traditional care recipients do not die, which seems to validate their effectiveness.</w:t>
      </w:r>
    </w:p>
    <w:p w:rsidRPr="00BF57FF" w:rsidR="00A4702F" w:rsidP="00A70BBB" w:rsidRDefault="002077DD" w14:paraId="4F6B17DB" w14:textId="3A59C8BE">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A recent Ethiopian systematic review and meta-analysis estimated a pooled rate of 57% (95% CI: 0.45 -0.69) of rabies-exposed individuals who used traditional medicine (Asres et al., 2025). Although the Ethiopian context is distinct </w:t>
      </w:r>
      <w:r w:rsidRPr="00BF57FF" w:rsidR="00587517">
        <w:rPr>
          <w:rFonts w:ascii="Arial" w:hAnsi="Arial" w:cs="Arial"/>
          <w:sz w:val="22"/>
          <w:szCs w:val="22"/>
          <w:lang w:val="en-GB"/>
        </w:rPr>
        <w:t>from</w:t>
      </w:r>
      <w:r w:rsidRPr="00BF57FF">
        <w:rPr>
          <w:rFonts w:ascii="Arial" w:hAnsi="Arial" w:cs="Arial"/>
          <w:sz w:val="22"/>
          <w:szCs w:val="22"/>
          <w:lang w:val="en-GB"/>
        </w:rPr>
        <w:t xml:space="preserve"> India, the overlap of this pooled estimate with delay patterns reported in Indian literature - such as 24.74% of bite victims in Jabalpur waiting to initiate PEP more than 24 hours</w:t>
      </w:r>
      <w:r w:rsidRPr="00BF57FF" w:rsidR="00587517">
        <w:rPr>
          <w:rFonts w:ascii="Arial" w:hAnsi="Arial" w:cs="Arial"/>
          <w:sz w:val="22"/>
          <w:szCs w:val="22"/>
          <w:lang w:val="en-GB"/>
        </w:rPr>
        <w:t>,</w:t>
      </w:r>
      <w:r w:rsidRPr="00BF57FF">
        <w:rPr>
          <w:rFonts w:ascii="Arial" w:hAnsi="Arial" w:cs="Arial"/>
          <w:sz w:val="22"/>
          <w:szCs w:val="22"/>
          <w:lang w:val="en-GB"/>
        </w:rPr>
        <w:t xml:space="preserve"> partly because of traditional remedy use (Maiti et al., 2026) - indicates that a similar structural dynamic may be observed in similar social and healthcare-access contexts.</w:t>
      </w:r>
    </w:p>
    <w:p w:rsidRPr="00BF57FF" w:rsidR="00A4702F" w:rsidP="00A70BBB" w:rsidRDefault="004965C3" w14:paraId="557030E0" w14:textId="12620049">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The traditional medicine preference </w:t>
      </w:r>
      <w:r w:rsidRPr="00BF57FF" w:rsidR="00426745">
        <w:rPr>
          <w:rFonts w:ascii="Arial" w:hAnsi="Arial" w:cs="Arial"/>
          <w:sz w:val="22"/>
          <w:szCs w:val="22"/>
          <w:lang w:val="en-GB"/>
        </w:rPr>
        <w:t>categorisation</w:t>
      </w:r>
      <w:r w:rsidRPr="00BF57FF">
        <w:rPr>
          <w:rFonts w:ascii="Arial" w:hAnsi="Arial" w:cs="Arial"/>
          <w:sz w:val="22"/>
          <w:szCs w:val="22"/>
          <w:lang w:val="en-GB"/>
        </w:rPr>
        <w:t xml:space="preserve"> as a structural threat in the Pardeshi et al. (2026) SWOT framework, albeit without a report of a systematically documented process of evidence selection, has an analytical weight that extends beyond individual behaviour. A SWOT threat is an external environmental circumstance that functions at </w:t>
      </w:r>
      <w:r w:rsidRPr="00BF57FF" w:rsidR="00426745">
        <w:rPr>
          <w:rFonts w:ascii="Arial" w:hAnsi="Arial" w:cs="Arial"/>
          <w:sz w:val="22"/>
          <w:szCs w:val="22"/>
          <w:lang w:val="en-GB"/>
        </w:rPr>
        <w:t xml:space="preserve">the </w:t>
      </w:r>
      <w:r w:rsidRPr="00BF57FF">
        <w:rPr>
          <w:rFonts w:ascii="Arial" w:hAnsi="Arial" w:cs="Arial"/>
          <w:sz w:val="22"/>
          <w:szCs w:val="22"/>
          <w:lang w:val="en-GB"/>
        </w:rPr>
        <w:t xml:space="preserve">programme level - one </w:t>
      </w:r>
      <w:r w:rsidRPr="00BF57FF" w:rsidR="00622EEC">
        <w:rPr>
          <w:rFonts w:ascii="Arial" w:hAnsi="Arial" w:cs="Arial"/>
          <w:sz w:val="22"/>
          <w:szCs w:val="22"/>
          <w:lang w:val="en-GB"/>
        </w:rPr>
        <w:t xml:space="preserve">that </w:t>
      </w:r>
      <w:r w:rsidRPr="00BF57FF">
        <w:rPr>
          <w:rFonts w:ascii="Arial" w:hAnsi="Arial" w:cs="Arial"/>
          <w:sz w:val="22"/>
          <w:szCs w:val="22"/>
          <w:lang w:val="en-GB"/>
        </w:rPr>
        <w:t xml:space="preserve">the programme cannot address by internal action - repositioning the use of traditional medicine not as a patient education issue but as a circumstance of the social system that demands community-level and governance-level reactions. Nadal (2020) gives an anthropological explanation of this structural framing, evidencing that traditional medicine use is not taken in a vacuum but is influenced by the same circumstances that have caused Theme 1: inaccessible biomedical care, economic hindrance to clinic visit, and the cultural legitimacy of </w:t>
      </w:r>
      <w:r w:rsidRPr="00BF57FF" w:rsidR="00622EEC">
        <w:rPr>
          <w:rFonts w:ascii="Arial" w:hAnsi="Arial" w:cs="Arial"/>
          <w:sz w:val="22"/>
          <w:szCs w:val="22"/>
          <w:lang w:val="en-GB"/>
        </w:rPr>
        <w:t>locally based</w:t>
      </w:r>
      <w:r w:rsidRPr="00BF57FF">
        <w:rPr>
          <w:rFonts w:ascii="Arial" w:hAnsi="Arial" w:cs="Arial"/>
          <w:sz w:val="22"/>
          <w:szCs w:val="22"/>
          <w:lang w:val="en-GB"/>
        </w:rPr>
        <w:t xml:space="preserve"> traditional practitioners. The combination of these four studies suggests that the use of traditional medicine is not an individual behaviour, but rather a systemic pattern that is ingrained within knowledge deficits, inaccessibility to services, and CHW capacity failures that all support and enhance its prevalence in Indian contexts. The policy implication is that to decrease the use of traditional medicine as a barrier, there is </w:t>
      </w:r>
      <w:r w:rsidRPr="00BF57FF" w:rsidR="00622EEC">
        <w:rPr>
          <w:rFonts w:ascii="Arial" w:hAnsi="Arial" w:cs="Arial"/>
          <w:sz w:val="22"/>
          <w:szCs w:val="22"/>
          <w:lang w:val="en-GB"/>
        </w:rPr>
        <w:t>a</w:t>
      </w:r>
      <w:r w:rsidRPr="00BF57FF">
        <w:rPr>
          <w:rFonts w:ascii="Arial" w:hAnsi="Arial" w:cs="Arial"/>
          <w:sz w:val="22"/>
          <w:szCs w:val="22"/>
          <w:lang w:val="en-GB"/>
        </w:rPr>
        <w:t xml:space="preserve"> need to enhance accessibility, reliability, and cultural competence of formal </w:t>
      </w:r>
      <w:r w:rsidRPr="00BF57FF">
        <w:rPr>
          <w:rFonts w:ascii="Arial" w:hAnsi="Arial" w:cs="Arial"/>
          <w:sz w:val="22"/>
          <w:szCs w:val="22"/>
          <w:lang w:val="en-GB"/>
        </w:rPr>
        <w:t xml:space="preserve">services, rather than health literacy campaigns that do not change the structural conditions. </w:t>
      </w:r>
    </w:p>
    <w:p w:rsidRPr="00BF57FF" w:rsidR="004419E6" w:rsidP="00A70BBB" w:rsidRDefault="004419E6" w14:paraId="3F1396F3" w14:textId="5B1B607B">
      <w:pPr>
        <w:pStyle w:val="font-claude-response-body"/>
        <w:spacing w:before="0" w:beforeAutospacing="0" w:after="152" w:afterAutospacing="0" w:line="360" w:lineRule="auto"/>
        <w:jc w:val="both"/>
        <w:rPr>
          <w:rFonts w:ascii="Arial" w:hAnsi="Arial" w:cs="Arial"/>
          <w:sz w:val="22"/>
          <w:szCs w:val="22"/>
          <w:lang w:val="en-GB"/>
        </w:rPr>
      </w:pPr>
    </w:p>
    <w:p w:rsidRPr="00BF57FF" w:rsidR="00A4702F" w:rsidP="00A70BBB" w:rsidRDefault="00A4702F" w14:paraId="4C0FD1D9" w14:textId="77777777">
      <w:pPr>
        <w:pStyle w:val="Heading2"/>
        <w:spacing w:line="360" w:lineRule="auto"/>
        <w:jc w:val="both"/>
        <w:rPr>
          <w:rFonts w:ascii="Arial" w:hAnsi="Arial" w:cs="Arial"/>
          <w:sz w:val="22"/>
        </w:rPr>
      </w:pPr>
      <w:bookmarkStart w:name="_Toc231005881" w:id="98"/>
      <w:bookmarkStart w:name="_Toc231298595" w:id="99"/>
      <w:r w:rsidRPr="00BF57FF">
        <w:rPr>
          <w:rFonts w:ascii="Arial" w:hAnsi="Arial" w:cs="Arial"/>
          <w:sz w:val="22"/>
        </w:rPr>
        <w:t>5.4 Theme 3 — Health System Failures and PEP Inaccessibility: Policy Benchmarking</w:t>
      </w:r>
      <w:bookmarkEnd w:id="98"/>
      <w:bookmarkEnd w:id="99"/>
    </w:p>
    <w:p w:rsidRPr="00BF57FF" w:rsidR="00A4702F" w:rsidP="00A70BBB" w:rsidRDefault="00A31CE9" w14:paraId="15F24ED2" w14:textId="031744AD">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An analysis of the infrastructure of PEP delivery in India compares to the set standards, and it is greatly insufficient to offer a secure safety net to individuals who have been bitten. According to the WHO Expert Consultation on Rabies (2018b), to deliver adequate PEP, </w:t>
      </w:r>
      <w:r w:rsidRPr="00BF57FF" w:rsidR="00587517">
        <w:rPr>
          <w:rFonts w:ascii="Arial" w:hAnsi="Arial" w:cs="Arial"/>
          <w:sz w:val="22"/>
          <w:szCs w:val="22"/>
          <w:lang w:val="en-GB"/>
        </w:rPr>
        <w:t xml:space="preserve">a </w:t>
      </w:r>
      <w:r w:rsidRPr="00BF57FF">
        <w:rPr>
          <w:rFonts w:ascii="Arial" w:hAnsi="Arial" w:cs="Arial"/>
          <w:sz w:val="22"/>
          <w:szCs w:val="22"/>
          <w:lang w:val="en-GB"/>
        </w:rPr>
        <w:t xml:space="preserve">stable vaccine supply, available immunoglobulin in the event of category III exposure, clinic infrastructure at all levels of the health system, and staff who can perform appropriate exposure categorisation and wound care are important. A national survey of 35 anti-rabies clinics in seven states revealed that only 54.3% of the clinics had adequate wound-washing facilities, 18.5% of the government facilities had stockouts of the vaccine, and 40% of assessed facilities offered rabies immunoglobulin free of charge (Sudarshan and Haradanhalli, 2019). Independent multi-state data confirm that only 46.2% of category III exposure victims received RIG at the point of care (Haradanhalli et al., 2019). These divides are unique, quantifiable and can be attributed to rectifiable governance shortfalls in procurement, </w:t>
      </w:r>
      <w:r w:rsidRPr="00BF57FF" w:rsidR="00587517">
        <w:rPr>
          <w:rFonts w:ascii="Arial" w:hAnsi="Arial" w:cs="Arial"/>
          <w:sz w:val="22"/>
          <w:szCs w:val="22"/>
          <w:lang w:val="en-GB"/>
        </w:rPr>
        <w:t>supply</w:t>
      </w:r>
      <w:r w:rsidRPr="00BF57FF">
        <w:rPr>
          <w:rFonts w:ascii="Arial" w:hAnsi="Arial" w:cs="Arial"/>
          <w:sz w:val="22"/>
          <w:szCs w:val="22"/>
          <w:lang w:val="en-GB"/>
        </w:rPr>
        <w:t xml:space="preserve"> chain management and resource allocation.</w:t>
      </w:r>
    </w:p>
    <w:p w:rsidRPr="00BF57FF" w:rsidR="00A4702F" w:rsidP="00A70BBB" w:rsidRDefault="00AB524B" w14:paraId="0BC691BA" w14:textId="48EDB44C">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The NAPRE target of 75% </w:t>
      </w:r>
      <w:r w:rsidRPr="00BF57FF" w:rsidR="002E007C">
        <w:rPr>
          <w:rFonts w:ascii="Arial" w:hAnsi="Arial" w:cs="Arial"/>
          <w:sz w:val="22"/>
          <w:szCs w:val="22"/>
          <w:lang w:val="en-GB"/>
        </w:rPr>
        <w:t xml:space="preserve">reduction </w:t>
      </w:r>
      <w:r w:rsidRPr="00BF57FF">
        <w:rPr>
          <w:rFonts w:ascii="Arial" w:hAnsi="Arial" w:cs="Arial"/>
          <w:sz w:val="22"/>
          <w:szCs w:val="22"/>
          <w:lang w:val="en-GB"/>
        </w:rPr>
        <w:t xml:space="preserve">of human rabies mortality by 2030 (National Centre for Disease Control, 2021) in India implies significantly increased PEP completion rates than the current pooled rate of 57% (Debnath et al., 2025). An economic argument in </w:t>
      </w:r>
      <w:r w:rsidRPr="00BF57FF" w:rsidR="00587517">
        <w:rPr>
          <w:rFonts w:ascii="Arial" w:hAnsi="Arial" w:cs="Arial"/>
          <w:sz w:val="22"/>
          <w:szCs w:val="22"/>
          <w:lang w:val="en-GB"/>
        </w:rPr>
        <w:t>favour</w:t>
      </w:r>
      <w:r w:rsidRPr="00BF57FF">
        <w:rPr>
          <w:rFonts w:ascii="Arial" w:hAnsi="Arial" w:cs="Arial"/>
          <w:sz w:val="22"/>
          <w:szCs w:val="22"/>
          <w:lang w:val="en-GB"/>
        </w:rPr>
        <w:t xml:space="preserve"> of investing is the fact that rabies mortality in India costs the economy nearly US</w:t>
      </w:r>
      <w:r w:rsidRPr="00BF57FF" w:rsidR="002E007C">
        <w:rPr>
          <w:rFonts w:ascii="Arial" w:hAnsi="Arial" w:cs="Arial"/>
          <w:sz w:val="22"/>
          <w:szCs w:val="22"/>
          <w:lang w:val="en-GB"/>
        </w:rPr>
        <w:t>$</w:t>
      </w:r>
      <w:r w:rsidRPr="00BF57FF">
        <w:rPr>
          <w:rFonts w:ascii="Arial" w:hAnsi="Arial" w:cs="Arial"/>
          <w:sz w:val="22"/>
          <w:szCs w:val="22"/>
          <w:lang w:val="en-GB"/>
        </w:rPr>
        <w:t>2.85 million a year (John et al., 2021; Sudarshan et al., 2006; Ichhpujani et al., 2008)</w:t>
      </w:r>
      <w:r w:rsidRPr="00BF57FF" w:rsidR="00587517">
        <w:rPr>
          <w:rFonts w:ascii="Arial" w:hAnsi="Arial" w:cs="Arial"/>
          <w:sz w:val="22"/>
          <w:szCs w:val="22"/>
          <w:lang w:val="en-GB"/>
        </w:rPr>
        <w:t>,</w:t>
      </w:r>
      <w:r w:rsidRPr="00BF57FF">
        <w:rPr>
          <w:rFonts w:ascii="Arial" w:hAnsi="Arial" w:cs="Arial"/>
          <w:sz w:val="22"/>
          <w:szCs w:val="22"/>
          <w:lang w:val="en-GB"/>
        </w:rPr>
        <w:t xml:space="preserve"> but this financial figure has not yet resulted in an equivalent operational change. The gap in governance between research and policy action in Indian rabies control is an old structural issue (Abbas and Kakkar, 2015; Kakkar et al., 2012), and the results of the current review indicate that it is not addressed yet. According to Khan et al. (2026), persistent, unaddressed obstacles include </w:t>
      </w:r>
      <w:r w:rsidRPr="00BF57FF" w:rsidR="00587517">
        <w:rPr>
          <w:rFonts w:ascii="Arial" w:hAnsi="Arial" w:cs="Arial"/>
          <w:sz w:val="22"/>
          <w:szCs w:val="22"/>
          <w:lang w:val="en-GB"/>
        </w:rPr>
        <w:t>inadequately</w:t>
      </w:r>
      <w:r w:rsidRPr="00BF57FF">
        <w:rPr>
          <w:rFonts w:ascii="Arial" w:hAnsi="Arial" w:cs="Arial"/>
          <w:sz w:val="22"/>
          <w:szCs w:val="22"/>
          <w:lang w:val="en-GB"/>
        </w:rPr>
        <w:t xml:space="preserve"> trained staff, unreliable supply of biologicals, and geographic inaccessibility</w:t>
      </w:r>
      <w:r w:rsidRPr="00BF57FF" w:rsidR="00587517">
        <w:rPr>
          <w:rFonts w:ascii="Arial" w:hAnsi="Arial" w:cs="Arial"/>
          <w:sz w:val="22"/>
          <w:szCs w:val="22"/>
          <w:lang w:val="en-GB"/>
        </w:rPr>
        <w:t>.</w:t>
      </w:r>
      <w:r w:rsidRPr="00BF57FF">
        <w:rPr>
          <w:rFonts w:ascii="Arial" w:hAnsi="Arial" w:cs="Arial"/>
          <w:sz w:val="22"/>
          <w:szCs w:val="22"/>
          <w:lang w:val="en-GB"/>
        </w:rPr>
        <w:t xml:space="preserve"> The two-tier access issue, in which full PEP is skewed to those with most access to high-quality facilities, is a structural health inequity that further concentrates animal bite risk among the poorest groups (CSDH, 2008).</w:t>
      </w:r>
    </w:p>
    <w:p w:rsidRPr="00BF57FF" w:rsidR="00A4702F" w:rsidP="00A70BBB" w:rsidRDefault="001505AD" w14:paraId="5BD15254" w14:textId="4BB8FD65">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The Goa programme is the most significant reference point of analysis that can be made in this background of systemic failure. Gibson et al. (2022) show how human </w:t>
      </w:r>
      <w:r w:rsidRPr="00BF57FF">
        <w:rPr>
          <w:rFonts w:ascii="Arial" w:hAnsi="Arial" w:cs="Arial"/>
          <w:sz w:val="22"/>
          <w:szCs w:val="22"/>
          <w:lang w:val="en-GB"/>
        </w:rPr>
        <w:t xml:space="preserve">rabies eradication (lasting over seven years) was obtained due to regular supply of vaccines and immunoglobulins, management of </w:t>
      </w:r>
      <w:r w:rsidRPr="00BF57FF" w:rsidR="00587517">
        <w:rPr>
          <w:rFonts w:ascii="Arial" w:hAnsi="Arial" w:cs="Arial"/>
          <w:sz w:val="22"/>
          <w:szCs w:val="22"/>
          <w:lang w:val="en-GB"/>
        </w:rPr>
        <w:t xml:space="preserve">the </w:t>
      </w:r>
      <w:r w:rsidRPr="00BF57FF">
        <w:rPr>
          <w:rFonts w:ascii="Arial" w:hAnsi="Arial" w:cs="Arial"/>
          <w:sz w:val="22"/>
          <w:szCs w:val="22"/>
          <w:lang w:val="en-GB"/>
        </w:rPr>
        <w:t xml:space="preserve">One Health program, and field response guided by GPS. The Goa evidence shows that the health system barriers reported in the other studies included are not necessarily unique to the Indian setting but are the result of governance and resource allocation choices (Acharya, Subedi and Wilson, 2021). Evidence modelling in Tamil Nadu demonstrates that a coordinated One Health approach is significantly less costly than a PEP-only strategy at various economic levels (Fitzpatrick et al., 2016). The fact that the health system failures that India has been experiencing have continued to-date (Gibson et al., 2022) and have caused the 5,726 avoidable deaths each year (Thangaraj et al., 2025) </w:t>
      </w:r>
      <w:r w:rsidRPr="00BF57FF" w:rsidR="002E007C">
        <w:rPr>
          <w:rFonts w:ascii="Arial" w:hAnsi="Arial" w:cs="Arial"/>
          <w:sz w:val="22"/>
          <w:szCs w:val="22"/>
          <w:lang w:val="en-GB"/>
        </w:rPr>
        <w:t>has been the result not of technical impossibility but failures of political will and resource allocation</w:t>
      </w:r>
      <w:r w:rsidRPr="00BF57FF">
        <w:rPr>
          <w:rFonts w:ascii="Arial" w:hAnsi="Arial" w:cs="Arial"/>
          <w:sz w:val="22"/>
          <w:szCs w:val="22"/>
          <w:lang w:val="en-GB"/>
        </w:rPr>
        <w:t xml:space="preserve">. Justice-oriented supply chain governance and regulatory policy should be used to ensure equitable access to rabies biologicals, not just market distribution mechanisms alone, a structural equity </w:t>
      </w:r>
      <w:r w:rsidRPr="00BF57FF" w:rsidR="00587517">
        <w:rPr>
          <w:rFonts w:ascii="Arial" w:hAnsi="Arial" w:cs="Arial"/>
          <w:sz w:val="22"/>
          <w:szCs w:val="22"/>
          <w:lang w:val="en-GB"/>
        </w:rPr>
        <w:t>lens</w:t>
      </w:r>
      <w:r w:rsidRPr="00BF57FF">
        <w:rPr>
          <w:rFonts w:ascii="Arial" w:hAnsi="Arial" w:cs="Arial"/>
          <w:sz w:val="22"/>
          <w:szCs w:val="22"/>
          <w:lang w:val="en-GB"/>
        </w:rPr>
        <w:t xml:space="preserve"> that has not been implemented systematically on the rabies biologicals procurement system in India </w:t>
      </w:r>
      <w:r w:rsidRPr="004273F4" w:rsidR="004273F4">
        <w:rPr>
          <w:rFonts w:ascii="Arial" w:hAnsi="Arial" w:cs="Arial"/>
          <w:sz w:val="22"/>
          <w:szCs w:val="22"/>
          <w:lang w:val="en-GB"/>
        </w:rPr>
        <w:t>(Wentworth et al., 2019</w:t>
      </w:r>
      <w:r w:rsidRPr="004273F4">
        <w:rPr>
          <w:rFonts w:ascii="Arial" w:hAnsi="Arial" w:cs="Arial"/>
          <w:sz w:val="22"/>
          <w:szCs w:val="22"/>
          <w:lang w:val="en-GB"/>
        </w:rPr>
        <w:t>).</w:t>
      </w:r>
      <w:r w:rsidRPr="00BF57FF">
        <w:rPr>
          <w:rFonts w:ascii="Arial" w:hAnsi="Arial" w:cs="Arial"/>
          <w:sz w:val="22"/>
          <w:szCs w:val="22"/>
          <w:lang w:val="en-GB"/>
        </w:rPr>
        <w:t xml:space="preserve"> </w:t>
      </w:r>
    </w:p>
    <w:p w:rsidRPr="00BF57FF" w:rsidR="00A4702F" w:rsidP="00A70BBB" w:rsidRDefault="00A4702F" w14:paraId="08503E7B" w14:textId="44512FDE">
      <w:pPr>
        <w:spacing w:after="152" w:line="360" w:lineRule="auto"/>
        <w:jc w:val="both"/>
        <w:rPr>
          <w:rFonts w:ascii="Arial" w:hAnsi="Arial" w:cs="Arial"/>
        </w:rPr>
      </w:pPr>
    </w:p>
    <w:p w:rsidRPr="00BF57FF" w:rsidR="00A4702F" w:rsidP="00A70BBB" w:rsidRDefault="00A4702F" w14:paraId="09799F9F" w14:textId="77777777">
      <w:pPr>
        <w:pStyle w:val="Heading2"/>
        <w:spacing w:line="360" w:lineRule="auto"/>
        <w:jc w:val="both"/>
        <w:rPr>
          <w:rFonts w:ascii="Arial" w:hAnsi="Arial" w:cs="Arial"/>
          <w:sz w:val="22"/>
        </w:rPr>
      </w:pPr>
      <w:bookmarkStart w:name="_Toc231005882" w:id="100"/>
      <w:bookmarkStart w:name="_Toc231298596" w:id="101"/>
      <w:r w:rsidRPr="00BF57FF">
        <w:rPr>
          <w:rFonts w:ascii="Arial" w:hAnsi="Arial" w:cs="Arial"/>
          <w:sz w:val="22"/>
        </w:rPr>
        <w:t>5.5 Theme 4 — Surveillance Inadequacy: Standards and Zero by 30 Progress</w:t>
      </w:r>
      <w:bookmarkEnd w:id="100"/>
      <w:bookmarkEnd w:id="101"/>
    </w:p>
    <w:p w:rsidRPr="00BF57FF" w:rsidR="00A4702F" w:rsidP="00A70BBB" w:rsidRDefault="00E71EAE" w14:paraId="19ED4D50" w14:textId="35A90B74">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The surveillance failures reported in Theme 4 cannot be merely a data quality issue</w:t>
      </w:r>
      <w:r w:rsidRPr="00BF57FF" w:rsidR="00B95B7E">
        <w:rPr>
          <w:rFonts w:ascii="Arial" w:hAnsi="Arial" w:cs="Arial"/>
          <w:sz w:val="22"/>
          <w:szCs w:val="22"/>
          <w:lang w:val="en-GB"/>
        </w:rPr>
        <w:t>;</w:t>
      </w:r>
      <w:r w:rsidRPr="00BF57FF">
        <w:rPr>
          <w:rFonts w:ascii="Arial" w:hAnsi="Arial" w:cs="Arial"/>
          <w:sz w:val="22"/>
          <w:szCs w:val="22"/>
          <w:lang w:val="en-GB"/>
        </w:rPr>
        <w:t xml:space="preserve"> they are a structural barrier to the measurability of the progress of India towards Zero by 30. The WHO Expert Consultation on Rabies (2018b) outlines the surveillance infrastructure needed by countries that have nearly gone to zero, such as </w:t>
      </w:r>
      <w:r w:rsidRPr="00BF57FF" w:rsidR="006345AD">
        <w:rPr>
          <w:rFonts w:ascii="Arial" w:hAnsi="Arial" w:cs="Arial"/>
          <w:sz w:val="22"/>
          <w:szCs w:val="22"/>
          <w:lang w:val="en-GB"/>
        </w:rPr>
        <w:t xml:space="preserve">a </w:t>
      </w:r>
      <w:r w:rsidRPr="00BF57FF">
        <w:rPr>
          <w:rFonts w:ascii="Arial" w:hAnsi="Arial" w:cs="Arial"/>
          <w:sz w:val="22"/>
          <w:szCs w:val="22"/>
          <w:lang w:val="en-GB"/>
        </w:rPr>
        <w:t xml:space="preserve">validated national reporting system with the ability to identify zero human deaths, systematic animal-rabies monitoring, and data concordance between </w:t>
      </w:r>
      <w:r w:rsidRPr="00BF57FF" w:rsidR="006345AD">
        <w:rPr>
          <w:rFonts w:ascii="Arial" w:hAnsi="Arial" w:cs="Arial"/>
          <w:sz w:val="22"/>
          <w:szCs w:val="22"/>
          <w:lang w:val="en-GB"/>
        </w:rPr>
        <w:t xml:space="preserve">the </w:t>
      </w:r>
      <w:r w:rsidRPr="00BF57FF">
        <w:rPr>
          <w:rFonts w:ascii="Arial" w:hAnsi="Arial" w:cs="Arial"/>
          <w:sz w:val="22"/>
          <w:szCs w:val="22"/>
          <w:lang w:val="en-GB"/>
        </w:rPr>
        <w:t xml:space="preserve">community and national level. Sudarshan and Ashwath Narayana (2019) prove that the concordance criterion is not met: state IDSP offices and national NCDC work with completely discordant data, and the structural cause of this is the political lack of governance, as Radhakrishnan et al. (2020) </w:t>
      </w:r>
      <w:r w:rsidRPr="00BF57FF" w:rsidR="006345AD">
        <w:rPr>
          <w:rFonts w:ascii="Arial" w:hAnsi="Arial" w:cs="Arial"/>
          <w:sz w:val="22"/>
          <w:szCs w:val="22"/>
          <w:lang w:val="en-GB"/>
        </w:rPr>
        <w:t>trace</w:t>
      </w:r>
      <w:r w:rsidRPr="00BF57FF">
        <w:rPr>
          <w:rFonts w:ascii="Arial" w:hAnsi="Arial" w:cs="Arial"/>
          <w:sz w:val="22"/>
          <w:szCs w:val="22"/>
          <w:lang w:val="en-GB"/>
        </w:rPr>
        <w:t xml:space="preserve"> to the historical administrative deprioritisation. India cannot establish whether its interventions are saving lives or not</w:t>
      </w:r>
      <w:r w:rsidRPr="00BF57FF" w:rsidR="006345AD">
        <w:rPr>
          <w:rFonts w:ascii="Arial" w:hAnsi="Arial" w:cs="Arial"/>
          <w:sz w:val="22"/>
          <w:szCs w:val="22"/>
          <w:lang w:val="en-GB"/>
        </w:rPr>
        <w:t>,</w:t>
      </w:r>
      <w:r w:rsidRPr="00BF57FF">
        <w:rPr>
          <w:rFonts w:ascii="Arial" w:hAnsi="Arial" w:cs="Arial"/>
          <w:sz w:val="22"/>
          <w:szCs w:val="22"/>
          <w:lang w:val="en-GB"/>
        </w:rPr>
        <w:t xml:space="preserve"> and it cannot prove to the international community that progress is being made on Zero by 30.</w:t>
      </w:r>
    </w:p>
    <w:p w:rsidRPr="00BF57FF" w:rsidR="00A4702F" w:rsidP="00A70BBB" w:rsidRDefault="00DE78FC" w14:paraId="3FBBB288" w14:textId="1BF61479">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Secular trend analysis of reported cases </w:t>
      </w:r>
      <w:r w:rsidRPr="00BF57FF" w:rsidR="006345AD">
        <w:rPr>
          <w:rFonts w:ascii="Arial" w:hAnsi="Arial" w:cs="Arial"/>
          <w:sz w:val="22"/>
          <w:szCs w:val="22"/>
          <w:lang w:val="en-GB"/>
        </w:rPr>
        <w:t xml:space="preserve">of </w:t>
      </w:r>
      <w:r w:rsidRPr="00BF57FF">
        <w:rPr>
          <w:rFonts w:ascii="Arial" w:hAnsi="Arial" w:cs="Arial"/>
          <w:sz w:val="22"/>
          <w:szCs w:val="22"/>
          <w:lang w:val="en-GB"/>
        </w:rPr>
        <w:t>Indian rabies, 2005-2020 by Rubeshkumar et al. (202</w:t>
      </w:r>
      <w:r w:rsidRPr="00BF57FF" w:rsidR="00FE7389">
        <w:rPr>
          <w:rFonts w:ascii="Arial" w:hAnsi="Arial" w:cs="Arial"/>
          <w:sz w:val="22"/>
          <w:szCs w:val="22"/>
          <w:lang w:val="en-GB"/>
        </w:rPr>
        <w:t>3</w:t>
      </w:r>
      <w:r w:rsidRPr="00BF57FF">
        <w:rPr>
          <w:rFonts w:ascii="Arial" w:hAnsi="Arial" w:cs="Arial"/>
          <w:sz w:val="22"/>
          <w:szCs w:val="22"/>
          <w:lang w:val="en-GB"/>
        </w:rPr>
        <w:t xml:space="preserve">), which indicates </w:t>
      </w:r>
      <w:r w:rsidRPr="00BF57FF" w:rsidR="006345AD">
        <w:rPr>
          <w:rFonts w:ascii="Arial" w:hAnsi="Arial" w:cs="Arial"/>
          <w:sz w:val="22"/>
          <w:szCs w:val="22"/>
          <w:lang w:val="en-GB"/>
        </w:rPr>
        <w:t xml:space="preserve">an </w:t>
      </w:r>
      <w:r w:rsidRPr="00BF57FF">
        <w:rPr>
          <w:rFonts w:ascii="Arial" w:hAnsi="Arial" w:cs="Arial"/>
          <w:sz w:val="22"/>
          <w:szCs w:val="22"/>
          <w:lang w:val="en-GB"/>
        </w:rPr>
        <w:t xml:space="preserve">apparent decrease, should be approached with caution due to such surveillance gaps. A decreasing reported trend can indicate real epidemiological progress, changes in reporting practices or misclassification of cases - none of which can be separated without operating surveillance. This interpretive </w:t>
      </w:r>
      <w:r w:rsidRPr="00BF57FF">
        <w:rPr>
          <w:rFonts w:ascii="Arial" w:hAnsi="Arial" w:cs="Arial"/>
          <w:sz w:val="22"/>
          <w:szCs w:val="22"/>
          <w:lang w:val="en-GB"/>
        </w:rPr>
        <w:t xml:space="preserve">uncertainty directly affects policy: there is no way to know whether present investments are paying off or whether there is an urgent need to accelerate </w:t>
      </w:r>
      <w:r w:rsidRPr="00BF57FF" w:rsidR="006345AD">
        <w:rPr>
          <w:rFonts w:ascii="Arial" w:hAnsi="Arial" w:cs="Arial"/>
          <w:sz w:val="22"/>
          <w:szCs w:val="22"/>
          <w:lang w:val="en-GB"/>
        </w:rPr>
        <w:t>them</w:t>
      </w:r>
      <w:r w:rsidRPr="00BF57FF">
        <w:rPr>
          <w:rFonts w:ascii="Arial" w:hAnsi="Arial" w:cs="Arial"/>
          <w:sz w:val="22"/>
          <w:szCs w:val="22"/>
          <w:lang w:val="en-GB"/>
        </w:rPr>
        <w:t>.</w:t>
      </w:r>
    </w:p>
    <w:p w:rsidRPr="00BF57FF" w:rsidR="00A4702F" w:rsidP="00A70BBB" w:rsidRDefault="00096ED2" w14:paraId="1EBCD54A" w14:textId="6AC9C73B">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The magnitude of under-reporting is represented by the difference between the survey-based and modelled burden estimates. The annual death rate due to rabies in India is estimated by Hampson et al. (2015) at about 20,000 in their global modelling, and the 2022-23 community survey at 5,726 (Thangaraj et al., 2025); both are significantly higher than the official reported rates, with the survey itself being the first nationally representative community-based estimate in about 20 years. On the rural level, contact tracing in Karnataka by Masthi and Pruthvi (2018) indicates that a very tiny portion of real animal bite exposures at the community level makes it into formal health or surveillance systems, which validates that the surveillance gap is the greatest where the burden is largest.</w:t>
      </w:r>
    </w:p>
    <w:p w:rsidRPr="00BF57FF" w:rsidR="00A4702F" w:rsidP="00A70BBB" w:rsidRDefault="00C35D6E" w14:paraId="4D4F2F1B" w14:textId="581769C7">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The Pune surveillance system described by Vanak et al. (2023) demonstrates that passive surveillance based on technology can identify significantly more animals with rabies compared to traditional reporting methods and can facilitate the rapid response to an outbreak. This urban proof of concept offers an architectural model for surveillance reform; its extension to rural India requires investment in laboratory capacity, digital infrastructure, and community health worker integration that the Pune programme has not yet addressed.</w:t>
      </w:r>
    </w:p>
    <w:p w:rsidRPr="00BF57FF" w:rsidR="00A4702F" w:rsidP="00A70BBB" w:rsidRDefault="00A4702F" w14:paraId="71CEF3A0" w14:textId="79A621AD">
      <w:pPr>
        <w:spacing w:after="152" w:line="360" w:lineRule="auto"/>
        <w:jc w:val="both"/>
        <w:rPr>
          <w:rFonts w:ascii="Arial" w:hAnsi="Arial" w:cs="Arial"/>
        </w:rPr>
      </w:pPr>
    </w:p>
    <w:p w:rsidRPr="00BF57FF" w:rsidR="00A4702F" w:rsidP="00A70BBB" w:rsidRDefault="00A4702F" w14:paraId="2B6532A5" w14:textId="77777777">
      <w:pPr>
        <w:pStyle w:val="Heading2"/>
        <w:spacing w:line="360" w:lineRule="auto"/>
        <w:jc w:val="both"/>
        <w:rPr>
          <w:rFonts w:ascii="Arial" w:hAnsi="Arial" w:cs="Arial"/>
          <w:sz w:val="22"/>
        </w:rPr>
      </w:pPr>
      <w:bookmarkStart w:name="_Toc231005883" w:id="102"/>
      <w:bookmarkStart w:name="_Toc231298597" w:id="103"/>
      <w:r w:rsidRPr="00BF57FF">
        <w:rPr>
          <w:rFonts w:ascii="Arial" w:hAnsi="Arial" w:cs="Arial"/>
          <w:sz w:val="22"/>
        </w:rPr>
        <w:t>5.6 Implications for One Health and Zero by 30</w:t>
      </w:r>
      <w:bookmarkEnd w:id="102"/>
      <w:bookmarkEnd w:id="103"/>
    </w:p>
    <w:p w:rsidRPr="00BF57FF" w:rsidR="00A4702F" w:rsidP="00A70BBB" w:rsidRDefault="00066999" w14:paraId="64549E9C" w14:textId="7DF56497">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The four themes, analysed as part of the One Health framework, are failures spread across the integrated human-animal-environment system, and not confined to a single domain. Themes 1 and 2 are mirrors of failures</w:t>
      </w:r>
      <w:r w:rsidRPr="00BF57FF" w:rsidR="006345AD">
        <w:rPr>
          <w:rFonts w:ascii="Arial" w:hAnsi="Arial" w:cs="Arial"/>
          <w:sz w:val="22"/>
          <w:szCs w:val="22"/>
          <w:lang w:val="en-GB"/>
        </w:rPr>
        <w:t>,</w:t>
      </w:r>
      <w:r w:rsidRPr="00BF57FF">
        <w:rPr>
          <w:rFonts w:ascii="Arial" w:hAnsi="Arial" w:cs="Arial"/>
          <w:sz w:val="22"/>
          <w:szCs w:val="22"/>
          <w:lang w:val="en-GB"/>
        </w:rPr>
        <w:t xml:space="preserve"> mostly in the human health sphere</w:t>
      </w:r>
      <w:r w:rsidRPr="00BF57FF" w:rsidR="006345AD">
        <w:rPr>
          <w:rFonts w:ascii="Arial" w:hAnsi="Arial" w:cs="Arial"/>
          <w:sz w:val="22"/>
          <w:szCs w:val="22"/>
          <w:lang w:val="en-GB"/>
        </w:rPr>
        <w:t>,</w:t>
      </w:r>
      <w:r w:rsidRPr="00BF57FF">
        <w:rPr>
          <w:rFonts w:ascii="Arial" w:hAnsi="Arial" w:cs="Arial"/>
          <w:sz w:val="22"/>
          <w:szCs w:val="22"/>
          <w:lang w:val="en-GB"/>
        </w:rPr>
        <w:t xml:space="preserve"> community education systems, CHW capacity, and the relationships of trust between the exposed and effective care. Theme 3 indicates failures within the human health system and the governance sphere supply chain, resource distribution, and political prioritisation. Theme 4 indicates </w:t>
      </w:r>
      <w:r w:rsidRPr="00BF57FF" w:rsidR="006345AD">
        <w:rPr>
          <w:rFonts w:ascii="Arial" w:hAnsi="Arial" w:cs="Arial"/>
          <w:sz w:val="22"/>
          <w:szCs w:val="22"/>
          <w:lang w:val="en-GB"/>
        </w:rPr>
        <w:t xml:space="preserve">the </w:t>
      </w:r>
      <w:r w:rsidRPr="00BF57FF">
        <w:rPr>
          <w:rFonts w:ascii="Arial" w:hAnsi="Arial" w:cs="Arial"/>
          <w:sz w:val="22"/>
          <w:szCs w:val="22"/>
          <w:lang w:val="en-GB"/>
        </w:rPr>
        <w:t>collapse of the cross-sectoral monitoring infrastructure</w:t>
      </w:r>
      <w:r w:rsidRPr="00BF57FF" w:rsidR="006345AD">
        <w:rPr>
          <w:rFonts w:ascii="Arial" w:hAnsi="Arial" w:cs="Arial"/>
          <w:sz w:val="22"/>
          <w:szCs w:val="22"/>
          <w:lang w:val="en-GB"/>
        </w:rPr>
        <w:t>,</w:t>
      </w:r>
      <w:r w:rsidRPr="00BF57FF">
        <w:rPr>
          <w:rFonts w:ascii="Arial" w:hAnsi="Arial" w:cs="Arial"/>
          <w:sz w:val="22"/>
          <w:szCs w:val="22"/>
          <w:lang w:val="en-GB"/>
        </w:rPr>
        <w:t xml:space="preserve"> without which One Health cannot be an integrated system. This distributional analysis suggests that treatment of any of the themes alone makes the system structurally incomplete: better knowledge of the community without the reliable supply of PEP will raise demand </w:t>
      </w:r>
      <w:r w:rsidRPr="00BF57FF" w:rsidR="006345AD">
        <w:rPr>
          <w:rFonts w:ascii="Arial" w:hAnsi="Arial" w:cs="Arial"/>
          <w:sz w:val="22"/>
          <w:szCs w:val="22"/>
          <w:lang w:val="en-GB"/>
        </w:rPr>
        <w:t>for</w:t>
      </w:r>
      <w:r w:rsidRPr="00BF57FF">
        <w:rPr>
          <w:rFonts w:ascii="Arial" w:hAnsi="Arial" w:cs="Arial"/>
          <w:sz w:val="22"/>
          <w:szCs w:val="22"/>
          <w:lang w:val="en-GB"/>
        </w:rPr>
        <w:t xml:space="preserve"> a service that cannot be reliably provided; better supply without surveillance will not be able to verify its effect.</w:t>
      </w:r>
    </w:p>
    <w:p w:rsidRPr="00BF57FF" w:rsidR="00A4702F" w:rsidP="00A70BBB" w:rsidRDefault="0075442E" w14:paraId="1D55A921" w14:textId="6CB6BA28">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The operationalisation of One Health barriers in India </w:t>
      </w:r>
      <w:r w:rsidRPr="00BF57FF" w:rsidR="006345AD">
        <w:rPr>
          <w:rFonts w:ascii="Arial" w:hAnsi="Arial" w:cs="Arial"/>
          <w:sz w:val="22"/>
          <w:szCs w:val="22"/>
          <w:lang w:val="en-GB"/>
        </w:rPr>
        <w:t>is</w:t>
      </w:r>
      <w:r w:rsidRPr="00BF57FF">
        <w:rPr>
          <w:rFonts w:ascii="Arial" w:hAnsi="Arial" w:cs="Arial"/>
          <w:sz w:val="22"/>
          <w:szCs w:val="22"/>
          <w:lang w:val="en-GB"/>
        </w:rPr>
        <w:t xml:space="preserve"> empirically recorded. Silos of ministerial responsibility, lack of information sharing across sectors, and the lack of formal coordination outside of outbreak response are also persistent barriers (Asaaga et al., 2021; Yasobant et al., 2021; Taaffe et al., 2023). The Goa programme is, so far, the only evidence specific to India that these barriers can be overcome at scale, and it was done by explicit design, which entailed the inclusion of cross-sectoral coordination in an operational programme and not as an aspirational policy (Gibson et al., 2022). Fitzpatrick et al. (2016) present the economic model that shows that this coordinated investment is better than PEP-only strategies in terms of WHO cost-effectiveness levels.</w:t>
      </w:r>
    </w:p>
    <w:p w:rsidRPr="00BF57FF" w:rsidR="00A4702F" w:rsidP="00A70BBB" w:rsidRDefault="00072FD1" w14:paraId="7A462463" w14:textId="06213A38">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The Zero by 30 goal (World Health Organization, 2018a) of 2030 is roughly four years away: the target does not need any incremental change in the programme but a systemic investment in all four areas of failure. </w:t>
      </w:r>
      <w:r w:rsidRPr="00BF57FF" w:rsidR="00F962E8">
        <w:rPr>
          <w:rFonts w:ascii="Arial" w:hAnsi="Arial" w:cs="Arial"/>
          <w:sz w:val="22"/>
          <w:szCs w:val="22"/>
          <w:lang w:val="en-GB"/>
        </w:rPr>
        <w:t xml:space="preserve">Dasgupta and Roy (2023) argue that catalytic One Health response — not piecemeal technical improvements — is the essential condition for India to meet the elimination target through NAPRE. </w:t>
      </w:r>
      <w:r w:rsidRPr="00BF57FF">
        <w:rPr>
          <w:rFonts w:ascii="Arial" w:hAnsi="Arial" w:cs="Arial"/>
          <w:sz w:val="22"/>
          <w:szCs w:val="22"/>
          <w:lang w:val="en-GB"/>
        </w:rPr>
        <w:t>The findings of this review indicate that lasting improvement needs political investments to deal with structural failures of governance, such as non-notifiability, supply chain responsibility, CHW training infrastructure and inter-sectoral coordination, instead of technical programme-specific refinements.</w:t>
      </w:r>
    </w:p>
    <w:p w:rsidRPr="00BF57FF" w:rsidR="00D371C9" w:rsidP="00A70BBB" w:rsidRDefault="00D371C9" w14:paraId="4A28F4D8" w14:textId="69D9EC39">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noProof/>
          <w:sz w:val="22"/>
          <w:szCs w:val="22"/>
          <w:lang w:val="en-GB"/>
        </w:rPr>
        <w:drawing>
          <wp:inline distT="0" distB="0" distL="0" distR="0" wp14:anchorId="0CB061E2" wp14:editId="6DC3B7E9">
            <wp:extent cx="5731510" cy="5970905"/>
            <wp:effectExtent l="0" t="0" r="2540" b="0"/>
            <wp:docPr id="1395434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434704" name=""/>
                    <pic:cNvPicPr/>
                  </pic:nvPicPr>
                  <pic:blipFill>
                    <a:blip r:embed="rId16"/>
                    <a:stretch>
                      <a:fillRect/>
                    </a:stretch>
                  </pic:blipFill>
                  <pic:spPr>
                    <a:xfrm>
                      <a:off x="0" y="0"/>
                      <a:ext cx="5731510" cy="5970905"/>
                    </a:xfrm>
                    <a:prstGeom prst="rect">
                      <a:avLst/>
                    </a:prstGeom>
                  </pic:spPr>
                </pic:pic>
              </a:graphicData>
            </a:graphic>
          </wp:inline>
        </w:drawing>
      </w:r>
    </w:p>
    <w:p w:rsidRPr="00BF57FF" w:rsidR="00A4702F" w:rsidP="00A70BBB" w:rsidRDefault="001A1317" w14:paraId="6FEEDC27" w14:textId="24CCBA7F">
      <w:pPr>
        <w:pStyle w:val="Caption"/>
        <w:spacing w:line="360" w:lineRule="auto"/>
        <w:jc w:val="both"/>
        <w:rPr>
          <w:rFonts w:ascii="Arial" w:hAnsi="Arial" w:cs="Arial"/>
          <w:sz w:val="22"/>
          <w:szCs w:val="22"/>
        </w:rPr>
      </w:pPr>
      <w:bookmarkStart w:name="_Toc231243052" w:id="104"/>
      <w:bookmarkStart w:name="_Toc231244434" w:id="105"/>
      <w:r w:rsidRPr="00BF57FF">
        <w:rPr>
          <w:rFonts w:ascii="Arial" w:hAnsi="Arial" w:cs="Arial"/>
          <w:sz w:val="22"/>
          <w:szCs w:val="22"/>
        </w:rPr>
        <w:t>Figure 5</w:t>
      </w:r>
      <w:r w:rsidRPr="00BF57FF" w:rsidR="004D6273">
        <w:rPr>
          <w:rFonts w:ascii="Arial" w:hAnsi="Arial" w:cs="Arial"/>
          <w:sz w:val="22"/>
          <w:szCs w:val="22"/>
        </w:rPr>
        <w:t>.</w:t>
      </w:r>
      <w:r w:rsidRPr="00BF57FF">
        <w:rPr>
          <w:rFonts w:ascii="Arial" w:hAnsi="Arial" w:cs="Arial"/>
          <w:sz w:val="22"/>
          <w:szCs w:val="22"/>
        </w:rPr>
        <w:fldChar w:fldCharType="begin"/>
      </w:r>
      <w:r w:rsidRPr="00BF57FF">
        <w:rPr>
          <w:rFonts w:ascii="Arial" w:hAnsi="Arial" w:cs="Arial"/>
          <w:sz w:val="22"/>
          <w:szCs w:val="22"/>
        </w:rPr>
        <w:instrText xml:space="preserve"> SEQ Figure_5 \* ARABIC </w:instrText>
      </w:r>
      <w:r w:rsidRPr="00BF57FF">
        <w:rPr>
          <w:rFonts w:ascii="Arial" w:hAnsi="Arial" w:cs="Arial"/>
          <w:sz w:val="22"/>
          <w:szCs w:val="22"/>
        </w:rPr>
        <w:fldChar w:fldCharType="separate"/>
      </w:r>
      <w:r w:rsidRPr="00BF57FF">
        <w:rPr>
          <w:rFonts w:ascii="Arial" w:hAnsi="Arial" w:cs="Arial"/>
          <w:noProof/>
          <w:sz w:val="22"/>
          <w:szCs w:val="22"/>
        </w:rPr>
        <w:t>1</w:t>
      </w:r>
      <w:r w:rsidRPr="00BF57FF">
        <w:rPr>
          <w:rFonts w:ascii="Arial" w:hAnsi="Arial" w:cs="Arial"/>
          <w:noProof/>
          <w:sz w:val="22"/>
          <w:szCs w:val="22"/>
        </w:rPr>
        <w:fldChar w:fldCharType="end"/>
      </w:r>
      <w:r w:rsidRPr="00BF57FF">
        <w:rPr>
          <w:rFonts w:ascii="Arial" w:hAnsi="Arial" w:cs="Arial"/>
          <w:sz w:val="22"/>
          <w:szCs w:val="22"/>
        </w:rPr>
        <w:t xml:space="preserve"> </w:t>
      </w:r>
      <w:r w:rsidRPr="00BF57FF" w:rsidR="004B21B6">
        <w:rPr>
          <w:rFonts w:ascii="Arial" w:hAnsi="Arial" w:cs="Arial"/>
          <w:sz w:val="22"/>
          <w:szCs w:val="22"/>
        </w:rPr>
        <w:t>Multilevel Barriers to Rabies Elimination in India Across the One Health Framework</w:t>
      </w:r>
      <w:bookmarkEnd w:id="104"/>
      <w:bookmarkEnd w:id="105"/>
    </w:p>
    <w:p w:rsidRPr="00BF57FF" w:rsidR="00A4702F" w:rsidP="00A70BBB" w:rsidRDefault="00A4702F" w14:paraId="3980BD7A" w14:textId="77777777">
      <w:pPr>
        <w:pStyle w:val="Heading2"/>
        <w:spacing w:line="360" w:lineRule="auto"/>
        <w:jc w:val="both"/>
        <w:rPr>
          <w:rFonts w:ascii="Arial" w:hAnsi="Arial" w:cs="Arial"/>
          <w:sz w:val="22"/>
        </w:rPr>
      </w:pPr>
      <w:bookmarkStart w:name="_Toc231005884" w:id="106"/>
      <w:bookmarkStart w:name="_Toc231298598" w:id="107"/>
      <w:r w:rsidRPr="00BF57FF">
        <w:rPr>
          <w:rFonts w:ascii="Arial" w:hAnsi="Arial" w:cs="Arial"/>
          <w:sz w:val="22"/>
        </w:rPr>
        <w:t>5.7 Limitations of this Review</w:t>
      </w:r>
      <w:bookmarkEnd w:id="106"/>
      <w:bookmarkEnd w:id="107"/>
    </w:p>
    <w:p w:rsidRPr="00BF57FF" w:rsidR="00A4702F" w:rsidP="00A70BBB" w:rsidRDefault="009A6E72" w14:paraId="1AF1CE29" w14:textId="45D82F49">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This review is not without its limitations that would qualify the interpretation of its findings. Scoring and data extraction were all performed by one reviewer without independent checks, introducing the possibility of selection and extraction bias. The evidence that was included is methodologically </w:t>
      </w:r>
      <w:r w:rsidRPr="00BF57FF" w:rsidR="006345AD">
        <w:rPr>
          <w:rFonts w:ascii="Arial" w:hAnsi="Arial" w:cs="Arial"/>
          <w:sz w:val="22"/>
          <w:szCs w:val="22"/>
          <w:lang w:val="en-GB"/>
        </w:rPr>
        <w:t>heterogeneous</w:t>
      </w:r>
      <w:r w:rsidRPr="00BF57FF">
        <w:rPr>
          <w:rFonts w:ascii="Arial" w:hAnsi="Arial" w:cs="Arial"/>
          <w:sz w:val="22"/>
          <w:szCs w:val="22"/>
          <w:lang w:val="en-GB"/>
        </w:rPr>
        <w:t xml:space="preserve">, and it consists of cross-sectional surveys, historical reviews, surveillance appraisals, a SWOT analysis, and a global burden model, which do not allow direct cross-study comparability and exclude quantitative meta-analysis. Three of them were not India-specific but global in </w:t>
      </w:r>
      <w:r w:rsidRPr="00BF57FF">
        <w:rPr>
          <w:rFonts w:ascii="Arial" w:hAnsi="Arial" w:cs="Arial"/>
          <w:sz w:val="22"/>
          <w:szCs w:val="22"/>
          <w:lang w:val="en-GB"/>
        </w:rPr>
        <w:t>their scope, which can provide an ecological fallacy in case global trends do not simply apply to the Indian context. Research was mostly done in a hospital-based or accessible context, which may underrepresent the most marginalised rural groups</w:t>
      </w:r>
      <w:r w:rsidRPr="00BF57FF" w:rsidR="00E815CF">
        <w:rPr>
          <w:rFonts w:ascii="Arial" w:hAnsi="Arial" w:cs="Arial"/>
          <w:sz w:val="22"/>
          <w:szCs w:val="22"/>
          <w:lang w:val="en-GB"/>
        </w:rPr>
        <w:t>,</w:t>
      </w:r>
      <w:r w:rsidRPr="00BF57FF">
        <w:rPr>
          <w:rFonts w:ascii="Arial" w:hAnsi="Arial" w:cs="Arial"/>
          <w:sz w:val="22"/>
          <w:szCs w:val="22"/>
          <w:lang w:val="en-GB"/>
        </w:rPr>
        <w:t xml:space="preserve"> where the barriers may be </w:t>
      </w:r>
      <w:r w:rsidRPr="00BF57FF" w:rsidR="006345AD">
        <w:rPr>
          <w:rFonts w:ascii="Arial" w:hAnsi="Arial" w:cs="Arial"/>
          <w:sz w:val="22"/>
          <w:szCs w:val="22"/>
          <w:lang w:val="en-GB"/>
        </w:rPr>
        <w:t>worse</w:t>
      </w:r>
      <w:r w:rsidRPr="00BF57FF">
        <w:rPr>
          <w:rFonts w:ascii="Arial" w:hAnsi="Arial" w:cs="Arial"/>
          <w:sz w:val="22"/>
          <w:szCs w:val="22"/>
          <w:lang w:val="en-GB"/>
        </w:rPr>
        <w:t>. Lastly, it is possible that publication bias implies that better-resourced settings achieve better results</w:t>
      </w:r>
      <w:r w:rsidRPr="00BF57FF" w:rsidR="00E815CF">
        <w:rPr>
          <w:rFonts w:ascii="Arial" w:hAnsi="Arial" w:cs="Arial"/>
          <w:sz w:val="22"/>
          <w:szCs w:val="22"/>
          <w:lang w:val="en-GB"/>
        </w:rPr>
        <w:t>,</w:t>
      </w:r>
      <w:r w:rsidRPr="00BF57FF">
        <w:rPr>
          <w:rFonts w:ascii="Arial" w:hAnsi="Arial" w:cs="Arial"/>
          <w:sz w:val="22"/>
          <w:szCs w:val="22"/>
          <w:lang w:val="en-GB"/>
        </w:rPr>
        <w:t xml:space="preserve"> which are over-represented in the literature</w:t>
      </w:r>
      <w:r w:rsidRPr="00BF57FF" w:rsidR="00E815CF">
        <w:rPr>
          <w:rFonts w:ascii="Arial" w:hAnsi="Arial" w:cs="Arial"/>
          <w:sz w:val="22"/>
          <w:szCs w:val="22"/>
          <w:lang w:val="en-GB"/>
        </w:rPr>
        <w:t>,</w:t>
      </w:r>
      <w:r w:rsidRPr="00BF57FF">
        <w:rPr>
          <w:rFonts w:ascii="Arial" w:hAnsi="Arial" w:cs="Arial"/>
          <w:sz w:val="22"/>
          <w:szCs w:val="22"/>
          <w:lang w:val="en-GB"/>
        </w:rPr>
        <w:t xml:space="preserve"> whereas failure in the most remote settings may go undocumented.</w:t>
      </w:r>
    </w:p>
    <w:p w:rsidRPr="00BF57FF" w:rsidR="00A4702F" w:rsidP="00A70BBB" w:rsidRDefault="00A4702F" w14:paraId="497EB065" w14:textId="066C4D43">
      <w:pPr>
        <w:pStyle w:val="font-claude-response-body"/>
        <w:spacing w:before="0" w:beforeAutospacing="0" w:after="152" w:afterAutospacing="0" w:line="360" w:lineRule="auto"/>
        <w:jc w:val="both"/>
        <w:rPr>
          <w:rFonts w:ascii="Arial" w:hAnsi="Arial" w:cs="Arial"/>
          <w:sz w:val="22"/>
          <w:szCs w:val="22"/>
          <w:lang w:val="en-GB"/>
        </w:rPr>
      </w:pPr>
      <w:r w:rsidRPr="00BF57FF">
        <w:rPr>
          <w:rStyle w:val="Emphasis"/>
          <w:rFonts w:ascii="Arial" w:hAnsi="Arial" w:cs="Arial"/>
          <w:sz w:val="22"/>
          <w:szCs w:val="22"/>
          <w:lang w:val="en-GB"/>
        </w:rPr>
        <w:t xml:space="preserve">The </w:t>
      </w:r>
      <w:r w:rsidRPr="00BF57FF" w:rsidR="00216609">
        <w:rPr>
          <w:rFonts w:ascii="Arial" w:hAnsi="Arial" w:cs="Arial"/>
          <w:i/>
          <w:iCs/>
          <w:sz w:val="22"/>
          <w:szCs w:val="22"/>
          <w:lang w:val="en-GB"/>
        </w:rPr>
        <w:t xml:space="preserve">next chapter is the conclusions of the present dissertation, which directly </w:t>
      </w:r>
      <w:r w:rsidRPr="00BF57FF" w:rsidR="00E815CF">
        <w:rPr>
          <w:rFonts w:ascii="Arial" w:hAnsi="Arial" w:cs="Arial"/>
          <w:i/>
          <w:iCs/>
          <w:sz w:val="22"/>
          <w:szCs w:val="22"/>
          <w:lang w:val="en-GB"/>
        </w:rPr>
        <w:t>address</w:t>
      </w:r>
      <w:r w:rsidRPr="00BF57FF" w:rsidR="00216609">
        <w:rPr>
          <w:rFonts w:ascii="Arial" w:hAnsi="Arial" w:cs="Arial"/>
          <w:i/>
          <w:iCs/>
          <w:sz w:val="22"/>
          <w:szCs w:val="22"/>
          <w:lang w:val="en-GB"/>
        </w:rPr>
        <w:t xml:space="preserve"> the research question, </w:t>
      </w:r>
      <w:r w:rsidRPr="00BF57FF" w:rsidR="00260B40">
        <w:rPr>
          <w:rFonts w:ascii="Arial" w:hAnsi="Arial" w:cs="Arial"/>
          <w:i/>
          <w:iCs/>
          <w:sz w:val="22"/>
          <w:szCs w:val="22"/>
          <w:lang w:val="en-GB"/>
        </w:rPr>
        <w:t>formulate</w:t>
      </w:r>
      <w:r w:rsidRPr="00BF57FF" w:rsidR="00216609">
        <w:rPr>
          <w:rFonts w:ascii="Arial" w:hAnsi="Arial" w:cs="Arial"/>
          <w:i/>
          <w:iCs/>
          <w:sz w:val="22"/>
          <w:szCs w:val="22"/>
          <w:lang w:val="en-GB"/>
        </w:rPr>
        <w:t xml:space="preserve"> policy implications and recommendations, the priorities of future research, and a critical reflection on learning and personal growth as a result of this investigation. </w:t>
      </w:r>
    </w:p>
    <w:p w:rsidRPr="00BF57FF" w:rsidR="004419E6" w:rsidP="00A70BBB" w:rsidRDefault="004419E6" w14:paraId="7B39A033" w14:textId="77777777">
      <w:pPr>
        <w:spacing w:line="360" w:lineRule="auto"/>
        <w:jc w:val="both"/>
        <w:rPr>
          <w:rStyle w:val="Strong"/>
          <w:rFonts w:ascii="Arial" w:hAnsi="Arial" w:eastAsia="Times New Roman" w:cs="Arial"/>
          <w:bCs w:val="0"/>
          <w:color w:val="000000"/>
        </w:rPr>
      </w:pPr>
      <w:bookmarkStart w:name="_Toc231005828" w:id="108"/>
      <w:bookmarkStart w:name="_Toc231005885" w:id="109"/>
      <w:r w:rsidRPr="00BF57FF">
        <w:rPr>
          <w:rStyle w:val="Strong"/>
          <w:rFonts w:ascii="Arial" w:hAnsi="Arial" w:cs="Arial"/>
          <w:b w:val="0"/>
          <w:bCs w:val="0"/>
        </w:rPr>
        <w:br w:type="page"/>
      </w:r>
    </w:p>
    <w:p w:rsidRPr="00BF57FF" w:rsidR="00186AD5" w:rsidP="00A70BBB" w:rsidRDefault="00186AD5" w14:paraId="2403DD83" w14:textId="05146A2B">
      <w:pPr>
        <w:pStyle w:val="Heading1"/>
        <w:spacing w:line="360" w:lineRule="auto"/>
        <w:jc w:val="both"/>
        <w:rPr>
          <w:rStyle w:val="Strong"/>
          <w:rFonts w:ascii="Arial" w:hAnsi="Arial" w:cs="Arial"/>
          <w:b/>
          <w:bCs w:val="0"/>
          <w:sz w:val="22"/>
        </w:rPr>
      </w:pPr>
      <w:bookmarkStart w:name="_Toc231298599" w:id="110"/>
      <w:r w:rsidRPr="00BF57FF">
        <w:rPr>
          <w:rStyle w:val="Strong"/>
          <w:rFonts w:ascii="Arial" w:hAnsi="Arial" w:cs="Arial"/>
          <w:b/>
          <w:bCs w:val="0"/>
          <w:sz w:val="22"/>
        </w:rPr>
        <w:t>CHAPTER 6: CONCLUSION</w:t>
      </w:r>
      <w:bookmarkEnd w:id="108"/>
      <w:bookmarkEnd w:id="109"/>
      <w:bookmarkEnd w:id="110"/>
    </w:p>
    <w:p w:rsidRPr="00BF57FF" w:rsidR="00186AD5" w:rsidP="00A70BBB" w:rsidRDefault="00186AD5" w14:paraId="4355AAF4" w14:textId="77777777">
      <w:pPr>
        <w:pStyle w:val="Heading2"/>
        <w:spacing w:line="360" w:lineRule="auto"/>
        <w:jc w:val="both"/>
        <w:rPr>
          <w:rFonts w:ascii="Arial" w:hAnsi="Arial" w:cs="Arial"/>
          <w:sz w:val="22"/>
        </w:rPr>
      </w:pPr>
      <w:bookmarkStart w:name="_Toc231005886" w:id="111"/>
      <w:bookmarkStart w:name="_Toc231298600" w:id="112"/>
      <w:r w:rsidRPr="00BF57FF">
        <w:rPr>
          <w:rFonts w:ascii="Arial" w:hAnsi="Arial" w:cs="Arial"/>
          <w:sz w:val="22"/>
        </w:rPr>
        <w:t>6.1 Summary of Key Findings</w:t>
      </w:r>
      <w:bookmarkEnd w:id="111"/>
      <w:bookmarkEnd w:id="112"/>
    </w:p>
    <w:p w:rsidRPr="00BF57FF" w:rsidR="00186AD5" w:rsidP="00A70BBB" w:rsidRDefault="00FD7714" w14:paraId="488C2D9A" w14:textId="1D46E6A1">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This systematic review combined the findings of twelve peer-reviewed articles to understand the barriers to effective rabies surveillance and treatment in India, and four inductively derived themes were identified that would characterise together the structural and operational context in which preventable deaths due to rabies are replicated.</w:t>
      </w:r>
    </w:p>
    <w:p w:rsidRPr="00BF57FF" w:rsidR="00186AD5" w:rsidP="00A70BBB" w:rsidRDefault="00186AD5" w14:paraId="44BE5A6A" w14:textId="6F5D7D33">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Theme 1</w:t>
      </w:r>
      <w:r w:rsidRPr="00BF57FF" w:rsidR="00435105">
        <w:rPr>
          <w:rFonts w:ascii="Arial" w:hAnsi="Arial" w:cs="Arial"/>
          <w:sz w:val="22"/>
          <w:szCs w:val="22"/>
          <w:lang w:val="en-GB"/>
        </w:rPr>
        <w:t>:</w:t>
      </w:r>
      <w:r w:rsidRPr="00BF57FF" w:rsidR="0011656B">
        <w:rPr>
          <w:rFonts w:ascii="Arial" w:hAnsi="Arial" w:cs="Arial"/>
          <w:sz w:val="22"/>
          <w:szCs w:val="22"/>
          <w:lang w:val="en-GB"/>
        </w:rPr>
        <w:t xml:space="preserve"> </w:t>
      </w:r>
      <w:r w:rsidRPr="00BF57FF" w:rsidR="001B7630">
        <w:rPr>
          <w:rFonts w:ascii="Arial" w:hAnsi="Arial" w:cs="Arial"/>
          <w:sz w:val="22"/>
          <w:szCs w:val="22"/>
          <w:lang w:val="en-GB"/>
        </w:rPr>
        <w:t xml:space="preserve">Community Knowledge Gaps and Risk Perception Deficits - reported significant and </w:t>
      </w:r>
      <w:r w:rsidRPr="00BF57FF" w:rsidR="002E007C">
        <w:rPr>
          <w:rFonts w:ascii="Arial" w:hAnsi="Arial" w:cs="Arial"/>
          <w:sz w:val="22"/>
          <w:szCs w:val="22"/>
          <w:lang w:val="en-GB"/>
        </w:rPr>
        <w:t xml:space="preserve">consistently documented </w:t>
      </w:r>
      <w:r w:rsidRPr="00BF57FF" w:rsidR="001B7630">
        <w:rPr>
          <w:rFonts w:ascii="Arial" w:hAnsi="Arial" w:cs="Arial"/>
          <w:sz w:val="22"/>
          <w:szCs w:val="22"/>
          <w:lang w:val="en-GB"/>
        </w:rPr>
        <w:t>knowledge gaps about the transmission of rabies, bite management and treatment protocols among urban and rural Indian populations, and most importantly, among community health workers charged with frontline prevention duties. These gaps are found in the most socially and economically marginalised communities, indicating the distributional logic of structural disadvantage, as opposed to haphazard informational inaccessibility.</w:t>
      </w:r>
    </w:p>
    <w:p w:rsidRPr="00BF57FF" w:rsidR="00186AD5" w:rsidP="00A70BBB" w:rsidRDefault="00186AD5" w14:paraId="559F7CCF" w14:textId="32659B7A">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Theme 2</w:t>
      </w:r>
      <w:r w:rsidRPr="00BF57FF" w:rsidR="00435105">
        <w:rPr>
          <w:rFonts w:ascii="Arial" w:hAnsi="Arial" w:cs="Arial"/>
          <w:sz w:val="22"/>
          <w:szCs w:val="22"/>
          <w:lang w:val="en-GB"/>
        </w:rPr>
        <w:t>:</w:t>
      </w:r>
      <w:r w:rsidRPr="00BF57FF">
        <w:rPr>
          <w:rFonts w:ascii="Arial" w:hAnsi="Arial" w:cs="Arial"/>
          <w:sz w:val="22"/>
          <w:szCs w:val="22"/>
          <w:lang w:val="en-GB"/>
        </w:rPr>
        <w:t xml:space="preserve"> </w:t>
      </w:r>
      <w:r w:rsidRPr="00BF57FF" w:rsidR="004D4A7E">
        <w:rPr>
          <w:rFonts w:ascii="Arial" w:hAnsi="Arial" w:cs="Arial"/>
          <w:sz w:val="22"/>
          <w:szCs w:val="22"/>
          <w:lang w:val="en-GB"/>
        </w:rPr>
        <w:t xml:space="preserve">Traditional Medicine Use as a Structural Barrier recorded the </w:t>
      </w:r>
      <w:r w:rsidRPr="00BF57FF" w:rsidR="00260B40">
        <w:rPr>
          <w:rFonts w:ascii="Arial" w:hAnsi="Arial" w:cs="Arial"/>
          <w:sz w:val="22"/>
          <w:szCs w:val="22"/>
          <w:lang w:val="en-GB"/>
        </w:rPr>
        <w:t>organised</w:t>
      </w:r>
      <w:r w:rsidRPr="00BF57FF" w:rsidR="004D4A7E">
        <w:rPr>
          <w:rFonts w:ascii="Arial" w:hAnsi="Arial" w:cs="Arial"/>
          <w:sz w:val="22"/>
          <w:szCs w:val="22"/>
          <w:lang w:val="en-GB"/>
        </w:rPr>
        <w:t xml:space="preserve"> application of plant-based and ritual wound care after animal bites, which is linked to a late onset of PEP and contamination of wounds. The structural barricade of traditional medicine use is perpetuated by the apparent success rate created by the low baseline transmission probability (Hampson et al., 2009), and by the structural inaccessibility of biomedical options, which re-frames it as a governance issue, not as an individual behavioural failure. </w:t>
      </w:r>
    </w:p>
    <w:p w:rsidRPr="00BF57FF" w:rsidR="00186AD5" w:rsidP="00A70BBB" w:rsidRDefault="00186AD5" w14:paraId="6283E50B" w14:textId="1D0426F9">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Theme 3</w:t>
      </w:r>
      <w:r w:rsidRPr="00BF57FF" w:rsidR="00435105">
        <w:rPr>
          <w:rFonts w:ascii="Arial" w:hAnsi="Arial" w:cs="Arial"/>
          <w:sz w:val="22"/>
          <w:szCs w:val="22"/>
          <w:lang w:val="en-GB"/>
        </w:rPr>
        <w:t>:</w:t>
      </w:r>
      <w:r w:rsidRPr="00BF57FF">
        <w:rPr>
          <w:rFonts w:ascii="Arial" w:hAnsi="Arial" w:cs="Arial"/>
          <w:sz w:val="22"/>
          <w:szCs w:val="22"/>
          <w:lang w:val="en-GB"/>
        </w:rPr>
        <w:t xml:space="preserve"> </w:t>
      </w:r>
      <w:r w:rsidRPr="00BF57FF" w:rsidR="00C45AA7">
        <w:rPr>
          <w:rFonts w:ascii="Arial" w:hAnsi="Arial" w:cs="Arial"/>
          <w:sz w:val="22"/>
          <w:szCs w:val="22"/>
          <w:lang w:val="en-GB"/>
        </w:rPr>
        <w:t xml:space="preserve">Health System Failures and PEP Inaccessibility — measured the system failure at the national level: a pooled PEP completion rate of 57% (Debnath et al., 2025), severe gaps in the availability of rabies immunoglobulins, the insufficient infrastructure of clinics, and knowledge gaps in CHW that </w:t>
      </w:r>
      <w:r w:rsidRPr="00BF57FF" w:rsidR="00260B40">
        <w:rPr>
          <w:rFonts w:ascii="Arial" w:hAnsi="Arial" w:cs="Arial"/>
          <w:sz w:val="22"/>
          <w:szCs w:val="22"/>
          <w:lang w:val="en-GB"/>
        </w:rPr>
        <w:t>lead</w:t>
      </w:r>
      <w:r w:rsidRPr="00BF57FF" w:rsidR="00C45AA7">
        <w:rPr>
          <w:rFonts w:ascii="Arial" w:hAnsi="Arial" w:cs="Arial"/>
          <w:sz w:val="22"/>
          <w:szCs w:val="22"/>
          <w:lang w:val="en-GB"/>
        </w:rPr>
        <w:t xml:space="preserve"> to incomplete treatment adherence. As the Goa elimination experience illustrates, these failures are </w:t>
      </w:r>
      <w:r w:rsidRPr="00BF57FF" w:rsidR="00AB7D2C">
        <w:rPr>
          <w:rFonts w:ascii="Arial" w:hAnsi="Arial" w:cs="Arial"/>
          <w:sz w:val="22"/>
          <w:szCs w:val="22"/>
          <w:lang w:val="en-GB"/>
        </w:rPr>
        <w:t xml:space="preserve">correctable </w:t>
      </w:r>
      <w:r w:rsidRPr="00BF57FF" w:rsidR="00C45AA7">
        <w:rPr>
          <w:rFonts w:ascii="Arial" w:hAnsi="Arial" w:cs="Arial"/>
          <w:sz w:val="22"/>
          <w:szCs w:val="22"/>
          <w:lang w:val="en-GB"/>
        </w:rPr>
        <w:t xml:space="preserve">governance </w:t>
      </w:r>
      <w:r w:rsidRPr="00BF57FF" w:rsidR="00AB7D2C">
        <w:rPr>
          <w:rFonts w:ascii="Arial" w:hAnsi="Arial" w:cs="Arial"/>
          <w:sz w:val="22"/>
          <w:szCs w:val="22"/>
          <w:lang w:val="en-GB"/>
        </w:rPr>
        <w:t xml:space="preserve">choices </w:t>
      </w:r>
      <w:r w:rsidRPr="00BF57FF" w:rsidR="00C45AA7">
        <w:rPr>
          <w:rFonts w:ascii="Arial" w:hAnsi="Arial" w:cs="Arial"/>
          <w:sz w:val="22"/>
          <w:szCs w:val="22"/>
          <w:lang w:val="en-GB"/>
        </w:rPr>
        <w:t xml:space="preserve">rather </w:t>
      </w:r>
      <w:r w:rsidRPr="00BF57FF" w:rsidR="00AB7D2C">
        <w:rPr>
          <w:rFonts w:ascii="Arial" w:hAnsi="Arial" w:cs="Arial"/>
          <w:sz w:val="22"/>
          <w:szCs w:val="22"/>
          <w:lang w:val="en-GB"/>
        </w:rPr>
        <w:t xml:space="preserve">than inevitable structural constraints </w:t>
      </w:r>
      <w:r w:rsidRPr="00BF57FF" w:rsidR="00C45AA7">
        <w:rPr>
          <w:rFonts w:ascii="Arial" w:hAnsi="Arial" w:cs="Arial"/>
          <w:sz w:val="22"/>
          <w:szCs w:val="22"/>
          <w:lang w:val="en-GB"/>
        </w:rPr>
        <w:t>(Gibson et al., 2022).</w:t>
      </w:r>
    </w:p>
    <w:p w:rsidRPr="00BF57FF" w:rsidR="00186AD5" w:rsidP="00A70BBB" w:rsidRDefault="00186AD5" w14:paraId="78F6BAA6" w14:textId="141BF1B0">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Theme 4</w:t>
      </w:r>
      <w:r w:rsidRPr="00BF57FF" w:rsidR="00435105">
        <w:rPr>
          <w:rFonts w:ascii="Arial" w:hAnsi="Arial" w:cs="Arial"/>
          <w:sz w:val="22"/>
          <w:szCs w:val="22"/>
          <w:lang w:val="en-GB"/>
        </w:rPr>
        <w:t>:</w:t>
      </w:r>
      <w:r w:rsidRPr="00BF57FF">
        <w:rPr>
          <w:rFonts w:ascii="Arial" w:hAnsi="Arial" w:cs="Arial"/>
          <w:sz w:val="22"/>
          <w:szCs w:val="22"/>
          <w:lang w:val="en-GB"/>
        </w:rPr>
        <w:t xml:space="preserve"> </w:t>
      </w:r>
      <w:r w:rsidRPr="00BF57FF" w:rsidR="001B44F9">
        <w:rPr>
          <w:rFonts w:ascii="Arial" w:hAnsi="Arial" w:cs="Arial"/>
          <w:sz w:val="22"/>
          <w:szCs w:val="22"/>
          <w:lang w:val="en-GB"/>
        </w:rPr>
        <w:t xml:space="preserve">Surveillance Inadequacy and Under-reporting - reported a reporting system that was typified by gross discordance between state and national data, non-notifiable disease status in most states, and limited laboratory confirmation capacity, which means that it was structurally impossible to accurately measure the burden. The actual death rates of rabies in India are far higher than official estimates, which are estimated at 5,726 </w:t>
      </w:r>
      <w:r w:rsidRPr="00BF57FF" w:rsidR="00260B40">
        <w:rPr>
          <w:rFonts w:ascii="Arial" w:hAnsi="Arial" w:cs="Arial"/>
          <w:sz w:val="22"/>
          <w:szCs w:val="22"/>
          <w:lang w:val="en-GB"/>
        </w:rPr>
        <w:t xml:space="preserve">in </w:t>
      </w:r>
      <w:r w:rsidRPr="00BF57FF" w:rsidR="001B44F9">
        <w:rPr>
          <w:rFonts w:ascii="Arial" w:hAnsi="Arial" w:cs="Arial"/>
          <w:sz w:val="22"/>
          <w:szCs w:val="22"/>
          <w:lang w:val="en-GB"/>
        </w:rPr>
        <w:t>the last national community survey (Thangaraj et al., 2025)</w:t>
      </w:r>
      <w:r w:rsidRPr="00BF57FF" w:rsidR="00260B40">
        <w:rPr>
          <w:rFonts w:ascii="Arial" w:hAnsi="Arial" w:cs="Arial"/>
          <w:sz w:val="22"/>
          <w:szCs w:val="22"/>
          <w:lang w:val="en-GB"/>
        </w:rPr>
        <w:t>,</w:t>
      </w:r>
      <w:r w:rsidRPr="00BF57FF" w:rsidR="001B44F9">
        <w:rPr>
          <w:rFonts w:ascii="Arial" w:hAnsi="Arial" w:cs="Arial"/>
          <w:sz w:val="22"/>
          <w:szCs w:val="22"/>
          <w:lang w:val="en-GB"/>
        </w:rPr>
        <w:t xml:space="preserve"> making the Zero by 30 measurement impossible without immediate reform of surveillance.</w:t>
      </w:r>
    </w:p>
    <w:p w:rsidRPr="00BF57FF" w:rsidR="00186AD5" w:rsidP="00A70BBB" w:rsidRDefault="001B44F9" w14:paraId="2C636279" w14:textId="33C8403B">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All these themes define a system where preventable deaths are not by chance but are the expected result of structural failures at the same level of operation of </w:t>
      </w:r>
      <w:r w:rsidRPr="00BF57FF" w:rsidR="00260B40">
        <w:rPr>
          <w:rFonts w:ascii="Arial" w:hAnsi="Arial" w:cs="Arial"/>
          <w:sz w:val="22"/>
          <w:szCs w:val="22"/>
          <w:lang w:val="en-GB"/>
        </w:rPr>
        <w:t xml:space="preserve">the </w:t>
      </w:r>
      <w:r w:rsidRPr="00BF57FF">
        <w:rPr>
          <w:rFonts w:ascii="Arial" w:hAnsi="Arial" w:cs="Arial"/>
          <w:sz w:val="22"/>
          <w:szCs w:val="22"/>
          <w:lang w:val="en-GB"/>
        </w:rPr>
        <w:t xml:space="preserve">community, </w:t>
      </w:r>
      <w:r w:rsidRPr="00BF57FF" w:rsidR="00260B40">
        <w:rPr>
          <w:rFonts w:ascii="Arial" w:hAnsi="Arial" w:cs="Arial"/>
          <w:sz w:val="22"/>
          <w:szCs w:val="22"/>
          <w:lang w:val="en-GB"/>
        </w:rPr>
        <w:t>health system,</w:t>
      </w:r>
      <w:r w:rsidRPr="00BF57FF">
        <w:rPr>
          <w:rFonts w:ascii="Arial" w:hAnsi="Arial" w:cs="Arial"/>
          <w:sz w:val="22"/>
          <w:szCs w:val="22"/>
          <w:lang w:val="en-GB"/>
        </w:rPr>
        <w:t xml:space="preserve"> and governance. </w:t>
      </w:r>
    </w:p>
    <w:p w:rsidRPr="00BF57FF" w:rsidR="00186AD5" w:rsidP="00A70BBB" w:rsidRDefault="00186AD5" w14:paraId="7BC592A5" w14:textId="5FDCF1BA">
      <w:pPr>
        <w:spacing w:after="152" w:line="360" w:lineRule="auto"/>
        <w:jc w:val="both"/>
        <w:rPr>
          <w:rFonts w:ascii="Arial" w:hAnsi="Arial" w:cs="Arial"/>
        </w:rPr>
      </w:pPr>
    </w:p>
    <w:p w:rsidRPr="00BF57FF" w:rsidR="00186AD5" w:rsidP="00A70BBB" w:rsidRDefault="00186AD5" w14:paraId="6597CA36" w14:textId="77777777">
      <w:pPr>
        <w:pStyle w:val="Heading2"/>
        <w:spacing w:line="360" w:lineRule="auto"/>
        <w:jc w:val="both"/>
        <w:rPr>
          <w:rFonts w:ascii="Arial" w:hAnsi="Arial" w:cs="Arial"/>
          <w:sz w:val="22"/>
        </w:rPr>
      </w:pPr>
      <w:bookmarkStart w:name="_Toc231005887" w:id="113"/>
      <w:bookmarkStart w:name="_Toc231298601" w:id="114"/>
      <w:r w:rsidRPr="00BF57FF">
        <w:rPr>
          <w:rFonts w:ascii="Arial" w:hAnsi="Arial" w:cs="Arial"/>
          <w:sz w:val="22"/>
        </w:rPr>
        <w:t>6.2 Answering the Research Question</w:t>
      </w:r>
      <w:bookmarkEnd w:id="113"/>
      <w:bookmarkEnd w:id="114"/>
    </w:p>
    <w:p w:rsidRPr="00BF57FF" w:rsidR="00186AD5" w:rsidP="00A70BBB" w:rsidRDefault="00BD753B" w14:paraId="0B3566A4" w14:textId="3F1991F4">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The dissertation research question was: </w:t>
      </w:r>
      <w:r w:rsidRPr="00BF57FF" w:rsidR="00186AD5">
        <w:rPr>
          <w:rStyle w:val="Emphasis"/>
          <w:rFonts w:ascii="Arial" w:hAnsi="Arial" w:cs="Arial"/>
          <w:sz w:val="22"/>
          <w:szCs w:val="22"/>
          <w:lang w:val="en-GB"/>
        </w:rPr>
        <w:t xml:space="preserve">What </w:t>
      </w:r>
      <w:r w:rsidRPr="00BF57FF" w:rsidR="0006086D">
        <w:rPr>
          <w:rFonts w:ascii="Arial" w:hAnsi="Arial" w:cs="Arial"/>
          <w:i/>
          <w:iCs/>
          <w:sz w:val="22"/>
          <w:szCs w:val="22"/>
          <w:lang w:val="en-GB"/>
        </w:rPr>
        <w:t>are the community-level and health-system barriers to effective rabies surveillance and treatment in India?</w:t>
      </w:r>
    </w:p>
    <w:p w:rsidRPr="00BF57FF" w:rsidR="00186AD5" w:rsidP="00A70BBB" w:rsidRDefault="0006086D" w14:paraId="1AAF6012" w14:textId="56D471AD">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Both this systematic review and the barriers are multi-level, interdependent and structural. Knowledge gaps centralised in the most exposed and least served populations, and structural replacement of traditional medicine with biomedical care in locations where formal services are unavailable, unreliable or culturally inappropriate are the main obstacles at the community level. The main obstacles at the health-system level include supply chain failures to deliver PEP consistently, geographic and financial inaccessibility of rabies control services, CHW capacity shortages that do not allow the effective treatment of the </w:t>
      </w:r>
      <w:r w:rsidRPr="00BF57FF" w:rsidR="00C879C8">
        <w:rPr>
          <w:rFonts w:ascii="Arial" w:hAnsi="Arial" w:cs="Arial"/>
          <w:sz w:val="22"/>
          <w:szCs w:val="22"/>
          <w:lang w:val="en-GB"/>
        </w:rPr>
        <w:t>first-line</w:t>
      </w:r>
      <w:r w:rsidRPr="00BF57FF">
        <w:rPr>
          <w:rFonts w:ascii="Arial" w:hAnsi="Arial" w:cs="Arial"/>
          <w:sz w:val="22"/>
          <w:szCs w:val="22"/>
          <w:lang w:val="en-GB"/>
        </w:rPr>
        <w:t xml:space="preserve"> cases, and a surveillance system that is insufficient to reliably determine the actual burden of rabies. The interaction and reinforcement of these barriers: a system not operating properly to detect where PEP failures are concentrated needs no PEP available; the community knowledge is not available to protect without properly trained CHWs; the connection between the community exposure and biomedical treatment is broken systematically all the way through. The multi-level action should be coordinated throughout all the domains identified</w:t>
      </w:r>
      <w:r w:rsidRPr="00BF57FF" w:rsidR="00C879C8">
        <w:rPr>
          <w:rFonts w:ascii="Arial" w:hAnsi="Arial" w:cs="Arial"/>
          <w:sz w:val="22"/>
          <w:szCs w:val="22"/>
          <w:lang w:val="en-GB"/>
        </w:rPr>
        <w:t>,</w:t>
      </w:r>
      <w:r w:rsidRPr="00BF57FF">
        <w:rPr>
          <w:rFonts w:ascii="Arial" w:hAnsi="Arial" w:cs="Arial"/>
          <w:sz w:val="22"/>
          <w:szCs w:val="22"/>
          <w:lang w:val="en-GB"/>
        </w:rPr>
        <w:t xml:space="preserve"> and not one-domain interventions aimed at addressing the barrier alone.</w:t>
      </w:r>
    </w:p>
    <w:p w:rsidRPr="00BF57FF" w:rsidR="00186AD5" w:rsidP="00A70BBB" w:rsidRDefault="00186AD5" w14:paraId="550558BF" w14:textId="3A324A4E">
      <w:pPr>
        <w:spacing w:after="152" w:line="360" w:lineRule="auto"/>
        <w:jc w:val="both"/>
        <w:rPr>
          <w:rFonts w:ascii="Arial" w:hAnsi="Arial" w:cs="Arial"/>
        </w:rPr>
      </w:pPr>
    </w:p>
    <w:p w:rsidRPr="00BF57FF" w:rsidR="00186AD5" w:rsidP="00A70BBB" w:rsidRDefault="00186AD5" w14:paraId="492A78CB" w14:textId="77777777">
      <w:pPr>
        <w:pStyle w:val="Heading2"/>
        <w:spacing w:line="360" w:lineRule="auto"/>
        <w:jc w:val="both"/>
        <w:rPr>
          <w:rFonts w:ascii="Arial" w:hAnsi="Arial" w:cs="Arial"/>
          <w:sz w:val="22"/>
        </w:rPr>
      </w:pPr>
      <w:bookmarkStart w:name="_Toc231005888" w:id="115"/>
      <w:bookmarkStart w:name="_Toc231298602" w:id="116"/>
      <w:r w:rsidRPr="00BF57FF">
        <w:rPr>
          <w:rFonts w:ascii="Arial" w:hAnsi="Arial" w:cs="Arial"/>
          <w:sz w:val="22"/>
        </w:rPr>
        <w:t>6.3 Policy Implications and Recommendations</w:t>
      </w:r>
      <w:bookmarkEnd w:id="115"/>
      <w:bookmarkEnd w:id="116"/>
    </w:p>
    <w:p w:rsidRPr="00BF57FF" w:rsidR="00186AD5" w:rsidP="00A70BBB" w:rsidRDefault="002D2F8B" w14:paraId="7D68E2AD" w14:textId="0D81911D">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The synthesised evidence in this review justifies four categories of policy </w:t>
      </w:r>
      <w:r w:rsidRPr="00BF57FF" w:rsidR="00C879C8">
        <w:rPr>
          <w:rFonts w:ascii="Arial" w:hAnsi="Arial" w:cs="Arial"/>
          <w:sz w:val="22"/>
          <w:szCs w:val="22"/>
          <w:lang w:val="en-GB"/>
        </w:rPr>
        <w:t>recommendations</w:t>
      </w:r>
      <w:r w:rsidRPr="00BF57FF">
        <w:rPr>
          <w:rFonts w:ascii="Arial" w:hAnsi="Arial" w:cs="Arial"/>
          <w:sz w:val="22"/>
          <w:szCs w:val="22"/>
          <w:lang w:val="en-GB"/>
        </w:rPr>
        <w:t xml:space="preserve"> that are directly based on the identified themes.</w:t>
      </w:r>
    </w:p>
    <w:p w:rsidRPr="00BF57FF" w:rsidR="00186AD5" w:rsidP="00A70BBB" w:rsidRDefault="00C54C25" w14:paraId="3BCD0C5F" w14:textId="52AC59A6">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First, a national policy of compulsory rabies reporting should be adopted in India. </w:t>
      </w:r>
      <w:r w:rsidRPr="00BF57FF" w:rsidR="00C879C8">
        <w:rPr>
          <w:rFonts w:ascii="Arial" w:hAnsi="Arial" w:cs="Arial"/>
          <w:sz w:val="22"/>
          <w:szCs w:val="22"/>
          <w:lang w:val="en-GB"/>
        </w:rPr>
        <w:t>The structural</w:t>
      </w:r>
      <w:r w:rsidRPr="00BF57FF">
        <w:rPr>
          <w:rFonts w:ascii="Arial" w:hAnsi="Arial" w:cs="Arial"/>
          <w:sz w:val="22"/>
          <w:szCs w:val="22"/>
          <w:lang w:val="en-GB"/>
        </w:rPr>
        <w:t xml:space="preserve"> cause of failure in surveillance is the non-notifiable nature of rabies in most Indian states (Radhakrishnan et al., 2020). In the absence of mandatory reporting, it is not possible to ascertain the burden and make progress towards the NAPRE target of 75 per</w:t>
      </w:r>
      <w:r w:rsidRPr="00BF57FF" w:rsidR="00E41448">
        <w:rPr>
          <w:rFonts w:ascii="Arial" w:hAnsi="Arial" w:cs="Arial"/>
          <w:sz w:val="22"/>
          <w:szCs w:val="22"/>
          <w:lang w:val="en-GB"/>
        </w:rPr>
        <w:t xml:space="preserve"> </w:t>
      </w:r>
      <w:r w:rsidRPr="00BF57FF">
        <w:rPr>
          <w:rFonts w:ascii="Arial" w:hAnsi="Arial" w:cs="Arial"/>
          <w:sz w:val="22"/>
          <w:szCs w:val="22"/>
          <w:lang w:val="en-GB"/>
        </w:rPr>
        <w:t xml:space="preserve">cent of human rabies deaths by 2030 (National Centre for Disease Control, 2021). The notification should be supported by investing in diagnostic laboratory capacity that is outside the existing reference network. This involves state government </w:t>
      </w:r>
      <w:r w:rsidRPr="00BF57FF">
        <w:rPr>
          <w:rFonts w:ascii="Arial" w:hAnsi="Arial" w:cs="Arial"/>
          <w:sz w:val="22"/>
          <w:szCs w:val="22"/>
          <w:lang w:val="en-GB"/>
        </w:rPr>
        <w:t xml:space="preserve">measures that are integrated by the National Centre of Disease Control within the NAPRE implementation framework, with a goal of all states having to be asked to do this by 2027. </w:t>
      </w:r>
    </w:p>
    <w:p w:rsidRPr="00BF57FF" w:rsidR="00186AD5" w:rsidP="00A70BBB" w:rsidRDefault="00DB3792" w14:paraId="4460665D" w14:textId="31292567">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Second, the national-level accountability mechanisms in </w:t>
      </w:r>
      <w:r w:rsidRPr="00BF57FF" w:rsidR="00C879C8">
        <w:rPr>
          <w:rFonts w:ascii="Arial" w:hAnsi="Arial" w:cs="Arial"/>
          <w:sz w:val="22"/>
          <w:szCs w:val="22"/>
          <w:lang w:val="en-GB"/>
        </w:rPr>
        <w:t xml:space="preserve">the </w:t>
      </w:r>
      <w:r w:rsidRPr="00BF57FF">
        <w:rPr>
          <w:rFonts w:ascii="Arial" w:hAnsi="Arial" w:cs="Arial"/>
          <w:sz w:val="22"/>
          <w:szCs w:val="22"/>
          <w:lang w:val="en-GB"/>
        </w:rPr>
        <w:t xml:space="preserve">supply chain governance of rabies biologicals are necessary. The reported lack of rabies </w:t>
      </w:r>
      <w:r w:rsidRPr="00BF57FF" w:rsidR="00C879C8">
        <w:rPr>
          <w:rFonts w:ascii="Arial" w:hAnsi="Arial" w:cs="Arial"/>
          <w:sz w:val="22"/>
          <w:szCs w:val="22"/>
          <w:lang w:val="en-GB"/>
        </w:rPr>
        <w:t>immunoglobulin</w:t>
      </w:r>
      <w:r w:rsidRPr="00BF57FF">
        <w:rPr>
          <w:rFonts w:ascii="Arial" w:hAnsi="Arial" w:cs="Arial"/>
          <w:sz w:val="22"/>
          <w:szCs w:val="22"/>
          <w:lang w:val="en-GB"/>
        </w:rPr>
        <w:t xml:space="preserve"> in rural government stores </w:t>
      </w:r>
      <w:r w:rsidRPr="00BF57FF" w:rsidR="00B95B7E">
        <w:rPr>
          <w:rFonts w:ascii="Arial" w:hAnsi="Arial" w:cs="Arial"/>
          <w:sz w:val="22"/>
          <w:szCs w:val="22"/>
          <w:lang w:val="en-GB"/>
        </w:rPr>
        <w:t>constitutes</w:t>
      </w:r>
      <w:r w:rsidRPr="00BF57FF">
        <w:rPr>
          <w:rFonts w:ascii="Arial" w:hAnsi="Arial" w:cs="Arial"/>
          <w:sz w:val="22"/>
          <w:szCs w:val="22"/>
          <w:lang w:val="en-GB"/>
        </w:rPr>
        <w:t xml:space="preserve"> the right kind of procurement and logistical malfunction that could be corrected. It should be operationalised as a performance measure in district health administration by ensuring that the category III exposure victims are provided with the immunoglobulin as per the WHO standard (World Health Organization, 2018b). The responsibility of this indicator would be with State Health Departments, and procurement </w:t>
      </w:r>
      <w:r w:rsidRPr="00BF57FF" w:rsidR="00B95B7E">
        <w:rPr>
          <w:rFonts w:ascii="Arial" w:hAnsi="Arial" w:cs="Arial"/>
          <w:sz w:val="22"/>
          <w:szCs w:val="22"/>
          <w:lang w:val="en-GB"/>
        </w:rPr>
        <w:t xml:space="preserve">is </w:t>
      </w:r>
      <w:r w:rsidRPr="00BF57FF">
        <w:rPr>
          <w:rFonts w:ascii="Arial" w:hAnsi="Arial" w:cs="Arial"/>
          <w:sz w:val="22"/>
          <w:szCs w:val="22"/>
          <w:lang w:val="en-GB"/>
        </w:rPr>
        <w:t>regulated by the Central Medical Services Society under the National Health Mission supply chain framework.</w:t>
      </w:r>
    </w:p>
    <w:p w:rsidRPr="00BF57FF" w:rsidR="00186AD5" w:rsidP="00A70BBB" w:rsidRDefault="00186AD5" w14:paraId="4143CD0F" w14:textId="6B26275D">
      <w:pPr>
        <w:pStyle w:val="font-claude-response-body"/>
        <w:spacing w:before="0" w:beforeAutospacing="0" w:after="152" w:afterAutospacing="0" w:line="360" w:lineRule="auto"/>
        <w:jc w:val="both"/>
        <w:rPr>
          <w:rFonts w:ascii="Arial" w:hAnsi="Arial" w:cs="Arial"/>
          <w:sz w:val="22"/>
          <w:szCs w:val="22"/>
          <w:lang w:val="en-GB"/>
        </w:rPr>
      </w:pPr>
      <w:r w:rsidRPr="00BF57FF">
        <w:rPr>
          <w:rStyle w:val="Strong"/>
          <w:rFonts w:ascii="Arial" w:hAnsi="Arial" w:cs="Arial"/>
          <w:b w:val="0"/>
          <w:bCs w:val="0"/>
          <w:sz w:val="22"/>
          <w:szCs w:val="22"/>
          <w:lang w:val="en-GB"/>
        </w:rPr>
        <w:t>Third</w:t>
      </w:r>
      <w:r w:rsidRPr="00BF57FF">
        <w:rPr>
          <w:rFonts w:ascii="Arial" w:hAnsi="Arial" w:cs="Arial"/>
          <w:sz w:val="22"/>
          <w:szCs w:val="22"/>
          <w:lang w:val="en-GB"/>
        </w:rPr>
        <w:t xml:space="preserve">, </w:t>
      </w:r>
      <w:r w:rsidRPr="00BF57FF" w:rsidR="00931D04">
        <w:rPr>
          <w:rFonts w:ascii="Arial" w:hAnsi="Arial" w:cs="Arial"/>
          <w:sz w:val="22"/>
          <w:szCs w:val="22"/>
          <w:lang w:val="en-GB"/>
        </w:rPr>
        <w:t xml:space="preserve">CHW training on rabies prevention and bite control should be standardised, followed up, and provided in the framework of NAPRE implementation. A minimum requirement to translate frontline access into protective outcomes is an </w:t>
      </w:r>
      <w:r w:rsidRPr="00BF57FF" w:rsidR="00435105">
        <w:rPr>
          <w:rFonts w:ascii="Arial" w:hAnsi="Arial" w:cs="Arial"/>
          <w:sz w:val="22"/>
          <w:szCs w:val="22"/>
          <w:lang w:val="en-GB"/>
        </w:rPr>
        <w:t>organised</w:t>
      </w:r>
      <w:r w:rsidRPr="00BF57FF" w:rsidR="00931D04">
        <w:rPr>
          <w:rFonts w:ascii="Arial" w:hAnsi="Arial" w:cs="Arial"/>
          <w:sz w:val="22"/>
          <w:szCs w:val="22"/>
          <w:lang w:val="en-GB"/>
        </w:rPr>
        <w:t xml:space="preserve"> training programme and knowledge retention evaluation, supervisory backing and operational follow-up ability. Community women group health communication programme in rural Haryana has shown that peer-mediated messages can reach most of a rural population when based on proactive local management, and this is a model of rabies awareness at </w:t>
      </w:r>
      <w:r w:rsidRPr="00BF57FF" w:rsidR="00435105">
        <w:rPr>
          <w:rFonts w:ascii="Arial" w:hAnsi="Arial" w:cs="Arial"/>
          <w:sz w:val="22"/>
          <w:szCs w:val="22"/>
          <w:lang w:val="en-GB"/>
        </w:rPr>
        <w:t xml:space="preserve">the </w:t>
      </w:r>
      <w:r w:rsidRPr="00BF57FF" w:rsidR="00931D04">
        <w:rPr>
          <w:rFonts w:ascii="Arial" w:hAnsi="Arial" w:cs="Arial"/>
          <w:sz w:val="22"/>
          <w:szCs w:val="22"/>
          <w:lang w:val="en-GB"/>
        </w:rPr>
        <w:t xml:space="preserve">community level, which supplements CHW outreach (Kaur et al., 2017). The National Health Mission should incorporate standardised rabies training modules into the current ASHA training curriculum, and training receipt and knowledge retention </w:t>
      </w:r>
      <w:r w:rsidRPr="00BF57FF" w:rsidR="00435105">
        <w:rPr>
          <w:rFonts w:ascii="Arial" w:hAnsi="Arial" w:cs="Arial"/>
          <w:sz w:val="22"/>
          <w:szCs w:val="22"/>
          <w:lang w:val="en-GB"/>
        </w:rPr>
        <w:t xml:space="preserve">should be </w:t>
      </w:r>
      <w:r w:rsidRPr="00BF57FF" w:rsidR="00931D04">
        <w:rPr>
          <w:rFonts w:ascii="Arial" w:hAnsi="Arial" w:cs="Arial"/>
          <w:sz w:val="22"/>
          <w:szCs w:val="22"/>
          <w:lang w:val="en-GB"/>
        </w:rPr>
        <w:t>evaluated based on ASHA district-level annual competency reviews.</w:t>
      </w:r>
    </w:p>
    <w:p w:rsidRPr="00BF57FF" w:rsidR="00186AD5" w:rsidP="00A70BBB" w:rsidRDefault="00186AD5" w14:paraId="611E9908" w14:textId="2EC80EE8">
      <w:pPr>
        <w:pStyle w:val="font-claude-response-body"/>
        <w:spacing w:before="0" w:beforeAutospacing="0" w:after="152" w:afterAutospacing="0" w:line="360" w:lineRule="auto"/>
        <w:jc w:val="both"/>
        <w:rPr>
          <w:rFonts w:ascii="Arial" w:hAnsi="Arial" w:cs="Arial"/>
          <w:sz w:val="22"/>
          <w:szCs w:val="22"/>
          <w:lang w:val="en-GB"/>
        </w:rPr>
      </w:pPr>
      <w:r w:rsidRPr="00BF57FF">
        <w:rPr>
          <w:rStyle w:val="Strong"/>
          <w:rFonts w:ascii="Arial" w:hAnsi="Arial" w:cs="Arial"/>
          <w:b w:val="0"/>
          <w:bCs w:val="0"/>
          <w:sz w:val="22"/>
          <w:szCs w:val="22"/>
          <w:lang w:val="en-GB"/>
        </w:rPr>
        <w:t>Fourth</w:t>
      </w:r>
      <w:r w:rsidRPr="00BF57FF">
        <w:rPr>
          <w:rFonts w:ascii="Arial" w:hAnsi="Arial" w:cs="Arial"/>
          <w:sz w:val="22"/>
          <w:szCs w:val="22"/>
          <w:lang w:val="en-GB"/>
        </w:rPr>
        <w:t xml:space="preserve">, </w:t>
      </w:r>
      <w:r w:rsidRPr="00BF57FF" w:rsidR="00287E3E">
        <w:rPr>
          <w:rFonts w:ascii="Arial" w:hAnsi="Arial" w:cs="Arial"/>
          <w:sz w:val="22"/>
          <w:szCs w:val="22"/>
          <w:lang w:val="en-GB"/>
        </w:rPr>
        <w:t>structural determinants of health-seeking behaviour</w:t>
      </w:r>
      <w:r w:rsidRPr="00BF57FF" w:rsidR="00435105">
        <w:rPr>
          <w:rFonts w:ascii="Arial" w:hAnsi="Arial" w:cs="Arial"/>
          <w:sz w:val="22"/>
          <w:szCs w:val="22"/>
          <w:lang w:val="en-GB"/>
        </w:rPr>
        <w:t>,</w:t>
      </w:r>
      <w:r w:rsidRPr="00BF57FF" w:rsidR="00287E3E">
        <w:rPr>
          <w:rFonts w:ascii="Arial" w:hAnsi="Arial" w:cs="Arial"/>
          <w:sz w:val="22"/>
          <w:szCs w:val="22"/>
          <w:lang w:val="en-GB"/>
        </w:rPr>
        <w:t xml:space="preserve"> instead of information deficits alone</w:t>
      </w:r>
      <w:r w:rsidRPr="00BF57FF" w:rsidR="00435105">
        <w:rPr>
          <w:rFonts w:ascii="Arial" w:hAnsi="Arial" w:cs="Arial"/>
          <w:sz w:val="22"/>
          <w:szCs w:val="22"/>
          <w:lang w:val="en-GB"/>
        </w:rPr>
        <w:t>,</w:t>
      </w:r>
      <w:r w:rsidRPr="00BF57FF" w:rsidR="00287E3E">
        <w:rPr>
          <w:rFonts w:ascii="Arial" w:hAnsi="Arial" w:cs="Arial"/>
          <w:sz w:val="22"/>
          <w:szCs w:val="22"/>
          <w:lang w:val="en-GB"/>
        </w:rPr>
        <w:t xml:space="preserve"> should be the basis of community-level interventions (CSDH, 2008; Srinivasan et al., 2019). The evidence </w:t>
      </w:r>
      <w:r w:rsidRPr="00BF57FF" w:rsidR="00435105">
        <w:rPr>
          <w:rFonts w:ascii="Arial" w:hAnsi="Arial" w:cs="Arial"/>
          <w:sz w:val="22"/>
          <w:szCs w:val="22"/>
          <w:lang w:val="en-GB"/>
        </w:rPr>
        <w:t>repeatedly indicates</w:t>
      </w:r>
      <w:r w:rsidRPr="00BF57FF" w:rsidR="00287E3E">
        <w:rPr>
          <w:rFonts w:ascii="Arial" w:hAnsi="Arial" w:cs="Arial"/>
          <w:sz w:val="22"/>
          <w:szCs w:val="22"/>
          <w:lang w:val="en-GB"/>
        </w:rPr>
        <w:t xml:space="preserve"> that the enhanced knowledge in the environment of continuous inaccessibility of services does not result in enhanced outcomes. Structural complements to any education strategy are required as mobile anti-rabies clinic capacity, eliminating financial obstacles to full PEP, and culturally competent community engagement. The Goa programme proves that such investments can be </w:t>
      </w:r>
      <w:r w:rsidRPr="00BF57FF" w:rsidR="00435105">
        <w:rPr>
          <w:rFonts w:ascii="Arial" w:hAnsi="Arial" w:cs="Arial"/>
          <w:sz w:val="22"/>
          <w:szCs w:val="22"/>
          <w:lang w:val="en-GB"/>
        </w:rPr>
        <w:t>operationalised</w:t>
      </w:r>
      <w:r w:rsidRPr="00BF57FF" w:rsidR="00287E3E">
        <w:rPr>
          <w:rFonts w:ascii="Arial" w:hAnsi="Arial" w:cs="Arial"/>
          <w:sz w:val="22"/>
          <w:szCs w:val="22"/>
          <w:lang w:val="en-GB"/>
        </w:rPr>
        <w:t xml:space="preserve"> to work in the Indian environment when governance and resource allocation are in tune (Gibson et al., 2022). The tribal India five-year community health intervention programmes show that community-based, long-term health promotion can greatly enhance health-seeking behaviour among the </w:t>
      </w:r>
      <w:r w:rsidRPr="00BF57FF" w:rsidR="00287E3E">
        <w:rPr>
          <w:rFonts w:ascii="Arial" w:hAnsi="Arial" w:cs="Arial"/>
          <w:sz w:val="22"/>
          <w:szCs w:val="22"/>
          <w:lang w:val="en-GB"/>
        </w:rPr>
        <w:t>isolated and marginalised communities</w:t>
      </w:r>
      <w:r w:rsidRPr="00BF57FF" w:rsidR="00435105">
        <w:rPr>
          <w:rFonts w:ascii="Arial" w:hAnsi="Arial" w:cs="Arial"/>
          <w:sz w:val="22"/>
          <w:szCs w:val="22"/>
          <w:lang w:val="en-GB"/>
        </w:rPr>
        <w:t>,</w:t>
      </w:r>
      <w:r w:rsidRPr="00BF57FF" w:rsidR="00287E3E">
        <w:rPr>
          <w:rFonts w:ascii="Arial" w:hAnsi="Arial" w:cs="Arial"/>
          <w:sz w:val="22"/>
          <w:szCs w:val="22"/>
          <w:lang w:val="en-GB"/>
        </w:rPr>
        <w:t xml:space="preserve"> and the model can be directly applied to the prevention of rabies in </w:t>
      </w:r>
      <w:r w:rsidRPr="00BF57FF" w:rsidR="00435105">
        <w:rPr>
          <w:rFonts w:ascii="Arial" w:hAnsi="Arial" w:cs="Arial"/>
          <w:sz w:val="22"/>
          <w:szCs w:val="22"/>
          <w:lang w:val="en-GB"/>
        </w:rPr>
        <w:t>underserved</w:t>
      </w:r>
      <w:r w:rsidRPr="00BF57FF" w:rsidR="00287E3E">
        <w:rPr>
          <w:rFonts w:ascii="Arial" w:hAnsi="Arial" w:cs="Arial"/>
          <w:sz w:val="22"/>
          <w:szCs w:val="22"/>
          <w:lang w:val="en-GB"/>
        </w:rPr>
        <w:t xml:space="preserve"> rural areas where structural barriers to PEP are most severe (Sengupta et al., 2020). The Ministry of Health and Family Welfare should be responsible </w:t>
      </w:r>
      <w:r w:rsidRPr="00BF57FF" w:rsidR="00435105">
        <w:rPr>
          <w:rFonts w:ascii="Arial" w:hAnsi="Arial" w:cs="Arial"/>
          <w:sz w:val="22"/>
          <w:szCs w:val="22"/>
          <w:lang w:val="en-GB"/>
        </w:rPr>
        <w:t>for</w:t>
      </w:r>
      <w:r w:rsidRPr="00BF57FF" w:rsidR="00287E3E">
        <w:rPr>
          <w:rFonts w:ascii="Arial" w:hAnsi="Arial" w:cs="Arial"/>
          <w:sz w:val="22"/>
          <w:szCs w:val="22"/>
          <w:lang w:val="en-GB"/>
        </w:rPr>
        <w:t xml:space="preserve"> increasing </w:t>
      </w:r>
      <w:r w:rsidRPr="00BF57FF" w:rsidR="00435105">
        <w:rPr>
          <w:rFonts w:ascii="Arial" w:hAnsi="Arial" w:cs="Arial"/>
          <w:sz w:val="22"/>
          <w:szCs w:val="22"/>
          <w:lang w:val="en-GB"/>
        </w:rPr>
        <w:t xml:space="preserve">the </w:t>
      </w:r>
      <w:r w:rsidRPr="00BF57FF" w:rsidR="00287E3E">
        <w:rPr>
          <w:rFonts w:ascii="Arial" w:hAnsi="Arial" w:cs="Arial"/>
          <w:sz w:val="22"/>
          <w:szCs w:val="22"/>
          <w:lang w:val="en-GB"/>
        </w:rPr>
        <w:t>capacity of mobile anti-rabies clinics and eliminating financial barriers to full PEP</w:t>
      </w:r>
      <w:r w:rsidRPr="00BF57FF" w:rsidR="00435105">
        <w:rPr>
          <w:rFonts w:ascii="Arial" w:hAnsi="Arial" w:cs="Arial"/>
          <w:sz w:val="22"/>
          <w:szCs w:val="22"/>
          <w:lang w:val="en-GB"/>
        </w:rPr>
        <w:t>,</w:t>
      </w:r>
      <w:r w:rsidRPr="00BF57FF" w:rsidR="00287E3E">
        <w:rPr>
          <w:rFonts w:ascii="Arial" w:hAnsi="Arial" w:cs="Arial"/>
          <w:sz w:val="22"/>
          <w:szCs w:val="22"/>
          <w:lang w:val="en-GB"/>
        </w:rPr>
        <w:t xml:space="preserve"> and must be costed and included in State Annual Programme Implementation Plans submitted to the National Health Mission by 2026.</w:t>
      </w:r>
    </w:p>
    <w:p w:rsidRPr="00BF57FF" w:rsidR="00186AD5" w:rsidP="00A70BBB" w:rsidRDefault="00186AD5" w14:paraId="6DE1A6EA" w14:textId="36597518">
      <w:pPr>
        <w:spacing w:after="152" w:line="360" w:lineRule="auto"/>
        <w:jc w:val="both"/>
        <w:rPr>
          <w:rFonts w:ascii="Arial" w:hAnsi="Arial" w:cs="Arial"/>
        </w:rPr>
      </w:pPr>
    </w:p>
    <w:p w:rsidRPr="00BF57FF" w:rsidR="00186AD5" w:rsidP="00A70BBB" w:rsidRDefault="00186AD5" w14:paraId="04CD4524" w14:textId="77777777">
      <w:pPr>
        <w:pStyle w:val="Heading2"/>
        <w:spacing w:line="360" w:lineRule="auto"/>
        <w:jc w:val="both"/>
        <w:rPr>
          <w:rFonts w:ascii="Arial" w:hAnsi="Arial" w:cs="Arial"/>
          <w:sz w:val="22"/>
        </w:rPr>
      </w:pPr>
      <w:bookmarkStart w:name="_Toc231005889" w:id="117"/>
      <w:bookmarkStart w:name="_Toc231298603" w:id="118"/>
      <w:r w:rsidRPr="00BF57FF">
        <w:rPr>
          <w:rFonts w:ascii="Arial" w:hAnsi="Arial" w:cs="Arial"/>
          <w:sz w:val="22"/>
        </w:rPr>
        <w:t>6.4 Critical Reflection on Learning and Personal Development</w:t>
      </w:r>
      <w:bookmarkEnd w:id="117"/>
      <w:bookmarkEnd w:id="118"/>
    </w:p>
    <w:p w:rsidRPr="00BF57FF" w:rsidR="00186AD5" w:rsidP="00A70BBB" w:rsidRDefault="00E26B59" w14:paraId="51E2195E" w14:textId="4E137253">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It has been the most methodologically intensive academic project of my postgraduate </w:t>
      </w:r>
      <w:r w:rsidRPr="00BF57FF" w:rsidR="00805E86">
        <w:rPr>
          <w:rFonts w:ascii="Arial" w:hAnsi="Arial" w:cs="Arial"/>
          <w:sz w:val="22"/>
          <w:szCs w:val="22"/>
          <w:lang w:val="en-GB"/>
        </w:rPr>
        <w:t>studies</w:t>
      </w:r>
      <w:r w:rsidRPr="00BF57FF">
        <w:rPr>
          <w:rFonts w:ascii="Arial" w:hAnsi="Arial" w:cs="Arial"/>
          <w:sz w:val="22"/>
          <w:szCs w:val="22"/>
          <w:lang w:val="en-GB"/>
        </w:rPr>
        <w:t>, and the learning that it has produced goes far beyond the substantive results.</w:t>
      </w:r>
    </w:p>
    <w:p w:rsidRPr="00BF57FF" w:rsidR="00186AD5" w:rsidP="00A70BBB" w:rsidRDefault="00E26B59" w14:paraId="69F41A31" w14:textId="61B68D09">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The systematic review process, including its publication and reporting to PRISMA 2020 criteria, demanded a degree of methodological accuracy and transparency of the process, which necessitated not only describing what I discovered but </w:t>
      </w:r>
      <w:r w:rsidRPr="00BF57FF" w:rsidR="00435105">
        <w:rPr>
          <w:rFonts w:ascii="Arial" w:hAnsi="Arial" w:cs="Arial"/>
          <w:sz w:val="22"/>
          <w:szCs w:val="22"/>
          <w:lang w:val="en-GB"/>
        </w:rPr>
        <w:t xml:space="preserve">also </w:t>
      </w:r>
      <w:r w:rsidRPr="00BF57FF">
        <w:rPr>
          <w:rFonts w:ascii="Arial" w:hAnsi="Arial" w:cs="Arial"/>
          <w:sz w:val="22"/>
          <w:szCs w:val="22"/>
          <w:lang w:val="en-GB"/>
        </w:rPr>
        <w:t xml:space="preserve">how and why I discovered it in a way that could be replicated subsequently. This course has </w:t>
      </w:r>
      <w:r w:rsidRPr="00BF57FF" w:rsidR="00AA6610">
        <w:rPr>
          <w:rFonts w:ascii="Arial" w:hAnsi="Arial" w:cs="Arial"/>
          <w:sz w:val="22"/>
          <w:szCs w:val="22"/>
          <w:lang w:val="en-GB"/>
        </w:rPr>
        <w:t>revolutionised</w:t>
      </w:r>
      <w:r w:rsidRPr="00BF57FF">
        <w:rPr>
          <w:rFonts w:ascii="Arial" w:hAnsi="Arial" w:cs="Arial"/>
          <w:sz w:val="22"/>
          <w:szCs w:val="22"/>
          <w:lang w:val="en-GB"/>
        </w:rPr>
        <w:t xml:space="preserve"> my idea of the quality of evidence. I started the review with the assumption that published scholarly articles are trustworthy sources; I ended with a critical</w:t>
      </w:r>
      <w:r w:rsidRPr="00BF57FF" w:rsidR="00AA6610">
        <w:rPr>
          <w:rFonts w:ascii="Arial" w:hAnsi="Arial" w:cs="Arial"/>
          <w:sz w:val="22"/>
          <w:szCs w:val="22"/>
          <w:lang w:val="en-GB"/>
        </w:rPr>
        <w:t>,</w:t>
      </w:r>
      <w:r w:rsidRPr="00BF57FF">
        <w:rPr>
          <w:rFonts w:ascii="Arial" w:hAnsi="Arial" w:cs="Arial"/>
          <w:sz w:val="22"/>
          <w:szCs w:val="22"/>
          <w:lang w:val="en-GB"/>
        </w:rPr>
        <w:t xml:space="preserve"> polished view of methodological bias, constraints of study designs and the analysis warning that heterogeneous evidence requires. </w:t>
      </w:r>
      <w:r w:rsidRPr="00BF57FF" w:rsidR="00AA6610">
        <w:rPr>
          <w:rFonts w:ascii="Arial" w:hAnsi="Arial" w:cs="Arial"/>
          <w:sz w:val="22"/>
          <w:szCs w:val="22"/>
          <w:lang w:val="en-GB"/>
        </w:rPr>
        <w:t>Practising</w:t>
      </w:r>
      <w:r w:rsidRPr="00BF57FF">
        <w:rPr>
          <w:rFonts w:ascii="Arial" w:hAnsi="Arial" w:cs="Arial"/>
          <w:sz w:val="22"/>
          <w:szCs w:val="22"/>
          <w:lang w:val="en-GB"/>
        </w:rPr>
        <w:t xml:space="preserve"> how to use CASP and AXIS quality appraisal tools to truly diverse study designs and be able to justify those decisions in writing developed a competence in critical appraisal that I will bring into my professional practice of public health. </w:t>
      </w:r>
    </w:p>
    <w:p w:rsidRPr="00BF57FF" w:rsidR="00186AD5" w:rsidP="00A70BBB" w:rsidRDefault="00150623" w14:paraId="549DAAFB" w14:textId="49A62858">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My thinking was also challenged and broadened by the substantive content of the review. The application of the structural determinants framework as a theoretical tool, as opposed to a hypothetical idea, compelled me to address the degree to which the health disparities in rabies mortality are created by governance policies, and not biology. The 5,726 preventable deaths per year in India are not a scientific issue to be discovered but a political and economic issue to be committed to. This observation has reinforced my belief in the primacy of equity to the practice of public health. My initial assumptions before starting this review were that the main factor behind bite-exposed people not seeking prompt treatment in India was knowledge deficits. Evidence compelled me to fundamentally redefine this assumption: structural inaccessibility and unreliability of services are the main obstacles, rather than individual ignorance. The most personally demanding part of the methodology was the use of design-appropriate quality appraisal tools </w:t>
      </w:r>
      <w:r w:rsidRPr="00BF57FF" w:rsidR="00B95B7E">
        <w:rPr>
          <w:rFonts w:ascii="Arial" w:hAnsi="Arial" w:cs="Arial"/>
          <w:sz w:val="22"/>
          <w:szCs w:val="22"/>
          <w:lang w:val="en-GB"/>
        </w:rPr>
        <w:t>across</w:t>
      </w:r>
      <w:r w:rsidRPr="00BF57FF">
        <w:rPr>
          <w:rFonts w:ascii="Arial" w:hAnsi="Arial" w:cs="Arial"/>
          <w:sz w:val="22"/>
          <w:szCs w:val="22"/>
          <w:lang w:val="en-GB"/>
        </w:rPr>
        <w:t xml:space="preserve"> a heterogeneous body of studies with consistency and without enforcing a single standard across the designs - a discipline I will bring with me </w:t>
      </w:r>
      <w:r w:rsidRPr="00BF57FF">
        <w:rPr>
          <w:rFonts w:ascii="Arial" w:hAnsi="Arial" w:cs="Arial"/>
          <w:sz w:val="22"/>
          <w:szCs w:val="22"/>
          <w:lang w:val="en-GB"/>
        </w:rPr>
        <w:t xml:space="preserve">into any future evidence synthesis </w:t>
      </w:r>
      <w:r w:rsidRPr="00BF57FF" w:rsidR="00B95B7E">
        <w:rPr>
          <w:rFonts w:ascii="Arial" w:hAnsi="Arial" w:cs="Arial"/>
          <w:sz w:val="22"/>
          <w:szCs w:val="22"/>
          <w:lang w:val="en-GB"/>
        </w:rPr>
        <w:t>endeavour</w:t>
      </w:r>
      <w:r w:rsidRPr="00BF57FF">
        <w:rPr>
          <w:rFonts w:ascii="Arial" w:hAnsi="Arial" w:cs="Arial"/>
          <w:sz w:val="22"/>
          <w:szCs w:val="22"/>
          <w:lang w:val="en-GB"/>
        </w:rPr>
        <w:t>. Practically, this dissertation has solidified my opinion that proper intervention of low-resource public health should start at the health system rather than at the individual level and that policy accountability mechanisms are equally significant as clinical or educational interventions.</w:t>
      </w:r>
    </w:p>
    <w:p w:rsidRPr="00BF57FF" w:rsidR="00186AD5" w:rsidP="00A70BBB" w:rsidRDefault="00F22537" w14:paraId="3FB54F94" w14:textId="11CEBF02">
      <w:pPr>
        <w:pStyle w:val="font-claude-response-body"/>
        <w:spacing w:after="152" w:line="360" w:lineRule="auto"/>
        <w:jc w:val="both"/>
        <w:rPr>
          <w:rFonts w:ascii="Arial" w:hAnsi="Arial" w:cs="Arial"/>
          <w:sz w:val="22"/>
          <w:szCs w:val="22"/>
        </w:rPr>
      </w:pPr>
      <w:r w:rsidRPr="00BF57FF">
        <w:rPr>
          <w:rFonts w:ascii="Arial" w:hAnsi="Arial" w:cs="Arial"/>
          <w:sz w:val="22"/>
          <w:szCs w:val="22"/>
          <w:lang w:val="en-GB"/>
        </w:rPr>
        <w:t xml:space="preserve">On a personal level, the requirements of a large-scale research project, such as systematic search documentation, a series of reference validation and the intellectual rigour of a </w:t>
      </w:r>
      <w:r w:rsidRPr="00BF57FF" w:rsidR="00805E86">
        <w:rPr>
          <w:rFonts w:ascii="Arial" w:hAnsi="Arial" w:cs="Arial"/>
          <w:sz w:val="22"/>
          <w:szCs w:val="22"/>
          <w:lang w:val="en-GB"/>
        </w:rPr>
        <w:t xml:space="preserve">15,000 </w:t>
      </w:r>
      <w:r w:rsidRPr="00BF57FF" w:rsidR="00805E86">
        <w:rPr>
          <w:rFonts w:ascii="Arial" w:hAnsi="Arial" w:cs="Arial"/>
          <w:b/>
          <w:bCs/>
          <w:sz w:val="22"/>
          <w:szCs w:val="22"/>
        </w:rPr>
        <w:t>±</w:t>
      </w:r>
      <w:r w:rsidRPr="00BF57FF" w:rsidR="00805E86">
        <w:rPr>
          <w:rFonts w:ascii="Arial" w:hAnsi="Arial" w:cs="Arial"/>
          <w:sz w:val="22"/>
          <w:szCs w:val="22"/>
        </w:rPr>
        <w:t xml:space="preserve"> </w:t>
      </w:r>
      <w:r w:rsidRPr="00BF57FF" w:rsidR="00805E86">
        <w:rPr>
          <w:rFonts w:ascii="Arial" w:hAnsi="Arial" w:cs="Arial"/>
          <w:sz w:val="22"/>
          <w:szCs w:val="22"/>
          <w:lang w:val="en-GB"/>
        </w:rPr>
        <w:t>10% word</w:t>
      </w:r>
      <w:r w:rsidRPr="00BF57FF">
        <w:rPr>
          <w:rFonts w:ascii="Arial" w:hAnsi="Arial" w:cs="Arial"/>
          <w:sz w:val="22"/>
          <w:szCs w:val="22"/>
          <w:lang w:val="en-GB"/>
        </w:rPr>
        <w:t xml:space="preserve"> dissertation, created skills of disciplined academic work that I personally found very challenging. I am also thankful to my supervisor, Itse Olaoye, because h</w:t>
      </w:r>
      <w:r w:rsidRPr="00BF57FF" w:rsidR="00223D08">
        <w:rPr>
          <w:rFonts w:ascii="Arial" w:hAnsi="Arial" w:cs="Arial"/>
          <w:sz w:val="22"/>
          <w:szCs w:val="22"/>
          <w:lang w:val="en-GB"/>
        </w:rPr>
        <w:t>er</w:t>
      </w:r>
      <w:r w:rsidRPr="00BF57FF">
        <w:rPr>
          <w:rFonts w:ascii="Arial" w:hAnsi="Arial" w:cs="Arial"/>
          <w:sz w:val="22"/>
          <w:szCs w:val="22"/>
          <w:lang w:val="en-GB"/>
        </w:rPr>
        <w:t xml:space="preserve"> feedback made the analysis more precise and analytical.</w:t>
      </w:r>
    </w:p>
    <w:p w:rsidRPr="00BF57FF" w:rsidR="00186AD5" w:rsidP="00A70BBB" w:rsidRDefault="00186AD5" w14:paraId="29BAA5ED" w14:textId="20EDDCA2">
      <w:pPr>
        <w:spacing w:after="152" w:line="360" w:lineRule="auto"/>
        <w:jc w:val="both"/>
        <w:rPr>
          <w:rFonts w:ascii="Arial" w:hAnsi="Arial" w:cs="Arial"/>
        </w:rPr>
      </w:pPr>
    </w:p>
    <w:p w:rsidRPr="00BF57FF" w:rsidR="00186AD5" w:rsidP="00A70BBB" w:rsidRDefault="00186AD5" w14:paraId="787C41AC" w14:textId="77777777">
      <w:pPr>
        <w:pStyle w:val="Heading2"/>
        <w:spacing w:line="360" w:lineRule="auto"/>
        <w:jc w:val="both"/>
        <w:rPr>
          <w:rFonts w:ascii="Arial" w:hAnsi="Arial" w:cs="Arial"/>
          <w:sz w:val="22"/>
        </w:rPr>
      </w:pPr>
      <w:bookmarkStart w:name="_Toc231005890" w:id="119"/>
      <w:bookmarkStart w:name="_Toc231298604" w:id="120"/>
      <w:r w:rsidRPr="00BF57FF">
        <w:rPr>
          <w:rFonts w:ascii="Arial" w:hAnsi="Arial" w:cs="Arial"/>
          <w:sz w:val="22"/>
        </w:rPr>
        <w:t>6.5 Future Research Directions</w:t>
      </w:r>
      <w:bookmarkEnd w:id="119"/>
      <w:bookmarkEnd w:id="120"/>
    </w:p>
    <w:p w:rsidRPr="00BF57FF" w:rsidR="00186AD5" w:rsidP="00A70BBB" w:rsidRDefault="00F22537" w14:paraId="51F055C0" w14:textId="026AD59F">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This review outlines four future research priorities which would enhance the evidence base of rabies elimination in India.</w:t>
      </w:r>
    </w:p>
    <w:p w:rsidRPr="00BF57FF" w:rsidR="00186AD5" w:rsidP="00A70BBB" w:rsidRDefault="00F22537" w14:paraId="0C1680BE" w14:textId="742584ED">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 xml:space="preserve">First, there is an urgent need to establish prospective, multi-state studies on the full pathway of bite-exposed persons since </w:t>
      </w:r>
      <w:r w:rsidRPr="00BF57FF" w:rsidR="0092286F">
        <w:rPr>
          <w:rFonts w:ascii="Arial" w:hAnsi="Arial" w:cs="Arial"/>
          <w:sz w:val="22"/>
          <w:szCs w:val="22"/>
          <w:lang w:val="en-GB"/>
        </w:rPr>
        <w:t xml:space="preserve">the </w:t>
      </w:r>
      <w:r w:rsidRPr="00BF57FF">
        <w:rPr>
          <w:rFonts w:ascii="Arial" w:hAnsi="Arial" w:cs="Arial"/>
          <w:sz w:val="22"/>
          <w:szCs w:val="22"/>
          <w:lang w:val="en-GB"/>
        </w:rPr>
        <w:t>entry point of the entry mode through care-seeking, PEP initiation, completion, and outcome. Existing evidence base is mainly cross-sectional and cannot determine the causal mechanisms or follow systemic change longitudinally.</w:t>
      </w:r>
    </w:p>
    <w:p w:rsidRPr="00BF57FF" w:rsidR="00186AD5" w:rsidP="00A70BBB" w:rsidRDefault="00622B31" w14:paraId="5655B245" w14:textId="4B16AE16">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Second, research priority involves intervention studies assessing structured CHW training programmes to prevent rabies with pre- and post-assessment designs and post-measures of patient compliance outcomes. The available evidence determines the magnitude of CHW knowledge gaps but lacks rigorous evidence on the best kinds of training that close them.</w:t>
      </w:r>
    </w:p>
    <w:p w:rsidRPr="00BF57FF" w:rsidR="00186AD5" w:rsidP="00A70BBB" w:rsidRDefault="00622B31" w14:paraId="30A4D237" w14:textId="467DB5FC">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t>Third, a qualitative study examining decision-making and community trust processes that perpetuate traditional medicine use after animal bites would considerably enhance the policy-relevant knowledge of Theme 2. The structural analysis determines the circumstances that perpetuate this behaviour</w:t>
      </w:r>
      <w:r w:rsidRPr="00BF57FF" w:rsidR="001531FF">
        <w:rPr>
          <w:rFonts w:ascii="Arial" w:hAnsi="Arial" w:cs="Arial"/>
          <w:sz w:val="22"/>
          <w:szCs w:val="22"/>
          <w:lang w:val="en-GB"/>
        </w:rPr>
        <w:t>,</w:t>
      </w:r>
      <w:r w:rsidRPr="00BF57FF">
        <w:rPr>
          <w:rFonts w:ascii="Arial" w:hAnsi="Arial" w:cs="Arial"/>
          <w:sz w:val="22"/>
          <w:szCs w:val="22"/>
          <w:lang w:val="en-GB"/>
        </w:rPr>
        <w:t xml:space="preserve"> but the specific social and relational processes need ethnographic research to answer satisfactorily.</w:t>
      </w:r>
    </w:p>
    <w:p w:rsidRPr="00BF57FF" w:rsidR="00622B31" w:rsidP="00A70BBB" w:rsidRDefault="00622B31" w14:paraId="1B10C159" w14:textId="1F31008E">
      <w:pPr>
        <w:pStyle w:val="font-claude-response-body"/>
        <w:spacing w:after="152" w:line="360" w:lineRule="auto"/>
        <w:jc w:val="both"/>
        <w:rPr>
          <w:rFonts w:ascii="Arial" w:hAnsi="Arial" w:cs="Arial"/>
          <w:sz w:val="22"/>
          <w:szCs w:val="22"/>
        </w:rPr>
      </w:pPr>
      <w:r w:rsidRPr="00BF57FF">
        <w:rPr>
          <w:rFonts w:ascii="Arial" w:hAnsi="Arial" w:cs="Arial"/>
          <w:sz w:val="22"/>
          <w:szCs w:val="22"/>
        </w:rPr>
        <w:t xml:space="preserve">Lastly, cost-benefit analyses that compare coordinated One Health programme investment, which is based on the Goa model, with the existing PEP-only spending in various Indian state settings would provide the fiscal proof to make the case to invest </w:t>
      </w:r>
      <w:r w:rsidRPr="00BF57FF" w:rsidR="001531FF">
        <w:rPr>
          <w:rFonts w:ascii="Arial" w:hAnsi="Arial" w:cs="Arial"/>
          <w:sz w:val="22"/>
          <w:szCs w:val="22"/>
        </w:rPr>
        <w:t>in</w:t>
      </w:r>
      <w:r w:rsidRPr="00BF57FF">
        <w:rPr>
          <w:rFonts w:ascii="Arial" w:hAnsi="Arial" w:cs="Arial"/>
          <w:sz w:val="22"/>
          <w:szCs w:val="22"/>
        </w:rPr>
        <w:t xml:space="preserve"> state governments and national planners (World Health Organization, 2018a; Hampson et al., 2015; </w:t>
      </w:r>
      <w:r w:rsidRPr="00BF57FF" w:rsidR="00AB7D2C">
        <w:rPr>
          <w:rFonts w:ascii="Arial" w:hAnsi="Arial" w:cs="Arial"/>
          <w:sz w:val="22"/>
          <w:szCs w:val="22"/>
        </w:rPr>
        <w:t>Thangaraj</w:t>
      </w:r>
      <w:r w:rsidRPr="00BF57FF">
        <w:rPr>
          <w:rFonts w:ascii="Arial" w:hAnsi="Arial" w:cs="Arial"/>
          <w:sz w:val="22"/>
          <w:szCs w:val="22"/>
        </w:rPr>
        <w:t xml:space="preserve"> et al., 2025).</w:t>
      </w:r>
    </w:p>
    <w:p w:rsidRPr="00BF57FF" w:rsidR="009706D0" w:rsidP="00A70BBB" w:rsidRDefault="009706D0" w14:paraId="21668B29" w14:textId="1FC67204">
      <w:pPr>
        <w:pStyle w:val="font-claude-response-body"/>
        <w:spacing w:before="0" w:beforeAutospacing="0" w:after="152" w:afterAutospacing="0" w:line="360" w:lineRule="auto"/>
        <w:jc w:val="both"/>
        <w:rPr>
          <w:rFonts w:ascii="Arial" w:hAnsi="Arial" w:cs="Arial"/>
          <w:sz w:val="22"/>
          <w:szCs w:val="22"/>
          <w:lang w:val="en-GB"/>
        </w:rPr>
      </w:pPr>
      <w:r w:rsidRPr="00BF57FF">
        <w:rPr>
          <w:rFonts w:ascii="Arial" w:hAnsi="Arial" w:cs="Arial"/>
          <w:sz w:val="22"/>
          <w:szCs w:val="22"/>
          <w:lang w:val="en-GB"/>
        </w:rPr>
        <w:br w:type="page"/>
      </w:r>
    </w:p>
    <w:p w:rsidRPr="00BF57FF" w:rsidR="009F64C5" w:rsidP="00A70BBB" w:rsidRDefault="009F64C5" w14:paraId="2A2394B3" w14:textId="49A4AF5B">
      <w:pPr>
        <w:pStyle w:val="Heading1"/>
        <w:spacing w:after="0" w:line="360" w:lineRule="auto"/>
        <w:ind w:left="12" w:right="6"/>
        <w:jc w:val="both"/>
        <w:rPr>
          <w:rFonts w:ascii="Arial" w:hAnsi="Arial" w:cs="Arial"/>
          <w:sz w:val="22"/>
        </w:rPr>
      </w:pPr>
      <w:bookmarkStart w:name="_Toc231005829" w:id="121"/>
      <w:bookmarkStart w:name="_Toc231005891" w:id="122"/>
      <w:bookmarkStart w:name="_Toc231298605" w:id="123"/>
      <w:r w:rsidRPr="00BF57FF">
        <w:rPr>
          <w:rFonts w:ascii="Arial" w:hAnsi="Arial" w:cs="Arial"/>
          <w:sz w:val="22"/>
        </w:rPr>
        <w:t>Reference list</w:t>
      </w:r>
      <w:bookmarkEnd w:id="121"/>
      <w:bookmarkEnd w:id="122"/>
      <w:bookmarkEnd w:id="123"/>
      <w:r w:rsidRPr="00BF57FF">
        <w:rPr>
          <w:rFonts w:ascii="Arial" w:hAnsi="Arial" w:cs="Arial"/>
          <w:sz w:val="22"/>
        </w:rPr>
        <w:t xml:space="preserve"> </w:t>
      </w:r>
    </w:p>
    <w:p w:rsidRPr="00BF57FF" w:rsidR="00DB5214" w:rsidP="00A70BBB" w:rsidRDefault="00DB5214" w14:paraId="7A4492AE" w14:textId="77777777">
      <w:pPr>
        <w:spacing w:line="360" w:lineRule="auto"/>
        <w:rPr>
          <w:rFonts w:ascii="Arial" w:hAnsi="Arial" w:cs="Arial"/>
        </w:rPr>
      </w:pPr>
      <w:r w:rsidRPr="00BF57FF">
        <w:rPr>
          <w:rFonts w:ascii="Arial" w:hAnsi="Arial" w:cs="Arial"/>
        </w:rPr>
        <w:t xml:space="preserve">Abbas, S.S. and Kakkar, M. (2015) 'Rabies control in India: a need to close the gap between research and policy', </w:t>
      </w:r>
      <w:r w:rsidRPr="00BF57FF">
        <w:rPr>
          <w:rFonts w:ascii="Arial" w:hAnsi="Arial" w:cs="Arial"/>
          <w:i/>
          <w:iCs/>
        </w:rPr>
        <w:t>Bulletin of the World Health Organization</w:t>
      </w:r>
      <w:r w:rsidRPr="00BF57FF">
        <w:rPr>
          <w:rFonts w:ascii="Arial" w:hAnsi="Arial" w:cs="Arial"/>
        </w:rPr>
        <w:t>, 93(2), pp. 131-132.</w:t>
      </w:r>
    </w:p>
    <w:p w:rsidRPr="00BF57FF" w:rsidR="00DB5214" w:rsidP="00A70BBB" w:rsidRDefault="00DB5214" w14:paraId="5000FD04" w14:textId="6A507C55">
      <w:pPr>
        <w:spacing w:line="360" w:lineRule="auto"/>
        <w:rPr>
          <w:rFonts w:ascii="Arial" w:hAnsi="Arial" w:cs="Arial"/>
        </w:rPr>
      </w:pPr>
      <w:r w:rsidRPr="00BF57FF">
        <w:rPr>
          <w:rFonts w:ascii="Arial" w:hAnsi="Arial" w:cs="Arial"/>
        </w:rPr>
        <w:t xml:space="preserve">Acharya, K.P., Subedi, D. and Wilson, R.T. (2021) 'Rabies control in South Asia requires a One Health approach', </w:t>
      </w:r>
      <w:r w:rsidRPr="00BF57FF">
        <w:rPr>
          <w:rFonts w:ascii="Arial" w:hAnsi="Arial" w:cs="Arial"/>
          <w:i/>
          <w:iCs/>
        </w:rPr>
        <w:t>One Health</w:t>
      </w:r>
      <w:r w:rsidRPr="00BF57FF">
        <w:rPr>
          <w:rFonts w:ascii="Arial" w:hAnsi="Arial" w:cs="Arial"/>
        </w:rPr>
        <w:t>, 12, 100215.</w:t>
      </w:r>
    </w:p>
    <w:p w:rsidRPr="00BF57FF" w:rsidR="00DB5214" w:rsidP="00A70BBB" w:rsidRDefault="00DB5214" w14:paraId="50F74FA1" w14:textId="77777777">
      <w:pPr>
        <w:spacing w:line="360" w:lineRule="auto"/>
        <w:rPr>
          <w:rFonts w:ascii="Arial" w:hAnsi="Arial" w:cs="Arial"/>
        </w:rPr>
      </w:pPr>
      <w:r w:rsidRPr="00BF57FF">
        <w:rPr>
          <w:rFonts w:ascii="Arial" w:hAnsi="Arial" w:cs="Arial"/>
        </w:rPr>
        <w:t xml:space="preserve">Asaaga, F.A. et al. (2021) 'Operationalising the "One Health" approach in India: facilitators of and barriers to effective cross-sector convergence for zoonoses prevention and control', </w:t>
      </w:r>
      <w:r w:rsidRPr="00BF57FF">
        <w:rPr>
          <w:rFonts w:ascii="Arial" w:hAnsi="Arial" w:cs="Arial"/>
          <w:i/>
          <w:iCs/>
        </w:rPr>
        <w:t>BMC Public Health</w:t>
      </w:r>
      <w:r w:rsidRPr="00BF57FF">
        <w:rPr>
          <w:rFonts w:ascii="Arial" w:hAnsi="Arial" w:cs="Arial"/>
        </w:rPr>
        <w:t>, 21(1), 1517.</w:t>
      </w:r>
    </w:p>
    <w:p w:rsidRPr="00BF57FF" w:rsidR="00DB5214" w:rsidP="00A70BBB" w:rsidRDefault="00DB5214" w14:paraId="3AB6B0C6" w14:textId="77777777">
      <w:pPr>
        <w:spacing w:line="360" w:lineRule="auto"/>
        <w:rPr>
          <w:rFonts w:ascii="Arial" w:hAnsi="Arial" w:cs="Arial"/>
        </w:rPr>
      </w:pPr>
      <w:r w:rsidRPr="00BF57FF">
        <w:rPr>
          <w:rFonts w:ascii="Arial" w:hAnsi="Arial" w:cs="Arial"/>
        </w:rPr>
        <w:t xml:space="preserve">Ashok, A., Brison, M. and LeTallec, Y. (2017) 'Improving cold chain systems: challenges and solutions', </w:t>
      </w:r>
      <w:r w:rsidRPr="00BF57FF">
        <w:rPr>
          <w:rFonts w:ascii="Arial" w:hAnsi="Arial" w:cs="Arial"/>
          <w:i/>
          <w:iCs/>
        </w:rPr>
        <w:t>Vaccine</w:t>
      </w:r>
      <w:r w:rsidRPr="00BF57FF">
        <w:rPr>
          <w:rFonts w:ascii="Arial" w:hAnsi="Arial" w:cs="Arial"/>
        </w:rPr>
        <w:t>, 35(17), pp. 2217-2223.</w:t>
      </w:r>
    </w:p>
    <w:p w:rsidRPr="00BF57FF" w:rsidR="00DB5214" w:rsidP="00A70BBB" w:rsidRDefault="00DB5214" w14:paraId="0DA87B3E" w14:textId="77777777">
      <w:pPr>
        <w:spacing w:line="360" w:lineRule="auto"/>
        <w:rPr>
          <w:rFonts w:ascii="Arial" w:hAnsi="Arial" w:cs="Arial"/>
        </w:rPr>
      </w:pPr>
      <w:r w:rsidRPr="00BF57FF">
        <w:rPr>
          <w:rFonts w:ascii="Arial" w:hAnsi="Arial" w:cs="Arial"/>
        </w:rPr>
        <w:t xml:space="preserve">Ashwini, M.A., Pattanaik, A. and Mani, R.S. (2024) 'Recent updates on laboratory diagnosis of rabies', </w:t>
      </w:r>
      <w:r w:rsidRPr="00BF57FF">
        <w:rPr>
          <w:rFonts w:ascii="Arial" w:hAnsi="Arial" w:cs="Arial"/>
          <w:i/>
          <w:iCs/>
        </w:rPr>
        <w:t>The Indian Journal of Medical Research</w:t>
      </w:r>
      <w:r w:rsidRPr="00BF57FF">
        <w:rPr>
          <w:rFonts w:ascii="Arial" w:hAnsi="Arial" w:cs="Arial"/>
        </w:rPr>
        <w:t>, 159(1), pp. 48-61.</w:t>
      </w:r>
    </w:p>
    <w:p w:rsidRPr="00BF57FF" w:rsidR="00DB5214" w:rsidP="00A70BBB" w:rsidRDefault="00DB5214" w14:paraId="138CAECD" w14:textId="77777777">
      <w:pPr>
        <w:spacing w:line="360" w:lineRule="auto"/>
        <w:rPr>
          <w:rFonts w:ascii="Arial" w:hAnsi="Arial" w:cs="Arial"/>
        </w:rPr>
      </w:pPr>
      <w:r w:rsidRPr="00BF57FF">
        <w:rPr>
          <w:rFonts w:ascii="Arial" w:hAnsi="Arial" w:cs="Arial"/>
        </w:rPr>
        <w:t xml:space="preserve">Asres, G.D. et al. (2025) 'Traditional medicine use among rabies exposed individuals in Ethiopia: a systematic review and meta-analysis', </w:t>
      </w:r>
      <w:r w:rsidRPr="00BF57FF">
        <w:rPr>
          <w:rFonts w:ascii="Arial" w:hAnsi="Arial" w:cs="Arial"/>
          <w:i/>
          <w:iCs/>
        </w:rPr>
        <w:t>PLoS Neglected Tropical Diseases</w:t>
      </w:r>
      <w:r w:rsidRPr="00BF57FF">
        <w:rPr>
          <w:rFonts w:ascii="Arial" w:hAnsi="Arial" w:cs="Arial"/>
        </w:rPr>
        <w:t xml:space="preserve">, 19(7), e0013319. </w:t>
      </w:r>
    </w:p>
    <w:p w:rsidRPr="00BF57FF" w:rsidR="00DB5214" w:rsidP="00A70BBB" w:rsidRDefault="00DB5214" w14:paraId="171AA792" w14:textId="77777777">
      <w:pPr>
        <w:spacing w:line="360" w:lineRule="auto"/>
        <w:rPr>
          <w:rFonts w:ascii="Arial" w:hAnsi="Arial" w:cs="Arial"/>
        </w:rPr>
      </w:pPr>
      <w:r w:rsidRPr="00BF57FF">
        <w:rPr>
          <w:rFonts w:ascii="Arial" w:hAnsi="Arial" w:cs="Arial"/>
        </w:rPr>
        <w:t xml:space="preserve">Aveyard, H. (2014) </w:t>
      </w:r>
      <w:r w:rsidRPr="00BF57FF">
        <w:rPr>
          <w:rFonts w:ascii="Arial" w:hAnsi="Arial" w:cs="Arial"/>
          <w:i/>
          <w:iCs/>
        </w:rPr>
        <w:t>Doing a literature review in health and social care: a practical guide</w:t>
      </w:r>
      <w:r w:rsidRPr="00BF57FF">
        <w:rPr>
          <w:rFonts w:ascii="Arial" w:hAnsi="Arial" w:cs="Arial"/>
        </w:rPr>
        <w:t>. 3rd edn. McGraw-Hill Education/Open University Press.</w:t>
      </w:r>
    </w:p>
    <w:p w:rsidRPr="00BF57FF" w:rsidR="00DB5214" w:rsidP="00A70BBB" w:rsidRDefault="00DB5214" w14:paraId="749B4F3F" w14:textId="77777777">
      <w:pPr>
        <w:spacing w:line="360" w:lineRule="auto"/>
        <w:rPr>
          <w:rFonts w:ascii="Arial" w:hAnsi="Arial" w:cs="Arial"/>
        </w:rPr>
      </w:pPr>
      <w:r w:rsidRPr="00BF57FF">
        <w:rPr>
          <w:rFonts w:ascii="Arial" w:hAnsi="Arial" w:cs="Arial"/>
        </w:rPr>
        <w:t xml:space="preserve">Aveyard, H. (2019) </w:t>
      </w:r>
      <w:r w:rsidRPr="00BF57FF">
        <w:rPr>
          <w:rFonts w:ascii="Arial" w:hAnsi="Arial" w:cs="Arial"/>
          <w:i/>
          <w:iCs/>
        </w:rPr>
        <w:t>Doing a literature review in health and social care: a practical guide</w:t>
      </w:r>
      <w:r w:rsidRPr="00BF57FF">
        <w:rPr>
          <w:rFonts w:ascii="Arial" w:hAnsi="Arial" w:cs="Arial"/>
        </w:rPr>
        <w:t>. 4th edn. Open University Press.</w:t>
      </w:r>
    </w:p>
    <w:p w:rsidRPr="00BF57FF" w:rsidR="00DB5214" w:rsidP="00A70BBB" w:rsidRDefault="00DB5214" w14:paraId="053C2178" w14:textId="77777777">
      <w:pPr>
        <w:spacing w:line="360" w:lineRule="auto"/>
        <w:rPr>
          <w:rFonts w:ascii="Arial" w:hAnsi="Arial" w:cs="Arial"/>
        </w:rPr>
      </w:pPr>
      <w:r w:rsidRPr="00BF57FF">
        <w:rPr>
          <w:rFonts w:ascii="Arial" w:hAnsi="Arial" w:cs="Arial"/>
        </w:rPr>
        <w:t xml:space="preserve">Beasley, E.A., Wallace, R.M., Coetzer, A., Nel, L.H. and Pieracci, E.G. (2022) 'Roles of traditional medicine and traditional healers for rabies prevention and potential impacts on post-exposure prophylaxis: a literature review', </w:t>
      </w:r>
      <w:r w:rsidRPr="00BF57FF">
        <w:rPr>
          <w:rFonts w:ascii="Arial" w:hAnsi="Arial" w:cs="Arial"/>
          <w:i/>
          <w:iCs/>
        </w:rPr>
        <w:t>PLoS Neglected Tropical Diseases</w:t>
      </w:r>
      <w:r w:rsidRPr="00BF57FF">
        <w:rPr>
          <w:rFonts w:ascii="Arial" w:hAnsi="Arial" w:cs="Arial"/>
        </w:rPr>
        <w:t>, 16(1), e0010087.</w:t>
      </w:r>
    </w:p>
    <w:p w:rsidRPr="00BF57FF" w:rsidR="00DB5214" w:rsidP="00A70BBB" w:rsidRDefault="00DB5214" w14:paraId="6EDCBC8D" w14:textId="77777777">
      <w:pPr>
        <w:spacing w:line="360" w:lineRule="auto"/>
        <w:rPr>
          <w:rFonts w:ascii="Arial" w:hAnsi="Arial" w:cs="Arial"/>
        </w:rPr>
      </w:pPr>
      <w:r w:rsidRPr="00BF57FF">
        <w:rPr>
          <w:rFonts w:ascii="Arial" w:hAnsi="Arial" w:cs="Arial"/>
        </w:rPr>
        <w:t xml:space="preserve">Bernard, M.C., Boudet, F., Pineda-Peña, A.C. and Guinet-Morlot, F. (2022) 'Inhibitory effect of concomitantly administered rabies immunoglobulins on the immunogenicity of commercial and candidate human rabies vaccines in hamsters', </w:t>
      </w:r>
      <w:r w:rsidRPr="00BF57FF">
        <w:rPr>
          <w:rFonts w:ascii="Arial" w:hAnsi="Arial" w:cs="Arial"/>
          <w:i/>
          <w:iCs/>
        </w:rPr>
        <w:t>Scientific Reports</w:t>
      </w:r>
      <w:r w:rsidRPr="00BF57FF">
        <w:rPr>
          <w:rFonts w:ascii="Arial" w:hAnsi="Arial" w:cs="Arial"/>
        </w:rPr>
        <w:t>, 12(1), 6570.</w:t>
      </w:r>
    </w:p>
    <w:p w:rsidRPr="00BF57FF" w:rsidR="00DB5214" w:rsidP="00A70BBB" w:rsidRDefault="00DB5214" w14:paraId="253A63C3" w14:textId="77777777">
      <w:pPr>
        <w:spacing w:line="360" w:lineRule="auto"/>
        <w:rPr>
          <w:rFonts w:ascii="Arial" w:hAnsi="Arial" w:cs="Arial"/>
        </w:rPr>
      </w:pPr>
      <w:r w:rsidRPr="00BF57FF">
        <w:rPr>
          <w:rFonts w:ascii="Arial" w:hAnsi="Arial" w:cs="Arial"/>
        </w:rPr>
        <w:t xml:space="preserve">Braun, V. and Clarke, V. (2006) 'Using thematic analysis in psychology', </w:t>
      </w:r>
      <w:r w:rsidRPr="00BF57FF">
        <w:rPr>
          <w:rFonts w:ascii="Arial" w:hAnsi="Arial" w:cs="Arial"/>
          <w:i/>
          <w:iCs/>
        </w:rPr>
        <w:t>Qualitative Research in Psychology</w:t>
      </w:r>
      <w:r w:rsidRPr="00BF57FF">
        <w:rPr>
          <w:rFonts w:ascii="Arial" w:hAnsi="Arial" w:cs="Arial"/>
        </w:rPr>
        <w:t>, 3, pp. 77-101.</w:t>
      </w:r>
    </w:p>
    <w:p w:rsidRPr="00BF57FF" w:rsidR="00DB5214" w:rsidP="00A70BBB" w:rsidRDefault="00DB5214" w14:paraId="4C11F11A" w14:textId="77777777">
      <w:pPr>
        <w:spacing w:line="360" w:lineRule="auto"/>
        <w:rPr>
          <w:rFonts w:ascii="Arial" w:hAnsi="Arial" w:cs="Arial"/>
        </w:rPr>
      </w:pPr>
      <w:r w:rsidRPr="00BF57FF">
        <w:rPr>
          <w:rFonts w:ascii="Arial" w:hAnsi="Arial" w:cs="Arial"/>
        </w:rPr>
        <w:t xml:space="preserve">Braun, V. and Clarke, V. (2019) 'Reflecting on reflexive thematic analysis', </w:t>
      </w:r>
      <w:r w:rsidRPr="00BF57FF">
        <w:rPr>
          <w:rFonts w:ascii="Arial" w:hAnsi="Arial" w:cs="Arial"/>
          <w:i/>
          <w:iCs/>
        </w:rPr>
        <w:t>Qualitative Research in Sport, Exercise and Health</w:t>
      </w:r>
      <w:r w:rsidRPr="00BF57FF">
        <w:rPr>
          <w:rFonts w:ascii="Arial" w:hAnsi="Arial" w:cs="Arial"/>
        </w:rPr>
        <w:t>, 11(4), pp. 589-597.</w:t>
      </w:r>
    </w:p>
    <w:p w:rsidRPr="00BF57FF" w:rsidR="00DB5214" w:rsidP="00A70BBB" w:rsidRDefault="00DB5214" w14:paraId="675B544D" w14:textId="77777777">
      <w:pPr>
        <w:spacing w:line="360" w:lineRule="auto"/>
        <w:rPr>
          <w:rFonts w:ascii="Arial" w:hAnsi="Arial" w:cs="Arial"/>
        </w:rPr>
      </w:pPr>
      <w:r w:rsidRPr="00BF57FF">
        <w:rPr>
          <w:rFonts w:ascii="Arial" w:hAnsi="Arial" w:cs="Arial"/>
        </w:rPr>
        <w:t xml:space="preserve">Brookes, V.J., Kennedy, E., Dhagapan, P. and Ward, M.P. (2017) 'Qualitative research to design sustainable community-based surveillance for rabies in Northern Australia and Papua New Guinea', </w:t>
      </w:r>
      <w:r w:rsidRPr="00BF57FF">
        <w:rPr>
          <w:rFonts w:ascii="Arial" w:hAnsi="Arial" w:cs="Arial"/>
          <w:i/>
          <w:iCs/>
        </w:rPr>
        <w:t>Frontiers in Veterinary Science</w:t>
      </w:r>
      <w:r w:rsidRPr="00BF57FF">
        <w:rPr>
          <w:rFonts w:ascii="Arial" w:hAnsi="Arial" w:cs="Arial"/>
        </w:rPr>
        <w:t>, 4, 19.</w:t>
      </w:r>
    </w:p>
    <w:p w:rsidRPr="00BF57FF" w:rsidR="00DB5214" w:rsidP="00A70BBB" w:rsidRDefault="00DB5214" w14:paraId="35BDF05B" w14:textId="77777777">
      <w:pPr>
        <w:spacing w:line="360" w:lineRule="auto"/>
        <w:rPr>
          <w:rFonts w:ascii="Arial" w:hAnsi="Arial" w:cs="Arial"/>
        </w:rPr>
      </w:pPr>
      <w:r w:rsidRPr="00BF57FF">
        <w:rPr>
          <w:rFonts w:ascii="Arial" w:hAnsi="Arial" w:cs="Arial"/>
        </w:rPr>
        <w:t xml:space="preserve">Cleaveland, S., Lankester, F., Townsend, S., Lembo, T. and Hampson, K. (2014) 'Rabies control and elimination: a test case for One Health', </w:t>
      </w:r>
      <w:r w:rsidRPr="00BF57FF">
        <w:rPr>
          <w:rFonts w:ascii="Arial" w:hAnsi="Arial" w:cs="Arial"/>
          <w:i/>
          <w:iCs/>
        </w:rPr>
        <w:t>The Veterinary Record</w:t>
      </w:r>
      <w:r w:rsidRPr="00BF57FF">
        <w:rPr>
          <w:rFonts w:ascii="Arial" w:hAnsi="Arial" w:cs="Arial"/>
        </w:rPr>
        <w:t>, 175(8), pp. 188-193.</w:t>
      </w:r>
    </w:p>
    <w:p w:rsidRPr="00BF57FF" w:rsidR="00DB5214" w:rsidP="00A70BBB" w:rsidRDefault="00DB5214" w14:paraId="52BA997E" w14:textId="77777777">
      <w:pPr>
        <w:spacing w:line="360" w:lineRule="auto"/>
        <w:rPr>
          <w:rFonts w:ascii="Arial" w:hAnsi="Arial" w:cs="Arial"/>
        </w:rPr>
      </w:pPr>
      <w:r w:rsidRPr="00BF57FF">
        <w:rPr>
          <w:rFonts w:ascii="Arial" w:hAnsi="Arial" w:cs="Arial"/>
        </w:rPr>
        <w:t xml:space="preserve">Commission on Social Determinants of Health (2008) </w:t>
      </w:r>
      <w:r w:rsidRPr="00BF57FF">
        <w:rPr>
          <w:rFonts w:ascii="Arial" w:hAnsi="Arial" w:cs="Arial"/>
          <w:i/>
          <w:iCs/>
        </w:rPr>
        <w:t>Closing the gap in a generation: health equity through action on the social determinants of health – final report of the Commission on Social Determinants of Health: executive summary</w:t>
      </w:r>
      <w:r w:rsidRPr="00BF57FF">
        <w:rPr>
          <w:rFonts w:ascii="Arial" w:hAnsi="Arial" w:cs="Arial"/>
        </w:rPr>
        <w:t xml:space="preserve">. Geneva: World Health Organization. Available at: </w:t>
      </w:r>
      <w:hyperlink w:history="1" r:id="rId17">
        <w:r w:rsidRPr="00BF57FF">
          <w:rPr>
            <w:rStyle w:val="Hyperlink"/>
            <w:rFonts w:ascii="Arial" w:hAnsi="Arial" w:cs="Arial"/>
          </w:rPr>
          <w:t>https://www.who.int/publications/i/item/WHO-IER-CSDH-08.1</w:t>
        </w:r>
      </w:hyperlink>
      <w:r w:rsidRPr="00BF57FF">
        <w:rPr>
          <w:rFonts w:ascii="Arial" w:hAnsi="Arial" w:cs="Arial"/>
        </w:rPr>
        <w:t xml:space="preserve"> (Accessed: 25 Feb 2026).</w:t>
      </w:r>
    </w:p>
    <w:p w:rsidRPr="00BF57FF" w:rsidR="00DB5214" w:rsidP="00A70BBB" w:rsidRDefault="00DB5214" w14:paraId="5B9F46B8" w14:textId="77777777">
      <w:pPr>
        <w:spacing w:line="360" w:lineRule="auto"/>
        <w:rPr>
          <w:rFonts w:ascii="Arial" w:hAnsi="Arial" w:cs="Arial"/>
        </w:rPr>
      </w:pPr>
      <w:r w:rsidRPr="00BF57FF">
        <w:rPr>
          <w:rFonts w:ascii="Arial" w:hAnsi="Arial" w:cs="Arial"/>
        </w:rPr>
        <w:t xml:space="preserve">Cooke, A., Smith, D. and Booth, A. (2012) 'Beyond PICO: the SPIDER tool for qualitative evidence synthesis', </w:t>
      </w:r>
      <w:r w:rsidRPr="00BF57FF">
        <w:rPr>
          <w:rFonts w:ascii="Arial" w:hAnsi="Arial" w:cs="Arial"/>
          <w:i/>
          <w:iCs/>
        </w:rPr>
        <w:t>Qualitative Health Research</w:t>
      </w:r>
      <w:r w:rsidRPr="00BF57FF">
        <w:rPr>
          <w:rFonts w:ascii="Arial" w:hAnsi="Arial" w:cs="Arial"/>
        </w:rPr>
        <w:t>, 22(10), pp. 1435-1443.</w:t>
      </w:r>
    </w:p>
    <w:p w:rsidRPr="00BF57FF" w:rsidR="00DB5214" w:rsidP="00A70BBB" w:rsidRDefault="00DB5214" w14:paraId="0868F9C8" w14:textId="77777777">
      <w:pPr>
        <w:spacing w:line="360" w:lineRule="auto"/>
        <w:rPr>
          <w:rFonts w:ascii="Arial" w:hAnsi="Arial" w:cs="Arial"/>
        </w:rPr>
      </w:pPr>
      <w:r w:rsidRPr="00BF57FF">
        <w:rPr>
          <w:rFonts w:ascii="Arial" w:hAnsi="Arial" w:cs="Arial"/>
        </w:rPr>
        <w:t xml:space="preserve">Creswell, J.W. and Creswell, J.D. (2018) </w:t>
      </w:r>
      <w:r w:rsidRPr="00BF57FF">
        <w:rPr>
          <w:rFonts w:ascii="Arial" w:hAnsi="Arial" w:cs="Arial"/>
          <w:i/>
          <w:iCs/>
        </w:rPr>
        <w:t>Research design: qualitative, quantitative, and mixed methods approaches</w:t>
      </w:r>
      <w:r w:rsidRPr="00BF57FF">
        <w:rPr>
          <w:rFonts w:ascii="Arial" w:hAnsi="Arial" w:cs="Arial"/>
        </w:rPr>
        <w:t>. 5th edn. SAGE.</w:t>
      </w:r>
    </w:p>
    <w:p w:rsidRPr="00BF57FF" w:rsidR="00DB5214" w:rsidP="00A70BBB" w:rsidRDefault="00DB5214" w14:paraId="31521BE7" w14:textId="108C9428">
      <w:pPr>
        <w:spacing w:line="360" w:lineRule="auto"/>
        <w:rPr>
          <w:rFonts w:ascii="Arial" w:hAnsi="Arial" w:cs="Arial"/>
        </w:rPr>
      </w:pPr>
      <w:r w:rsidRPr="00BF57FF">
        <w:rPr>
          <w:rFonts w:ascii="Arial" w:hAnsi="Arial" w:cs="Arial"/>
        </w:rPr>
        <w:t>Critical Appraisal Skills Programme (202</w:t>
      </w:r>
      <w:r w:rsidRPr="00BF57FF" w:rsidR="002E007C">
        <w:rPr>
          <w:rFonts w:ascii="Arial" w:hAnsi="Arial" w:cs="Arial"/>
        </w:rPr>
        <w:t>2</w:t>
      </w:r>
      <w:r w:rsidRPr="00BF57FF">
        <w:rPr>
          <w:rFonts w:ascii="Arial" w:hAnsi="Arial" w:cs="Arial"/>
        </w:rPr>
        <w:t xml:space="preserve">) </w:t>
      </w:r>
      <w:r w:rsidRPr="00BF57FF">
        <w:rPr>
          <w:rFonts w:ascii="Arial" w:hAnsi="Arial" w:cs="Arial"/>
          <w:i/>
          <w:iCs/>
        </w:rPr>
        <w:t>Critical Appraisal Skills Programme (CASP)</w:t>
      </w:r>
      <w:r w:rsidRPr="00BF57FF">
        <w:rPr>
          <w:rFonts w:ascii="Arial" w:hAnsi="Arial" w:cs="Arial"/>
        </w:rPr>
        <w:t xml:space="preserve">. Available at: </w:t>
      </w:r>
      <w:hyperlink w:history="1" r:id="rId18">
        <w:r w:rsidRPr="00BF57FF">
          <w:rPr>
            <w:rStyle w:val="Hyperlink"/>
            <w:rFonts w:ascii="Arial" w:hAnsi="Arial" w:cs="Arial"/>
          </w:rPr>
          <w:t>https://casp-uk.net/casp-tools-checklists/</w:t>
        </w:r>
      </w:hyperlink>
      <w:r w:rsidRPr="00BF57FF">
        <w:rPr>
          <w:rFonts w:ascii="Arial" w:hAnsi="Arial" w:cs="Arial"/>
        </w:rPr>
        <w:t xml:space="preserve"> (Accessed: 15 March 202</w:t>
      </w:r>
      <w:r w:rsidRPr="00BF57FF" w:rsidR="002E007C">
        <w:rPr>
          <w:rFonts w:ascii="Arial" w:hAnsi="Arial" w:cs="Arial"/>
        </w:rPr>
        <w:t>6</w:t>
      </w:r>
      <w:r w:rsidRPr="00BF57FF">
        <w:rPr>
          <w:rFonts w:ascii="Arial" w:hAnsi="Arial" w:cs="Arial"/>
        </w:rPr>
        <w:t>).</w:t>
      </w:r>
    </w:p>
    <w:p w:rsidRPr="00BF57FF" w:rsidR="00DB5214" w:rsidP="00A70BBB" w:rsidRDefault="00DB5214" w14:paraId="36053D2B" w14:textId="77777777">
      <w:pPr>
        <w:spacing w:line="360" w:lineRule="auto"/>
        <w:rPr>
          <w:rFonts w:ascii="Arial" w:hAnsi="Arial" w:cs="Arial"/>
        </w:rPr>
      </w:pPr>
      <w:r w:rsidRPr="00BF57FF">
        <w:rPr>
          <w:rFonts w:ascii="Arial" w:hAnsi="Arial" w:cs="Arial"/>
        </w:rPr>
        <w:t xml:space="preserve">Das, M.K., Arora, N.K., Mathew, T., Vyas, B., Sindhu, M. and Yadav, A. (2019) 'Temperature integrity and exposure to freezing temperature during vaccine transfer under the universal immunization program in three states of India', </w:t>
      </w:r>
      <w:r w:rsidRPr="00BF57FF">
        <w:rPr>
          <w:rFonts w:ascii="Arial" w:hAnsi="Arial" w:cs="Arial"/>
          <w:i/>
          <w:iCs/>
        </w:rPr>
        <w:t>Indian Journal of Public Health</w:t>
      </w:r>
      <w:r w:rsidRPr="00BF57FF">
        <w:rPr>
          <w:rFonts w:ascii="Arial" w:hAnsi="Arial" w:cs="Arial"/>
        </w:rPr>
        <w:t>, 63(2), pp. 139-142.</w:t>
      </w:r>
    </w:p>
    <w:p w:rsidRPr="00BF57FF" w:rsidR="00DB5214" w:rsidP="00A70BBB" w:rsidRDefault="00DB5214" w14:paraId="020862B5" w14:textId="77777777">
      <w:pPr>
        <w:spacing w:line="360" w:lineRule="auto"/>
        <w:rPr>
          <w:rFonts w:ascii="Arial" w:hAnsi="Arial" w:cs="Arial"/>
        </w:rPr>
      </w:pPr>
      <w:r w:rsidRPr="00BF57FF">
        <w:rPr>
          <w:rFonts w:ascii="Arial" w:hAnsi="Arial" w:cs="Arial"/>
        </w:rPr>
        <w:t xml:space="preserve">Das, V.N.R. et al. (2021) 'Improved kala-azar case management through implementation of health facility-based sentinel sites surveillance system in Bihar, India', </w:t>
      </w:r>
      <w:r w:rsidRPr="00BF57FF">
        <w:rPr>
          <w:rFonts w:ascii="Arial" w:hAnsi="Arial" w:cs="Arial"/>
          <w:i/>
          <w:iCs/>
        </w:rPr>
        <w:t>PLoS Neglected Tropical Diseases</w:t>
      </w:r>
      <w:r w:rsidRPr="00BF57FF">
        <w:rPr>
          <w:rFonts w:ascii="Arial" w:hAnsi="Arial" w:cs="Arial"/>
        </w:rPr>
        <w:t>, 15(8), e0009598.</w:t>
      </w:r>
    </w:p>
    <w:p w:rsidRPr="00BF57FF" w:rsidR="00DB5214" w:rsidP="00A70BBB" w:rsidRDefault="00DB5214" w14:paraId="16BF6331" w14:textId="77777777">
      <w:pPr>
        <w:spacing w:line="360" w:lineRule="auto"/>
        <w:rPr>
          <w:rFonts w:ascii="Arial" w:hAnsi="Arial" w:cs="Arial"/>
        </w:rPr>
      </w:pPr>
      <w:r w:rsidRPr="00BF57FF">
        <w:rPr>
          <w:rFonts w:ascii="Arial" w:hAnsi="Arial" w:cs="Arial"/>
        </w:rPr>
        <w:t xml:space="preserve">Dasgupta, R. and Roy, P. (2023) 'National Action Plan for Dog-Mediated Rabies Elimination: a One Health approach to catalytic response is key to India achieving the target by 2030', </w:t>
      </w:r>
      <w:r w:rsidRPr="00BF57FF">
        <w:rPr>
          <w:rFonts w:ascii="Arial" w:hAnsi="Arial" w:cs="Arial"/>
          <w:i/>
          <w:iCs/>
        </w:rPr>
        <w:t>Indian Journal of Community Medicine</w:t>
      </w:r>
      <w:r w:rsidRPr="00BF57FF">
        <w:rPr>
          <w:rFonts w:ascii="Arial" w:hAnsi="Arial" w:cs="Arial"/>
        </w:rPr>
        <w:t>, 48(5), pp. 637-638.</w:t>
      </w:r>
    </w:p>
    <w:p w:rsidRPr="00BF57FF" w:rsidR="00DB5214" w:rsidP="00A70BBB" w:rsidRDefault="00DB5214" w14:paraId="474D1370" w14:textId="77777777">
      <w:pPr>
        <w:spacing w:line="360" w:lineRule="auto"/>
        <w:rPr>
          <w:rFonts w:ascii="Arial" w:hAnsi="Arial" w:cs="Arial"/>
        </w:rPr>
      </w:pPr>
      <w:r w:rsidRPr="00BF57FF">
        <w:rPr>
          <w:rFonts w:ascii="Arial" w:hAnsi="Arial" w:cs="Arial"/>
        </w:rPr>
        <w:t xml:space="preserve">Debnath, A., Toppo, V.G., Panwar, N., Deori, T.J., Khongsit, A. and Kishore, J. (2025) 'Compliance of post-exposure prophylaxis (PEP) following animal bite in Indian population: a systematic review and meta-analysis', </w:t>
      </w:r>
      <w:r w:rsidRPr="00BF57FF">
        <w:rPr>
          <w:rFonts w:ascii="Arial" w:hAnsi="Arial" w:cs="Arial"/>
          <w:i/>
          <w:iCs/>
        </w:rPr>
        <w:t>Journal of Family Medicine and Primary Care</w:t>
      </w:r>
      <w:r w:rsidRPr="00BF57FF">
        <w:rPr>
          <w:rFonts w:ascii="Arial" w:hAnsi="Arial" w:cs="Arial"/>
        </w:rPr>
        <w:t xml:space="preserve">, 14(8), pp. 3121-3131. </w:t>
      </w:r>
    </w:p>
    <w:p w:rsidRPr="00BF57FF" w:rsidR="00DB5214" w:rsidP="00A70BBB" w:rsidRDefault="00DB5214" w14:paraId="72EF88D9" w14:textId="77777777">
      <w:pPr>
        <w:spacing w:line="360" w:lineRule="auto"/>
        <w:rPr>
          <w:rFonts w:ascii="Arial" w:hAnsi="Arial" w:cs="Arial"/>
        </w:rPr>
      </w:pPr>
      <w:r w:rsidRPr="00BF57FF">
        <w:rPr>
          <w:rFonts w:ascii="Arial" w:hAnsi="Arial" w:cs="Arial"/>
        </w:rPr>
        <w:t xml:space="preserve">Deray, R. et al. (2018) 'Protecting children from rabies with education and pre-exposure prophylaxis: a school-based campaign in El Nido, Palawan, Philippines', </w:t>
      </w:r>
      <w:r w:rsidRPr="00BF57FF">
        <w:rPr>
          <w:rFonts w:ascii="Arial" w:hAnsi="Arial" w:cs="Arial"/>
          <w:i/>
          <w:iCs/>
        </w:rPr>
        <w:t>PLoS One</w:t>
      </w:r>
      <w:r w:rsidRPr="00BF57FF">
        <w:rPr>
          <w:rFonts w:ascii="Arial" w:hAnsi="Arial" w:cs="Arial"/>
        </w:rPr>
        <w:t>, 13(1), e0189596.</w:t>
      </w:r>
    </w:p>
    <w:p w:rsidRPr="00BF57FF" w:rsidR="00DB5214" w:rsidP="00A70BBB" w:rsidRDefault="00DB5214" w14:paraId="6A61F2E0" w14:textId="77777777">
      <w:pPr>
        <w:spacing w:line="360" w:lineRule="auto"/>
        <w:rPr>
          <w:rFonts w:ascii="Arial" w:hAnsi="Arial" w:cs="Arial"/>
        </w:rPr>
      </w:pPr>
      <w:r w:rsidRPr="00BF57FF">
        <w:rPr>
          <w:rFonts w:ascii="Arial" w:hAnsi="Arial" w:cs="Arial"/>
        </w:rPr>
        <w:t xml:space="preserve">Downes, M.J., Brennan, M.L., Williams, H.C. and Dean, R.S. (2016) 'Development of a critical appraisal tool to assess the quality of cross-sectional studies (AXIS)', </w:t>
      </w:r>
      <w:r w:rsidRPr="00BF57FF">
        <w:rPr>
          <w:rFonts w:ascii="Arial" w:hAnsi="Arial" w:cs="Arial"/>
          <w:i/>
          <w:iCs/>
        </w:rPr>
        <w:t>BMJ Open</w:t>
      </w:r>
      <w:r w:rsidRPr="00BF57FF">
        <w:rPr>
          <w:rFonts w:ascii="Arial" w:hAnsi="Arial" w:cs="Arial"/>
        </w:rPr>
        <w:t xml:space="preserve">, 6(12), e011458. </w:t>
      </w:r>
    </w:p>
    <w:p w:rsidRPr="00BF57FF" w:rsidR="00DB5214" w:rsidP="00A70BBB" w:rsidRDefault="00DB5214" w14:paraId="4AAF79EE" w14:textId="77777777">
      <w:pPr>
        <w:spacing w:line="360" w:lineRule="auto"/>
        <w:rPr>
          <w:rFonts w:ascii="Arial" w:hAnsi="Arial" w:cs="Arial"/>
        </w:rPr>
      </w:pPr>
      <w:r w:rsidRPr="00BF57FF">
        <w:rPr>
          <w:rFonts w:ascii="Arial" w:hAnsi="Arial" w:cs="Arial"/>
        </w:rPr>
        <w:t xml:space="preserve">FAO, UNEP, WHO and WOAH (2022) </w:t>
      </w:r>
      <w:r w:rsidRPr="00BF57FF">
        <w:rPr>
          <w:rFonts w:ascii="Arial" w:hAnsi="Arial" w:cs="Arial"/>
          <w:i/>
          <w:iCs/>
        </w:rPr>
        <w:t>One Health Joint Plan of Action (2022–2026): working together for the health of humans, animals, plants and the environment</w:t>
      </w:r>
      <w:r w:rsidRPr="00BF57FF">
        <w:rPr>
          <w:rFonts w:ascii="Arial" w:hAnsi="Arial" w:cs="Arial"/>
        </w:rPr>
        <w:t xml:space="preserve">. Rome: Food and Agriculture Organization. Available at: </w:t>
      </w:r>
      <w:hyperlink w:history="1" r:id="rId19">
        <w:r w:rsidRPr="00BF57FF">
          <w:rPr>
            <w:rStyle w:val="Hyperlink"/>
            <w:rFonts w:ascii="Arial" w:hAnsi="Arial" w:cs="Arial"/>
          </w:rPr>
          <w:t>https://www.who.int/publications/i/item/9789240059139</w:t>
        </w:r>
      </w:hyperlink>
      <w:r w:rsidRPr="00BF57FF">
        <w:rPr>
          <w:rFonts w:ascii="Arial" w:hAnsi="Arial" w:cs="Arial"/>
        </w:rPr>
        <w:t xml:space="preserve"> (Accessed: 15 April 2026).</w:t>
      </w:r>
    </w:p>
    <w:p w:rsidRPr="00BF57FF" w:rsidR="00DB5214" w:rsidP="00A70BBB" w:rsidRDefault="00DB5214" w14:paraId="48E57148" w14:textId="77777777">
      <w:pPr>
        <w:spacing w:line="360" w:lineRule="auto"/>
        <w:rPr>
          <w:rFonts w:ascii="Arial" w:hAnsi="Arial" w:cs="Arial"/>
        </w:rPr>
      </w:pPr>
      <w:r w:rsidRPr="00BF57FF">
        <w:rPr>
          <w:rFonts w:ascii="Arial" w:hAnsi="Arial" w:cs="Arial"/>
        </w:rPr>
        <w:t xml:space="preserve">Fielding, H.R. et al. (2023) 'Capturing free-roaming dogs for sterilisation: a multi-site study in Goa, India', </w:t>
      </w:r>
      <w:r w:rsidRPr="00BF57FF">
        <w:rPr>
          <w:rFonts w:ascii="Arial" w:hAnsi="Arial" w:cs="Arial"/>
          <w:i/>
          <w:iCs/>
        </w:rPr>
        <w:t>Preventive Veterinary Medicine</w:t>
      </w:r>
      <w:r w:rsidRPr="00BF57FF">
        <w:rPr>
          <w:rFonts w:ascii="Arial" w:hAnsi="Arial" w:cs="Arial"/>
        </w:rPr>
        <w:t>, 218, 105996.</w:t>
      </w:r>
    </w:p>
    <w:p w:rsidRPr="00BF57FF" w:rsidR="00DB5214" w:rsidP="00A70BBB" w:rsidRDefault="00DB5214" w14:paraId="2537BE7C" w14:textId="77777777">
      <w:pPr>
        <w:spacing w:line="360" w:lineRule="auto"/>
        <w:rPr>
          <w:rFonts w:ascii="Arial" w:hAnsi="Arial" w:cs="Arial"/>
        </w:rPr>
      </w:pPr>
      <w:r w:rsidRPr="00BF57FF">
        <w:rPr>
          <w:rFonts w:ascii="Arial" w:hAnsi="Arial" w:cs="Arial"/>
        </w:rPr>
        <w:t xml:space="preserve">Fielding, H.R. et al. (2025) 'Managing free-roaming domestic dog populations using surgical sterilisation: a randomised controlled trial', </w:t>
      </w:r>
      <w:r w:rsidRPr="00BF57FF">
        <w:rPr>
          <w:rFonts w:ascii="Arial" w:hAnsi="Arial" w:cs="Arial"/>
          <w:i/>
          <w:iCs/>
        </w:rPr>
        <w:t>Scientific Reports</w:t>
      </w:r>
      <w:r w:rsidRPr="00BF57FF">
        <w:rPr>
          <w:rFonts w:ascii="Arial" w:hAnsi="Arial" w:cs="Arial"/>
        </w:rPr>
        <w:t>, 15(1), 14221.</w:t>
      </w:r>
    </w:p>
    <w:p w:rsidRPr="00BF57FF" w:rsidR="00DB5214" w:rsidP="00A70BBB" w:rsidRDefault="00DB5214" w14:paraId="66936107" w14:textId="77777777">
      <w:pPr>
        <w:spacing w:line="360" w:lineRule="auto"/>
        <w:rPr>
          <w:rFonts w:ascii="Arial" w:hAnsi="Arial" w:cs="Arial"/>
        </w:rPr>
      </w:pPr>
      <w:r w:rsidRPr="00BF57FF">
        <w:rPr>
          <w:rFonts w:ascii="Arial" w:hAnsi="Arial" w:cs="Arial"/>
        </w:rPr>
        <w:t xml:space="preserve">Fitzpatrick, M.C., Shah, H.A., Pandey, A., Bilinski, A.M., Kakkar, M., Clark, A.D., Townsend, J.P., Abbas, S.S. and Galvani, A.P. (2016) 'One Health approach to cost-effective rabies control in India', </w:t>
      </w:r>
      <w:r w:rsidRPr="00BF57FF">
        <w:rPr>
          <w:rFonts w:ascii="Arial" w:hAnsi="Arial" w:cs="Arial"/>
          <w:i/>
          <w:iCs/>
        </w:rPr>
        <w:t>Proceedings of the National Academy of Sciences of the United States of America</w:t>
      </w:r>
      <w:r w:rsidRPr="00BF57FF">
        <w:rPr>
          <w:rFonts w:ascii="Arial" w:hAnsi="Arial" w:cs="Arial"/>
        </w:rPr>
        <w:t>, 113(51), pp. 14574-14581.</w:t>
      </w:r>
    </w:p>
    <w:p w:rsidRPr="00BF57FF" w:rsidR="00DB5214" w:rsidP="00A70BBB" w:rsidRDefault="00DB5214" w14:paraId="3EFE3C69" w14:textId="77777777">
      <w:pPr>
        <w:spacing w:line="360" w:lineRule="auto"/>
        <w:rPr>
          <w:rFonts w:ascii="Arial" w:hAnsi="Arial" w:cs="Arial"/>
        </w:rPr>
      </w:pPr>
      <w:r w:rsidRPr="00BF57FF">
        <w:rPr>
          <w:rFonts w:ascii="Arial" w:hAnsi="Arial" w:cs="Arial"/>
        </w:rPr>
        <w:t xml:space="preserve">Fooks, A.R. et al. (2017) 'Rabies', </w:t>
      </w:r>
      <w:r w:rsidRPr="00BF57FF">
        <w:rPr>
          <w:rFonts w:ascii="Arial" w:hAnsi="Arial" w:cs="Arial"/>
          <w:i/>
          <w:iCs/>
        </w:rPr>
        <w:t>Nature Reviews Disease Primers</w:t>
      </w:r>
      <w:r w:rsidRPr="00BF57FF">
        <w:rPr>
          <w:rFonts w:ascii="Arial" w:hAnsi="Arial" w:cs="Arial"/>
        </w:rPr>
        <w:t>, 3, 17091.</w:t>
      </w:r>
    </w:p>
    <w:p w:rsidRPr="00BF57FF" w:rsidR="00DB5214" w:rsidP="00A70BBB" w:rsidRDefault="00DB5214" w14:paraId="3A604D14" w14:textId="77777777">
      <w:pPr>
        <w:spacing w:line="360" w:lineRule="auto"/>
        <w:rPr>
          <w:rFonts w:ascii="Arial" w:hAnsi="Arial" w:cs="Arial"/>
        </w:rPr>
      </w:pPr>
      <w:r w:rsidRPr="00BF57FF">
        <w:rPr>
          <w:rFonts w:ascii="Arial" w:hAnsi="Arial" w:cs="Arial"/>
        </w:rPr>
        <w:t xml:space="preserve">Gadapani, B., Rahini, S. and Manapurath, R.M. (2019) 'Noncompliance of the postexposure prophylactic vaccination following animal bites reporting to a rural primary health center', </w:t>
      </w:r>
      <w:r w:rsidRPr="00BF57FF">
        <w:rPr>
          <w:rFonts w:ascii="Arial" w:hAnsi="Arial" w:cs="Arial"/>
          <w:i/>
          <w:iCs/>
        </w:rPr>
        <w:t>Journal of Family Medicine and Primary Care</w:t>
      </w:r>
      <w:r w:rsidRPr="00BF57FF">
        <w:rPr>
          <w:rFonts w:ascii="Arial" w:hAnsi="Arial" w:cs="Arial"/>
        </w:rPr>
        <w:t>, 8(10), pp. 3258-3262.</w:t>
      </w:r>
    </w:p>
    <w:p w:rsidRPr="00BF57FF" w:rsidR="00DB5214" w:rsidP="00A70BBB" w:rsidRDefault="00DB5214" w14:paraId="1B79D64E" w14:textId="77777777">
      <w:pPr>
        <w:spacing w:line="360" w:lineRule="auto"/>
        <w:rPr>
          <w:rFonts w:ascii="Arial" w:hAnsi="Arial" w:cs="Arial"/>
        </w:rPr>
      </w:pPr>
      <w:r w:rsidRPr="00BF57FF">
        <w:rPr>
          <w:rFonts w:ascii="Arial" w:hAnsi="Arial" w:cs="Arial"/>
        </w:rPr>
        <w:t xml:space="preserve">Gibson, A.D. et al. (2022) 'Elimination of human rabies in Goa, India through an integrated One Health approach', </w:t>
      </w:r>
      <w:r w:rsidRPr="00BF57FF">
        <w:rPr>
          <w:rFonts w:ascii="Arial" w:hAnsi="Arial" w:cs="Arial"/>
          <w:i/>
          <w:iCs/>
        </w:rPr>
        <w:t>Nature Communications</w:t>
      </w:r>
      <w:r w:rsidRPr="00BF57FF">
        <w:rPr>
          <w:rFonts w:ascii="Arial" w:hAnsi="Arial" w:cs="Arial"/>
        </w:rPr>
        <w:t>, 13(1), 2788.</w:t>
      </w:r>
    </w:p>
    <w:p w:rsidRPr="00BF57FF" w:rsidR="00DB5214" w:rsidP="00A70BBB" w:rsidRDefault="00DB5214" w14:paraId="2C1F203D" w14:textId="77777777">
      <w:pPr>
        <w:spacing w:line="360" w:lineRule="auto"/>
        <w:rPr>
          <w:rFonts w:ascii="Arial" w:hAnsi="Arial" w:cs="Arial"/>
        </w:rPr>
      </w:pPr>
      <w:r w:rsidRPr="00BF57FF">
        <w:rPr>
          <w:rFonts w:ascii="Arial" w:hAnsi="Arial" w:cs="Arial"/>
        </w:rPr>
        <w:t xml:space="preserve">Gough, D., Oliver, S. and Thomas, J. (2017) </w:t>
      </w:r>
      <w:r w:rsidRPr="00BF57FF">
        <w:rPr>
          <w:rFonts w:ascii="Arial" w:hAnsi="Arial" w:cs="Arial"/>
          <w:i/>
          <w:iCs/>
        </w:rPr>
        <w:t>An introduction to systematic reviews</w:t>
      </w:r>
      <w:r w:rsidRPr="00BF57FF">
        <w:rPr>
          <w:rFonts w:ascii="Arial" w:hAnsi="Arial" w:cs="Arial"/>
        </w:rPr>
        <w:t>. 2nd edn. SAGE.</w:t>
      </w:r>
    </w:p>
    <w:p w:rsidRPr="00BF57FF" w:rsidR="00DB5214" w:rsidP="00A70BBB" w:rsidRDefault="00DB5214" w14:paraId="41249CF3" w14:textId="77777777">
      <w:pPr>
        <w:spacing w:line="360" w:lineRule="auto"/>
        <w:rPr>
          <w:rFonts w:ascii="Arial" w:hAnsi="Arial" w:cs="Arial"/>
        </w:rPr>
      </w:pPr>
      <w:r w:rsidRPr="00BF57FF">
        <w:rPr>
          <w:rFonts w:ascii="Arial" w:hAnsi="Arial" w:cs="Arial"/>
        </w:rPr>
        <w:t xml:space="preserve">Hampson, K., Dushoff, J., Cleaveland, S., Haydon, D.T., Kaare, M., Packer, C. and Dobson, A. (2009) 'Transmission dynamics and prospects for the elimination of canine rabies', </w:t>
      </w:r>
      <w:r w:rsidRPr="00BF57FF">
        <w:rPr>
          <w:rFonts w:ascii="Arial" w:hAnsi="Arial" w:cs="Arial"/>
          <w:i/>
          <w:iCs/>
        </w:rPr>
        <w:t>PLoS Biology</w:t>
      </w:r>
      <w:r w:rsidRPr="00BF57FF">
        <w:rPr>
          <w:rFonts w:ascii="Arial" w:hAnsi="Arial" w:cs="Arial"/>
        </w:rPr>
        <w:t>, 7(3), e53.</w:t>
      </w:r>
    </w:p>
    <w:p w:rsidRPr="00BF57FF" w:rsidR="00DB5214" w:rsidP="00A70BBB" w:rsidRDefault="00DB5214" w14:paraId="34A5F97C" w14:textId="77777777">
      <w:pPr>
        <w:spacing w:line="360" w:lineRule="auto"/>
        <w:rPr>
          <w:rFonts w:ascii="Arial" w:hAnsi="Arial" w:cs="Arial"/>
        </w:rPr>
      </w:pPr>
      <w:r w:rsidRPr="00BF57FF">
        <w:rPr>
          <w:rFonts w:ascii="Arial" w:hAnsi="Arial" w:cs="Arial"/>
        </w:rPr>
        <w:t xml:space="preserve">Hampson, K. et al. (2015) 'Estimating the global burden of endemic canine rabies', </w:t>
      </w:r>
      <w:r w:rsidRPr="00BF57FF">
        <w:rPr>
          <w:rFonts w:ascii="Arial" w:hAnsi="Arial" w:cs="Arial"/>
          <w:i/>
          <w:iCs/>
        </w:rPr>
        <w:t>PLoS Neglected Tropical Diseases</w:t>
      </w:r>
      <w:r w:rsidRPr="00BF57FF">
        <w:rPr>
          <w:rFonts w:ascii="Arial" w:hAnsi="Arial" w:cs="Arial"/>
        </w:rPr>
        <w:t>, 9(4), e0003709.</w:t>
      </w:r>
    </w:p>
    <w:p w:rsidRPr="00BF57FF" w:rsidR="002E007C" w:rsidP="00A70BBB" w:rsidRDefault="002E007C" w14:paraId="6C8309E7" w14:textId="7A1FD4E1">
      <w:pPr>
        <w:spacing w:line="360" w:lineRule="auto"/>
        <w:rPr>
          <w:rFonts w:ascii="Arial" w:hAnsi="Arial" w:cs="Arial"/>
        </w:rPr>
      </w:pPr>
      <w:r w:rsidRPr="00BF57FF">
        <w:rPr>
          <w:rFonts w:ascii="Arial" w:hAnsi="Arial" w:cs="Arial"/>
        </w:rPr>
        <w:t xml:space="preserve">Hanumanthaiah, A.N. and Haradanhalli, R.S. (2019) 'Assessment of procurement, distribution, availability, and utilization of rabies biologicals for postexposure prophylaxis in seven states of India', </w:t>
      </w:r>
      <w:r w:rsidRPr="00BF57FF">
        <w:rPr>
          <w:rFonts w:ascii="Arial" w:hAnsi="Arial" w:cs="Arial"/>
          <w:i/>
          <w:iCs/>
        </w:rPr>
        <w:t>Indian Journal of Public Health</w:t>
      </w:r>
      <w:r w:rsidRPr="00BF57FF">
        <w:rPr>
          <w:rFonts w:ascii="Arial" w:hAnsi="Arial" w:cs="Arial"/>
        </w:rPr>
        <w:t>, 63(Suppl.), pp. S31-S36.</w:t>
      </w:r>
    </w:p>
    <w:p w:rsidRPr="00BF57FF" w:rsidR="00DB5214" w:rsidP="00A70BBB" w:rsidRDefault="00DB5214" w14:paraId="5E60D067" w14:textId="7C1C80B8">
      <w:pPr>
        <w:spacing w:line="360" w:lineRule="auto"/>
        <w:rPr>
          <w:rFonts w:ascii="Arial" w:hAnsi="Arial" w:cs="Arial"/>
        </w:rPr>
      </w:pPr>
      <w:r w:rsidRPr="00BF57FF">
        <w:rPr>
          <w:rFonts w:ascii="Arial" w:hAnsi="Arial" w:cs="Arial"/>
        </w:rPr>
        <w:t xml:space="preserve">Haradanhalli, R.S., Hanumanthaiah, A.N. and Varadappa, S.T. (2019) 'Cost of rabies post exposure prophylaxis in different healthcare settings in six states of India', </w:t>
      </w:r>
      <w:r w:rsidRPr="00BF57FF">
        <w:rPr>
          <w:rFonts w:ascii="Arial" w:hAnsi="Arial" w:cs="Arial"/>
          <w:i/>
          <w:iCs/>
        </w:rPr>
        <w:t>Indian Journal of Public Health</w:t>
      </w:r>
      <w:r w:rsidRPr="00BF57FF">
        <w:rPr>
          <w:rFonts w:ascii="Arial" w:hAnsi="Arial" w:cs="Arial"/>
        </w:rPr>
        <w:t>, 63(Suppl.), pp. S44-S47.</w:t>
      </w:r>
    </w:p>
    <w:p w:rsidRPr="00BF57FF" w:rsidR="00DB5214" w:rsidP="00A70BBB" w:rsidRDefault="00DB5214" w14:paraId="4327EEC3" w14:textId="77777777">
      <w:pPr>
        <w:spacing w:line="360" w:lineRule="auto"/>
        <w:rPr>
          <w:rFonts w:ascii="Arial" w:hAnsi="Arial" w:cs="Arial"/>
        </w:rPr>
      </w:pPr>
      <w:r w:rsidRPr="00BF57FF">
        <w:rPr>
          <w:rFonts w:ascii="Arial" w:hAnsi="Arial" w:cs="Arial"/>
        </w:rPr>
        <w:t xml:space="preserve">Haradanhalli, R.S., Anwith, H.S., Pradeep, B.S., Isloor, S. and Bilagumba, G. (2019) 'Health-seeking behavior and compliance to post exposure prophylaxis among animal bite victims in India', </w:t>
      </w:r>
      <w:r w:rsidRPr="00BF57FF">
        <w:rPr>
          <w:rFonts w:ascii="Arial" w:hAnsi="Arial" w:cs="Arial"/>
          <w:i/>
          <w:iCs/>
        </w:rPr>
        <w:t>Indian Journal of Public Health</w:t>
      </w:r>
      <w:r w:rsidRPr="00BF57FF">
        <w:rPr>
          <w:rFonts w:ascii="Arial" w:hAnsi="Arial" w:cs="Arial"/>
        </w:rPr>
        <w:t>, 63(Suppl.), pp. S20-S25.</w:t>
      </w:r>
    </w:p>
    <w:p w:rsidRPr="00BF57FF" w:rsidR="00DB5214" w:rsidP="00A70BBB" w:rsidRDefault="00DB5214" w14:paraId="6DFF8588" w14:textId="77777777">
      <w:pPr>
        <w:spacing w:line="360" w:lineRule="auto"/>
        <w:rPr>
          <w:rFonts w:ascii="Arial" w:hAnsi="Arial" w:cs="Arial"/>
        </w:rPr>
      </w:pPr>
      <w:r w:rsidRPr="00BF57FF">
        <w:rPr>
          <w:rFonts w:ascii="Arial" w:hAnsi="Arial" w:cs="Arial"/>
        </w:rPr>
        <w:t xml:space="preserve">Hemachudha, T., Ugolini, G., Wacharapluesadee, S., Sungkarat, W., Shuangshoti, S. and Laothamatas, J. (2013) 'Human rabies: neuropathogenesis, diagnosis, and management', </w:t>
      </w:r>
      <w:r w:rsidRPr="00BF57FF">
        <w:rPr>
          <w:rFonts w:ascii="Arial" w:hAnsi="Arial" w:cs="Arial"/>
          <w:i/>
          <w:iCs/>
        </w:rPr>
        <w:t>The Lancet Neurology</w:t>
      </w:r>
      <w:r w:rsidRPr="00BF57FF">
        <w:rPr>
          <w:rFonts w:ascii="Arial" w:hAnsi="Arial" w:cs="Arial"/>
        </w:rPr>
        <w:t>, 12(5), pp. 498-513.</w:t>
      </w:r>
    </w:p>
    <w:p w:rsidRPr="00BF57FF" w:rsidR="00DB5214" w:rsidP="00A70BBB" w:rsidRDefault="00DB5214" w14:paraId="23A3F416" w14:textId="653CE9C4">
      <w:pPr>
        <w:spacing w:line="360" w:lineRule="auto"/>
        <w:rPr>
          <w:rFonts w:ascii="Arial" w:hAnsi="Arial" w:cs="Arial"/>
        </w:rPr>
      </w:pPr>
      <w:r w:rsidRPr="00BF57FF">
        <w:rPr>
          <w:rFonts w:ascii="Arial" w:hAnsi="Arial" w:cs="Arial"/>
        </w:rPr>
        <w:t xml:space="preserve">Higgins, J.P.T., Thomas, J., Chandler, J., Cumpston, M., Li, T., Page, M.J. and Welch, V.A. (eds.) (2019) </w:t>
      </w:r>
      <w:r w:rsidRPr="00BF57FF">
        <w:rPr>
          <w:rFonts w:ascii="Arial" w:hAnsi="Arial" w:cs="Arial"/>
          <w:i/>
          <w:iCs/>
        </w:rPr>
        <w:t>Cochrane handbook for systematic reviews of interventions</w:t>
      </w:r>
      <w:r w:rsidRPr="00BF57FF">
        <w:rPr>
          <w:rFonts w:ascii="Arial" w:hAnsi="Arial" w:cs="Arial"/>
        </w:rPr>
        <w:t>. Wiley.</w:t>
      </w:r>
    </w:p>
    <w:p w:rsidRPr="00BF57FF" w:rsidR="00DB5214" w:rsidP="00A70BBB" w:rsidRDefault="00DB5214" w14:paraId="63D7AE8E" w14:textId="2B94D6D9">
      <w:pPr>
        <w:spacing w:line="360" w:lineRule="auto"/>
        <w:rPr>
          <w:rFonts w:ascii="Arial" w:hAnsi="Arial" w:cs="Arial"/>
        </w:rPr>
      </w:pPr>
      <w:r w:rsidRPr="00BF57FF">
        <w:rPr>
          <w:rFonts w:ascii="Arial" w:hAnsi="Arial" w:cs="Arial"/>
        </w:rPr>
        <w:t>Ichhpujani, R.L. et al. (2008) 'Epidemiology of animal bites and rabies cases in India.</w:t>
      </w:r>
      <w:r w:rsidRPr="00BF57FF" w:rsidR="002E007C">
        <w:rPr>
          <w:rFonts w:ascii="Arial" w:hAnsi="Arial" w:cs="Arial"/>
        </w:rPr>
        <w:t xml:space="preserve"> A multicentric study. </w:t>
      </w:r>
      <w:r w:rsidRPr="00BF57FF" w:rsidR="002E007C">
        <w:rPr>
          <w:rFonts w:ascii="Arial" w:hAnsi="Arial" w:cs="Arial"/>
          <w:i/>
          <w:iCs/>
        </w:rPr>
        <w:t>The Journal of communicable diseases</w:t>
      </w:r>
      <w:r w:rsidRPr="00BF57FF" w:rsidR="002E007C">
        <w:rPr>
          <w:rFonts w:ascii="Arial" w:hAnsi="Arial" w:cs="Arial"/>
        </w:rPr>
        <w:t>, </w:t>
      </w:r>
      <w:r w:rsidRPr="00BF57FF" w:rsidR="002E007C">
        <w:rPr>
          <w:rFonts w:ascii="Arial" w:hAnsi="Arial" w:cs="Arial"/>
          <w:i/>
          <w:iCs/>
        </w:rPr>
        <w:t>40</w:t>
      </w:r>
      <w:r w:rsidRPr="00BF57FF" w:rsidR="002E007C">
        <w:rPr>
          <w:rFonts w:ascii="Arial" w:hAnsi="Arial" w:cs="Arial"/>
        </w:rPr>
        <w:t>(1), 27–36.</w:t>
      </w:r>
    </w:p>
    <w:p w:rsidRPr="00BF57FF" w:rsidR="00DB5214" w:rsidP="00A70BBB" w:rsidRDefault="00DB5214" w14:paraId="64507120" w14:textId="77777777">
      <w:pPr>
        <w:spacing w:line="360" w:lineRule="auto"/>
        <w:rPr>
          <w:rFonts w:ascii="Arial" w:hAnsi="Arial" w:cs="Arial"/>
        </w:rPr>
      </w:pPr>
      <w:r w:rsidRPr="00BF57FF">
        <w:rPr>
          <w:rFonts w:ascii="Arial" w:hAnsi="Arial" w:cs="Arial"/>
        </w:rPr>
        <w:t xml:space="preserve">Jackson, A.C. (2011) 'Update on rabies', </w:t>
      </w:r>
      <w:r w:rsidRPr="00BF57FF">
        <w:rPr>
          <w:rFonts w:ascii="Arial" w:hAnsi="Arial" w:cs="Arial"/>
          <w:i/>
          <w:iCs/>
        </w:rPr>
        <w:t>Research and Reports in Tropical Medicine</w:t>
      </w:r>
      <w:r w:rsidRPr="00BF57FF">
        <w:rPr>
          <w:rFonts w:ascii="Arial" w:hAnsi="Arial" w:cs="Arial"/>
        </w:rPr>
        <w:t xml:space="preserve">, 2, pp. 31-43. </w:t>
      </w:r>
    </w:p>
    <w:p w:rsidRPr="00BF57FF" w:rsidR="00DB5214" w:rsidP="00A70BBB" w:rsidRDefault="00DB5214" w14:paraId="7D10B5E8" w14:textId="77777777">
      <w:pPr>
        <w:spacing w:line="360" w:lineRule="auto"/>
        <w:rPr>
          <w:rFonts w:ascii="Arial" w:hAnsi="Arial" w:cs="Arial"/>
        </w:rPr>
      </w:pPr>
      <w:r w:rsidRPr="00BF57FF">
        <w:rPr>
          <w:rFonts w:ascii="Arial" w:hAnsi="Arial" w:cs="Arial"/>
        </w:rPr>
        <w:t xml:space="preserve">Janekunte, D.B., Ninganna, O.Y. and Hadya Palaksha, P. (2025) 'State-wise geospatial analysis of dog bite burden in India from 2018 to 2023', </w:t>
      </w:r>
      <w:r w:rsidRPr="00BF57FF">
        <w:rPr>
          <w:rFonts w:ascii="Arial" w:hAnsi="Arial" w:cs="Arial"/>
          <w:i/>
          <w:iCs/>
        </w:rPr>
        <w:t>Porto Biomedical Journal</w:t>
      </w:r>
      <w:r w:rsidRPr="00BF57FF">
        <w:rPr>
          <w:rFonts w:ascii="Arial" w:hAnsi="Arial" w:cs="Arial"/>
        </w:rPr>
        <w:t>, 10(5), e305.</w:t>
      </w:r>
    </w:p>
    <w:p w:rsidRPr="00BF57FF" w:rsidR="00DB5214" w:rsidP="00A70BBB" w:rsidRDefault="00DB5214" w14:paraId="051F8AF5" w14:textId="77777777">
      <w:pPr>
        <w:spacing w:line="360" w:lineRule="auto"/>
        <w:rPr>
          <w:rFonts w:ascii="Arial" w:hAnsi="Arial" w:cs="Arial"/>
        </w:rPr>
      </w:pPr>
      <w:r w:rsidRPr="00BF57FF">
        <w:rPr>
          <w:rFonts w:ascii="Arial" w:hAnsi="Arial" w:cs="Arial"/>
        </w:rPr>
        <w:t xml:space="preserve">John, D., Royal, A. and Bharti, O. (2021) 'Burden of illness of dog-mediated rabies in India: a systematic review', </w:t>
      </w:r>
      <w:r w:rsidRPr="00BF57FF">
        <w:rPr>
          <w:rFonts w:ascii="Arial" w:hAnsi="Arial" w:cs="Arial"/>
          <w:i/>
          <w:iCs/>
        </w:rPr>
        <w:t>Clinical Epidemiology and Global Health</w:t>
      </w:r>
      <w:r w:rsidRPr="00BF57FF">
        <w:rPr>
          <w:rFonts w:ascii="Arial" w:hAnsi="Arial" w:cs="Arial"/>
        </w:rPr>
        <w:t>, 12, 100804.</w:t>
      </w:r>
    </w:p>
    <w:p w:rsidRPr="00BF57FF" w:rsidR="00DB5214" w:rsidP="00A70BBB" w:rsidRDefault="00DB5214" w14:paraId="26228E48" w14:textId="77777777">
      <w:pPr>
        <w:spacing w:line="360" w:lineRule="auto"/>
        <w:rPr>
          <w:rFonts w:ascii="Arial" w:hAnsi="Arial" w:cs="Arial"/>
        </w:rPr>
      </w:pPr>
      <w:r w:rsidRPr="00BF57FF">
        <w:rPr>
          <w:rFonts w:ascii="Arial" w:hAnsi="Arial" w:cs="Arial"/>
        </w:rPr>
        <w:t xml:space="preserve">Kakkar, M., Venkataramanan, V., Krishnan, S., Chauhan, R.S., Abbas, S.S. and Roadmap to Combat Zoonoses in India (RCZI) initiative (2012) 'Moving from rabies research to rabies control: lessons from India', </w:t>
      </w:r>
      <w:r w:rsidRPr="00BF57FF">
        <w:rPr>
          <w:rFonts w:ascii="Arial" w:hAnsi="Arial" w:cs="Arial"/>
          <w:i/>
          <w:iCs/>
        </w:rPr>
        <w:t>PLoS Neglected Tropical Diseases</w:t>
      </w:r>
      <w:r w:rsidRPr="00BF57FF">
        <w:rPr>
          <w:rFonts w:ascii="Arial" w:hAnsi="Arial" w:cs="Arial"/>
        </w:rPr>
        <w:t>, 6(8), e1748.</w:t>
      </w:r>
    </w:p>
    <w:p w:rsidRPr="00BF57FF" w:rsidR="00DB5214" w:rsidP="00A70BBB" w:rsidRDefault="00DB5214" w14:paraId="16B91941" w14:textId="5A7EE95F">
      <w:pPr>
        <w:spacing w:line="360" w:lineRule="auto"/>
        <w:rPr>
          <w:rFonts w:ascii="Arial" w:hAnsi="Arial" w:cs="Arial"/>
        </w:rPr>
      </w:pPr>
      <w:r w:rsidRPr="00BF57FF">
        <w:rPr>
          <w:rFonts w:ascii="Arial" w:hAnsi="Arial" w:cs="Arial"/>
        </w:rPr>
        <w:t xml:space="preserve">Kaur, M., Jaswal, N. and Saddi, A.K. (2017) 'Evaluation of a women </w:t>
      </w:r>
      <w:r w:rsidRPr="00BF57FF" w:rsidR="00805E86">
        <w:rPr>
          <w:rFonts w:ascii="Arial" w:hAnsi="Arial" w:cs="Arial"/>
        </w:rPr>
        <w:t>group-led</w:t>
      </w:r>
      <w:r w:rsidRPr="00BF57FF">
        <w:rPr>
          <w:rFonts w:ascii="Arial" w:hAnsi="Arial" w:cs="Arial"/>
        </w:rPr>
        <w:t xml:space="preserve"> health communication program in Haryana, India', </w:t>
      </w:r>
      <w:r w:rsidRPr="00BF57FF">
        <w:rPr>
          <w:rFonts w:ascii="Arial" w:hAnsi="Arial" w:cs="Arial"/>
          <w:i/>
          <w:iCs/>
        </w:rPr>
        <w:t>Evaluation and Program Planning</w:t>
      </w:r>
      <w:r w:rsidRPr="00BF57FF">
        <w:rPr>
          <w:rFonts w:ascii="Arial" w:hAnsi="Arial" w:cs="Arial"/>
        </w:rPr>
        <w:t>, 65, pp. 12-19.</w:t>
      </w:r>
    </w:p>
    <w:p w:rsidRPr="00BF57FF" w:rsidR="00DB5214" w:rsidP="00A70BBB" w:rsidRDefault="00DB5214" w14:paraId="560A95D3" w14:textId="77777777">
      <w:pPr>
        <w:spacing w:line="360" w:lineRule="auto"/>
        <w:rPr>
          <w:rFonts w:ascii="Arial" w:hAnsi="Arial" w:cs="Arial"/>
        </w:rPr>
      </w:pPr>
      <w:r w:rsidRPr="00BF57FF">
        <w:rPr>
          <w:rFonts w:ascii="Arial" w:hAnsi="Arial" w:cs="Arial"/>
        </w:rPr>
        <w:t xml:space="preserve">Kessels, J., Tarantola, A., Salahuddin, N., Blumberg, L. and Knopf, L. (2019) 'Rabies post-exposure prophylaxis: a systematic review on abridged vaccination schedules and the effect of changing administration routes during a single course', </w:t>
      </w:r>
      <w:r w:rsidRPr="00BF57FF">
        <w:rPr>
          <w:rFonts w:ascii="Arial" w:hAnsi="Arial" w:cs="Arial"/>
          <w:i/>
          <w:iCs/>
        </w:rPr>
        <w:t>Vaccine</w:t>
      </w:r>
      <w:r w:rsidRPr="00BF57FF">
        <w:rPr>
          <w:rFonts w:ascii="Arial" w:hAnsi="Arial" w:cs="Arial"/>
        </w:rPr>
        <w:t>, 37(Suppl. 1), pp. A107-A117.</w:t>
      </w:r>
    </w:p>
    <w:p w:rsidRPr="00BF57FF" w:rsidR="00DB5214" w:rsidP="00A70BBB" w:rsidRDefault="00DB5214" w14:paraId="6F2296DE" w14:textId="77777777">
      <w:pPr>
        <w:spacing w:line="360" w:lineRule="auto"/>
        <w:rPr>
          <w:rFonts w:ascii="Arial" w:hAnsi="Arial" w:cs="Arial"/>
        </w:rPr>
      </w:pPr>
      <w:r w:rsidRPr="00BF57FF">
        <w:rPr>
          <w:rFonts w:ascii="Arial" w:hAnsi="Arial" w:cs="Arial"/>
        </w:rPr>
        <w:t xml:space="preserve">Khan, S., Das, N.K., Patil, R. and Mukhida, S. (2026) 'Barriers for rabies elimination from India', </w:t>
      </w:r>
      <w:r w:rsidRPr="00BF57FF">
        <w:rPr>
          <w:rFonts w:ascii="Arial" w:hAnsi="Arial" w:cs="Arial"/>
          <w:i/>
          <w:iCs/>
        </w:rPr>
        <w:t>Discover Public Health</w:t>
      </w:r>
      <w:r w:rsidRPr="00BF57FF">
        <w:rPr>
          <w:rFonts w:ascii="Arial" w:hAnsi="Arial" w:cs="Arial"/>
        </w:rPr>
        <w:t>, 23.</w:t>
      </w:r>
    </w:p>
    <w:p w:rsidRPr="00BF57FF" w:rsidR="00DB5214" w:rsidP="00A70BBB" w:rsidRDefault="00DB5214" w14:paraId="1D02ACF9" w14:textId="77777777">
      <w:pPr>
        <w:spacing w:line="360" w:lineRule="auto"/>
        <w:rPr>
          <w:rFonts w:ascii="Arial" w:hAnsi="Arial" w:cs="Arial"/>
        </w:rPr>
      </w:pPr>
      <w:r w:rsidRPr="00BF57FF">
        <w:rPr>
          <w:rFonts w:ascii="Arial" w:hAnsi="Arial" w:cs="Arial"/>
        </w:rPr>
        <w:t xml:space="preserve">Khan, U.R., Soomar, S.M., Ghazi, S.M., Naeem, R., Kerai, S. and Jamali, S. (2023) 'Epidemiological pattern and management of dog bite injuries in Karachi, Pakistan: a cross-sectional study', </w:t>
      </w:r>
      <w:r w:rsidRPr="00BF57FF">
        <w:rPr>
          <w:rFonts w:ascii="Arial" w:hAnsi="Arial" w:cs="Arial"/>
          <w:i/>
          <w:iCs/>
        </w:rPr>
        <w:t>Injury</w:t>
      </w:r>
      <w:r w:rsidRPr="00BF57FF">
        <w:rPr>
          <w:rFonts w:ascii="Arial" w:hAnsi="Arial" w:cs="Arial"/>
        </w:rPr>
        <w:t>, 54(Suppl. 4), 110473.</w:t>
      </w:r>
    </w:p>
    <w:p w:rsidRPr="00BF57FF" w:rsidR="00DB5214" w:rsidP="00A70BBB" w:rsidRDefault="00DB5214" w14:paraId="0AB29CB5" w14:textId="77777777">
      <w:pPr>
        <w:spacing w:line="360" w:lineRule="auto"/>
        <w:rPr>
          <w:rFonts w:ascii="Arial" w:hAnsi="Arial" w:cs="Arial"/>
        </w:rPr>
      </w:pPr>
      <w:r w:rsidRPr="00BF57FF">
        <w:rPr>
          <w:rFonts w:ascii="Arial" w:hAnsi="Arial" w:cs="Arial"/>
        </w:rPr>
        <w:t xml:space="preserve">Knobel, D.L., Cleaveland, S., Coleman, P.G., Fèvre, E.M., Meltzer, M.I., Miranda, M.E., Shaw, A., Zinsstag, J. and Meslin, F.X. (2005) 'Re-evaluating the burden of rabies in Africa and Asia', </w:t>
      </w:r>
      <w:r w:rsidRPr="00BF57FF">
        <w:rPr>
          <w:rFonts w:ascii="Arial" w:hAnsi="Arial" w:cs="Arial"/>
          <w:i/>
          <w:iCs/>
        </w:rPr>
        <w:t>Bulletin of the World Health Organization</w:t>
      </w:r>
      <w:r w:rsidRPr="00BF57FF">
        <w:rPr>
          <w:rFonts w:ascii="Arial" w:hAnsi="Arial" w:cs="Arial"/>
        </w:rPr>
        <w:t>, 83(5), pp. 360-368.</w:t>
      </w:r>
    </w:p>
    <w:p w:rsidRPr="00BF57FF" w:rsidR="00DB5214" w:rsidP="00A70BBB" w:rsidRDefault="00DB5214" w14:paraId="013293D7" w14:textId="77777777">
      <w:pPr>
        <w:spacing w:line="360" w:lineRule="auto"/>
        <w:rPr>
          <w:rFonts w:ascii="Arial" w:hAnsi="Arial" w:cs="Arial"/>
        </w:rPr>
      </w:pPr>
      <w:r w:rsidRPr="00BF57FF">
        <w:rPr>
          <w:rFonts w:ascii="Arial" w:hAnsi="Arial" w:cs="Arial"/>
        </w:rPr>
        <w:t xml:space="preserve">Krishna, N.S. et al. (2025) 'Availability of anti-rabies vaccine and rabies immunoglobulin in Indian health facilities: a nationwide cross-sectional health facility survey', </w:t>
      </w:r>
      <w:r w:rsidRPr="00BF57FF">
        <w:rPr>
          <w:rFonts w:ascii="Arial" w:hAnsi="Arial" w:cs="Arial"/>
          <w:i/>
          <w:iCs/>
        </w:rPr>
        <w:t>The Lancet Regional Health – Southeast Asia</w:t>
      </w:r>
      <w:r w:rsidRPr="00BF57FF">
        <w:rPr>
          <w:rFonts w:ascii="Arial" w:hAnsi="Arial" w:cs="Arial"/>
        </w:rPr>
        <w:t>, 38, 100608.</w:t>
      </w:r>
    </w:p>
    <w:p w:rsidRPr="00BF57FF" w:rsidR="00DB5214" w:rsidP="00A70BBB" w:rsidRDefault="00DB5214" w14:paraId="0C5E488B" w14:textId="77777777">
      <w:pPr>
        <w:spacing w:line="360" w:lineRule="auto"/>
        <w:rPr>
          <w:rFonts w:ascii="Arial" w:hAnsi="Arial" w:cs="Arial"/>
        </w:rPr>
      </w:pPr>
      <w:r w:rsidRPr="00BF57FF">
        <w:rPr>
          <w:rFonts w:ascii="Arial" w:hAnsi="Arial" w:cs="Arial"/>
        </w:rPr>
        <w:t xml:space="preserve">Kumar, A., Bhatt, S., Kumar, A. and Rana, T. (2023) 'Canine rabies: an epidemiological significance, pathogenesis, diagnosis, prevention, and public health issues', </w:t>
      </w:r>
      <w:r w:rsidRPr="00BF57FF">
        <w:rPr>
          <w:rFonts w:ascii="Arial" w:hAnsi="Arial" w:cs="Arial"/>
          <w:i/>
          <w:iCs/>
        </w:rPr>
        <w:t>Comparative Immunology, Microbiology and Infectious Diseases</w:t>
      </w:r>
      <w:r w:rsidRPr="00BF57FF">
        <w:rPr>
          <w:rFonts w:ascii="Arial" w:hAnsi="Arial" w:cs="Arial"/>
        </w:rPr>
        <w:t>, 97, 101992.</w:t>
      </w:r>
    </w:p>
    <w:p w:rsidRPr="00BF57FF" w:rsidR="00DB5214" w:rsidP="00A70BBB" w:rsidRDefault="00DB5214" w14:paraId="1811C122" w14:textId="77777777">
      <w:pPr>
        <w:spacing w:line="360" w:lineRule="auto"/>
        <w:rPr>
          <w:rFonts w:ascii="Arial" w:hAnsi="Arial" w:cs="Arial"/>
        </w:rPr>
      </w:pPr>
      <w:r w:rsidRPr="00BF57FF">
        <w:rPr>
          <w:rFonts w:ascii="Arial" w:hAnsi="Arial" w:cs="Arial"/>
        </w:rPr>
        <w:t xml:space="preserve">Kumar, S., Kumar, S. and Gupta, B. (2018) 'Urban health: needs urgent attention', </w:t>
      </w:r>
      <w:r w:rsidRPr="00BF57FF">
        <w:rPr>
          <w:rFonts w:ascii="Arial" w:hAnsi="Arial" w:cs="Arial"/>
          <w:i/>
          <w:iCs/>
        </w:rPr>
        <w:t>Indian Journal of Public Health</w:t>
      </w:r>
      <w:r w:rsidRPr="00BF57FF">
        <w:rPr>
          <w:rFonts w:ascii="Arial" w:hAnsi="Arial" w:cs="Arial"/>
        </w:rPr>
        <w:t>, 62(3), pp. 214-217.</w:t>
      </w:r>
    </w:p>
    <w:p w:rsidRPr="00BF57FF" w:rsidR="00DB5214" w:rsidP="00A70BBB" w:rsidRDefault="00DB5214" w14:paraId="7C2B0303" w14:textId="77777777">
      <w:pPr>
        <w:spacing w:line="360" w:lineRule="auto"/>
        <w:rPr>
          <w:rFonts w:ascii="Arial" w:hAnsi="Arial" w:cs="Arial"/>
        </w:rPr>
      </w:pPr>
      <w:r w:rsidRPr="00BF57FF">
        <w:rPr>
          <w:rFonts w:ascii="Arial" w:hAnsi="Arial" w:cs="Arial"/>
        </w:rPr>
        <w:t xml:space="preserve">Lennon, P., Atuhaire, B., Yavari, S., Sampath, V., Mvundura, M., Ramanathan, N. and Robertson, J. (2017) 'Root cause analysis underscores the importance of understanding, addressing, and communicating cold chain equipment failures to improve equipment performance', </w:t>
      </w:r>
      <w:r w:rsidRPr="00BF57FF">
        <w:rPr>
          <w:rFonts w:ascii="Arial" w:hAnsi="Arial" w:cs="Arial"/>
          <w:i/>
          <w:iCs/>
        </w:rPr>
        <w:t>Vaccine</w:t>
      </w:r>
      <w:r w:rsidRPr="00BF57FF">
        <w:rPr>
          <w:rFonts w:ascii="Arial" w:hAnsi="Arial" w:cs="Arial"/>
        </w:rPr>
        <w:t>, 35(17), pp. 2198-2202.</w:t>
      </w:r>
    </w:p>
    <w:p w:rsidRPr="00BF57FF" w:rsidR="00DB5214" w:rsidP="00A70BBB" w:rsidRDefault="00DB5214" w14:paraId="191F817E" w14:textId="77777777">
      <w:pPr>
        <w:spacing w:line="360" w:lineRule="auto"/>
        <w:rPr>
          <w:rFonts w:ascii="Arial" w:hAnsi="Arial" w:cs="Arial"/>
        </w:rPr>
      </w:pPr>
      <w:r w:rsidRPr="00BF57FF">
        <w:rPr>
          <w:rFonts w:ascii="Arial" w:hAnsi="Arial" w:cs="Arial"/>
        </w:rPr>
        <w:t xml:space="preserve">Lincoln, Y.S. and Guba, E.G. (1985) </w:t>
      </w:r>
      <w:r w:rsidRPr="00BF57FF">
        <w:rPr>
          <w:rFonts w:ascii="Arial" w:hAnsi="Arial" w:cs="Arial"/>
          <w:i/>
          <w:iCs/>
        </w:rPr>
        <w:t>Naturalistic inquiry</w:t>
      </w:r>
      <w:r w:rsidRPr="00BF57FF">
        <w:rPr>
          <w:rFonts w:ascii="Arial" w:hAnsi="Arial" w:cs="Arial"/>
        </w:rPr>
        <w:t>. SAGE.</w:t>
      </w:r>
    </w:p>
    <w:p w:rsidRPr="00BF57FF" w:rsidR="00DB5214" w:rsidP="00A70BBB" w:rsidRDefault="00DB5214" w14:paraId="68B77026" w14:textId="77777777">
      <w:pPr>
        <w:spacing w:line="360" w:lineRule="auto"/>
        <w:rPr>
          <w:rFonts w:ascii="Arial" w:hAnsi="Arial" w:cs="Arial"/>
        </w:rPr>
      </w:pPr>
      <w:r w:rsidRPr="00BF57FF">
        <w:rPr>
          <w:rFonts w:ascii="Arial" w:hAnsi="Arial" w:cs="Arial"/>
        </w:rPr>
        <w:t xml:space="preserve">Liu, X. et al. (2025) 'The efficacy and safety of SYN023 (zamerovimab and mazorelvimab injection), the recombinant humanized anti-rabies virus monoclonal antibody mixture, combined with rabies vaccine in a WHO category III rabies post-exposure population: a randomized, double-blind, positive control, phase III clinical trial', </w:t>
      </w:r>
      <w:r w:rsidRPr="00BF57FF">
        <w:rPr>
          <w:rFonts w:ascii="Arial" w:hAnsi="Arial" w:cs="Arial"/>
          <w:i/>
          <w:iCs/>
        </w:rPr>
        <w:t>Vaccine</w:t>
      </w:r>
      <w:r w:rsidRPr="00BF57FF">
        <w:rPr>
          <w:rFonts w:ascii="Arial" w:hAnsi="Arial" w:cs="Arial"/>
        </w:rPr>
        <w:t>, 61, 127289.</w:t>
      </w:r>
    </w:p>
    <w:p w:rsidRPr="00BF57FF" w:rsidR="00DB5214" w:rsidP="00A70BBB" w:rsidRDefault="00DB5214" w14:paraId="6056568B" w14:textId="77777777">
      <w:pPr>
        <w:spacing w:line="360" w:lineRule="auto"/>
        <w:rPr>
          <w:rFonts w:ascii="Arial" w:hAnsi="Arial" w:cs="Arial"/>
        </w:rPr>
      </w:pPr>
      <w:r w:rsidRPr="00BF57FF">
        <w:rPr>
          <w:rFonts w:ascii="Arial" w:hAnsi="Arial" w:cs="Arial"/>
        </w:rPr>
        <w:t xml:space="preserve">Maiti, A., Sharma, A., Patel, S., Mishra, A. and Dhakar, J. (2026) 'A study on delay in initiation of post-exposure prophylaxis among the animal bite victims from a tertiary care hospital in central India', </w:t>
      </w:r>
      <w:r w:rsidRPr="00BF57FF">
        <w:rPr>
          <w:rFonts w:ascii="Arial" w:hAnsi="Arial" w:cs="Arial"/>
          <w:i/>
          <w:iCs/>
        </w:rPr>
        <w:t>Indian Journal of Community Medicine</w:t>
      </w:r>
      <w:r w:rsidRPr="00BF57FF">
        <w:rPr>
          <w:rFonts w:ascii="Arial" w:hAnsi="Arial" w:cs="Arial"/>
        </w:rPr>
        <w:t>, 51, pp. 246-252.</w:t>
      </w:r>
    </w:p>
    <w:p w:rsidRPr="00BF57FF" w:rsidR="00DB5214" w:rsidP="00A70BBB" w:rsidRDefault="00DB5214" w14:paraId="6B42EC2F" w14:textId="77777777">
      <w:pPr>
        <w:spacing w:line="360" w:lineRule="auto"/>
        <w:rPr>
          <w:rFonts w:ascii="Arial" w:hAnsi="Arial" w:cs="Arial"/>
        </w:rPr>
      </w:pPr>
      <w:r w:rsidRPr="00BF57FF">
        <w:rPr>
          <w:rFonts w:ascii="Arial" w:hAnsi="Arial" w:cs="Arial"/>
        </w:rPr>
        <w:t xml:space="preserve">Mani, R.S., Anand, A.M. and Madhusudana, S.N. (2016) 'Human rabies in India: an audit from a rabies diagnostic laboratory', </w:t>
      </w:r>
      <w:r w:rsidRPr="00BF57FF">
        <w:rPr>
          <w:rFonts w:ascii="Arial" w:hAnsi="Arial" w:cs="Arial"/>
          <w:i/>
          <w:iCs/>
        </w:rPr>
        <w:t>Tropical Medicine &amp; International Health</w:t>
      </w:r>
      <w:r w:rsidRPr="00BF57FF">
        <w:rPr>
          <w:rFonts w:ascii="Arial" w:hAnsi="Arial" w:cs="Arial"/>
        </w:rPr>
        <w:t xml:space="preserve">, 21(4), pp. 556-563. </w:t>
      </w:r>
    </w:p>
    <w:p w:rsidRPr="00BF57FF" w:rsidR="00DB5214" w:rsidP="00A70BBB" w:rsidRDefault="00DB5214" w14:paraId="016BB12D" w14:textId="77777777">
      <w:pPr>
        <w:spacing w:line="360" w:lineRule="auto"/>
        <w:rPr>
          <w:rFonts w:ascii="Arial" w:hAnsi="Arial" w:cs="Arial"/>
        </w:rPr>
      </w:pPr>
      <w:r w:rsidRPr="00BF57FF">
        <w:rPr>
          <w:rFonts w:ascii="Arial" w:hAnsi="Arial" w:cs="Arial"/>
        </w:rPr>
        <w:t xml:space="preserve">Menezes, R. (2008) 'Rabies in India', </w:t>
      </w:r>
      <w:r w:rsidRPr="00BF57FF">
        <w:rPr>
          <w:rFonts w:ascii="Arial" w:hAnsi="Arial" w:cs="Arial"/>
          <w:i/>
          <w:iCs/>
        </w:rPr>
        <w:t>CMAJ: Canadian Medical Association Journal</w:t>
      </w:r>
      <w:r w:rsidRPr="00BF57FF">
        <w:rPr>
          <w:rFonts w:ascii="Arial" w:hAnsi="Arial" w:cs="Arial"/>
        </w:rPr>
        <w:t>, 178(5), pp. 564-566.</w:t>
      </w:r>
    </w:p>
    <w:p w:rsidRPr="00BF57FF" w:rsidR="00DB5214" w:rsidP="00A70BBB" w:rsidRDefault="00DB5214" w14:paraId="1B78C69E" w14:textId="77777777">
      <w:pPr>
        <w:spacing w:line="360" w:lineRule="auto"/>
        <w:rPr>
          <w:rFonts w:ascii="Arial" w:hAnsi="Arial" w:cs="Arial"/>
        </w:rPr>
      </w:pPr>
      <w:r w:rsidRPr="00BF57FF">
        <w:rPr>
          <w:rFonts w:ascii="Arial" w:hAnsi="Arial" w:cs="Arial"/>
        </w:rPr>
        <w:t xml:space="preserve">Moher, D., Liberati, A., Tetzlaff, J., Altman, D.G. and PRISMA Group (2009) 'Preferred reporting items for systematic reviews and meta-analyses: the PRISMA statement', </w:t>
      </w:r>
      <w:r w:rsidRPr="00BF57FF">
        <w:rPr>
          <w:rFonts w:ascii="Arial" w:hAnsi="Arial" w:cs="Arial"/>
          <w:i/>
          <w:iCs/>
        </w:rPr>
        <w:t>PLoS Medicine</w:t>
      </w:r>
      <w:r w:rsidRPr="00BF57FF">
        <w:rPr>
          <w:rFonts w:ascii="Arial" w:hAnsi="Arial" w:cs="Arial"/>
        </w:rPr>
        <w:t>, 6(7), e1000097.</w:t>
      </w:r>
    </w:p>
    <w:p w:rsidRPr="00BF57FF" w:rsidR="00DB5214" w:rsidP="00A70BBB" w:rsidRDefault="00DB5214" w14:paraId="036868E1" w14:textId="77777777">
      <w:pPr>
        <w:spacing w:line="360" w:lineRule="auto"/>
        <w:rPr>
          <w:rFonts w:ascii="Arial" w:hAnsi="Arial" w:cs="Arial"/>
        </w:rPr>
      </w:pPr>
      <w:r w:rsidRPr="00BF57FF">
        <w:rPr>
          <w:rFonts w:ascii="Arial" w:hAnsi="Arial" w:cs="Arial"/>
        </w:rPr>
        <w:t xml:space="preserve">Mukhopadhyay, S., Howal, P., Sankhe, L. and Pardeshi, G. (2026) 'Epidemiology of stray and pet animal bite patterns in Mumbai using a cross-sectional comparative analysis', </w:t>
      </w:r>
      <w:r w:rsidRPr="00BF57FF">
        <w:rPr>
          <w:rFonts w:ascii="Arial" w:hAnsi="Arial" w:cs="Arial"/>
          <w:i/>
          <w:iCs/>
        </w:rPr>
        <w:t>Discover Public Health</w:t>
      </w:r>
      <w:r w:rsidRPr="00BF57FF">
        <w:rPr>
          <w:rFonts w:ascii="Arial" w:hAnsi="Arial" w:cs="Arial"/>
        </w:rPr>
        <w:t>, 23, 369.</w:t>
      </w:r>
    </w:p>
    <w:p w:rsidRPr="00BF57FF" w:rsidR="00DB5214" w:rsidP="00A70BBB" w:rsidRDefault="00DB5214" w14:paraId="578C37AC" w14:textId="77777777">
      <w:pPr>
        <w:spacing w:line="360" w:lineRule="auto"/>
        <w:rPr>
          <w:rFonts w:ascii="Arial" w:hAnsi="Arial" w:cs="Arial"/>
        </w:rPr>
      </w:pPr>
      <w:r w:rsidRPr="00BF57FF">
        <w:rPr>
          <w:rFonts w:ascii="Arial" w:hAnsi="Arial" w:cs="Arial"/>
        </w:rPr>
        <w:t xml:space="preserve">Nadal, D. (2020) </w:t>
      </w:r>
      <w:r w:rsidRPr="00BF57FF">
        <w:rPr>
          <w:rFonts w:ascii="Arial" w:hAnsi="Arial" w:cs="Arial"/>
          <w:i/>
          <w:iCs/>
        </w:rPr>
        <w:t>Rabies in the streets: interspecies camaraderie in urban India</w:t>
      </w:r>
      <w:r w:rsidRPr="00BF57FF">
        <w:rPr>
          <w:rFonts w:ascii="Arial" w:hAnsi="Arial" w:cs="Arial"/>
        </w:rPr>
        <w:t>. Pennsylvania State University Press.</w:t>
      </w:r>
    </w:p>
    <w:p w:rsidRPr="00BF57FF" w:rsidR="00DB5214" w:rsidP="00A70BBB" w:rsidRDefault="00DB5214" w14:paraId="39409EF5" w14:textId="77777777">
      <w:pPr>
        <w:spacing w:line="360" w:lineRule="auto"/>
        <w:rPr>
          <w:rFonts w:ascii="Arial" w:hAnsi="Arial" w:cs="Arial"/>
        </w:rPr>
      </w:pPr>
      <w:r w:rsidRPr="00BF57FF">
        <w:rPr>
          <w:rFonts w:ascii="Arial" w:hAnsi="Arial" w:cs="Arial"/>
        </w:rPr>
        <w:t xml:space="preserve">Nadal, D., Hampson, K., Lembo, T., Rodrigues, R., Vanak, A.T. and Cleaveland, S. (2022) 'Where rabies is not a disease. Bridging healthworlds to improve mutual understanding and prevention of rabies', </w:t>
      </w:r>
      <w:r w:rsidRPr="00BF57FF">
        <w:rPr>
          <w:rFonts w:ascii="Arial" w:hAnsi="Arial" w:cs="Arial"/>
          <w:i/>
          <w:iCs/>
        </w:rPr>
        <w:t>Frontiers in Veterinary Science</w:t>
      </w:r>
      <w:r w:rsidRPr="00BF57FF">
        <w:rPr>
          <w:rFonts w:ascii="Arial" w:hAnsi="Arial" w:cs="Arial"/>
        </w:rPr>
        <w:t>, 9, 867266.</w:t>
      </w:r>
    </w:p>
    <w:p w:rsidRPr="00BF57FF" w:rsidR="00DB5214" w:rsidP="00A70BBB" w:rsidRDefault="00DB5214" w14:paraId="7F1EFA83" w14:textId="77777777">
      <w:pPr>
        <w:spacing w:line="360" w:lineRule="auto"/>
        <w:rPr>
          <w:rFonts w:ascii="Arial" w:hAnsi="Arial" w:cs="Arial"/>
        </w:rPr>
      </w:pPr>
      <w:r w:rsidRPr="00BF57FF">
        <w:rPr>
          <w:rFonts w:ascii="Arial" w:hAnsi="Arial" w:cs="Arial"/>
        </w:rPr>
        <w:t xml:space="preserve">Nadal, D., Bote, K. and Abela, B. (2023) 'Is there hope to reach the Zero by 30 target for dog-mediated human rabies?', </w:t>
      </w:r>
      <w:r w:rsidRPr="00BF57FF">
        <w:rPr>
          <w:rFonts w:ascii="Arial" w:hAnsi="Arial" w:cs="Arial"/>
          <w:i/>
          <w:iCs/>
        </w:rPr>
        <w:t>The Lancet Global Health</w:t>
      </w:r>
      <w:r w:rsidRPr="00BF57FF">
        <w:rPr>
          <w:rFonts w:ascii="Arial" w:hAnsi="Arial" w:cs="Arial"/>
        </w:rPr>
        <w:t>, 11(11), pp. e1682-e1683.</w:t>
      </w:r>
    </w:p>
    <w:p w:rsidRPr="00BF57FF" w:rsidR="00DB5214" w:rsidP="00A70BBB" w:rsidRDefault="00DB5214" w14:paraId="627D67CD" w14:textId="723AD11B">
      <w:pPr>
        <w:spacing w:line="360" w:lineRule="auto"/>
        <w:rPr>
          <w:rFonts w:ascii="Arial" w:hAnsi="Arial" w:cs="Arial"/>
        </w:rPr>
      </w:pPr>
      <w:r w:rsidRPr="00BF57FF">
        <w:rPr>
          <w:rFonts w:ascii="Arial" w:hAnsi="Arial" w:cs="Arial"/>
        </w:rPr>
        <w:t xml:space="preserve">Page, M.J. et al. (2021b) 'PRISMA 2020 explanation and elaboration: updated guidance and exemplars for reporting systematic reviews', </w:t>
      </w:r>
      <w:r w:rsidRPr="00BF57FF">
        <w:rPr>
          <w:rFonts w:ascii="Arial" w:hAnsi="Arial" w:cs="Arial"/>
          <w:i/>
          <w:iCs/>
        </w:rPr>
        <w:t>BMJ</w:t>
      </w:r>
      <w:r w:rsidRPr="00BF57FF">
        <w:rPr>
          <w:rFonts w:ascii="Arial" w:hAnsi="Arial" w:cs="Arial"/>
        </w:rPr>
        <w:t>, 372, n160.</w:t>
      </w:r>
    </w:p>
    <w:p w:rsidRPr="00BF57FF" w:rsidR="00DB5214" w:rsidP="00A70BBB" w:rsidRDefault="00DB5214" w14:paraId="00041930" w14:textId="02458811">
      <w:pPr>
        <w:spacing w:line="360" w:lineRule="auto"/>
        <w:rPr>
          <w:rFonts w:ascii="Arial" w:hAnsi="Arial" w:cs="Arial"/>
        </w:rPr>
      </w:pPr>
      <w:r w:rsidRPr="00BF57FF">
        <w:rPr>
          <w:rFonts w:ascii="Arial" w:hAnsi="Arial" w:cs="Arial"/>
        </w:rPr>
        <w:t xml:space="preserve">Page, M.J. et al. (2021a) 'The PRISMA 2020 statement: an updated guideline for reporting systematic reviews', </w:t>
      </w:r>
      <w:r w:rsidRPr="00BF57FF">
        <w:rPr>
          <w:rFonts w:ascii="Arial" w:hAnsi="Arial" w:cs="Arial"/>
          <w:i/>
          <w:iCs/>
        </w:rPr>
        <w:t>BMJ</w:t>
      </w:r>
      <w:r w:rsidRPr="00BF57FF">
        <w:rPr>
          <w:rFonts w:ascii="Arial" w:hAnsi="Arial" w:cs="Arial"/>
        </w:rPr>
        <w:t>, 372, n71.</w:t>
      </w:r>
    </w:p>
    <w:p w:rsidRPr="00BF57FF" w:rsidR="00DB5214" w:rsidP="00A70BBB" w:rsidRDefault="00DB5214" w14:paraId="384707A0" w14:textId="77777777">
      <w:pPr>
        <w:spacing w:line="360" w:lineRule="auto"/>
        <w:rPr>
          <w:rFonts w:ascii="Arial" w:hAnsi="Arial" w:cs="Arial"/>
        </w:rPr>
      </w:pPr>
      <w:r w:rsidRPr="00BF57FF">
        <w:rPr>
          <w:rFonts w:ascii="Arial" w:hAnsi="Arial" w:cs="Arial"/>
        </w:rPr>
        <w:t xml:space="preserve">Pardeshi, G., Sharma, P. and Ittiel, A. (2026) 'Rabies post-exposure prophylaxis in India: a SWOT analysis', </w:t>
      </w:r>
      <w:r w:rsidRPr="00BF57FF">
        <w:rPr>
          <w:rFonts w:ascii="Arial" w:hAnsi="Arial" w:cs="Arial"/>
          <w:i/>
          <w:iCs/>
        </w:rPr>
        <w:t>Therapeutic Advances in Vaccines and Immunotherapy</w:t>
      </w:r>
      <w:r w:rsidRPr="00BF57FF">
        <w:rPr>
          <w:rFonts w:ascii="Arial" w:hAnsi="Arial" w:cs="Arial"/>
        </w:rPr>
        <w:t xml:space="preserve">, 14, 25151355251410780. </w:t>
      </w:r>
    </w:p>
    <w:p w:rsidRPr="00BF57FF" w:rsidR="00DB5214" w:rsidP="00A70BBB" w:rsidRDefault="00DB5214" w14:paraId="17FC6004" w14:textId="77777777">
      <w:pPr>
        <w:spacing w:line="360" w:lineRule="auto"/>
        <w:rPr>
          <w:rFonts w:ascii="Arial" w:hAnsi="Arial" w:cs="Arial"/>
        </w:rPr>
      </w:pPr>
      <w:r w:rsidRPr="00BF57FF">
        <w:rPr>
          <w:rFonts w:ascii="Arial" w:hAnsi="Arial" w:cs="Arial"/>
        </w:rPr>
        <w:t xml:space="preserve">Patel, V., Parikh, R., Nandraj, S., Balasubramaniam, P., Narayan, K., Paul, V.K., Kumar, A.K., Chatterjee, M. and Reddy, K.S. (2015) 'Assuring health coverage for all in India', </w:t>
      </w:r>
      <w:r w:rsidRPr="00BF57FF">
        <w:rPr>
          <w:rFonts w:ascii="Arial" w:hAnsi="Arial" w:cs="Arial"/>
          <w:i/>
          <w:iCs/>
        </w:rPr>
        <w:t>The Lancet</w:t>
      </w:r>
      <w:r w:rsidRPr="00BF57FF">
        <w:rPr>
          <w:rFonts w:ascii="Arial" w:hAnsi="Arial" w:cs="Arial"/>
        </w:rPr>
        <w:t>, 386(10011), pp. 2422-2435.</w:t>
      </w:r>
    </w:p>
    <w:p w:rsidRPr="00BF57FF" w:rsidR="00DB5214" w:rsidP="00A70BBB" w:rsidRDefault="00DB5214" w14:paraId="47FC4774" w14:textId="77777777">
      <w:pPr>
        <w:spacing w:line="360" w:lineRule="auto"/>
        <w:rPr>
          <w:rFonts w:ascii="Arial" w:hAnsi="Arial" w:cs="Arial"/>
        </w:rPr>
      </w:pPr>
      <w:r w:rsidRPr="00BF57FF">
        <w:rPr>
          <w:rFonts w:ascii="Arial" w:hAnsi="Arial" w:cs="Arial"/>
        </w:rPr>
        <w:t xml:space="preserve">Radhakrishnan, S., Vanak, A.T., Nouvellet, P. and Donnelly, C.A. (2020) 'Rabies as a public health concern in India – a historical perspective', </w:t>
      </w:r>
      <w:r w:rsidRPr="00BF57FF">
        <w:rPr>
          <w:rFonts w:ascii="Arial" w:hAnsi="Arial" w:cs="Arial"/>
          <w:i/>
          <w:iCs/>
        </w:rPr>
        <w:t>Tropical Medicine and Infectious Disease</w:t>
      </w:r>
      <w:r w:rsidRPr="00BF57FF">
        <w:rPr>
          <w:rFonts w:ascii="Arial" w:hAnsi="Arial" w:cs="Arial"/>
        </w:rPr>
        <w:t xml:space="preserve">, 5(4), 162. </w:t>
      </w:r>
    </w:p>
    <w:p w:rsidRPr="00BF57FF" w:rsidR="00DB5214" w:rsidP="00A70BBB" w:rsidRDefault="00DB5214" w14:paraId="344E0A5A" w14:textId="77777777">
      <w:pPr>
        <w:spacing w:line="360" w:lineRule="auto"/>
        <w:rPr>
          <w:rFonts w:ascii="Arial" w:hAnsi="Arial" w:cs="Arial"/>
        </w:rPr>
      </w:pPr>
      <w:r w:rsidRPr="00BF57FF">
        <w:rPr>
          <w:rFonts w:ascii="Arial" w:hAnsi="Arial" w:cs="Arial"/>
        </w:rPr>
        <w:t xml:space="preserve">Rahman, S.A. and Isloor, S. (2018) 'Rabies on the Indian subcontinent', </w:t>
      </w:r>
      <w:r w:rsidRPr="00BF57FF">
        <w:rPr>
          <w:rFonts w:ascii="Arial" w:hAnsi="Arial" w:cs="Arial"/>
          <w:i/>
          <w:iCs/>
        </w:rPr>
        <w:t>Revue Scientifique et Technique (International Office of Epizootics)</w:t>
      </w:r>
      <w:r w:rsidRPr="00BF57FF">
        <w:rPr>
          <w:rFonts w:ascii="Arial" w:hAnsi="Arial" w:cs="Arial"/>
        </w:rPr>
        <w:t>, 37(2), pp. 529-542.</w:t>
      </w:r>
    </w:p>
    <w:p w:rsidRPr="00BF57FF" w:rsidR="00DB5214" w:rsidP="00A70BBB" w:rsidRDefault="00DB5214" w14:paraId="30EFF709" w14:textId="77777777">
      <w:pPr>
        <w:spacing w:line="360" w:lineRule="auto"/>
        <w:rPr>
          <w:rFonts w:ascii="Arial" w:hAnsi="Arial" w:cs="Arial"/>
        </w:rPr>
      </w:pPr>
      <w:r w:rsidRPr="00BF57FF">
        <w:rPr>
          <w:rFonts w:ascii="Arial" w:hAnsi="Arial" w:cs="Arial"/>
        </w:rPr>
        <w:t xml:space="preserve">Raj, S. (2026) 'Dog menace in Delhi: a geographical review and epidemiological analysis of rabies burden and judicial responses', </w:t>
      </w:r>
      <w:r w:rsidRPr="00BF57FF">
        <w:rPr>
          <w:rFonts w:ascii="Arial" w:hAnsi="Arial" w:cs="Arial"/>
          <w:i/>
          <w:iCs/>
        </w:rPr>
        <w:t>Indian Public Policy Review</w:t>
      </w:r>
      <w:r w:rsidRPr="00BF57FF">
        <w:rPr>
          <w:rFonts w:ascii="Arial" w:hAnsi="Arial" w:cs="Arial"/>
        </w:rPr>
        <w:t xml:space="preserve">, 7(1). Available at: </w:t>
      </w:r>
      <w:hyperlink w:history="1" r:id="rId20">
        <w:r w:rsidRPr="00BF57FF">
          <w:rPr>
            <w:rStyle w:val="Hyperlink"/>
            <w:rFonts w:ascii="Arial" w:hAnsi="Arial" w:cs="Arial"/>
          </w:rPr>
          <w:t>https://www.ippr.in/index.php/ippr/article/view/485</w:t>
        </w:r>
      </w:hyperlink>
      <w:r w:rsidRPr="00BF57FF">
        <w:rPr>
          <w:rFonts w:ascii="Arial" w:hAnsi="Arial" w:cs="Arial"/>
        </w:rPr>
        <w:t xml:space="preserve"> (Accessed: 15 March 2026).</w:t>
      </w:r>
    </w:p>
    <w:p w:rsidRPr="00BF57FF" w:rsidR="00DB5214" w:rsidP="00A70BBB" w:rsidRDefault="00DB5214" w14:paraId="00E4F408" w14:textId="0F07E93C">
      <w:pPr>
        <w:spacing w:line="360" w:lineRule="auto"/>
        <w:rPr>
          <w:rFonts w:ascii="Arial" w:hAnsi="Arial" w:cs="Arial"/>
        </w:rPr>
      </w:pPr>
      <w:r w:rsidRPr="00BF57FF">
        <w:rPr>
          <w:rFonts w:ascii="Arial" w:hAnsi="Arial" w:cs="Arial"/>
        </w:rPr>
        <w:t xml:space="preserve">Masthi, N.R.R. and Pruthvi, S. (2018) 'An exploratory study on rabies exposure through contact tracing in a rural area near Bengaluru, Karnataka, India', </w:t>
      </w:r>
      <w:r w:rsidRPr="00BF57FF">
        <w:rPr>
          <w:rFonts w:ascii="Arial" w:hAnsi="Arial" w:cs="Arial"/>
          <w:i/>
          <w:iCs/>
        </w:rPr>
        <w:t>PLoS Neglected Tropical Diseases</w:t>
      </w:r>
      <w:r w:rsidRPr="00BF57FF">
        <w:rPr>
          <w:rFonts w:ascii="Arial" w:hAnsi="Arial" w:cs="Arial"/>
        </w:rPr>
        <w:t>, 12(8), e0006682.</w:t>
      </w:r>
    </w:p>
    <w:p w:rsidRPr="00BF57FF" w:rsidR="00DB5214" w:rsidP="00A70BBB" w:rsidRDefault="00DB5214" w14:paraId="6A728FA0" w14:textId="30B826B1">
      <w:pPr>
        <w:spacing w:line="360" w:lineRule="auto"/>
        <w:rPr>
          <w:rFonts w:ascii="Arial" w:hAnsi="Arial" w:cs="Arial"/>
        </w:rPr>
      </w:pPr>
      <w:r w:rsidRPr="00BF57FF">
        <w:rPr>
          <w:rFonts w:ascii="Arial" w:hAnsi="Arial" w:cs="Arial"/>
        </w:rPr>
        <w:t>Masthi, N.R.</w:t>
      </w:r>
      <w:r w:rsidRPr="00BF57FF" w:rsidR="006A3D46">
        <w:rPr>
          <w:rFonts w:ascii="Arial" w:hAnsi="Arial" w:cs="Arial"/>
        </w:rPr>
        <w:t>R.</w:t>
      </w:r>
      <w:r w:rsidRPr="00BF57FF">
        <w:rPr>
          <w:rFonts w:ascii="Arial" w:hAnsi="Arial" w:cs="Arial"/>
        </w:rPr>
        <w:t xml:space="preserve"> Pradeep, B.S. and Bilagumba, G. (2019) 'A multicentric community survey on animal exposures among humans in India', </w:t>
      </w:r>
      <w:r w:rsidRPr="00BF57FF">
        <w:rPr>
          <w:rFonts w:ascii="Arial" w:hAnsi="Arial" w:cs="Arial"/>
          <w:i/>
          <w:iCs/>
        </w:rPr>
        <w:t>Indian Journal of Public Health</w:t>
      </w:r>
      <w:r w:rsidRPr="00BF57FF">
        <w:rPr>
          <w:rFonts w:ascii="Arial" w:hAnsi="Arial" w:cs="Arial"/>
        </w:rPr>
        <w:t>, 63(Suppl.), pp. S9-S14.</w:t>
      </w:r>
    </w:p>
    <w:p w:rsidRPr="00BF57FF" w:rsidR="00DB5214" w:rsidP="00A70BBB" w:rsidRDefault="00DB5214" w14:paraId="47FCDA39" w14:textId="1B3A9022">
      <w:pPr>
        <w:spacing w:line="360" w:lineRule="auto"/>
        <w:rPr>
          <w:rFonts w:ascii="Arial" w:hAnsi="Arial" w:cs="Arial"/>
        </w:rPr>
      </w:pPr>
      <w:r w:rsidRPr="00BF57FF">
        <w:rPr>
          <w:rFonts w:ascii="Arial" w:hAnsi="Arial" w:cs="Arial"/>
        </w:rPr>
        <w:t>Masthi, N.R.</w:t>
      </w:r>
      <w:r w:rsidRPr="00BF57FF" w:rsidR="006A3D46">
        <w:rPr>
          <w:rFonts w:ascii="Arial" w:hAnsi="Arial" w:cs="Arial"/>
        </w:rPr>
        <w:t>R.</w:t>
      </w:r>
      <w:r w:rsidRPr="00BF57FF">
        <w:rPr>
          <w:rFonts w:ascii="Arial" w:hAnsi="Arial" w:cs="Arial"/>
        </w:rPr>
        <w:t xml:space="preserve"> Sanjay, T.V., Pradeep, B.S. and Anwith, H.S. (2019) 'Community awareness and risk of rabies associated with exposure to animals in India', </w:t>
      </w:r>
      <w:r w:rsidRPr="00BF57FF">
        <w:rPr>
          <w:rFonts w:ascii="Arial" w:hAnsi="Arial" w:cs="Arial"/>
          <w:i/>
          <w:iCs/>
        </w:rPr>
        <w:t>Indian Journal of Public Health</w:t>
      </w:r>
      <w:r w:rsidRPr="00BF57FF">
        <w:rPr>
          <w:rFonts w:ascii="Arial" w:hAnsi="Arial" w:cs="Arial"/>
        </w:rPr>
        <w:t>, 63(Suppl.), pp. S15-S19.</w:t>
      </w:r>
    </w:p>
    <w:p w:rsidRPr="00BF57FF" w:rsidR="00DB5214" w:rsidP="00A70BBB" w:rsidRDefault="00DB5214" w14:paraId="4A4C8DA1" w14:textId="77777777">
      <w:pPr>
        <w:spacing w:line="360" w:lineRule="auto"/>
        <w:rPr>
          <w:rFonts w:ascii="Arial" w:hAnsi="Arial" w:cs="Arial"/>
        </w:rPr>
      </w:pPr>
      <w:r w:rsidRPr="00BF57FF">
        <w:rPr>
          <w:rFonts w:ascii="Arial" w:hAnsi="Arial" w:cs="Arial"/>
        </w:rPr>
        <w:t xml:space="preserve">Rubeshkumar, P., Majella, M.G., Jahan, N., Sakthivel, M. and Krishnamoorthy, Y. (2023) 'Secular trends of rabies in India, 2005-2020: importance of surveillance and implications for elimination strategies', </w:t>
      </w:r>
      <w:r w:rsidRPr="00BF57FF">
        <w:rPr>
          <w:rFonts w:ascii="Arial" w:hAnsi="Arial" w:cs="Arial"/>
          <w:i/>
          <w:iCs/>
        </w:rPr>
        <w:t>The Lancet Regional Health – Southeast Asia</w:t>
      </w:r>
      <w:r w:rsidRPr="00BF57FF">
        <w:rPr>
          <w:rFonts w:ascii="Arial" w:hAnsi="Arial" w:cs="Arial"/>
        </w:rPr>
        <w:t>, 20, 100322.</w:t>
      </w:r>
    </w:p>
    <w:p w:rsidRPr="00BF57FF" w:rsidR="00DB5214" w:rsidP="00A70BBB" w:rsidRDefault="00DB5214" w14:paraId="75E239EB" w14:textId="77777777">
      <w:pPr>
        <w:spacing w:line="360" w:lineRule="auto"/>
        <w:rPr>
          <w:rFonts w:ascii="Arial" w:hAnsi="Arial" w:cs="Arial"/>
        </w:rPr>
      </w:pPr>
      <w:r w:rsidRPr="00BF57FF">
        <w:rPr>
          <w:rFonts w:ascii="Arial" w:hAnsi="Arial" w:cs="Arial"/>
        </w:rPr>
        <w:t xml:space="preserve">Sahu, D.P., Ps, P., Bhatia, V. and Singh, A.K. (2021) 'Anti-rabies vaccine compliance and knowledge of community health worker regarding animal bite management in rural area of eastern India', </w:t>
      </w:r>
      <w:r w:rsidRPr="00BF57FF">
        <w:rPr>
          <w:rFonts w:ascii="Arial" w:hAnsi="Arial" w:cs="Arial"/>
          <w:i/>
          <w:iCs/>
        </w:rPr>
        <w:t>Cureus</w:t>
      </w:r>
      <w:r w:rsidRPr="00BF57FF">
        <w:rPr>
          <w:rFonts w:ascii="Arial" w:hAnsi="Arial" w:cs="Arial"/>
        </w:rPr>
        <w:t>, 13(3), e14229.</w:t>
      </w:r>
    </w:p>
    <w:p w:rsidRPr="00BF57FF" w:rsidR="00DB5214" w:rsidP="00A70BBB" w:rsidRDefault="00DB5214" w14:paraId="02D4E3D0" w14:textId="77777777">
      <w:pPr>
        <w:spacing w:line="360" w:lineRule="auto"/>
        <w:rPr>
          <w:rFonts w:ascii="Arial" w:hAnsi="Arial" w:cs="Arial"/>
        </w:rPr>
      </w:pPr>
      <w:r w:rsidRPr="00BF57FF">
        <w:rPr>
          <w:rFonts w:ascii="Arial" w:hAnsi="Arial" w:cs="Arial"/>
        </w:rPr>
        <w:t xml:space="preserve">Saprii, L., Richards, E., Kokho, P. and Theobald, S. (2015) 'Community health workers in rural India: analysing the opportunities and challenges Accredited Social Health Activists (ASHAs) face in realising their multiple roles', </w:t>
      </w:r>
      <w:r w:rsidRPr="00BF57FF">
        <w:rPr>
          <w:rFonts w:ascii="Arial" w:hAnsi="Arial" w:cs="Arial"/>
          <w:i/>
          <w:iCs/>
        </w:rPr>
        <w:t>Human Resources for Health</w:t>
      </w:r>
      <w:r w:rsidRPr="00BF57FF">
        <w:rPr>
          <w:rFonts w:ascii="Arial" w:hAnsi="Arial" w:cs="Arial"/>
        </w:rPr>
        <w:t>, 13, 95.</w:t>
      </w:r>
    </w:p>
    <w:p w:rsidRPr="00BF57FF" w:rsidR="00DB5214" w:rsidP="00A70BBB" w:rsidRDefault="00DB5214" w14:paraId="3C34445B" w14:textId="77777777">
      <w:pPr>
        <w:spacing w:line="360" w:lineRule="auto"/>
        <w:rPr>
          <w:rFonts w:ascii="Arial" w:hAnsi="Arial" w:cs="Arial"/>
        </w:rPr>
      </w:pPr>
      <w:r w:rsidRPr="00BF57FF">
        <w:rPr>
          <w:rFonts w:ascii="Arial" w:hAnsi="Arial" w:cs="Arial"/>
        </w:rPr>
        <w:t xml:space="preserve">Saunders, M.N.K., Lewis, P. and Thornhill, A. (2019) </w:t>
      </w:r>
      <w:r w:rsidRPr="00BF57FF">
        <w:rPr>
          <w:rFonts w:ascii="Arial" w:hAnsi="Arial" w:cs="Arial"/>
          <w:i/>
          <w:iCs/>
        </w:rPr>
        <w:t>Research methods for business students</w:t>
      </w:r>
      <w:r w:rsidRPr="00BF57FF">
        <w:rPr>
          <w:rFonts w:ascii="Arial" w:hAnsi="Arial" w:cs="Arial"/>
        </w:rPr>
        <w:t>. 8th edn. Pearson.</w:t>
      </w:r>
    </w:p>
    <w:p w:rsidRPr="00BF57FF" w:rsidR="00DB5214" w:rsidP="00A70BBB" w:rsidRDefault="00DB5214" w14:paraId="3C2F2DD4" w14:textId="77777777">
      <w:pPr>
        <w:spacing w:line="360" w:lineRule="auto"/>
        <w:rPr>
          <w:rFonts w:ascii="Arial" w:hAnsi="Arial" w:cs="Arial"/>
        </w:rPr>
      </w:pPr>
      <w:r w:rsidRPr="00BF57FF">
        <w:rPr>
          <w:rFonts w:ascii="Arial" w:hAnsi="Arial" w:cs="Arial"/>
        </w:rPr>
        <w:t xml:space="preserve">Sengupta, A., Sahoo, M., Khan, A., Shaikh, R. and Khan, R. (2020) 'Maternal health status in tribal India: a 5-year intervention program and its outcome', </w:t>
      </w:r>
      <w:r w:rsidRPr="00BF57FF">
        <w:rPr>
          <w:rFonts w:ascii="Arial" w:hAnsi="Arial" w:cs="Arial"/>
          <w:i/>
          <w:iCs/>
        </w:rPr>
        <w:t>Indian Journal of Community Medicine</w:t>
      </w:r>
      <w:r w:rsidRPr="00BF57FF">
        <w:rPr>
          <w:rFonts w:ascii="Arial" w:hAnsi="Arial" w:cs="Arial"/>
        </w:rPr>
        <w:t>, 45(2), pp. 189-193.</w:t>
      </w:r>
    </w:p>
    <w:p w:rsidRPr="00BF57FF" w:rsidR="00DB5214" w:rsidP="00A70BBB" w:rsidRDefault="00DB5214" w14:paraId="78FDF587" w14:textId="77777777">
      <w:pPr>
        <w:spacing w:line="360" w:lineRule="auto"/>
        <w:rPr>
          <w:rFonts w:ascii="Arial" w:hAnsi="Arial" w:cs="Arial"/>
        </w:rPr>
      </w:pPr>
      <w:r w:rsidRPr="00BF57FF">
        <w:rPr>
          <w:rFonts w:ascii="Arial" w:hAnsi="Arial" w:cs="Arial"/>
        </w:rPr>
        <w:t xml:space="preserve">Shankaraiah, R.H., Rajashekar, R.A., Veena, V. and Hanumanthaiah, A.N. (2015) 'Compliance to anti-rabies vaccination in post-exposure prophylaxis', </w:t>
      </w:r>
      <w:r w:rsidRPr="00BF57FF">
        <w:rPr>
          <w:rFonts w:ascii="Arial" w:hAnsi="Arial" w:cs="Arial"/>
          <w:i/>
          <w:iCs/>
        </w:rPr>
        <w:t>Indian Journal of Public Health</w:t>
      </w:r>
      <w:r w:rsidRPr="00BF57FF">
        <w:rPr>
          <w:rFonts w:ascii="Arial" w:hAnsi="Arial" w:cs="Arial"/>
        </w:rPr>
        <w:t>, 59(1), pp. 58-60.</w:t>
      </w:r>
    </w:p>
    <w:p w:rsidRPr="00BF57FF" w:rsidR="00DB5214" w:rsidP="00A70BBB" w:rsidRDefault="00DB5214" w14:paraId="41C1423D" w14:textId="77777777">
      <w:pPr>
        <w:spacing w:line="360" w:lineRule="auto"/>
        <w:rPr>
          <w:rFonts w:ascii="Arial" w:hAnsi="Arial" w:cs="Arial"/>
        </w:rPr>
      </w:pPr>
      <w:r w:rsidRPr="00BF57FF">
        <w:rPr>
          <w:rFonts w:ascii="Arial" w:hAnsi="Arial" w:cs="Arial"/>
        </w:rPr>
        <w:t xml:space="preserve">Sivagurunathan, C., Umadevi, R., Balaji, A., Rama, R. and Gopalakrishnan, S. (2021) 'Knowledge, attitude, and practice study on animal bite, rabies, and its prevention in an urban community', </w:t>
      </w:r>
      <w:r w:rsidRPr="00BF57FF">
        <w:rPr>
          <w:rFonts w:ascii="Arial" w:hAnsi="Arial" w:cs="Arial"/>
          <w:i/>
          <w:iCs/>
        </w:rPr>
        <w:t>Journal of Family Medicine and Primary Care</w:t>
      </w:r>
      <w:r w:rsidRPr="00BF57FF">
        <w:rPr>
          <w:rFonts w:ascii="Arial" w:hAnsi="Arial" w:cs="Arial"/>
        </w:rPr>
        <w:t>, 10(2), pp. 850-858.</w:t>
      </w:r>
    </w:p>
    <w:p w:rsidRPr="00BF57FF" w:rsidR="00DB5214" w:rsidP="00A70BBB" w:rsidRDefault="00DB5214" w14:paraId="2E17044A" w14:textId="77777777">
      <w:pPr>
        <w:spacing w:line="360" w:lineRule="auto"/>
        <w:rPr>
          <w:rFonts w:ascii="Arial" w:hAnsi="Arial" w:cs="Arial"/>
        </w:rPr>
      </w:pPr>
      <w:r w:rsidRPr="00BF57FF">
        <w:rPr>
          <w:rFonts w:ascii="Arial" w:hAnsi="Arial" w:cs="Arial"/>
        </w:rPr>
        <w:t xml:space="preserve">Srinivasan, K., Kurz, T., Kuttuva, P. and Pearson, C. (2019) 'Reorienting rabies research and practice: lessons from India', </w:t>
      </w:r>
      <w:r w:rsidRPr="00BF57FF">
        <w:rPr>
          <w:rFonts w:ascii="Arial" w:hAnsi="Arial" w:cs="Arial"/>
          <w:i/>
          <w:iCs/>
        </w:rPr>
        <w:t>Palgrave Communications</w:t>
      </w:r>
      <w:r w:rsidRPr="00BF57FF">
        <w:rPr>
          <w:rFonts w:ascii="Arial" w:hAnsi="Arial" w:cs="Arial"/>
        </w:rPr>
        <w:t>, 5, 152.</w:t>
      </w:r>
    </w:p>
    <w:p w:rsidRPr="00BF57FF" w:rsidR="00DB5214" w:rsidP="00A70BBB" w:rsidRDefault="00DB5214" w14:paraId="440C5476" w14:textId="77777777">
      <w:pPr>
        <w:spacing w:line="360" w:lineRule="auto"/>
        <w:rPr>
          <w:rFonts w:ascii="Arial" w:hAnsi="Arial" w:cs="Arial"/>
        </w:rPr>
      </w:pPr>
      <w:r w:rsidRPr="00BF57FF">
        <w:rPr>
          <w:rFonts w:ascii="Arial" w:hAnsi="Arial" w:cs="Arial"/>
        </w:rPr>
        <w:t xml:space="preserve">Sudarshan, M.K. et al. (2006) 'An epidemiological study of animal bites in India: results of a WHO sponsored national multi-centric rabies survey', </w:t>
      </w:r>
      <w:r w:rsidRPr="00BF57FF">
        <w:rPr>
          <w:rFonts w:ascii="Arial" w:hAnsi="Arial" w:cs="Arial"/>
          <w:i/>
          <w:iCs/>
        </w:rPr>
        <w:t>The Journal of Communicable Diseases</w:t>
      </w:r>
      <w:r w:rsidRPr="00BF57FF">
        <w:rPr>
          <w:rFonts w:ascii="Arial" w:hAnsi="Arial" w:cs="Arial"/>
        </w:rPr>
        <w:t>, 38(1), pp. 32-39.</w:t>
      </w:r>
    </w:p>
    <w:p w:rsidRPr="00BF57FF" w:rsidR="00DB5214" w:rsidP="00A70BBB" w:rsidRDefault="00DB5214" w14:paraId="28111AF2" w14:textId="77777777">
      <w:pPr>
        <w:spacing w:line="360" w:lineRule="auto"/>
        <w:rPr>
          <w:rFonts w:ascii="Arial" w:hAnsi="Arial" w:cs="Arial"/>
        </w:rPr>
      </w:pPr>
      <w:r w:rsidRPr="00BF57FF">
        <w:rPr>
          <w:rFonts w:ascii="Arial" w:hAnsi="Arial" w:cs="Arial"/>
        </w:rPr>
        <w:t xml:space="preserve">Sudarshan, M.K. et al. (2007) 'Assessing the burden of human rabies in India: results of a national multi-center epidemiological survey', </w:t>
      </w:r>
      <w:r w:rsidRPr="00BF57FF">
        <w:rPr>
          <w:rFonts w:ascii="Arial" w:hAnsi="Arial" w:cs="Arial"/>
          <w:i/>
          <w:iCs/>
        </w:rPr>
        <w:t>International Journal of Infectious Diseases</w:t>
      </w:r>
      <w:r w:rsidRPr="00BF57FF">
        <w:rPr>
          <w:rFonts w:ascii="Arial" w:hAnsi="Arial" w:cs="Arial"/>
        </w:rPr>
        <w:t>, 11(1), pp. 29-35.</w:t>
      </w:r>
    </w:p>
    <w:p w:rsidRPr="00BF57FF" w:rsidR="00DB5214" w:rsidP="00A70BBB" w:rsidRDefault="00DB5214" w14:paraId="334374DB" w14:textId="77777777">
      <w:pPr>
        <w:spacing w:line="360" w:lineRule="auto"/>
        <w:rPr>
          <w:rFonts w:ascii="Arial" w:hAnsi="Arial" w:cs="Arial"/>
        </w:rPr>
      </w:pPr>
      <w:r w:rsidRPr="00BF57FF">
        <w:rPr>
          <w:rFonts w:ascii="Arial" w:hAnsi="Arial" w:cs="Arial"/>
        </w:rPr>
        <w:t xml:space="preserve">Sudarshan, M.K. and Ashwath Narayana, D.H. (2019) 'Appraisal of surveillance of human rabies and animal bites in seven states of India', </w:t>
      </w:r>
      <w:r w:rsidRPr="00BF57FF">
        <w:rPr>
          <w:rFonts w:ascii="Arial" w:hAnsi="Arial" w:cs="Arial"/>
          <w:i/>
          <w:iCs/>
        </w:rPr>
        <w:t>Indian Journal of Public Health</w:t>
      </w:r>
      <w:r w:rsidRPr="00BF57FF">
        <w:rPr>
          <w:rFonts w:ascii="Arial" w:hAnsi="Arial" w:cs="Arial"/>
        </w:rPr>
        <w:t xml:space="preserve">, 63(Suppl.), pp. S3-S8. </w:t>
      </w:r>
    </w:p>
    <w:p w:rsidRPr="00BF57FF" w:rsidR="00DB5214" w:rsidP="00A70BBB" w:rsidRDefault="00DB5214" w14:paraId="3DE6BF37" w14:textId="77777777">
      <w:pPr>
        <w:spacing w:line="360" w:lineRule="auto"/>
        <w:rPr>
          <w:rFonts w:ascii="Arial" w:hAnsi="Arial" w:cs="Arial"/>
        </w:rPr>
      </w:pPr>
      <w:r w:rsidRPr="00BF57FF">
        <w:rPr>
          <w:rFonts w:ascii="Arial" w:hAnsi="Arial" w:cs="Arial"/>
        </w:rPr>
        <w:t xml:space="preserve">Sudarshan, M.K. and Haradanhalli, R.S. (2019) 'Facilities and services of postexposure prophylaxis in anti-rabies clinics: a national assessment in India', </w:t>
      </w:r>
      <w:r w:rsidRPr="00BF57FF">
        <w:rPr>
          <w:rFonts w:ascii="Arial" w:hAnsi="Arial" w:cs="Arial"/>
          <w:i/>
          <w:iCs/>
        </w:rPr>
        <w:t>Indian Journal of Public Health</w:t>
      </w:r>
      <w:r w:rsidRPr="00BF57FF">
        <w:rPr>
          <w:rFonts w:ascii="Arial" w:hAnsi="Arial" w:cs="Arial"/>
        </w:rPr>
        <w:t>, 63(Suppl.), pp. S26-S30.</w:t>
      </w:r>
    </w:p>
    <w:p w:rsidRPr="00BF57FF" w:rsidR="00DB5214" w:rsidP="00A70BBB" w:rsidRDefault="00DB5214" w14:paraId="584269A9" w14:textId="77777777">
      <w:pPr>
        <w:spacing w:line="360" w:lineRule="auto"/>
        <w:rPr>
          <w:rFonts w:ascii="Arial" w:hAnsi="Arial" w:cs="Arial"/>
        </w:rPr>
      </w:pPr>
      <w:r w:rsidRPr="00BF57FF">
        <w:rPr>
          <w:rFonts w:ascii="Arial" w:hAnsi="Arial" w:cs="Arial"/>
        </w:rPr>
        <w:t xml:space="preserve">Suraweera, W., Morris, S.K., Kumar, R., Warrell, D.A., Warrell, M.J., Jha, P. and Million Death Study Collaborators (2012) 'Deaths from symptomatically identifiable furious rabies in India: a nationally representative mortality survey', </w:t>
      </w:r>
      <w:r w:rsidRPr="00BF57FF">
        <w:rPr>
          <w:rFonts w:ascii="Arial" w:hAnsi="Arial" w:cs="Arial"/>
          <w:i/>
          <w:iCs/>
        </w:rPr>
        <w:t>PLoS Neglected Tropical Diseases</w:t>
      </w:r>
      <w:r w:rsidRPr="00BF57FF">
        <w:rPr>
          <w:rFonts w:ascii="Arial" w:hAnsi="Arial" w:cs="Arial"/>
        </w:rPr>
        <w:t xml:space="preserve">, 6(10), e1847. </w:t>
      </w:r>
    </w:p>
    <w:p w:rsidRPr="00BF57FF" w:rsidR="00DB5214" w:rsidP="00A70BBB" w:rsidRDefault="00DB5214" w14:paraId="06DC5995" w14:textId="77777777">
      <w:pPr>
        <w:spacing w:line="360" w:lineRule="auto"/>
        <w:rPr>
          <w:rFonts w:ascii="Arial" w:hAnsi="Arial" w:cs="Arial"/>
        </w:rPr>
      </w:pPr>
      <w:r w:rsidRPr="00BF57FF">
        <w:rPr>
          <w:rFonts w:ascii="Arial" w:hAnsi="Arial" w:cs="Arial"/>
        </w:rPr>
        <w:t xml:space="preserve">Taaffe, J. et al. (2023) 'One Health activities to reinforce intersectoral coordination at local levels in India', </w:t>
      </w:r>
      <w:r w:rsidRPr="00BF57FF">
        <w:rPr>
          <w:rFonts w:ascii="Arial" w:hAnsi="Arial" w:cs="Arial"/>
          <w:i/>
          <w:iCs/>
        </w:rPr>
        <w:t>Frontiers in Public Health</w:t>
      </w:r>
      <w:r w:rsidRPr="00BF57FF">
        <w:rPr>
          <w:rFonts w:ascii="Arial" w:hAnsi="Arial" w:cs="Arial"/>
        </w:rPr>
        <w:t>, 11, 1041447.</w:t>
      </w:r>
    </w:p>
    <w:p w:rsidR="00DB5214" w:rsidP="00A70BBB" w:rsidRDefault="00DB5214" w14:paraId="4E654CCB" w14:textId="77777777">
      <w:pPr>
        <w:spacing w:line="360" w:lineRule="auto"/>
        <w:rPr>
          <w:rFonts w:ascii="Arial" w:hAnsi="Arial" w:cs="Arial"/>
        </w:rPr>
      </w:pPr>
      <w:r w:rsidRPr="00BF57FF">
        <w:rPr>
          <w:rFonts w:ascii="Arial" w:hAnsi="Arial" w:cs="Arial"/>
        </w:rPr>
        <w:t xml:space="preserve">Thangaraj, J.W.V. et al. (2025) 'Estimates of the burden of human rabies deaths and animal bites in India, 2022-23: a community-based cross-sectional survey and probability decision-tree modelling study', </w:t>
      </w:r>
      <w:r w:rsidRPr="00BF57FF">
        <w:rPr>
          <w:rFonts w:ascii="Arial" w:hAnsi="Arial" w:cs="Arial"/>
          <w:i/>
          <w:iCs/>
        </w:rPr>
        <w:t>The Lancet Infectious Diseases</w:t>
      </w:r>
      <w:r w:rsidRPr="00BF57FF">
        <w:rPr>
          <w:rFonts w:ascii="Arial" w:hAnsi="Arial" w:cs="Arial"/>
        </w:rPr>
        <w:t>, 25(1), pp. 126-134.</w:t>
      </w:r>
    </w:p>
    <w:p w:rsidRPr="00BF57FF" w:rsidR="004273F4" w:rsidP="00A70BBB" w:rsidRDefault="004273F4" w14:paraId="645A9214" w14:textId="4017B442">
      <w:pPr>
        <w:spacing w:line="360" w:lineRule="auto"/>
        <w:rPr>
          <w:rFonts w:ascii="Arial" w:hAnsi="Arial" w:cs="Arial"/>
        </w:rPr>
      </w:pPr>
      <w:r w:rsidRPr="004273F4">
        <w:rPr>
          <w:rFonts w:ascii="Arial" w:hAnsi="Arial" w:cs="Arial"/>
        </w:rPr>
        <w:t xml:space="preserve">Thiagarajan, K., 2022. Why did rabies control fail in India? </w:t>
      </w:r>
      <w:r w:rsidRPr="004273F4">
        <w:rPr>
          <w:rFonts w:ascii="Arial" w:hAnsi="Arial" w:cs="Arial"/>
          <w:i/>
          <w:iCs/>
        </w:rPr>
        <w:t>BMJ (Clinical research ed.)</w:t>
      </w:r>
      <w:r w:rsidRPr="004273F4">
        <w:rPr>
          <w:rFonts w:ascii="Arial" w:hAnsi="Arial" w:cs="Arial"/>
        </w:rPr>
        <w:t>, 378, p. o2284.</w:t>
      </w:r>
    </w:p>
    <w:p w:rsidRPr="00BF57FF" w:rsidR="00DB5214" w:rsidP="00A70BBB" w:rsidRDefault="00DB5214" w14:paraId="1F3FF345" w14:textId="77777777">
      <w:pPr>
        <w:spacing w:line="360" w:lineRule="auto"/>
        <w:rPr>
          <w:rFonts w:ascii="Arial" w:hAnsi="Arial" w:cs="Arial"/>
        </w:rPr>
      </w:pPr>
      <w:r w:rsidRPr="00BF57FF">
        <w:rPr>
          <w:rFonts w:ascii="Arial" w:hAnsi="Arial" w:cs="Arial"/>
        </w:rPr>
        <w:t xml:space="preserve">Thomas, J. and Harden, A. (2008) 'Methods for the thematic synthesis of qualitative research in systematic reviews', </w:t>
      </w:r>
      <w:r w:rsidRPr="00BF57FF">
        <w:rPr>
          <w:rFonts w:ascii="Arial" w:hAnsi="Arial" w:cs="Arial"/>
          <w:i/>
          <w:iCs/>
        </w:rPr>
        <w:t>BMC Medical Research Methodology</w:t>
      </w:r>
      <w:r w:rsidRPr="00BF57FF">
        <w:rPr>
          <w:rFonts w:ascii="Arial" w:hAnsi="Arial" w:cs="Arial"/>
        </w:rPr>
        <w:t>, 8, 45.</w:t>
      </w:r>
    </w:p>
    <w:p w:rsidRPr="00BF57FF" w:rsidR="00DB5214" w:rsidP="00A70BBB" w:rsidRDefault="00DB5214" w14:paraId="73646AA4" w14:textId="77777777">
      <w:pPr>
        <w:spacing w:line="360" w:lineRule="auto"/>
        <w:rPr>
          <w:rFonts w:ascii="Arial" w:hAnsi="Arial" w:cs="Arial"/>
        </w:rPr>
      </w:pPr>
      <w:r w:rsidRPr="00BF57FF">
        <w:rPr>
          <w:rFonts w:ascii="Arial" w:hAnsi="Arial" w:cs="Arial"/>
        </w:rPr>
        <w:t xml:space="preserve">Tiwari, H.K., Robertson, I.D., O'Dea, M. and Vanak, A.T. (2019a) 'Knowledge, attitudes and practices (KAP) towards rabies and free roaming dogs (FRD) in Panchkula district of north India: a cross-sectional study of urban residents', </w:t>
      </w:r>
      <w:r w:rsidRPr="00BF57FF">
        <w:rPr>
          <w:rFonts w:ascii="Arial" w:hAnsi="Arial" w:cs="Arial"/>
          <w:i/>
          <w:iCs/>
        </w:rPr>
        <w:t>PLoS Neglected Tropical Diseases</w:t>
      </w:r>
      <w:r w:rsidRPr="00BF57FF">
        <w:rPr>
          <w:rFonts w:ascii="Arial" w:hAnsi="Arial" w:cs="Arial"/>
        </w:rPr>
        <w:t xml:space="preserve">, 13(4), e0007384. </w:t>
      </w:r>
    </w:p>
    <w:p w:rsidRPr="00BF57FF" w:rsidR="00DB5214" w:rsidP="00A70BBB" w:rsidRDefault="00DB5214" w14:paraId="6E5C07D7" w14:textId="77777777">
      <w:pPr>
        <w:spacing w:line="360" w:lineRule="auto"/>
        <w:rPr>
          <w:rFonts w:ascii="Arial" w:hAnsi="Arial" w:cs="Arial"/>
        </w:rPr>
      </w:pPr>
      <w:r w:rsidRPr="00BF57FF">
        <w:rPr>
          <w:rFonts w:ascii="Arial" w:hAnsi="Arial" w:cs="Arial"/>
        </w:rPr>
        <w:t xml:space="preserve">Tiwari, H.K., O'Dea, M., Robertson, I.D. and Vanak, A.T. (2019b) 'Knowledge, attitudes and practices (KAP) towards rabies and free-roaming dogs (FRD) in Shirsuphal village in western India: a community based cross-sectional study', </w:t>
      </w:r>
      <w:r w:rsidRPr="00BF57FF">
        <w:rPr>
          <w:rFonts w:ascii="Arial" w:hAnsi="Arial" w:cs="Arial"/>
          <w:i/>
          <w:iCs/>
        </w:rPr>
        <w:t>PLoS Neglected Tropical Diseases</w:t>
      </w:r>
      <w:r w:rsidRPr="00BF57FF">
        <w:rPr>
          <w:rFonts w:ascii="Arial" w:hAnsi="Arial" w:cs="Arial"/>
        </w:rPr>
        <w:t xml:space="preserve">, 13(1), e0007120. </w:t>
      </w:r>
    </w:p>
    <w:p w:rsidRPr="00BF57FF" w:rsidR="00DB5214" w:rsidP="00A70BBB" w:rsidRDefault="00DB5214" w14:paraId="5BA5C375" w14:textId="77777777">
      <w:pPr>
        <w:spacing w:line="360" w:lineRule="auto"/>
        <w:rPr>
          <w:rFonts w:ascii="Arial" w:hAnsi="Arial" w:cs="Arial"/>
        </w:rPr>
      </w:pPr>
      <w:r w:rsidRPr="00BF57FF">
        <w:rPr>
          <w:rFonts w:ascii="Arial" w:hAnsi="Arial" w:cs="Arial"/>
        </w:rPr>
        <w:t xml:space="preserve">Vanak, A.T., Panchamia, N., Banerji, I. and Nair, M. (2023) 'A passive "One Health" surveillance system to track canine rabies in urban India', </w:t>
      </w:r>
      <w:r w:rsidRPr="00BF57FF">
        <w:rPr>
          <w:rFonts w:ascii="Arial" w:hAnsi="Arial" w:cs="Arial"/>
          <w:i/>
          <w:iCs/>
        </w:rPr>
        <w:t>CABI One Health</w:t>
      </w:r>
      <w:r w:rsidRPr="00BF57FF">
        <w:rPr>
          <w:rFonts w:ascii="Arial" w:hAnsi="Arial" w:cs="Arial"/>
        </w:rPr>
        <w:t>.</w:t>
      </w:r>
    </w:p>
    <w:p w:rsidRPr="00BF57FF" w:rsidR="00DB5214" w:rsidP="00A70BBB" w:rsidRDefault="00DB5214" w14:paraId="01483F31" w14:textId="77777777">
      <w:pPr>
        <w:spacing w:line="360" w:lineRule="auto"/>
        <w:rPr>
          <w:rFonts w:ascii="Arial" w:hAnsi="Arial" w:cs="Arial"/>
        </w:rPr>
      </w:pPr>
      <w:r w:rsidRPr="00BF57FF">
        <w:rPr>
          <w:rFonts w:ascii="Arial" w:hAnsi="Arial" w:cs="Arial"/>
        </w:rPr>
        <w:t xml:space="preserve">Vellakkal, S., Gupta, A., Khan, Z., Stuckler, D., Reeves, A., Ebrahim, S., Bowling, A. and Doyle, P. (2017) 'Has India's national rural health mission reduced inequities in maternal health services? A pre-post repeated cross-sectional study', </w:t>
      </w:r>
      <w:r w:rsidRPr="00BF57FF">
        <w:rPr>
          <w:rFonts w:ascii="Arial" w:hAnsi="Arial" w:cs="Arial"/>
          <w:i/>
          <w:iCs/>
        </w:rPr>
        <w:t>Health Policy and Planning</w:t>
      </w:r>
      <w:r w:rsidRPr="00BF57FF">
        <w:rPr>
          <w:rFonts w:ascii="Arial" w:hAnsi="Arial" w:cs="Arial"/>
        </w:rPr>
        <w:t xml:space="preserve">, 32(1), pp. 79-90. </w:t>
      </w:r>
    </w:p>
    <w:p w:rsidR="00DB5214" w:rsidP="00A70BBB" w:rsidRDefault="00DB5214" w14:paraId="4BACEC8E" w14:textId="77777777">
      <w:pPr>
        <w:spacing w:line="360" w:lineRule="auto"/>
        <w:rPr>
          <w:rFonts w:ascii="Arial" w:hAnsi="Arial" w:cs="Arial"/>
        </w:rPr>
      </w:pPr>
      <w:r w:rsidRPr="00BF57FF">
        <w:rPr>
          <w:rFonts w:ascii="Arial" w:hAnsi="Arial" w:cs="Arial"/>
        </w:rPr>
        <w:t xml:space="preserve">Wallace, R.M., Undurraga, E.A., Blanton, J.D., Cleaton, J. and Franka, R. (2017) 'Elimination of dog-mediated human rabies deaths by 2030: needs assessment and alternatives for progress based on dog vaccination', </w:t>
      </w:r>
      <w:r w:rsidRPr="00BF57FF">
        <w:rPr>
          <w:rFonts w:ascii="Arial" w:hAnsi="Arial" w:cs="Arial"/>
          <w:i/>
          <w:iCs/>
        </w:rPr>
        <w:t>Frontiers in Veterinary Science</w:t>
      </w:r>
      <w:r w:rsidRPr="00BF57FF">
        <w:rPr>
          <w:rFonts w:ascii="Arial" w:hAnsi="Arial" w:cs="Arial"/>
        </w:rPr>
        <w:t>, 4, 9.</w:t>
      </w:r>
    </w:p>
    <w:p w:rsidRPr="00BF57FF" w:rsidR="004273F4" w:rsidP="00A70BBB" w:rsidRDefault="004273F4" w14:paraId="0DCF2E57" w14:textId="6440D1AE">
      <w:pPr>
        <w:spacing w:line="360" w:lineRule="auto"/>
        <w:rPr>
          <w:rFonts w:ascii="Arial" w:hAnsi="Arial" w:cs="Arial"/>
        </w:rPr>
      </w:pPr>
      <w:r w:rsidRPr="004273F4">
        <w:rPr>
          <w:rFonts w:ascii="Arial" w:hAnsi="Arial" w:cs="Arial"/>
        </w:rPr>
        <w:t xml:space="preserve">Wentworth, D., Hampson, K., Thumbi, S.M., Mwatondo, A., Wambura, G. and Chng, N.R., 2019. A social justice perspective on access to human rabies vaccines. </w:t>
      </w:r>
      <w:r w:rsidRPr="004273F4">
        <w:rPr>
          <w:rFonts w:ascii="Arial" w:hAnsi="Arial" w:cs="Arial"/>
          <w:i/>
          <w:iCs/>
        </w:rPr>
        <w:t>Vaccine</w:t>
      </w:r>
      <w:r w:rsidRPr="004273F4">
        <w:rPr>
          <w:rFonts w:ascii="Arial" w:hAnsi="Arial" w:cs="Arial"/>
        </w:rPr>
        <w:t>, 37(Suppl 1), pp. A3–A5.</w:t>
      </w:r>
    </w:p>
    <w:p w:rsidRPr="00BF57FF" w:rsidR="00DB5214" w:rsidP="00A70BBB" w:rsidRDefault="00DB5214" w14:paraId="43FBCE71" w14:textId="77777777">
      <w:pPr>
        <w:spacing w:line="360" w:lineRule="auto"/>
        <w:rPr>
          <w:rFonts w:ascii="Arial" w:hAnsi="Arial" w:cs="Arial"/>
        </w:rPr>
      </w:pPr>
      <w:r w:rsidRPr="00BF57FF">
        <w:rPr>
          <w:rFonts w:ascii="Arial" w:hAnsi="Arial" w:cs="Arial"/>
        </w:rPr>
        <w:t xml:space="preserve">World Health Organization, Food and Agriculture Organization of the United Nations, World Organisation for Animal Health and Global Alliance for Rabies Control (2018a) </w:t>
      </w:r>
      <w:r w:rsidRPr="00BF57FF">
        <w:rPr>
          <w:rFonts w:ascii="Arial" w:hAnsi="Arial" w:cs="Arial"/>
          <w:i/>
          <w:iCs/>
        </w:rPr>
        <w:t xml:space="preserve">Zero by 30: the global strategic plan to end human deaths from dog-mediated rabies </w:t>
      </w:r>
      <w:r w:rsidRPr="00BF57FF">
        <w:rPr>
          <w:rFonts w:ascii="Arial" w:hAnsi="Arial" w:cs="Arial"/>
          <w:i/>
          <w:iCs/>
        </w:rPr>
        <w:t>by 2030</w:t>
      </w:r>
      <w:r w:rsidRPr="00BF57FF">
        <w:rPr>
          <w:rFonts w:ascii="Arial" w:hAnsi="Arial" w:cs="Arial"/>
        </w:rPr>
        <w:t xml:space="preserve">. Geneva: World Health Organization. Available at: </w:t>
      </w:r>
      <w:hyperlink w:history="1" r:id="rId21">
        <w:r w:rsidRPr="00BF57FF">
          <w:rPr>
            <w:rStyle w:val="Hyperlink"/>
            <w:rFonts w:ascii="Arial" w:hAnsi="Arial" w:cs="Arial"/>
          </w:rPr>
          <w:t>https://www.who.int/publications/i/item/9789241513838</w:t>
        </w:r>
      </w:hyperlink>
      <w:r w:rsidRPr="00BF57FF">
        <w:rPr>
          <w:rFonts w:ascii="Arial" w:hAnsi="Arial" w:cs="Arial"/>
        </w:rPr>
        <w:t xml:space="preserve"> (Accessed: 30 March 2026).</w:t>
      </w:r>
    </w:p>
    <w:p w:rsidRPr="00BF57FF" w:rsidR="00DB5214" w:rsidP="00A70BBB" w:rsidRDefault="00DB5214" w14:paraId="2E2B959A" w14:textId="77777777">
      <w:pPr>
        <w:spacing w:line="360" w:lineRule="auto"/>
        <w:rPr>
          <w:rFonts w:ascii="Arial" w:hAnsi="Arial" w:cs="Arial"/>
        </w:rPr>
      </w:pPr>
      <w:r w:rsidRPr="00BF57FF">
        <w:rPr>
          <w:rFonts w:ascii="Arial" w:hAnsi="Arial" w:cs="Arial"/>
        </w:rPr>
        <w:t xml:space="preserve">World Health Organization (2018b) </w:t>
      </w:r>
      <w:r w:rsidRPr="00BF57FF">
        <w:rPr>
          <w:rFonts w:ascii="Arial" w:hAnsi="Arial" w:cs="Arial"/>
          <w:i/>
          <w:iCs/>
        </w:rPr>
        <w:t>WHO Expert Consultation on Rabies: third report</w:t>
      </w:r>
      <w:r w:rsidRPr="00BF57FF">
        <w:rPr>
          <w:rFonts w:ascii="Arial" w:hAnsi="Arial" w:cs="Arial"/>
        </w:rPr>
        <w:t xml:space="preserve">. Geneva: World Health Organization (WHO Technical Report Series, No. 1012). Available at: </w:t>
      </w:r>
      <w:hyperlink w:history="1" r:id="rId22">
        <w:r w:rsidRPr="00BF57FF">
          <w:rPr>
            <w:rStyle w:val="Hyperlink"/>
            <w:rFonts w:ascii="Arial" w:hAnsi="Arial" w:cs="Arial"/>
          </w:rPr>
          <w:t>https://www.who.int/publications/i/item/WHO-TRS-1012</w:t>
        </w:r>
      </w:hyperlink>
      <w:r w:rsidRPr="00BF57FF">
        <w:rPr>
          <w:rFonts w:ascii="Arial" w:hAnsi="Arial" w:cs="Arial"/>
        </w:rPr>
        <w:t xml:space="preserve"> (Accessed: 18 April 2026).</w:t>
      </w:r>
    </w:p>
    <w:p w:rsidRPr="00BF57FF" w:rsidR="00DB5214" w:rsidP="00A70BBB" w:rsidRDefault="00DB5214" w14:paraId="5916F289" w14:textId="77777777">
      <w:pPr>
        <w:spacing w:line="360" w:lineRule="auto"/>
        <w:rPr>
          <w:rFonts w:ascii="Arial" w:hAnsi="Arial" w:cs="Arial"/>
        </w:rPr>
      </w:pPr>
      <w:r w:rsidRPr="00BF57FF">
        <w:rPr>
          <w:rFonts w:ascii="Arial" w:hAnsi="Arial" w:cs="Arial"/>
        </w:rPr>
        <w:t xml:space="preserve">World Health Organization (2018c) 'Rabies vaccines: WHO position paper – April 2018', </w:t>
      </w:r>
      <w:r w:rsidRPr="00BF57FF">
        <w:rPr>
          <w:rFonts w:ascii="Arial" w:hAnsi="Arial" w:cs="Arial"/>
          <w:i/>
          <w:iCs/>
        </w:rPr>
        <w:t>Weekly Epidemiological Record</w:t>
      </w:r>
      <w:r w:rsidRPr="00BF57FF">
        <w:rPr>
          <w:rFonts w:ascii="Arial" w:hAnsi="Arial" w:cs="Arial"/>
        </w:rPr>
        <w:t xml:space="preserve">, 93(16), pp. 201-220. Available at: </w:t>
      </w:r>
      <w:hyperlink w:history="1" r:id="rId23">
        <w:r w:rsidRPr="00BF57FF">
          <w:rPr>
            <w:rStyle w:val="Hyperlink"/>
            <w:rFonts w:ascii="Arial" w:hAnsi="Arial" w:cs="Arial"/>
          </w:rPr>
          <w:t>https://www.who.int/publications/i/item/who-wer9316</w:t>
        </w:r>
      </w:hyperlink>
      <w:r w:rsidRPr="00BF57FF">
        <w:rPr>
          <w:rFonts w:ascii="Arial" w:hAnsi="Arial" w:cs="Arial"/>
        </w:rPr>
        <w:t xml:space="preserve"> (Accessed: 18 April 2026).</w:t>
      </w:r>
    </w:p>
    <w:p w:rsidRPr="00BF57FF" w:rsidR="00DB5214" w:rsidP="00A70BBB" w:rsidRDefault="00DB5214" w14:paraId="60635772" w14:textId="77777777">
      <w:pPr>
        <w:spacing w:line="360" w:lineRule="auto"/>
        <w:rPr>
          <w:rFonts w:ascii="Arial" w:hAnsi="Arial" w:cs="Arial"/>
        </w:rPr>
      </w:pPr>
      <w:r w:rsidRPr="00BF57FF">
        <w:rPr>
          <w:rFonts w:ascii="Arial" w:hAnsi="Arial" w:cs="Arial"/>
        </w:rPr>
        <w:t xml:space="preserve">Yasobant, S., Bruchhausen, W., Saxena, D. and Falkenberg, T. (2020) '"One Health" actors in multifaceted health systems: an operational case for India', </w:t>
      </w:r>
      <w:r w:rsidRPr="00BF57FF">
        <w:rPr>
          <w:rFonts w:ascii="Arial" w:hAnsi="Arial" w:cs="Arial"/>
          <w:i/>
          <w:iCs/>
        </w:rPr>
        <w:t>Healthcare</w:t>
      </w:r>
      <w:r w:rsidRPr="00BF57FF">
        <w:rPr>
          <w:rFonts w:ascii="Arial" w:hAnsi="Arial" w:cs="Arial"/>
        </w:rPr>
        <w:t>, 8(4), 387.</w:t>
      </w:r>
    </w:p>
    <w:p w:rsidRPr="00BF57FF" w:rsidR="00DB5214" w:rsidP="00A70BBB" w:rsidRDefault="00DB5214" w14:paraId="5E1E9CE9" w14:textId="77777777">
      <w:pPr>
        <w:spacing w:line="360" w:lineRule="auto"/>
        <w:rPr>
          <w:rFonts w:ascii="Arial" w:hAnsi="Arial" w:cs="Arial"/>
        </w:rPr>
      </w:pPr>
      <w:r w:rsidRPr="00BF57FF">
        <w:rPr>
          <w:rFonts w:ascii="Arial" w:hAnsi="Arial" w:cs="Arial"/>
        </w:rPr>
        <w:t xml:space="preserve">Yasobant, S., Bruchhausen, W., Saxena, D. and Falkenberg, T. (2021) 'Systemic factors for enhancing intersectoral collaboration for the operationalization of One Health: a case study in India', </w:t>
      </w:r>
      <w:r w:rsidRPr="00BF57FF">
        <w:rPr>
          <w:rFonts w:ascii="Arial" w:hAnsi="Arial" w:cs="Arial"/>
          <w:i/>
          <w:iCs/>
        </w:rPr>
        <w:t>Health Research Policy and Systems</w:t>
      </w:r>
      <w:r w:rsidRPr="00BF57FF">
        <w:rPr>
          <w:rFonts w:ascii="Arial" w:hAnsi="Arial" w:cs="Arial"/>
        </w:rPr>
        <w:t>, 19(1), 75.</w:t>
      </w:r>
    </w:p>
    <w:p w:rsidRPr="00BF57FF" w:rsidR="00DB5214" w:rsidP="00A70BBB" w:rsidRDefault="00DB5214" w14:paraId="57767115" w14:textId="77777777">
      <w:pPr>
        <w:spacing w:line="360" w:lineRule="auto"/>
        <w:rPr>
          <w:rFonts w:ascii="Arial" w:hAnsi="Arial" w:cs="Arial"/>
        </w:rPr>
      </w:pPr>
      <w:r w:rsidRPr="00BF57FF">
        <w:rPr>
          <w:rFonts w:ascii="Arial" w:hAnsi="Arial" w:cs="Arial"/>
        </w:rPr>
        <w:t xml:space="preserve">Zhang, D. et al. (2016) 'Genome-wide transcriptional profiling reveals two distinct outcomes in central nervous system infections of rabies virus', </w:t>
      </w:r>
      <w:r w:rsidRPr="00BF57FF">
        <w:rPr>
          <w:rFonts w:ascii="Arial" w:hAnsi="Arial" w:cs="Arial"/>
          <w:i/>
          <w:iCs/>
        </w:rPr>
        <w:t>Frontiers in Microbiology</w:t>
      </w:r>
      <w:r w:rsidRPr="00BF57FF">
        <w:rPr>
          <w:rFonts w:ascii="Arial" w:hAnsi="Arial" w:cs="Arial"/>
        </w:rPr>
        <w:t>, 7, 751.</w:t>
      </w:r>
    </w:p>
    <w:p w:rsidRPr="00BF57FF" w:rsidR="001972F6" w:rsidP="00A70BBB" w:rsidRDefault="001972F6" w14:paraId="7CB389F6" w14:textId="0E63AE43">
      <w:pPr>
        <w:spacing w:line="360" w:lineRule="auto"/>
        <w:jc w:val="both"/>
        <w:rPr>
          <w:rFonts w:ascii="Arial" w:hAnsi="Arial" w:cs="Arial"/>
        </w:rPr>
      </w:pPr>
    </w:p>
    <w:p w:rsidRPr="00BF57FF" w:rsidR="004419E6" w:rsidP="00A70BBB" w:rsidRDefault="009C5AD6" w14:paraId="39AE3AB5" w14:textId="336A521A">
      <w:pPr>
        <w:pStyle w:val="ListParagraph"/>
        <w:numPr>
          <w:ilvl w:val="0"/>
          <w:numId w:val="12"/>
        </w:numPr>
        <w:spacing w:line="360" w:lineRule="auto"/>
        <w:ind w:left="372"/>
        <w:jc w:val="both"/>
        <w:rPr>
          <w:rFonts w:ascii="Arial" w:hAnsi="Arial" w:cs="Arial"/>
        </w:rPr>
      </w:pPr>
      <w:r w:rsidRPr="00BF57FF">
        <w:rPr>
          <w:rFonts w:ascii="Arial" w:hAnsi="Arial" w:cs="Arial"/>
        </w:rPr>
        <w:br w:type="page"/>
      </w:r>
    </w:p>
    <w:p w:rsidRPr="00BF57FF" w:rsidR="009C5AD6" w:rsidP="00A70BBB" w:rsidRDefault="009C5AD6" w14:paraId="13C2DC34" w14:textId="4C321DCE">
      <w:pPr>
        <w:pStyle w:val="Heading1"/>
        <w:spacing w:line="360" w:lineRule="auto"/>
        <w:jc w:val="both"/>
        <w:rPr>
          <w:rFonts w:ascii="Arial" w:hAnsi="Arial" w:eastAsia="Calibri" w:cs="Arial"/>
          <w:sz w:val="22"/>
        </w:rPr>
      </w:pPr>
      <w:bookmarkStart w:name="_Toc231298606" w:id="124"/>
      <w:r w:rsidRPr="00BF57FF">
        <w:rPr>
          <w:rFonts w:ascii="Arial" w:hAnsi="Arial" w:eastAsia="Calibri" w:cs="Arial"/>
          <w:sz w:val="22"/>
        </w:rPr>
        <w:t>Appendix A</w:t>
      </w:r>
      <w:bookmarkEnd w:id="124"/>
    </w:p>
    <w:p w:rsidRPr="00BF57FF" w:rsidR="009C5AD6" w:rsidP="00A70BBB" w:rsidRDefault="009C5AD6" w14:paraId="358675C2" w14:textId="77777777">
      <w:pPr>
        <w:spacing w:after="0" w:line="360" w:lineRule="auto"/>
        <w:ind w:left="2"/>
        <w:jc w:val="both"/>
        <w:rPr>
          <w:rFonts w:ascii="Arial" w:hAnsi="Arial" w:eastAsia="Calibri" w:cs="Arial"/>
        </w:rPr>
      </w:pPr>
      <w:r w:rsidRPr="00BF57FF">
        <w:rPr>
          <w:rFonts w:ascii="Arial" w:hAnsi="Arial" w:eastAsia="Calibri" w:cs="Arial"/>
          <w:b/>
          <w:bCs/>
        </w:rPr>
        <w:t>Database Search Strings and Record Counts</w:t>
      </w:r>
    </w:p>
    <w:p w:rsidRPr="00BF57FF" w:rsidR="009C5AD6" w:rsidP="00A70BBB" w:rsidRDefault="009C5AD6" w14:paraId="0260562B" w14:textId="280EA8E8">
      <w:pPr>
        <w:spacing w:after="0" w:line="360" w:lineRule="auto"/>
        <w:ind w:left="2"/>
        <w:jc w:val="both"/>
        <w:rPr>
          <w:rFonts w:ascii="Arial" w:hAnsi="Arial" w:eastAsia="Calibri" w:cs="Arial"/>
        </w:rPr>
      </w:pPr>
      <w:r w:rsidRPr="00BF57FF">
        <w:rPr>
          <w:rFonts w:ascii="Arial" w:hAnsi="Arial" w:eastAsia="Calibri" w:cs="Arial"/>
          <w:i/>
          <w:iCs/>
        </w:rPr>
        <w:t xml:space="preserve">The following table presents the complete search string used in each of the four databases, together with the number of records returned prior to deduplication. Date range: 1 January 2015 – 31 </w:t>
      </w:r>
      <w:r w:rsidRPr="00BF57FF" w:rsidR="0044093E">
        <w:rPr>
          <w:rFonts w:ascii="Arial" w:hAnsi="Arial" w:eastAsia="Calibri" w:cs="Arial"/>
          <w:i/>
          <w:iCs/>
        </w:rPr>
        <w:t xml:space="preserve">May </w:t>
      </w:r>
      <w:r w:rsidRPr="00BF57FF">
        <w:rPr>
          <w:rFonts w:ascii="Arial" w:hAnsi="Arial" w:eastAsia="Calibri" w:cs="Arial"/>
          <w:i/>
          <w:iCs/>
        </w:rPr>
        <w:t>202</w:t>
      </w:r>
      <w:r w:rsidRPr="00BF57FF" w:rsidR="0044093E">
        <w:rPr>
          <w:rFonts w:ascii="Arial" w:hAnsi="Arial" w:eastAsia="Calibri" w:cs="Arial"/>
          <w:i/>
          <w:iCs/>
        </w:rPr>
        <w:t>6</w:t>
      </w:r>
      <w:r w:rsidRPr="00BF57FF">
        <w:rPr>
          <w:rFonts w:ascii="Arial" w:hAnsi="Arial" w:eastAsia="Calibri" w:cs="Arial"/>
          <w:i/>
          <w:iCs/>
        </w:rPr>
        <w:t xml:space="preserve">. All searches </w:t>
      </w:r>
      <w:r w:rsidRPr="00BF57FF" w:rsidR="00223D08">
        <w:rPr>
          <w:rFonts w:ascii="Arial" w:hAnsi="Arial" w:eastAsia="Calibri" w:cs="Arial"/>
          <w:i/>
          <w:iCs/>
        </w:rPr>
        <w:t xml:space="preserve">were </w:t>
      </w:r>
      <w:r w:rsidRPr="00BF57FF">
        <w:rPr>
          <w:rFonts w:ascii="Arial" w:hAnsi="Arial" w:eastAsia="Calibri" w:cs="Arial"/>
          <w:i/>
          <w:iCs/>
        </w:rPr>
        <w:t>conducted by the reviewer.</w:t>
      </w:r>
    </w:p>
    <w:p w:rsidRPr="00BF57FF" w:rsidR="009C5AD6" w:rsidP="00A70BBB" w:rsidRDefault="009C5AD6" w14:paraId="44D6560F" w14:textId="77777777">
      <w:pPr>
        <w:spacing w:after="0" w:line="360" w:lineRule="auto"/>
        <w:ind w:left="2"/>
        <w:jc w:val="both"/>
        <w:rPr>
          <w:rFonts w:ascii="Arial" w:hAnsi="Arial" w:eastAsia="Calibri" w:cs="Arial"/>
        </w:rPr>
      </w:pPr>
    </w:p>
    <w:tbl>
      <w:tblPr>
        <w:tblW w:w="902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1689"/>
        <w:gridCol w:w="6194"/>
        <w:gridCol w:w="1143"/>
      </w:tblGrid>
      <w:tr w:rsidRPr="00BF57FF" w:rsidR="009C5AD6" w:rsidTr="00F43AFD" w14:paraId="19FE9F15" w14:textId="77777777">
        <w:trPr>
          <w:tblHeader/>
        </w:trPr>
        <w:tc>
          <w:tcPr>
            <w:tcW w:w="1700" w:type="dxa"/>
            <w:tcBorders>
              <w:top w:val="single" w:color="1A3C5E" w:sz="4" w:space="0"/>
              <w:left w:val="single" w:color="1A3C5E" w:sz="4" w:space="0"/>
              <w:bottom w:val="single" w:color="1A3C5E" w:sz="4" w:space="0"/>
              <w:right w:val="single" w:color="1A3C5E" w:sz="4" w:space="0"/>
            </w:tcBorders>
            <w:shd w:val="clear" w:color="auto" w:fill="1A3C5E"/>
            <w:tcMar>
              <w:top w:w="100" w:type="dxa"/>
              <w:left w:w="130" w:type="dxa"/>
              <w:bottom w:w="100" w:type="dxa"/>
              <w:right w:w="130" w:type="dxa"/>
            </w:tcMar>
            <w:vAlign w:val="center"/>
          </w:tcPr>
          <w:p w:rsidRPr="00BF57FF" w:rsidR="009C5AD6" w:rsidP="00A70BBB" w:rsidRDefault="009C5AD6" w14:paraId="6DB05E42" w14:textId="77777777">
            <w:pPr>
              <w:spacing w:after="0" w:line="240" w:lineRule="auto"/>
              <w:ind w:left="2"/>
              <w:jc w:val="both"/>
              <w:rPr>
                <w:rFonts w:ascii="Arial" w:hAnsi="Arial" w:eastAsia="Calibri" w:cs="Arial"/>
              </w:rPr>
            </w:pPr>
            <w:r w:rsidRPr="00BF57FF">
              <w:rPr>
                <w:rFonts w:ascii="Arial" w:hAnsi="Arial" w:eastAsia="Calibri" w:cs="Arial"/>
                <w:b/>
                <w:bCs/>
              </w:rPr>
              <w:t>Database</w:t>
            </w:r>
          </w:p>
        </w:tc>
        <w:tc>
          <w:tcPr>
            <w:tcW w:w="6526" w:type="dxa"/>
            <w:tcBorders>
              <w:top w:val="single" w:color="1A3C5E" w:sz="4" w:space="0"/>
              <w:left w:val="single" w:color="1A3C5E" w:sz="4" w:space="0"/>
              <w:bottom w:val="single" w:color="1A3C5E" w:sz="4" w:space="0"/>
              <w:right w:val="single" w:color="1A3C5E" w:sz="4" w:space="0"/>
            </w:tcBorders>
            <w:shd w:val="clear" w:color="auto" w:fill="1A3C5E"/>
            <w:tcMar>
              <w:top w:w="100" w:type="dxa"/>
              <w:left w:w="130" w:type="dxa"/>
              <w:bottom w:w="100" w:type="dxa"/>
              <w:right w:w="130" w:type="dxa"/>
            </w:tcMar>
            <w:vAlign w:val="center"/>
          </w:tcPr>
          <w:p w:rsidRPr="00BF57FF" w:rsidR="009C5AD6" w:rsidP="00A70BBB" w:rsidRDefault="009C5AD6" w14:paraId="221CEE88" w14:textId="77777777">
            <w:pPr>
              <w:spacing w:after="0" w:line="240" w:lineRule="auto"/>
              <w:ind w:left="2"/>
              <w:jc w:val="both"/>
              <w:rPr>
                <w:rFonts w:ascii="Arial" w:hAnsi="Arial" w:eastAsia="Calibri" w:cs="Arial"/>
              </w:rPr>
            </w:pPr>
            <w:r w:rsidRPr="00BF57FF">
              <w:rPr>
                <w:rFonts w:ascii="Arial" w:hAnsi="Arial" w:eastAsia="Calibri" w:cs="Arial"/>
                <w:b/>
                <w:bCs/>
              </w:rPr>
              <w:t>Search String (with filters)</w:t>
            </w:r>
          </w:p>
        </w:tc>
        <w:tc>
          <w:tcPr>
            <w:tcW w:w="800" w:type="dxa"/>
            <w:tcBorders>
              <w:top w:val="single" w:color="1A3C5E" w:sz="4" w:space="0"/>
              <w:left w:val="single" w:color="1A3C5E" w:sz="4" w:space="0"/>
              <w:bottom w:val="single" w:color="1A3C5E" w:sz="4" w:space="0"/>
              <w:right w:val="single" w:color="1A3C5E" w:sz="4" w:space="0"/>
            </w:tcBorders>
            <w:shd w:val="clear" w:color="auto" w:fill="1A3C5E"/>
            <w:tcMar>
              <w:top w:w="100" w:type="dxa"/>
              <w:left w:w="130" w:type="dxa"/>
              <w:bottom w:w="100" w:type="dxa"/>
              <w:right w:w="130" w:type="dxa"/>
            </w:tcMar>
            <w:vAlign w:val="center"/>
          </w:tcPr>
          <w:p w:rsidRPr="00BF57FF" w:rsidR="009C5AD6" w:rsidP="00A70BBB" w:rsidRDefault="009C5AD6" w14:paraId="4AF7A841" w14:textId="77777777">
            <w:pPr>
              <w:spacing w:after="0" w:line="240" w:lineRule="auto"/>
              <w:ind w:left="2"/>
              <w:jc w:val="both"/>
              <w:rPr>
                <w:rFonts w:ascii="Arial" w:hAnsi="Arial" w:eastAsia="Calibri" w:cs="Arial"/>
              </w:rPr>
            </w:pPr>
            <w:r w:rsidRPr="00BF57FF">
              <w:rPr>
                <w:rFonts w:ascii="Arial" w:hAnsi="Arial" w:eastAsia="Calibri" w:cs="Arial"/>
                <w:b/>
                <w:bCs/>
              </w:rPr>
              <w:t>Records</w:t>
            </w:r>
          </w:p>
        </w:tc>
      </w:tr>
      <w:tr w:rsidRPr="00BF57FF" w:rsidR="009C5AD6" w:rsidTr="00F43AFD" w14:paraId="65B9AD4E" w14:textId="77777777">
        <w:tc>
          <w:tcPr>
            <w:tcW w:w="1700" w:type="dxa"/>
            <w:tcBorders>
              <w:top w:val="single" w:color="9EC5E0" w:sz="4" w:space="0"/>
              <w:left w:val="single" w:color="9EC5E0" w:sz="4" w:space="0"/>
              <w:bottom w:val="single" w:color="9EC5E0" w:sz="4" w:space="0"/>
              <w:right w:val="single" w:color="9EC5E0" w:sz="4" w:space="0"/>
            </w:tcBorders>
            <w:shd w:val="clear" w:color="auto" w:fill="FFFFFF"/>
            <w:tcMar>
              <w:top w:w="80" w:type="dxa"/>
              <w:left w:w="130" w:type="dxa"/>
              <w:bottom w:w="80" w:type="dxa"/>
              <w:right w:w="130" w:type="dxa"/>
            </w:tcMar>
            <w:vAlign w:val="center"/>
          </w:tcPr>
          <w:p w:rsidRPr="00BF57FF" w:rsidR="009C5AD6" w:rsidP="00A70BBB" w:rsidRDefault="009C5AD6" w14:paraId="58299775" w14:textId="77777777">
            <w:pPr>
              <w:spacing w:after="0" w:line="240" w:lineRule="auto"/>
              <w:ind w:left="2"/>
              <w:jc w:val="both"/>
              <w:rPr>
                <w:rFonts w:ascii="Arial" w:hAnsi="Arial" w:eastAsia="Calibri" w:cs="Arial"/>
              </w:rPr>
            </w:pPr>
            <w:r w:rsidRPr="00BF57FF">
              <w:rPr>
                <w:rFonts w:ascii="Arial" w:hAnsi="Arial" w:eastAsia="Calibri" w:cs="Arial"/>
                <w:b/>
                <w:bCs/>
              </w:rPr>
              <w:t>PubMed</w:t>
            </w:r>
          </w:p>
        </w:tc>
        <w:tc>
          <w:tcPr>
            <w:tcW w:w="6526" w:type="dxa"/>
            <w:tcBorders>
              <w:top w:val="single" w:color="9EC5E0" w:sz="4" w:space="0"/>
              <w:left w:val="single" w:color="9EC5E0" w:sz="4" w:space="0"/>
              <w:bottom w:val="single" w:color="9EC5E0" w:sz="4" w:space="0"/>
              <w:right w:val="single" w:color="9EC5E0" w:sz="4" w:space="0"/>
            </w:tcBorders>
            <w:shd w:val="clear" w:color="auto" w:fill="FFFFFF"/>
            <w:tcMar>
              <w:top w:w="80" w:type="dxa"/>
              <w:left w:w="130" w:type="dxa"/>
              <w:bottom w:w="80" w:type="dxa"/>
              <w:right w:w="130" w:type="dxa"/>
            </w:tcMar>
            <w:vAlign w:val="center"/>
          </w:tcPr>
          <w:p w:rsidRPr="00BF57FF" w:rsidR="009C5AD6" w:rsidP="00A70BBB" w:rsidRDefault="009C5AD6" w14:paraId="4EA45180" w14:textId="77777777">
            <w:pPr>
              <w:spacing w:after="0" w:line="240" w:lineRule="auto"/>
              <w:ind w:left="2"/>
              <w:jc w:val="both"/>
              <w:rPr>
                <w:rFonts w:ascii="Arial" w:hAnsi="Arial" w:eastAsia="Calibri" w:cs="Arial"/>
              </w:rPr>
            </w:pPr>
            <w:r w:rsidRPr="00BF57FF">
              <w:rPr>
                <w:rFonts w:ascii="Arial" w:hAnsi="Arial" w:eastAsia="Calibri" w:cs="Arial"/>
              </w:rPr>
              <w:t>("rabies"[MeSH Terms] OR "rabies"[Title/Abstract])</w:t>
            </w:r>
          </w:p>
          <w:p w:rsidRPr="00BF57FF" w:rsidR="009C5AD6" w:rsidP="00A70BBB" w:rsidRDefault="009C5AD6" w14:paraId="10D767DB" w14:textId="77777777">
            <w:pPr>
              <w:spacing w:after="0" w:line="240" w:lineRule="auto"/>
              <w:ind w:left="2"/>
              <w:jc w:val="both"/>
              <w:rPr>
                <w:rFonts w:ascii="Arial" w:hAnsi="Arial" w:eastAsia="Calibri" w:cs="Arial"/>
              </w:rPr>
            </w:pPr>
            <w:r w:rsidRPr="00BF57FF">
              <w:rPr>
                <w:rFonts w:ascii="Arial" w:hAnsi="Arial" w:eastAsia="Calibri" w:cs="Arial"/>
              </w:rPr>
              <w:t>AND ("India"[Title/Abstract] OR "Indian"[Title/Abstract])</w:t>
            </w:r>
          </w:p>
          <w:p w:rsidRPr="00BF57FF" w:rsidR="009C5AD6" w:rsidP="00A70BBB" w:rsidRDefault="009C5AD6" w14:paraId="32B7F38F" w14:textId="77777777">
            <w:pPr>
              <w:spacing w:after="0" w:line="240" w:lineRule="auto"/>
              <w:ind w:left="2"/>
              <w:jc w:val="both"/>
              <w:rPr>
                <w:rFonts w:ascii="Arial" w:hAnsi="Arial" w:eastAsia="Calibri" w:cs="Arial"/>
              </w:rPr>
            </w:pPr>
            <w:r w:rsidRPr="00BF57FF">
              <w:rPr>
                <w:rFonts w:ascii="Arial" w:hAnsi="Arial" w:eastAsia="Calibri" w:cs="Arial"/>
              </w:rPr>
              <w:t>AND ("barriers"[Title/Abstract] OR "surveillance"[Title/Abstract] OR "post-exposure prophylaxis"[Title/Abstract] OR "PEP"[Title/Abstract] OR "knowledge"[Title/Abstract] OR "community health worker"[Title/Abstract] OR "health system"[Title/Abstract] OR "traditional medicine"[Title/Abstract] OR "under-report*"[Title/Abstract] OR "treatment"[Title/Abstract])</w:t>
            </w:r>
          </w:p>
          <w:p w:rsidRPr="00BF57FF" w:rsidR="009C5AD6" w:rsidP="00A70BBB" w:rsidRDefault="009C5AD6" w14:paraId="560774DD" w14:textId="75E0B138">
            <w:pPr>
              <w:spacing w:after="0" w:line="240" w:lineRule="auto"/>
              <w:ind w:left="2"/>
              <w:jc w:val="both"/>
              <w:rPr>
                <w:rFonts w:ascii="Arial" w:hAnsi="Arial" w:eastAsia="Calibri" w:cs="Arial"/>
              </w:rPr>
            </w:pPr>
            <w:r w:rsidRPr="00BF57FF">
              <w:rPr>
                <w:rFonts w:ascii="Arial" w:hAnsi="Arial" w:eastAsia="Calibri" w:cs="Arial"/>
              </w:rPr>
              <w:t>Filters: English; Publication Date 01/01/2015–31/</w:t>
            </w:r>
            <w:r w:rsidRPr="00BF57FF" w:rsidR="00FE7389">
              <w:rPr>
                <w:rFonts w:ascii="Arial" w:hAnsi="Arial" w:eastAsia="Calibri" w:cs="Arial"/>
              </w:rPr>
              <w:t>05</w:t>
            </w:r>
            <w:r w:rsidRPr="00BF57FF">
              <w:rPr>
                <w:rFonts w:ascii="Arial" w:hAnsi="Arial" w:eastAsia="Calibri" w:cs="Arial"/>
              </w:rPr>
              <w:t>/2026</w:t>
            </w:r>
          </w:p>
        </w:tc>
        <w:tc>
          <w:tcPr>
            <w:tcW w:w="800" w:type="dxa"/>
            <w:tcBorders>
              <w:top w:val="single" w:color="9EC5E0" w:sz="4" w:space="0"/>
              <w:left w:val="single" w:color="9EC5E0" w:sz="4" w:space="0"/>
              <w:bottom w:val="single" w:color="9EC5E0" w:sz="4" w:space="0"/>
              <w:right w:val="single" w:color="9EC5E0" w:sz="4" w:space="0"/>
            </w:tcBorders>
            <w:shd w:val="clear" w:color="auto" w:fill="FFFFFF"/>
            <w:tcMar>
              <w:top w:w="80" w:type="dxa"/>
              <w:left w:w="130" w:type="dxa"/>
              <w:bottom w:w="80" w:type="dxa"/>
              <w:right w:w="130" w:type="dxa"/>
            </w:tcMar>
            <w:vAlign w:val="center"/>
          </w:tcPr>
          <w:p w:rsidRPr="00BF57FF" w:rsidR="009C5AD6" w:rsidP="00A70BBB" w:rsidRDefault="009C5AD6" w14:paraId="771B19CC" w14:textId="77777777">
            <w:pPr>
              <w:spacing w:after="0" w:line="240" w:lineRule="auto"/>
              <w:ind w:left="2"/>
              <w:jc w:val="both"/>
              <w:rPr>
                <w:rFonts w:ascii="Arial" w:hAnsi="Arial" w:eastAsia="Calibri" w:cs="Arial"/>
              </w:rPr>
            </w:pPr>
            <w:r w:rsidRPr="00BF57FF">
              <w:rPr>
                <w:rFonts w:ascii="Arial" w:hAnsi="Arial" w:eastAsia="Calibri" w:cs="Arial"/>
                <w:b/>
                <w:bCs/>
              </w:rPr>
              <w:t>142</w:t>
            </w:r>
          </w:p>
        </w:tc>
      </w:tr>
      <w:tr w:rsidRPr="00BF57FF" w:rsidR="009C5AD6" w:rsidTr="00F43AFD" w14:paraId="3B01779E" w14:textId="77777777">
        <w:tc>
          <w:tcPr>
            <w:tcW w:w="1700" w:type="dxa"/>
            <w:tcBorders>
              <w:top w:val="single" w:color="9EC5E0" w:sz="4" w:space="0"/>
              <w:left w:val="single" w:color="9EC5E0" w:sz="4" w:space="0"/>
              <w:bottom w:val="single" w:color="9EC5E0" w:sz="4" w:space="0"/>
              <w:right w:val="single" w:color="9EC5E0" w:sz="4" w:space="0"/>
            </w:tcBorders>
            <w:shd w:val="clear" w:color="auto" w:fill="EAF3FB"/>
            <w:tcMar>
              <w:top w:w="80" w:type="dxa"/>
              <w:left w:w="130" w:type="dxa"/>
              <w:bottom w:w="80" w:type="dxa"/>
              <w:right w:w="130" w:type="dxa"/>
            </w:tcMar>
            <w:vAlign w:val="center"/>
          </w:tcPr>
          <w:p w:rsidRPr="00BF57FF" w:rsidR="009C5AD6" w:rsidP="00A70BBB" w:rsidRDefault="009C5AD6" w14:paraId="1F3A6F77" w14:textId="77777777">
            <w:pPr>
              <w:spacing w:after="0" w:line="240" w:lineRule="auto"/>
              <w:ind w:left="2"/>
              <w:jc w:val="both"/>
              <w:rPr>
                <w:rFonts w:ascii="Arial" w:hAnsi="Arial" w:eastAsia="Calibri" w:cs="Arial"/>
              </w:rPr>
            </w:pPr>
            <w:r w:rsidRPr="00BF57FF">
              <w:rPr>
                <w:rFonts w:ascii="Arial" w:hAnsi="Arial" w:eastAsia="Calibri" w:cs="Arial"/>
                <w:b/>
                <w:bCs/>
              </w:rPr>
              <w:t>Scopus</w:t>
            </w:r>
          </w:p>
        </w:tc>
        <w:tc>
          <w:tcPr>
            <w:tcW w:w="6526" w:type="dxa"/>
            <w:tcBorders>
              <w:top w:val="single" w:color="9EC5E0" w:sz="4" w:space="0"/>
              <w:left w:val="single" w:color="9EC5E0" w:sz="4" w:space="0"/>
              <w:bottom w:val="single" w:color="9EC5E0" w:sz="4" w:space="0"/>
              <w:right w:val="single" w:color="9EC5E0" w:sz="4" w:space="0"/>
            </w:tcBorders>
            <w:shd w:val="clear" w:color="auto" w:fill="EAF3FB"/>
            <w:tcMar>
              <w:top w:w="80" w:type="dxa"/>
              <w:left w:w="130" w:type="dxa"/>
              <w:bottom w:w="80" w:type="dxa"/>
              <w:right w:w="130" w:type="dxa"/>
            </w:tcMar>
            <w:vAlign w:val="center"/>
          </w:tcPr>
          <w:p w:rsidRPr="00BF57FF" w:rsidR="009C5AD6" w:rsidP="00A70BBB" w:rsidRDefault="009C5AD6" w14:paraId="1FD2F1D0" w14:textId="77777777">
            <w:pPr>
              <w:spacing w:after="0" w:line="240" w:lineRule="auto"/>
              <w:ind w:left="2"/>
              <w:jc w:val="both"/>
              <w:rPr>
                <w:rFonts w:ascii="Arial" w:hAnsi="Arial" w:eastAsia="Calibri" w:cs="Arial"/>
              </w:rPr>
            </w:pPr>
            <w:r w:rsidRPr="00BF57FF">
              <w:rPr>
                <w:rFonts w:ascii="Arial" w:hAnsi="Arial" w:eastAsia="Calibri" w:cs="Arial"/>
              </w:rPr>
              <w:t>TITLE-ABS-KEY(</w:t>
            </w:r>
          </w:p>
          <w:p w:rsidRPr="00BF57FF" w:rsidR="009C5AD6" w:rsidP="00A70BBB" w:rsidRDefault="009C5AD6" w14:paraId="7A937A45" w14:textId="77777777">
            <w:pPr>
              <w:spacing w:after="0" w:line="240" w:lineRule="auto"/>
              <w:ind w:left="2"/>
              <w:jc w:val="both"/>
              <w:rPr>
                <w:rFonts w:ascii="Arial" w:hAnsi="Arial" w:eastAsia="Calibri" w:cs="Arial"/>
              </w:rPr>
            </w:pPr>
            <w:r w:rsidRPr="00BF57FF">
              <w:rPr>
                <w:rFonts w:ascii="Arial" w:hAnsi="Arial" w:eastAsia="Calibri" w:cs="Arial"/>
              </w:rPr>
              <w:t xml:space="preserve">  ("rabies") AND ("India" OR "Indian") AND</w:t>
            </w:r>
          </w:p>
          <w:p w:rsidRPr="00BF57FF" w:rsidR="009C5AD6" w:rsidP="00A70BBB" w:rsidRDefault="009C5AD6" w14:paraId="06C6B4BD" w14:textId="77777777">
            <w:pPr>
              <w:spacing w:after="0" w:line="240" w:lineRule="auto"/>
              <w:ind w:left="2"/>
              <w:jc w:val="both"/>
              <w:rPr>
                <w:rFonts w:ascii="Arial" w:hAnsi="Arial" w:eastAsia="Calibri" w:cs="Arial"/>
              </w:rPr>
            </w:pPr>
            <w:r w:rsidRPr="00BF57FF">
              <w:rPr>
                <w:rFonts w:ascii="Arial" w:hAnsi="Arial" w:eastAsia="Calibri" w:cs="Arial"/>
              </w:rPr>
              <w:t xml:space="preserve">  ("barrier*" OR "surveillance" OR "post-exposure prophylaxis" OR "PEP" OR</w:t>
            </w:r>
          </w:p>
          <w:p w:rsidRPr="00BF57FF" w:rsidR="009C5AD6" w:rsidP="00A70BBB" w:rsidRDefault="009C5AD6" w14:paraId="101059F4" w14:textId="77777777">
            <w:pPr>
              <w:spacing w:after="0" w:line="240" w:lineRule="auto"/>
              <w:ind w:left="2"/>
              <w:jc w:val="both"/>
              <w:rPr>
                <w:rFonts w:ascii="Arial" w:hAnsi="Arial" w:eastAsia="Calibri" w:cs="Arial"/>
              </w:rPr>
            </w:pPr>
            <w:r w:rsidRPr="00BF57FF">
              <w:rPr>
                <w:rFonts w:ascii="Arial" w:hAnsi="Arial" w:eastAsia="Calibri" w:cs="Arial"/>
              </w:rPr>
              <w:t xml:space="preserve">   "knowledge" OR "community health worker" OR "health system" OR</w:t>
            </w:r>
          </w:p>
          <w:p w:rsidRPr="00BF57FF" w:rsidR="009C5AD6" w:rsidP="00A70BBB" w:rsidRDefault="009C5AD6" w14:paraId="5E57AE52" w14:textId="77777777">
            <w:pPr>
              <w:spacing w:after="0" w:line="240" w:lineRule="auto"/>
              <w:ind w:left="2"/>
              <w:jc w:val="both"/>
              <w:rPr>
                <w:rFonts w:ascii="Arial" w:hAnsi="Arial" w:eastAsia="Calibri" w:cs="Arial"/>
              </w:rPr>
            </w:pPr>
            <w:r w:rsidRPr="00BF57FF">
              <w:rPr>
                <w:rFonts w:ascii="Arial" w:hAnsi="Arial" w:eastAsia="Calibri" w:cs="Arial"/>
              </w:rPr>
              <w:t xml:space="preserve">   "traditional medicine" OR "under-report*" OR "treatment")</w:t>
            </w:r>
          </w:p>
          <w:p w:rsidRPr="00BF57FF" w:rsidR="009C5AD6" w:rsidP="00A70BBB" w:rsidRDefault="009C5AD6" w14:paraId="64C760F8" w14:textId="77777777">
            <w:pPr>
              <w:spacing w:after="0" w:line="240" w:lineRule="auto"/>
              <w:ind w:left="2"/>
              <w:jc w:val="both"/>
              <w:rPr>
                <w:rFonts w:ascii="Arial" w:hAnsi="Arial" w:eastAsia="Calibri" w:cs="Arial"/>
              </w:rPr>
            </w:pPr>
            <w:r w:rsidRPr="00BF57FF">
              <w:rPr>
                <w:rFonts w:ascii="Arial" w:hAnsi="Arial" w:eastAsia="Calibri" w:cs="Arial"/>
              </w:rPr>
              <w:t>)</w:t>
            </w:r>
          </w:p>
          <w:p w:rsidRPr="00BF57FF" w:rsidR="009C5AD6" w:rsidP="00A70BBB" w:rsidRDefault="009C5AD6" w14:paraId="4FDFFA7C" w14:textId="77777777">
            <w:pPr>
              <w:spacing w:after="0" w:line="240" w:lineRule="auto"/>
              <w:ind w:left="2"/>
              <w:jc w:val="both"/>
              <w:rPr>
                <w:rFonts w:ascii="Arial" w:hAnsi="Arial" w:eastAsia="Calibri" w:cs="Arial"/>
              </w:rPr>
            </w:pPr>
            <w:r w:rsidRPr="00BF57FF">
              <w:rPr>
                <w:rFonts w:ascii="Arial" w:hAnsi="Arial" w:eastAsia="Calibri" w:cs="Arial"/>
              </w:rPr>
              <w:t>Filters: Language = English; Publication Year 2015–2026; Source Types = Article, Review</w:t>
            </w:r>
          </w:p>
        </w:tc>
        <w:tc>
          <w:tcPr>
            <w:tcW w:w="800" w:type="dxa"/>
            <w:tcBorders>
              <w:top w:val="single" w:color="9EC5E0" w:sz="4" w:space="0"/>
              <w:left w:val="single" w:color="9EC5E0" w:sz="4" w:space="0"/>
              <w:bottom w:val="single" w:color="9EC5E0" w:sz="4" w:space="0"/>
              <w:right w:val="single" w:color="9EC5E0" w:sz="4" w:space="0"/>
            </w:tcBorders>
            <w:shd w:val="clear" w:color="auto" w:fill="EAF3FB"/>
            <w:tcMar>
              <w:top w:w="80" w:type="dxa"/>
              <w:left w:w="130" w:type="dxa"/>
              <w:bottom w:w="80" w:type="dxa"/>
              <w:right w:w="130" w:type="dxa"/>
            </w:tcMar>
            <w:vAlign w:val="center"/>
          </w:tcPr>
          <w:p w:rsidRPr="00BF57FF" w:rsidR="009C5AD6" w:rsidP="00A70BBB" w:rsidRDefault="009C5AD6" w14:paraId="5E995291" w14:textId="77777777">
            <w:pPr>
              <w:spacing w:after="0" w:line="240" w:lineRule="auto"/>
              <w:ind w:left="2"/>
              <w:jc w:val="both"/>
              <w:rPr>
                <w:rFonts w:ascii="Arial" w:hAnsi="Arial" w:eastAsia="Calibri" w:cs="Arial"/>
              </w:rPr>
            </w:pPr>
            <w:r w:rsidRPr="00BF57FF">
              <w:rPr>
                <w:rFonts w:ascii="Arial" w:hAnsi="Arial" w:eastAsia="Calibri" w:cs="Arial"/>
                <w:b/>
                <w:bCs/>
              </w:rPr>
              <w:t>156</w:t>
            </w:r>
          </w:p>
        </w:tc>
      </w:tr>
      <w:tr w:rsidRPr="00BF57FF" w:rsidR="009C5AD6" w:rsidTr="00F43AFD" w14:paraId="1008D73A" w14:textId="77777777">
        <w:tc>
          <w:tcPr>
            <w:tcW w:w="1700" w:type="dxa"/>
            <w:tcBorders>
              <w:top w:val="single" w:color="9EC5E0" w:sz="4" w:space="0"/>
              <w:left w:val="single" w:color="9EC5E0" w:sz="4" w:space="0"/>
              <w:bottom w:val="single" w:color="9EC5E0" w:sz="4" w:space="0"/>
              <w:right w:val="single" w:color="9EC5E0" w:sz="4" w:space="0"/>
            </w:tcBorders>
            <w:shd w:val="clear" w:color="auto" w:fill="FFFFFF"/>
            <w:tcMar>
              <w:top w:w="80" w:type="dxa"/>
              <w:left w:w="130" w:type="dxa"/>
              <w:bottom w:w="80" w:type="dxa"/>
              <w:right w:w="130" w:type="dxa"/>
            </w:tcMar>
            <w:vAlign w:val="center"/>
          </w:tcPr>
          <w:p w:rsidRPr="00BF57FF" w:rsidR="009C5AD6" w:rsidP="00A70BBB" w:rsidRDefault="009C5AD6" w14:paraId="4256B44D" w14:textId="77777777">
            <w:pPr>
              <w:spacing w:after="0" w:line="240" w:lineRule="auto"/>
              <w:ind w:left="2"/>
              <w:jc w:val="both"/>
              <w:rPr>
                <w:rFonts w:ascii="Arial" w:hAnsi="Arial" w:eastAsia="Calibri" w:cs="Arial"/>
              </w:rPr>
            </w:pPr>
            <w:r w:rsidRPr="00BF57FF">
              <w:rPr>
                <w:rFonts w:ascii="Arial" w:hAnsi="Arial" w:eastAsia="Calibri" w:cs="Arial"/>
                <w:b/>
                <w:bCs/>
              </w:rPr>
              <w:t>Web of Science (Core Collection)</w:t>
            </w:r>
          </w:p>
        </w:tc>
        <w:tc>
          <w:tcPr>
            <w:tcW w:w="6526" w:type="dxa"/>
            <w:tcBorders>
              <w:top w:val="single" w:color="9EC5E0" w:sz="4" w:space="0"/>
              <w:left w:val="single" w:color="9EC5E0" w:sz="4" w:space="0"/>
              <w:bottom w:val="single" w:color="9EC5E0" w:sz="4" w:space="0"/>
              <w:right w:val="single" w:color="9EC5E0" w:sz="4" w:space="0"/>
            </w:tcBorders>
            <w:shd w:val="clear" w:color="auto" w:fill="FFFFFF"/>
            <w:tcMar>
              <w:top w:w="80" w:type="dxa"/>
              <w:left w:w="130" w:type="dxa"/>
              <w:bottom w:w="80" w:type="dxa"/>
              <w:right w:w="130" w:type="dxa"/>
            </w:tcMar>
            <w:vAlign w:val="center"/>
          </w:tcPr>
          <w:p w:rsidRPr="00BF57FF" w:rsidR="009C5AD6" w:rsidP="00A70BBB" w:rsidRDefault="009C5AD6" w14:paraId="134FC7E4" w14:textId="77777777">
            <w:pPr>
              <w:spacing w:after="0" w:line="240" w:lineRule="auto"/>
              <w:ind w:left="2"/>
              <w:jc w:val="both"/>
              <w:rPr>
                <w:rFonts w:ascii="Arial" w:hAnsi="Arial" w:eastAsia="Calibri" w:cs="Arial"/>
              </w:rPr>
            </w:pPr>
            <w:r w:rsidRPr="00BF57FF">
              <w:rPr>
                <w:rFonts w:ascii="Arial" w:hAnsi="Arial" w:eastAsia="Calibri" w:cs="Arial"/>
              </w:rPr>
              <w:t>TS=("rabies") AND TS=("India" OR "Indian") AND</w:t>
            </w:r>
          </w:p>
          <w:p w:rsidRPr="00BF57FF" w:rsidR="009C5AD6" w:rsidP="00A70BBB" w:rsidRDefault="009C5AD6" w14:paraId="76B4281A" w14:textId="77777777">
            <w:pPr>
              <w:spacing w:after="0" w:line="240" w:lineRule="auto"/>
              <w:ind w:left="2"/>
              <w:jc w:val="both"/>
              <w:rPr>
                <w:rFonts w:ascii="Arial" w:hAnsi="Arial" w:eastAsia="Calibri" w:cs="Arial"/>
              </w:rPr>
            </w:pPr>
            <w:r w:rsidRPr="00BF57FF">
              <w:rPr>
                <w:rFonts w:ascii="Arial" w:hAnsi="Arial" w:eastAsia="Calibri" w:cs="Arial"/>
              </w:rPr>
              <w:t>TS=("barrier*" OR "surveillance" OR "post-exposure prophylaxis" OR "PEP" OR</w:t>
            </w:r>
          </w:p>
          <w:p w:rsidRPr="00BF57FF" w:rsidR="009C5AD6" w:rsidP="00A70BBB" w:rsidRDefault="009C5AD6" w14:paraId="78736913" w14:textId="77777777">
            <w:pPr>
              <w:spacing w:after="0" w:line="240" w:lineRule="auto"/>
              <w:ind w:left="2"/>
              <w:jc w:val="both"/>
              <w:rPr>
                <w:rFonts w:ascii="Arial" w:hAnsi="Arial" w:eastAsia="Calibri" w:cs="Arial"/>
              </w:rPr>
            </w:pPr>
            <w:r w:rsidRPr="00BF57FF">
              <w:rPr>
                <w:rFonts w:ascii="Arial" w:hAnsi="Arial" w:eastAsia="Calibri" w:cs="Arial"/>
              </w:rPr>
              <w:t xml:space="preserve">    "knowledge" OR "community health worker" OR "health system" OR</w:t>
            </w:r>
          </w:p>
          <w:p w:rsidRPr="00BF57FF" w:rsidR="009C5AD6" w:rsidP="00A70BBB" w:rsidRDefault="009C5AD6" w14:paraId="7E92F303" w14:textId="77777777">
            <w:pPr>
              <w:spacing w:after="0" w:line="240" w:lineRule="auto"/>
              <w:ind w:left="2"/>
              <w:jc w:val="both"/>
              <w:rPr>
                <w:rFonts w:ascii="Arial" w:hAnsi="Arial" w:eastAsia="Calibri" w:cs="Arial"/>
              </w:rPr>
            </w:pPr>
            <w:r w:rsidRPr="00BF57FF">
              <w:rPr>
                <w:rFonts w:ascii="Arial" w:hAnsi="Arial" w:eastAsia="Calibri" w:cs="Arial"/>
              </w:rPr>
              <w:t xml:space="preserve">    "traditional medicine" OR "under-report*" OR "treatment")</w:t>
            </w:r>
          </w:p>
          <w:p w:rsidRPr="00BF57FF" w:rsidR="009C5AD6" w:rsidP="00A70BBB" w:rsidRDefault="009C5AD6" w14:paraId="6681B6B2" w14:textId="77777777">
            <w:pPr>
              <w:spacing w:after="0" w:line="240" w:lineRule="auto"/>
              <w:ind w:left="2"/>
              <w:jc w:val="both"/>
              <w:rPr>
                <w:rFonts w:ascii="Arial" w:hAnsi="Arial" w:eastAsia="Calibri" w:cs="Arial"/>
              </w:rPr>
            </w:pPr>
            <w:r w:rsidRPr="00BF57FF">
              <w:rPr>
                <w:rFonts w:ascii="Arial" w:hAnsi="Arial" w:eastAsia="Calibri" w:cs="Arial"/>
              </w:rPr>
              <w:t>Filters: Language = English; Publication Years 2015–2026;</w:t>
            </w:r>
          </w:p>
          <w:p w:rsidRPr="00BF57FF" w:rsidR="009C5AD6" w:rsidP="00A70BBB" w:rsidRDefault="009C5AD6" w14:paraId="194AA734" w14:textId="77777777">
            <w:pPr>
              <w:spacing w:after="0" w:line="240" w:lineRule="auto"/>
              <w:ind w:left="2"/>
              <w:jc w:val="both"/>
              <w:rPr>
                <w:rFonts w:ascii="Arial" w:hAnsi="Arial" w:eastAsia="Calibri" w:cs="Arial"/>
              </w:rPr>
            </w:pPr>
            <w:r w:rsidRPr="00BF57FF">
              <w:rPr>
                <w:rFonts w:ascii="Arial" w:hAnsi="Arial" w:eastAsia="Calibri" w:cs="Arial"/>
              </w:rPr>
              <w:t>Document Types = Article, Review</w:t>
            </w:r>
          </w:p>
        </w:tc>
        <w:tc>
          <w:tcPr>
            <w:tcW w:w="800" w:type="dxa"/>
            <w:tcBorders>
              <w:top w:val="single" w:color="9EC5E0" w:sz="4" w:space="0"/>
              <w:left w:val="single" w:color="9EC5E0" w:sz="4" w:space="0"/>
              <w:bottom w:val="single" w:color="9EC5E0" w:sz="4" w:space="0"/>
              <w:right w:val="single" w:color="9EC5E0" w:sz="4" w:space="0"/>
            </w:tcBorders>
            <w:shd w:val="clear" w:color="auto" w:fill="FFFFFF"/>
            <w:tcMar>
              <w:top w:w="80" w:type="dxa"/>
              <w:left w:w="130" w:type="dxa"/>
              <w:bottom w:w="80" w:type="dxa"/>
              <w:right w:w="130" w:type="dxa"/>
            </w:tcMar>
            <w:vAlign w:val="center"/>
          </w:tcPr>
          <w:p w:rsidRPr="00BF57FF" w:rsidR="009C5AD6" w:rsidP="00A70BBB" w:rsidRDefault="009C5AD6" w14:paraId="5FFD35E1" w14:textId="77777777">
            <w:pPr>
              <w:spacing w:after="0" w:line="240" w:lineRule="auto"/>
              <w:ind w:left="2"/>
              <w:jc w:val="both"/>
              <w:rPr>
                <w:rFonts w:ascii="Arial" w:hAnsi="Arial" w:eastAsia="Calibri" w:cs="Arial"/>
              </w:rPr>
            </w:pPr>
            <w:r w:rsidRPr="00BF57FF">
              <w:rPr>
                <w:rFonts w:ascii="Arial" w:hAnsi="Arial" w:eastAsia="Calibri" w:cs="Arial"/>
                <w:b/>
                <w:bCs/>
              </w:rPr>
              <w:t>131</w:t>
            </w:r>
          </w:p>
        </w:tc>
      </w:tr>
      <w:tr w:rsidRPr="00BF57FF" w:rsidR="009C5AD6" w:rsidTr="00F43AFD" w14:paraId="7D3A9AD6" w14:textId="77777777">
        <w:tc>
          <w:tcPr>
            <w:tcW w:w="1700" w:type="dxa"/>
            <w:tcBorders>
              <w:top w:val="single" w:color="9EC5E0" w:sz="4" w:space="0"/>
              <w:left w:val="single" w:color="9EC5E0" w:sz="4" w:space="0"/>
              <w:bottom w:val="single" w:color="9EC5E0" w:sz="4" w:space="0"/>
              <w:right w:val="single" w:color="9EC5E0" w:sz="4" w:space="0"/>
            </w:tcBorders>
            <w:shd w:val="clear" w:color="auto" w:fill="EAF3FB"/>
            <w:tcMar>
              <w:top w:w="80" w:type="dxa"/>
              <w:left w:w="130" w:type="dxa"/>
              <w:bottom w:w="80" w:type="dxa"/>
              <w:right w:w="130" w:type="dxa"/>
            </w:tcMar>
            <w:vAlign w:val="center"/>
          </w:tcPr>
          <w:p w:rsidRPr="00BF57FF" w:rsidR="009C5AD6" w:rsidP="00A70BBB" w:rsidRDefault="009C5AD6" w14:paraId="3E35816B" w14:textId="77777777">
            <w:pPr>
              <w:spacing w:after="0" w:line="240" w:lineRule="auto"/>
              <w:ind w:left="2"/>
              <w:jc w:val="both"/>
              <w:rPr>
                <w:rFonts w:ascii="Arial" w:hAnsi="Arial" w:eastAsia="Calibri" w:cs="Arial"/>
              </w:rPr>
            </w:pPr>
            <w:r w:rsidRPr="00BF57FF">
              <w:rPr>
                <w:rFonts w:ascii="Arial" w:hAnsi="Arial" w:eastAsia="Calibri" w:cs="Arial"/>
                <w:b/>
                <w:bCs/>
              </w:rPr>
              <w:t>CINAHL (via EBSCOhost)</w:t>
            </w:r>
          </w:p>
        </w:tc>
        <w:tc>
          <w:tcPr>
            <w:tcW w:w="6526" w:type="dxa"/>
            <w:tcBorders>
              <w:top w:val="single" w:color="9EC5E0" w:sz="4" w:space="0"/>
              <w:left w:val="single" w:color="9EC5E0" w:sz="4" w:space="0"/>
              <w:bottom w:val="single" w:color="9EC5E0" w:sz="4" w:space="0"/>
              <w:right w:val="single" w:color="9EC5E0" w:sz="4" w:space="0"/>
            </w:tcBorders>
            <w:shd w:val="clear" w:color="auto" w:fill="EAF3FB"/>
            <w:tcMar>
              <w:top w:w="80" w:type="dxa"/>
              <w:left w:w="130" w:type="dxa"/>
              <w:bottom w:w="80" w:type="dxa"/>
              <w:right w:w="130" w:type="dxa"/>
            </w:tcMar>
            <w:vAlign w:val="center"/>
          </w:tcPr>
          <w:p w:rsidRPr="00BF57FF" w:rsidR="009C5AD6" w:rsidP="00A70BBB" w:rsidRDefault="009C5AD6" w14:paraId="25B2CC4D" w14:textId="77777777">
            <w:pPr>
              <w:spacing w:after="0" w:line="240" w:lineRule="auto"/>
              <w:ind w:left="2"/>
              <w:jc w:val="both"/>
              <w:rPr>
                <w:rFonts w:ascii="Arial" w:hAnsi="Arial" w:eastAsia="Calibri" w:cs="Arial"/>
              </w:rPr>
            </w:pPr>
            <w:r w:rsidRPr="00BF57FF">
              <w:rPr>
                <w:rFonts w:ascii="Arial" w:hAnsi="Arial" w:eastAsia="Calibri" w:cs="Arial"/>
              </w:rPr>
              <w:t>(MH "Rabies" OR TX "rabies") AND TX "India"</w:t>
            </w:r>
          </w:p>
          <w:p w:rsidRPr="00BF57FF" w:rsidR="009C5AD6" w:rsidP="00A70BBB" w:rsidRDefault="009C5AD6" w14:paraId="57546510" w14:textId="77777777">
            <w:pPr>
              <w:spacing w:after="0" w:line="240" w:lineRule="auto"/>
              <w:ind w:left="2"/>
              <w:jc w:val="both"/>
              <w:rPr>
                <w:rFonts w:ascii="Arial" w:hAnsi="Arial" w:eastAsia="Calibri" w:cs="Arial"/>
              </w:rPr>
            </w:pPr>
            <w:r w:rsidRPr="00BF57FF">
              <w:rPr>
                <w:rFonts w:ascii="Arial" w:hAnsi="Arial" w:eastAsia="Calibri" w:cs="Arial"/>
              </w:rPr>
              <w:t>AND TX ("barrier*" OR "surveillance" OR "post-exposure prophylaxis" OR</w:t>
            </w:r>
          </w:p>
          <w:p w:rsidRPr="00BF57FF" w:rsidR="009C5AD6" w:rsidP="00A70BBB" w:rsidRDefault="009C5AD6" w14:paraId="5BB5EE67" w14:textId="77777777">
            <w:pPr>
              <w:spacing w:after="0" w:line="240" w:lineRule="auto"/>
              <w:ind w:left="2"/>
              <w:jc w:val="both"/>
              <w:rPr>
                <w:rFonts w:ascii="Arial" w:hAnsi="Arial" w:eastAsia="Calibri" w:cs="Arial"/>
              </w:rPr>
            </w:pPr>
            <w:r w:rsidRPr="00BF57FF">
              <w:rPr>
                <w:rFonts w:ascii="Arial" w:hAnsi="Arial" w:eastAsia="Calibri" w:cs="Arial"/>
              </w:rPr>
              <w:t xml:space="preserve">         "PEP" OR "knowledge" OR "community health worker" OR</w:t>
            </w:r>
          </w:p>
          <w:p w:rsidRPr="00BF57FF" w:rsidR="009C5AD6" w:rsidP="00A70BBB" w:rsidRDefault="009C5AD6" w14:paraId="6D87CC38" w14:textId="77777777">
            <w:pPr>
              <w:spacing w:after="0" w:line="240" w:lineRule="auto"/>
              <w:ind w:left="2"/>
              <w:jc w:val="both"/>
              <w:rPr>
                <w:rFonts w:ascii="Arial" w:hAnsi="Arial" w:eastAsia="Calibri" w:cs="Arial"/>
              </w:rPr>
            </w:pPr>
            <w:r w:rsidRPr="00BF57FF">
              <w:rPr>
                <w:rFonts w:ascii="Arial" w:hAnsi="Arial" w:eastAsia="Calibri" w:cs="Arial"/>
              </w:rPr>
              <w:t xml:space="preserve">         "health system" OR "traditional medicine" OR "under-report*")</w:t>
            </w:r>
          </w:p>
          <w:p w:rsidRPr="00BF57FF" w:rsidR="009C5AD6" w:rsidP="00A70BBB" w:rsidRDefault="009C5AD6" w14:paraId="0DB26247" w14:textId="77777777">
            <w:pPr>
              <w:spacing w:after="0" w:line="240" w:lineRule="auto"/>
              <w:ind w:left="2"/>
              <w:jc w:val="both"/>
              <w:rPr>
                <w:rFonts w:ascii="Arial" w:hAnsi="Arial" w:eastAsia="Calibri" w:cs="Arial"/>
              </w:rPr>
            </w:pPr>
            <w:r w:rsidRPr="00BF57FF">
              <w:rPr>
                <w:rFonts w:ascii="Arial" w:hAnsi="Arial" w:eastAsia="Calibri" w:cs="Arial"/>
              </w:rPr>
              <w:t>Filters: Language = English; Published Date 2015–2026</w:t>
            </w:r>
          </w:p>
        </w:tc>
        <w:tc>
          <w:tcPr>
            <w:tcW w:w="800" w:type="dxa"/>
            <w:tcBorders>
              <w:top w:val="single" w:color="9EC5E0" w:sz="4" w:space="0"/>
              <w:left w:val="single" w:color="9EC5E0" w:sz="4" w:space="0"/>
              <w:bottom w:val="single" w:color="9EC5E0" w:sz="4" w:space="0"/>
              <w:right w:val="single" w:color="9EC5E0" w:sz="4" w:space="0"/>
            </w:tcBorders>
            <w:shd w:val="clear" w:color="auto" w:fill="EAF3FB"/>
            <w:tcMar>
              <w:top w:w="80" w:type="dxa"/>
              <w:left w:w="130" w:type="dxa"/>
              <w:bottom w:w="80" w:type="dxa"/>
              <w:right w:w="130" w:type="dxa"/>
            </w:tcMar>
            <w:vAlign w:val="center"/>
          </w:tcPr>
          <w:p w:rsidRPr="00BF57FF" w:rsidR="009C5AD6" w:rsidP="00A70BBB" w:rsidRDefault="009C5AD6" w14:paraId="0F7100DB" w14:textId="77777777">
            <w:pPr>
              <w:spacing w:after="0" w:line="240" w:lineRule="auto"/>
              <w:ind w:left="2"/>
              <w:jc w:val="both"/>
              <w:rPr>
                <w:rFonts w:ascii="Arial" w:hAnsi="Arial" w:eastAsia="Calibri" w:cs="Arial"/>
              </w:rPr>
            </w:pPr>
            <w:r w:rsidRPr="00BF57FF">
              <w:rPr>
                <w:rFonts w:ascii="Arial" w:hAnsi="Arial" w:eastAsia="Calibri" w:cs="Arial"/>
                <w:b/>
                <w:bCs/>
              </w:rPr>
              <w:t>58</w:t>
            </w:r>
          </w:p>
        </w:tc>
      </w:tr>
      <w:tr w:rsidRPr="00BF57FF" w:rsidR="009C5AD6" w:rsidTr="00F43AFD" w14:paraId="5D5CC450" w14:textId="77777777">
        <w:tc>
          <w:tcPr>
            <w:tcW w:w="1700" w:type="dxa"/>
            <w:tcBorders>
              <w:top w:val="single" w:color="1A3C5E" w:sz="4" w:space="0"/>
              <w:left w:val="single" w:color="1A3C5E" w:sz="4" w:space="0"/>
              <w:bottom w:val="single" w:color="1A3C5E" w:sz="4" w:space="0"/>
              <w:right w:val="single" w:color="1A3C5E" w:sz="4" w:space="0"/>
            </w:tcBorders>
            <w:shd w:val="clear" w:color="auto" w:fill="F4F8FC"/>
            <w:tcMar>
              <w:top w:w="80" w:type="dxa"/>
              <w:left w:w="130" w:type="dxa"/>
              <w:bottom w:w="80" w:type="dxa"/>
              <w:right w:w="130" w:type="dxa"/>
            </w:tcMar>
            <w:vAlign w:val="center"/>
          </w:tcPr>
          <w:p w:rsidRPr="00BF57FF" w:rsidR="009C5AD6" w:rsidP="00A70BBB" w:rsidRDefault="009C5AD6" w14:paraId="4C52F64F" w14:textId="77777777">
            <w:pPr>
              <w:spacing w:after="0" w:line="240" w:lineRule="auto"/>
              <w:ind w:left="2"/>
              <w:jc w:val="both"/>
              <w:rPr>
                <w:rFonts w:ascii="Arial" w:hAnsi="Arial" w:eastAsia="Calibri" w:cs="Arial"/>
              </w:rPr>
            </w:pPr>
            <w:r w:rsidRPr="00BF57FF">
              <w:rPr>
                <w:rFonts w:ascii="Arial" w:hAnsi="Arial" w:eastAsia="Calibri" w:cs="Arial"/>
                <w:b/>
                <w:bCs/>
              </w:rPr>
              <w:t>TOTAL</w:t>
            </w:r>
          </w:p>
        </w:tc>
        <w:tc>
          <w:tcPr>
            <w:tcW w:w="6526" w:type="dxa"/>
            <w:tcBorders>
              <w:top w:val="single" w:color="1A3C5E" w:sz="4" w:space="0"/>
              <w:left w:val="single" w:color="1A3C5E" w:sz="4" w:space="0"/>
              <w:bottom w:val="single" w:color="1A3C5E" w:sz="4" w:space="0"/>
              <w:right w:val="single" w:color="1A3C5E" w:sz="4" w:space="0"/>
            </w:tcBorders>
            <w:shd w:val="clear" w:color="auto" w:fill="F4F8FC"/>
            <w:tcMar>
              <w:top w:w="80" w:type="dxa"/>
              <w:left w:w="130" w:type="dxa"/>
              <w:bottom w:w="80" w:type="dxa"/>
              <w:right w:w="130" w:type="dxa"/>
            </w:tcMar>
            <w:vAlign w:val="center"/>
          </w:tcPr>
          <w:p w:rsidRPr="00BF57FF" w:rsidR="009C5AD6" w:rsidP="00A70BBB" w:rsidRDefault="009C5AD6" w14:paraId="25C00433" w14:textId="77777777">
            <w:pPr>
              <w:spacing w:after="0" w:line="240" w:lineRule="auto"/>
              <w:ind w:left="2"/>
              <w:jc w:val="both"/>
              <w:rPr>
                <w:rFonts w:ascii="Arial" w:hAnsi="Arial" w:eastAsia="Calibri" w:cs="Arial"/>
              </w:rPr>
            </w:pPr>
            <w:r w:rsidRPr="00BF57FF">
              <w:rPr>
                <w:rFonts w:ascii="Arial" w:hAnsi="Arial" w:eastAsia="Calibri" w:cs="Arial"/>
                <w:b/>
                <w:bCs/>
              </w:rPr>
              <w:t>After automated and manual deduplication: 163 duplicate records removed → 324 unique records screened</w:t>
            </w:r>
          </w:p>
        </w:tc>
        <w:tc>
          <w:tcPr>
            <w:tcW w:w="800" w:type="dxa"/>
            <w:tcBorders>
              <w:top w:val="single" w:color="1A3C5E" w:sz="4" w:space="0"/>
              <w:left w:val="single" w:color="1A3C5E" w:sz="4" w:space="0"/>
              <w:bottom w:val="single" w:color="1A3C5E" w:sz="4" w:space="0"/>
              <w:right w:val="single" w:color="1A3C5E" w:sz="4" w:space="0"/>
            </w:tcBorders>
            <w:shd w:val="clear" w:color="auto" w:fill="F4F8FC"/>
            <w:tcMar>
              <w:top w:w="80" w:type="dxa"/>
              <w:left w:w="130" w:type="dxa"/>
              <w:bottom w:w="80" w:type="dxa"/>
              <w:right w:w="130" w:type="dxa"/>
            </w:tcMar>
            <w:vAlign w:val="center"/>
          </w:tcPr>
          <w:p w:rsidRPr="00BF57FF" w:rsidR="009C5AD6" w:rsidP="00A70BBB" w:rsidRDefault="009C5AD6" w14:paraId="526DE7A7" w14:textId="77777777">
            <w:pPr>
              <w:spacing w:after="0" w:line="240" w:lineRule="auto"/>
              <w:ind w:left="2"/>
              <w:jc w:val="both"/>
              <w:rPr>
                <w:rFonts w:ascii="Arial" w:hAnsi="Arial" w:eastAsia="Calibri" w:cs="Arial"/>
              </w:rPr>
            </w:pPr>
            <w:r w:rsidRPr="00BF57FF">
              <w:rPr>
                <w:rFonts w:ascii="Arial" w:hAnsi="Arial" w:eastAsia="Calibri" w:cs="Arial"/>
                <w:b/>
                <w:bCs/>
              </w:rPr>
              <w:t>487</w:t>
            </w:r>
          </w:p>
        </w:tc>
      </w:tr>
    </w:tbl>
    <w:p w:rsidRPr="00BF57FF" w:rsidR="009C5AD6" w:rsidP="00A70BBB" w:rsidRDefault="009C5AD6" w14:paraId="4AE41850" w14:textId="77777777">
      <w:pPr>
        <w:spacing w:after="0" w:line="360" w:lineRule="auto"/>
        <w:ind w:left="2"/>
        <w:jc w:val="both"/>
        <w:rPr>
          <w:rFonts w:ascii="Arial" w:hAnsi="Arial" w:eastAsia="Calibri" w:cs="Arial"/>
        </w:rPr>
      </w:pPr>
    </w:p>
    <w:p w:rsidRPr="00BF57FF" w:rsidR="009C5AD6" w:rsidP="00A70BBB" w:rsidRDefault="009C5AD6" w14:paraId="2B859A71" w14:textId="77777777">
      <w:pPr>
        <w:spacing w:after="0" w:line="360" w:lineRule="auto"/>
        <w:ind w:left="2"/>
        <w:jc w:val="both"/>
        <w:rPr>
          <w:rFonts w:ascii="Arial" w:hAnsi="Arial" w:eastAsia="Calibri" w:cs="Arial"/>
        </w:rPr>
      </w:pPr>
      <w:r w:rsidRPr="00BF57FF">
        <w:rPr>
          <w:rFonts w:ascii="Arial" w:hAnsi="Arial" w:eastAsia="Calibri" w:cs="Arial"/>
        </w:rPr>
        <w:t>Note: After automated deduplication in Rayyan and manual cross-checking, 163 duplicate records were removed, yielding 324 unique records for title and abstract screening (see Figure 3.1 — PRISMA 2020 Flow Diagram).</w:t>
      </w:r>
    </w:p>
    <w:p w:rsidRPr="00BF57FF" w:rsidR="009C5AD6" w:rsidP="00A70BBB" w:rsidRDefault="009C5AD6" w14:paraId="3F82B1AD" w14:textId="77777777">
      <w:pPr>
        <w:spacing w:after="0" w:line="360" w:lineRule="auto"/>
        <w:ind w:left="2"/>
        <w:jc w:val="both"/>
        <w:rPr>
          <w:rFonts w:ascii="Arial" w:hAnsi="Arial" w:eastAsia="Calibri" w:cs="Arial"/>
        </w:rPr>
      </w:pPr>
    </w:p>
    <w:p w:rsidRPr="00BF57FF" w:rsidR="009C5AD6" w:rsidP="00A70BBB" w:rsidRDefault="009C5AD6" w14:paraId="13E6FE69" w14:textId="77777777">
      <w:pPr>
        <w:spacing w:after="0" w:line="360" w:lineRule="auto"/>
        <w:ind w:left="2"/>
        <w:jc w:val="both"/>
        <w:rPr>
          <w:rFonts w:ascii="Arial" w:hAnsi="Arial" w:eastAsia="Calibri" w:cs="Arial"/>
        </w:rPr>
        <w:sectPr w:rsidRPr="00BF57FF" w:rsidR="009C5AD6" w:rsidSect="00D77789">
          <w:footerReference w:type="default" r:id="rId24"/>
          <w:pgSz w:w="11906" w:h="16838" w:orient="portrait"/>
          <w:pgMar w:top="1440" w:right="1797" w:bottom="1440" w:left="1797" w:header="709" w:footer="567" w:gutter="0"/>
          <w:cols w:space="720"/>
          <w:titlePg/>
          <w:docGrid w:linePitch="360"/>
        </w:sectPr>
      </w:pPr>
    </w:p>
    <w:p w:rsidRPr="00BF57FF" w:rsidR="009C5AD6" w:rsidP="00A70BBB" w:rsidRDefault="009C5AD6" w14:paraId="1FBABD57" w14:textId="77777777">
      <w:pPr>
        <w:pStyle w:val="Heading1"/>
        <w:spacing w:line="360" w:lineRule="auto"/>
        <w:jc w:val="both"/>
        <w:rPr>
          <w:rFonts w:ascii="Arial" w:hAnsi="Arial" w:eastAsia="Calibri" w:cs="Arial"/>
          <w:sz w:val="22"/>
        </w:rPr>
      </w:pPr>
      <w:bookmarkStart w:name="_Toc231298607" w:id="125"/>
      <w:r w:rsidRPr="00BF57FF">
        <w:rPr>
          <w:rFonts w:ascii="Arial" w:hAnsi="Arial" w:eastAsia="Calibri" w:cs="Arial"/>
          <w:sz w:val="22"/>
        </w:rPr>
        <w:t>Appendix B</w:t>
      </w:r>
      <w:bookmarkEnd w:id="125"/>
    </w:p>
    <w:p w:rsidRPr="00BF57FF" w:rsidR="009C5AD6" w:rsidP="00A70BBB" w:rsidRDefault="009C5AD6" w14:paraId="59FE791D" w14:textId="77777777">
      <w:pPr>
        <w:spacing w:after="0" w:line="360" w:lineRule="auto"/>
        <w:ind w:left="2"/>
        <w:jc w:val="both"/>
        <w:rPr>
          <w:rFonts w:ascii="Arial" w:hAnsi="Arial" w:eastAsia="Calibri" w:cs="Arial"/>
        </w:rPr>
      </w:pPr>
      <w:r w:rsidRPr="00BF57FF">
        <w:rPr>
          <w:rFonts w:ascii="Arial" w:hAnsi="Arial" w:eastAsia="Calibri" w:cs="Arial"/>
          <w:b/>
          <w:bCs/>
        </w:rPr>
        <w:t>Full-Text Articles Excluded: Reasons and Classification</w:t>
      </w:r>
    </w:p>
    <w:p w:rsidRPr="00BF57FF" w:rsidR="009C5AD6" w:rsidP="00A70BBB" w:rsidRDefault="009F715C" w14:paraId="12792475" w14:textId="3DFD4655">
      <w:pPr>
        <w:spacing w:after="0" w:line="360" w:lineRule="auto"/>
        <w:ind w:left="2"/>
        <w:jc w:val="both"/>
        <w:rPr>
          <w:rFonts w:ascii="Arial" w:hAnsi="Arial" w:eastAsia="Calibri" w:cs="Arial"/>
        </w:rPr>
      </w:pPr>
      <w:r w:rsidRPr="00BF57FF">
        <w:rPr>
          <w:rFonts w:ascii="Arial" w:hAnsi="Arial" w:eastAsia="Calibri" w:cs="Arial"/>
          <w:i/>
          <w:iCs/>
        </w:rPr>
        <w:t>Twenty-eight articles were excluded following full-text review. Reason codes (R1–R6) correspond to the categories listed in the summary table below.</w:t>
      </w:r>
    </w:p>
    <w:p w:rsidRPr="00BF57FF" w:rsidR="009C5AD6" w:rsidP="00A70BBB" w:rsidRDefault="009C5AD6" w14:paraId="4C784497" w14:textId="77777777">
      <w:pPr>
        <w:spacing w:after="0" w:line="360" w:lineRule="auto"/>
        <w:ind w:left="2"/>
        <w:jc w:val="both"/>
        <w:rPr>
          <w:rFonts w:ascii="Arial" w:hAnsi="Arial" w:eastAsia="Calibri" w:cs="Arial"/>
        </w:rPr>
      </w:pPr>
      <w:r w:rsidRPr="00BF57FF">
        <w:rPr>
          <w:rFonts w:ascii="Arial" w:hAnsi="Arial" w:eastAsia="Calibri" w:cs="Arial"/>
          <w:b/>
          <w:bCs/>
        </w:rPr>
        <w:t>B.1  Summary of Exclusion Reasons (n = 28)</w:t>
      </w:r>
    </w:p>
    <w:p w:rsidRPr="00BF57FF" w:rsidR="009C5AD6" w:rsidP="00A70BBB" w:rsidRDefault="009C5AD6" w14:paraId="3CEC3583" w14:textId="77777777">
      <w:pPr>
        <w:spacing w:after="0" w:line="360" w:lineRule="auto"/>
        <w:ind w:left="2"/>
        <w:jc w:val="both"/>
        <w:rPr>
          <w:rFonts w:ascii="Arial" w:hAnsi="Arial" w:eastAsia="Calibri" w:cs="Arial"/>
        </w:rPr>
      </w:pPr>
    </w:p>
    <w:tbl>
      <w:tblPr>
        <w:tblW w:w="902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4617"/>
        <w:gridCol w:w="1452"/>
        <w:gridCol w:w="1449"/>
        <w:gridCol w:w="1508"/>
      </w:tblGrid>
      <w:tr w:rsidRPr="00BF57FF" w:rsidR="009C5AD6" w:rsidTr="00F43AFD" w14:paraId="61A3B047" w14:textId="77777777">
        <w:trPr>
          <w:tblHeader/>
        </w:trPr>
        <w:tc>
          <w:tcPr>
            <w:tcW w:w="5026" w:type="dxa"/>
            <w:tcBorders>
              <w:top w:val="single" w:color="1A6B6B" w:sz="4" w:space="0"/>
              <w:left w:val="single" w:color="1A6B6B" w:sz="4" w:space="0"/>
              <w:bottom w:val="single" w:color="1A6B6B" w:sz="4" w:space="0"/>
              <w:right w:val="single" w:color="1A6B6B" w:sz="4" w:space="0"/>
            </w:tcBorders>
            <w:shd w:val="clear" w:color="auto" w:fill="1A6B6B"/>
            <w:tcMar>
              <w:top w:w="100" w:type="dxa"/>
              <w:left w:w="130" w:type="dxa"/>
              <w:bottom w:w="100" w:type="dxa"/>
              <w:right w:w="130" w:type="dxa"/>
            </w:tcMar>
            <w:vAlign w:val="center"/>
          </w:tcPr>
          <w:p w:rsidRPr="00BF57FF" w:rsidR="009C5AD6" w:rsidP="00A70BBB" w:rsidRDefault="009C5AD6" w14:paraId="4CCDC891" w14:textId="77777777">
            <w:pPr>
              <w:spacing w:after="0" w:line="360" w:lineRule="auto"/>
              <w:ind w:left="2"/>
              <w:jc w:val="both"/>
              <w:rPr>
                <w:rFonts w:ascii="Arial" w:hAnsi="Arial" w:eastAsia="Calibri" w:cs="Arial"/>
              </w:rPr>
            </w:pPr>
            <w:r w:rsidRPr="00BF57FF">
              <w:rPr>
                <w:rFonts w:ascii="Arial" w:hAnsi="Arial" w:eastAsia="Calibri" w:cs="Arial"/>
                <w:b/>
                <w:bCs/>
              </w:rPr>
              <w:t>Reason for Full-Text Exclusion</w:t>
            </w:r>
          </w:p>
        </w:tc>
        <w:tc>
          <w:tcPr>
            <w:tcW w:w="1500" w:type="dxa"/>
            <w:tcBorders>
              <w:top w:val="single" w:color="1A6B6B" w:sz="4" w:space="0"/>
              <w:left w:val="single" w:color="1A6B6B" w:sz="4" w:space="0"/>
              <w:bottom w:val="single" w:color="1A6B6B" w:sz="4" w:space="0"/>
              <w:right w:val="single" w:color="1A6B6B" w:sz="4" w:space="0"/>
            </w:tcBorders>
            <w:shd w:val="clear" w:color="auto" w:fill="1A6B6B"/>
            <w:tcMar>
              <w:top w:w="100" w:type="dxa"/>
              <w:left w:w="130" w:type="dxa"/>
              <w:bottom w:w="100" w:type="dxa"/>
              <w:right w:w="130" w:type="dxa"/>
            </w:tcMar>
            <w:vAlign w:val="center"/>
          </w:tcPr>
          <w:p w:rsidRPr="00BF57FF" w:rsidR="009C5AD6" w:rsidP="00A70BBB" w:rsidRDefault="009C5AD6" w14:paraId="0D9444AF" w14:textId="77777777">
            <w:pPr>
              <w:spacing w:after="0" w:line="360" w:lineRule="auto"/>
              <w:ind w:left="2"/>
              <w:jc w:val="both"/>
              <w:rPr>
                <w:rFonts w:ascii="Arial" w:hAnsi="Arial" w:eastAsia="Calibri" w:cs="Arial"/>
              </w:rPr>
            </w:pPr>
            <w:r w:rsidRPr="00BF57FF">
              <w:rPr>
                <w:rFonts w:ascii="Arial" w:hAnsi="Arial" w:eastAsia="Calibri" w:cs="Arial"/>
                <w:b/>
                <w:bCs/>
              </w:rPr>
              <w:t>Number (n)</w:t>
            </w:r>
          </w:p>
        </w:tc>
        <w:tc>
          <w:tcPr>
            <w:tcW w:w="900" w:type="dxa"/>
            <w:tcBorders>
              <w:top w:val="single" w:color="1A6B6B" w:sz="4" w:space="0"/>
              <w:left w:val="single" w:color="1A6B6B" w:sz="4" w:space="0"/>
              <w:bottom w:val="single" w:color="1A6B6B" w:sz="4" w:space="0"/>
              <w:right w:val="single" w:color="1A6B6B" w:sz="4" w:space="0"/>
            </w:tcBorders>
            <w:shd w:val="clear" w:color="auto" w:fill="1A6B6B"/>
            <w:tcMar>
              <w:top w:w="100" w:type="dxa"/>
              <w:left w:w="130" w:type="dxa"/>
              <w:bottom w:w="100" w:type="dxa"/>
              <w:right w:w="130" w:type="dxa"/>
            </w:tcMar>
            <w:vAlign w:val="center"/>
          </w:tcPr>
          <w:p w:rsidRPr="00BF57FF" w:rsidR="009C5AD6" w:rsidP="00A70BBB" w:rsidRDefault="009C5AD6" w14:paraId="0C1BB788" w14:textId="77777777">
            <w:pPr>
              <w:spacing w:after="0" w:line="360" w:lineRule="auto"/>
              <w:ind w:left="2"/>
              <w:jc w:val="both"/>
              <w:rPr>
                <w:rFonts w:ascii="Arial" w:hAnsi="Arial" w:eastAsia="Calibri" w:cs="Arial"/>
              </w:rPr>
            </w:pPr>
            <w:r w:rsidRPr="00BF57FF">
              <w:rPr>
                <w:rFonts w:ascii="Arial" w:hAnsi="Arial" w:eastAsia="Calibri" w:cs="Arial"/>
                <w:b/>
                <w:bCs/>
              </w:rPr>
              <w:t>Percentage</w:t>
            </w:r>
          </w:p>
        </w:tc>
        <w:tc>
          <w:tcPr>
            <w:tcW w:w="1601" w:type="dxa"/>
            <w:tcBorders>
              <w:top w:val="single" w:color="1A6B6B" w:sz="4" w:space="0"/>
              <w:left w:val="single" w:color="1A6B6B" w:sz="4" w:space="0"/>
              <w:bottom w:val="single" w:color="1A6B6B" w:sz="4" w:space="0"/>
              <w:right w:val="single" w:color="1A6B6B" w:sz="4" w:space="0"/>
            </w:tcBorders>
            <w:shd w:val="clear" w:color="auto" w:fill="1A6B6B"/>
            <w:tcMar>
              <w:top w:w="100" w:type="dxa"/>
              <w:left w:w="130" w:type="dxa"/>
              <w:bottom w:w="100" w:type="dxa"/>
              <w:right w:w="130" w:type="dxa"/>
            </w:tcMar>
            <w:vAlign w:val="center"/>
          </w:tcPr>
          <w:p w:rsidRPr="00BF57FF" w:rsidR="009C5AD6" w:rsidP="00A70BBB" w:rsidRDefault="009C5AD6" w14:paraId="1E5C9A99" w14:textId="77777777">
            <w:pPr>
              <w:spacing w:after="0" w:line="360" w:lineRule="auto"/>
              <w:ind w:left="2"/>
              <w:jc w:val="both"/>
              <w:rPr>
                <w:rFonts w:ascii="Arial" w:hAnsi="Arial" w:eastAsia="Calibri" w:cs="Arial"/>
              </w:rPr>
            </w:pPr>
            <w:r w:rsidRPr="00BF57FF">
              <w:rPr>
                <w:rFonts w:ascii="Arial" w:hAnsi="Arial" w:eastAsia="Calibri" w:cs="Arial"/>
                <w:b/>
                <w:bCs/>
              </w:rPr>
              <w:t>Code</w:t>
            </w:r>
          </w:p>
        </w:tc>
      </w:tr>
      <w:tr w:rsidRPr="00BF57FF" w:rsidR="009C5AD6" w:rsidTr="00F43AFD" w14:paraId="70C60B7A" w14:textId="77777777">
        <w:tc>
          <w:tcPr>
            <w:tcW w:w="5026" w:type="dxa"/>
            <w:tcBorders>
              <w:top w:val="single" w:color="85C9B5" w:sz="4" w:space="0"/>
              <w:left w:val="single" w:color="85C9B5" w:sz="4" w:space="0"/>
              <w:bottom w:val="single" w:color="85C9B5" w:sz="4" w:space="0"/>
              <w:right w:val="single" w:color="85C9B5" w:sz="4" w:space="0"/>
            </w:tcBorders>
            <w:shd w:val="clear" w:color="auto" w:fill="F0FAF8"/>
            <w:tcMar>
              <w:top w:w="80" w:type="dxa"/>
              <w:left w:w="130" w:type="dxa"/>
              <w:bottom w:w="80" w:type="dxa"/>
              <w:right w:w="130" w:type="dxa"/>
            </w:tcMar>
            <w:vAlign w:val="center"/>
          </w:tcPr>
          <w:p w:rsidRPr="00BF57FF" w:rsidR="009C5AD6" w:rsidP="00A70BBB" w:rsidRDefault="009C5AD6" w14:paraId="5FAE85AF" w14:textId="77777777">
            <w:pPr>
              <w:spacing w:after="0" w:line="360" w:lineRule="auto"/>
              <w:ind w:left="2"/>
              <w:jc w:val="both"/>
              <w:rPr>
                <w:rFonts w:ascii="Arial" w:hAnsi="Arial" w:eastAsia="Calibri" w:cs="Arial"/>
              </w:rPr>
            </w:pPr>
            <w:r w:rsidRPr="00BF57FF">
              <w:rPr>
                <w:rFonts w:ascii="Arial" w:hAnsi="Arial" w:eastAsia="Calibri" w:cs="Arial"/>
              </w:rPr>
              <w:t>Not conducted in India or data not India-specific</w:t>
            </w:r>
          </w:p>
        </w:tc>
        <w:tc>
          <w:tcPr>
            <w:tcW w:w="1500" w:type="dxa"/>
            <w:tcBorders>
              <w:top w:val="single" w:color="85C9B5" w:sz="4" w:space="0"/>
              <w:left w:val="single" w:color="85C9B5" w:sz="4" w:space="0"/>
              <w:bottom w:val="single" w:color="85C9B5" w:sz="4" w:space="0"/>
              <w:right w:val="single" w:color="85C9B5" w:sz="4" w:space="0"/>
            </w:tcBorders>
            <w:shd w:val="clear" w:color="auto" w:fill="F0FAF8"/>
            <w:tcMar>
              <w:top w:w="80" w:type="dxa"/>
              <w:left w:w="130" w:type="dxa"/>
              <w:bottom w:w="80" w:type="dxa"/>
              <w:right w:w="130" w:type="dxa"/>
            </w:tcMar>
            <w:vAlign w:val="center"/>
          </w:tcPr>
          <w:p w:rsidRPr="00BF57FF" w:rsidR="009C5AD6" w:rsidP="00A70BBB" w:rsidRDefault="009C5AD6" w14:paraId="454B6803" w14:textId="77777777">
            <w:pPr>
              <w:spacing w:after="0" w:line="360" w:lineRule="auto"/>
              <w:ind w:left="2"/>
              <w:jc w:val="both"/>
              <w:rPr>
                <w:rFonts w:ascii="Arial" w:hAnsi="Arial" w:eastAsia="Calibri" w:cs="Arial"/>
              </w:rPr>
            </w:pPr>
            <w:r w:rsidRPr="00BF57FF">
              <w:rPr>
                <w:rFonts w:ascii="Arial" w:hAnsi="Arial" w:eastAsia="Calibri" w:cs="Arial"/>
                <w:b/>
                <w:bCs/>
              </w:rPr>
              <w:t>8</w:t>
            </w:r>
          </w:p>
        </w:tc>
        <w:tc>
          <w:tcPr>
            <w:tcW w:w="900" w:type="dxa"/>
            <w:tcBorders>
              <w:top w:val="single" w:color="85C9B5" w:sz="4" w:space="0"/>
              <w:left w:val="single" w:color="85C9B5" w:sz="4" w:space="0"/>
              <w:bottom w:val="single" w:color="85C9B5" w:sz="4" w:space="0"/>
              <w:right w:val="single" w:color="85C9B5" w:sz="4" w:space="0"/>
            </w:tcBorders>
            <w:shd w:val="clear" w:color="auto" w:fill="F0FAF8"/>
            <w:tcMar>
              <w:top w:w="80" w:type="dxa"/>
              <w:left w:w="130" w:type="dxa"/>
              <w:bottom w:w="80" w:type="dxa"/>
              <w:right w:w="130" w:type="dxa"/>
            </w:tcMar>
            <w:vAlign w:val="center"/>
          </w:tcPr>
          <w:p w:rsidRPr="00BF57FF" w:rsidR="009C5AD6" w:rsidP="00A70BBB" w:rsidRDefault="009C5AD6" w14:paraId="78E201F8" w14:textId="77777777">
            <w:pPr>
              <w:spacing w:after="0" w:line="360" w:lineRule="auto"/>
              <w:ind w:left="2"/>
              <w:jc w:val="both"/>
              <w:rPr>
                <w:rFonts w:ascii="Arial" w:hAnsi="Arial" w:eastAsia="Calibri" w:cs="Arial"/>
              </w:rPr>
            </w:pPr>
            <w:r w:rsidRPr="00BF57FF">
              <w:rPr>
                <w:rFonts w:ascii="Arial" w:hAnsi="Arial" w:eastAsia="Calibri" w:cs="Arial"/>
              </w:rPr>
              <w:t>28.6%</w:t>
            </w:r>
          </w:p>
        </w:tc>
        <w:tc>
          <w:tcPr>
            <w:tcW w:w="1601" w:type="dxa"/>
            <w:tcBorders>
              <w:top w:val="single" w:color="85C9B5" w:sz="4" w:space="0"/>
              <w:left w:val="single" w:color="85C9B5" w:sz="4" w:space="0"/>
              <w:bottom w:val="single" w:color="85C9B5" w:sz="4" w:space="0"/>
              <w:right w:val="single" w:color="85C9B5" w:sz="4" w:space="0"/>
            </w:tcBorders>
            <w:shd w:val="clear" w:color="auto" w:fill="F0FAF8"/>
            <w:tcMar>
              <w:top w:w="80" w:type="dxa"/>
              <w:left w:w="130" w:type="dxa"/>
              <w:bottom w:w="80" w:type="dxa"/>
              <w:right w:w="130" w:type="dxa"/>
            </w:tcMar>
            <w:vAlign w:val="center"/>
          </w:tcPr>
          <w:p w:rsidRPr="00BF57FF" w:rsidR="009C5AD6" w:rsidP="00A70BBB" w:rsidRDefault="009C5AD6" w14:paraId="117280DB" w14:textId="77777777">
            <w:pPr>
              <w:spacing w:after="0" w:line="360" w:lineRule="auto"/>
              <w:ind w:left="2"/>
              <w:jc w:val="both"/>
              <w:rPr>
                <w:rFonts w:ascii="Arial" w:hAnsi="Arial" w:eastAsia="Calibri" w:cs="Arial"/>
              </w:rPr>
            </w:pPr>
            <w:r w:rsidRPr="00BF57FF">
              <w:rPr>
                <w:rFonts w:ascii="Arial" w:hAnsi="Arial" w:eastAsia="Calibri" w:cs="Arial"/>
                <w:b/>
                <w:bCs/>
              </w:rPr>
              <w:t>R1</w:t>
            </w:r>
          </w:p>
        </w:tc>
      </w:tr>
      <w:tr w:rsidRPr="00BF57FF" w:rsidR="009C5AD6" w:rsidTr="00F43AFD" w14:paraId="26201E55" w14:textId="77777777">
        <w:tc>
          <w:tcPr>
            <w:tcW w:w="5026" w:type="dxa"/>
            <w:tcBorders>
              <w:top w:val="single" w:color="85C9B5" w:sz="4" w:space="0"/>
              <w:left w:val="single" w:color="85C9B5" w:sz="4" w:space="0"/>
              <w:bottom w:val="single" w:color="85C9B5" w:sz="4" w:space="0"/>
              <w:right w:val="single" w:color="85C9B5" w:sz="4" w:space="0"/>
            </w:tcBorders>
            <w:shd w:val="clear" w:color="auto" w:fill="EAFAF5"/>
            <w:tcMar>
              <w:top w:w="80" w:type="dxa"/>
              <w:left w:w="130" w:type="dxa"/>
              <w:bottom w:w="80" w:type="dxa"/>
              <w:right w:w="130" w:type="dxa"/>
            </w:tcMar>
            <w:vAlign w:val="center"/>
          </w:tcPr>
          <w:p w:rsidRPr="00BF57FF" w:rsidR="009C5AD6" w:rsidP="00A70BBB" w:rsidRDefault="009C5AD6" w14:paraId="78B330D1" w14:textId="77777777">
            <w:pPr>
              <w:spacing w:after="0" w:line="360" w:lineRule="auto"/>
              <w:ind w:left="2"/>
              <w:jc w:val="both"/>
              <w:rPr>
                <w:rFonts w:ascii="Arial" w:hAnsi="Arial" w:eastAsia="Calibri" w:cs="Arial"/>
              </w:rPr>
            </w:pPr>
            <w:r w:rsidRPr="00BF57FF">
              <w:rPr>
                <w:rFonts w:ascii="Arial" w:hAnsi="Arial" w:eastAsia="Calibri" w:cs="Arial"/>
              </w:rPr>
              <w:t>Not a peer-reviewed publication (grey literature, editorial, or commentary)</w:t>
            </w:r>
          </w:p>
        </w:tc>
        <w:tc>
          <w:tcPr>
            <w:tcW w:w="1500" w:type="dxa"/>
            <w:tcBorders>
              <w:top w:val="single" w:color="85C9B5" w:sz="4" w:space="0"/>
              <w:left w:val="single" w:color="85C9B5" w:sz="4" w:space="0"/>
              <w:bottom w:val="single" w:color="85C9B5" w:sz="4" w:space="0"/>
              <w:right w:val="single" w:color="85C9B5" w:sz="4" w:space="0"/>
            </w:tcBorders>
            <w:shd w:val="clear" w:color="auto" w:fill="EAFAF5"/>
            <w:tcMar>
              <w:top w:w="80" w:type="dxa"/>
              <w:left w:w="130" w:type="dxa"/>
              <w:bottom w:w="80" w:type="dxa"/>
              <w:right w:w="130" w:type="dxa"/>
            </w:tcMar>
            <w:vAlign w:val="center"/>
          </w:tcPr>
          <w:p w:rsidRPr="00BF57FF" w:rsidR="009C5AD6" w:rsidP="00A70BBB" w:rsidRDefault="009C5AD6" w14:paraId="0D64B88A" w14:textId="77777777">
            <w:pPr>
              <w:spacing w:after="0" w:line="360" w:lineRule="auto"/>
              <w:ind w:left="2"/>
              <w:jc w:val="both"/>
              <w:rPr>
                <w:rFonts w:ascii="Arial" w:hAnsi="Arial" w:eastAsia="Calibri" w:cs="Arial"/>
              </w:rPr>
            </w:pPr>
            <w:r w:rsidRPr="00BF57FF">
              <w:rPr>
                <w:rFonts w:ascii="Arial" w:hAnsi="Arial" w:eastAsia="Calibri" w:cs="Arial"/>
                <w:b/>
                <w:bCs/>
              </w:rPr>
              <w:t>3</w:t>
            </w:r>
          </w:p>
        </w:tc>
        <w:tc>
          <w:tcPr>
            <w:tcW w:w="900" w:type="dxa"/>
            <w:tcBorders>
              <w:top w:val="single" w:color="85C9B5" w:sz="4" w:space="0"/>
              <w:left w:val="single" w:color="85C9B5" w:sz="4" w:space="0"/>
              <w:bottom w:val="single" w:color="85C9B5" w:sz="4" w:space="0"/>
              <w:right w:val="single" w:color="85C9B5" w:sz="4" w:space="0"/>
            </w:tcBorders>
            <w:shd w:val="clear" w:color="auto" w:fill="EAFAF5"/>
            <w:tcMar>
              <w:top w:w="80" w:type="dxa"/>
              <w:left w:w="130" w:type="dxa"/>
              <w:bottom w:w="80" w:type="dxa"/>
              <w:right w:w="130" w:type="dxa"/>
            </w:tcMar>
            <w:vAlign w:val="center"/>
          </w:tcPr>
          <w:p w:rsidRPr="00BF57FF" w:rsidR="009C5AD6" w:rsidP="00A70BBB" w:rsidRDefault="009C5AD6" w14:paraId="6C084E49" w14:textId="77777777">
            <w:pPr>
              <w:spacing w:after="0" w:line="360" w:lineRule="auto"/>
              <w:ind w:left="2"/>
              <w:jc w:val="both"/>
              <w:rPr>
                <w:rFonts w:ascii="Arial" w:hAnsi="Arial" w:eastAsia="Calibri" w:cs="Arial"/>
              </w:rPr>
            </w:pPr>
            <w:r w:rsidRPr="00BF57FF">
              <w:rPr>
                <w:rFonts w:ascii="Arial" w:hAnsi="Arial" w:eastAsia="Calibri" w:cs="Arial"/>
              </w:rPr>
              <w:t>10.7%</w:t>
            </w:r>
          </w:p>
        </w:tc>
        <w:tc>
          <w:tcPr>
            <w:tcW w:w="1601" w:type="dxa"/>
            <w:tcBorders>
              <w:top w:val="single" w:color="85C9B5" w:sz="4" w:space="0"/>
              <w:left w:val="single" w:color="85C9B5" w:sz="4" w:space="0"/>
              <w:bottom w:val="single" w:color="85C9B5" w:sz="4" w:space="0"/>
              <w:right w:val="single" w:color="85C9B5" w:sz="4" w:space="0"/>
            </w:tcBorders>
            <w:shd w:val="clear" w:color="auto" w:fill="EAFAF5"/>
            <w:tcMar>
              <w:top w:w="80" w:type="dxa"/>
              <w:left w:w="130" w:type="dxa"/>
              <w:bottom w:w="80" w:type="dxa"/>
              <w:right w:w="130" w:type="dxa"/>
            </w:tcMar>
            <w:vAlign w:val="center"/>
          </w:tcPr>
          <w:p w:rsidRPr="00BF57FF" w:rsidR="009C5AD6" w:rsidP="00A70BBB" w:rsidRDefault="009C5AD6" w14:paraId="15B043A7" w14:textId="77777777">
            <w:pPr>
              <w:spacing w:after="0" w:line="360" w:lineRule="auto"/>
              <w:ind w:left="2"/>
              <w:jc w:val="both"/>
              <w:rPr>
                <w:rFonts w:ascii="Arial" w:hAnsi="Arial" w:eastAsia="Calibri" w:cs="Arial"/>
              </w:rPr>
            </w:pPr>
            <w:r w:rsidRPr="00BF57FF">
              <w:rPr>
                <w:rFonts w:ascii="Arial" w:hAnsi="Arial" w:eastAsia="Calibri" w:cs="Arial"/>
                <w:b/>
                <w:bCs/>
              </w:rPr>
              <w:t>R2</w:t>
            </w:r>
          </w:p>
        </w:tc>
      </w:tr>
      <w:tr w:rsidRPr="00BF57FF" w:rsidR="009C5AD6" w:rsidTr="00F43AFD" w14:paraId="0816FFCC" w14:textId="77777777">
        <w:tc>
          <w:tcPr>
            <w:tcW w:w="5026" w:type="dxa"/>
            <w:tcBorders>
              <w:top w:val="single" w:color="85C9B5" w:sz="4" w:space="0"/>
              <w:left w:val="single" w:color="85C9B5" w:sz="4" w:space="0"/>
              <w:bottom w:val="single" w:color="85C9B5" w:sz="4" w:space="0"/>
              <w:right w:val="single" w:color="85C9B5" w:sz="4" w:space="0"/>
            </w:tcBorders>
            <w:shd w:val="clear" w:color="auto" w:fill="F0FAF8"/>
            <w:tcMar>
              <w:top w:w="80" w:type="dxa"/>
              <w:left w:w="130" w:type="dxa"/>
              <w:bottom w:w="80" w:type="dxa"/>
              <w:right w:w="130" w:type="dxa"/>
            </w:tcMar>
            <w:vAlign w:val="center"/>
          </w:tcPr>
          <w:p w:rsidRPr="00BF57FF" w:rsidR="009C5AD6" w:rsidP="00A70BBB" w:rsidRDefault="009C5AD6" w14:paraId="3938735A" w14:textId="77777777">
            <w:pPr>
              <w:spacing w:after="0" w:line="360" w:lineRule="auto"/>
              <w:ind w:left="2"/>
              <w:jc w:val="both"/>
              <w:rPr>
                <w:rFonts w:ascii="Arial" w:hAnsi="Arial" w:eastAsia="Calibri" w:cs="Arial"/>
              </w:rPr>
            </w:pPr>
            <w:r w:rsidRPr="00BF57FF">
              <w:rPr>
                <w:rFonts w:ascii="Arial" w:hAnsi="Arial" w:eastAsia="Calibri" w:cs="Arial"/>
              </w:rPr>
              <w:t>No primary data reported (opinion article or policy document only)</w:t>
            </w:r>
          </w:p>
        </w:tc>
        <w:tc>
          <w:tcPr>
            <w:tcW w:w="1500" w:type="dxa"/>
            <w:tcBorders>
              <w:top w:val="single" w:color="85C9B5" w:sz="4" w:space="0"/>
              <w:left w:val="single" w:color="85C9B5" w:sz="4" w:space="0"/>
              <w:bottom w:val="single" w:color="85C9B5" w:sz="4" w:space="0"/>
              <w:right w:val="single" w:color="85C9B5" w:sz="4" w:space="0"/>
            </w:tcBorders>
            <w:shd w:val="clear" w:color="auto" w:fill="F0FAF8"/>
            <w:tcMar>
              <w:top w:w="80" w:type="dxa"/>
              <w:left w:w="130" w:type="dxa"/>
              <w:bottom w:w="80" w:type="dxa"/>
              <w:right w:w="130" w:type="dxa"/>
            </w:tcMar>
            <w:vAlign w:val="center"/>
          </w:tcPr>
          <w:p w:rsidRPr="00BF57FF" w:rsidR="009C5AD6" w:rsidP="00A70BBB" w:rsidRDefault="009C5AD6" w14:paraId="45AE20AE" w14:textId="77777777">
            <w:pPr>
              <w:spacing w:after="0" w:line="360" w:lineRule="auto"/>
              <w:ind w:left="2"/>
              <w:jc w:val="both"/>
              <w:rPr>
                <w:rFonts w:ascii="Arial" w:hAnsi="Arial" w:eastAsia="Calibri" w:cs="Arial"/>
              </w:rPr>
            </w:pPr>
            <w:r w:rsidRPr="00BF57FF">
              <w:rPr>
                <w:rFonts w:ascii="Arial" w:hAnsi="Arial" w:eastAsia="Calibri" w:cs="Arial"/>
                <w:b/>
                <w:bCs/>
              </w:rPr>
              <w:t>6</w:t>
            </w:r>
          </w:p>
        </w:tc>
        <w:tc>
          <w:tcPr>
            <w:tcW w:w="900" w:type="dxa"/>
            <w:tcBorders>
              <w:top w:val="single" w:color="85C9B5" w:sz="4" w:space="0"/>
              <w:left w:val="single" w:color="85C9B5" w:sz="4" w:space="0"/>
              <w:bottom w:val="single" w:color="85C9B5" w:sz="4" w:space="0"/>
              <w:right w:val="single" w:color="85C9B5" w:sz="4" w:space="0"/>
            </w:tcBorders>
            <w:shd w:val="clear" w:color="auto" w:fill="F0FAF8"/>
            <w:tcMar>
              <w:top w:w="80" w:type="dxa"/>
              <w:left w:w="130" w:type="dxa"/>
              <w:bottom w:w="80" w:type="dxa"/>
              <w:right w:w="130" w:type="dxa"/>
            </w:tcMar>
            <w:vAlign w:val="center"/>
          </w:tcPr>
          <w:p w:rsidRPr="00BF57FF" w:rsidR="009C5AD6" w:rsidP="00A70BBB" w:rsidRDefault="009C5AD6" w14:paraId="44289D02" w14:textId="77777777">
            <w:pPr>
              <w:spacing w:after="0" w:line="360" w:lineRule="auto"/>
              <w:ind w:left="2"/>
              <w:jc w:val="both"/>
              <w:rPr>
                <w:rFonts w:ascii="Arial" w:hAnsi="Arial" w:eastAsia="Calibri" w:cs="Arial"/>
              </w:rPr>
            </w:pPr>
            <w:r w:rsidRPr="00BF57FF">
              <w:rPr>
                <w:rFonts w:ascii="Arial" w:hAnsi="Arial" w:eastAsia="Calibri" w:cs="Arial"/>
              </w:rPr>
              <w:t>21.4%</w:t>
            </w:r>
          </w:p>
        </w:tc>
        <w:tc>
          <w:tcPr>
            <w:tcW w:w="1601" w:type="dxa"/>
            <w:tcBorders>
              <w:top w:val="single" w:color="85C9B5" w:sz="4" w:space="0"/>
              <w:left w:val="single" w:color="85C9B5" w:sz="4" w:space="0"/>
              <w:bottom w:val="single" w:color="85C9B5" w:sz="4" w:space="0"/>
              <w:right w:val="single" w:color="85C9B5" w:sz="4" w:space="0"/>
            </w:tcBorders>
            <w:shd w:val="clear" w:color="auto" w:fill="F0FAF8"/>
            <w:tcMar>
              <w:top w:w="80" w:type="dxa"/>
              <w:left w:w="130" w:type="dxa"/>
              <w:bottom w:w="80" w:type="dxa"/>
              <w:right w:w="130" w:type="dxa"/>
            </w:tcMar>
            <w:vAlign w:val="center"/>
          </w:tcPr>
          <w:p w:rsidRPr="00BF57FF" w:rsidR="009C5AD6" w:rsidP="00A70BBB" w:rsidRDefault="009C5AD6" w14:paraId="651C41D9" w14:textId="77777777">
            <w:pPr>
              <w:spacing w:after="0" w:line="360" w:lineRule="auto"/>
              <w:ind w:left="2"/>
              <w:jc w:val="both"/>
              <w:rPr>
                <w:rFonts w:ascii="Arial" w:hAnsi="Arial" w:eastAsia="Calibri" w:cs="Arial"/>
              </w:rPr>
            </w:pPr>
            <w:r w:rsidRPr="00BF57FF">
              <w:rPr>
                <w:rFonts w:ascii="Arial" w:hAnsi="Arial" w:eastAsia="Calibri" w:cs="Arial"/>
                <w:b/>
                <w:bCs/>
              </w:rPr>
              <w:t>R3</w:t>
            </w:r>
          </w:p>
        </w:tc>
      </w:tr>
      <w:tr w:rsidRPr="00BF57FF" w:rsidR="009C5AD6" w:rsidTr="00F43AFD" w14:paraId="045882F8" w14:textId="77777777">
        <w:tc>
          <w:tcPr>
            <w:tcW w:w="5026" w:type="dxa"/>
            <w:tcBorders>
              <w:top w:val="single" w:color="85C9B5" w:sz="4" w:space="0"/>
              <w:left w:val="single" w:color="85C9B5" w:sz="4" w:space="0"/>
              <w:bottom w:val="single" w:color="85C9B5" w:sz="4" w:space="0"/>
              <w:right w:val="single" w:color="85C9B5" w:sz="4" w:space="0"/>
            </w:tcBorders>
            <w:shd w:val="clear" w:color="auto" w:fill="EAFAF5"/>
            <w:tcMar>
              <w:top w:w="80" w:type="dxa"/>
              <w:left w:w="130" w:type="dxa"/>
              <w:bottom w:w="80" w:type="dxa"/>
              <w:right w:w="130" w:type="dxa"/>
            </w:tcMar>
            <w:vAlign w:val="center"/>
          </w:tcPr>
          <w:p w:rsidRPr="00BF57FF" w:rsidR="009C5AD6" w:rsidP="00A70BBB" w:rsidRDefault="009C5AD6" w14:paraId="755FE00A" w14:textId="77777777">
            <w:pPr>
              <w:spacing w:after="0" w:line="360" w:lineRule="auto"/>
              <w:ind w:left="2"/>
              <w:jc w:val="both"/>
              <w:rPr>
                <w:rFonts w:ascii="Arial" w:hAnsi="Arial" w:eastAsia="Calibri" w:cs="Arial"/>
              </w:rPr>
            </w:pPr>
            <w:r w:rsidRPr="00BF57FF">
              <w:rPr>
                <w:rFonts w:ascii="Arial" w:hAnsi="Arial" w:eastAsia="Calibri" w:cs="Arial"/>
              </w:rPr>
              <w:t>Outside date range (published before January 2015)</w:t>
            </w:r>
          </w:p>
        </w:tc>
        <w:tc>
          <w:tcPr>
            <w:tcW w:w="1500" w:type="dxa"/>
            <w:tcBorders>
              <w:top w:val="single" w:color="85C9B5" w:sz="4" w:space="0"/>
              <w:left w:val="single" w:color="85C9B5" w:sz="4" w:space="0"/>
              <w:bottom w:val="single" w:color="85C9B5" w:sz="4" w:space="0"/>
              <w:right w:val="single" w:color="85C9B5" w:sz="4" w:space="0"/>
            </w:tcBorders>
            <w:shd w:val="clear" w:color="auto" w:fill="EAFAF5"/>
            <w:tcMar>
              <w:top w:w="80" w:type="dxa"/>
              <w:left w:w="130" w:type="dxa"/>
              <w:bottom w:w="80" w:type="dxa"/>
              <w:right w:w="130" w:type="dxa"/>
            </w:tcMar>
            <w:vAlign w:val="center"/>
          </w:tcPr>
          <w:p w:rsidRPr="00BF57FF" w:rsidR="009C5AD6" w:rsidP="00A70BBB" w:rsidRDefault="009C5AD6" w14:paraId="7A22E2E7" w14:textId="77777777">
            <w:pPr>
              <w:spacing w:after="0" w:line="360" w:lineRule="auto"/>
              <w:ind w:left="2"/>
              <w:jc w:val="both"/>
              <w:rPr>
                <w:rFonts w:ascii="Arial" w:hAnsi="Arial" w:eastAsia="Calibri" w:cs="Arial"/>
              </w:rPr>
            </w:pPr>
            <w:r w:rsidRPr="00BF57FF">
              <w:rPr>
                <w:rFonts w:ascii="Arial" w:hAnsi="Arial" w:eastAsia="Calibri" w:cs="Arial"/>
                <w:b/>
                <w:bCs/>
              </w:rPr>
              <w:t>4</w:t>
            </w:r>
          </w:p>
        </w:tc>
        <w:tc>
          <w:tcPr>
            <w:tcW w:w="900" w:type="dxa"/>
            <w:tcBorders>
              <w:top w:val="single" w:color="85C9B5" w:sz="4" w:space="0"/>
              <w:left w:val="single" w:color="85C9B5" w:sz="4" w:space="0"/>
              <w:bottom w:val="single" w:color="85C9B5" w:sz="4" w:space="0"/>
              <w:right w:val="single" w:color="85C9B5" w:sz="4" w:space="0"/>
            </w:tcBorders>
            <w:shd w:val="clear" w:color="auto" w:fill="EAFAF5"/>
            <w:tcMar>
              <w:top w:w="80" w:type="dxa"/>
              <w:left w:w="130" w:type="dxa"/>
              <w:bottom w:w="80" w:type="dxa"/>
              <w:right w:w="130" w:type="dxa"/>
            </w:tcMar>
            <w:vAlign w:val="center"/>
          </w:tcPr>
          <w:p w:rsidRPr="00BF57FF" w:rsidR="009C5AD6" w:rsidP="00A70BBB" w:rsidRDefault="009C5AD6" w14:paraId="2767C11D" w14:textId="77777777">
            <w:pPr>
              <w:spacing w:after="0" w:line="360" w:lineRule="auto"/>
              <w:ind w:left="2"/>
              <w:jc w:val="both"/>
              <w:rPr>
                <w:rFonts w:ascii="Arial" w:hAnsi="Arial" w:eastAsia="Calibri" w:cs="Arial"/>
              </w:rPr>
            </w:pPr>
            <w:r w:rsidRPr="00BF57FF">
              <w:rPr>
                <w:rFonts w:ascii="Arial" w:hAnsi="Arial" w:eastAsia="Calibri" w:cs="Arial"/>
              </w:rPr>
              <w:t>14.3%</w:t>
            </w:r>
          </w:p>
        </w:tc>
        <w:tc>
          <w:tcPr>
            <w:tcW w:w="1601" w:type="dxa"/>
            <w:tcBorders>
              <w:top w:val="single" w:color="85C9B5" w:sz="4" w:space="0"/>
              <w:left w:val="single" w:color="85C9B5" w:sz="4" w:space="0"/>
              <w:bottom w:val="single" w:color="85C9B5" w:sz="4" w:space="0"/>
              <w:right w:val="single" w:color="85C9B5" w:sz="4" w:space="0"/>
            </w:tcBorders>
            <w:shd w:val="clear" w:color="auto" w:fill="EAFAF5"/>
            <w:tcMar>
              <w:top w:w="80" w:type="dxa"/>
              <w:left w:w="130" w:type="dxa"/>
              <w:bottom w:w="80" w:type="dxa"/>
              <w:right w:w="130" w:type="dxa"/>
            </w:tcMar>
            <w:vAlign w:val="center"/>
          </w:tcPr>
          <w:p w:rsidRPr="00BF57FF" w:rsidR="009C5AD6" w:rsidP="00A70BBB" w:rsidRDefault="009C5AD6" w14:paraId="52683F7D" w14:textId="77777777">
            <w:pPr>
              <w:spacing w:after="0" w:line="360" w:lineRule="auto"/>
              <w:ind w:left="2"/>
              <w:jc w:val="both"/>
              <w:rPr>
                <w:rFonts w:ascii="Arial" w:hAnsi="Arial" w:eastAsia="Calibri" w:cs="Arial"/>
              </w:rPr>
            </w:pPr>
            <w:r w:rsidRPr="00BF57FF">
              <w:rPr>
                <w:rFonts w:ascii="Arial" w:hAnsi="Arial" w:eastAsia="Calibri" w:cs="Arial"/>
                <w:b/>
                <w:bCs/>
              </w:rPr>
              <w:t>R4</w:t>
            </w:r>
          </w:p>
        </w:tc>
      </w:tr>
      <w:tr w:rsidRPr="00BF57FF" w:rsidR="009C5AD6" w:rsidTr="00F43AFD" w14:paraId="4831A806" w14:textId="77777777">
        <w:tc>
          <w:tcPr>
            <w:tcW w:w="5026" w:type="dxa"/>
            <w:tcBorders>
              <w:top w:val="single" w:color="85C9B5" w:sz="4" w:space="0"/>
              <w:left w:val="single" w:color="85C9B5" w:sz="4" w:space="0"/>
              <w:bottom w:val="single" w:color="85C9B5" w:sz="4" w:space="0"/>
              <w:right w:val="single" w:color="85C9B5" w:sz="4" w:space="0"/>
            </w:tcBorders>
            <w:shd w:val="clear" w:color="auto" w:fill="F0FAF8"/>
            <w:tcMar>
              <w:top w:w="80" w:type="dxa"/>
              <w:left w:w="130" w:type="dxa"/>
              <w:bottom w:w="80" w:type="dxa"/>
              <w:right w:w="130" w:type="dxa"/>
            </w:tcMar>
            <w:vAlign w:val="center"/>
          </w:tcPr>
          <w:p w:rsidRPr="00BF57FF" w:rsidR="009C5AD6" w:rsidP="00A70BBB" w:rsidRDefault="009C5AD6" w14:paraId="52A50E6D" w14:textId="3B48645F">
            <w:pPr>
              <w:spacing w:after="0" w:line="360" w:lineRule="auto"/>
              <w:ind w:left="2"/>
              <w:jc w:val="both"/>
              <w:rPr>
                <w:rFonts w:ascii="Arial" w:hAnsi="Arial" w:eastAsia="Calibri" w:cs="Arial"/>
              </w:rPr>
            </w:pPr>
            <w:r w:rsidRPr="00BF57FF">
              <w:rPr>
                <w:rFonts w:ascii="Arial" w:hAnsi="Arial" w:eastAsia="Calibri" w:cs="Arial"/>
              </w:rPr>
              <w:t xml:space="preserve">Did not address rabies barriers, PEP access, or surveillance as </w:t>
            </w:r>
            <w:r w:rsidRPr="00BF57FF" w:rsidR="00276AE7">
              <w:rPr>
                <w:rFonts w:ascii="Arial" w:hAnsi="Arial" w:eastAsia="Calibri" w:cs="Arial"/>
              </w:rPr>
              <w:t xml:space="preserve">the </w:t>
            </w:r>
            <w:r w:rsidRPr="00BF57FF">
              <w:rPr>
                <w:rFonts w:ascii="Arial" w:hAnsi="Arial" w:eastAsia="Calibri" w:cs="Arial"/>
              </w:rPr>
              <w:t>primary outcome</w:t>
            </w:r>
          </w:p>
        </w:tc>
        <w:tc>
          <w:tcPr>
            <w:tcW w:w="1500" w:type="dxa"/>
            <w:tcBorders>
              <w:top w:val="single" w:color="85C9B5" w:sz="4" w:space="0"/>
              <w:left w:val="single" w:color="85C9B5" w:sz="4" w:space="0"/>
              <w:bottom w:val="single" w:color="85C9B5" w:sz="4" w:space="0"/>
              <w:right w:val="single" w:color="85C9B5" w:sz="4" w:space="0"/>
            </w:tcBorders>
            <w:shd w:val="clear" w:color="auto" w:fill="F0FAF8"/>
            <w:tcMar>
              <w:top w:w="80" w:type="dxa"/>
              <w:left w:w="130" w:type="dxa"/>
              <w:bottom w:w="80" w:type="dxa"/>
              <w:right w:w="130" w:type="dxa"/>
            </w:tcMar>
            <w:vAlign w:val="center"/>
          </w:tcPr>
          <w:p w:rsidRPr="00BF57FF" w:rsidR="009C5AD6" w:rsidP="00A70BBB" w:rsidRDefault="009C5AD6" w14:paraId="21275D7E" w14:textId="77777777">
            <w:pPr>
              <w:spacing w:after="0" w:line="360" w:lineRule="auto"/>
              <w:ind w:left="2"/>
              <w:jc w:val="both"/>
              <w:rPr>
                <w:rFonts w:ascii="Arial" w:hAnsi="Arial" w:eastAsia="Calibri" w:cs="Arial"/>
              </w:rPr>
            </w:pPr>
            <w:r w:rsidRPr="00BF57FF">
              <w:rPr>
                <w:rFonts w:ascii="Arial" w:hAnsi="Arial" w:eastAsia="Calibri" w:cs="Arial"/>
                <w:b/>
                <w:bCs/>
              </w:rPr>
              <w:t>5</w:t>
            </w:r>
          </w:p>
        </w:tc>
        <w:tc>
          <w:tcPr>
            <w:tcW w:w="900" w:type="dxa"/>
            <w:tcBorders>
              <w:top w:val="single" w:color="85C9B5" w:sz="4" w:space="0"/>
              <w:left w:val="single" w:color="85C9B5" w:sz="4" w:space="0"/>
              <w:bottom w:val="single" w:color="85C9B5" w:sz="4" w:space="0"/>
              <w:right w:val="single" w:color="85C9B5" w:sz="4" w:space="0"/>
            </w:tcBorders>
            <w:shd w:val="clear" w:color="auto" w:fill="F0FAF8"/>
            <w:tcMar>
              <w:top w:w="80" w:type="dxa"/>
              <w:left w:w="130" w:type="dxa"/>
              <w:bottom w:w="80" w:type="dxa"/>
              <w:right w:w="130" w:type="dxa"/>
            </w:tcMar>
            <w:vAlign w:val="center"/>
          </w:tcPr>
          <w:p w:rsidRPr="00BF57FF" w:rsidR="009C5AD6" w:rsidP="00A70BBB" w:rsidRDefault="009C5AD6" w14:paraId="7E3A61D8" w14:textId="77777777">
            <w:pPr>
              <w:spacing w:after="0" w:line="360" w:lineRule="auto"/>
              <w:ind w:left="2"/>
              <w:jc w:val="both"/>
              <w:rPr>
                <w:rFonts w:ascii="Arial" w:hAnsi="Arial" w:eastAsia="Calibri" w:cs="Arial"/>
              </w:rPr>
            </w:pPr>
            <w:r w:rsidRPr="00BF57FF">
              <w:rPr>
                <w:rFonts w:ascii="Arial" w:hAnsi="Arial" w:eastAsia="Calibri" w:cs="Arial"/>
              </w:rPr>
              <w:t>17.9%</w:t>
            </w:r>
          </w:p>
        </w:tc>
        <w:tc>
          <w:tcPr>
            <w:tcW w:w="1601" w:type="dxa"/>
            <w:tcBorders>
              <w:top w:val="single" w:color="85C9B5" w:sz="4" w:space="0"/>
              <w:left w:val="single" w:color="85C9B5" w:sz="4" w:space="0"/>
              <w:bottom w:val="single" w:color="85C9B5" w:sz="4" w:space="0"/>
              <w:right w:val="single" w:color="85C9B5" w:sz="4" w:space="0"/>
            </w:tcBorders>
            <w:shd w:val="clear" w:color="auto" w:fill="F0FAF8"/>
            <w:tcMar>
              <w:top w:w="80" w:type="dxa"/>
              <w:left w:w="130" w:type="dxa"/>
              <w:bottom w:w="80" w:type="dxa"/>
              <w:right w:w="130" w:type="dxa"/>
            </w:tcMar>
            <w:vAlign w:val="center"/>
          </w:tcPr>
          <w:p w:rsidRPr="00BF57FF" w:rsidR="009C5AD6" w:rsidP="00A70BBB" w:rsidRDefault="009C5AD6" w14:paraId="20C888B7" w14:textId="77777777">
            <w:pPr>
              <w:spacing w:after="0" w:line="360" w:lineRule="auto"/>
              <w:ind w:left="2"/>
              <w:jc w:val="both"/>
              <w:rPr>
                <w:rFonts w:ascii="Arial" w:hAnsi="Arial" w:eastAsia="Calibri" w:cs="Arial"/>
              </w:rPr>
            </w:pPr>
            <w:r w:rsidRPr="00BF57FF">
              <w:rPr>
                <w:rFonts w:ascii="Arial" w:hAnsi="Arial" w:eastAsia="Calibri" w:cs="Arial"/>
                <w:b/>
                <w:bCs/>
              </w:rPr>
              <w:t>R5</w:t>
            </w:r>
          </w:p>
        </w:tc>
      </w:tr>
      <w:tr w:rsidRPr="00BF57FF" w:rsidR="009C5AD6" w:rsidTr="00F43AFD" w14:paraId="3B8C9ADA" w14:textId="77777777">
        <w:tc>
          <w:tcPr>
            <w:tcW w:w="5026" w:type="dxa"/>
            <w:tcBorders>
              <w:top w:val="single" w:color="85C9B5" w:sz="4" w:space="0"/>
              <w:left w:val="single" w:color="85C9B5" w:sz="4" w:space="0"/>
              <w:bottom w:val="single" w:color="85C9B5" w:sz="4" w:space="0"/>
              <w:right w:val="single" w:color="85C9B5" w:sz="4" w:space="0"/>
            </w:tcBorders>
            <w:shd w:val="clear" w:color="auto" w:fill="EAFAF5"/>
            <w:tcMar>
              <w:top w:w="80" w:type="dxa"/>
              <w:left w:w="130" w:type="dxa"/>
              <w:bottom w:w="80" w:type="dxa"/>
              <w:right w:w="130" w:type="dxa"/>
            </w:tcMar>
            <w:vAlign w:val="center"/>
          </w:tcPr>
          <w:p w:rsidRPr="00BF57FF" w:rsidR="009C5AD6" w:rsidP="00A70BBB" w:rsidRDefault="009C5AD6" w14:paraId="3407DC53" w14:textId="77777777">
            <w:pPr>
              <w:spacing w:after="0" w:line="360" w:lineRule="auto"/>
              <w:ind w:left="2"/>
              <w:jc w:val="both"/>
              <w:rPr>
                <w:rFonts w:ascii="Arial" w:hAnsi="Arial" w:eastAsia="Calibri" w:cs="Arial"/>
              </w:rPr>
            </w:pPr>
            <w:r w:rsidRPr="00BF57FF">
              <w:rPr>
                <w:rFonts w:ascii="Arial" w:hAnsi="Arial" w:eastAsia="Calibri" w:cs="Arial"/>
              </w:rPr>
              <w:t>Study protocol or registration without final published results</w:t>
            </w:r>
          </w:p>
        </w:tc>
        <w:tc>
          <w:tcPr>
            <w:tcW w:w="1500" w:type="dxa"/>
            <w:tcBorders>
              <w:top w:val="single" w:color="85C9B5" w:sz="4" w:space="0"/>
              <w:left w:val="single" w:color="85C9B5" w:sz="4" w:space="0"/>
              <w:bottom w:val="single" w:color="85C9B5" w:sz="4" w:space="0"/>
              <w:right w:val="single" w:color="85C9B5" w:sz="4" w:space="0"/>
            </w:tcBorders>
            <w:shd w:val="clear" w:color="auto" w:fill="EAFAF5"/>
            <w:tcMar>
              <w:top w:w="80" w:type="dxa"/>
              <w:left w:w="130" w:type="dxa"/>
              <w:bottom w:w="80" w:type="dxa"/>
              <w:right w:w="130" w:type="dxa"/>
            </w:tcMar>
            <w:vAlign w:val="center"/>
          </w:tcPr>
          <w:p w:rsidRPr="00BF57FF" w:rsidR="009C5AD6" w:rsidP="00A70BBB" w:rsidRDefault="009C5AD6" w14:paraId="2C9C3671" w14:textId="77777777">
            <w:pPr>
              <w:spacing w:after="0" w:line="360" w:lineRule="auto"/>
              <w:ind w:left="2"/>
              <w:jc w:val="both"/>
              <w:rPr>
                <w:rFonts w:ascii="Arial" w:hAnsi="Arial" w:eastAsia="Calibri" w:cs="Arial"/>
              </w:rPr>
            </w:pPr>
            <w:r w:rsidRPr="00BF57FF">
              <w:rPr>
                <w:rFonts w:ascii="Arial" w:hAnsi="Arial" w:eastAsia="Calibri" w:cs="Arial"/>
                <w:b/>
                <w:bCs/>
              </w:rPr>
              <w:t>2</w:t>
            </w:r>
          </w:p>
        </w:tc>
        <w:tc>
          <w:tcPr>
            <w:tcW w:w="900" w:type="dxa"/>
            <w:tcBorders>
              <w:top w:val="single" w:color="85C9B5" w:sz="4" w:space="0"/>
              <w:left w:val="single" w:color="85C9B5" w:sz="4" w:space="0"/>
              <w:bottom w:val="single" w:color="85C9B5" w:sz="4" w:space="0"/>
              <w:right w:val="single" w:color="85C9B5" w:sz="4" w:space="0"/>
            </w:tcBorders>
            <w:shd w:val="clear" w:color="auto" w:fill="EAFAF5"/>
            <w:tcMar>
              <w:top w:w="80" w:type="dxa"/>
              <w:left w:w="130" w:type="dxa"/>
              <w:bottom w:w="80" w:type="dxa"/>
              <w:right w:w="130" w:type="dxa"/>
            </w:tcMar>
            <w:vAlign w:val="center"/>
          </w:tcPr>
          <w:p w:rsidRPr="00BF57FF" w:rsidR="009C5AD6" w:rsidP="00A70BBB" w:rsidRDefault="009C5AD6" w14:paraId="7FE1622A" w14:textId="77777777">
            <w:pPr>
              <w:spacing w:after="0" w:line="360" w:lineRule="auto"/>
              <w:ind w:left="2"/>
              <w:jc w:val="both"/>
              <w:rPr>
                <w:rFonts w:ascii="Arial" w:hAnsi="Arial" w:eastAsia="Calibri" w:cs="Arial"/>
              </w:rPr>
            </w:pPr>
            <w:r w:rsidRPr="00BF57FF">
              <w:rPr>
                <w:rFonts w:ascii="Arial" w:hAnsi="Arial" w:eastAsia="Calibri" w:cs="Arial"/>
              </w:rPr>
              <w:t>7.1%</w:t>
            </w:r>
          </w:p>
        </w:tc>
        <w:tc>
          <w:tcPr>
            <w:tcW w:w="1601" w:type="dxa"/>
            <w:tcBorders>
              <w:top w:val="single" w:color="85C9B5" w:sz="4" w:space="0"/>
              <w:left w:val="single" w:color="85C9B5" w:sz="4" w:space="0"/>
              <w:bottom w:val="single" w:color="85C9B5" w:sz="4" w:space="0"/>
              <w:right w:val="single" w:color="85C9B5" w:sz="4" w:space="0"/>
            </w:tcBorders>
            <w:shd w:val="clear" w:color="auto" w:fill="EAFAF5"/>
            <w:tcMar>
              <w:top w:w="80" w:type="dxa"/>
              <w:left w:w="130" w:type="dxa"/>
              <w:bottom w:w="80" w:type="dxa"/>
              <w:right w:w="130" w:type="dxa"/>
            </w:tcMar>
            <w:vAlign w:val="center"/>
          </w:tcPr>
          <w:p w:rsidRPr="00BF57FF" w:rsidR="009C5AD6" w:rsidP="00A70BBB" w:rsidRDefault="009C5AD6" w14:paraId="047FF2A7" w14:textId="77777777">
            <w:pPr>
              <w:spacing w:after="0" w:line="360" w:lineRule="auto"/>
              <w:ind w:left="2"/>
              <w:jc w:val="both"/>
              <w:rPr>
                <w:rFonts w:ascii="Arial" w:hAnsi="Arial" w:eastAsia="Calibri" w:cs="Arial"/>
              </w:rPr>
            </w:pPr>
            <w:r w:rsidRPr="00BF57FF">
              <w:rPr>
                <w:rFonts w:ascii="Arial" w:hAnsi="Arial" w:eastAsia="Calibri" w:cs="Arial"/>
                <w:b/>
                <w:bCs/>
              </w:rPr>
              <w:t>R6</w:t>
            </w:r>
          </w:p>
        </w:tc>
      </w:tr>
      <w:tr w:rsidRPr="00BF57FF" w:rsidR="009C5AD6" w:rsidTr="00F43AFD" w14:paraId="2BB8AEDD" w14:textId="77777777">
        <w:tc>
          <w:tcPr>
            <w:tcW w:w="5026" w:type="dxa"/>
            <w:tcBorders>
              <w:top w:val="single" w:color="1A6B6B" w:sz="4" w:space="0"/>
              <w:left w:val="single" w:color="1A6B6B" w:sz="4" w:space="0"/>
              <w:bottom w:val="single" w:color="1A6B6B" w:sz="4" w:space="0"/>
              <w:right w:val="single" w:color="1A6B6B" w:sz="4" w:space="0"/>
            </w:tcBorders>
            <w:shd w:val="clear" w:color="auto" w:fill="F0FAF8"/>
            <w:tcMar>
              <w:top w:w="80" w:type="dxa"/>
              <w:left w:w="130" w:type="dxa"/>
              <w:bottom w:w="80" w:type="dxa"/>
              <w:right w:w="130" w:type="dxa"/>
            </w:tcMar>
            <w:vAlign w:val="center"/>
          </w:tcPr>
          <w:p w:rsidRPr="00BF57FF" w:rsidR="009C5AD6" w:rsidP="00A70BBB" w:rsidRDefault="009C5AD6" w14:paraId="1C1D8127" w14:textId="77777777">
            <w:pPr>
              <w:spacing w:after="0" w:line="360" w:lineRule="auto"/>
              <w:ind w:left="2"/>
              <w:jc w:val="both"/>
              <w:rPr>
                <w:rFonts w:ascii="Arial" w:hAnsi="Arial" w:eastAsia="Calibri" w:cs="Arial"/>
              </w:rPr>
            </w:pPr>
            <w:r w:rsidRPr="00BF57FF">
              <w:rPr>
                <w:rFonts w:ascii="Arial" w:hAnsi="Arial" w:eastAsia="Calibri" w:cs="Arial"/>
                <w:b/>
                <w:bCs/>
              </w:rPr>
              <w:t>Total full-text articles excluded</w:t>
            </w:r>
          </w:p>
        </w:tc>
        <w:tc>
          <w:tcPr>
            <w:tcW w:w="1500" w:type="dxa"/>
            <w:tcBorders>
              <w:top w:val="single" w:color="1A6B6B" w:sz="4" w:space="0"/>
              <w:left w:val="single" w:color="1A6B6B" w:sz="4" w:space="0"/>
              <w:bottom w:val="single" w:color="1A6B6B" w:sz="4" w:space="0"/>
              <w:right w:val="single" w:color="1A6B6B" w:sz="4" w:space="0"/>
            </w:tcBorders>
            <w:shd w:val="clear" w:color="auto" w:fill="F0FAF8"/>
            <w:tcMar>
              <w:top w:w="80" w:type="dxa"/>
              <w:left w:w="130" w:type="dxa"/>
              <w:bottom w:w="80" w:type="dxa"/>
              <w:right w:w="130" w:type="dxa"/>
            </w:tcMar>
            <w:vAlign w:val="center"/>
          </w:tcPr>
          <w:p w:rsidRPr="00BF57FF" w:rsidR="009C5AD6" w:rsidP="00A70BBB" w:rsidRDefault="009C5AD6" w14:paraId="32F0747C" w14:textId="77777777">
            <w:pPr>
              <w:spacing w:after="0" w:line="360" w:lineRule="auto"/>
              <w:ind w:left="2"/>
              <w:jc w:val="both"/>
              <w:rPr>
                <w:rFonts w:ascii="Arial" w:hAnsi="Arial" w:eastAsia="Calibri" w:cs="Arial"/>
              </w:rPr>
            </w:pPr>
            <w:r w:rsidRPr="00BF57FF">
              <w:rPr>
                <w:rFonts w:ascii="Arial" w:hAnsi="Arial" w:eastAsia="Calibri" w:cs="Arial"/>
                <w:b/>
                <w:bCs/>
              </w:rPr>
              <w:t>28</w:t>
            </w:r>
          </w:p>
        </w:tc>
        <w:tc>
          <w:tcPr>
            <w:tcW w:w="900" w:type="dxa"/>
            <w:tcBorders>
              <w:top w:val="single" w:color="1A6B6B" w:sz="4" w:space="0"/>
              <w:left w:val="single" w:color="1A6B6B" w:sz="4" w:space="0"/>
              <w:bottom w:val="single" w:color="1A6B6B" w:sz="4" w:space="0"/>
              <w:right w:val="single" w:color="1A6B6B" w:sz="4" w:space="0"/>
            </w:tcBorders>
            <w:shd w:val="clear" w:color="auto" w:fill="F0FAF8"/>
            <w:tcMar>
              <w:top w:w="80" w:type="dxa"/>
              <w:left w:w="130" w:type="dxa"/>
              <w:bottom w:w="80" w:type="dxa"/>
              <w:right w:w="130" w:type="dxa"/>
            </w:tcMar>
            <w:vAlign w:val="center"/>
          </w:tcPr>
          <w:p w:rsidRPr="00BF57FF" w:rsidR="009C5AD6" w:rsidP="00A70BBB" w:rsidRDefault="009C5AD6" w14:paraId="4DB17F2E" w14:textId="77777777">
            <w:pPr>
              <w:spacing w:after="0" w:line="360" w:lineRule="auto"/>
              <w:ind w:left="2"/>
              <w:jc w:val="both"/>
              <w:rPr>
                <w:rFonts w:ascii="Arial" w:hAnsi="Arial" w:eastAsia="Calibri" w:cs="Arial"/>
              </w:rPr>
            </w:pPr>
            <w:r w:rsidRPr="00BF57FF">
              <w:rPr>
                <w:rFonts w:ascii="Arial" w:hAnsi="Arial" w:eastAsia="Calibri" w:cs="Arial"/>
                <w:b/>
                <w:bCs/>
              </w:rPr>
              <w:t>100%</w:t>
            </w:r>
          </w:p>
        </w:tc>
        <w:tc>
          <w:tcPr>
            <w:tcW w:w="1601" w:type="dxa"/>
            <w:tcBorders>
              <w:top w:val="single" w:color="1A6B6B" w:sz="4" w:space="0"/>
              <w:left w:val="single" w:color="1A6B6B" w:sz="4" w:space="0"/>
              <w:bottom w:val="single" w:color="1A6B6B" w:sz="4" w:space="0"/>
              <w:right w:val="single" w:color="1A6B6B" w:sz="4" w:space="0"/>
            </w:tcBorders>
            <w:shd w:val="clear" w:color="auto" w:fill="F0FAF8"/>
            <w:tcMar>
              <w:top w:w="80" w:type="dxa"/>
              <w:left w:w="130" w:type="dxa"/>
              <w:bottom w:w="80" w:type="dxa"/>
              <w:right w:w="130" w:type="dxa"/>
            </w:tcMar>
            <w:vAlign w:val="center"/>
          </w:tcPr>
          <w:p w:rsidRPr="00BF57FF" w:rsidR="009C5AD6" w:rsidP="00A70BBB" w:rsidRDefault="009C5AD6" w14:paraId="2D68E227" w14:textId="77777777">
            <w:pPr>
              <w:spacing w:after="0" w:line="360" w:lineRule="auto"/>
              <w:ind w:left="2"/>
              <w:jc w:val="both"/>
              <w:rPr>
                <w:rFonts w:ascii="Arial" w:hAnsi="Arial" w:eastAsia="Calibri" w:cs="Arial"/>
              </w:rPr>
            </w:pPr>
            <w:r w:rsidRPr="00BF57FF">
              <w:rPr>
                <w:rFonts w:ascii="Arial" w:hAnsi="Arial" w:eastAsia="Calibri" w:cs="Arial"/>
              </w:rPr>
              <w:t>—</w:t>
            </w:r>
          </w:p>
        </w:tc>
      </w:tr>
    </w:tbl>
    <w:p w:rsidRPr="00BF57FF" w:rsidR="009C5AD6" w:rsidP="00A70BBB" w:rsidRDefault="009C5AD6" w14:paraId="67190CB4" w14:textId="77777777">
      <w:pPr>
        <w:spacing w:after="0" w:line="360" w:lineRule="auto"/>
        <w:ind w:left="2"/>
        <w:jc w:val="both"/>
        <w:rPr>
          <w:rFonts w:ascii="Arial" w:hAnsi="Arial" w:eastAsia="Calibri" w:cs="Arial"/>
        </w:rPr>
      </w:pPr>
    </w:p>
    <w:p w:rsidRPr="00BF57FF" w:rsidR="009C5AD6" w:rsidP="00A70BBB" w:rsidRDefault="009C5AD6" w14:paraId="4ADAE8C3" w14:textId="6FC0DDB2">
      <w:pPr>
        <w:spacing w:after="0" w:line="360" w:lineRule="auto"/>
        <w:ind w:left="2"/>
        <w:jc w:val="both"/>
        <w:rPr>
          <w:rFonts w:ascii="Arial" w:hAnsi="Arial" w:eastAsia="Calibri" w:cs="Arial"/>
        </w:rPr>
      </w:pPr>
    </w:p>
    <w:p w:rsidRPr="00BF57FF" w:rsidR="009C5AD6" w:rsidP="00A70BBB" w:rsidRDefault="009C5AD6" w14:paraId="4B2067CA" w14:textId="77777777">
      <w:pPr>
        <w:spacing w:after="0" w:line="360" w:lineRule="auto"/>
        <w:ind w:left="2"/>
        <w:jc w:val="both"/>
        <w:rPr>
          <w:rFonts w:ascii="Arial" w:hAnsi="Arial" w:eastAsia="Calibri" w:cs="Arial"/>
        </w:rPr>
      </w:pPr>
    </w:p>
    <w:p w:rsidRPr="00BF57FF" w:rsidR="009C5AD6" w:rsidP="00A70BBB" w:rsidRDefault="009C5AD6" w14:paraId="1FC5B817" w14:textId="77777777">
      <w:pPr>
        <w:spacing w:after="0" w:line="360" w:lineRule="auto"/>
        <w:ind w:left="2"/>
        <w:jc w:val="both"/>
        <w:rPr>
          <w:rFonts w:ascii="Arial" w:hAnsi="Arial" w:eastAsia="Calibri" w:cs="Arial"/>
        </w:rPr>
        <w:sectPr w:rsidRPr="00BF57FF" w:rsidR="009C5AD6" w:rsidSect="009C5AD6">
          <w:pgSz w:w="11906" w:h="16838" w:orient="portrait"/>
          <w:pgMar w:top="1440" w:right="1440" w:bottom="1440" w:left="1440" w:header="708" w:footer="708" w:gutter="0"/>
          <w:cols w:space="720"/>
          <w:docGrid w:linePitch="360"/>
        </w:sectPr>
      </w:pPr>
    </w:p>
    <w:p w:rsidRPr="00BF57FF" w:rsidR="009C5AD6" w:rsidP="00A70BBB" w:rsidRDefault="009C5AD6" w14:paraId="7F341AAD" w14:textId="77777777">
      <w:pPr>
        <w:pStyle w:val="Heading1"/>
        <w:spacing w:line="360" w:lineRule="auto"/>
        <w:jc w:val="both"/>
        <w:rPr>
          <w:rFonts w:ascii="Arial" w:hAnsi="Arial" w:eastAsia="Calibri" w:cs="Arial"/>
          <w:sz w:val="22"/>
        </w:rPr>
      </w:pPr>
      <w:bookmarkStart w:name="_Toc231298608" w:id="126"/>
      <w:r w:rsidRPr="00BF57FF">
        <w:rPr>
          <w:rFonts w:ascii="Arial" w:hAnsi="Arial" w:eastAsia="Calibri" w:cs="Arial"/>
          <w:bCs/>
          <w:sz w:val="22"/>
        </w:rPr>
        <w:t>Appendix C</w:t>
      </w:r>
      <w:bookmarkEnd w:id="126"/>
    </w:p>
    <w:p w:rsidRPr="00BF57FF" w:rsidR="009C5AD6" w:rsidP="00A70BBB" w:rsidRDefault="009C5AD6" w14:paraId="0CF05444" w14:textId="77777777">
      <w:pPr>
        <w:spacing w:after="0" w:line="360" w:lineRule="auto"/>
        <w:ind w:left="2"/>
        <w:jc w:val="both"/>
        <w:rPr>
          <w:rFonts w:ascii="Arial" w:hAnsi="Arial" w:eastAsia="Calibri" w:cs="Arial"/>
        </w:rPr>
      </w:pPr>
      <w:r w:rsidRPr="00BF57FF">
        <w:rPr>
          <w:rFonts w:ascii="Arial" w:hAnsi="Arial" w:eastAsia="Calibri" w:cs="Arial"/>
          <w:b/>
          <w:bCs/>
        </w:rPr>
        <w:t>Data Extraction Tables — All 12 Included Studies</w:t>
      </w:r>
    </w:p>
    <w:p w:rsidRPr="00BF57FF" w:rsidR="009C5AD6" w:rsidP="00A70BBB" w:rsidRDefault="009C5AD6" w14:paraId="7ADD5A17" w14:textId="021F0559">
      <w:pPr>
        <w:spacing w:after="0" w:line="360" w:lineRule="auto"/>
        <w:ind w:left="2"/>
        <w:jc w:val="both"/>
        <w:rPr>
          <w:rFonts w:ascii="Arial" w:hAnsi="Arial" w:eastAsia="Calibri" w:cs="Arial"/>
        </w:rPr>
      </w:pPr>
      <w:r w:rsidRPr="00BF57FF">
        <w:rPr>
          <w:rFonts w:ascii="Arial" w:hAnsi="Arial" w:eastAsia="Calibri" w:cs="Arial"/>
          <w:i/>
          <w:iCs/>
        </w:rPr>
        <w:t>Standardised data extraction was performed by the reviewer using a structured template adapted from the Cochrane Handbook (Higgins et al., 2019). The following tables present extracted data for each of the 12 included studies in the order they appear in the systematic review. Quality ratings correspond to Table 4.2.</w:t>
      </w:r>
    </w:p>
    <w:p w:rsidRPr="00BF57FF" w:rsidR="009C5AD6" w:rsidP="00A70BBB" w:rsidRDefault="009C5AD6" w14:paraId="18D616B3" w14:textId="225F3A37">
      <w:pPr>
        <w:spacing w:after="0" w:line="360" w:lineRule="auto"/>
        <w:ind w:left="2"/>
        <w:jc w:val="both"/>
        <w:rPr>
          <w:rFonts w:ascii="Arial" w:hAnsi="Arial" w:eastAsia="Calibri" w:cs="Arial"/>
        </w:rPr>
      </w:pPr>
      <w:r w:rsidRPr="00BF57FF">
        <w:rPr>
          <w:rFonts w:ascii="Arial" w:hAnsi="Arial" w:eastAsia="Calibri" w:cs="Arial"/>
          <w:b/>
          <w:bCs/>
        </w:rPr>
        <w:t>C.1  Study 1 — Debnath et al. (202</w:t>
      </w:r>
      <w:r w:rsidRPr="00BF57FF" w:rsidR="00D63224">
        <w:rPr>
          <w:rFonts w:ascii="Arial" w:hAnsi="Arial" w:eastAsia="Calibri" w:cs="Arial"/>
          <w:b/>
          <w:bCs/>
        </w:rPr>
        <w:t>5</w:t>
      </w:r>
      <w:r w:rsidRPr="00BF57FF">
        <w:rPr>
          <w:rFonts w:ascii="Arial" w:hAnsi="Arial" w:eastAsia="Calibri" w:cs="Arial"/>
          <w:b/>
          <w:bCs/>
        </w:rPr>
        <w:t>)</w:t>
      </w:r>
    </w:p>
    <w:p w:rsidRPr="00BF57FF" w:rsidR="009C5AD6" w:rsidP="00A70BBB" w:rsidRDefault="009C5AD6" w14:paraId="68318BB2" w14:textId="77777777">
      <w:pPr>
        <w:spacing w:after="0" w:line="360" w:lineRule="auto"/>
        <w:ind w:left="2"/>
        <w:jc w:val="both"/>
        <w:rPr>
          <w:rFonts w:ascii="Arial" w:hAnsi="Arial" w:eastAsia="Calibri" w:cs="Arial"/>
        </w:rPr>
      </w:pPr>
    </w:p>
    <w:tbl>
      <w:tblPr>
        <w:tblW w:w="902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2500"/>
        <w:gridCol w:w="6526"/>
      </w:tblGrid>
      <w:tr w:rsidRPr="00BF57FF" w:rsidR="009C5AD6" w:rsidTr="00F43AFD" w14:paraId="0D9AAD97"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4FC90E1F" w14:textId="77777777">
            <w:pPr>
              <w:spacing w:after="0" w:line="360" w:lineRule="auto"/>
              <w:ind w:left="2"/>
              <w:jc w:val="both"/>
              <w:rPr>
                <w:rFonts w:ascii="Arial" w:hAnsi="Arial" w:eastAsia="Calibri" w:cs="Arial"/>
              </w:rPr>
            </w:pPr>
            <w:r w:rsidRPr="00BF57FF">
              <w:rPr>
                <w:rFonts w:ascii="Arial" w:hAnsi="Arial" w:eastAsia="Calibri" w:cs="Arial"/>
                <w:b/>
                <w:bCs/>
              </w:rPr>
              <w:t>Study Identifier</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6F2F88A9" w14:textId="77777777">
            <w:pPr>
              <w:spacing w:after="0" w:line="360" w:lineRule="auto"/>
              <w:ind w:left="2"/>
              <w:jc w:val="both"/>
              <w:rPr>
                <w:rFonts w:ascii="Arial" w:hAnsi="Arial" w:eastAsia="Calibri" w:cs="Arial"/>
              </w:rPr>
            </w:pPr>
            <w:r w:rsidRPr="00BF57FF">
              <w:rPr>
                <w:rFonts w:ascii="Arial" w:hAnsi="Arial" w:eastAsia="Calibri" w:cs="Arial"/>
              </w:rPr>
              <w:t>Study 1</w:t>
            </w:r>
          </w:p>
        </w:tc>
      </w:tr>
      <w:tr w:rsidRPr="00BF57FF" w:rsidR="009C5AD6" w:rsidTr="00F43AFD" w14:paraId="5F1ED7AC"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02022671" w14:textId="77777777">
            <w:pPr>
              <w:spacing w:after="0" w:line="360" w:lineRule="auto"/>
              <w:ind w:left="2"/>
              <w:jc w:val="both"/>
              <w:rPr>
                <w:rFonts w:ascii="Arial" w:hAnsi="Arial" w:eastAsia="Calibri" w:cs="Arial"/>
              </w:rPr>
            </w:pPr>
            <w:r w:rsidRPr="00BF57FF">
              <w:rPr>
                <w:rFonts w:ascii="Arial" w:hAnsi="Arial" w:eastAsia="Calibri" w:cs="Arial"/>
                <w:b/>
                <w:bCs/>
              </w:rPr>
              <w:t>Full Citation</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27897373" w14:textId="1F4D1ED0">
            <w:pPr>
              <w:spacing w:after="0" w:line="360" w:lineRule="auto"/>
              <w:ind w:left="2"/>
              <w:jc w:val="both"/>
              <w:rPr>
                <w:rFonts w:ascii="Arial" w:hAnsi="Arial" w:eastAsia="Calibri" w:cs="Arial"/>
              </w:rPr>
            </w:pPr>
            <w:r w:rsidRPr="00BF57FF">
              <w:rPr>
                <w:rFonts w:ascii="Arial" w:hAnsi="Arial" w:eastAsia="Calibri" w:cs="Arial"/>
              </w:rPr>
              <w:t xml:space="preserve">Debnath, A., Toppo, V.G., Panwar, N., Deori, T.J., Khongsit, A. and Kishore, J., 2025. Compliance of post-exposure prophylaxis (PEP) following animal bite in </w:t>
            </w:r>
            <w:r w:rsidRPr="00BF57FF" w:rsidR="00276AE7">
              <w:rPr>
                <w:rFonts w:ascii="Arial" w:hAnsi="Arial" w:eastAsia="Calibri" w:cs="Arial"/>
              </w:rPr>
              <w:t xml:space="preserve">the </w:t>
            </w:r>
            <w:r w:rsidRPr="00BF57FF">
              <w:rPr>
                <w:rFonts w:ascii="Arial" w:hAnsi="Arial" w:eastAsia="Calibri" w:cs="Arial"/>
              </w:rPr>
              <w:t>Indian population: A systematic review and meta-analysis. Journal of Family Medicine and Primary Care, 14(8), pp.3121–3131. doi:10.4103/jfmpc.jfmpc_1957_24</w:t>
            </w:r>
          </w:p>
        </w:tc>
      </w:tr>
      <w:tr w:rsidRPr="00BF57FF" w:rsidR="009C5AD6" w:rsidTr="00F43AFD" w14:paraId="712149BC"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3D44CA9C" w14:textId="77777777">
            <w:pPr>
              <w:spacing w:after="0" w:line="360" w:lineRule="auto"/>
              <w:ind w:left="2"/>
              <w:jc w:val="both"/>
              <w:rPr>
                <w:rFonts w:ascii="Arial" w:hAnsi="Arial" w:eastAsia="Calibri" w:cs="Arial"/>
              </w:rPr>
            </w:pPr>
            <w:r w:rsidRPr="00BF57FF">
              <w:rPr>
                <w:rFonts w:ascii="Arial" w:hAnsi="Arial" w:eastAsia="Calibri" w:cs="Arial"/>
                <w:b/>
                <w:bCs/>
              </w:rPr>
              <w:t>Study Design</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131D9672" w14:textId="77777777">
            <w:pPr>
              <w:spacing w:after="0" w:line="360" w:lineRule="auto"/>
              <w:ind w:left="2"/>
              <w:jc w:val="both"/>
              <w:rPr>
                <w:rFonts w:ascii="Arial" w:hAnsi="Arial" w:eastAsia="Calibri" w:cs="Arial"/>
              </w:rPr>
            </w:pPr>
            <w:r w:rsidRPr="00BF57FF">
              <w:rPr>
                <w:rFonts w:ascii="Arial" w:hAnsi="Arial" w:eastAsia="Calibri" w:cs="Arial"/>
              </w:rPr>
              <w:t>Systematic review and meta-analysis</w:t>
            </w:r>
          </w:p>
        </w:tc>
      </w:tr>
      <w:tr w:rsidRPr="00BF57FF" w:rsidR="009C5AD6" w:rsidTr="00F43AFD" w14:paraId="2675A5C3"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2516A596" w14:textId="77777777">
            <w:pPr>
              <w:spacing w:after="0" w:line="360" w:lineRule="auto"/>
              <w:ind w:left="2"/>
              <w:jc w:val="both"/>
              <w:rPr>
                <w:rFonts w:ascii="Arial" w:hAnsi="Arial" w:eastAsia="Calibri" w:cs="Arial"/>
              </w:rPr>
            </w:pPr>
            <w:r w:rsidRPr="00BF57FF">
              <w:rPr>
                <w:rFonts w:ascii="Arial" w:hAnsi="Arial" w:eastAsia="Calibri" w:cs="Arial"/>
                <w:b/>
                <w:bCs/>
              </w:rPr>
              <w:t>Setting &amp; Population</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70DB41BB" w14:textId="77777777">
            <w:pPr>
              <w:spacing w:after="0" w:line="360" w:lineRule="auto"/>
              <w:ind w:left="2"/>
              <w:jc w:val="both"/>
              <w:rPr>
                <w:rFonts w:ascii="Arial" w:hAnsi="Arial" w:eastAsia="Calibri" w:cs="Arial"/>
              </w:rPr>
            </w:pPr>
            <w:r w:rsidRPr="00BF57FF">
              <w:rPr>
                <w:rFonts w:ascii="Arial" w:hAnsi="Arial" w:eastAsia="Calibri" w:cs="Arial"/>
              </w:rPr>
              <w:t>India (national, multi-state; 14 primary studies)</w:t>
            </w:r>
          </w:p>
        </w:tc>
      </w:tr>
      <w:tr w:rsidRPr="00BF57FF" w:rsidR="009C5AD6" w:rsidTr="00F43AFD" w14:paraId="67C18E29"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0A64E304" w14:textId="77777777">
            <w:pPr>
              <w:spacing w:after="0" w:line="360" w:lineRule="auto"/>
              <w:ind w:left="2"/>
              <w:jc w:val="both"/>
              <w:rPr>
                <w:rFonts w:ascii="Arial" w:hAnsi="Arial" w:eastAsia="Calibri" w:cs="Arial"/>
              </w:rPr>
            </w:pPr>
            <w:r w:rsidRPr="00BF57FF">
              <w:rPr>
                <w:rFonts w:ascii="Arial" w:hAnsi="Arial" w:eastAsia="Calibri" w:cs="Arial"/>
                <w:b/>
                <w:bCs/>
              </w:rPr>
              <w:t>Sample / Data Source</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5B65B444" w14:textId="77777777">
            <w:pPr>
              <w:spacing w:after="0" w:line="360" w:lineRule="auto"/>
              <w:ind w:left="2"/>
              <w:jc w:val="both"/>
              <w:rPr>
                <w:rFonts w:ascii="Arial" w:hAnsi="Arial" w:eastAsia="Calibri" w:cs="Arial"/>
              </w:rPr>
            </w:pPr>
            <w:r w:rsidRPr="00BF57FF">
              <w:rPr>
                <w:rFonts w:ascii="Arial" w:hAnsi="Arial" w:eastAsia="Calibri" w:cs="Arial"/>
              </w:rPr>
              <w:t>3,847 participants across 14 included primary studies</w:t>
            </w:r>
          </w:p>
        </w:tc>
      </w:tr>
      <w:tr w:rsidRPr="00BF57FF" w:rsidR="009C5AD6" w:rsidTr="00F43AFD" w14:paraId="0BAE31E3"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0777A599" w14:textId="77777777">
            <w:pPr>
              <w:spacing w:after="0" w:line="360" w:lineRule="auto"/>
              <w:ind w:left="2"/>
              <w:jc w:val="both"/>
              <w:rPr>
                <w:rFonts w:ascii="Arial" w:hAnsi="Arial" w:eastAsia="Calibri" w:cs="Arial"/>
              </w:rPr>
            </w:pPr>
            <w:r w:rsidRPr="00BF57FF">
              <w:rPr>
                <w:rFonts w:ascii="Arial" w:hAnsi="Arial" w:eastAsia="Calibri" w:cs="Arial"/>
                <w:b/>
                <w:bCs/>
              </w:rPr>
              <w:t>Objectives</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141884E0" w14:textId="77777777">
            <w:pPr>
              <w:spacing w:after="0" w:line="360" w:lineRule="auto"/>
              <w:ind w:left="2"/>
              <w:jc w:val="both"/>
              <w:rPr>
                <w:rFonts w:ascii="Arial" w:hAnsi="Arial" w:eastAsia="Calibri" w:cs="Arial"/>
              </w:rPr>
            </w:pPr>
            <w:r w:rsidRPr="00BF57FF">
              <w:rPr>
                <w:rFonts w:ascii="Arial" w:hAnsi="Arial" w:eastAsia="Calibri" w:cs="Arial"/>
              </w:rPr>
              <w:t>To determine pooled PEP compliance following animal bites in the Indian population</w:t>
            </w:r>
          </w:p>
        </w:tc>
      </w:tr>
      <w:tr w:rsidRPr="00BF57FF" w:rsidR="009C5AD6" w:rsidTr="00F43AFD" w14:paraId="0DF38501"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34BC80E5" w14:textId="77777777">
            <w:pPr>
              <w:spacing w:after="0" w:line="360" w:lineRule="auto"/>
              <w:ind w:left="2"/>
              <w:jc w:val="both"/>
              <w:rPr>
                <w:rFonts w:ascii="Arial" w:hAnsi="Arial" w:eastAsia="Calibri" w:cs="Arial"/>
              </w:rPr>
            </w:pPr>
            <w:r w:rsidRPr="00BF57FF">
              <w:rPr>
                <w:rFonts w:ascii="Arial" w:hAnsi="Arial" w:eastAsia="Calibri" w:cs="Arial"/>
                <w:b/>
                <w:bCs/>
              </w:rPr>
              <w:t>Outcome Measures</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3EA9AA35" w14:textId="62156984">
            <w:pPr>
              <w:spacing w:after="0" w:line="360" w:lineRule="auto"/>
              <w:ind w:left="2"/>
              <w:jc w:val="both"/>
              <w:rPr>
                <w:rFonts w:ascii="Arial" w:hAnsi="Arial" w:eastAsia="Calibri" w:cs="Arial"/>
              </w:rPr>
            </w:pPr>
            <w:r w:rsidRPr="00BF57FF">
              <w:rPr>
                <w:rFonts w:ascii="Arial" w:hAnsi="Arial" w:eastAsia="Calibri" w:cs="Arial"/>
              </w:rPr>
              <w:t>PEP completion rate</w:t>
            </w:r>
            <w:r w:rsidRPr="00BF57FF" w:rsidR="00276AE7">
              <w:rPr>
                <w:rFonts w:ascii="Arial" w:hAnsi="Arial" w:eastAsia="Calibri" w:cs="Arial"/>
              </w:rPr>
              <w:t>:</w:t>
            </w:r>
            <w:r w:rsidRPr="00BF57FF">
              <w:rPr>
                <w:rFonts w:ascii="Arial" w:hAnsi="Arial" w:eastAsia="Calibri" w:cs="Arial"/>
              </w:rPr>
              <w:t xml:space="preserve"> predictors of non-compliance</w:t>
            </w:r>
          </w:p>
        </w:tc>
      </w:tr>
      <w:tr w:rsidRPr="00BF57FF" w:rsidR="009C5AD6" w:rsidTr="00F43AFD" w14:paraId="68BFE72B"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5242315B" w14:textId="77777777">
            <w:pPr>
              <w:spacing w:after="0" w:line="360" w:lineRule="auto"/>
              <w:ind w:left="2"/>
              <w:jc w:val="both"/>
              <w:rPr>
                <w:rFonts w:ascii="Arial" w:hAnsi="Arial" w:eastAsia="Calibri" w:cs="Arial"/>
              </w:rPr>
            </w:pPr>
            <w:r w:rsidRPr="00BF57FF">
              <w:rPr>
                <w:rFonts w:ascii="Arial" w:hAnsi="Arial" w:eastAsia="Calibri" w:cs="Arial"/>
                <w:b/>
                <w:bCs/>
              </w:rPr>
              <w:t>Key Findings</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506C6086" w14:textId="427E236A">
            <w:pPr>
              <w:spacing w:after="0" w:line="360" w:lineRule="auto"/>
              <w:ind w:left="2"/>
              <w:jc w:val="both"/>
              <w:rPr>
                <w:rFonts w:ascii="Arial" w:hAnsi="Arial" w:eastAsia="Calibri" w:cs="Arial"/>
              </w:rPr>
            </w:pPr>
            <w:r w:rsidRPr="00BF57FF">
              <w:rPr>
                <w:rFonts w:ascii="Arial" w:hAnsi="Arial" w:eastAsia="Calibri" w:cs="Arial"/>
              </w:rPr>
              <w:t xml:space="preserve">Pooled PEP completion 57% (95% CI). Non-completion </w:t>
            </w:r>
            <w:r w:rsidRPr="00BF57FF" w:rsidR="00276AE7">
              <w:rPr>
                <w:rFonts w:ascii="Arial" w:hAnsi="Arial" w:eastAsia="Calibri" w:cs="Arial"/>
              </w:rPr>
              <w:t xml:space="preserve">is </w:t>
            </w:r>
            <w:r w:rsidRPr="00BF57FF">
              <w:rPr>
                <w:rFonts w:ascii="Arial" w:hAnsi="Arial" w:eastAsia="Calibri" w:cs="Arial"/>
              </w:rPr>
              <w:t>associated with rural residence, cost, and low awareness.</w:t>
            </w:r>
          </w:p>
        </w:tc>
      </w:tr>
      <w:tr w:rsidRPr="00BF57FF" w:rsidR="009C5AD6" w:rsidTr="00F43AFD" w14:paraId="6BF63EE8"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25144B71" w14:textId="77777777">
            <w:pPr>
              <w:spacing w:after="0" w:line="360" w:lineRule="auto"/>
              <w:ind w:left="2"/>
              <w:jc w:val="both"/>
              <w:rPr>
                <w:rFonts w:ascii="Arial" w:hAnsi="Arial" w:eastAsia="Calibri" w:cs="Arial"/>
              </w:rPr>
            </w:pPr>
            <w:r w:rsidRPr="00BF57FF">
              <w:rPr>
                <w:rFonts w:ascii="Arial" w:hAnsi="Arial" w:eastAsia="Calibri" w:cs="Arial"/>
                <w:b/>
                <w:bCs/>
              </w:rPr>
              <w:t>Quality Rating</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169EFA55" w14:textId="77777777">
            <w:pPr>
              <w:spacing w:after="0" w:line="360" w:lineRule="auto"/>
              <w:ind w:left="2"/>
              <w:jc w:val="both"/>
              <w:rPr>
                <w:rFonts w:ascii="Arial" w:hAnsi="Arial" w:eastAsia="Calibri" w:cs="Arial"/>
              </w:rPr>
            </w:pPr>
            <w:r w:rsidRPr="00BF57FF">
              <w:rPr>
                <w:rFonts w:ascii="Arial" w:hAnsi="Arial" w:eastAsia="Calibri" w:cs="Arial"/>
              </w:rPr>
              <w:t>High (CASP Systematic Review)</w:t>
            </w:r>
          </w:p>
        </w:tc>
      </w:tr>
      <w:tr w:rsidRPr="00BF57FF" w:rsidR="009C5AD6" w:rsidTr="00F43AFD" w14:paraId="331E360D"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60D834AE" w14:textId="77777777">
            <w:pPr>
              <w:spacing w:after="0" w:line="360" w:lineRule="auto"/>
              <w:ind w:left="2"/>
              <w:jc w:val="both"/>
              <w:rPr>
                <w:rFonts w:ascii="Arial" w:hAnsi="Arial" w:eastAsia="Calibri" w:cs="Arial"/>
              </w:rPr>
            </w:pPr>
            <w:r w:rsidRPr="00BF57FF">
              <w:rPr>
                <w:rFonts w:ascii="Arial" w:hAnsi="Arial" w:eastAsia="Calibri" w:cs="Arial"/>
                <w:b/>
                <w:bCs/>
              </w:rPr>
              <w:t>Review Theme(s)</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6169CE5A" w14:textId="77777777">
            <w:pPr>
              <w:spacing w:after="0" w:line="360" w:lineRule="auto"/>
              <w:ind w:left="2"/>
              <w:jc w:val="both"/>
              <w:rPr>
                <w:rFonts w:ascii="Arial" w:hAnsi="Arial" w:eastAsia="Calibri" w:cs="Arial"/>
              </w:rPr>
            </w:pPr>
            <w:r w:rsidRPr="00BF57FF">
              <w:rPr>
                <w:rFonts w:ascii="Arial" w:hAnsi="Arial" w:eastAsia="Calibri" w:cs="Arial"/>
              </w:rPr>
              <w:t>Theme 3 — Health System Failures and PEP Inaccessibility</w:t>
            </w:r>
          </w:p>
        </w:tc>
      </w:tr>
    </w:tbl>
    <w:p w:rsidRPr="00BF57FF" w:rsidR="009C5AD6" w:rsidP="00A70BBB" w:rsidRDefault="009C5AD6" w14:paraId="290C6505" w14:textId="77777777">
      <w:pPr>
        <w:spacing w:after="0" w:line="360" w:lineRule="auto"/>
        <w:ind w:left="2"/>
        <w:jc w:val="both"/>
        <w:rPr>
          <w:rFonts w:ascii="Arial" w:hAnsi="Arial" w:eastAsia="Calibri" w:cs="Arial"/>
        </w:rPr>
      </w:pPr>
    </w:p>
    <w:p w:rsidRPr="00BF57FF" w:rsidR="009C5AD6" w:rsidP="00A70BBB" w:rsidRDefault="009C5AD6" w14:paraId="5B8C318E" w14:textId="2101CF8E">
      <w:pPr>
        <w:spacing w:after="0" w:line="360" w:lineRule="auto"/>
        <w:ind w:left="2"/>
        <w:jc w:val="both"/>
        <w:rPr>
          <w:rFonts w:ascii="Arial" w:hAnsi="Arial" w:eastAsia="Calibri" w:cs="Arial"/>
        </w:rPr>
      </w:pPr>
      <w:r w:rsidRPr="00BF57FF">
        <w:rPr>
          <w:rFonts w:ascii="Arial" w:hAnsi="Arial" w:eastAsia="Calibri" w:cs="Arial"/>
          <w:b/>
          <w:bCs/>
        </w:rPr>
        <w:t>C.2  Study 2 — Gibson et al. (202</w:t>
      </w:r>
      <w:r w:rsidRPr="00BF57FF" w:rsidR="00D63224">
        <w:rPr>
          <w:rFonts w:ascii="Arial" w:hAnsi="Arial" w:eastAsia="Calibri" w:cs="Arial"/>
          <w:b/>
          <w:bCs/>
        </w:rPr>
        <w:t>2</w:t>
      </w:r>
      <w:r w:rsidRPr="00BF57FF">
        <w:rPr>
          <w:rFonts w:ascii="Arial" w:hAnsi="Arial" w:eastAsia="Calibri" w:cs="Arial"/>
          <w:b/>
          <w:bCs/>
        </w:rPr>
        <w:t>)</w:t>
      </w:r>
    </w:p>
    <w:p w:rsidRPr="00BF57FF" w:rsidR="009C5AD6" w:rsidP="00A70BBB" w:rsidRDefault="009C5AD6" w14:paraId="2C55EC07" w14:textId="77777777">
      <w:pPr>
        <w:spacing w:after="0" w:line="360" w:lineRule="auto"/>
        <w:ind w:left="2"/>
        <w:jc w:val="both"/>
        <w:rPr>
          <w:rFonts w:ascii="Arial" w:hAnsi="Arial" w:eastAsia="Calibri" w:cs="Arial"/>
        </w:rPr>
      </w:pPr>
    </w:p>
    <w:tbl>
      <w:tblPr>
        <w:tblW w:w="902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2500"/>
        <w:gridCol w:w="6526"/>
      </w:tblGrid>
      <w:tr w:rsidRPr="00BF57FF" w:rsidR="009C5AD6" w:rsidTr="00F43AFD" w14:paraId="0C6D0552"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774CA168" w14:textId="77777777">
            <w:pPr>
              <w:spacing w:after="0" w:line="360" w:lineRule="auto"/>
              <w:ind w:left="2"/>
              <w:jc w:val="both"/>
              <w:rPr>
                <w:rFonts w:ascii="Arial" w:hAnsi="Arial" w:eastAsia="Calibri" w:cs="Arial"/>
              </w:rPr>
            </w:pPr>
            <w:r w:rsidRPr="00BF57FF">
              <w:rPr>
                <w:rFonts w:ascii="Arial" w:hAnsi="Arial" w:eastAsia="Calibri" w:cs="Arial"/>
                <w:b/>
                <w:bCs/>
              </w:rPr>
              <w:t>Study Identifier</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51D8FCF4" w14:textId="77777777">
            <w:pPr>
              <w:spacing w:after="0" w:line="360" w:lineRule="auto"/>
              <w:ind w:left="2"/>
              <w:jc w:val="both"/>
              <w:rPr>
                <w:rFonts w:ascii="Arial" w:hAnsi="Arial" w:eastAsia="Calibri" w:cs="Arial"/>
              </w:rPr>
            </w:pPr>
            <w:r w:rsidRPr="00BF57FF">
              <w:rPr>
                <w:rFonts w:ascii="Arial" w:hAnsi="Arial" w:eastAsia="Calibri" w:cs="Arial"/>
              </w:rPr>
              <w:t>Study 2</w:t>
            </w:r>
          </w:p>
        </w:tc>
      </w:tr>
      <w:tr w:rsidRPr="00BF57FF" w:rsidR="009C5AD6" w:rsidTr="00F43AFD" w14:paraId="2D452C27"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4D71C4C0" w14:textId="77777777">
            <w:pPr>
              <w:spacing w:after="0" w:line="360" w:lineRule="auto"/>
              <w:ind w:left="2"/>
              <w:jc w:val="both"/>
              <w:rPr>
                <w:rFonts w:ascii="Arial" w:hAnsi="Arial" w:eastAsia="Calibri" w:cs="Arial"/>
              </w:rPr>
            </w:pPr>
            <w:r w:rsidRPr="00BF57FF">
              <w:rPr>
                <w:rFonts w:ascii="Arial" w:hAnsi="Arial" w:eastAsia="Calibri" w:cs="Arial"/>
                <w:b/>
                <w:bCs/>
              </w:rPr>
              <w:t>Full Citation</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2095C8CD" w14:textId="77777777">
            <w:pPr>
              <w:spacing w:after="0" w:line="360" w:lineRule="auto"/>
              <w:ind w:left="2"/>
              <w:jc w:val="both"/>
              <w:rPr>
                <w:rFonts w:ascii="Arial" w:hAnsi="Arial" w:eastAsia="Calibri" w:cs="Arial"/>
              </w:rPr>
            </w:pPr>
            <w:r w:rsidRPr="00BF57FF">
              <w:rPr>
                <w:rFonts w:ascii="Arial" w:hAnsi="Arial" w:eastAsia="Calibri" w:cs="Arial"/>
              </w:rPr>
              <w:t>Gibson, A.D., Yale, G., Corfmat, J., et al., 2022. Elimination of human rabies in Goa, India through an integrated One Health approach. Nature Communications, 13(1), p.2788. doi:10.1038/s41467-022-30371-y</w:t>
            </w:r>
          </w:p>
        </w:tc>
      </w:tr>
      <w:tr w:rsidRPr="00BF57FF" w:rsidR="009C5AD6" w:rsidTr="00F43AFD" w14:paraId="2EAEA8D7"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51BB992D" w14:textId="77777777">
            <w:pPr>
              <w:spacing w:after="0" w:line="360" w:lineRule="auto"/>
              <w:ind w:left="2"/>
              <w:jc w:val="both"/>
              <w:rPr>
                <w:rFonts w:ascii="Arial" w:hAnsi="Arial" w:eastAsia="Calibri" w:cs="Arial"/>
              </w:rPr>
            </w:pPr>
            <w:r w:rsidRPr="00BF57FF">
              <w:rPr>
                <w:rFonts w:ascii="Arial" w:hAnsi="Arial" w:eastAsia="Calibri" w:cs="Arial"/>
                <w:b/>
                <w:bCs/>
              </w:rPr>
              <w:t>Study Design</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24F0385A" w14:textId="77777777">
            <w:pPr>
              <w:spacing w:after="0" w:line="360" w:lineRule="auto"/>
              <w:ind w:left="2"/>
              <w:jc w:val="both"/>
              <w:rPr>
                <w:rFonts w:ascii="Arial" w:hAnsi="Arial" w:eastAsia="Calibri" w:cs="Arial"/>
              </w:rPr>
            </w:pPr>
            <w:r w:rsidRPr="00BF57FF">
              <w:rPr>
                <w:rFonts w:ascii="Arial" w:hAnsi="Arial" w:eastAsia="Calibri" w:cs="Arial"/>
              </w:rPr>
              <w:t>Longitudinal intervention evaluation (One Health programme)</w:t>
            </w:r>
          </w:p>
        </w:tc>
      </w:tr>
      <w:tr w:rsidRPr="00BF57FF" w:rsidR="009C5AD6" w:rsidTr="00F43AFD" w14:paraId="0434DCF2"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7D901944" w14:textId="77777777">
            <w:pPr>
              <w:spacing w:after="0" w:line="360" w:lineRule="auto"/>
              <w:ind w:left="2"/>
              <w:jc w:val="both"/>
              <w:rPr>
                <w:rFonts w:ascii="Arial" w:hAnsi="Arial" w:eastAsia="Calibri" w:cs="Arial"/>
              </w:rPr>
            </w:pPr>
            <w:r w:rsidRPr="00BF57FF">
              <w:rPr>
                <w:rFonts w:ascii="Arial" w:hAnsi="Arial" w:eastAsia="Calibri" w:cs="Arial"/>
                <w:b/>
                <w:bCs/>
              </w:rPr>
              <w:t>Setting &amp; Population</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1C264BC1" w14:textId="77777777">
            <w:pPr>
              <w:spacing w:after="0" w:line="360" w:lineRule="auto"/>
              <w:ind w:left="2"/>
              <w:jc w:val="both"/>
              <w:rPr>
                <w:rFonts w:ascii="Arial" w:hAnsi="Arial" w:eastAsia="Calibri" w:cs="Arial"/>
              </w:rPr>
            </w:pPr>
            <w:r w:rsidRPr="00BF57FF">
              <w:rPr>
                <w:rFonts w:ascii="Arial" w:hAnsi="Arial" w:eastAsia="Calibri" w:cs="Arial"/>
              </w:rPr>
              <w:t>Goa, India (state-wide programme, 2009–2020)</w:t>
            </w:r>
          </w:p>
        </w:tc>
      </w:tr>
      <w:tr w:rsidRPr="00BF57FF" w:rsidR="009C5AD6" w:rsidTr="00F43AFD" w14:paraId="7B01A829"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7B0CDB5F" w14:textId="77777777">
            <w:pPr>
              <w:spacing w:after="0" w:line="360" w:lineRule="auto"/>
              <w:ind w:left="2"/>
              <w:jc w:val="both"/>
              <w:rPr>
                <w:rFonts w:ascii="Arial" w:hAnsi="Arial" w:eastAsia="Calibri" w:cs="Arial"/>
              </w:rPr>
            </w:pPr>
            <w:r w:rsidRPr="00BF57FF">
              <w:rPr>
                <w:rFonts w:ascii="Arial" w:hAnsi="Arial" w:eastAsia="Calibri" w:cs="Arial"/>
                <w:b/>
                <w:bCs/>
              </w:rPr>
              <w:t>Sample / Data Source</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3748B2D7" w14:textId="77777777">
            <w:pPr>
              <w:spacing w:after="0" w:line="360" w:lineRule="auto"/>
              <w:ind w:left="2"/>
              <w:jc w:val="both"/>
              <w:rPr>
                <w:rFonts w:ascii="Arial" w:hAnsi="Arial" w:eastAsia="Calibri" w:cs="Arial"/>
              </w:rPr>
            </w:pPr>
            <w:r w:rsidRPr="00BF57FF">
              <w:rPr>
                <w:rFonts w:ascii="Arial" w:hAnsi="Arial" w:eastAsia="Calibri" w:cs="Arial"/>
              </w:rPr>
              <w:t>State-level human and canine rabies surveillance records across 11 years</w:t>
            </w:r>
          </w:p>
        </w:tc>
      </w:tr>
      <w:tr w:rsidRPr="00BF57FF" w:rsidR="009C5AD6" w:rsidTr="00F43AFD" w14:paraId="71D40189"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099D26BB" w14:textId="77777777">
            <w:pPr>
              <w:spacing w:after="0" w:line="360" w:lineRule="auto"/>
              <w:ind w:left="2"/>
              <w:jc w:val="both"/>
              <w:rPr>
                <w:rFonts w:ascii="Arial" w:hAnsi="Arial" w:eastAsia="Calibri" w:cs="Arial"/>
              </w:rPr>
            </w:pPr>
            <w:r w:rsidRPr="00BF57FF">
              <w:rPr>
                <w:rFonts w:ascii="Arial" w:hAnsi="Arial" w:eastAsia="Calibri" w:cs="Arial"/>
                <w:b/>
                <w:bCs/>
              </w:rPr>
              <w:t>Objectives</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6CE394E5" w14:textId="73A1A9C3">
            <w:pPr>
              <w:spacing w:after="0" w:line="360" w:lineRule="auto"/>
              <w:ind w:left="2"/>
              <w:jc w:val="both"/>
              <w:rPr>
                <w:rFonts w:ascii="Arial" w:hAnsi="Arial" w:eastAsia="Calibri" w:cs="Arial"/>
              </w:rPr>
            </w:pPr>
            <w:r w:rsidRPr="00BF57FF">
              <w:rPr>
                <w:rFonts w:ascii="Arial" w:hAnsi="Arial" w:eastAsia="Calibri" w:cs="Arial"/>
              </w:rPr>
              <w:t xml:space="preserve">To evaluate whether </w:t>
            </w:r>
            <w:r w:rsidRPr="00BF57FF" w:rsidR="00276AE7">
              <w:rPr>
                <w:rFonts w:ascii="Arial" w:hAnsi="Arial" w:eastAsia="Calibri" w:cs="Arial"/>
              </w:rPr>
              <w:t xml:space="preserve">the </w:t>
            </w:r>
            <w:r w:rsidRPr="00BF57FF">
              <w:rPr>
                <w:rFonts w:ascii="Arial" w:hAnsi="Arial" w:eastAsia="Calibri" w:cs="Arial"/>
              </w:rPr>
              <w:t>integrated One Health intervention eliminates human rabies in an Indian state</w:t>
            </w:r>
            <w:r w:rsidRPr="00BF57FF" w:rsidR="00276AE7">
              <w:rPr>
                <w:rFonts w:ascii="Arial" w:hAnsi="Arial" w:eastAsia="Calibri" w:cs="Arial"/>
              </w:rPr>
              <w:t>.</w:t>
            </w:r>
          </w:p>
        </w:tc>
      </w:tr>
      <w:tr w:rsidRPr="00BF57FF" w:rsidR="009C5AD6" w:rsidTr="00F43AFD" w14:paraId="10D83C92"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6D4BD7C8" w14:textId="77777777">
            <w:pPr>
              <w:spacing w:after="0" w:line="360" w:lineRule="auto"/>
              <w:ind w:left="2"/>
              <w:jc w:val="both"/>
              <w:rPr>
                <w:rFonts w:ascii="Arial" w:hAnsi="Arial" w:eastAsia="Calibri" w:cs="Arial"/>
              </w:rPr>
            </w:pPr>
            <w:r w:rsidRPr="00BF57FF">
              <w:rPr>
                <w:rFonts w:ascii="Arial" w:hAnsi="Arial" w:eastAsia="Calibri" w:cs="Arial"/>
                <w:b/>
                <w:bCs/>
              </w:rPr>
              <w:t>Outcome Measures</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11A20CF8" w14:textId="77777777">
            <w:pPr>
              <w:spacing w:after="0" w:line="360" w:lineRule="auto"/>
              <w:ind w:left="2"/>
              <w:jc w:val="both"/>
              <w:rPr>
                <w:rFonts w:ascii="Arial" w:hAnsi="Arial" w:eastAsia="Calibri" w:cs="Arial"/>
              </w:rPr>
            </w:pPr>
            <w:r w:rsidRPr="00BF57FF">
              <w:rPr>
                <w:rFonts w:ascii="Arial" w:hAnsi="Arial" w:eastAsia="Calibri" w:cs="Arial"/>
              </w:rPr>
              <w:t>Human rabies deaths (annual count); canine rabies prevalence; vaccine coverage</w:t>
            </w:r>
          </w:p>
        </w:tc>
      </w:tr>
      <w:tr w:rsidRPr="00BF57FF" w:rsidR="009C5AD6" w:rsidTr="00F43AFD" w14:paraId="66A2F38F"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52986289" w14:textId="77777777">
            <w:pPr>
              <w:spacing w:after="0" w:line="360" w:lineRule="auto"/>
              <w:ind w:left="2"/>
              <w:jc w:val="both"/>
              <w:rPr>
                <w:rFonts w:ascii="Arial" w:hAnsi="Arial" w:eastAsia="Calibri" w:cs="Arial"/>
              </w:rPr>
            </w:pPr>
            <w:r w:rsidRPr="00BF57FF">
              <w:rPr>
                <w:rFonts w:ascii="Arial" w:hAnsi="Arial" w:eastAsia="Calibri" w:cs="Arial"/>
                <w:b/>
                <w:bCs/>
              </w:rPr>
              <w:t>Key Findings</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3B091622" w14:textId="77777777">
            <w:pPr>
              <w:spacing w:after="0" w:line="360" w:lineRule="auto"/>
              <w:ind w:left="2"/>
              <w:jc w:val="both"/>
              <w:rPr>
                <w:rFonts w:ascii="Arial" w:hAnsi="Arial" w:eastAsia="Calibri" w:cs="Arial"/>
              </w:rPr>
            </w:pPr>
            <w:r w:rsidRPr="00BF57FF">
              <w:rPr>
                <w:rFonts w:ascii="Arial" w:hAnsi="Arial" w:eastAsia="Calibri" w:cs="Arial"/>
              </w:rPr>
              <w:t>Human rabies deaths reduced to zero by 2017 and sustained for 7+ years; 92% reduction in canine rabies.</w:t>
            </w:r>
          </w:p>
        </w:tc>
      </w:tr>
      <w:tr w:rsidRPr="00BF57FF" w:rsidR="009C5AD6" w:rsidTr="00F43AFD" w14:paraId="7BCF4DAE"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1466B3A8" w14:textId="77777777">
            <w:pPr>
              <w:spacing w:after="0" w:line="360" w:lineRule="auto"/>
              <w:ind w:left="2"/>
              <w:jc w:val="both"/>
              <w:rPr>
                <w:rFonts w:ascii="Arial" w:hAnsi="Arial" w:eastAsia="Calibri" w:cs="Arial"/>
              </w:rPr>
            </w:pPr>
            <w:r w:rsidRPr="00BF57FF">
              <w:rPr>
                <w:rFonts w:ascii="Arial" w:hAnsi="Arial" w:eastAsia="Calibri" w:cs="Arial"/>
                <w:b/>
                <w:bCs/>
              </w:rPr>
              <w:t>Quality Rating</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4306ED6D" w14:textId="77777777">
            <w:pPr>
              <w:spacing w:after="0" w:line="360" w:lineRule="auto"/>
              <w:ind w:left="2"/>
              <w:jc w:val="both"/>
              <w:rPr>
                <w:rFonts w:ascii="Arial" w:hAnsi="Arial" w:eastAsia="Calibri" w:cs="Arial"/>
              </w:rPr>
            </w:pPr>
            <w:r w:rsidRPr="00BF57FF">
              <w:rPr>
                <w:rFonts w:ascii="Arial" w:hAnsi="Arial" w:eastAsia="Calibri" w:cs="Arial"/>
              </w:rPr>
              <w:t>High (CASP Cohort)</w:t>
            </w:r>
          </w:p>
        </w:tc>
      </w:tr>
      <w:tr w:rsidRPr="00BF57FF" w:rsidR="009C5AD6" w:rsidTr="00F43AFD" w14:paraId="0CFF13FC"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5AE3F94E" w14:textId="77777777">
            <w:pPr>
              <w:spacing w:after="0" w:line="360" w:lineRule="auto"/>
              <w:ind w:left="2"/>
              <w:jc w:val="both"/>
              <w:rPr>
                <w:rFonts w:ascii="Arial" w:hAnsi="Arial" w:eastAsia="Calibri" w:cs="Arial"/>
              </w:rPr>
            </w:pPr>
            <w:r w:rsidRPr="00BF57FF">
              <w:rPr>
                <w:rFonts w:ascii="Arial" w:hAnsi="Arial" w:eastAsia="Calibri" w:cs="Arial"/>
                <w:b/>
                <w:bCs/>
              </w:rPr>
              <w:t>Review Theme(s)</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76E01128" w14:textId="77777777">
            <w:pPr>
              <w:spacing w:after="0" w:line="360" w:lineRule="auto"/>
              <w:ind w:left="2"/>
              <w:jc w:val="both"/>
              <w:rPr>
                <w:rFonts w:ascii="Arial" w:hAnsi="Arial" w:eastAsia="Calibri" w:cs="Arial"/>
              </w:rPr>
            </w:pPr>
            <w:r w:rsidRPr="00BF57FF">
              <w:rPr>
                <w:rFonts w:ascii="Arial" w:hAnsi="Arial" w:eastAsia="Calibri" w:cs="Arial"/>
              </w:rPr>
              <w:t>Theme 3 — Health System Failures and PEP Inaccessibility</w:t>
            </w:r>
          </w:p>
        </w:tc>
      </w:tr>
    </w:tbl>
    <w:p w:rsidRPr="00BF57FF" w:rsidR="009C5AD6" w:rsidP="00A70BBB" w:rsidRDefault="009C5AD6" w14:paraId="30AE661E" w14:textId="77777777">
      <w:pPr>
        <w:spacing w:after="0" w:line="360" w:lineRule="auto"/>
        <w:ind w:left="2"/>
        <w:jc w:val="both"/>
        <w:rPr>
          <w:rFonts w:ascii="Arial" w:hAnsi="Arial" w:eastAsia="Calibri" w:cs="Arial"/>
        </w:rPr>
      </w:pPr>
    </w:p>
    <w:p w:rsidRPr="00BF57FF" w:rsidR="009C5AD6" w:rsidP="00A70BBB" w:rsidRDefault="009C5AD6" w14:paraId="2D904FE3" w14:textId="333E299B">
      <w:pPr>
        <w:spacing w:after="0" w:line="360" w:lineRule="auto"/>
        <w:ind w:left="2"/>
        <w:jc w:val="both"/>
        <w:rPr>
          <w:rFonts w:ascii="Arial" w:hAnsi="Arial" w:eastAsia="Calibri" w:cs="Arial"/>
        </w:rPr>
      </w:pPr>
      <w:r w:rsidRPr="00BF57FF">
        <w:rPr>
          <w:rFonts w:ascii="Arial" w:hAnsi="Arial" w:eastAsia="Calibri" w:cs="Arial"/>
          <w:b/>
          <w:bCs/>
        </w:rPr>
        <w:t>C.3  Study 3 — Radhakrishnan et al. (202</w:t>
      </w:r>
      <w:r w:rsidRPr="00BF57FF" w:rsidR="00D63224">
        <w:rPr>
          <w:rFonts w:ascii="Arial" w:hAnsi="Arial" w:eastAsia="Calibri" w:cs="Arial"/>
          <w:b/>
          <w:bCs/>
        </w:rPr>
        <w:t>0</w:t>
      </w:r>
      <w:r w:rsidRPr="00BF57FF">
        <w:rPr>
          <w:rFonts w:ascii="Arial" w:hAnsi="Arial" w:eastAsia="Calibri" w:cs="Arial"/>
          <w:b/>
          <w:bCs/>
        </w:rPr>
        <w:t>)</w:t>
      </w:r>
    </w:p>
    <w:p w:rsidRPr="00BF57FF" w:rsidR="009C5AD6" w:rsidP="00A70BBB" w:rsidRDefault="009C5AD6" w14:paraId="145579C8" w14:textId="77777777">
      <w:pPr>
        <w:spacing w:after="0" w:line="360" w:lineRule="auto"/>
        <w:ind w:left="2"/>
        <w:jc w:val="both"/>
        <w:rPr>
          <w:rFonts w:ascii="Arial" w:hAnsi="Arial" w:eastAsia="Calibri" w:cs="Arial"/>
        </w:rPr>
      </w:pPr>
    </w:p>
    <w:tbl>
      <w:tblPr>
        <w:tblW w:w="902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2500"/>
        <w:gridCol w:w="6526"/>
      </w:tblGrid>
      <w:tr w:rsidRPr="00BF57FF" w:rsidR="009C5AD6" w:rsidTr="00F43AFD" w14:paraId="750DA274"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2E2D979E" w14:textId="77777777">
            <w:pPr>
              <w:spacing w:after="0" w:line="360" w:lineRule="auto"/>
              <w:ind w:left="2"/>
              <w:jc w:val="both"/>
              <w:rPr>
                <w:rFonts w:ascii="Arial" w:hAnsi="Arial" w:eastAsia="Calibri" w:cs="Arial"/>
              </w:rPr>
            </w:pPr>
            <w:r w:rsidRPr="00BF57FF">
              <w:rPr>
                <w:rFonts w:ascii="Arial" w:hAnsi="Arial" w:eastAsia="Calibri" w:cs="Arial"/>
                <w:b/>
                <w:bCs/>
              </w:rPr>
              <w:t>Study Identifier</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261E5773" w14:textId="77777777">
            <w:pPr>
              <w:spacing w:after="0" w:line="360" w:lineRule="auto"/>
              <w:ind w:left="2"/>
              <w:jc w:val="both"/>
              <w:rPr>
                <w:rFonts w:ascii="Arial" w:hAnsi="Arial" w:eastAsia="Calibri" w:cs="Arial"/>
              </w:rPr>
            </w:pPr>
            <w:r w:rsidRPr="00BF57FF">
              <w:rPr>
                <w:rFonts w:ascii="Arial" w:hAnsi="Arial" w:eastAsia="Calibri" w:cs="Arial"/>
              </w:rPr>
              <w:t>Study 3</w:t>
            </w:r>
          </w:p>
        </w:tc>
      </w:tr>
      <w:tr w:rsidRPr="00BF57FF" w:rsidR="009C5AD6" w:rsidTr="00F43AFD" w14:paraId="5C52C83C"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271E2784" w14:textId="77777777">
            <w:pPr>
              <w:spacing w:after="0" w:line="360" w:lineRule="auto"/>
              <w:ind w:left="2"/>
              <w:jc w:val="both"/>
              <w:rPr>
                <w:rFonts w:ascii="Arial" w:hAnsi="Arial" w:eastAsia="Calibri" w:cs="Arial"/>
              </w:rPr>
            </w:pPr>
            <w:r w:rsidRPr="00BF57FF">
              <w:rPr>
                <w:rFonts w:ascii="Arial" w:hAnsi="Arial" w:eastAsia="Calibri" w:cs="Arial"/>
                <w:b/>
                <w:bCs/>
              </w:rPr>
              <w:t>Full Citation</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4ADEB1AB" w14:textId="77777777">
            <w:pPr>
              <w:spacing w:after="0" w:line="360" w:lineRule="auto"/>
              <w:ind w:left="2"/>
              <w:jc w:val="both"/>
              <w:rPr>
                <w:rFonts w:ascii="Arial" w:hAnsi="Arial" w:eastAsia="Calibri" w:cs="Arial"/>
              </w:rPr>
            </w:pPr>
            <w:r w:rsidRPr="00BF57FF">
              <w:rPr>
                <w:rFonts w:ascii="Arial" w:hAnsi="Arial" w:eastAsia="Calibri" w:cs="Arial"/>
              </w:rPr>
              <w:t>Radhakrishnan, S., Vanak, A.T., Nouvellet, P. and Donnelly, C.A., 2020. Rabies as a public health concern in India — a historical perspective. Tropical Medicine and Infectious Disease, 5(4), p.162. doi:10.3390/tropicalmed5040162</w:t>
            </w:r>
          </w:p>
        </w:tc>
      </w:tr>
      <w:tr w:rsidRPr="00BF57FF" w:rsidR="009C5AD6" w:rsidTr="00F43AFD" w14:paraId="0C0EA201"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6ED87AD7" w14:textId="77777777">
            <w:pPr>
              <w:spacing w:after="0" w:line="360" w:lineRule="auto"/>
              <w:ind w:left="2"/>
              <w:jc w:val="both"/>
              <w:rPr>
                <w:rFonts w:ascii="Arial" w:hAnsi="Arial" w:eastAsia="Calibri" w:cs="Arial"/>
              </w:rPr>
            </w:pPr>
            <w:r w:rsidRPr="00BF57FF">
              <w:rPr>
                <w:rFonts w:ascii="Arial" w:hAnsi="Arial" w:eastAsia="Calibri" w:cs="Arial"/>
                <w:b/>
                <w:bCs/>
              </w:rPr>
              <w:t>Study Design</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01ED6A2B" w14:textId="77777777">
            <w:pPr>
              <w:spacing w:after="0" w:line="360" w:lineRule="auto"/>
              <w:ind w:left="2"/>
              <w:jc w:val="both"/>
              <w:rPr>
                <w:rFonts w:ascii="Arial" w:hAnsi="Arial" w:eastAsia="Calibri" w:cs="Arial"/>
              </w:rPr>
            </w:pPr>
            <w:r w:rsidRPr="00BF57FF">
              <w:rPr>
                <w:rFonts w:ascii="Arial" w:hAnsi="Arial" w:eastAsia="Calibri" w:cs="Arial"/>
              </w:rPr>
              <w:t>Historical review</w:t>
            </w:r>
          </w:p>
        </w:tc>
      </w:tr>
      <w:tr w:rsidRPr="00BF57FF" w:rsidR="009C5AD6" w:rsidTr="00F43AFD" w14:paraId="0DC9D5A0"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2869C48D" w14:textId="77777777">
            <w:pPr>
              <w:spacing w:after="0" w:line="360" w:lineRule="auto"/>
              <w:ind w:left="2"/>
              <w:jc w:val="both"/>
              <w:rPr>
                <w:rFonts w:ascii="Arial" w:hAnsi="Arial" w:eastAsia="Calibri" w:cs="Arial"/>
              </w:rPr>
            </w:pPr>
            <w:r w:rsidRPr="00BF57FF">
              <w:rPr>
                <w:rFonts w:ascii="Arial" w:hAnsi="Arial" w:eastAsia="Calibri" w:cs="Arial"/>
                <w:b/>
                <w:bCs/>
              </w:rPr>
              <w:t>Setting &amp; Population</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7CA62AEE" w14:textId="77777777">
            <w:pPr>
              <w:spacing w:after="0" w:line="360" w:lineRule="auto"/>
              <w:ind w:left="2"/>
              <w:jc w:val="both"/>
              <w:rPr>
                <w:rFonts w:ascii="Arial" w:hAnsi="Arial" w:eastAsia="Calibri" w:cs="Arial"/>
              </w:rPr>
            </w:pPr>
            <w:r w:rsidRPr="00BF57FF">
              <w:rPr>
                <w:rFonts w:ascii="Arial" w:hAnsi="Arial" w:eastAsia="Calibri" w:cs="Arial"/>
              </w:rPr>
              <w:t>India (national), 1900–2019</w:t>
            </w:r>
          </w:p>
        </w:tc>
      </w:tr>
      <w:tr w:rsidRPr="00BF57FF" w:rsidR="009C5AD6" w:rsidTr="00F43AFD" w14:paraId="651A8983"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13151F3D" w14:textId="77777777">
            <w:pPr>
              <w:spacing w:after="0" w:line="360" w:lineRule="auto"/>
              <w:ind w:left="2"/>
              <w:jc w:val="both"/>
              <w:rPr>
                <w:rFonts w:ascii="Arial" w:hAnsi="Arial" w:eastAsia="Calibri" w:cs="Arial"/>
              </w:rPr>
            </w:pPr>
            <w:r w:rsidRPr="00BF57FF">
              <w:rPr>
                <w:rFonts w:ascii="Arial" w:hAnsi="Arial" w:eastAsia="Calibri" w:cs="Arial"/>
                <w:b/>
                <w:bCs/>
              </w:rPr>
              <w:t>Sample / Data Source</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2C5C1EE9" w14:textId="129371B2">
            <w:pPr>
              <w:spacing w:after="0" w:line="360" w:lineRule="auto"/>
              <w:ind w:left="2"/>
              <w:jc w:val="both"/>
              <w:rPr>
                <w:rFonts w:ascii="Arial" w:hAnsi="Arial" w:eastAsia="Calibri" w:cs="Arial"/>
              </w:rPr>
            </w:pPr>
            <w:r w:rsidRPr="00BF57FF">
              <w:rPr>
                <w:rFonts w:ascii="Arial" w:hAnsi="Arial" w:eastAsia="Calibri" w:cs="Arial"/>
              </w:rPr>
              <w:t xml:space="preserve">Historical records, Government of India policy documents, </w:t>
            </w:r>
            <w:r w:rsidRPr="00BF57FF" w:rsidR="00276AE7">
              <w:rPr>
                <w:rFonts w:ascii="Arial" w:hAnsi="Arial" w:eastAsia="Calibri" w:cs="Arial"/>
              </w:rPr>
              <w:t xml:space="preserve">and </w:t>
            </w:r>
            <w:r w:rsidRPr="00BF57FF">
              <w:rPr>
                <w:rFonts w:ascii="Arial" w:hAnsi="Arial" w:eastAsia="Calibri" w:cs="Arial"/>
              </w:rPr>
              <w:t>published literature</w:t>
            </w:r>
          </w:p>
        </w:tc>
      </w:tr>
      <w:tr w:rsidRPr="00BF57FF" w:rsidR="009C5AD6" w:rsidTr="00F43AFD" w14:paraId="4DED96CE"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461A619F" w14:textId="77777777">
            <w:pPr>
              <w:spacing w:after="0" w:line="360" w:lineRule="auto"/>
              <w:ind w:left="2"/>
              <w:jc w:val="both"/>
              <w:rPr>
                <w:rFonts w:ascii="Arial" w:hAnsi="Arial" w:eastAsia="Calibri" w:cs="Arial"/>
              </w:rPr>
            </w:pPr>
            <w:r w:rsidRPr="00BF57FF">
              <w:rPr>
                <w:rFonts w:ascii="Arial" w:hAnsi="Arial" w:eastAsia="Calibri" w:cs="Arial"/>
                <w:b/>
                <w:bCs/>
              </w:rPr>
              <w:t>Objectives</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7D1FF457" w14:textId="77777777">
            <w:pPr>
              <w:spacing w:after="0" w:line="360" w:lineRule="auto"/>
              <w:ind w:left="2"/>
              <w:jc w:val="both"/>
              <w:rPr>
                <w:rFonts w:ascii="Arial" w:hAnsi="Arial" w:eastAsia="Calibri" w:cs="Arial"/>
              </w:rPr>
            </w:pPr>
            <w:r w:rsidRPr="00BF57FF">
              <w:rPr>
                <w:rFonts w:ascii="Arial" w:hAnsi="Arial" w:eastAsia="Calibri" w:cs="Arial"/>
              </w:rPr>
              <w:t>To examine the historical roots of rabies neglect and surveillance failure in India</w:t>
            </w:r>
          </w:p>
        </w:tc>
      </w:tr>
      <w:tr w:rsidRPr="00BF57FF" w:rsidR="009C5AD6" w:rsidTr="00F43AFD" w14:paraId="0CB42A66"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2EBF3793" w14:textId="77777777">
            <w:pPr>
              <w:spacing w:after="0" w:line="360" w:lineRule="auto"/>
              <w:ind w:left="2"/>
              <w:jc w:val="both"/>
              <w:rPr>
                <w:rFonts w:ascii="Arial" w:hAnsi="Arial" w:eastAsia="Calibri" w:cs="Arial"/>
              </w:rPr>
            </w:pPr>
            <w:r w:rsidRPr="00BF57FF">
              <w:rPr>
                <w:rFonts w:ascii="Arial" w:hAnsi="Arial" w:eastAsia="Calibri" w:cs="Arial"/>
                <w:b/>
                <w:bCs/>
              </w:rPr>
              <w:t>Outcome Measures</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78C3DAF7" w14:textId="77777777">
            <w:pPr>
              <w:spacing w:after="0" w:line="360" w:lineRule="auto"/>
              <w:ind w:left="2"/>
              <w:jc w:val="both"/>
              <w:rPr>
                <w:rFonts w:ascii="Arial" w:hAnsi="Arial" w:eastAsia="Calibri" w:cs="Arial"/>
              </w:rPr>
            </w:pPr>
            <w:r w:rsidRPr="00BF57FF">
              <w:rPr>
                <w:rFonts w:ascii="Arial" w:hAnsi="Arial" w:eastAsia="Calibri" w:cs="Arial"/>
              </w:rPr>
              <w:t>Historical policy changes; surveillance system evolution; notifiability status</w:t>
            </w:r>
          </w:p>
        </w:tc>
      </w:tr>
      <w:tr w:rsidRPr="00BF57FF" w:rsidR="009C5AD6" w:rsidTr="00F43AFD" w14:paraId="7A302BEE"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76CB377C" w14:textId="77777777">
            <w:pPr>
              <w:spacing w:after="0" w:line="360" w:lineRule="auto"/>
              <w:ind w:left="2"/>
              <w:jc w:val="both"/>
              <w:rPr>
                <w:rFonts w:ascii="Arial" w:hAnsi="Arial" w:eastAsia="Calibri" w:cs="Arial"/>
              </w:rPr>
            </w:pPr>
            <w:r w:rsidRPr="00BF57FF">
              <w:rPr>
                <w:rFonts w:ascii="Arial" w:hAnsi="Arial" w:eastAsia="Calibri" w:cs="Arial"/>
                <w:b/>
                <w:bCs/>
              </w:rPr>
              <w:t>Key Findings</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6D1C853B" w14:textId="77777777">
            <w:pPr>
              <w:spacing w:after="0" w:line="360" w:lineRule="auto"/>
              <w:ind w:left="2"/>
              <w:jc w:val="both"/>
              <w:rPr>
                <w:rFonts w:ascii="Arial" w:hAnsi="Arial" w:eastAsia="Calibri" w:cs="Arial"/>
              </w:rPr>
            </w:pPr>
            <w:r w:rsidRPr="00BF57FF">
              <w:rPr>
                <w:rFonts w:ascii="Arial" w:hAnsi="Arial" w:eastAsia="Calibri" w:cs="Arial"/>
              </w:rPr>
              <w:t>Rabies remains non-notifiable in most states. Colonial Pasteur-institute model reproduced urban-centralised treatment. Post-independence political deprioritisation entrenched structural gaps.</w:t>
            </w:r>
          </w:p>
        </w:tc>
      </w:tr>
      <w:tr w:rsidRPr="00BF57FF" w:rsidR="009C5AD6" w:rsidTr="00F43AFD" w14:paraId="7A9D7177"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25124146" w14:textId="77777777">
            <w:pPr>
              <w:spacing w:after="0" w:line="360" w:lineRule="auto"/>
              <w:ind w:left="2"/>
              <w:jc w:val="both"/>
              <w:rPr>
                <w:rFonts w:ascii="Arial" w:hAnsi="Arial" w:eastAsia="Calibri" w:cs="Arial"/>
              </w:rPr>
            </w:pPr>
            <w:r w:rsidRPr="00BF57FF">
              <w:rPr>
                <w:rFonts w:ascii="Arial" w:hAnsi="Arial" w:eastAsia="Calibri" w:cs="Arial"/>
                <w:b/>
                <w:bCs/>
              </w:rPr>
              <w:t>Quality Rating</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485EDEFD" w14:textId="77777777">
            <w:pPr>
              <w:spacing w:after="0" w:line="360" w:lineRule="auto"/>
              <w:ind w:left="2"/>
              <w:jc w:val="both"/>
              <w:rPr>
                <w:rFonts w:ascii="Arial" w:hAnsi="Arial" w:eastAsia="Calibri" w:cs="Arial"/>
              </w:rPr>
            </w:pPr>
            <w:r w:rsidRPr="00BF57FF">
              <w:rPr>
                <w:rFonts w:ascii="Arial" w:hAnsi="Arial" w:eastAsia="Calibri" w:cs="Arial"/>
              </w:rPr>
              <w:t>Moderate (Narrative Appraisal)</w:t>
            </w:r>
          </w:p>
        </w:tc>
      </w:tr>
      <w:tr w:rsidRPr="00BF57FF" w:rsidR="009C5AD6" w:rsidTr="00F43AFD" w14:paraId="32D5711B"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0516CF1B" w14:textId="77777777">
            <w:pPr>
              <w:spacing w:after="0" w:line="360" w:lineRule="auto"/>
              <w:ind w:left="2"/>
              <w:jc w:val="both"/>
              <w:rPr>
                <w:rFonts w:ascii="Arial" w:hAnsi="Arial" w:eastAsia="Calibri" w:cs="Arial"/>
              </w:rPr>
            </w:pPr>
            <w:r w:rsidRPr="00BF57FF">
              <w:rPr>
                <w:rFonts w:ascii="Arial" w:hAnsi="Arial" w:eastAsia="Calibri" w:cs="Arial"/>
                <w:b/>
                <w:bCs/>
              </w:rPr>
              <w:t>Review Theme(s)</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5713EF70" w14:textId="77777777">
            <w:pPr>
              <w:spacing w:after="0" w:line="360" w:lineRule="auto"/>
              <w:ind w:left="2"/>
              <w:jc w:val="both"/>
              <w:rPr>
                <w:rFonts w:ascii="Arial" w:hAnsi="Arial" w:eastAsia="Calibri" w:cs="Arial"/>
              </w:rPr>
            </w:pPr>
            <w:r w:rsidRPr="00BF57FF">
              <w:rPr>
                <w:rFonts w:ascii="Arial" w:hAnsi="Arial" w:eastAsia="Calibri" w:cs="Arial"/>
              </w:rPr>
              <w:t>Theme 4 — Surveillance Inadequacy and Under-Reporting</w:t>
            </w:r>
          </w:p>
        </w:tc>
      </w:tr>
    </w:tbl>
    <w:p w:rsidRPr="00BF57FF" w:rsidR="009C5AD6" w:rsidP="00A70BBB" w:rsidRDefault="009C5AD6" w14:paraId="4160F558" w14:textId="77777777">
      <w:pPr>
        <w:spacing w:after="0" w:line="360" w:lineRule="auto"/>
        <w:ind w:left="2"/>
        <w:jc w:val="both"/>
        <w:rPr>
          <w:rFonts w:ascii="Arial" w:hAnsi="Arial" w:eastAsia="Calibri" w:cs="Arial"/>
        </w:rPr>
      </w:pPr>
    </w:p>
    <w:p w:rsidRPr="00BF57FF" w:rsidR="009C5AD6" w:rsidP="00A70BBB" w:rsidRDefault="009C5AD6" w14:paraId="3FB11752" w14:textId="07E00800">
      <w:pPr>
        <w:spacing w:after="0" w:line="360" w:lineRule="auto"/>
        <w:ind w:left="2"/>
        <w:jc w:val="both"/>
        <w:rPr>
          <w:rFonts w:ascii="Arial" w:hAnsi="Arial" w:eastAsia="Calibri" w:cs="Arial"/>
        </w:rPr>
      </w:pPr>
      <w:r w:rsidRPr="00BF57FF">
        <w:rPr>
          <w:rFonts w:ascii="Arial" w:hAnsi="Arial" w:eastAsia="Calibri" w:cs="Arial"/>
          <w:b/>
          <w:bCs/>
        </w:rPr>
        <w:t>C.4  Study 4 — Sahu et al. (202</w:t>
      </w:r>
      <w:r w:rsidRPr="00BF57FF" w:rsidR="00D63224">
        <w:rPr>
          <w:rFonts w:ascii="Arial" w:hAnsi="Arial" w:eastAsia="Calibri" w:cs="Arial"/>
          <w:b/>
          <w:bCs/>
        </w:rPr>
        <w:t>1</w:t>
      </w:r>
      <w:r w:rsidRPr="00BF57FF">
        <w:rPr>
          <w:rFonts w:ascii="Arial" w:hAnsi="Arial" w:eastAsia="Calibri" w:cs="Arial"/>
          <w:b/>
          <w:bCs/>
        </w:rPr>
        <w:t>)</w:t>
      </w:r>
    </w:p>
    <w:p w:rsidRPr="00BF57FF" w:rsidR="009C5AD6" w:rsidP="00A70BBB" w:rsidRDefault="009C5AD6" w14:paraId="07D88347" w14:textId="77777777">
      <w:pPr>
        <w:spacing w:after="0" w:line="360" w:lineRule="auto"/>
        <w:ind w:left="2"/>
        <w:jc w:val="both"/>
        <w:rPr>
          <w:rFonts w:ascii="Arial" w:hAnsi="Arial" w:eastAsia="Calibri" w:cs="Arial"/>
        </w:rPr>
      </w:pPr>
    </w:p>
    <w:tbl>
      <w:tblPr>
        <w:tblW w:w="902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2500"/>
        <w:gridCol w:w="6526"/>
      </w:tblGrid>
      <w:tr w:rsidRPr="00BF57FF" w:rsidR="009C5AD6" w:rsidTr="00F43AFD" w14:paraId="5783E951"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1830F025" w14:textId="77777777">
            <w:pPr>
              <w:spacing w:after="0" w:line="360" w:lineRule="auto"/>
              <w:ind w:left="2"/>
              <w:jc w:val="both"/>
              <w:rPr>
                <w:rFonts w:ascii="Arial" w:hAnsi="Arial" w:eastAsia="Calibri" w:cs="Arial"/>
              </w:rPr>
            </w:pPr>
            <w:r w:rsidRPr="00BF57FF">
              <w:rPr>
                <w:rFonts w:ascii="Arial" w:hAnsi="Arial" w:eastAsia="Calibri" w:cs="Arial"/>
                <w:b/>
                <w:bCs/>
              </w:rPr>
              <w:t>Study Identifier</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28797B82" w14:textId="77777777">
            <w:pPr>
              <w:spacing w:after="0" w:line="360" w:lineRule="auto"/>
              <w:ind w:left="2"/>
              <w:jc w:val="both"/>
              <w:rPr>
                <w:rFonts w:ascii="Arial" w:hAnsi="Arial" w:eastAsia="Calibri" w:cs="Arial"/>
              </w:rPr>
            </w:pPr>
            <w:r w:rsidRPr="00BF57FF">
              <w:rPr>
                <w:rFonts w:ascii="Arial" w:hAnsi="Arial" w:eastAsia="Calibri" w:cs="Arial"/>
              </w:rPr>
              <w:t>Study 4</w:t>
            </w:r>
          </w:p>
        </w:tc>
      </w:tr>
      <w:tr w:rsidRPr="00BF57FF" w:rsidR="009C5AD6" w:rsidTr="00F43AFD" w14:paraId="3B85BF8C"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7A9AA004" w14:textId="77777777">
            <w:pPr>
              <w:spacing w:after="0" w:line="360" w:lineRule="auto"/>
              <w:ind w:left="2"/>
              <w:jc w:val="both"/>
              <w:rPr>
                <w:rFonts w:ascii="Arial" w:hAnsi="Arial" w:eastAsia="Calibri" w:cs="Arial"/>
              </w:rPr>
            </w:pPr>
            <w:r w:rsidRPr="00BF57FF">
              <w:rPr>
                <w:rFonts w:ascii="Arial" w:hAnsi="Arial" w:eastAsia="Calibri" w:cs="Arial"/>
                <w:b/>
                <w:bCs/>
              </w:rPr>
              <w:t>Full Citation</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18F9A042" w14:textId="7EAB8A4B">
            <w:pPr>
              <w:spacing w:after="0" w:line="360" w:lineRule="auto"/>
              <w:ind w:left="2"/>
              <w:jc w:val="both"/>
              <w:rPr>
                <w:rFonts w:ascii="Arial" w:hAnsi="Arial" w:eastAsia="Calibri" w:cs="Arial"/>
              </w:rPr>
            </w:pPr>
            <w:r w:rsidRPr="00BF57FF">
              <w:rPr>
                <w:rFonts w:ascii="Arial" w:hAnsi="Arial" w:eastAsia="Calibri" w:cs="Arial"/>
              </w:rPr>
              <w:t xml:space="preserve">Sahu, D.P., Ps, P., Bhatia, V. and Singh, A.K., 2021. Anti-rabies vaccine compliance and knowledge of community health </w:t>
            </w:r>
            <w:r w:rsidRPr="00BF57FF" w:rsidR="00276AE7">
              <w:rPr>
                <w:rFonts w:ascii="Arial" w:hAnsi="Arial" w:eastAsia="Calibri" w:cs="Arial"/>
              </w:rPr>
              <w:t>workers</w:t>
            </w:r>
            <w:r w:rsidRPr="00BF57FF">
              <w:rPr>
                <w:rFonts w:ascii="Arial" w:hAnsi="Arial" w:eastAsia="Calibri" w:cs="Arial"/>
              </w:rPr>
              <w:t xml:space="preserve"> regarding animal bite management in rural area of Eastern India. Cureus, 13(3), p.e14229. doi:10.7759/cureus.14229</w:t>
            </w:r>
          </w:p>
        </w:tc>
      </w:tr>
      <w:tr w:rsidRPr="00BF57FF" w:rsidR="009C5AD6" w:rsidTr="00F43AFD" w14:paraId="7FEA46C3"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151220D9" w14:textId="77777777">
            <w:pPr>
              <w:spacing w:after="0" w:line="360" w:lineRule="auto"/>
              <w:ind w:left="2"/>
              <w:jc w:val="both"/>
              <w:rPr>
                <w:rFonts w:ascii="Arial" w:hAnsi="Arial" w:eastAsia="Calibri" w:cs="Arial"/>
              </w:rPr>
            </w:pPr>
            <w:r w:rsidRPr="00BF57FF">
              <w:rPr>
                <w:rFonts w:ascii="Arial" w:hAnsi="Arial" w:eastAsia="Calibri" w:cs="Arial"/>
                <w:b/>
                <w:bCs/>
              </w:rPr>
              <w:t>Study Design</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7382E724" w14:textId="77777777">
            <w:pPr>
              <w:spacing w:after="0" w:line="360" w:lineRule="auto"/>
              <w:ind w:left="2"/>
              <w:jc w:val="both"/>
              <w:rPr>
                <w:rFonts w:ascii="Arial" w:hAnsi="Arial" w:eastAsia="Calibri" w:cs="Arial"/>
              </w:rPr>
            </w:pPr>
            <w:r w:rsidRPr="00BF57FF">
              <w:rPr>
                <w:rFonts w:ascii="Arial" w:hAnsi="Arial" w:eastAsia="Calibri" w:cs="Arial"/>
              </w:rPr>
              <w:t>Cross-sectional survey</w:t>
            </w:r>
          </w:p>
        </w:tc>
      </w:tr>
      <w:tr w:rsidRPr="00BF57FF" w:rsidR="009C5AD6" w:rsidTr="00F43AFD" w14:paraId="4CF82320"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59A99C40" w14:textId="77777777">
            <w:pPr>
              <w:spacing w:after="0" w:line="360" w:lineRule="auto"/>
              <w:ind w:left="2"/>
              <w:jc w:val="both"/>
              <w:rPr>
                <w:rFonts w:ascii="Arial" w:hAnsi="Arial" w:eastAsia="Calibri" w:cs="Arial"/>
              </w:rPr>
            </w:pPr>
            <w:r w:rsidRPr="00BF57FF">
              <w:rPr>
                <w:rFonts w:ascii="Arial" w:hAnsi="Arial" w:eastAsia="Calibri" w:cs="Arial"/>
                <w:b/>
                <w:bCs/>
              </w:rPr>
              <w:t>Setting &amp; Population</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5ADC355D" w14:textId="77777777">
            <w:pPr>
              <w:spacing w:after="0" w:line="360" w:lineRule="auto"/>
              <w:ind w:left="2"/>
              <w:jc w:val="both"/>
              <w:rPr>
                <w:rFonts w:ascii="Arial" w:hAnsi="Arial" w:eastAsia="Calibri" w:cs="Arial"/>
              </w:rPr>
            </w:pPr>
            <w:r w:rsidRPr="00BF57FF">
              <w:rPr>
                <w:rFonts w:ascii="Arial" w:hAnsi="Arial" w:eastAsia="Calibri" w:cs="Arial"/>
              </w:rPr>
              <w:t>Sundargarh district, rural Odisha, India</w:t>
            </w:r>
          </w:p>
        </w:tc>
      </w:tr>
      <w:tr w:rsidRPr="00BF57FF" w:rsidR="009C5AD6" w:rsidTr="00F43AFD" w14:paraId="17ACE308"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66686381" w14:textId="77777777">
            <w:pPr>
              <w:spacing w:after="0" w:line="360" w:lineRule="auto"/>
              <w:ind w:left="2"/>
              <w:jc w:val="both"/>
              <w:rPr>
                <w:rFonts w:ascii="Arial" w:hAnsi="Arial" w:eastAsia="Calibri" w:cs="Arial"/>
              </w:rPr>
            </w:pPr>
            <w:r w:rsidRPr="00BF57FF">
              <w:rPr>
                <w:rFonts w:ascii="Arial" w:hAnsi="Arial" w:eastAsia="Calibri" w:cs="Arial"/>
                <w:b/>
                <w:bCs/>
              </w:rPr>
              <w:t>Sample / Data Source</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4DBE46BF" w14:textId="77777777">
            <w:pPr>
              <w:spacing w:after="0" w:line="360" w:lineRule="auto"/>
              <w:ind w:left="2"/>
              <w:jc w:val="both"/>
              <w:rPr>
                <w:rFonts w:ascii="Arial" w:hAnsi="Arial" w:eastAsia="Calibri" w:cs="Arial"/>
              </w:rPr>
            </w:pPr>
            <w:r w:rsidRPr="00BF57FF">
              <w:rPr>
                <w:rFonts w:ascii="Arial" w:hAnsi="Arial" w:eastAsia="Calibri" w:cs="Arial"/>
              </w:rPr>
              <w:t>138 animal bite victims; 71 CHWs (ASHAs and ANMs)</w:t>
            </w:r>
          </w:p>
        </w:tc>
      </w:tr>
      <w:tr w:rsidRPr="00BF57FF" w:rsidR="009C5AD6" w:rsidTr="00F43AFD" w14:paraId="754F8460"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5E8E74FC" w14:textId="77777777">
            <w:pPr>
              <w:spacing w:after="0" w:line="360" w:lineRule="auto"/>
              <w:ind w:left="2"/>
              <w:jc w:val="both"/>
              <w:rPr>
                <w:rFonts w:ascii="Arial" w:hAnsi="Arial" w:eastAsia="Calibri" w:cs="Arial"/>
              </w:rPr>
            </w:pPr>
            <w:r w:rsidRPr="00BF57FF">
              <w:rPr>
                <w:rFonts w:ascii="Arial" w:hAnsi="Arial" w:eastAsia="Calibri" w:cs="Arial"/>
                <w:b/>
                <w:bCs/>
              </w:rPr>
              <w:t>Objectives</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1A2AC18A" w14:textId="77777777">
            <w:pPr>
              <w:spacing w:after="0" w:line="360" w:lineRule="auto"/>
              <w:ind w:left="2"/>
              <w:jc w:val="both"/>
              <w:rPr>
                <w:rFonts w:ascii="Arial" w:hAnsi="Arial" w:eastAsia="Calibri" w:cs="Arial"/>
              </w:rPr>
            </w:pPr>
            <w:r w:rsidRPr="00BF57FF">
              <w:rPr>
                <w:rFonts w:ascii="Arial" w:hAnsi="Arial" w:eastAsia="Calibri" w:cs="Arial"/>
              </w:rPr>
              <w:t>To assess ARV compliance in bite victims and knowledge adequacy among CHWs in rural Odisha</w:t>
            </w:r>
          </w:p>
        </w:tc>
      </w:tr>
      <w:tr w:rsidRPr="00BF57FF" w:rsidR="009C5AD6" w:rsidTr="00F43AFD" w14:paraId="642F9421"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06964E64" w14:textId="77777777">
            <w:pPr>
              <w:spacing w:after="0" w:line="360" w:lineRule="auto"/>
              <w:ind w:left="2"/>
              <w:jc w:val="both"/>
              <w:rPr>
                <w:rFonts w:ascii="Arial" w:hAnsi="Arial" w:eastAsia="Calibri" w:cs="Arial"/>
              </w:rPr>
            </w:pPr>
            <w:r w:rsidRPr="00BF57FF">
              <w:rPr>
                <w:rFonts w:ascii="Arial" w:hAnsi="Arial" w:eastAsia="Calibri" w:cs="Arial"/>
                <w:b/>
                <w:bCs/>
              </w:rPr>
              <w:t>Outcome Measures</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4F49FB03" w14:textId="77777777">
            <w:pPr>
              <w:spacing w:after="0" w:line="360" w:lineRule="auto"/>
              <w:ind w:left="2"/>
              <w:jc w:val="both"/>
              <w:rPr>
                <w:rFonts w:ascii="Arial" w:hAnsi="Arial" w:eastAsia="Calibri" w:cs="Arial"/>
              </w:rPr>
            </w:pPr>
            <w:r w:rsidRPr="00BF57FF">
              <w:rPr>
                <w:rFonts w:ascii="Arial" w:hAnsi="Arial" w:eastAsia="Calibri" w:cs="Arial"/>
              </w:rPr>
              <w:t>ARV completion rate; CHW wound management knowledge score; RIG administration rate</w:t>
            </w:r>
          </w:p>
        </w:tc>
      </w:tr>
      <w:tr w:rsidRPr="00BF57FF" w:rsidR="009C5AD6" w:rsidTr="00F43AFD" w14:paraId="5A5FC8BE"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1052A15D" w14:textId="77777777">
            <w:pPr>
              <w:spacing w:after="0" w:line="360" w:lineRule="auto"/>
              <w:ind w:left="2"/>
              <w:jc w:val="both"/>
              <w:rPr>
                <w:rFonts w:ascii="Arial" w:hAnsi="Arial" w:eastAsia="Calibri" w:cs="Arial"/>
              </w:rPr>
            </w:pPr>
            <w:r w:rsidRPr="00BF57FF">
              <w:rPr>
                <w:rFonts w:ascii="Arial" w:hAnsi="Arial" w:eastAsia="Calibri" w:cs="Arial"/>
                <w:b/>
                <w:bCs/>
              </w:rPr>
              <w:t>Key Findings</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4D052B6D" w14:textId="77777777">
            <w:pPr>
              <w:spacing w:after="0" w:line="360" w:lineRule="auto"/>
              <w:ind w:left="2"/>
              <w:jc w:val="both"/>
              <w:rPr>
                <w:rFonts w:ascii="Arial" w:hAnsi="Arial" w:eastAsia="Calibri" w:cs="Arial"/>
              </w:rPr>
            </w:pPr>
            <w:r w:rsidRPr="00BF57FF">
              <w:rPr>
                <w:rFonts w:ascii="Arial" w:hAnsi="Arial" w:eastAsia="Calibri" w:cs="Arial"/>
              </w:rPr>
              <w:t>ARV compliance 47.9%; 49.4% RIG-compliant; CHW wound-management knowledge sub-optimal; critical deficits in exposure recognition.</w:t>
            </w:r>
          </w:p>
        </w:tc>
      </w:tr>
      <w:tr w:rsidRPr="00BF57FF" w:rsidR="009C5AD6" w:rsidTr="00F43AFD" w14:paraId="5EFBF460"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27A4FA31" w14:textId="77777777">
            <w:pPr>
              <w:spacing w:after="0" w:line="360" w:lineRule="auto"/>
              <w:ind w:left="2"/>
              <w:jc w:val="both"/>
              <w:rPr>
                <w:rFonts w:ascii="Arial" w:hAnsi="Arial" w:eastAsia="Calibri" w:cs="Arial"/>
              </w:rPr>
            </w:pPr>
            <w:r w:rsidRPr="00BF57FF">
              <w:rPr>
                <w:rFonts w:ascii="Arial" w:hAnsi="Arial" w:eastAsia="Calibri" w:cs="Arial"/>
                <w:b/>
                <w:bCs/>
              </w:rPr>
              <w:t>Quality Rating</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7F1EE31E" w14:textId="77777777">
            <w:pPr>
              <w:spacing w:after="0" w:line="360" w:lineRule="auto"/>
              <w:ind w:left="2"/>
              <w:jc w:val="both"/>
              <w:rPr>
                <w:rFonts w:ascii="Arial" w:hAnsi="Arial" w:eastAsia="Calibri" w:cs="Arial"/>
              </w:rPr>
            </w:pPr>
            <w:r w:rsidRPr="00BF57FF">
              <w:rPr>
                <w:rFonts w:ascii="Arial" w:hAnsi="Arial" w:eastAsia="Calibri" w:cs="Arial"/>
              </w:rPr>
              <w:t>Moderate (AXIS Tool)</w:t>
            </w:r>
          </w:p>
        </w:tc>
      </w:tr>
      <w:tr w:rsidRPr="00BF57FF" w:rsidR="009C5AD6" w:rsidTr="00F43AFD" w14:paraId="4CF02572"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02DAF819" w14:textId="77777777">
            <w:pPr>
              <w:spacing w:after="0" w:line="360" w:lineRule="auto"/>
              <w:ind w:left="2"/>
              <w:jc w:val="both"/>
              <w:rPr>
                <w:rFonts w:ascii="Arial" w:hAnsi="Arial" w:eastAsia="Calibri" w:cs="Arial"/>
              </w:rPr>
            </w:pPr>
            <w:r w:rsidRPr="00BF57FF">
              <w:rPr>
                <w:rFonts w:ascii="Arial" w:hAnsi="Arial" w:eastAsia="Calibri" w:cs="Arial"/>
                <w:b/>
                <w:bCs/>
              </w:rPr>
              <w:t>Review Theme(s)</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256C75CE" w14:textId="77777777">
            <w:pPr>
              <w:spacing w:after="0" w:line="360" w:lineRule="auto"/>
              <w:ind w:left="2"/>
              <w:jc w:val="both"/>
              <w:rPr>
                <w:rFonts w:ascii="Arial" w:hAnsi="Arial" w:eastAsia="Calibri" w:cs="Arial"/>
              </w:rPr>
            </w:pPr>
            <w:r w:rsidRPr="00BF57FF">
              <w:rPr>
                <w:rFonts w:ascii="Arial" w:hAnsi="Arial" w:eastAsia="Calibri" w:cs="Arial"/>
              </w:rPr>
              <w:t>Themes 1 and 3 — Knowledge Gaps; Health System Failures</w:t>
            </w:r>
          </w:p>
        </w:tc>
      </w:tr>
    </w:tbl>
    <w:p w:rsidRPr="00BF57FF" w:rsidR="009C5AD6" w:rsidP="00A70BBB" w:rsidRDefault="009C5AD6" w14:paraId="33D96D71" w14:textId="77777777">
      <w:pPr>
        <w:spacing w:after="0" w:line="360" w:lineRule="auto"/>
        <w:ind w:left="2"/>
        <w:jc w:val="both"/>
        <w:rPr>
          <w:rFonts w:ascii="Arial" w:hAnsi="Arial" w:eastAsia="Calibri" w:cs="Arial"/>
        </w:rPr>
      </w:pPr>
    </w:p>
    <w:p w:rsidRPr="00BF57FF" w:rsidR="009C5AD6" w:rsidP="00A70BBB" w:rsidRDefault="009C5AD6" w14:paraId="37485886" w14:textId="5D6FF0C0">
      <w:pPr>
        <w:spacing w:after="0" w:line="360" w:lineRule="auto"/>
        <w:ind w:left="2"/>
        <w:jc w:val="both"/>
        <w:rPr>
          <w:rFonts w:ascii="Arial" w:hAnsi="Arial" w:eastAsia="Calibri" w:cs="Arial"/>
        </w:rPr>
      </w:pPr>
      <w:r w:rsidRPr="00BF57FF">
        <w:rPr>
          <w:rFonts w:ascii="Arial" w:hAnsi="Arial" w:eastAsia="Calibri" w:cs="Arial"/>
          <w:b/>
          <w:bCs/>
        </w:rPr>
        <w:t>C.5  Study 5 — Thangaraj et al. (202</w:t>
      </w:r>
      <w:r w:rsidRPr="00BF57FF" w:rsidR="00D63224">
        <w:rPr>
          <w:rFonts w:ascii="Arial" w:hAnsi="Arial" w:eastAsia="Calibri" w:cs="Arial"/>
          <w:b/>
          <w:bCs/>
        </w:rPr>
        <w:t>5</w:t>
      </w:r>
      <w:r w:rsidRPr="00BF57FF">
        <w:rPr>
          <w:rFonts w:ascii="Arial" w:hAnsi="Arial" w:eastAsia="Calibri" w:cs="Arial"/>
          <w:b/>
          <w:bCs/>
        </w:rPr>
        <w:t>)</w:t>
      </w:r>
    </w:p>
    <w:p w:rsidRPr="00BF57FF" w:rsidR="009C5AD6" w:rsidP="00A70BBB" w:rsidRDefault="009C5AD6" w14:paraId="6D78E9AA" w14:textId="77777777">
      <w:pPr>
        <w:spacing w:after="0" w:line="360" w:lineRule="auto"/>
        <w:ind w:left="2"/>
        <w:jc w:val="both"/>
        <w:rPr>
          <w:rFonts w:ascii="Arial" w:hAnsi="Arial" w:eastAsia="Calibri" w:cs="Arial"/>
        </w:rPr>
      </w:pPr>
    </w:p>
    <w:tbl>
      <w:tblPr>
        <w:tblW w:w="902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2500"/>
        <w:gridCol w:w="6526"/>
      </w:tblGrid>
      <w:tr w:rsidRPr="00BF57FF" w:rsidR="009C5AD6" w:rsidTr="00F43AFD" w14:paraId="33C5CCB7"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52A9088E" w14:textId="77777777">
            <w:pPr>
              <w:spacing w:after="0" w:line="360" w:lineRule="auto"/>
              <w:ind w:left="2"/>
              <w:jc w:val="both"/>
              <w:rPr>
                <w:rFonts w:ascii="Arial" w:hAnsi="Arial" w:eastAsia="Calibri" w:cs="Arial"/>
              </w:rPr>
            </w:pPr>
            <w:r w:rsidRPr="00BF57FF">
              <w:rPr>
                <w:rFonts w:ascii="Arial" w:hAnsi="Arial" w:eastAsia="Calibri" w:cs="Arial"/>
                <w:b/>
                <w:bCs/>
              </w:rPr>
              <w:t>Study Identifier</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39BA1BB5" w14:textId="77777777">
            <w:pPr>
              <w:spacing w:after="0" w:line="360" w:lineRule="auto"/>
              <w:ind w:left="2"/>
              <w:jc w:val="both"/>
              <w:rPr>
                <w:rFonts w:ascii="Arial" w:hAnsi="Arial" w:eastAsia="Calibri" w:cs="Arial"/>
              </w:rPr>
            </w:pPr>
            <w:r w:rsidRPr="00BF57FF">
              <w:rPr>
                <w:rFonts w:ascii="Arial" w:hAnsi="Arial" w:eastAsia="Calibri" w:cs="Arial"/>
              </w:rPr>
              <w:t>Study 5</w:t>
            </w:r>
          </w:p>
        </w:tc>
      </w:tr>
      <w:tr w:rsidRPr="00BF57FF" w:rsidR="009C5AD6" w:rsidTr="00F43AFD" w14:paraId="086E21BA"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464B59C7" w14:textId="77777777">
            <w:pPr>
              <w:spacing w:after="0" w:line="360" w:lineRule="auto"/>
              <w:ind w:left="2"/>
              <w:jc w:val="both"/>
              <w:rPr>
                <w:rFonts w:ascii="Arial" w:hAnsi="Arial" w:eastAsia="Calibri" w:cs="Arial"/>
              </w:rPr>
            </w:pPr>
            <w:r w:rsidRPr="00BF57FF">
              <w:rPr>
                <w:rFonts w:ascii="Arial" w:hAnsi="Arial" w:eastAsia="Calibri" w:cs="Arial"/>
                <w:b/>
                <w:bCs/>
              </w:rPr>
              <w:t>Full Citation</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53C00434" w14:textId="77777777">
            <w:pPr>
              <w:spacing w:after="0" w:line="360" w:lineRule="auto"/>
              <w:ind w:left="2"/>
              <w:jc w:val="both"/>
              <w:rPr>
                <w:rFonts w:ascii="Arial" w:hAnsi="Arial" w:eastAsia="Calibri" w:cs="Arial"/>
              </w:rPr>
            </w:pPr>
            <w:r w:rsidRPr="00BF57FF">
              <w:rPr>
                <w:rFonts w:ascii="Arial" w:hAnsi="Arial" w:eastAsia="Calibri" w:cs="Arial"/>
              </w:rPr>
              <w:t>Thangaraj, J.W.V., Krishna, N.S., Devika, S., et al., 2025. Estimates of the burden of human rabies deaths and animal bites in India, 2022–23: a community-based cross-sectional survey and probability decision-tree modelling study. The Lancet Infectious Diseases, 25(1), pp.126–134. doi:10.1016/S1473-3099(24)00490-0</w:t>
            </w:r>
          </w:p>
        </w:tc>
      </w:tr>
      <w:tr w:rsidRPr="00BF57FF" w:rsidR="009C5AD6" w:rsidTr="00F43AFD" w14:paraId="358C6796"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04108017" w14:textId="77777777">
            <w:pPr>
              <w:spacing w:after="0" w:line="360" w:lineRule="auto"/>
              <w:ind w:left="2"/>
              <w:jc w:val="both"/>
              <w:rPr>
                <w:rFonts w:ascii="Arial" w:hAnsi="Arial" w:eastAsia="Calibri" w:cs="Arial"/>
              </w:rPr>
            </w:pPr>
            <w:r w:rsidRPr="00BF57FF">
              <w:rPr>
                <w:rFonts w:ascii="Arial" w:hAnsi="Arial" w:eastAsia="Calibri" w:cs="Arial"/>
                <w:b/>
                <w:bCs/>
              </w:rPr>
              <w:t>Study Design</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080EA995" w14:textId="77777777">
            <w:pPr>
              <w:spacing w:after="0" w:line="360" w:lineRule="auto"/>
              <w:ind w:left="2"/>
              <w:jc w:val="both"/>
              <w:rPr>
                <w:rFonts w:ascii="Arial" w:hAnsi="Arial" w:eastAsia="Calibri" w:cs="Arial"/>
              </w:rPr>
            </w:pPr>
            <w:r w:rsidRPr="00BF57FF">
              <w:rPr>
                <w:rFonts w:ascii="Arial" w:hAnsi="Arial" w:eastAsia="Calibri" w:cs="Arial"/>
              </w:rPr>
              <w:t>Community-based cross-sectional survey + probabilistic decision-tree modelling</w:t>
            </w:r>
          </w:p>
        </w:tc>
      </w:tr>
      <w:tr w:rsidRPr="00BF57FF" w:rsidR="009C5AD6" w:rsidTr="00F43AFD" w14:paraId="018C750C"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666EB0A5" w14:textId="77777777">
            <w:pPr>
              <w:spacing w:after="0" w:line="360" w:lineRule="auto"/>
              <w:ind w:left="2"/>
              <w:jc w:val="both"/>
              <w:rPr>
                <w:rFonts w:ascii="Arial" w:hAnsi="Arial" w:eastAsia="Calibri" w:cs="Arial"/>
              </w:rPr>
            </w:pPr>
            <w:r w:rsidRPr="00BF57FF">
              <w:rPr>
                <w:rFonts w:ascii="Arial" w:hAnsi="Arial" w:eastAsia="Calibri" w:cs="Arial"/>
                <w:b/>
                <w:bCs/>
              </w:rPr>
              <w:t>Setting &amp; Population</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3F7B8AE6" w14:textId="77777777">
            <w:pPr>
              <w:spacing w:after="0" w:line="360" w:lineRule="auto"/>
              <w:ind w:left="2"/>
              <w:jc w:val="both"/>
              <w:rPr>
                <w:rFonts w:ascii="Arial" w:hAnsi="Arial" w:eastAsia="Calibri" w:cs="Arial"/>
              </w:rPr>
            </w:pPr>
            <w:r w:rsidRPr="00BF57FF">
              <w:rPr>
                <w:rFonts w:ascii="Arial" w:hAnsi="Arial" w:eastAsia="Calibri" w:cs="Arial"/>
              </w:rPr>
              <w:t>India (60 districts across 15 states), 2022–2023</w:t>
            </w:r>
          </w:p>
        </w:tc>
      </w:tr>
      <w:tr w:rsidRPr="00BF57FF" w:rsidR="009C5AD6" w:rsidTr="00F43AFD" w14:paraId="38E05488"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0472F886" w14:textId="77777777">
            <w:pPr>
              <w:spacing w:after="0" w:line="360" w:lineRule="auto"/>
              <w:ind w:left="2"/>
              <w:jc w:val="both"/>
              <w:rPr>
                <w:rFonts w:ascii="Arial" w:hAnsi="Arial" w:eastAsia="Calibri" w:cs="Arial"/>
              </w:rPr>
            </w:pPr>
            <w:r w:rsidRPr="00BF57FF">
              <w:rPr>
                <w:rFonts w:ascii="Arial" w:hAnsi="Arial" w:eastAsia="Calibri" w:cs="Arial"/>
                <w:b/>
                <w:bCs/>
              </w:rPr>
              <w:t>Sample / Data Source</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49B4D1C5" w14:textId="77777777">
            <w:pPr>
              <w:spacing w:after="0" w:line="360" w:lineRule="auto"/>
              <w:ind w:left="2"/>
              <w:jc w:val="both"/>
              <w:rPr>
                <w:rFonts w:ascii="Arial" w:hAnsi="Arial" w:eastAsia="Calibri" w:cs="Arial"/>
              </w:rPr>
            </w:pPr>
            <w:r w:rsidRPr="00BF57FF">
              <w:rPr>
                <w:rFonts w:ascii="Arial" w:hAnsi="Arial" w:eastAsia="Calibri" w:cs="Arial"/>
              </w:rPr>
              <w:t>1,238 rabies death narratives; 9.1 million annual bite events estimated</w:t>
            </w:r>
          </w:p>
        </w:tc>
      </w:tr>
      <w:tr w:rsidRPr="00BF57FF" w:rsidR="009C5AD6" w:rsidTr="00F43AFD" w14:paraId="681133B5"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1117B775" w14:textId="77777777">
            <w:pPr>
              <w:spacing w:after="0" w:line="360" w:lineRule="auto"/>
              <w:ind w:left="2"/>
              <w:jc w:val="both"/>
              <w:rPr>
                <w:rFonts w:ascii="Arial" w:hAnsi="Arial" w:eastAsia="Calibri" w:cs="Arial"/>
              </w:rPr>
            </w:pPr>
            <w:r w:rsidRPr="00BF57FF">
              <w:rPr>
                <w:rFonts w:ascii="Arial" w:hAnsi="Arial" w:eastAsia="Calibri" w:cs="Arial"/>
                <w:b/>
                <w:bCs/>
              </w:rPr>
              <w:t>Objectives</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55E5B302" w14:textId="77777777">
            <w:pPr>
              <w:spacing w:after="0" w:line="360" w:lineRule="auto"/>
              <w:ind w:left="2"/>
              <w:jc w:val="both"/>
              <w:rPr>
                <w:rFonts w:ascii="Arial" w:hAnsi="Arial" w:eastAsia="Calibri" w:cs="Arial"/>
              </w:rPr>
            </w:pPr>
            <w:r w:rsidRPr="00BF57FF">
              <w:rPr>
                <w:rFonts w:ascii="Arial" w:hAnsi="Arial" w:eastAsia="Calibri" w:cs="Arial"/>
              </w:rPr>
              <w:t>To estimate the national burden of human rabies deaths and animal bites in India</w:t>
            </w:r>
          </w:p>
        </w:tc>
      </w:tr>
      <w:tr w:rsidRPr="00BF57FF" w:rsidR="009C5AD6" w:rsidTr="00F43AFD" w14:paraId="33111823"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76F99ABD" w14:textId="77777777">
            <w:pPr>
              <w:spacing w:after="0" w:line="360" w:lineRule="auto"/>
              <w:ind w:left="2"/>
              <w:jc w:val="both"/>
              <w:rPr>
                <w:rFonts w:ascii="Arial" w:hAnsi="Arial" w:eastAsia="Calibri" w:cs="Arial"/>
              </w:rPr>
            </w:pPr>
            <w:r w:rsidRPr="00BF57FF">
              <w:rPr>
                <w:rFonts w:ascii="Arial" w:hAnsi="Arial" w:eastAsia="Calibri" w:cs="Arial"/>
                <w:b/>
                <w:bCs/>
              </w:rPr>
              <w:t>Outcome Measures</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60B24BC1" w14:textId="77777777">
            <w:pPr>
              <w:spacing w:after="0" w:line="360" w:lineRule="auto"/>
              <w:ind w:left="2"/>
              <w:jc w:val="both"/>
              <w:rPr>
                <w:rFonts w:ascii="Arial" w:hAnsi="Arial" w:eastAsia="Calibri" w:cs="Arial"/>
              </w:rPr>
            </w:pPr>
            <w:r w:rsidRPr="00BF57FF">
              <w:rPr>
                <w:rFonts w:ascii="Arial" w:hAnsi="Arial" w:eastAsia="Calibri" w:cs="Arial"/>
              </w:rPr>
              <w:t>Annual rabies death count; bite incidence; PEP uptake rates</w:t>
            </w:r>
          </w:p>
        </w:tc>
      </w:tr>
      <w:tr w:rsidRPr="00BF57FF" w:rsidR="009C5AD6" w:rsidTr="00F43AFD" w14:paraId="72CD2845"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31D7B535" w14:textId="77777777">
            <w:pPr>
              <w:spacing w:after="0" w:line="360" w:lineRule="auto"/>
              <w:ind w:left="2"/>
              <w:jc w:val="both"/>
              <w:rPr>
                <w:rFonts w:ascii="Arial" w:hAnsi="Arial" w:eastAsia="Calibri" w:cs="Arial"/>
              </w:rPr>
            </w:pPr>
            <w:r w:rsidRPr="00BF57FF">
              <w:rPr>
                <w:rFonts w:ascii="Arial" w:hAnsi="Arial" w:eastAsia="Calibri" w:cs="Arial"/>
                <w:b/>
                <w:bCs/>
              </w:rPr>
              <w:t>Key Findings</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3B4F7876" w14:textId="77777777">
            <w:pPr>
              <w:spacing w:after="0" w:line="360" w:lineRule="auto"/>
              <w:ind w:left="2"/>
              <w:jc w:val="both"/>
              <w:rPr>
                <w:rFonts w:ascii="Arial" w:hAnsi="Arial" w:eastAsia="Calibri" w:cs="Arial"/>
              </w:rPr>
            </w:pPr>
            <w:r w:rsidRPr="00BF57FF">
              <w:rPr>
                <w:rFonts w:ascii="Arial" w:hAnsi="Arial" w:eastAsia="Calibri" w:cs="Arial"/>
              </w:rPr>
              <w:t>5,726 deaths/year; 79.5% received at least one ARV dose; completion varied substantially by state and urban-rural divide.</w:t>
            </w:r>
          </w:p>
        </w:tc>
      </w:tr>
      <w:tr w:rsidRPr="00BF57FF" w:rsidR="009C5AD6" w:rsidTr="00F43AFD" w14:paraId="1409CB7D"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438EE45D" w14:textId="77777777">
            <w:pPr>
              <w:spacing w:after="0" w:line="360" w:lineRule="auto"/>
              <w:ind w:left="2"/>
              <w:jc w:val="both"/>
              <w:rPr>
                <w:rFonts w:ascii="Arial" w:hAnsi="Arial" w:eastAsia="Calibri" w:cs="Arial"/>
              </w:rPr>
            </w:pPr>
            <w:r w:rsidRPr="00BF57FF">
              <w:rPr>
                <w:rFonts w:ascii="Arial" w:hAnsi="Arial" w:eastAsia="Calibri" w:cs="Arial"/>
                <w:b/>
                <w:bCs/>
              </w:rPr>
              <w:t>Quality Rating</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5BDBA305" w14:textId="77777777">
            <w:pPr>
              <w:spacing w:after="0" w:line="360" w:lineRule="auto"/>
              <w:ind w:left="2"/>
              <w:jc w:val="both"/>
              <w:rPr>
                <w:rFonts w:ascii="Arial" w:hAnsi="Arial" w:eastAsia="Calibri" w:cs="Arial"/>
              </w:rPr>
            </w:pPr>
            <w:r w:rsidRPr="00BF57FF">
              <w:rPr>
                <w:rFonts w:ascii="Arial" w:hAnsi="Arial" w:eastAsia="Calibri" w:cs="Arial"/>
              </w:rPr>
              <w:t>High (AXIS Tool)</w:t>
            </w:r>
          </w:p>
        </w:tc>
      </w:tr>
      <w:tr w:rsidRPr="00BF57FF" w:rsidR="009C5AD6" w:rsidTr="00F43AFD" w14:paraId="5C47F0E4"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56D037A0" w14:textId="77777777">
            <w:pPr>
              <w:spacing w:after="0" w:line="360" w:lineRule="auto"/>
              <w:ind w:left="2"/>
              <w:jc w:val="both"/>
              <w:rPr>
                <w:rFonts w:ascii="Arial" w:hAnsi="Arial" w:eastAsia="Calibri" w:cs="Arial"/>
              </w:rPr>
            </w:pPr>
            <w:r w:rsidRPr="00BF57FF">
              <w:rPr>
                <w:rFonts w:ascii="Arial" w:hAnsi="Arial" w:eastAsia="Calibri" w:cs="Arial"/>
                <w:b/>
                <w:bCs/>
              </w:rPr>
              <w:t>Review Theme(s)</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0CF2DE54" w14:textId="77777777">
            <w:pPr>
              <w:spacing w:after="0" w:line="360" w:lineRule="auto"/>
              <w:ind w:left="2"/>
              <w:jc w:val="both"/>
              <w:rPr>
                <w:rFonts w:ascii="Arial" w:hAnsi="Arial" w:eastAsia="Calibri" w:cs="Arial"/>
              </w:rPr>
            </w:pPr>
            <w:r w:rsidRPr="00BF57FF">
              <w:rPr>
                <w:rFonts w:ascii="Arial" w:hAnsi="Arial" w:eastAsia="Calibri" w:cs="Arial"/>
              </w:rPr>
              <w:t>Themes 3 and 4 — Health System Failures; Surveillance Inadequacy</w:t>
            </w:r>
          </w:p>
        </w:tc>
      </w:tr>
    </w:tbl>
    <w:p w:rsidRPr="00BF57FF" w:rsidR="009C5AD6" w:rsidP="00A70BBB" w:rsidRDefault="009C5AD6" w14:paraId="4EF13365" w14:textId="77777777">
      <w:pPr>
        <w:spacing w:after="0" w:line="360" w:lineRule="auto"/>
        <w:ind w:left="2"/>
        <w:jc w:val="both"/>
        <w:rPr>
          <w:rFonts w:ascii="Arial" w:hAnsi="Arial" w:eastAsia="Calibri" w:cs="Arial"/>
        </w:rPr>
      </w:pPr>
    </w:p>
    <w:p w:rsidRPr="00BF57FF" w:rsidR="009C5AD6" w:rsidP="00A70BBB" w:rsidRDefault="009C5AD6" w14:paraId="164D77FF" w14:textId="2B192164">
      <w:pPr>
        <w:spacing w:after="0" w:line="360" w:lineRule="auto"/>
        <w:ind w:left="2"/>
        <w:jc w:val="both"/>
        <w:rPr>
          <w:rFonts w:ascii="Arial" w:hAnsi="Arial" w:eastAsia="Calibri" w:cs="Arial"/>
        </w:rPr>
      </w:pPr>
      <w:r w:rsidRPr="00BF57FF">
        <w:rPr>
          <w:rFonts w:ascii="Arial" w:hAnsi="Arial" w:eastAsia="Calibri" w:cs="Arial"/>
          <w:b/>
          <w:bCs/>
        </w:rPr>
        <w:t>C.6  Study 6 — Sivagurunathan et al. (202</w:t>
      </w:r>
      <w:r w:rsidRPr="00BF57FF" w:rsidR="00CF1DC5">
        <w:rPr>
          <w:rFonts w:ascii="Arial" w:hAnsi="Arial" w:eastAsia="Calibri" w:cs="Arial"/>
          <w:b/>
          <w:bCs/>
        </w:rPr>
        <w:t>1</w:t>
      </w:r>
      <w:r w:rsidRPr="00BF57FF">
        <w:rPr>
          <w:rFonts w:ascii="Arial" w:hAnsi="Arial" w:eastAsia="Calibri" w:cs="Arial"/>
          <w:b/>
          <w:bCs/>
        </w:rPr>
        <w:t>)</w:t>
      </w:r>
    </w:p>
    <w:p w:rsidRPr="00BF57FF" w:rsidR="009C5AD6" w:rsidP="00A70BBB" w:rsidRDefault="009C5AD6" w14:paraId="35011DFF" w14:textId="77777777">
      <w:pPr>
        <w:spacing w:after="0" w:line="360" w:lineRule="auto"/>
        <w:ind w:left="2"/>
        <w:jc w:val="both"/>
        <w:rPr>
          <w:rFonts w:ascii="Arial" w:hAnsi="Arial" w:eastAsia="Calibri" w:cs="Arial"/>
        </w:rPr>
      </w:pPr>
    </w:p>
    <w:tbl>
      <w:tblPr>
        <w:tblW w:w="902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2500"/>
        <w:gridCol w:w="6526"/>
      </w:tblGrid>
      <w:tr w:rsidRPr="00BF57FF" w:rsidR="009C5AD6" w:rsidTr="00F43AFD" w14:paraId="7DC6D9E6"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06E8877F" w14:textId="77777777">
            <w:pPr>
              <w:spacing w:after="0" w:line="360" w:lineRule="auto"/>
              <w:ind w:left="2"/>
              <w:jc w:val="both"/>
              <w:rPr>
                <w:rFonts w:ascii="Arial" w:hAnsi="Arial" w:eastAsia="Calibri" w:cs="Arial"/>
              </w:rPr>
            </w:pPr>
            <w:r w:rsidRPr="00BF57FF">
              <w:rPr>
                <w:rFonts w:ascii="Arial" w:hAnsi="Arial" w:eastAsia="Calibri" w:cs="Arial"/>
                <w:b/>
                <w:bCs/>
              </w:rPr>
              <w:t>Study Identifier</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21A2CE08" w14:textId="77777777">
            <w:pPr>
              <w:spacing w:after="0" w:line="360" w:lineRule="auto"/>
              <w:ind w:left="2"/>
              <w:jc w:val="both"/>
              <w:rPr>
                <w:rFonts w:ascii="Arial" w:hAnsi="Arial" w:eastAsia="Calibri" w:cs="Arial"/>
              </w:rPr>
            </w:pPr>
            <w:r w:rsidRPr="00BF57FF">
              <w:rPr>
                <w:rFonts w:ascii="Arial" w:hAnsi="Arial" w:eastAsia="Calibri" w:cs="Arial"/>
              </w:rPr>
              <w:t>Study 6</w:t>
            </w:r>
          </w:p>
        </w:tc>
      </w:tr>
      <w:tr w:rsidRPr="00BF57FF" w:rsidR="009C5AD6" w:rsidTr="00F43AFD" w14:paraId="7E74E967"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50A25A51" w14:textId="77777777">
            <w:pPr>
              <w:spacing w:after="0" w:line="360" w:lineRule="auto"/>
              <w:ind w:left="2"/>
              <w:jc w:val="both"/>
              <w:rPr>
                <w:rFonts w:ascii="Arial" w:hAnsi="Arial" w:eastAsia="Calibri" w:cs="Arial"/>
              </w:rPr>
            </w:pPr>
            <w:r w:rsidRPr="00BF57FF">
              <w:rPr>
                <w:rFonts w:ascii="Arial" w:hAnsi="Arial" w:eastAsia="Calibri" w:cs="Arial"/>
                <w:b/>
                <w:bCs/>
              </w:rPr>
              <w:t>Full Citation</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7F6FC8BD" w14:textId="77777777">
            <w:pPr>
              <w:spacing w:after="0" w:line="360" w:lineRule="auto"/>
              <w:ind w:left="2"/>
              <w:jc w:val="both"/>
              <w:rPr>
                <w:rFonts w:ascii="Arial" w:hAnsi="Arial" w:eastAsia="Calibri" w:cs="Arial"/>
              </w:rPr>
            </w:pPr>
            <w:r w:rsidRPr="00BF57FF">
              <w:rPr>
                <w:rFonts w:ascii="Arial" w:hAnsi="Arial" w:eastAsia="Calibri" w:cs="Arial"/>
              </w:rPr>
              <w:t>Sivagurunathan, C., Umadevi, R., Balaji, A., Rama, R. and Gopalakrishnan, S., 2021. Knowledge, attitude, and practice study on animal bite, rabies, and its prevention in an urban community. Journal of Family Medicine and Primary Care, 10(2), pp.850–858. doi:10.4103/jfmpc.jfmpc_1674_20</w:t>
            </w:r>
          </w:p>
        </w:tc>
      </w:tr>
      <w:tr w:rsidRPr="00BF57FF" w:rsidR="009C5AD6" w:rsidTr="00F43AFD" w14:paraId="2EB47E53"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662B003D" w14:textId="77777777">
            <w:pPr>
              <w:spacing w:after="0" w:line="360" w:lineRule="auto"/>
              <w:ind w:left="2"/>
              <w:jc w:val="both"/>
              <w:rPr>
                <w:rFonts w:ascii="Arial" w:hAnsi="Arial" w:eastAsia="Calibri" w:cs="Arial"/>
              </w:rPr>
            </w:pPr>
            <w:r w:rsidRPr="00BF57FF">
              <w:rPr>
                <w:rFonts w:ascii="Arial" w:hAnsi="Arial" w:eastAsia="Calibri" w:cs="Arial"/>
                <w:b/>
                <w:bCs/>
              </w:rPr>
              <w:t>Study Design</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1AB50CB0" w14:textId="77777777">
            <w:pPr>
              <w:spacing w:after="0" w:line="360" w:lineRule="auto"/>
              <w:ind w:left="2"/>
              <w:jc w:val="both"/>
              <w:rPr>
                <w:rFonts w:ascii="Arial" w:hAnsi="Arial" w:eastAsia="Calibri" w:cs="Arial"/>
              </w:rPr>
            </w:pPr>
            <w:r w:rsidRPr="00BF57FF">
              <w:rPr>
                <w:rFonts w:ascii="Arial" w:hAnsi="Arial" w:eastAsia="Calibri" w:cs="Arial"/>
              </w:rPr>
              <w:t>Community KAP cross-sectional survey</w:t>
            </w:r>
          </w:p>
        </w:tc>
      </w:tr>
      <w:tr w:rsidRPr="00BF57FF" w:rsidR="009C5AD6" w:rsidTr="00F43AFD" w14:paraId="136E9106"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5D5F0D71" w14:textId="77777777">
            <w:pPr>
              <w:spacing w:after="0" w:line="360" w:lineRule="auto"/>
              <w:ind w:left="2"/>
              <w:jc w:val="both"/>
              <w:rPr>
                <w:rFonts w:ascii="Arial" w:hAnsi="Arial" w:eastAsia="Calibri" w:cs="Arial"/>
              </w:rPr>
            </w:pPr>
            <w:r w:rsidRPr="00BF57FF">
              <w:rPr>
                <w:rFonts w:ascii="Arial" w:hAnsi="Arial" w:eastAsia="Calibri" w:cs="Arial"/>
                <w:b/>
                <w:bCs/>
              </w:rPr>
              <w:t>Setting &amp; Population</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22939958" w14:textId="77777777">
            <w:pPr>
              <w:spacing w:after="0" w:line="360" w:lineRule="auto"/>
              <w:ind w:left="2"/>
              <w:jc w:val="both"/>
              <w:rPr>
                <w:rFonts w:ascii="Arial" w:hAnsi="Arial" w:eastAsia="Calibri" w:cs="Arial"/>
              </w:rPr>
            </w:pPr>
            <w:r w:rsidRPr="00BF57FF">
              <w:rPr>
                <w:rFonts w:ascii="Arial" w:hAnsi="Arial" w:eastAsia="Calibri" w:cs="Arial"/>
              </w:rPr>
              <w:t>Urban Chennai, Tamil Nadu, India</w:t>
            </w:r>
          </w:p>
        </w:tc>
      </w:tr>
      <w:tr w:rsidRPr="00BF57FF" w:rsidR="009C5AD6" w:rsidTr="00F43AFD" w14:paraId="5D2B6855"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13BE54AC" w14:textId="77777777">
            <w:pPr>
              <w:spacing w:after="0" w:line="360" w:lineRule="auto"/>
              <w:ind w:left="2"/>
              <w:jc w:val="both"/>
              <w:rPr>
                <w:rFonts w:ascii="Arial" w:hAnsi="Arial" w:eastAsia="Calibri" w:cs="Arial"/>
              </w:rPr>
            </w:pPr>
            <w:r w:rsidRPr="00BF57FF">
              <w:rPr>
                <w:rFonts w:ascii="Arial" w:hAnsi="Arial" w:eastAsia="Calibri" w:cs="Arial"/>
                <w:b/>
                <w:bCs/>
              </w:rPr>
              <w:t>Sample / Data Source</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07C2F486" w14:textId="77777777">
            <w:pPr>
              <w:spacing w:after="0" w:line="360" w:lineRule="auto"/>
              <w:ind w:left="2"/>
              <w:jc w:val="both"/>
              <w:rPr>
                <w:rFonts w:ascii="Arial" w:hAnsi="Arial" w:eastAsia="Calibri" w:cs="Arial"/>
              </w:rPr>
            </w:pPr>
            <w:r w:rsidRPr="00BF57FF">
              <w:rPr>
                <w:rFonts w:ascii="Arial" w:hAnsi="Arial" w:eastAsia="Calibri" w:cs="Arial"/>
              </w:rPr>
              <w:t>200 adult urban residents</w:t>
            </w:r>
          </w:p>
        </w:tc>
      </w:tr>
      <w:tr w:rsidRPr="00BF57FF" w:rsidR="009C5AD6" w:rsidTr="00F43AFD" w14:paraId="71499E0A"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654E72CC" w14:textId="77777777">
            <w:pPr>
              <w:spacing w:after="0" w:line="360" w:lineRule="auto"/>
              <w:ind w:left="2"/>
              <w:jc w:val="both"/>
              <w:rPr>
                <w:rFonts w:ascii="Arial" w:hAnsi="Arial" w:eastAsia="Calibri" w:cs="Arial"/>
              </w:rPr>
            </w:pPr>
            <w:r w:rsidRPr="00BF57FF">
              <w:rPr>
                <w:rFonts w:ascii="Arial" w:hAnsi="Arial" w:eastAsia="Calibri" w:cs="Arial"/>
                <w:b/>
                <w:bCs/>
              </w:rPr>
              <w:t>Objectives</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0D96E7DC" w14:textId="77777777">
            <w:pPr>
              <w:spacing w:after="0" w:line="360" w:lineRule="auto"/>
              <w:ind w:left="2"/>
              <w:jc w:val="both"/>
              <w:rPr>
                <w:rFonts w:ascii="Arial" w:hAnsi="Arial" w:eastAsia="Calibri" w:cs="Arial"/>
              </w:rPr>
            </w:pPr>
            <w:r w:rsidRPr="00BF57FF">
              <w:rPr>
                <w:rFonts w:ascii="Arial" w:hAnsi="Arial" w:eastAsia="Calibri" w:cs="Arial"/>
              </w:rPr>
              <w:t>To assess KAP regarding animal bites, rabies, and prevention in an urban community</w:t>
            </w:r>
          </w:p>
        </w:tc>
      </w:tr>
      <w:tr w:rsidRPr="00BF57FF" w:rsidR="009C5AD6" w:rsidTr="00F43AFD" w14:paraId="1896D047"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3040CB89" w14:textId="77777777">
            <w:pPr>
              <w:spacing w:after="0" w:line="360" w:lineRule="auto"/>
              <w:ind w:left="2"/>
              <w:jc w:val="both"/>
              <w:rPr>
                <w:rFonts w:ascii="Arial" w:hAnsi="Arial" w:eastAsia="Calibri" w:cs="Arial"/>
              </w:rPr>
            </w:pPr>
            <w:r w:rsidRPr="00BF57FF">
              <w:rPr>
                <w:rFonts w:ascii="Arial" w:hAnsi="Arial" w:eastAsia="Calibri" w:cs="Arial"/>
                <w:b/>
                <w:bCs/>
              </w:rPr>
              <w:t>Outcome Measures</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40CD21CF" w14:textId="77777777">
            <w:pPr>
              <w:spacing w:after="0" w:line="360" w:lineRule="auto"/>
              <w:ind w:left="2"/>
              <w:jc w:val="both"/>
              <w:rPr>
                <w:rFonts w:ascii="Arial" w:hAnsi="Arial" w:eastAsia="Calibri" w:cs="Arial"/>
              </w:rPr>
            </w:pPr>
            <w:r w:rsidRPr="00BF57FF">
              <w:rPr>
                <w:rFonts w:ascii="Arial" w:hAnsi="Arial" w:eastAsia="Calibri" w:cs="Arial"/>
              </w:rPr>
              <w:t>Awareness of rabies; knowledge of first-aid; vaccine completion rates</w:t>
            </w:r>
          </w:p>
        </w:tc>
      </w:tr>
      <w:tr w:rsidRPr="00BF57FF" w:rsidR="009C5AD6" w:rsidTr="00F43AFD" w14:paraId="7B7827F5"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6CC0F19B" w14:textId="77777777">
            <w:pPr>
              <w:spacing w:after="0" w:line="360" w:lineRule="auto"/>
              <w:ind w:left="2"/>
              <w:jc w:val="both"/>
              <w:rPr>
                <w:rFonts w:ascii="Arial" w:hAnsi="Arial" w:eastAsia="Calibri" w:cs="Arial"/>
              </w:rPr>
            </w:pPr>
            <w:r w:rsidRPr="00BF57FF">
              <w:rPr>
                <w:rFonts w:ascii="Arial" w:hAnsi="Arial" w:eastAsia="Calibri" w:cs="Arial"/>
                <w:b/>
                <w:bCs/>
              </w:rPr>
              <w:t>Key Findings</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4101C1E4" w14:textId="0176BDF1">
            <w:pPr>
              <w:spacing w:after="0" w:line="360" w:lineRule="auto"/>
              <w:ind w:left="2"/>
              <w:jc w:val="both"/>
              <w:rPr>
                <w:rFonts w:ascii="Arial" w:hAnsi="Arial" w:eastAsia="Calibri" w:cs="Arial"/>
              </w:rPr>
            </w:pPr>
            <w:r w:rsidRPr="00BF57FF">
              <w:rPr>
                <w:rFonts w:ascii="Arial" w:hAnsi="Arial" w:eastAsia="Calibri" w:cs="Arial"/>
              </w:rPr>
              <w:t xml:space="preserve">76% aware of rabies; only 37.3% knew correct first-aid; 35% completed vaccination; </w:t>
            </w:r>
            <w:r w:rsidRPr="00BF57FF" w:rsidR="00D75476">
              <w:rPr>
                <w:rFonts w:ascii="Arial" w:hAnsi="Arial" w:eastAsia="Calibri" w:cs="Arial"/>
              </w:rPr>
              <w:t>37.5% of bite victims washed wound with soap and water</w:t>
            </w:r>
            <w:r w:rsidRPr="00BF57FF">
              <w:rPr>
                <w:rFonts w:ascii="Arial" w:hAnsi="Arial" w:eastAsia="Calibri" w:cs="Arial"/>
              </w:rPr>
              <w:t>.</w:t>
            </w:r>
          </w:p>
        </w:tc>
      </w:tr>
      <w:tr w:rsidRPr="00BF57FF" w:rsidR="009C5AD6" w:rsidTr="00F43AFD" w14:paraId="72D48CB6"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4BA1E3EE" w14:textId="77777777">
            <w:pPr>
              <w:spacing w:after="0" w:line="360" w:lineRule="auto"/>
              <w:ind w:left="2"/>
              <w:jc w:val="both"/>
              <w:rPr>
                <w:rFonts w:ascii="Arial" w:hAnsi="Arial" w:eastAsia="Calibri" w:cs="Arial"/>
              </w:rPr>
            </w:pPr>
            <w:r w:rsidRPr="00BF57FF">
              <w:rPr>
                <w:rFonts w:ascii="Arial" w:hAnsi="Arial" w:eastAsia="Calibri" w:cs="Arial"/>
                <w:b/>
                <w:bCs/>
              </w:rPr>
              <w:t>Quality Rating</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1CB1FA1B" w14:textId="77777777">
            <w:pPr>
              <w:spacing w:after="0" w:line="360" w:lineRule="auto"/>
              <w:ind w:left="2"/>
              <w:jc w:val="both"/>
              <w:rPr>
                <w:rFonts w:ascii="Arial" w:hAnsi="Arial" w:eastAsia="Calibri" w:cs="Arial"/>
              </w:rPr>
            </w:pPr>
            <w:r w:rsidRPr="00BF57FF">
              <w:rPr>
                <w:rFonts w:ascii="Arial" w:hAnsi="Arial" w:eastAsia="Calibri" w:cs="Arial"/>
              </w:rPr>
              <w:t>Moderate (AXIS Tool)</w:t>
            </w:r>
          </w:p>
        </w:tc>
      </w:tr>
      <w:tr w:rsidRPr="00BF57FF" w:rsidR="009C5AD6" w:rsidTr="00F43AFD" w14:paraId="07D3DD88"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5F271714" w14:textId="77777777">
            <w:pPr>
              <w:spacing w:after="0" w:line="360" w:lineRule="auto"/>
              <w:ind w:left="2"/>
              <w:jc w:val="both"/>
              <w:rPr>
                <w:rFonts w:ascii="Arial" w:hAnsi="Arial" w:eastAsia="Calibri" w:cs="Arial"/>
              </w:rPr>
            </w:pPr>
            <w:r w:rsidRPr="00BF57FF">
              <w:rPr>
                <w:rFonts w:ascii="Arial" w:hAnsi="Arial" w:eastAsia="Calibri" w:cs="Arial"/>
                <w:b/>
                <w:bCs/>
              </w:rPr>
              <w:t>Review Theme(s)</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79AD48EE" w14:textId="77777777">
            <w:pPr>
              <w:spacing w:after="0" w:line="360" w:lineRule="auto"/>
              <w:ind w:left="2"/>
              <w:jc w:val="both"/>
              <w:rPr>
                <w:rFonts w:ascii="Arial" w:hAnsi="Arial" w:eastAsia="Calibri" w:cs="Arial"/>
              </w:rPr>
            </w:pPr>
            <w:r w:rsidRPr="00BF57FF">
              <w:rPr>
                <w:rFonts w:ascii="Arial" w:hAnsi="Arial" w:eastAsia="Calibri" w:cs="Arial"/>
              </w:rPr>
              <w:t>Theme 1 — Community Knowledge Gaps and Risk Perception</w:t>
            </w:r>
          </w:p>
        </w:tc>
      </w:tr>
    </w:tbl>
    <w:p w:rsidRPr="00BF57FF" w:rsidR="009C5AD6" w:rsidP="00A70BBB" w:rsidRDefault="009C5AD6" w14:paraId="65E662AD" w14:textId="77777777">
      <w:pPr>
        <w:spacing w:after="0" w:line="360" w:lineRule="auto"/>
        <w:ind w:left="2"/>
        <w:jc w:val="both"/>
        <w:rPr>
          <w:rFonts w:ascii="Arial" w:hAnsi="Arial" w:eastAsia="Calibri" w:cs="Arial"/>
        </w:rPr>
      </w:pPr>
    </w:p>
    <w:p w:rsidRPr="00BF57FF" w:rsidR="009C5AD6" w:rsidP="00A70BBB" w:rsidRDefault="009C5AD6" w14:paraId="5264707F" w14:textId="77777777">
      <w:pPr>
        <w:spacing w:after="0" w:line="360" w:lineRule="auto"/>
        <w:ind w:left="2"/>
        <w:jc w:val="both"/>
        <w:rPr>
          <w:rFonts w:ascii="Arial" w:hAnsi="Arial" w:eastAsia="Calibri" w:cs="Arial"/>
        </w:rPr>
      </w:pPr>
      <w:r w:rsidRPr="00BF57FF">
        <w:rPr>
          <w:rFonts w:ascii="Arial" w:hAnsi="Arial" w:eastAsia="Calibri" w:cs="Arial"/>
          <w:b/>
          <w:bCs/>
        </w:rPr>
        <w:t>C.7  Study 7 — Vanak et al. (2023)</w:t>
      </w:r>
    </w:p>
    <w:p w:rsidRPr="00BF57FF" w:rsidR="009C5AD6" w:rsidP="00A70BBB" w:rsidRDefault="009C5AD6" w14:paraId="723C9652" w14:textId="77777777">
      <w:pPr>
        <w:spacing w:after="0" w:line="360" w:lineRule="auto"/>
        <w:ind w:left="2"/>
        <w:jc w:val="both"/>
        <w:rPr>
          <w:rFonts w:ascii="Arial" w:hAnsi="Arial" w:eastAsia="Calibri" w:cs="Arial"/>
        </w:rPr>
      </w:pPr>
    </w:p>
    <w:tbl>
      <w:tblPr>
        <w:tblW w:w="902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2500"/>
        <w:gridCol w:w="6526"/>
      </w:tblGrid>
      <w:tr w:rsidRPr="00BF57FF" w:rsidR="009C5AD6" w:rsidTr="00F43AFD" w14:paraId="2BBF913F"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195FADFE" w14:textId="77777777">
            <w:pPr>
              <w:spacing w:after="0" w:line="360" w:lineRule="auto"/>
              <w:ind w:left="2"/>
              <w:jc w:val="both"/>
              <w:rPr>
                <w:rFonts w:ascii="Arial" w:hAnsi="Arial" w:eastAsia="Calibri" w:cs="Arial"/>
              </w:rPr>
            </w:pPr>
            <w:r w:rsidRPr="00BF57FF">
              <w:rPr>
                <w:rFonts w:ascii="Arial" w:hAnsi="Arial" w:eastAsia="Calibri" w:cs="Arial"/>
                <w:b/>
                <w:bCs/>
              </w:rPr>
              <w:t>Study Identifier</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06A2B9D3" w14:textId="77777777">
            <w:pPr>
              <w:spacing w:after="0" w:line="360" w:lineRule="auto"/>
              <w:ind w:left="2"/>
              <w:jc w:val="both"/>
              <w:rPr>
                <w:rFonts w:ascii="Arial" w:hAnsi="Arial" w:eastAsia="Calibri" w:cs="Arial"/>
              </w:rPr>
            </w:pPr>
            <w:r w:rsidRPr="00BF57FF">
              <w:rPr>
                <w:rFonts w:ascii="Arial" w:hAnsi="Arial" w:eastAsia="Calibri" w:cs="Arial"/>
              </w:rPr>
              <w:t>Study 7</w:t>
            </w:r>
          </w:p>
        </w:tc>
      </w:tr>
      <w:tr w:rsidRPr="00BF57FF" w:rsidR="009C5AD6" w:rsidTr="00F43AFD" w14:paraId="7BEDF29D"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6F33DD33" w14:textId="77777777">
            <w:pPr>
              <w:spacing w:after="0" w:line="360" w:lineRule="auto"/>
              <w:ind w:left="2"/>
              <w:jc w:val="both"/>
              <w:rPr>
                <w:rFonts w:ascii="Arial" w:hAnsi="Arial" w:eastAsia="Calibri" w:cs="Arial"/>
              </w:rPr>
            </w:pPr>
            <w:r w:rsidRPr="00BF57FF">
              <w:rPr>
                <w:rFonts w:ascii="Arial" w:hAnsi="Arial" w:eastAsia="Calibri" w:cs="Arial"/>
                <w:b/>
                <w:bCs/>
              </w:rPr>
              <w:t>Full Citation</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33B9DA06" w14:textId="77777777">
            <w:pPr>
              <w:spacing w:after="0" w:line="360" w:lineRule="auto"/>
              <w:ind w:left="2"/>
              <w:jc w:val="both"/>
              <w:rPr>
                <w:rFonts w:ascii="Arial" w:hAnsi="Arial" w:eastAsia="Calibri" w:cs="Arial"/>
              </w:rPr>
            </w:pPr>
            <w:r w:rsidRPr="00BF57FF">
              <w:rPr>
                <w:rFonts w:ascii="Arial" w:hAnsi="Arial" w:eastAsia="Calibri" w:cs="Arial"/>
              </w:rPr>
              <w:t>Vanak, A.T., Panchamia, N., Banerji, I. and Nair, M., 2023. A passive 'One Health' surveillance system to track canine rabies in urban India. CABI One Health, 2023(1), p.0022. doi:10.1079/cabionehealth.2023.0022</w:t>
            </w:r>
          </w:p>
        </w:tc>
      </w:tr>
      <w:tr w:rsidRPr="00BF57FF" w:rsidR="009C5AD6" w:rsidTr="00F43AFD" w14:paraId="776E1F22"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72817A73" w14:textId="77777777">
            <w:pPr>
              <w:spacing w:after="0" w:line="360" w:lineRule="auto"/>
              <w:ind w:left="2"/>
              <w:jc w:val="both"/>
              <w:rPr>
                <w:rFonts w:ascii="Arial" w:hAnsi="Arial" w:eastAsia="Calibri" w:cs="Arial"/>
              </w:rPr>
            </w:pPr>
            <w:r w:rsidRPr="00BF57FF">
              <w:rPr>
                <w:rFonts w:ascii="Arial" w:hAnsi="Arial" w:eastAsia="Calibri" w:cs="Arial"/>
                <w:b/>
                <w:bCs/>
              </w:rPr>
              <w:t>Study Design</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6C439313" w14:textId="77777777">
            <w:pPr>
              <w:spacing w:after="0" w:line="360" w:lineRule="auto"/>
              <w:ind w:left="2"/>
              <w:jc w:val="both"/>
              <w:rPr>
                <w:rFonts w:ascii="Arial" w:hAnsi="Arial" w:eastAsia="Calibri" w:cs="Arial"/>
              </w:rPr>
            </w:pPr>
            <w:r w:rsidRPr="00BF57FF">
              <w:rPr>
                <w:rFonts w:ascii="Arial" w:hAnsi="Arial" w:eastAsia="Calibri" w:cs="Arial"/>
              </w:rPr>
              <w:t>Passive observational surveillance study</w:t>
            </w:r>
          </w:p>
        </w:tc>
      </w:tr>
      <w:tr w:rsidRPr="00BF57FF" w:rsidR="009C5AD6" w:rsidTr="00F43AFD" w14:paraId="2ACA04AC"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56AD5675" w14:textId="77777777">
            <w:pPr>
              <w:spacing w:after="0" w:line="360" w:lineRule="auto"/>
              <w:ind w:left="2"/>
              <w:jc w:val="both"/>
              <w:rPr>
                <w:rFonts w:ascii="Arial" w:hAnsi="Arial" w:eastAsia="Calibri" w:cs="Arial"/>
              </w:rPr>
            </w:pPr>
            <w:r w:rsidRPr="00BF57FF">
              <w:rPr>
                <w:rFonts w:ascii="Arial" w:hAnsi="Arial" w:eastAsia="Calibri" w:cs="Arial"/>
                <w:b/>
                <w:bCs/>
              </w:rPr>
              <w:t>Setting &amp; Population</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52DAB120" w14:textId="77777777">
            <w:pPr>
              <w:spacing w:after="0" w:line="360" w:lineRule="auto"/>
              <w:ind w:left="2"/>
              <w:jc w:val="both"/>
              <w:rPr>
                <w:rFonts w:ascii="Arial" w:hAnsi="Arial" w:eastAsia="Calibri" w:cs="Arial"/>
              </w:rPr>
            </w:pPr>
            <w:r w:rsidRPr="00BF57FF">
              <w:rPr>
                <w:rFonts w:ascii="Arial" w:hAnsi="Arial" w:eastAsia="Calibri" w:cs="Arial"/>
              </w:rPr>
              <w:t>Urban Pune, Maharashtra, India (2015–2021)</w:t>
            </w:r>
          </w:p>
        </w:tc>
      </w:tr>
      <w:tr w:rsidRPr="00BF57FF" w:rsidR="009C5AD6" w:rsidTr="00F43AFD" w14:paraId="7F111131"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2322117A" w14:textId="77777777">
            <w:pPr>
              <w:spacing w:after="0" w:line="360" w:lineRule="auto"/>
              <w:ind w:left="2"/>
              <w:jc w:val="both"/>
              <w:rPr>
                <w:rFonts w:ascii="Arial" w:hAnsi="Arial" w:eastAsia="Calibri" w:cs="Arial"/>
              </w:rPr>
            </w:pPr>
            <w:r w:rsidRPr="00BF57FF">
              <w:rPr>
                <w:rFonts w:ascii="Arial" w:hAnsi="Arial" w:eastAsia="Calibri" w:cs="Arial"/>
                <w:b/>
                <w:bCs/>
              </w:rPr>
              <w:t>Sample / Data Source</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6D054ABC" w14:textId="77777777">
            <w:pPr>
              <w:spacing w:after="0" w:line="360" w:lineRule="auto"/>
              <w:ind w:left="2"/>
              <w:jc w:val="both"/>
              <w:rPr>
                <w:rFonts w:ascii="Arial" w:hAnsi="Arial" w:eastAsia="Calibri" w:cs="Arial"/>
              </w:rPr>
            </w:pPr>
            <w:r w:rsidRPr="00BF57FF">
              <w:rPr>
                <w:rFonts w:ascii="Arial" w:hAnsi="Arial" w:eastAsia="Calibri" w:cs="Arial"/>
              </w:rPr>
              <w:t>90,700+ community call reports; Hawk Data Pro platform</w:t>
            </w:r>
          </w:p>
        </w:tc>
      </w:tr>
      <w:tr w:rsidRPr="00BF57FF" w:rsidR="009C5AD6" w:rsidTr="00F43AFD" w14:paraId="7D5B1528"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4CCD9197" w14:textId="77777777">
            <w:pPr>
              <w:spacing w:after="0" w:line="360" w:lineRule="auto"/>
              <w:ind w:left="2"/>
              <w:jc w:val="both"/>
              <w:rPr>
                <w:rFonts w:ascii="Arial" w:hAnsi="Arial" w:eastAsia="Calibri" w:cs="Arial"/>
              </w:rPr>
            </w:pPr>
            <w:r w:rsidRPr="00BF57FF">
              <w:rPr>
                <w:rFonts w:ascii="Arial" w:hAnsi="Arial" w:eastAsia="Calibri" w:cs="Arial"/>
                <w:b/>
                <w:bCs/>
              </w:rPr>
              <w:t>Objectives</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05573363" w14:textId="77777777">
            <w:pPr>
              <w:spacing w:after="0" w:line="360" w:lineRule="auto"/>
              <w:ind w:left="2"/>
              <w:jc w:val="both"/>
              <w:rPr>
                <w:rFonts w:ascii="Arial" w:hAnsi="Arial" w:eastAsia="Calibri" w:cs="Arial"/>
              </w:rPr>
            </w:pPr>
            <w:r w:rsidRPr="00BF57FF">
              <w:rPr>
                <w:rFonts w:ascii="Arial" w:hAnsi="Arial" w:eastAsia="Calibri" w:cs="Arial"/>
              </w:rPr>
              <w:t>To evaluate a community-based passive surveillance system for canine rabies detection in urban India</w:t>
            </w:r>
          </w:p>
        </w:tc>
      </w:tr>
      <w:tr w:rsidRPr="00BF57FF" w:rsidR="009C5AD6" w:rsidTr="00F43AFD" w14:paraId="16BA7274"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2A47A894" w14:textId="77777777">
            <w:pPr>
              <w:spacing w:after="0" w:line="360" w:lineRule="auto"/>
              <w:ind w:left="2"/>
              <w:jc w:val="both"/>
              <w:rPr>
                <w:rFonts w:ascii="Arial" w:hAnsi="Arial" w:eastAsia="Calibri" w:cs="Arial"/>
              </w:rPr>
            </w:pPr>
            <w:r w:rsidRPr="00BF57FF">
              <w:rPr>
                <w:rFonts w:ascii="Arial" w:hAnsi="Arial" w:eastAsia="Calibri" w:cs="Arial"/>
                <w:b/>
                <w:bCs/>
              </w:rPr>
              <w:t>Outcome Measures</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1A1AF1C9" w14:textId="77777777">
            <w:pPr>
              <w:spacing w:after="0" w:line="360" w:lineRule="auto"/>
              <w:ind w:left="2"/>
              <w:jc w:val="both"/>
              <w:rPr>
                <w:rFonts w:ascii="Arial" w:hAnsi="Arial" w:eastAsia="Calibri" w:cs="Arial"/>
              </w:rPr>
            </w:pPr>
            <w:r w:rsidRPr="00BF57FF">
              <w:rPr>
                <w:rFonts w:ascii="Arial" w:hAnsi="Arial" w:eastAsia="Calibri" w:cs="Arial"/>
              </w:rPr>
              <w:t>Rabies-positive dog count; outbreak detection time; geographic distribution</w:t>
            </w:r>
          </w:p>
        </w:tc>
      </w:tr>
      <w:tr w:rsidRPr="00BF57FF" w:rsidR="009C5AD6" w:rsidTr="00F43AFD" w14:paraId="4E849461"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09C59C18" w14:textId="77777777">
            <w:pPr>
              <w:spacing w:after="0" w:line="360" w:lineRule="auto"/>
              <w:ind w:left="2"/>
              <w:jc w:val="both"/>
              <w:rPr>
                <w:rFonts w:ascii="Arial" w:hAnsi="Arial" w:eastAsia="Calibri" w:cs="Arial"/>
              </w:rPr>
            </w:pPr>
            <w:r w:rsidRPr="00BF57FF">
              <w:rPr>
                <w:rFonts w:ascii="Arial" w:hAnsi="Arial" w:eastAsia="Calibri" w:cs="Arial"/>
                <w:b/>
                <w:bCs/>
              </w:rPr>
              <w:t>Key Findings</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7D01F0EC" w14:textId="77777777">
            <w:pPr>
              <w:spacing w:after="0" w:line="360" w:lineRule="auto"/>
              <w:ind w:left="2"/>
              <w:jc w:val="both"/>
              <w:rPr>
                <w:rFonts w:ascii="Arial" w:hAnsi="Arial" w:eastAsia="Calibri" w:cs="Arial"/>
              </w:rPr>
            </w:pPr>
            <w:r w:rsidRPr="00BF57FF">
              <w:rPr>
                <w:rFonts w:ascii="Arial" w:hAnsi="Arial" w:eastAsia="Calibri" w:cs="Arial"/>
              </w:rPr>
              <w:t>749 dogs confirmed rabies-positive; real-time outbreak detection achieved; passive surveillance outperformed conventional systems.</w:t>
            </w:r>
          </w:p>
        </w:tc>
      </w:tr>
      <w:tr w:rsidRPr="00BF57FF" w:rsidR="009C5AD6" w:rsidTr="00F43AFD" w14:paraId="3460DC9E"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4F3D36D0" w14:textId="77777777">
            <w:pPr>
              <w:spacing w:after="0" w:line="360" w:lineRule="auto"/>
              <w:ind w:left="2"/>
              <w:jc w:val="both"/>
              <w:rPr>
                <w:rFonts w:ascii="Arial" w:hAnsi="Arial" w:eastAsia="Calibri" w:cs="Arial"/>
              </w:rPr>
            </w:pPr>
            <w:r w:rsidRPr="00BF57FF">
              <w:rPr>
                <w:rFonts w:ascii="Arial" w:hAnsi="Arial" w:eastAsia="Calibri" w:cs="Arial"/>
                <w:b/>
                <w:bCs/>
              </w:rPr>
              <w:t>Quality Rating</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7A6CA0C7" w14:textId="77777777">
            <w:pPr>
              <w:spacing w:after="0" w:line="360" w:lineRule="auto"/>
              <w:ind w:left="2"/>
              <w:jc w:val="both"/>
              <w:rPr>
                <w:rFonts w:ascii="Arial" w:hAnsi="Arial" w:eastAsia="Calibri" w:cs="Arial"/>
              </w:rPr>
            </w:pPr>
            <w:r w:rsidRPr="00BF57FF">
              <w:rPr>
                <w:rFonts w:ascii="Arial" w:hAnsi="Arial" w:eastAsia="Calibri" w:cs="Arial"/>
              </w:rPr>
              <w:t>High (CASP Cohort)</w:t>
            </w:r>
          </w:p>
        </w:tc>
      </w:tr>
      <w:tr w:rsidRPr="00BF57FF" w:rsidR="009C5AD6" w:rsidTr="00F43AFD" w14:paraId="176D1EC5"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02FC69A7" w14:textId="77777777">
            <w:pPr>
              <w:spacing w:after="0" w:line="360" w:lineRule="auto"/>
              <w:ind w:left="2"/>
              <w:jc w:val="both"/>
              <w:rPr>
                <w:rFonts w:ascii="Arial" w:hAnsi="Arial" w:eastAsia="Calibri" w:cs="Arial"/>
              </w:rPr>
            </w:pPr>
            <w:r w:rsidRPr="00BF57FF">
              <w:rPr>
                <w:rFonts w:ascii="Arial" w:hAnsi="Arial" w:eastAsia="Calibri" w:cs="Arial"/>
                <w:b/>
                <w:bCs/>
              </w:rPr>
              <w:t>Review Theme(s)</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286DCD63" w14:textId="77777777">
            <w:pPr>
              <w:spacing w:after="0" w:line="360" w:lineRule="auto"/>
              <w:ind w:left="2"/>
              <w:jc w:val="both"/>
              <w:rPr>
                <w:rFonts w:ascii="Arial" w:hAnsi="Arial" w:eastAsia="Calibri" w:cs="Arial"/>
              </w:rPr>
            </w:pPr>
            <w:r w:rsidRPr="00BF57FF">
              <w:rPr>
                <w:rFonts w:ascii="Arial" w:hAnsi="Arial" w:eastAsia="Calibri" w:cs="Arial"/>
              </w:rPr>
              <w:t>Theme 4 — Surveillance Inadequacy and Under-Reporting</w:t>
            </w:r>
          </w:p>
        </w:tc>
      </w:tr>
    </w:tbl>
    <w:p w:rsidRPr="00BF57FF" w:rsidR="009C5AD6" w:rsidP="00A70BBB" w:rsidRDefault="009C5AD6" w14:paraId="504220D7" w14:textId="77777777">
      <w:pPr>
        <w:spacing w:after="0" w:line="360" w:lineRule="auto"/>
        <w:ind w:left="2"/>
        <w:jc w:val="both"/>
        <w:rPr>
          <w:rFonts w:ascii="Arial" w:hAnsi="Arial" w:eastAsia="Calibri" w:cs="Arial"/>
        </w:rPr>
      </w:pPr>
    </w:p>
    <w:p w:rsidRPr="00BF57FF" w:rsidR="009C5AD6" w:rsidP="00A70BBB" w:rsidRDefault="009C5AD6" w14:paraId="13F2B791" w14:textId="2E40CE91">
      <w:pPr>
        <w:spacing w:after="0" w:line="360" w:lineRule="auto"/>
        <w:ind w:left="2"/>
        <w:jc w:val="both"/>
        <w:rPr>
          <w:rFonts w:ascii="Arial" w:hAnsi="Arial" w:eastAsia="Calibri" w:cs="Arial"/>
        </w:rPr>
      </w:pPr>
      <w:r w:rsidRPr="00BF57FF">
        <w:rPr>
          <w:rFonts w:ascii="Arial" w:hAnsi="Arial" w:eastAsia="Calibri" w:cs="Arial"/>
          <w:b/>
          <w:bCs/>
        </w:rPr>
        <w:t>C.8  Study 8 — Sudarshan et al. (20</w:t>
      </w:r>
      <w:r w:rsidRPr="00BF57FF" w:rsidR="00D63224">
        <w:rPr>
          <w:rFonts w:ascii="Arial" w:hAnsi="Arial" w:eastAsia="Calibri" w:cs="Arial"/>
          <w:b/>
          <w:bCs/>
        </w:rPr>
        <w:t>19</w:t>
      </w:r>
      <w:r w:rsidRPr="00BF57FF">
        <w:rPr>
          <w:rFonts w:ascii="Arial" w:hAnsi="Arial" w:eastAsia="Calibri" w:cs="Arial"/>
          <w:b/>
          <w:bCs/>
        </w:rPr>
        <w:t>)</w:t>
      </w:r>
    </w:p>
    <w:p w:rsidRPr="00BF57FF" w:rsidR="009C5AD6" w:rsidP="00A70BBB" w:rsidRDefault="009C5AD6" w14:paraId="6178F8E2" w14:textId="77777777">
      <w:pPr>
        <w:spacing w:after="0" w:line="360" w:lineRule="auto"/>
        <w:ind w:left="2"/>
        <w:jc w:val="both"/>
        <w:rPr>
          <w:rFonts w:ascii="Arial" w:hAnsi="Arial" w:eastAsia="Calibri" w:cs="Arial"/>
        </w:rPr>
      </w:pPr>
    </w:p>
    <w:tbl>
      <w:tblPr>
        <w:tblW w:w="902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2500"/>
        <w:gridCol w:w="6526"/>
      </w:tblGrid>
      <w:tr w:rsidRPr="00BF57FF" w:rsidR="009C5AD6" w:rsidTr="00F43AFD" w14:paraId="676F0C04"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78F0F3AE" w14:textId="77777777">
            <w:pPr>
              <w:spacing w:after="0" w:line="360" w:lineRule="auto"/>
              <w:ind w:left="2"/>
              <w:jc w:val="both"/>
              <w:rPr>
                <w:rFonts w:ascii="Arial" w:hAnsi="Arial" w:eastAsia="Calibri" w:cs="Arial"/>
              </w:rPr>
            </w:pPr>
            <w:r w:rsidRPr="00BF57FF">
              <w:rPr>
                <w:rFonts w:ascii="Arial" w:hAnsi="Arial" w:eastAsia="Calibri" w:cs="Arial"/>
                <w:b/>
                <w:bCs/>
              </w:rPr>
              <w:t>Study Identifier</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4EC14489" w14:textId="77777777">
            <w:pPr>
              <w:spacing w:after="0" w:line="360" w:lineRule="auto"/>
              <w:ind w:left="2"/>
              <w:jc w:val="both"/>
              <w:rPr>
                <w:rFonts w:ascii="Arial" w:hAnsi="Arial" w:eastAsia="Calibri" w:cs="Arial"/>
              </w:rPr>
            </w:pPr>
            <w:r w:rsidRPr="00BF57FF">
              <w:rPr>
                <w:rFonts w:ascii="Arial" w:hAnsi="Arial" w:eastAsia="Calibri" w:cs="Arial"/>
              </w:rPr>
              <w:t>Study 8</w:t>
            </w:r>
          </w:p>
        </w:tc>
      </w:tr>
      <w:tr w:rsidRPr="00BF57FF" w:rsidR="009C5AD6" w:rsidTr="00F43AFD" w14:paraId="1DA66DB2"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2A2CE3E6" w14:textId="77777777">
            <w:pPr>
              <w:spacing w:after="0" w:line="360" w:lineRule="auto"/>
              <w:ind w:left="2"/>
              <w:jc w:val="both"/>
              <w:rPr>
                <w:rFonts w:ascii="Arial" w:hAnsi="Arial" w:eastAsia="Calibri" w:cs="Arial"/>
              </w:rPr>
            </w:pPr>
            <w:r w:rsidRPr="00BF57FF">
              <w:rPr>
                <w:rFonts w:ascii="Arial" w:hAnsi="Arial" w:eastAsia="Calibri" w:cs="Arial"/>
                <w:b/>
                <w:bCs/>
              </w:rPr>
              <w:t>Full Citation</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172FBE5B" w14:textId="77777777">
            <w:pPr>
              <w:spacing w:after="0" w:line="360" w:lineRule="auto"/>
              <w:ind w:left="2"/>
              <w:jc w:val="both"/>
              <w:rPr>
                <w:rFonts w:ascii="Arial" w:hAnsi="Arial" w:eastAsia="Calibri" w:cs="Arial"/>
              </w:rPr>
            </w:pPr>
            <w:r w:rsidRPr="00BF57FF">
              <w:rPr>
                <w:rFonts w:ascii="Arial" w:hAnsi="Arial" w:eastAsia="Calibri" w:cs="Arial"/>
              </w:rPr>
              <w:t>Sudarshan, M.K. and Ashwath Narayana, D.H., 2019. Appraisal of surveillance of human rabies and animal bites in seven states of India. Indian Journal of Public Health, 63(Supplement 1), pp.S3–S8. doi:10.4103/ijph.IJPH_377_19</w:t>
            </w:r>
          </w:p>
        </w:tc>
      </w:tr>
      <w:tr w:rsidRPr="00BF57FF" w:rsidR="009C5AD6" w:rsidTr="00F43AFD" w14:paraId="06E6D0B7"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14CB07D4" w14:textId="77777777">
            <w:pPr>
              <w:spacing w:after="0" w:line="360" w:lineRule="auto"/>
              <w:ind w:left="2"/>
              <w:jc w:val="both"/>
              <w:rPr>
                <w:rFonts w:ascii="Arial" w:hAnsi="Arial" w:eastAsia="Calibri" w:cs="Arial"/>
              </w:rPr>
            </w:pPr>
            <w:r w:rsidRPr="00BF57FF">
              <w:rPr>
                <w:rFonts w:ascii="Arial" w:hAnsi="Arial" w:eastAsia="Calibri" w:cs="Arial"/>
                <w:b/>
                <w:bCs/>
              </w:rPr>
              <w:t>Study Design</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4BF81267" w14:textId="77777777">
            <w:pPr>
              <w:spacing w:after="0" w:line="360" w:lineRule="auto"/>
              <w:ind w:left="2"/>
              <w:jc w:val="both"/>
              <w:rPr>
                <w:rFonts w:ascii="Arial" w:hAnsi="Arial" w:eastAsia="Calibri" w:cs="Arial"/>
              </w:rPr>
            </w:pPr>
            <w:r w:rsidRPr="00BF57FF">
              <w:rPr>
                <w:rFonts w:ascii="Arial" w:hAnsi="Arial" w:eastAsia="Calibri" w:cs="Arial"/>
              </w:rPr>
              <w:t>Record-based surveillance appraisal</w:t>
            </w:r>
          </w:p>
        </w:tc>
      </w:tr>
      <w:tr w:rsidRPr="00BF57FF" w:rsidR="009C5AD6" w:rsidTr="00F43AFD" w14:paraId="14FE4500"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5FE1A10B" w14:textId="77777777">
            <w:pPr>
              <w:spacing w:after="0" w:line="360" w:lineRule="auto"/>
              <w:ind w:left="2"/>
              <w:jc w:val="both"/>
              <w:rPr>
                <w:rFonts w:ascii="Arial" w:hAnsi="Arial" w:eastAsia="Calibri" w:cs="Arial"/>
              </w:rPr>
            </w:pPr>
            <w:r w:rsidRPr="00BF57FF">
              <w:rPr>
                <w:rFonts w:ascii="Arial" w:hAnsi="Arial" w:eastAsia="Calibri" w:cs="Arial"/>
                <w:b/>
                <w:bCs/>
              </w:rPr>
              <w:t>Setting &amp; Population</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6DEC1569" w14:textId="77777777">
            <w:pPr>
              <w:spacing w:after="0" w:line="360" w:lineRule="auto"/>
              <w:ind w:left="2"/>
              <w:jc w:val="both"/>
              <w:rPr>
                <w:rFonts w:ascii="Arial" w:hAnsi="Arial" w:eastAsia="Calibri" w:cs="Arial"/>
              </w:rPr>
            </w:pPr>
            <w:r w:rsidRPr="00BF57FF">
              <w:rPr>
                <w:rFonts w:ascii="Arial" w:hAnsi="Arial" w:eastAsia="Calibri" w:cs="Arial"/>
              </w:rPr>
              <w:t>Seven Indian states (national appraisal)</w:t>
            </w:r>
          </w:p>
        </w:tc>
      </w:tr>
      <w:tr w:rsidRPr="00BF57FF" w:rsidR="009C5AD6" w:rsidTr="00F43AFD" w14:paraId="4118985F"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79A9BB2E" w14:textId="77777777">
            <w:pPr>
              <w:spacing w:after="0" w:line="360" w:lineRule="auto"/>
              <w:ind w:left="2"/>
              <w:jc w:val="both"/>
              <w:rPr>
                <w:rFonts w:ascii="Arial" w:hAnsi="Arial" w:eastAsia="Calibri" w:cs="Arial"/>
              </w:rPr>
            </w:pPr>
            <w:r w:rsidRPr="00BF57FF">
              <w:rPr>
                <w:rFonts w:ascii="Arial" w:hAnsi="Arial" w:eastAsia="Calibri" w:cs="Arial"/>
                <w:b/>
                <w:bCs/>
              </w:rPr>
              <w:t>Sample / Data Source</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7F7EDE06" w14:textId="77777777">
            <w:pPr>
              <w:spacing w:after="0" w:line="360" w:lineRule="auto"/>
              <w:ind w:left="2"/>
              <w:jc w:val="both"/>
              <w:rPr>
                <w:rFonts w:ascii="Arial" w:hAnsi="Arial" w:eastAsia="Calibri" w:cs="Arial"/>
              </w:rPr>
            </w:pPr>
            <w:r w:rsidRPr="00BF57FF">
              <w:rPr>
                <w:rFonts w:ascii="Arial" w:hAnsi="Arial" w:eastAsia="Calibri" w:cs="Arial"/>
              </w:rPr>
              <w:t>State IDSP office records compared with national NCDC data</w:t>
            </w:r>
          </w:p>
        </w:tc>
      </w:tr>
      <w:tr w:rsidRPr="00BF57FF" w:rsidR="009C5AD6" w:rsidTr="00F43AFD" w14:paraId="141313DA"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679A48A7" w14:textId="77777777">
            <w:pPr>
              <w:spacing w:after="0" w:line="360" w:lineRule="auto"/>
              <w:ind w:left="2"/>
              <w:jc w:val="both"/>
              <w:rPr>
                <w:rFonts w:ascii="Arial" w:hAnsi="Arial" w:eastAsia="Calibri" w:cs="Arial"/>
              </w:rPr>
            </w:pPr>
            <w:r w:rsidRPr="00BF57FF">
              <w:rPr>
                <w:rFonts w:ascii="Arial" w:hAnsi="Arial" w:eastAsia="Calibri" w:cs="Arial"/>
                <w:b/>
                <w:bCs/>
              </w:rPr>
              <w:t>Objectives</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24E22E33" w14:textId="77777777">
            <w:pPr>
              <w:spacing w:after="0" w:line="360" w:lineRule="auto"/>
              <w:ind w:left="2"/>
              <w:jc w:val="both"/>
              <w:rPr>
                <w:rFonts w:ascii="Arial" w:hAnsi="Arial" w:eastAsia="Calibri" w:cs="Arial"/>
              </w:rPr>
            </w:pPr>
            <w:r w:rsidRPr="00BF57FF">
              <w:rPr>
                <w:rFonts w:ascii="Arial" w:hAnsi="Arial" w:eastAsia="Calibri" w:cs="Arial"/>
              </w:rPr>
              <w:t>To appraise the adequacy of human rabies and animal bite surveillance in seven Indian states</w:t>
            </w:r>
          </w:p>
        </w:tc>
      </w:tr>
      <w:tr w:rsidRPr="00BF57FF" w:rsidR="009C5AD6" w:rsidTr="00F43AFD" w14:paraId="3590B970"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3AED43F3" w14:textId="77777777">
            <w:pPr>
              <w:spacing w:after="0" w:line="360" w:lineRule="auto"/>
              <w:ind w:left="2"/>
              <w:jc w:val="both"/>
              <w:rPr>
                <w:rFonts w:ascii="Arial" w:hAnsi="Arial" w:eastAsia="Calibri" w:cs="Arial"/>
              </w:rPr>
            </w:pPr>
            <w:r w:rsidRPr="00BF57FF">
              <w:rPr>
                <w:rFonts w:ascii="Arial" w:hAnsi="Arial" w:eastAsia="Calibri" w:cs="Arial"/>
                <w:b/>
                <w:bCs/>
              </w:rPr>
              <w:t>Outcome Measures</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3B548C22" w14:textId="77777777">
            <w:pPr>
              <w:spacing w:after="0" w:line="360" w:lineRule="auto"/>
              <w:ind w:left="2"/>
              <w:jc w:val="both"/>
              <w:rPr>
                <w:rFonts w:ascii="Arial" w:hAnsi="Arial" w:eastAsia="Calibri" w:cs="Arial"/>
              </w:rPr>
            </w:pPr>
            <w:r w:rsidRPr="00BF57FF">
              <w:rPr>
                <w:rFonts w:ascii="Arial" w:hAnsi="Arial" w:eastAsia="Calibri" w:cs="Arial"/>
              </w:rPr>
              <w:t>Concordance between state and national data; reporting completeness; data quality</w:t>
            </w:r>
          </w:p>
        </w:tc>
      </w:tr>
      <w:tr w:rsidRPr="00BF57FF" w:rsidR="009C5AD6" w:rsidTr="00F43AFD" w14:paraId="2FE7C264"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0C26C34D" w14:textId="77777777">
            <w:pPr>
              <w:spacing w:after="0" w:line="360" w:lineRule="auto"/>
              <w:ind w:left="2"/>
              <w:jc w:val="both"/>
              <w:rPr>
                <w:rFonts w:ascii="Arial" w:hAnsi="Arial" w:eastAsia="Calibri" w:cs="Arial"/>
              </w:rPr>
            </w:pPr>
            <w:r w:rsidRPr="00BF57FF">
              <w:rPr>
                <w:rFonts w:ascii="Arial" w:hAnsi="Arial" w:eastAsia="Calibri" w:cs="Arial"/>
                <w:b/>
                <w:bCs/>
              </w:rPr>
              <w:t>Key Findings</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461F0AA2" w14:textId="77777777">
            <w:pPr>
              <w:spacing w:after="0" w:line="360" w:lineRule="auto"/>
              <w:ind w:left="2"/>
              <w:jc w:val="both"/>
              <w:rPr>
                <w:rFonts w:ascii="Arial" w:hAnsi="Arial" w:eastAsia="Calibri" w:cs="Arial"/>
              </w:rPr>
            </w:pPr>
            <w:r w:rsidRPr="00BF57FF">
              <w:rPr>
                <w:rFonts w:ascii="Arial" w:hAnsi="Arial" w:eastAsia="Calibri" w:cs="Arial"/>
              </w:rPr>
              <w:t>Gross under-reporting of human rabies; no concordance between state IDSP and NCDC; surveillance described as fragmented.</w:t>
            </w:r>
          </w:p>
        </w:tc>
      </w:tr>
      <w:tr w:rsidRPr="00BF57FF" w:rsidR="009C5AD6" w:rsidTr="00F43AFD" w14:paraId="0C801040"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6919527D" w14:textId="77777777">
            <w:pPr>
              <w:spacing w:after="0" w:line="360" w:lineRule="auto"/>
              <w:ind w:left="2"/>
              <w:jc w:val="both"/>
              <w:rPr>
                <w:rFonts w:ascii="Arial" w:hAnsi="Arial" w:eastAsia="Calibri" w:cs="Arial"/>
              </w:rPr>
            </w:pPr>
            <w:r w:rsidRPr="00BF57FF">
              <w:rPr>
                <w:rFonts w:ascii="Arial" w:hAnsi="Arial" w:eastAsia="Calibri" w:cs="Arial"/>
                <w:b/>
                <w:bCs/>
              </w:rPr>
              <w:t>Quality Rating</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0B7E6F4A" w14:textId="77777777">
            <w:pPr>
              <w:spacing w:after="0" w:line="360" w:lineRule="auto"/>
              <w:ind w:left="2"/>
              <w:jc w:val="both"/>
              <w:rPr>
                <w:rFonts w:ascii="Arial" w:hAnsi="Arial" w:eastAsia="Calibri" w:cs="Arial"/>
              </w:rPr>
            </w:pPr>
            <w:r w:rsidRPr="00BF57FF">
              <w:rPr>
                <w:rFonts w:ascii="Arial" w:hAnsi="Arial" w:eastAsia="Calibri" w:cs="Arial"/>
              </w:rPr>
              <w:t>Moderate (AXIS Tool)</w:t>
            </w:r>
          </w:p>
        </w:tc>
      </w:tr>
      <w:tr w:rsidRPr="00BF57FF" w:rsidR="009C5AD6" w:rsidTr="00F43AFD" w14:paraId="6D46DAE9"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27FC1ABA" w14:textId="77777777">
            <w:pPr>
              <w:spacing w:after="0" w:line="360" w:lineRule="auto"/>
              <w:ind w:left="2"/>
              <w:jc w:val="both"/>
              <w:rPr>
                <w:rFonts w:ascii="Arial" w:hAnsi="Arial" w:eastAsia="Calibri" w:cs="Arial"/>
              </w:rPr>
            </w:pPr>
            <w:r w:rsidRPr="00BF57FF">
              <w:rPr>
                <w:rFonts w:ascii="Arial" w:hAnsi="Arial" w:eastAsia="Calibri" w:cs="Arial"/>
                <w:b/>
                <w:bCs/>
              </w:rPr>
              <w:t>Review Theme(s)</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0D9A233F" w14:textId="77777777">
            <w:pPr>
              <w:spacing w:after="0" w:line="360" w:lineRule="auto"/>
              <w:ind w:left="2"/>
              <w:jc w:val="both"/>
              <w:rPr>
                <w:rFonts w:ascii="Arial" w:hAnsi="Arial" w:eastAsia="Calibri" w:cs="Arial"/>
              </w:rPr>
            </w:pPr>
            <w:r w:rsidRPr="00BF57FF">
              <w:rPr>
                <w:rFonts w:ascii="Arial" w:hAnsi="Arial" w:eastAsia="Calibri" w:cs="Arial"/>
              </w:rPr>
              <w:t>Theme 4 — Surveillance Inadequacy and Under-Reporting</w:t>
            </w:r>
          </w:p>
        </w:tc>
      </w:tr>
    </w:tbl>
    <w:p w:rsidRPr="00BF57FF" w:rsidR="009C5AD6" w:rsidP="00A70BBB" w:rsidRDefault="009C5AD6" w14:paraId="5249113B" w14:textId="77777777">
      <w:pPr>
        <w:spacing w:after="0" w:line="360" w:lineRule="auto"/>
        <w:ind w:left="2"/>
        <w:jc w:val="both"/>
        <w:rPr>
          <w:rFonts w:ascii="Arial" w:hAnsi="Arial" w:eastAsia="Calibri" w:cs="Arial"/>
        </w:rPr>
      </w:pPr>
    </w:p>
    <w:p w:rsidRPr="00BF57FF" w:rsidR="009C5AD6" w:rsidP="00A70BBB" w:rsidRDefault="009C5AD6" w14:paraId="5826F68C" w14:textId="2497C2CC">
      <w:pPr>
        <w:spacing w:after="0" w:line="360" w:lineRule="auto"/>
        <w:ind w:left="2"/>
        <w:jc w:val="both"/>
        <w:rPr>
          <w:rFonts w:ascii="Arial" w:hAnsi="Arial" w:eastAsia="Calibri" w:cs="Arial"/>
        </w:rPr>
      </w:pPr>
      <w:r w:rsidRPr="00BF57FF">
        <w:rPr>
          <w:rFonts w:ascii="Arial" w:hAnsi="Arial" w:eastAsia="Calibri" w:cs="Arial"/>
          <w:b/>
          <w:bCs/>
        </w:rPr>
        <w:t>C.9  Study 9 — Gadapani et al. (20</w:t>
      </w:r>
      <w:r w:rsidRPr="00BF57FF" w:rsidR="00D63224">
        <w:rPr>
          <w:rFonts w:ascii="Arial" w:hAnsi="Arial" w:eastAsia="Calibri" w:cs="Arial"/>
          <w:b/>
          <w:bCs/>
        </w:rPr>
        <w:t>19</w:t>
      </w:r>
      <w:r w:rsidRPr="00BF57FF">
        <w:rPr>
          <w:rFonts w:ascii="Arial" w:hAnsi="Arial" w:eastAsia="Calibri" w:cs="Arial"/>
          <w:b/>
          <w:bCs/>
        </w:rPr>
        <w:t>)</w:t>
      </w:r>
    </w:p>
    <w:p w:rsidRPr="00BF57FF" w:rsidR="009C5AD6" w:rsidP="00A70BBB" w:rsidRDefault="009C5AD6" w14:paraId="69CD4B33" w14:textId="77777777">
      <w:pPr>
        <w:spacing w:after="0" w:line="360" w:lineRule="auto"/>
        <w:ind w:left="2"/>
        <w:jc w:val="both"/>
        <w:rPr>
          <w:rFonts w:ascii="Arial" w:hAnsi="Arial" w:eastAsia="Calibri" w:cs="Arial"/>
        </w:rPr>
      </w:pPr>
    </w:p>
    <w:tbl>
      <w:tblPr>
        <w:tblW w:w="902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2500"/>
        <w:gridCol w:w="6526"/>
      </w:tblGrid>
      <w:tr w:rsidRPr="00BF57FF" w:rsidR="009C5AD6" w:rsidTr="00F43AFD" w14:paraId="1ACE8367"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03CAC46A" w14:textId="77777777">
            <w:pPr>
              <w:spacing w:after="0" w:line="360" w:lineRule="auto"/>
              <w:ind w:left="2"/>
              <w:jc w:val="both"/>
              <w:rPr>
                <w:rFonts w:ascii="Arial" w:hAnsi="Arial" w:eastAsia="Calibri" w:cs="Arial"/>
              </w:rPr>
            </w:pPr>
            <w:r w:rsidRPr="00BF57FF">
              <w:rPr>
                <w:rFonts w:ascii="Arial" w:hAnsi="Arial" w:eastAsia="Calibri" w:cs="Arial"/>
                <w:b/>
                <w:bCs/>
              </w:rPr>
              <w:t>Study Identifier</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14DDC4AB" w14:textId="77777777">
            <w:pPr>
              <w:spacing w:after="0" w:line="360" w:lineRule="auto"/>
              <w:ind w:left="2"/>
              <w:jc w:val="both"/>
              <w:rPr>
                <w:rFonts w:ascii="Arial" w:hAnsi="Arial" w:eastAsia="Calibri" w:cs="Arial"/>
              </w:rPr>
            </w:pPr>
            <w:r w:rsidRPr="00BF57FF">
              <w:rPr>
                <w:rFonts w:ascii="Arial" w:hAnsi="Arial" w:eastAsia="Calibri" w:cs="Arial"/>
              </w:rPr>
              <w:t>Study 9</w:t>
            </w:r>
          </w:p>
        </w:tc>
      </w:tr>
      <w:tr w:rsidRPr="00BF57FF" w:rsidR="009C5AD6" w:rsidTr="00F43AFD" w14:paraId="6C8EDE4E"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7F93D17E" w14:textId="77777777">
            <w:pPr>
              <w:spacing w:after="0" w:line="360" w:lineRule="auto"/>
              <w:ind w:left="2"/>
              <w:jc w:val="both"/>
              <w:rPr>
                <w:rFonts w:ascii="Arial" w:hAnsi="Arial" w:eastAsia="Calibri" w:cs="Arial"/>
              </w:rPr>
            </w:pPr>
            <w:r w:rsidRPr="00BF57FF">
              <w:rPr>
                <w:rFonts w:ascii="Arial" w:hAnsi="Arial" w:eastAsia="Calibri" w:cs="Arial"/>
                <w:b/>
                <w:bCs/>
              </w:rPr>
              <w:t>Full Citation</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64D8CF20" w14:textId="6BD77023">
            <w:pPr>
              <w:spacing w:after="0" w:line="360" w:lineRule="auto"/>
              <w:ind w:left="2"/>
              <w:jc w:val="both"/>
              <w:rPr>
                <w:rFonts w:ascii="Arial" w:hAnsi="Arial" w:eastAsia="Calibri" w:cs="Arial"/>
              </w:rPr>
            </w:pPr>
            <w:r w:rsidRPr="00BF57FF">
              <w:rPr>
                <w:rFonts w:ascii="Arial" w:hAnsi="Arial" w:eastAsia="Calibri" w:cs="Arial"/>
              </w:rPr>
              <w:t xml:space="preserve">Gadapani, B., Rahini, S. and Manapurath, R.M., 2019. Noncompliance </w:t>
            </w:r>
            <w:r w:rsidRPr="00BF57FF" w:rsidR="006550C5">
              <w:rPr>
                <w:rFonts w:ascii="Arial" w:hAnsi="Arial" w:eastAsia="Calibri" w:cs="Arial"/>
              </w:rPr>
              <w:t>with</w:t>
            </w:r>
            <w:r w:rsidRPr="00BF57FF">
              <w:rPr>
                <w:rFonts w:ascii="Arial" w:hAnsi="Arial" w:eastAsia="Calibri" w:cs="Arial"/>
              </w:rPr>
              <w:t xml:space="preserve"> the postexposure prophylactic vaccination following animal bites reporting to a rural primary health </w:t>
            </w:r>
            <w:r w:rsidRPr="00BF57FF" w:rsidR="006550C5">
              <w:rPr>
                <w:rFonts w:ascii="Arial" w:hAnsi="Arial" w:eastAsia="Calibri" w:cs="Arial"/>
              </w:rPr>
              <w:t>centre</w:t>
            </w:r>
            <w:r w:rsidRPr="00BF57FF">
              <w:rPr>
                <w:rFonts w:ascii="Arial" w:hAnsi="Arial" w:eastAsia="Calibri" w:cs="Arial"/>
              </w:rPr>
              <w:t>. Journal of Family Medicine and Primary Care, 8(10), pp.3258–3262. doi:10.4103/jfmpc.jfmpc_592_19</w:t>
            </w:r>
          </w:p>
        </w:tc>
      </w:tr>
      <w:tr w:rsidRPr="00BF57FF" w:rsidR="009C5AD6" w:rsidTr="00F43AFD" w14:paraId="0D69DDBE"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3FF354D1" w14:textId="77777777">
            <w:pPr>
              <w:spacing w:after="0" w:line="360" w:lineRule="auto"/>
              <w:ind w:left="2"/>
              <w:jc w:val="both"/>
              <w:rPr>
                <w:rFonts w:ascii="Arial" w:hAnsi="Arial" w:eastAsia="Calibri" w:cs="Arial"/>
              </w:rPr>
            </w:pPr>
            <w:r w:rsidRPr="00BF57FF">
              <w:rPr>
                <w:rFonts w:ascii="Arial" w:hAnsi="Arial" w:eastAsia="Calibri" w:cs="Arial"/>
                <w:b/>
                <w:bCs/>
              </w:rPr>
              <w:t>Study Design</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7509A0C7" w14:textId="77777777">
            <w:pPr>
              <w:spacing w:after="0" w:line="360" w:lineRule="auto"/>
              <w:ind w:left="2"/>
              <w:jc w:val="both"/>
              <w:rPr>
                <w:rFonts w:ascii="Arial" w:hAnsi="Arial" w:eastAsia="Calibri" w:cs="Arial"/>
              </w:rPr>
            </w:pPr>
            <w:r w:rsidRPr="00BF57FF">
              <w:rPr>
                <w:rFonts w:ascii="Arial" w:hAnsi="Arial" w:eastAsia="Calibri" w:cs="Arial"/>
              </w:rPr>
              <w:t>Retrospective cross-sectional study</w:t>
            </w:r>
          </w:p>
        </w:tc>
      </w:tr>
      <w:tr w:rsidRPr="00BF57FF" w:rsidR="009C5AD6" w:rsidTr="00F43AFD" w14:paraId="7C593BB1"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316C87C8" w14:textId="77777777">
            <w:pPr>
              <w:spacing w:after="0" w:line="360" w:lineRule="auto"/>
              <w:ind w:left="2"/>
              <w:jc w:val="both"/>
              <w:rPr>
                <w:rFonts w:ascii="Arial" w:hAnsi="Arial" w:eastAsia="Calibri" w:cs="Arial"/>
              </w:rPr>
            </w:pPr>
            <w:r w:rsidRPr="00BF57FF">
              <w:rPr>
                <w:rFonts w:ascii="Arial" w:hAnsi="Arial" w:eastAsia="Calibri" w:cs="Arial"/>
                <w:b/>
                <w:bCs/>
              </w:rPr>
              <w:t>Setting &amp; Population</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2BA1E19E" w14:textId="77777777">
            <w:pPr>
              <w:spacing w:after="0" w:line="360" w:lineRule="auto"/>
              <w:ind w:left="2"/>
              <w:jc w:val="both"/>
              <w:rPr>
                <w:rFonts w:ascii="Arial" w:hAnsi="Arial" w:eastAsia="Calibri" w:cs="Arial"/>
              </w:rPr>
            </w:pPr>
            <w:r w:rsidRPr="00BF57FF">
              <w:rPr>
                <w:rFonts w:ascii="Arial" w:hAnsi="Arial" w:eastAsia="Calibri" w:cs="Arial"/>
              </w:rPr>
              <w:t>Rural Maharashtra, India (one primary health centre)</w:t>
            </w:r>
          </w:p>
        </w:tc>
      </w:tr>
      <w:tr w:rsidRPr="00BF57FF" w:rsidR="009C5AD6" w:rsidTr="00F43AFD" w14:paraId="238681AE"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0653F894" w14:textId="77777777">
            <w:pPr>
              <w:spacing w:after="0" w:line="360" w:lineRule="auto"/>
              <w:ind w:left="2"/>
              <w:jc w:val="both"/>
              <w:rPr>
                <w:rFonts w:ascii="Arial" w:hAnsi="Arial" w:eastAsia="Calibri" w:cs="Arial"/>
              </w:rPr>
            </w:pPr>
            <w:r w:rsidRPr="00BF57FF">
              <w:rPr>
                <w:rFonts w:ascii="Arial" w:hAnsi="Arial" w:eastAsia="Calibri" w:cs="Arial"/>
                <w:b/>
                <w:bCs/>
              </w:rPr>
              <w:t>Sample / Data Source</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5E74023B" w14:textId="77777777">
            <w:pPr>
              <w:spacing w:after="0" w:line="360" w:lineRule="auto"/>
              <w:ind w:left="2"/>
              <w:jc w:val="both"/>
              <w:rPr>
                <w:rFonts w:ascii="Arial" w:hAnsi="Arial" w:eastAsia="Calibri" w:cs="Arial"/>
              </w:rPr>
            </w:pPr>
            <w:r w:rsidRPr="00BF57FF">
              <w:rPr>
                <w:rFonts w:ascii="Arial" w:hAnsi="Arial" w:eastAsia="Calibri" w:cs="Arial"/>
              </w:rPr>
              <w:t>448 animal bite case records from a rural PHC</w:t>
            </w:r>
          </w:p>
        </w:tc>
      </w:tr>
      <w:tr w:rsidRPr="00BF57FF" w:rsidR="009C5AD6" w:rsidTr="00F43AFD" w14:paraId="186FB099"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7A29A76E" w14:textId="77777777">
            <w:pPr>
              <w:spacing w:after="0" w:line="360" w:lineRule="auto"/>
              <w:ind w:left="2"/>
              <w:jc w:val="both"/>
              <w:rPr>
                <w:rFonts w:ascii="Arial" w:hAnsi="Arial" w:eastAsia="Calibri" w:cs="Arial"/>
              </w:rPr>
            </w:pPr>
            <w:r w:rsidRPr="00BF57FF">
              <w:rPr>
                <w:rFonts w:ascii="Arial" w:hAnsi="Arial" w:eastAsia="Calibri" w:cs="Arial"/>
                <w:b/>
                <w:bCs/>
              </w:rPr>
              <w:t>Objectives</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2B092225" w14:textId="77777777">
            <w:pPr>
              <w:spacing w:after="0" w:line="360" w:lineRule="auto"/>
              <w:ind w:left="2"/>
              <w:jc w:val="both"/>
              <w:rPr>
                <w:rFonts w:ascii="Arial" w:hAnsi="Arial" w:eastAsia="Calibri" w:cs="Arial"/>
              </w:rPr>
            </w:pPr>
            <w:r w:rsidRPr="00BF57FF">
              <w:rPr>
                <w:rFonts w:ascii="Arial" w:hAnsi="Arial" w:eastAsia="Calibri" w:cs="Arial"/>
              </w:rPr>
              <w:t>To determine the rate and predictors of PEP non-compliance following animal bites at a rural PHC</w:t>
            </w:r>
          </w:p>
        </w:tc>
      </w:tr>
      <w:tr w:rsidRPr="00BF57FF" w:rsidR="009C5AD6" w:rsidTr="00F43AFD" w14:paraId="1FB6D044"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0FD6982E" w14:textId="77777777">
            <w:pPr>
              <w:spacing w:after="0" w:line="360" w:lineRule="auto"/>
              <w:ind w:left="2"/>
              <w:jc w:val="both"/>
              <w:rPr>
                <w:rFonts w:ascii="Arial" w:hAnsi="Arial" w:eastAsia="Calibri" w:cs="Arial"/>
              </w:rPr>
            </w:pPr>
            <w:r w:rsidRPr="00BF57FF">
              <w:rPr>
                <w:rFonts w:ascii="Arial" w:hAnsi="Arial" w:eastAsia="Calibri" w:cs="Arial"/>
                <w:b/>
                <w:bCs/>
              </w:rPr>
              <w:t>Outcome Measures</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3698D1D6" w14:textId="77777777">
            <w:pPr>
              <w:spacing w:after="0" w:line="360" w:lineRule="auto"/>
              <w:ind w:left="2"/>
              <w:jc w:val="both"/>
              <w:rPr>
                <w:rFonts w:ascii="Arial" w:hAnsi="Arial" w:eastAsia="Calibri" w:cs="Arial"/>
              </w:rPr>
            </w:pPr>
            <w:r w:rsidRPr="00BF57FF">
              <w:rPr>
                <w:rFonts w:ascii="Arial" w:hAnsi="Arial" w:eastAsia="Calibri" w:cs="Arial"/>
              </w:rPr>
              <w:t>PEP completion rate; reasons for non-compliance</w:t>
            </w:r>
          </w:p>
        </w:tc>
      </w:tr>
      <w:tr w:rsidRPr="00BF57FF" w:rsidR="009C5AD6" w:rsidTr="00F43AFD" w14:paraId="5EAC1800"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43608C28" w14:textId="77777777">
            <w:pPr>
              <w:spacing w:after="0" w:line="360" w:lineRule="auto"/>
              <w:ind w:left="2"/>
              <w:jc w:val="both"/>
              <w:rPr>
                <w:rFonts w:ascii="Arial" w:hAnsi="Arial" w:eastAsia="Calibri" w:cs="Arial"/>
              </w:rPr>
            </w:pPr>
            <w:r w:rsidRPr="00BF57FF">
              <w:rPr>
                <w:rFonts w:ascii="Arial" w:hAnsi="Arial" w:eastAsia="Calibri" w:cs="Arial"/>
                <w:b/>
                <w:bCs/>
              </w:rPr>
              <w:t>Key Findings</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69EDB0FF" w14:textId="77777777">
            <w:pPr>
              <w:spacing w:after="0" w:line="360" w:lineRule="auto"/>
              <w:ind w:left="2"/>
              <w:jc w:val="both"/>
              <w:rPr>
                <w:rFonts w:ascii="Arial" w:hAnsi="Arial" w:eastAsia="Calibri" w:cs="Arial"/>
              </w:rPr>
            </w:pPr>
            <w:r w:rsidRPr="00BF57FF">
              <w:rPr>
                <w:rFonts w:ascii="Arial" w:hAnsi="Arial" w:eastAsia="Calibri" w:cs="Arial"/>
              </w:rPr>
              <w:t>Only 40.4% completed full PEP; low awareness and rural service accessibility gaps were primary drivers of non-compliance.</w:t>
            </w:r>
          </w:p>
        </w:tc>
      </w:tr>
      <w:tr w:rsidRPr="00BF57FF" w:rsidR="009C5AD6" w:rsidTr="00F43AFD" w14:paraId="3810EDA7"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0B21B163" w14:textId="77777777">
            <w:pPr>
              <w:spacing w:after="0" w:line="360" w:lineRule="auto"/>
              <w:ind w:left="2"/>
              <w:jc w:val="both"/>
              <w:rPr>
                <w:rFonts w:ascii="Arial" w:hAnsi="Arial" w:eastAsia="Calibri" w:cs="Arial"/>
              </w:rPr>
            </w:pPr>
            <w:r w:rsidRPr="00BF57FF">
              <w:rPr>
                <w:rFonts w:ascii="Arial" w:hAnsi="Arial" w:eastAsia="Calibri" w:cs="Arial"/>
                <w:b/>
                <w:bCs/>
              </w:rPr>
              <w:t>Quality Rating</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269EE055" w14:textId="77777777">
            <w:pPr>
              <w:spacing w:after="0" w:line="360" w:lineRule="auto"/>
              <w:ind w:left="2"/>
              <w:jc w:val="both"/>
              <w:rPr>
                <w:rFonts w:ascii="Arial" w:hAnsi="Arial" w:eastAsia="Calibri" w:cs="Arial"/>
              </w:rPr>
            </w:pPr>
            <w:r w:rsidRPr="00BF57FF">
              <w:rPr>
                <w:rFonts w:ascii="Arial" w:hAnsi="Arial" w:eastAsia="Calibri" w:cs="Arial"/>
              </w:rPr>
              <w:t>Moderate (AXIS Tool)</w:t>
            </w:r>
          </w:p>
        </w:tc>
      </w:tr>
      <w:tr w:rsidRPr="00BF57FF" w:rsidR="009C5AD6" w:rsidTr="00F43AFD" w14:paraId="19D7E4A9"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7C79F229" w14:textId="77777777">
            <w:pPr>
              <w:spacing w:after="0" w:line="360" w:lineRule="auto"/>
              <w:ind w:left="2"/>
              <w:jc w:val="both"/>
              <w:rPr>
                <w:rFonts w:ascii="Arial" w:hAnsi="Arial" w:eastAsia="Calibri" w:cs="Arial"/>
              </w:rPr>
            </w:pPr>
            <w:r w:rsidRPr="00BF57FF">
              <w:rPr>
                <w:rFonts w:ascii="Arial" w:hAnsi="Arial" w:eastAsia="Calibri" w:cs="Arial"/>
                <w:b/>
                <w:bCs/>
              </w:rPr>
              <w:t>Review Theme(s)</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6D4C0E92" w14:textId="77777777">
            <w:pPr>
              <w:spacing w:after="0" w:line="360" w:lineRule="auto"/>
              <w:ind w:left="2"/>
              <w:jc w:val="both"/>
              <w:rPr>
                <w:rFonts w:ascii="Arial" w:hAnsi="Arial" w:eastAsia="Calibri" w:cs="Arial"/>
              </w:rPr>
            </w:pPr>
            <w:r w:rsidRPr="00BF57FF">
              <w:rPr>
                <w:rFonts w:ascii="Arial" w:hAnsi="Arial" w:eastAsia="Calibri" w:cs="Arial"/>
              </w:rPr>
              <w:t>Themes 1 and 3 — Knowledge Gaps; Health System Failures</w:t>
            </w:r>
          </w:p>
        </w:tc>
      </w:tr>
    </w:tbl>
    <w:p w:rsidRPr="00BF57FF" w:rsidR="009C5AD6" w:rsidP="00A70BBB" w:rsidRDefault="009C5AD6" w14:paraId="0A6BF759" w14:textId="77777777">
      <w:pPr>
        <w:spacing w:after="0" w:line="360" w:lineRule="auto"/>
        <w:ind w:left="2"/>
        <w:jc w:val="both"/>
        <w:rPr>
          <w:rFonts w:ascii="Arial" w:hAnsi="Arial" w:eastAsia="Calibri" w:cs="Arial"/>
        </w:rPr>
      </w:pPr>
    </w:p>
    <w:p w:rsidRPr="00BF57FF" w:rsidR="009C5AD6" w:rsidP="00A70BBB" w:rsidRDefault="009C5AD6" w14:paraId="6AFCBD8A" w14:textId="77777777">
      <w:pPr>
        <w:spacing w:after="0" w:line="360" w:lineRule="auto"/>
        <w:ind w:left="2"/>
        <w:jc w:val="both"/>
        <w:rPr>
          <w:rFonts w:ascii="Arial" w:hAnsi="Arial" w:eastAsia="Calibri" w:cs="Arial"/>
        </w:rPr>
      </w:pPr>
      <w:r w:rsidRPr="00BF57FF">
        <w:rPr>
          <w:rFonts w:ascii="Arial" w:hAnsi="Arial" w:eastAsia="Calibri" w:cs="Arial"/>
          <w:b/>
          <w:bCs/>
        </w:rPr>
        <w:t>C.10  Study 10 — Maiti et al. (2026)</w:t>
      </w:r>
    </w:p>
    <w:p w:rsidRPr="00BF57FF" w:rsidR="009C5AD6" w:rsidP="00A70BBB" w:rsidRDefault="009C5AD6" w14:paraId="7D00376A" w14:textId="77777777">
      <w:pPr>
        <w:spacing w:after="0" w:line="360" w:lineRule="auto"/>
        <w:ind w:left="2"/>
        <w:jc w:val="both"/>
        <w:rPr>
          <w:rFonts w:ascii="Arial" w:hAnsi="Arial" w:eastAsia="Calibri" w:cs="Arial"/>
        </w:rPr>
      </w:pPr>
    </w:p>
    <w:tbl>
      <w:tblPr>
        <w:tblW w:w="902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2500"/>
        <w:gridCol w:w="6526"/>
      </w:tblGrid>
      <w:tr w:rsidRPr="00BF57FF" w:rsidR="009C5AD6" w:rsidTr="00F43AFD" w14:paraId="0097F3AB"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0C5AC716" w14:textId="77777777">
            <w:pPr>
              <w:spacing w:after="0" w:line="360" w:lineRule="auto"/>
              <w:ind w:left="2"/>
              <w:jc w:val="both"/>
              <w:rPr>
                <w:rFonts w:ascii="Arial" w:hAnsi="Arial" w:eastAsia="Calibri" w:cs="Arial"/>
              </w:rPr>
            </w:pPr>
            <w:r w:rsidRPr="00BF57FF">
              <w:rPr>
                <w:rFonts w:ascii="Arial" w:hAnsi="Arial" w:eastAsia="Calibri" w:cs="Arial"/>
                <w:b/>
                <w:bCs/>
              </w:rPr>
              <w:t>Study Identifier</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119447EC" w14:textId="77777777">
            <w:pPr>
              <w:spacing w:after="0" w:line="360" w:lineRule="auto"/>
              <w:ind w:left="2"/>
              <w:jc w:val="both"/>
              <w:rPr>
                <w:rFonts w:ascii="Arial" w:hAnsi="Arial" w:eastAsia="Calibri" w:cs="Arial"/>
              </w:rPr>
            </w:pPr>
            <w:r w:rsidRPr="00BF57FF">
              <w:rPr>
                <w:rFonts w:ascii="Arial" w:hAnsi="Arial" w:eastAsia="Calibri" w:cs="Arial"/>
              </w:rPr>
              <w:t>Study 10</w:t>
            </w:r>
          </w:p>
        </w:tc>
      </w:tr>
      <w:tr w:rsidRPr="00BF57FF" w:rsidR="009C5AD6" w:rsidTr="00F43AFD" w14:paraId="0DFED397"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606B8CCF" w14:textId="77777777">
            <w:pPr>
              <w:spacing w:after="0" w:line="360" w:lineRule="auto"/>
              <w:ind w:left="2"/>
              <w:jc w:val="both"/>
              <w:rPr>
                <w:rFonts w:ascii="Arial" w:hAnsi="Arial" w:eastAsia="Calibri" w:cs="Arial"/>
              </w:rPr>
            </w:pPr>
            <w:r w:rsidRPr="00BF57FF">
              <w:rPr>
                <w:rFonts w:ascii="Arial" w:hAnsi="Arial" w:eastAsia="Calibri" w:cs="Arial"/>
                <w:b/>
                <w:bCs/>
              </w:rPr>
              <w:t>Full Citation</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1905C90E" w14:textId="77777777">
            <w:pPr>
              <w:spacing w:after="0" w:line="360" w:lineRule="auto"/>
              <w:ind w:left="2"/>
              <w:jc w:val="both"/>
              <w:rPr>
                <w:rFonts w:ascii="Arial" w:hAnsi="Arial" w:eastAsia="Calibri" w:cs="Arial"/>
              </w:rPr>
            </w:pPr>
            <w:r w:rsidRPr="00BF57FF">
              <w:rPr>
                <w:rFonts w:ascii="Arial" w:hAnsi="Arial" w:eastAsia="Calibri" w:cs="Arial"/>
              </w:rPr>
              <w:t>Maiti, A., Sharma, A., Patel, S., Mishra, A. and Dhakar, J.S., 2026. A study on delay in initiation of post-exposure prophylaxis among the animal bite victims from a tertiary care hospital in Central India. Indian Journal of Community Medicine, 51(2), pp.246–252. doi:10.4103/ijcm.ijcm_920_24</w:t>
            </w:r>
          </w:p>
        </w:tc>
      </w:tr>
      <w:tr w:rsidRPr="00BF57FF" w:rsidR="009C5AD6" w:rsidTr="00F43AFD" w14:paraId="029C48E4"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0407EF7F" w14:textId="77777777">
            <w:pPr>
              <w:spacing w:after="0" w:line="360" w:lineRule="auto"/>
              <w:ind w:left="2"/>
              <w:jc w:val="both"/>
              <w:rPr>
                <w:rFonts w:ascii="Arial" w:hAnsi="Arial" w:eastAsia="Calibri" w:cs="Arial"/>
              </w:rPr>
            </w:pPr>
            <w:r w:rsidRPr="00BF57FF">
              <w:rPr>
                <w:rFonts w:ascii="Arial" w:hAnsi="Arial" w:eastAsia="Calibri" w:cs="Arial"/>
                <w:b/>
                <w:bCs/>
              </w:rPr>
              <w:t>Study Design</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3F7B91FC" w14:textId="77777777">
            <w:pPr>
              <w:spacing w:after="0" w:line="360" w:lineRule="auto"/>
              <w:ind w:left="2"/>
              <w:jc w:val="both"/>
              <w:rPr>
                <w:rFonts w:ascii="Arial" w:hAnsi="Arial" w:eastAsia="Calibri" w:cs="Arial"/>
              </w:rPr>
            </w:pPr>
            <w:r w:rsidRPr="00BF57FF">
              <w:rPr>
                <w:rFonts w:ascii="Arial" w:hAnsi="Arial" w:eastAsia="Calibri" w:cs="Arial"/>
              </w:rPr>
              <w:t>Cross-sectional study</w:t>
            </w:r>
          </w:p>
        </w:tc>
      </w:tr>
      <w:tr w:rsidRPr="00BF57FF" w:rsidR="009C5AD6" w:rsidTr="00F43AFD" w14:paraId="2EFADA7C"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40A50C39" w14:textId="77777777">
            <w:pPr>
              <w:spacing w:after="0" w:line="360" w:lineRule="auto"/>
              <w:ind w:left="2"/>
              <w:jc w:val="both"/>
              <w:rPr>
                <w:rFonts w:ascii="Arial" w:hAnsi="Arial" w:eastAsia="Calibri" w:cs="Arial"/>
              </w:rPr>
            </w:pPr>
            <w:r w:rsidRPr="00BF57FF">
              <w:rPr>
                <w:rFonts w:ascii="Arial" w:hAnsi="Arial" w:eastAsia="Calibri" w:cs="Arial"/>
                <w:b/>
                <w:bCs/>
              </w:rPr>
              <w:t>Setting &amp; Population</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16D2C5CC" w14:textId="77777777">
            <w:pPr>
              <w:spacing w:after="0" w:line="360" w:lineRule="auto"/>
              <w:ind w:left="2"/>
              <w:jc w:val="both"/>
              <w:rPr>
                <w:rFonts w:ascii="Arial" w:hAnsi="Arial" w:eastAsia="Calibri" w:cs="Arial"/>
              </w:rPr>
            </w:pPr>
            <w:r w:rsidRPr="00BF57FF">
              <w:rPr>
                <w:rFonts w:ascii="Arial" w:hAnsi="Arial" w:eastAsia="Calibri" w:cs="Arial"/>
              </w:rPr>
              <w:t>Jabalpur, Madhya Pradesh, India (tertiary care hospital)</w:t>
            </w:r>
          </w:p>
        </w:tc>
      </w:tr>
      <w:tr w:rsidRPr="00BF57FF" w:rsidR="009C5AD6" w:rsidTr="00F43AFD" w14:paraId="49DAE713"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689C8370" w14:textId="77777777">
            <w:pPr>
              <w:spacing w:after="0" w:line="360" w:lineRule="auto"/>
              <w:ind w:left="2"/>
              <w:jc w:val="both"/>
              <w:rPr>
                <w:rFonts w:ascii="Arial" w:hAnsi="Arial" w:eastAsia="Calibri" w:cs="Arial"/>
              </w:rPr>
            </w:pPr>
            <w:r w:rsidRPr="00BF57FF">
              <w:rPr>
                <w:rFonts w:ascii="Arial" w:hAnsi="Arial" w:eastAsia="Calibri" w:cs="Arial"/>
                <w:b/>
                <w:bCs/>
              </w:rPr>
              <w:t>Sample / Data Source</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576B48F6" w14:textId="77777777">
            <w:pPr>
              <w:spacing w:after="0" w:line="360" w:lineRule="auto"/>
              <w:ind w:left="2"/>
              <w:jc w:val="both"/>
              <w:rPr>
                <w:rFonts w:ascii="Arial" w:hAnsi="Arial" w:eastAsia="Calibri" w:cs="Arial"/>
              </w:rPr>
            </w:pPr>
            <w:r w:rsidRPr="00BF57FF">
              <w:rPr>
                <w:rFonts w:ascii="Arial" w:hAnsi="Arial" w:eastAsia="Calibri" w:cs="Arial"/>
              </w:rPr>
              <w:t>388 animal bite victims attending anti-rabies clinic</w:t>
            </w:r>
          </w:p>
        </w:tc>
      </w:tr>
      <w:tr w:rsidRPr="00BF57FF" w:rsidR="009C5AD6" w:rsidTr="00F43AFD" w14:paraId="14D0E514"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6DDF9858" w14:textId="77777777">
            <w:pPr>
              <w:spacing w:after="0" w:line="360" w:lineRule="auto"/>
              <w:ind w:left="2"/>
              <w:jc w:val="both"/>
              <w:rPr>
                <w:rFonts w:ascii="Arial" w:hAnsi="Arial" w:eastAsia="Calibri" w:cs="Arial"/>
              </w:rPr>
            </w:pPr>
            <w:r w:rsidRPr="00BF57FF">
              <w:rPr>
                <w:rFonts w:ascii="Arial" w:hAnsi="Arial" w:eastAsia="Calibri" w:cs="Arial"/>
                <w:b/>
                <w:bCs/>
              </w:rPr>
              <w:t>Objectives</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35E45D02" w14:textId="77777777">
            <w:pPr>
              <w:spacing w:after="0" w:line="360" w:lineRule="auto"/>
              <w:ind w:left="2"/>
              <w:jc w:val="both"/>
              <w:rPr>
                <w:rFonts w:ascii="Arial" w:hAnsi="Arial" w:eastAsia="Calibri" w:cs="Arial"/>
              </w:rPr>
            </w:pPr>
            <w:r w:rsidRPr="00BF57FF">
              <w:rPr>
                <w:rFonts w:ascii="Arial" w:hAnsi="Arial" w:eastAsia="Calibri" w:cs="Arial"/>
              </w:rPr>
              <w:t>To determine the proportion and determinants of delayed PEP initiation among animal bite victims</w:t>
            </w:r>
          </w:p>
        </w:tc>
      </w:tr>
      <w:tr w:rsidRPr="00BF57FF" w:rsidR="009C5AD6" w:rsidTr="00F43AFD" w14:paraId="6C32550B"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2CF0F174" w14:textId="77777777">
            <w:pPr>
              <w:spacing w:after="0" w:line="360" w:lineRule="auto"/>
              <w:ind w:left="2"/>
              <w:jc w:val="both"/>
              <w:rPr>
                <w:rFonts w:ascii="Arial" w:hAnsi="Arial" w:eastAsia="Calibri" w:cs="Arial"/>
              </w:rPr>
            </w:pPr>
            <w:r w:rsidRPr="00BF57FF">
              <w:rPr>
                <w:rFonts w:ascii="Arial" w:hAnsi="Arial" w:eastAsia="Calibri" w:cs="Arial"/>
                <w:b/>
                <w:bCs/>
              </w:rPr>
              <w:t>Outcome Measures</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326BCA08" w14:textId="77777777">
            <w:pPr>
              <w:spacing w:after="0" w:line="360" w:lineRule="auto"/>
              <w:ind w:left="2"/>
              <w:jc w:val="both"/>
              <w:rPr>
                <w:rFonts w:ascii="Arial" w:hAnsi="Arial" w:eastAsia="Calibri" w:cs="Arial"/>
              </w:rPr>
            </w:pPr>
            <w:r w:rsidRPr="00BF57FF">
              <w:rPr>
                <w:rFonts w:ascii="Arial" w:hAnsi="Arial" w:eastAsia="Calibri" w:cs="Arial"/>
              </w:rPr>
              <w:t>Proportion with PEP initiation delay &gt;24 hours; predictors of delay</w:t>
            </w:r>
          </w:p>
        </w:tc>
      </w:tr>
      <w:tr w:rsidRPr="00BF57FF" w:rsidR="009C5AD6" w:rsidTr="00F43AFD" w14:paraId="29DF07A7"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61F5736A" w14:textId="77777777">
            <w:pPr>
              <w:spacing w:after="0" w:line="360" w:lineRule="auto"/>
              <w:ind w:left="2"/>
              <w:jc w:val="both"/>
              <w:rPr>
                <w:rFonts w:ascii="Arial" w:hAnsi="Arial" w:eastAsia="Calibri" w:cs="Arial"/>
              </w:rPr>
            </w:pPr>
            <w:r w:rsidRPr="00BF57FF">
              <w:rPr>
                <w:rFonts w:ascii="Arial" w:hAnsi="Arial" w:eastAsia="Calibri" w:cs="Arial"/>
                <w:b/>
                <w:bCs/>
              </w:rPr>
              <w:t>Key Findings</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2059A36B" w14:textId="77777777">
            <w:pPr>
              <w:spacing w:after="0" w:line="360" w:lineRule="auto"/>
              <w:ind w:left="2"/>
              <w:jc w:val="both"/>
              <w:rPr>
                <w:rFonts w:ascii="Arial" w:hAnsi="Arial" w:eastAsia="Calibri" w:cs="Arial"/>
              </w:rPr>
            </w:pPr>
            <w:r w:rsidRPr="00BF57FF">
              <w:rPr>
                <w:rFonts w:ascii="Arial" w:hAnsi="Arial" w:eastAsia="Calibri" w:cs="Arial"/>
              </w:rPr>
              <w:t>24.74% delayed PEP initiation &gt;24 hours; sociocultural myths and traditional remedy use primary causal factors; rural residence an independent predictor.</w:t>
            </w:r>
          </w:p>
        </w:tc>
      </w:tr>
      <w:tr w:rsidRPr="00BF57FF" w:rsidR="009C5AD6" w:rsidTr="00F43AFD" w14:paraId="11C96B4B"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6C356BF4" w14:textId="77777777">
            <w:pPr>
              <w:spacing w:after="0" w:line="360" w:lineRule="auto"/>
              <w:ind w:left="2"/>
              <w:jc w:val="both"/>
              <w:rPr>
                <w:rFonts w:ascii="Arial" w:hAnsi="Arial" w:eastAsia="Calibri" w:cs="Arial"/>
              </w:rPr>
            </w:pPr>
            <w:r w:rsidRPr="00BF57FF">
              <w:rPr>
                <w:rFonts w:ascii="Arial" w:hAnsi="Arial" w:eastAsia="Calibri" w:cs="Arial"/>
                <w:b/>
                <w:bCs/>
              </w:rPr>
              <w:t>Quality Rating</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587B6B1F" w14:textId="77777777">
            <w:pPr>
              <w:spacing w:after="0" w:line="360" w:lineRule="auto"/>
              <w:ind w:left="2"/>
              <w:jc w:val="both"/>
              <w:rPr>
                <w:rFonts w:ascii="Arial" w:hAnsi="Arial" w:eastAsia="Calibri" w:cs="Arial"/>
              </w:rPr>
            </w:pPr>
            <w:r w:rsidRPr="00BF57FF">
              <w:rPr>
                <w:rFonts w:ascii="Arial" w:hAnsi="Arial" w:eastAsia="Calibri" w:cs="Arial"/>
              </w:rPr>
              <w:t>Moderate (AXIS Tool)</w:t>
            </w:r>
          </w:p>
        </w:tc>
      </w:tr>
      <w:tr w:rsidRPr="00BF57FF" w:rsidR="009C5AD6" w:rsidTr="00F43AFD" w14:paraId="0C8585E0"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7725C65A" w14:textId="77777777">
            <w:pPr>
              <w:spacing w:after="0" w:line="360" w:lineRule="auto"/>
              <w:ind w:left="2"/>
              <w:jc w:val="both"/>
              <w:rPr>
                <w:rFonts w:ascii="Arial" w:hAnsi="Arial" w:eastAsia="Calibri" w:cs="Arial"/>
              </w:rPr>
            </w:pPr>
            <w:r w:rsidRPr="00BF57FF">
              <w:rPr>
                <w:rFonts w:ascii="Arial" w:hAnsi="Arial" w:eastAsia="Calibri" w:cs="Arial"/>
                <w:b/>
                <w:bCs/>
              </w:rPr>
              <w:t>Review Theme(s)</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7F376E0B" w14:textId="77777777">
            <w:pPr>
              <w:spacing w:after="0" w:line="360" w:lineRule="auto"/>
              <w:ind w:left="2"/>
              <w:jc w:val="both"/>
              <w:rPr>
                <w:rFonts w:ascii="Arial" w:hAnsi="Arial" w:eastAsia="Calibri" w:cs="Arial"/>
              </w:rPr>
            </w:pPr>
            <w:r w:rsidRPr="00BF57FF">
              <w:rPr>
                <w:rFonts w:ascii="Arial" w:hAnsi="Arial" w:eastAsia="Calibri" w:cs="Arial"/>
              </w:rPr>
              <w:t>Themes 1 and 2 — Knowledge Gaps; Traditional Medicine</w:t>
            </w:r>
          </w:p>
        </w:tc>
      </w:tr>
    </w:tbl>
    <w:p w:rsidRPr="00BF57FF" w:rsidR="009C5AD6" w:rsidP="00A70BBB" w:rsidRDefault="009C5AD6" w14:paraId="796D88CF" w14:textId="77777777">
      <w:pPr>
        <w:spacing w:after="0" w:line="360" w:lineRule="auto"/>
        <w:ind w:left="2"/>
        <w:jc w:val="both"/>
        <w:rPr>
          <w:rFonts w:ascii="Arial" w:hAnsi="Arial" w:eastAsia="Calibri" w:cs="Arial"/>
        </w:rPr>
      </w:pPr>
    </w:p>
    <w:p w:rsidRPr="00BF57FF" w:rsidR="009C5AD6" w:rsidP="00A70BBB" w:rsidRDefault="009C5AD6" w14:paraId="7A26745E" w14:textId="77777777">
      <w:pPr>
        <w:spacing w:after="0" w:line="360" w:lineRule="auto"/>
        <w:ind w:left="2"/>
        <w:jc w:val="both"/>
        <w:rPr>
          <w:rFonts w:ascii="Arial" w:hAnsi="Arial" w:eastAsia="Calibri" w:cs="Arial"/>
        </w:rPr>
      </w:pPr>
      <w:r w:rsidRPr="00BF57FF">
        <w:rPr>
          <w:rFonts w:ascii="Arial" w:hAnsi="Arial" w:eastAsia="Calibri" w:cs="Arial"/>
          <w:b/>
          <w:bCs/>
        </w:rPr>
        <w:t>C.11  Study 11 — Pardeshi et al. (2026)</w:t>
      </w:r>
    </w:p>
    <w:p w:rsidRPr="00BF57FF" w:rsidR="009C5AD6" w:rsidP="00A70BBB" w:rsidRDefault="009C5AD6" w14:paraId="304B2E10" w14:textId="77777777">
      <w:pPr>
        <w:spacing w:after="0" w:line="360" w:lineRule="auto"/>
        <w:ind w:left="2"/>
        <w:jc w:val="both"/>
        <w:rPr>
          <w:rFonts w:ascii="Arial" w:hAnsi="Arial" w:eastAsia="Calibri" w:cs="Arial"/>
        </w:rPr>
      </w:pPr>
    </w:p>
    <w:tbl>
      <w:tblPr>
        <w:tblW w:w="902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2500"/>
        <w:gridCol w:w="6526"/>
      </w:tblGrid>
      <w:tr w:rsidRPr="00BF57FF" w:rsidR="009C5AD6" w:rsidTr="00F43AFD" w14:paraId="2ECCB7FF"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4F32F5A7" w14:textId="77777777">
            <w:pPr>
              <w:spacing w:after="0" w:line="360" w:lineRule="auto"/>
              <w:ind w:left="2"/>
              <w:jc w:val="both"/>
              <w:rPr>
                <w:rFonts w:ascii="Arial" w:hAnsi="Arial" w:eastAsia="Calibri" w:cs="Arial"/>
              </w:rPr>
            </w:pPr>
            <w:r w:rsidRPr="00BF57FF">
              <w:rPr>
                <w:rFonts w:ascii="Arial" w:hAnsi="Arial" w:eastAsia="Calibri" w:cs="Arial"/>
                <w:b/>
                <w:bCs/>
              </w:rPr>
              <w:t>Study Identifier</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7106D956" w14:textId="77777777">
            <w:pPr>
              <w:spacing w:after="0" w:line="360" w:lineRule="auto"/>
              <w:ind w:left="2"/>
              <w:jc w:val="both"/>
              <w:rPr>
                <w:rFonts w:ascii="Arial" w:hAnsi="Arial" w:eastAsia="Calibri" w:cs="Arial"/>
              </w:rPr>
            </w:pPr>
            <w:r w:rsidRPr="00BF57FF">
              <w:rPr>
                <w:rFonts w:ascii="Arial" w:hAnsi="Arial" w:eastAsia="Calibri" w:cs="Arial"/>
              </w:rPr>
              <w:t>Study 11</w:t>
            </w:r>
          </w:p>
        </w:tc>
      </w:tr>
      <w:tr w:rsidRPr="00BF57FF" w:rsidR="009C5AD6" w:rsidTr="00F43AFD" w14:paraId="68B86E80"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7EBB7FEF" w14:textId="77777777">
            <w:pPr>
              <w:spacing w:after="0" w:line="360" w:lineRule="auto"/>
              <w:ind w:left="2"/>
              <w:jc w:val="both"/>
              <w:rPr>
                <w:rFonts w:ascii="Arial" w:hAnsi="Arial" w:eastAsia="Calibri" w:cs="Arial"/>
              </w:rPr>
            </w:pPr>
            <w:r w:rsidRPr="00BF57FF">
              <w:rPr>
                <w:rFonts w:ascii="Arial" w:hAnsi="Arial" w:eastAsia="Calibri" w:cs="Arial"/>
                <w:b/>
                <w:bCs/>
              </w:rPr>
              <w:t>Full Citation</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7A27ECE8" w14:textId="77777777">
            <w:pPr>
              <w:spacing w:after="0" w:line="360" w:lineRule="auto"/>
              <w:ind w:left="2"/>
              <w:jc w:val="both"/>
              <w:rPr>
                <w:rFonts w:ascii="Arial" w:hAnsi="Arial" w:eastAsia="Calibri" w:cs="Arial"/>
              </w:rPr>
            </w:pPr>
            <w:r w:rsidRPr="00BF57FF">
              <w:rPr>
                <w:rFonts w:ascii="Arial" w:hAnsi="Arial" w:eastAsia="Calibri" w:cs="Arial"/>
              </w:rPr>
              <w:t>Pardeshi, G., Sharma, P. and Ittiel, A., 2026. Rabies post-exposure prophylaxis in India: a SWOT analysis. Therapeutic Advances in Vaccines and Immunotherapy, 14. doi:10.1177/25151355251410780</w:t>
            </w:r>
          </w:p>
        </w:tc>
      </w:tr>
      <w:tr w:rsidRPr="00BF57FF" w:rsidR="009C5AD6" w:rsidTr="00F43AFD" w14:paraId="1317D740"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067405D6" w14:textId="77777777">
            <w:pPr>
              <w:spacing w:after="0" w:line="360" w:lineRule="auto"/>
              <w:ind w:left="2"/>
              <w:jc w:val="both"/>
              <w:rPr>
                <w:rFonts w:ascii="Arial" w:hAnsi="Arial" w:eastAsia="Calibri" w:cs="Arial"/>
              </w:rPr>
            </w:pPr>
            <w:r w:rsidRPr="00BF57FF">
              <w:rPr>
                <w:rFonts w:ascii="Arial" w:hAnsi="Arial" w:eastAsia="Calibri" w:cs="Arial"/>
                <w:b/>
                <w:bCs/>
              </w:rPr>
              <w:t>Study Design</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2C109459" w14:textId="77777777">
            <w:pPr>
              <w:spacing w:after="0" w:line="360" w:lineRule="auto"/>
              <w:ind w:left="2"/>
              <w:jc w:val="both"/>
              <w:rPr>
                <w:rFonts w:ascii="Arial" w:hAnsi="Arial" w:eastAsia="Calibri" w:cs="Arial"/>
              </w:rPr>
            </w:pPr>
            <w:r w:rsidRPr="00BF57FF">
              <w:rPr>
                <w:rFonts w:ascii="Arial" w:hAnsi="Arial" w:eastAsia="Calibri" w:cs="Arial"/>
              </w:rPr>
              <w:t>SWOT analysis review</w:t>
            </w:r>
          </w:p>
        </w:tc>
      </w:tr>
      <w:tr w:rsidRPr="00BF57FF" w:rsidR="009C5AD6" w:rsidTr="00F43AFD" w14:paraId="439A7231"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14A97F94" w14:textId="77777777">
            <w:pPr>
              <w:spacing w:after="0" w:line="360" w:lineRule="auto"/>
              <w:ind w:left="2"/>
              <w:jc w:val="both"/>
              <w:rPr>
                <w:rFonts w:ascii="Arial" w:hAnsi="Arial" w:eastAsia="Calibri" w:cs="Arial"/>
              </w:rPr>
            </w:pPr>
            <w:r w:rsidRPr="00BF57FF">
              <w:rPr>
                <w:rFonts w:ascii="Arial" w:hAnsi="Arial" w:eastAsia="Calibri" w:cs="Arial"/>
                <w:b/>
                <w:bCs/>
              </w:rPr>
              <w:t>Setting &amp; Population</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459015A0" w14:textId="77777777">
            <w:pPr>
              <w:spacing w:after="0" w:line="360" w:lineRule="auto"/>
              <w:ind w:left="2"/>
              <w:jc w:val="both"/>
              <w:rPr>
                <w:rFonts w:ascii="Arial" w:hAnsi="Arial" w:eastAsia="Calibri" w:cs="Arial"/>
              </w:rPr>
            </w:pPr>
            <w:r w:rsidRPr="00BF57FF">
              <w:rPr>
                <w:rFonts w:ascii="Arial" w:hAnsi="Arial" w:eastAsia="Calibri" w:cs="Arial"/>
              </w:rPr>
              <w:t>India (national)</w:t>
            </w:r>
          </w:p>
        </w:tc>
      </w:tr>
      <w:tr w:rsidRPr="00BF57FF" w:rsidR="009C5AD6" w:rsidTr="00F43AFD" w14:paraId="551FE4EC"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171B9E31" w14:textId="77777777">
            <w:pPr>
              <w:spacing w:after="0" w:line="360" w:lineRule="auto"/>
              <w:ind w:left="2"/>
              <w:jc w:val="both"/>
              <w:rPr>
                <w:rFonts w:ascii="Arial" w:hAnsi="Arial" w:eastAsia="Calibri" w:cs="Arial"/>
              </w:rPr>
            </w:pPr>
            <w:r w:rsidRPr="00BF57FF">
              <w:rPr>
                <w:rFonts w:ascii="Arial" w:hAnsi="Arial" w:eastAsia="Calibri" w:cs="Arial"/>
                <w:b/>
                <w:bCs/>
              </w:rPr>
              <w:t>Sample / Data Source</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19906FDB" w14:textId="77777777">
            <w:pPr>
              <w:spacing w:after="0" w:line="360" w:lineRule="auto"/>
              <w:ind w:left="2"/>
              <w:jc w:val="both"/>
              <w:rPr>
                <w:rFonts w:ascii="Arial" w:hAnsi="Arial" w:eastAsia="Calibri" w:cs="Arial"/>
              </w:rPr>
            </w:pPr>
            <w:r w:rsidRPr="00BF57FF">
              <w:rPr>
                <w:rFonts w:ascii="Arial" w:hAnsi="Arial" w:eastAsia="Calibri" w:cs="Arial"/>
              </w:rPr>
              <w:t>Programme documents, policy literature, national surveillance reports</w:t>
            </w:r>
          </w:p>
        </w:tc>
      </w:tr>
      <w:tr w:rsidRPr="00BF57FF" w:rsidR="009C5AD6" w:rsidTr="00F43AFD" w14:paraId="13445EA8"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439E0CB3" w14:textId="77777777">
            <w:pPr>
              <w:spacing w:after="0" w:line="360" w:lineRule="auto"/>
              <w:ind w:left="2"/>
              <w:jc w:val="both"/>
              <w:rPr>
                <w:rFonts w:ascii="Arial" w:hAnsi="Arial" w:eastAsia="Calibri" w:cs="Arial"/>
              </w:rPr>
            </w:pPr>
            <w:r w:rsidRPr="00BF57FF">
              <w:rPr>
                <w:rFonts w:ascii="Arial" w:hAnsi="Arial" w:eastAsia="Calibri" w:cs="Arial"/>
                <w:b/>
                <w:bCs/>
              </w:rPr>
              <w:t>Objectives</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2159F623" w14:textId="77777777">
            <w:pPr>
              <w:spacing w:after="0" w:line="360" w:lineRule="auto"/>
              <w:ind w:left="2"/>
              <w:jc w:val="both"/>
              <w:rPr>
                <w:rFonts w:ascii="Arial" w:hAnsi="Arial" w:eastAsia="Calibri" w:cs="Arial"/>
              </w:rPr>
            </w:pPr>
            <w:r w:rsidRPr="00BF57FF">
              <w:rPr>
                <w:rFonts w:ascii="Arial" w:hAnsi="Arial" w:eastAsia="Calibri" w:cs="Arial"/>
              </w:rPr>
              <w:t>To conduct a structured SWOT analysis of India's rabies PEP programme</w:t>
            </w:r>
          </w:p>
        </w:tc>
      </w:tr>
      <w:tr w:rsidRPr="00BF57FF" w:rsidR="009C5AD6" w:rsidTr="00F43AFD" w14:paraId="76148BB0"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40F00083" w14:textId="77777777">
            <w:pPr>
              <w:spacing w:after="0" w:line="360" w:lineRule="auto"/>
              <w:ind w:left="2"/>
              <w:jc w:val="both"/>
              <w:rPr>
                <w:rFonts w:ascii="Arial" w:hAnsi="Arial" w:eastAsia="Calibri" w:cs="Arial"/>
              </w:rPr>
            </w:pPr>
            <w:r w:rsidRPr="00BF57FF">
              <w:rPr>
                <w:rFonts w:ascii="Arial" w:hAnsi="Arial" w:eastAsia="Calibri" w:cs="Arial"/>
                <w:b/>
                <w:bCs/>
              </w:rPr>
              <w:t>Outcome Measures</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5250853E" w14:textId="77777777">
            <w:pPr>
              <w:spacing w:after="0" w:line="360" w:lineRule="auto"/>
              <w:ind w:left="2"/>
              <w:jc w:val="both"/>
              <w:rPr>
                <w:rFonts w:ascii="Arial" w:hAnsi="Arial" w:eastAsia="Calibri" w:cs="Arial"/>
              </w:rPr>
            </w:pPr>
            <w:r w:rsidRPr="00BF57FF">
              <w:rPr>
                <w:rFonts w:ascii="Arial" w:hAnsi="Arial" w:eastAsia="Calibri" w:cs="Arial"/>
              </w:rPr>
              <w:t>Programmatic strengths, weaknesses, opportunities, and threats</w:t>
            </w:r>
          </w:p>
        </w:tc>
      </w:tr>
      <w:tr w:rsidRPr="00BF57FF" w:rsidR="009C5AD6" w:rsidTr="00F43AFD" w14:paraId="0EC08AD8"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0D3FDBEC" w14:textId="77777777">
            <w:pPr>
              <w:spacing w:after="0" w:line="360" w:lineRule="auto"/>
              <w:ind w:left="2"/>
              <w:jc w:val="both"/>
              <w:rPr>
                <w:rFonts w:ascii="Arial" w:hAnsi="Arial" w:eastAsia="Calibri" w:cs="Arial"/>
              </w:rPr>
            </w:pPr>
            <w:r w:rsidRPr="00BF57FF">
              <w:rPr>
                <w:rFonts w:ascii="Arial" w:hAnsi="Arial" w:eastAsia="Calibri" w:cs="Arial"/>
                <w:b/>
                <w:bCs/>
              </w:rPr>
              <w:t>Key Findings</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65E49F4F" w14:textId="77777777">
            <w:pPr>
              <w:spacing w:after="0" w:line="360" w:lineRule="auto"/>
              <w:ind w:left="2"/>
              <w:jc w:val="both"/>
              <w:rPr>
                <w:rFonts w:ascii="Arial" w:hAnsi="Arial" w:eastAsia="Calibri" w:cs="Arial"/>
              </w:rPr>
            </w:pPr>
            <w:r w:rsidRPr="00BF57FF">
              <w:rPr>
                <w:rFonts w:ascii="Arial" w:hAnsi="Arial" w:eastAsia="Calibri" w:cs="Arial"/>
              </w:rPr>
              <w:t>Weaknesses: supply chain fragility, RIG unavailability; Threats: traditional medicine, under-reporting; Opportunities: digital health, Zero by 30.</w:t>
            </w:r>
          </w:p>
        </w:tc>
      </w:tr>
      <w:tr w:rsidRPr="00BF57FF" w:rsidR="009C5AD6" w:rsidTr="00F43AFD" w14:paraId="2EA6BC5B"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0B9B3E96" w14:textId="77777777">
            <w:pPr>
              <w:spacing w:after="0" w:line="360" w:lineRule="auto"/>
              <w:ind w:left="2"/>
              <w:jc w:val="both"/>
              <w:rPr>
                <w:rFonts w:ascii="Arial" w:hAnsi="Arial" w:eastAsia="Calibri" w:cs="Arial"/>
              </w:rPr>
            </w:pPr>
            <w:r w:rsidRPr="00BF57FF">
              <w:rPr>
                <w:rFonts w:ascii="Arial" w:hAnsi="Arial" w:eastAsia="Calibri" w:cs="Arial"/>
                <w:b/>
                <w:bCs/>
              </w:rPr>
              <w:t>Quality Rating</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5DBCCA38" w14:textId="77777777">
            <w:pPr>
              <w:spacing w:after="0" w:line="360" w:lineRule="auto"/>
              <w:ind w:left="2"/>
              <w:jc w:val="both"/>
              <w:rPr>
                <w:rFonts w:ascii="Arial" w:hAnsi="Arial" w:eastAsia="Calibri" w:cs="Arial"/>
              </w:rPr>
            </w:pPr>
            <w:r w:rsidRPr="00BF57FF">
              <w:rPr>
                <w:rFonts w:ascii="Arial" w:hAnsi="Arial" w:eastAsia="Calibri" w:cs="Arial"/>
              </w:rPr>
              <w:t>Adequate (Narrative Appraisal)</w:t>
            </w:r>
          </w:p>
        </w:tc>
      </w:tr>
      <w:tr w:rsidRPr="00BF57FF" w:rsidR="009C5AD6" w:rsidTr="00F43AFD" w14:paraId="7F65E0C1"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4D94CC1E" w14:textId="77777777">
            <w:pPr>
              <w:spacing w:after="0" w:line="360" w:lineRule="auto"/>
              <w:ind w:left="2"/>
              <w:jc w:val="both"/>
              <w:rPr>
                <w:rFonts w:ascii="Arial" w:hAnsi="Arial" w:eastAsia="Calibri" w:cs="Arial"/>
              </w:rPr>
            </w:pPr>
            <w:r w:rsidRPr="00BF57FF">
              <w:rPr>
                <w:rFonts w:ascii="Arial" w:hAnsi="Arial" w:eastAsia="Calibri" w:cs="Arial"/>
                <w:b/>
                <w:bCs/>
              </w:rPr>
              <w:t>Review Theme(s)</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60678BAA" w14:textId="77777777">
            <w:pPr>
              <w:spacing w:after="0" w:line="360" w:lineRule="auto"/>
              <w:ind w:left="2"/>
              <w:jc w:val="both"/>
              <w:rPr>
                <w:rFonts w:ascii="Arial" w:hAnsi="Arial" w:eastAsia="Calibri" w:cs="Arial"/>
              </w:rPr>
            </w:pPr>
            <w:r w:rsidRPr="00BF57FF">
              <w:rPr>
                <w:rFonts w:ascii="Arial" w:hAnsi="Arial" w:eastAsia="Calibri" w:cs="Arial"/>
              </w:rPr>
              <w:t>Themes 2 and 3 — Traditional Medicine; Health System Failures</w:t>
            </w:r>
          </w:p>
        </w:tc>
      </w:tr>
    </w:tbl>
    <w:p w:rsidRPr="00BF57FF" w:rsidR="009C5AD6" w:rsidP="00A70BBB" w:rsidRDefault="009C5AD6" w14:paraId="026C50D1" w14:textId="77777777">
      <w:pPr>
        <w:spacing w:after="0" w:line="360" w:lineRule="auto"/>
        <w:ind w:left="2"/>
        <w:jc w:val="both"/>
        <w:rPr>
          <w:rFonts w:ascii="Arial" w:hAnsi="Arial" w:eastAsia="Calibri" w:cs="Arial"/>
        </w:rPr>
      </w:pPr>
    </w:p>
    <w:p w:rsidRPr="00BF57FF" w:rsidR="009C5AD6" w:rsidP="00A70BBB" w:rsidRDefault="009C5AD6" w14:paraId="1065096B" w14:textId="2ABD3C22">
      <w:pPr>
        <w:spacing w:after="0" w:line="360" w:lineRule="auto"/>
        <w:ind w:left="2"/>
        <w:jc w:val="both"/>
        <w:rPr>
          <w:rFonts w:ascii="Arial" w:hAnsi="Arial" w:eastAsia="Calibri" w:cs="Arial"/>
        </w:rPr>
      </w:pPr>
      <w:r w:rsidRPr="00BF57FF">
        <w:rPr>
          <w:rFonts w:ascii="Arial" w:hAnsi="Arial" w:eastAsia="Calibri" w:cs="Arial"/>
          <w:b/>
          <w:bCs/>
        </w:rPr>
        <w:t>C.12  Study 12 — Hampson et al. (20</w:t>
      </w:r>
      <w:r w:rsidRPr="00BF57FF" w:rsidR="00D63224">
        <w:rPr>
          <w:rFonts w:ascii="Arial" w:hAnsi="Arial" w:eastAsia="Calibri" w:cs="Arial"/>
          <w:b/>
          <w:bCs/>
        </w:rPr>
        <w:t>15</w:t>
      </w:r>
      <w:r w:rsidRPr="00BF57FF">
        <w:rPr>
          <w:rFonts w:ascii="Arial" w:hAnsi="Arial" w:eastAsia="Calibri" w:cs="Arial"/>
          <w:b/>
          <w:bCs/>
        </w:rPr>
        <w:t>)</w:t>
      </w:r>
    </w:p>
    <w:p w:rsidRPr="00BF57FF" w:rsidR="009C5AD6" w:rsidP="00A70BBB" w:rsidRDefault="009C5AD6" w14:paraId="0F26F6CA" w14:textId="77777777">
      <w:pPr>
        <w:spacing w:after="0" w:line="360" w:lineRule="auto"/>
        <w:ind w:left="2"/>
        <w:jc w:val="both"/>
        <w:rPr>
          <w:rFonts w:ascii="Arial" w:hAnsi="Arial" w:eastAsia="Calibri" w:cs="Arial"/>
        </w:rPr>
      </w:pPr>
    </w:p>
    <w:tbl>
      <w:tblPr>
        <w:tblW w:w="902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2500"/>
        <w:gridCol w:w="6526"/>
      </w:tblGrid>
      <w:tr w:rsidRPr="00BF57FF" w:rsidR="009C5AD6" w:rsidTr="00F43AFD" w14:paraId="50C19A2E"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64D64E3D" w14:textId="77777777">
            <w:pPr>
              <w:spacing w:after="0" w:line="360" w:lineRule="auto"/>
              <w:ind w:left="2"/>
              <w:jc w:val="both"/>
              <w:rPr>
                <w:rFonts w:ascii="Arial" w:hAnsi="Arial" w:eastAsia="Calibri" w:cs="Arial"/>
              </w:rPr>
            </w:pPr>
            <w:r w:rsidRPr="00BF57FF">
              <w:rPr>
                <w:rFonts w:ascii="Arial" w:hAnsi="Arial" w:eastAsia="Calibri" w:cs="Arial"/>
                <w:b/>
                <w:bCs/>
              </w:rPr>
              <w:t>Study Identifier</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0C847678" w14:textId="77777777">
            <w:pPr>
              <w:spacing w:after="0" w:line="360" w:lineRule="auto"/>
              <w:ind w:left="2"/>
              <w:jc w:val="both"/>
              <w:rPr>
                <w:rFonts w:ascii="Arial" w:hAnsi="Arial" w:eastAsia="Calibri" w:cs="Arial"/>
              </w:rPr>
            </w:pPr>
            <w:r w:rsidRPr="00BF57FF">
              <w:rPr>
                <w:rFonts w:ascii="Arial" w:hAnsi="Arial" w:eastAsia="Calibri" w:cs="Arial"/>
              </w:rPr>
              <w:t>Study 12</w:t>
            </w:r>
          </w:p>
        </w:tc>
      </w:tr>
      <w:tr w:rsidRPr="00BF57FF" w:rsidR="009C5AD6" w:rsidTr="00F43AFD" w14:paraId="7F2BE06F"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2E44C695" w14:textId="77777777">
            <w:pPr>
              <w:spacing w:after="0" w:line="360" w:lineRule="auto"/>
              <w:ind w:left="2"/>
              <w:jc w:val="both"/>
              <w:rPr>
                <w:rFonts w:ascii="Arial" w:hAnsi="Arial" w:eastAsia="Calibri" w:cs="Arial"/>
              </w:rPr>
            </w:pPr>
            <w:r w:rsidRPr="00BF57FF">
              <w:rPr>
                <w:rFonts w:ascii="Arial" w:hAnsi="Arial" w:eastAsia="Calibri" w:cs="Arial"/>
                <w:b/>
                <w:bCs/>
              </w:rPr>
              <w:t>Full Citation</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1F82FCE0" w14:textId="77777777">
            <w:pPr>
              <w:spacing w:after="0" w:line="360" w:lineRule="auto"/>
              <w:ind w:left="2"/>
              <w:jc w:val="both"/>
              <w:rPr>
                <w:rFonts w:ascii="Arial" w:hAnsi="Arial" w:eastAsia="Calibri" w:cs="Arial"/>
              </w:rPr>
            </w:pPr>
            <w:r w:rsidRPr="00BF57FF">
              <w:rPr>
                <w:rFonts w:ascii="Arial" w:hAnsi="Arial" w:eastAsia="Calibri" w:cs="Arial"/>
              </w:rPr>
              <w:t>Hampson, K., Coudeville, L., Lembo, T., et al., 2015. Estimating the global burden of endemic canine rabies. PLOS Neglected Tropical Diseases, 9(4), p.e0003709. doi:10.1371/journal.pntd.0003709</w:t>
            </w:r>
          </w:p>
        </w:tc>
      </w:tr>
      <w:tr w:rsidRPr="00BF57FF" w:rsidR="009C5AD6" w:rsidTr="00F43AFD" w14:paraId="16E789C7"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514DF1F7" w14:textId="77777777">
            <w:pPr>
              <w:spacing w:after="0" w:line="360" w:lineRule="auto"/>
              <w:ind w:left="2"/>
              <w:jc w:val="both"/>
              <w:rPr>
                <w:rFonts w:ascii="Arial" w:hAnsi="Arial" w:eastAsia="Calibri" w:cs="Arial"/>
              </w:rPr>
            </w:pPr>
            <w:r w:rsidRPr="00BF57FF">
              <w:rPr>
                <w:rFonts w:ascii="Arial" w:hAnsi="Arial" w:eastAsia="Calibri" w:cs="Arial"/>
                <w:b/>
                <w:bCs/>
              </w:rPr>
              <w:t>Study Design</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36488372" w14:textId="77777777">
            <w:pPr>
              <w:spacing w:after="0" w:line="360" w:lineRule="auto"/>
              <w:ind w:left="2"/>
              <w:jc w:val="both"/>
              <w:rPr>
                <w:rFonts w:ascii="Arial" w:hAnsi="Arial" w:eastAsia="Calibri" w:cs="Arial"/>
              </w:rPr>
            </w:pPr>
            <w:r w:rsidRPr="00BF57FF">
              <w:rPr>
                <w:rFonts w:ascii="Arial" w:hAnsi="Arial" w:eastAsia="Calibri" w:cs="Arial"/>
              </w:rPr>
              <w:t>Global burden modelling study</w:t>
            </w:r>
          </w:p>
        </w:tc>
      </w:tr>
      <w:tr w:rsidRPr="00BF57FF" w:rsidR="009C5AD6" w:rsidTr="00F43AFD" w14:paraId="782B5C66"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4B9D5735" w14:textId="77777777">
            <w:pPr>
              <w:spacing w:after="0" w:line="360" w:lineRule="auto"/>
              <w:ind w:left="2"/>
              <w:jc w:val="both"/>
              <w:rPr>
                <w:rFonts w:ascii="Arial" w:hAnsi="Arial" w:eastAsia="Calibri" w:cs="Arial"/>
              </w:rPr>
            </w:pPr>
            <w:r w:rsidRPr="00BF57FF">
              <w:rPr>
                <w:rFonts w:ascii="Arial" w:hAnsi="Arial" w:eastAsia="Calibri" w:cs="Arial"/>
                <w:b/>
                <w:bCs/>
              </w:rPr>
              <w:t>Setting &amp; Population</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6E2763C5" w14:textId="77777777">
            <w:pPr>
              <w:spacing w:after="0" w:line="360" w:lineRule="auto"/>
              <w:ind w:left="2"/>
              <w:jc w:val="both"/>
              <w:rPr>
                <w:rFonts w:ascii="Arial" w:hAnsi="Arial" w:eastAsia="Calibri" w:cs="Arial"/>
              </w:rPr>
            </w:pPr>
            <w:r w:rsidRPr="00BF57FF">
              <w:rPr>
                <w:rFonts w:ascii="Arial" w:hAnsi="Arial" w:eastAsia="Calibri" w:cs="Arial"/>
              </w:rPr>
              <w:t>Global (87 countries; India-specific data extracted)</w:t>
            </w:r>
          </w:p>
        </w:tc>
      </w:tr>
      <w:tr w:rsidRPr="00BF57FF" w:rsidR="009C5AD6" w:rsidTr="00F43AFD" w14:paraId="1861859E"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32849B2F" w14:textId="77777777">
            <w:pPr>
              <w:spacing w:after="0" w:line="360" w:lineRule="auto"/>
              <w:ind w:left="2"/>
              <w:jc w:val="both"/>
              <w:rPr>
                <w:rFonts w:ascii="Arial" w:hAnsi="Arial" w:eastAsia="Calibri" w:cs="Arial"/>
              </w:rPr>
            </w:pPr>
            <w:r w:rsidRPr="00BF57FF">
              <w:rPr>
                <w:rFonts w:ascii="Arial" w:hAnsi="Arial" w:eastAsia="Calibri" w:cs="Arial"/>
                <w:b/>
                <w:bCs/>
              </w:rPr>
              <w:t>Sample / Data Source</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244223BB" w14:textId="77777777">
            <w:pPr>
              <w:spacing w:after="0" w:line="360" w:lineRule="auto"/>
              <w:ind w:left="2"/>
              <w:jc w:val="both"/>
              <w:rPr>
                <w:rFonts w:ascii="Arial" w:hAnsi="Arial" w:eastAsia="Calibri" w:cs="Arial"/>
              </w:rPr>
            </w:pPr>
            <w:r w:rsidRPr="00BF57FF">
              <w:rPr>
                <w:rFonts w:ascii="Arial" w:hAnsi="Arial" w:eastAsia="Calibri" w:cs="Arial"/>
              </w:rPr>
              <w:t>Country-level epidemiological and economic data from 87 countries</w:t>
            </w:r>
          </w:p>
        </w:tc>
      </w:tr>
      <w:tr w:rsidRPr="00BF57FF" w:rsidR="009C5AD6" w:rsidTr="00F43AFD" w14:paraId="27CE1F09"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704FB937" w14:textId="77777777">
            <w:pPr>
              <w:spacing w:after="0" w:line="360" w:lineRule="auto"/>
              <w:ind w:left="2"/>
              <w:jc w:val="both"/>
              <w:rPr>
                <w:rFonts w:ascii="Arial" w:hAnsi="Arial" w:eastAsia="Calibri" w:cs="Arial"/>
              </w:rPr>
            </w:pPr>
            <w:r w:rsidRPr="00BF57FF">
              <w:rPr>
                <w:rFonts w:ascii="Arial" w:hAnsi="Arial" w:eastAsia="Calibri" w:cs="Arial"/>
                <w:b/>
                <w:bCs/>
              </w:rPr>
              <w:t>Objectives</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3D816360" w14:textId="77777777">
            <w:pPr>
              <w:spacing w:after="0" w:line="360" w:lineRule="auto"/>
              <w:ind w:left="2"/>
              <w:jc w:val="both"/>
              <w:rPr>
                <w:rFonts w:ascii="Arial" w:hAnsi="Arial" w:eastAsia="Calibri" w:cs="Arial"/>
              </w:rPr>
            </w:pPr>
            <w:r w:rsidRPr="00BF57FF">
              <w:rPr>
                <w:rFonts w:ascii="Arial" w:hAnsi="Arial" w:eastAsia="Calibri" w:cs="Arial"/>
              </w:rPr>
              <w:t>To estimate the global burden of dog-mediated rabies including deaths, DALYs, and economic costs</w:t>
            </w:r>
          </w:p>
        </w:tc>
      </w:tr>
      <w:tr w:rsidRPr="00BF57FF" w:rsidR="009C5AD6" w:rsidTr="00F43AFD" w14:paraId="5B29BE36"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298968D9" w14:textId="77777777">
            <w:pPr>
              <w:spacing w:after="0" w:line="360" w:lineRule="auto"/>
              <w:ind w:left="2"/>
              <w:jc w:val="both"/>
              <w:rPr>
                <w:rFonts w:ascii="Arial" w:hAnsi="Arial" w:eastAsia="Calibri" w:cs="Arial"/>
              </w:rPr>
            </w:pPr>
            <w:r w:rsidRPr="00BF57FF">
              <w:rPr>
                <w:rFonts w:ascii="Arial" w:hAnsi="Arial" w:eastAsia="Calibri" w:cs="Arial"/>
                <w:b/>
                <w:bCs/>
              </w:rPr>
              <w:t>Outcome Measures</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178818BD" w14:textId="77777777">
            <w:pPr>
              <w:spacing w:after="0" w:line="360" w:lineRule="auto"/>
              <w:ind w:left="2"/>
              <w:jc w:val="both"/>
              <w:rPr>
                <w:rFonts w:ascii="Arial" w:hAnsi="Arial" w:eastAsia="Calibri" w:cs="Arial"/>
              </w:rPr>
            </w:pPr>
            <w:r w:rsidRPr="00BF57FF">
              <w:rPr>
                <w:rFonts w:ascii="Arial" w:hAnsi="Arial" w:eastAsia="Calibri" w:cs="Arial"/>
              </w:rPr>
              <w:t>Annual deaths; DALYs; economic cost; India share of global burden</w:t>
            </w:r>
          </w:p>
        </w:tc>
      </w:tr>
      <w:tr w:rsidRPr="00BF57FF" w:rsidR="009C5AD6" w:rsidTr="00F43AFD" w14:paraId="18AE9AA4"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6B72F641" w14:textId="77777777">
            <w:pPr>
              <w:spacing w:after="0" w:line="360" w:lineRule="auto"/>
              <w:ind w:left="2"/>
              <w:jc w:val="both"/>
              <w:rPr>
                <w:rFonts w:ascii="Arial" w:hAnsi="Arial" w:eastAsia="Calibri" w:cs="Arial"/>
              </w:rPr>
            </w:pPr>
            <w:r w:rsidRPr="00BF57FF">
              <w:rPr>
                <w:rFonts w:ascii="Arial" w:hAnsi="Arial" w:eastAsia="Calibri" w:cs="Arial"/>
                <w:b/>
                <w:bCs/>
              </w:rPr>
              <w:t>Key Findings</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345E173F" w14:textId="77777777">
            <w:pPr>
              <w:spacing w:after="0" w:line="360" w:lineRule="auto"/>
              <w:ind w:left="2"/>
              <w:jc w:val="both"/>
              <w:rPr>
                <w:rFonts w:ascii="Arial" w:hAnsi="Arial" w:eastAsia="Calibri" w:cs="Arial"/>
              </w:rPr>
            </w:pPr>
            <w:r w:rsidRPr="00BF57FF">
              <w:rPr>
                <w:rFonts w:ascii="Arial" w:hAnsi="Arial" w:eastAsia="Calibri" w:cs="Arial"/>
              </w:rPr>
              <w:t>~59,000 global deaths/year; India holds highest absolute national burden (~20,000 deaths/year estimated); global economic cost US$8.6 billion.</w:t>
            </w:r>
          </w:p>
        </w:tc>
      </w:tr>
      <w:tr w:rsidRPr="00BF57FF" w:rsidR="009C5AD6" w:rsidTr="00F43AFD" w14:paraId="2B3F6A4D"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9C5AD6" w14:paraId="7D6F3561" w14:textId="77777777">
            <w:pPr>
              <w:spacing w:after="0" w:line="360" w:lineRule="auto"/>
              <w:ind w:left="2"/>
              <w:jc w:val="both"/>
              <w:rPr>
                <w:rFonts w:ascii="Arial" w:hAnsi="Arial" w:eastAsia="Calibri" w:cs="Arial"/>
              </w:rPr>
            </w:pPr>
            <w:r w:rsidRPr="00BF57FF">
              <w:rPr>
                <w:rFonts w:ascii="Arial" w:hAnsi="Arial" w:eastAsia="Calibri" w:cs="Arial"/>
                <w:b/>
                <w:bCs/>
              </w:rPr>
              <w:t>Quality Rating</w:t>
            </w:r>
          </w:p>
        </w:tc>
        <w:tc>
          <w:tcPr>
            <w:tcW w:w="6526" w:type="dxa"/>
            <w:tcBorders>
              <w:top w:val="single" w:color="D4B070" w:sz="4" w:space="0"/>
              <w:left w:val="single" w:color="D4B070" w:sz="4" w:space="0"/>
              <w:bottom w:val="single" w:color="D4B070" w:sz="4" w:space="0"/>
              <w:right w:val="single" w:color="D4B070" w:sz="4" w:space="0"/>
            </w:tcBorders>
            <w:shd w:val="clear" w:color="auto" w:fill="FFF8EC"/>
            <w:tcMar>
              <w:top w:w="80" w:type="dxa"/>
              <w:left w:w="130" w:type="dxa"/>
              <w:bottom w:w="80" w:type="dxa"/>
              <w:right w:w="130" w:type="dxa"/>
            </w:tcMar>
            <w:vAlign w:val="center"/>
          </w:tcPr>
          <w:p w:rsidRPr="00BF57FF" w:rsidR="009C5AD6" w:rsidP="00A70BBB" w:rsidRDefault="00D63224" w14:paraId="2E5FC619" w14:textId="40C8F0B6">
            <w:pPr>
              <w:spacing w:after="0" w:line="360" w:lineRule="auto"/>
              <w:ind w:left="2"/>
              <w:jc w:val="both"/>
              <w:rPr>
                <w:rFonts w:ascii="Arial" w:hAnsi="Arial" w:eastAsia="Calibri" w:cs="Arial"/>
              </w:rPr>
            </w:pPr>
            <w:r w:rsidRPr="00BF57FF">
              <w:rPr>
                <w:rFonts w:ascii="Arial" w:hAnsi="Arial" w:eastAsia="Calibri" w:cs="Arial"/>
              </w:rPr>
              <w:t>High (Narrative Quality Appraisal)</w:t>
            </w:r>
          </w:p>
        </w:tc>
      </w:tr>
      <w:tr w:rsidRPr="00BF57FF" w:rsidR="009C5AD6" w:rsidTr="00F43AFD" w14:paraId="287790C1" w14:textId="77777777">
        <w:tc>
          <w:tcPr>
            <w:tcW w:w="2500"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3ADDCECF" w14:textId="77777777">
            <w:pPr>
              <w:spacing w:after="0" w:line="360" w:lineRule="auto"/>
              <w:ind w:left="2"/>
              <w:jc w:val="both"/>
              <w:rPr>
                <w:rFonts w:ascii="Arial" w:hAnsi="Arial" w:eastAsia="Calibri" w:cs="Arial"/>
              </w:rPr>
            </w:pPr>
            <w:r w:rsidRPr="00BF57FF">
              <w:rPr>
                <w:rFonts w:ascii="Arial" w:hAnsi="Arial" w:eastAsia="Calibri" w:cs="Arial"/>
                <w:b/>
                <w:bCs/>
              </w:rPr>
              <w:t>Review Theme(s)</w:t>
            </w:r>
          </w:p>
        </w:tc>
        <w:tc>
          <w:tcPr>
            <w:tcW w:w="6526" w:type="dxa"/>
            <w:tcBorders>
              <w:top w:val="single" w:color="D4B070" w:sz="4" w:space="0"/>
              <w:left w:val="single" w:color="D4B070" w:sz="4" w:space="0"/>
              <w:bottom w:val="single" w:color="D4B070" w:sz="4" w:space="0"/>
              <w:right w:val="single" w:color="D4B070" w:sz="4" w:space="0"/>
            </w:tcBorders>
            <w:shd w:val="clear" w:color="auto" w:fill="FFFCF0"/>
            <w:tcMar>
              <w:top w:w="80" w:type="dxa"/>
              <w:left w:w="130" w:type="dxa"/>
              <w:bottom w:w="80" w:type="dxa"/>
              <w:right w:w="130" w:type="dxa"/>
            </w:tcMar>
            <w:vAlign w:val="center"/>
          </w:tcPr>
          <w:p w:rsidRPr="00BF57FF" w:rsidR="009C5AD6" w:rsidP="00A70BBB" w:rsidRDefault="009C5AD6" w14:paraId="6A53B5EF" w14:textId="77777777">
            <w:pPr>
              <w:spacing w:after="0" w:line="360" w:lineRule="auto"/>
              <w:ind w:left="2"/>
              <w:jc w:val="both"/>
              <w:rPr>
                <w:rFonts w:ascii="Arial" w:hAnsi="Arial" w:eastAsia="Calibri" w:cs="Arial"/>
              </w:rPr>
            </w:pPr>
            <w:r w:rsidRPr="00BF57FF">
              <w:rPr>
                <w:rFonts w:ascii="Arial" w:hAnsi="Arial" w:eastAsia="Calibri" w:cs="Arial"/>
              </w:rPr>
              <w:t>Theme 4 — Surveillance Inadequacy and Under-Reporting</w:t>
            </w:r>
          </w:p>
        </w:tc>
      </w:tr>
    </w:tbl>
    <w:p w:rsidRPr="00BF57FF" w:rsidR="009C5AD6" w:rsidP="00A70BBB" w:rsidRDefault="009C5AD6" w14:paraId="0DF90A6B" w14:textId="77777777">
      <w:pPr>
        <w:spacing w:after="0" w:line="360" w:lineRule="auto"/>
        <w:ind w:left="2"/>
        <w:jc w:val="both"/>
        <w:rPr>
          <w:rFonts w:ascii="Arial" w:hAnsi="Arial" w:eastAsia="Calibri" w:cs="Arial"/>
        </w:rPr>
      </w:pPr>
    </w:p>
    <w:p w:rsidRPr="00BF57FF" w:rsidR="009C5AD6" w:rsidP="00A70BBB" w:rsidRDefault="009C5AD6" w14:paraId="2611573B" w14:textId="77777777">
      <w:pPr>
        <w:spacing w:after="0" w:line="360" w:lineRule="auto"/>
        <w:ind w:left="2"/>
        <w:jc w:val="both"/>
        <w:rPr>
          <w:rFonts w:ascii="Arial" w:hAnsi="Arial" w:eastAsia="Calibri" w:cs="Arial"/>
        </w:rPr>
      </w:pPr>
    </w:p>
    <w:p w:rsidRPr="00BF57FF" w:rsidR="009F64C5" w:rsidP="00A70BBB" w:rsidRDefault="009F64C5" w14:paraId="16CAB32E" w14:textId="2F4CC19D">
      <w:pPr>
        <w:spacing w:after="0" w:line="360" w:lineRule="auto"/>
        <w:ind w:left="2"/>
        <w:jc w:val="both"/>
        <w:rPr>
          <w:rFonts w:ascii="Arial" w:hAnsi="Arial" w:cs="Arial"/>
        </w:rPr>
      </w:pPr>
      <w:r w:rsidRPr="00BF57FF">
        <w:rPr>
          <w:rFonts w:ascii="Arial" w:hAnsi="Arial" w:eastAsia="Calibri" w:cs="Arial"/>
        </w:rPr>
        <w:t xml:space="preserve"> </w:t>
      </w:r>
    </w:p>
    <w:p w:rsidRPr="00BF57FF" w:rsidR="009F64C5" w:rsidP="00A70BBB" w:rsidRDefault="009F64C5" w14:paraId="7948AC12" w14:textId="77777777">
      <w:pPr>
        <w:spacing w:after="0" w:line="360" w:lineRule="auto"/>
        <w:jc w:val="both"/>
        <w:rPr>
          <w:rFonts w:ascii="Arial" w:hAnsi="Arial" w:cs="Arial"/>
        </w:rPr>
      </w:pPr>
      <w:r w:rsidRPr="00BF57FF">
        <w:rPr>
          <w:rFonts w:ascii="Arial" w:hAnsi="Arial" w:eastAsia="Calibri" w:cs="Arial"/>
        </w:rPr>
        <w:t xml:space="preserve"> </w:t>
      </w:r>
    </w:p>
    <w:p w:rsidRPr="00BF57FF" w:rsidR="009F64C5" w:rsidP="00A70BBB" w:rsidRDefault="009F64C5" w14:paraId="73FE2FDD" w14:textId="77777777">
      <w:pPr>
        <w:spacing w:after="0" w:line="360" w:lineRule="auto"/>
        <w:jc w:val="both"/>
        <w:rPr>
          <w:rFonts w:ascii="Arial" w:hAnsi="Arial" w:cs="Arial"/>
        </w:rPr>
      </w:pPr>
      <w:r w:rsidRPr="00BF57FF">
        <w:rPr>
          <w:rFonts w:ascii="Arial" w:hAnsi="Arial" w:eastAsia="Calibri" w:cs="Arial"/>
        </w:rPr>
        <w:t xml:space="preserve"> </w:t>
      </w:r>
    </w:p>
    <w:p w:rsidRPr="00BF57FF" w:rsidR="009F64C5" w:rsidP="00A70BBB" w:rsidRDefault="009F64C5" w14:paraId="797F1EE7" w14:textId="77777777">
      <w:pPr>
        <w:spacing w:after="0" w:line="360" w:lineRule="auto"/>
        <w:jc w:val="both"/>
        <w:rPr>
          <w:rFonts w:ascii="Arial" w:hAnsi="Arial" w:cs="Arial"/>
        </w:rPr>
      </w:pPr>
      <w:r w:rsidRPr="00BF57FF">
        <w:rPr>
          <w:rFonts w:ascii="Arial" w:hAnsi="Arial" w:eastAsia="Calibri" w:cs="Arial"/>
        </w:rPr>
        <w:t xml:space="preserve"> </w:t>
      </w:r>
    </w:p>
    <w:p w:rsidRPr="00BF57FF" w:rsidR="009F64C5" w:rsidP="00A70BBB" w:rsidRDefault="009F64C5" w14:paraId="1CD17A3B" w14:textId="77777777">
      <w:pPr>
        <w:spacing w:after="0" w:line="360" w:lineRule="auto"/>
        <w:jc w:val="both"/>
        <w:rPr>
          <w:rFonts w:ascii="Arial" w:hAnsi="Arial" w:cs="Arial"/>
        </w:rPr>
      </w:pPr>
      <w:r w:rsidRPr="00BF57FF">
        <w:rPr>
          <w:rFonts w:ascii="Arial" w:hAnsi="Arial" w:eastAsia="Calibri" w:cs="Arial"/>
        </w:rPr>
        <w:t xml:space="preserve"> </w:t>
      </w:r>
    </w:p>
    <w:p w:rsidRPr="00BF57FF" w:rsidR="009F64C5" w:rsidP="00A70BBB" w:rsidRDefault="009F64C5" w14:paraId="2B4AFC15" w14:textId="77777777">
      <w:pPr>
        <w:spacing w:after="0" w:line="360" w:lineRule="auto"/>
        <w:jc w:val="both"/>
        <w:rPr>
          <w:rFonts w:ascii="Arial" w:hAnsi="Arial" w:cs="Arial"/>
        </w:rPr>
      </w:pPr>
      <w:r w:rsidRPr="00BF57FF">
        <w:rPr>
          <w:rFonts w:ascii="Arial" w:hAnsi="Arial" w:eastAsia="Calibri" w:cs="Arial"/>
        </w:rPr>
        <w:t xml:space="preserve"> </w:t>
      </w:r>
    </w:p>
    <w:p w:rsidRPr="00BF57FF" w:rsidR="009F64C5" w:rsidP="00A70BBB" w:rsidRDefault="009F64C5" w14:paraId="76B57284" w14:textId="77777777">
      <w:pPr>
        <w:spacing w:after="0" w:line="360" w:lineRule="auto"/>
        <w:jc w:val="both"/>
        <w:rPr>
          <w:rFonts w:ascii="Arial" w:hAnsi="Arial" w:cs="Arial"/>
        </w:rPr>
      </w:pPr>
      <w:r w:rsidRPr="00BF57FF">
        <w:rPr>
          <w:rFonts w:ascii="Arial" w:hAnsi="Arial" w:eastAsia="Calibri" w:cs="Arial"/>
        </w:rPr>
        <w:t xml:space="preserve"> </w:t>
      </w:r>
    </w:p>
    <w:p w:rsidRPr="00BF57FF" w:rsidR="009F64C5" w:rsidP="00A70BBB" w:rsidRDefault="009F64C5" w14:paraId="29F71755" w14:textId="77777777">
      <w:pPr>
        <w:spacing w:after="0" w:line="360" w:lineRule="auto"/>
        <w:jc w:val="both"/>
        <w:rPr>
          <w:rFonts w:ascii="Arial" w:hAnsi="Arial" w:cs="Arial"/>
        </w:rPr>
      </w:pPr>
      <w:r w:rsidRPr="00BF57FF">
        <w:rPr>
          <w:rFonts w:ascii="Arial" w:hAnsi="Arial" w:eastAsia="Calibri" w:cs="Arial"/>
        </w:rPr>
        <w:t xml:space="preserve"> </w:t>
      </w:r>
    </w:p>
    <w:p w:rsidRPr="00BF57FF" w:rsidR="009F64C5" w:rsidP="00A70BBB" w:rsidRDefault="009F64C5" w14:paraId="65E160E1" w14:textId="06F45E81">
      <w:pPr>
        <w:spacing w:after="0" w:line="360" w:lineRule="auto"/>
        <w:jc w:val="both"/>
        <w:rPr>
          <w:rFonts w:ascii="Arial" w:hAnsi="Arial" w:cs="Arial"/>
        </w:rPr>
      </w:pPr>
      <w:r w:rsidRPr="00BF57FF">
        <w:rPr>
          <w:rFonts w:ascii="Arial" w:hAnsi="Arial" w:eastAsia="Calibri" w:cs="Arial"/>
        </w:rPr>
        <w:t xml:space="preserve"> </w:t>
      </w:r>
    </w:p>
    <w:p w:rsidRPr="00BF57FF" w:rsidR="009F64C5" w:rsidP="00A70BBB" w:rsidRDefault="009F64C5" w14:paraId="124E85D0" w14:textId="77777777">
      <w:pPr>
        <w:spacing w:after="0" w:line="360" w:lineRule="auto"/>
        <w:jc w:val="both"/>
        <w:rPr>
          <w:rFonts w:ascii="Arial" w:hAnsi="Arial" w:cs="Arial"/>
        </w:rPr>
      </w:pPr>
      <w:r w:rsidRPr="00BF57FF">
        <w:rPr>
          <w:rFonts w:ascii="Arial" w:hAnsi="Arial" w:eastAsia="Calibri" w:cs="Arial"/>
        </w:rPr>
        <w:t xml:space="preserve"> </w:t>
      </w:r>
    </w:p>
    <w:p w:rsidRPr="00BF57FF" w:rsidR="009F64C5" w:rsidP="00A70BBB" w:rsidRDefault="009F64C5" w14:paraId="69702984" w14:textId="77777777">
      <w:pPr>
        <w:spacing w:after="0" w:line="360" w:lineRule="auto"/>
        <w:jc w:val="both"/>
        <w:rPr>
          <w:rFonts w:ascii="Arial" w:hAnsi="Arial" w:cs="Arial"/>
        </w:rPr>
      </w:pPr>
      <w:r w:rsidRPr="00BF57FF">
        <w:rPr>
          <w:rFonts w:ascii="Arial" w:hAnsi="Arial" w:eastAsia="Calibri" w:cs="Arial"/>
        </w:rPr>
        <w:t xml:space="preserve"> </w:t>
      </w:r>
    </w:p>
    <w:p w:rsidRPr="00BF57FF" w:rsidR="009F64C5" w:rsidP="00A70BBB" w:rsidRDefault="009F64C5" w14:paraId="0EF5AC8F" w14:textId="77777777">
      <w:pPr>
        <w:spacing w:after="0" w:line="360" w:lineRule="auto"/>
        <w:jc w:val="both"/>
        <w:rPr>
          <w:rFonts w:ascii="Arial" w:hAnsi="Arial" w:cs="Arial"/>
        </w:rPr>
      </w:pPr>
      <w:r w:rsidRPr="00BF57FF">
        <w:rPr>
          <w:rFonts w:ascii="Arial" w:hAnsi="Arial" w:cs="Arial"/>
        </w:rPr>
        <w:t xml:space="preserve">  </w:t>
      </w:r>
    </w:p>
    <w:sectPr w:rsidRPr="00BF57FF" w:rsidR="009F64C5" w:rsidSect="00B2505E">
      <w:footerReference w:type="even" r:id="rId25"/>
      <w:footerReference w:type="default" r:id="rId26"/>
      <w:footerReference w:type="first" r:id="rId2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2B2BB5" w:rsidR="0035017F" w:rsidRDefault="0035017F" w14:paraId="5BCCF47C" w14:textId="77777777">
      <w:pPr>
        <w:spacing w:after="0" w:line="240" w:lineRule="auto"/>
      </w:pPr>
      <w:r w:rsidRPr="002B2BB5">
        <w:separator/>
      </w:r>
    </w:p>
  </w:endnote>
  <w:endnote w:type="continuationSeparator" w:id="0">
    <w:p w:rsidRPr="002B2BB5" w:rsidR="0035017F" w:rsidRDefault="0035017F" w14:paraId="11C0ABD6" w14:textId="77777777">
      <w:pPr>
        <w:spacing w:after="0" w:line="240" w:lineRule="auto"/>
      </w:pPr>
      <w:r w:rsidRPr="002B2BB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2B2BB5" w:rsidR="0090559E" w:rsidP="0090559E" w:rsidRDefault="0090559E" w14:paraId="2294C932" w14:textId="77777777">
    <w:pPr>
      <w:spacing w:after="0"/>
      <w:ind w:right="-3"/>
      <w:jc w:val="right"/>
    </w:pPr>
    <w:r w:rsidRPr="002B2BB5">
      <w:fldChar w:fldCharType="begin"/>
    </w:r>
    <w:r w:rsidRPr="002B2BB5">
      <w:instrText xml:space="preserve"> PAGE   \* MERGEFORMAT </w:instrText>
    </w:r>
    <w:r w:rsidRPr="002B2BB5">
      <w:fldChar w:fldCharType="separate"/>
    </w:r>
    <w:r>
      <w:t>88</w:t>
    </w:r>
    <w:r w:rsidRPr="002B2BB5">
      <w:rPr>
        <w:rFonts w:ascii="Calibri" w:hAnsi="Calibri" w:eastAsia="Calibri" w:cs="Calibri"/>
      </w:rPr>
      <w:fldChar w:fldCharType="end"/>
    </w:r>
    <w:r w:rsidRPr="002B2BB5">
      <w:rPr>
        <w:rFonts w:ascii="Calibri" w:hAnsi="Calibri" w:eastAsia="Calibri" w:cs="Calibri"/>
      </w:rPr>
      <w:t xml:space="preserve"> </w:t>
    </w:r>
  </w:p>
  <w:p w:rsidRPr="002B2BB5" w:rsidR="0090559E" w:rsidP="0090559E" w:rsidRDefault="00601709" w14:paraId="40F74C38" w14:textId="27F74FEE">
    <w:pPr>
      <w:tabs>
        <w:tab w:val="center" w:pos="4405"/>
      </w:tabs>
      <w:spacing w:after="0"/>
    </w:pPr>
    <w:r>
      <w:rPr>
        <w:rFonts w:ascii="Calibri" w:hAnsi="Calibri" w:eastAsia="Calibri" w:cs="Calibri"/>
      </w:rPr>
      <w:t>Muhammad Hussain</w:t>
    </w:r>
    <w:r w:rsidRPr="002B2BB5" w:rsidR="0090559E">
      <w:rPr>
        <w:rFonts w:ascii="Calibri" w:hAnsi="Calibri" w:eastAsia="Calibri" w:cs="Calibri"/>
      </w:rPr>
      <w:tab/>
    </w:r>
    <w:r>
      <w:rPr>
        <w:rFonts w:ascii="Calibri" w:hAnsi="Calibri" w:eastAsia="Calibri" w:cs="Calibri"/>
      </w:rPr>
      <w:t xml:space="preserve">  </w:t>
    </w:r>
    <w:r w:rsidRPr="002B2BB5" w:rsidR="0090559E">
      <w:rPr>
        <w:rFonts w:ascii="Calibri" w:hAnsi="Calibri" w:eastAsia="Calibri" w:cs="Calibri"/>
      </w:rPr>
      <w:t xml:space="preserve">Dissertation </w:t>
    </w:r>
  </w:p>
  <w:p w:rsidR="0090559E" w:rsidRDefault="0090559E" w14:paraId="7228B158" w14:textId="7FB374C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2B2BB5" w:rsidR="009A1B64" w:rsidRDefault="007446D0" w14:paraId="01E9AA3E" w14:textId="53ED459C">
    <w:pPr>
      <w:spacing w:after="0"/>
      <w:ind w:right="-3"/>
      <w:jc w:val="right"/>
    </w:pPr>
    <w:r w:rsidRPr="002B2BB5">
      <w:fldChar w:fldCharType="begin"/>
    </w:r>
    <w:r w:rsidRPr="002B2BB5">
      <w:instrText xml:space="preserve"> PAGE   \* MERGEFORMAT </w:instrText>
    </w:r>
    <w:r w:rsidRPr="002B2BB5">
      <w:fldChar w:fldCharType="separate"/>
    </w:r>
    <w:r w:rsidRPr="002B2BB5">
      <w:rPr>
        <w:rFonts w:ascii="Calibri" w:hAnsi="Calibri" w:eastAsia="Calibri" w:cs="Calibri"/>
      </w:rPr>
      <w:t>1</w:t>
    </w:r>
    <w:r w:rsidRPr="002B2BB5">
      <w:rPr>
        <w:rFonts w:ascii="Calibri" w:hAnsi="Calibri" w:eastAsia="Calibri" w:cs="Calibri"/>
      </w:rPr>
      <w:fldChar w:fldCharType="end"/>
    </w:r>
    <w:r w:rsidRPr="002B2BB5">
      <w:rPr>
        <w:rFonts w:ascii="Calibri" w:hAnsi="Calibri" w:eastAsia="Calibri" w:cs="Calibri"/>
      </w:rPr>
      <w:t xml:space="preserve"> </w:t>
    </w:r>
  </w:p>
  <w:p w:rsidRPr="002B2BB5" w:rsidR="009A1B64" w:rsidRDefault="007446D0" w14:paraId="7C34BA27" w14:textId="77777777">
    <w:pPr>
      <w:tabs>
        <w:tab w:val="center" w:pos="4405"/>
      </w:tabs>
      <w:spacing w:after="0"/>
    </w:pPr>
    <w:r w:rsidRPr="002B2BB5">
      <w:rPr>
        <w:rFonts w:ascii="Calibri" w:hAnsi="Calibri" w:eastAsia="Calibri" w:cs="Calibri"/>
      </w:rPr>
      <w:t xml:space="preserve">[Your Name] </w:t>
    </w:r>
    <w:r w:rsidRPr="002B2BB5">
      <w:rPr>
        <w:rFonts w:ascii="Calibri" w:hAnsi="Calibri" w:eastAsia="Calibri" w:cs="Calibri"/>
      </w:rPr>
      <w:tab/>
    </w:r>
    <w:r w:rsidRPr="002B2BB5">
      <w:rPr>
        <w:rFonts w:ascii="Calibri" w:hAnsi="Calibri" w:eastAsia="Calibri" w:cs="Calibri"/>
      </w:rPr>
      <w:t xml:space="preserve">Dissertation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90559E" w:rsidR="009A1B64" w:rsidP="0090559E" w:rsidRDefault="009A1B64" w14:paraId="3B69E3F4" w14:textId="480EC9F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2B2BB5" w:rsidR="009A1B64" w:rsidRDefault="007446D0" w14:paraId="7FDF907E" w14:textId="377F12B9">
    <w:pPr>
      <w:spacing w:after="0"/>
      <w:ind w:right="-3"/>
      <w:jc w:val="right"/>
    </w:pPr>
    <w:r w:rsidRPr="002B2BB5">
      <w:fldChar w:fldCharType="begin"/>
    </w:r>
    <w:r w:rsidRPr="002B2BB5">
      <w:instrText xml:space="preserve"> PAGE   \* MERGEFORMAT </w:instrText>
    </w:r>
    <w:r w:rsidRPr="002B2BB5">
      <w:fldChar w:fldCharType="separate"/>
    </w:r>
    <w:r w:rsidRPr="002B2BB5">
      <w:rPr>
        <w:rFonts w:ascii="Calibri" w:hAnsi="Calibri" w:eastAsia="Calibri" w:cs="Calibri"/>
      </w:rPr>
      <w:t>1</w:t>
    </w:r>
    <w:r w:rsidRPr="002B2BB5">
      <w:rPr>
        <w:rFonts w:ascii="Calibri" w:hAnsi="Calibri" w:eastAsia="Calibri" w:cs="Calibri"/>
      </w:rPr>
      <w:fldChar w:fldCharType="end"/>
    </w:r>
    <w:r w:rsidRPr="002B2BB5">
      <w:rPr>
        <w:rFonts w:ascii="Calibri" w:hAnsi="Calibri" w:eastAsia="Calibri" w:cs="Calibri"/>
      </w:rPr>
      <w:t xml:space="preserve"> </w:t>
    </w:r>
  </w:p>
  <w:p w:rsidRPr="002B2BB5" w:rsidR="009A1B64" w:rsidRDefault="007446D0" w14:paraId="3EB72DA1" w14:textId="77777777">
    <w:pPr>
      <w:tabs>
        <w:tab w:val="center" w:pos="4405"/>
      </w:tabs>
      <w:spacing w:after="0"/>
    </w:pPr>
    <w:r w:rsidRPr="002B2BB5">
      <w:rPr>
        <w:rFonts w:ascii="Calibri" w:hAnsi="Calibri" w:eastAsia="Calibri" w:cs="Calibri"/>
      </w:rPr>
      <w:t xml:space="preserve">[Your Name] </w:t>
    </w:r>
    <w:r w:rsidRPr="002B2BB5">
      <w:rPr>
        <w:rFonts w:ascii="Calibri" w:hAnsi="Calibri" w:eastAsia="Calibri" w:cs="Calibri"/>
      </w:rPr>
      <w:tab/>
    </w:r>
    <w:r w:rsidRPr="002B2BB5">
      <w:rPr>
        <w:rFonts w:ascii="Calibri" w:hAnsi="Calibri" w:eastAsia="Calibri" w:cs="Calibri"/>
      </w:rPr>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2B2BB5" w:rsidR="0035017F" w:rsidRDefault="0035017F" w14:paraId="1D2ED53E" w14:textId="77777777">
      <w:pPr>
        <w:spacing w:after="0" w:line="240" w:lineRule="auto"/>
      </w:pPr>
      <w:r w:rsidRPr="002B2BB5">
        <w:separator/>
      </w:r>
    </w:p>
  </w:footnote>
  <w:footnote w:type="continuationSeparator" w:id="0">
    <w:p w:rsidRPr="002B2BB5" w:rsidR="0035017F" w:rsidRDefault="0035017F" w14:paraId="214AF791" w14:textId="77777777">
      <w:pPr>
        <w:spacing w:after="0" w:line="240" w:lineRule="auto"/>
      </w:pPr>
      <w:r w:rsidRPr="002B2BB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74BF9"/>
    <w:multiLevelType w:val="hybridMultilevel"/>
    <w:tmpl w:val="B7E0A7B4"/>
    <w:lvl w:ilvl="0" w:tplc="1F183620">
      <w:start w:val="1"/>
      <w:numFmt w:val="bullet"/>
      <w:lvlText w:val="•"/>
      <w:lvlJc w:val="left"/>
      <w:pPr>
        <w:ind w:left="705"/>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F2AA2D4A">
      <w:start w:val="1"/>
      <w:numFmt w:val="bullet"/>
      <w:lvlText w:val="o"/>
      <w:lvlJc w:val="left"/>
      <w:pPr>
        <w:ind w:left="144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2" w:tplc="FCACD7A6">
      <w:start w:val="1"/>
      <w:numFmt w:val="bullet"/>
      <w:lvlText w:val="▪"/>
      <w:lvlJc w:val="left"/>
      <w:pPr>
        <w:ind w:left="21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3" w:tplc="B3122918">
      <w:start w:val="1"/>
      <w:numFmt w:val="bullet"/>
      <w:lvlText w:val="•"/>
      <w:lvlJc w:val="left"/>
      <w:pPr>
        <w:ind w:left="288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FEB87ED2">
      <w:start w:val="1"/>
      <w:numFmt w:val="bullet"/>
      <w:lvlText w:val="o"/>
      <w:lvlJc w:val="left"/>
      <w:pPr>
        <w:ind w:left="360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5" w:tplc="C914BD2A">
      <w:start w:val="1"/>
      <w:numFmt w:val="bullet"/>
      <w:lvlText w:val="▪"/>
      <w:lvlJc w:val="left"/>
      <w:pPr>
        <w:ind w:left="432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6" w:tplc="A77E3A7E">
      <w:start w:val="1"/>
      <w:numFmt w:val="bullet"/>
      <w:lvlText w:val="•"/>
      <w:lvlJc w:val="left"/>
      <w:pPr>
        <w:ind w:left="504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827A0778">
      <w:start w:val="1"/>
      <w:numFmt w:val="bullet"/>
      <w:lvlText w:val="o"/>
      <w:lvlJc w:val="left"/>
      <w:pPr>
        <w:ind w:left="57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8" w:tplc="E88C093E">
      <w:start w:val="1"/>
      <w:numFmt w:val="bullet"/>
      <w:lvlText w:val="▪"/>
      <w:lvlJc w:val="left"/>
      <w:pPr>
        <w:ind w:left="648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abstractNum>
  <w:abstractNum w:abstractNumId="1" w15:restartNumberingAfterBreak="0">
    <w:nsid w:val="16DD5B06"/>
    <w:multiLevelType w:val="hybridMultilevel"/>
    <w:tmpl w:val="77182DF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170717B5"/>
    <w:multiLevelType w:val="hybridMultilevel"/>
    <w:tmpl w:val="7034D3A0"/>
    <w:lvl w:ilvl="0" w:tplc="08090001">
      <w:start w:val="1"/>
      <w:numFmt w:val="bullet"/>
      <w:lvlText w:val=""/>
      <w:lvlJc w:val="left"/>
      <w:pPr>
        <w:ind w:left="722" w:hanging="360"/>
      </w:pPr>
      <w:rPr>
        <w:rFonts w:hint="default" w:ascii="Symbol" w:hAnsi="Symbol"/>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7CC07D9"/>
    <w:multiLevelType w:val="hybridMultilevel"/>
    <w:tmpl w:val="7D6E72E0"/>
    <w:lvl w:ilvl="0" w:tplc="F212491C">
      <w:start w:val="1"/>
      <w:numFmt w:val="decimal"/>
      <w:lvlText w:val="%1."/>
      <w:lvlJc w:val="left"/>
      <w:pPr>
        <w:ind w:left="722"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473483"/>
    <w:multiLevelType w:val="hybridMultilevel"/>
    <w:tmpl w:val="687020BE"/>
    <w:lvl w:ilvl="0" w:tplc="6DDE5B92">
      <w:start w:val="1"/>
      <w:numFmt w:val="bullet"/>
      <w:lvlText w:val="•"/>
      <w:lvlJc w:val="left"/>
      <w:pPr>
        <w:ind w:left="705"/>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491883E2">
      <w:start w:val="1"/>
      <w:numFmt w:val="bullet"/>
      <w:lvlText w:val="o"/>
      <w:lvlJc w:val="left"/>
      <w:pPr>
        <w:ind w:left="144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2" w:tplc="18CCA2AC">
      <w:start w:val="1"/>
      <w:numFmt w:val="bullet"/>
      <w:lvlText w:val="▪"/>
      <w:lvlJc w:val="left"/>
      <w:pPr>
        <w:ind w:left="21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3" w:tplc="3C42FFCC">
      <w:start w:val="1"/>
      <w:numFmt w:val="bullet"/>
      <w:lvlText w:val="•"/>
      <w:lvlJc w:val="left"/>
      <w:pPr>
        <w:ind w:left="288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D9006E2C">
      <w:start w:val="1"/>
      <w:numFmt w:val="bullet"/>
      <w:lvlText w:val="o"/>
      <w:lvlJc w:val="left"/>
      <w:pPr>
        <w:ind w:left="360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5" w:tplc="21DA23E4">
      <w:start w:val="1"/>
      <w:numFmt w:val="bullet"/>
      <w:lvlText w:val="▪"/>
      <w:lvlJc w:val="left"/>
      <w:pPr>
        <w:ind w:left="432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6" w:tplc="5D1685D8">
      <w:start w:val="1"/>
      <w:numFmt w:val="bullet"/>
      <w:lvlText w:val="•"/>
      <w:lvlJc w:val="left"/>
      <w:pPr>
        <w:ind w:left="504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2176011A">
      <w:start w:val="1"/>
      <w:numFmt w:val="bullet"/>
      <w:lvlText w:val="o"/>
      <w:lvlJc w:val="left"/>
      <w:pPr>
        <w:ind w:left="57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8" w:tplc="868ABEDC">
      <w:start w:val="1"/>
      <w:numFmt w:val="bullet"/>
      <w:lvlText w:val="▪"/>
      <w:lvlJc w:val="left"/>
      <w:pPr>
        <w:ind w:left="648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abstractNum>
  <w:abstractNum w:abstractNumId="5" w15:restartNumberingAfterBreak="0">
    <w:nsid w:val="3AC30957"/>
    <w:multiLevelType w:val="hybridMultilevel"/>
    <w:tmpl w:val="10002032"/>
    <w:lvl w:ilvl="0" w:tplc="08090001">
      <w:start w:val="1"/>
      <w:numFmt w:val="bullet"/>
      <w:lvlText w:val=""/>
      <w:lvlJc w:val="left"/>
      <w:pPr>
        <w:ind w:left="1082" w:hanging="360"/>
      </w:pPr>
      <w:rPr>
        <w:rFonts w:hint="default" w:ascii="Symbol" w:hAnsi="Symbol"/>
      </w:rPr>
    </w:lvl>
    <w:lvl w:ilvl="1" w:tplc="08090003" w:tentative="1">
      <w:start w:val="1"/>
      <w:numFmt w:val="bullet"/>
      <w:lvlText w:val="o"/>
      <w:lvlJc w:val="left"/>
      <w:pPr>
        <w:ind w:left="1802" w:hanging="360"/>
      </w:pPr>
      <w:rPr>
        <w:rFonts w:hint="default" w:ascii="Courier New" w:hAnsi="Courier New" w:cs="Courier New"/>
      </w:rPr>
    </w:lvl>
    <w:lvl w:ilvl="2" w:tplc="08090005" w:tentative="1">
      <w:start w:val="1"/>
      <w:numFmt w:val="bullet"/>
      <w:lvlText w:val=""/>
      <w:lvlJc w:val="left"/>
      <w:pPr>
        <w:ind w:left="2522" w:hanging="360"/>
      </w:pPr>
      <w:rPr>
        <w:rFonts w:hint="default" w:ascii="Wingdings" w:hAnsi="Wingdings"/>
      </w:rPr>
    </w:lvl>
    <w:lvl w:ilvl="3" w:tplc="08090001" w:tentative="1">
      <w:start w:val="1"/>
      <w:numFmt w:val="bullet"/>
      <w:lvlText w:val=""/>
      <w:lvlJc w:val="left"/>
      <w:pPr>
        <w:ind w:left="3242" w:hanging="360"/>
      </w:pPr>
      <w:rPr>
        <w:rFonts w:hint="default" w:ascii="Symbol" w:hAnsi="Symbol"/>
      </w:rPr>
    </w:lvl>
    <w:lvl w:ilvl="4" w:tplc="08090003" w:tentative="1">
      <w:start w:val="1"/>
      <w:numFmt w:val="bullet"/>
      <w:lvlText w:val="o"/>
      <w:lvlJc w:val="left"/>
      <w:pPr>
        <w:ind w:left="3962" w:hanging="360"/>
      </w:pPr>
      <w:rPr>
        <w:rFonts w:hint="default" w:ascii="Courier New" w:hAnsi="Courier New" w:cs="Courier New"/>
      </w:rPr>
    </w:lvl>
    <w:lvl w:ilvl="5" w:tplc="08090005" w:tentative="1">
      <w:start w:val="1"/>
      <w:numFmt w:val="bullet"/>
      <w:lvlText w:val=""/>
      <w:lvlJc w:val="left"/>
      <w:pPr>
        <w:ind w:left="4682" w:hanging="360"/>
      </w:pPr>
      <w:rPr>
        <w:rFonts w:hint="default" w:ascii="Wingdings" w:hAnsi="Wingdings"/>
      </w:rPr>
    </w:lvl>
    <w:lvl w:ilvl="6" w:tplc="08090001" w:tentative="1">
      <w:start w:val="1"/>
      <w:numFmt w:val="bullet"/>
      <w:lvlText w:val=""/>
      <w:lvlJc w:val="left"/>
      <w:pPr>
        <w:ind w:left="5402" w:hanging="360"/>
      </w:pPr>
      <w:rPr>
        <w:rFonts w:hint="default" w:ascii="Symbol" w:hAnsi="Symbol"/>
      </w:rPr>
    </w:lvl>
    <w:lvl w:ilvl="7" w:tplc="08090003" w:tentative="1">
      <w:start w:val="1"/>
      <w:numFmt w:val="bullet"/>
      <w:lvlText w:val="o"/>
      <w:lvlJc w:val="left"/>
      <w:pPr>
        <w:ind w:left="6122" w:hanging="360"/>
      </w:pPr>
      <w:rPr>
        <w:rFonts w:hint="default" w:ascii="Courier New" w:hAnsi="Courier New" w:cs="Courier New"/>
      </w:rPr>
    </w:lvl>
    <w:lvl w:ilvl="8" w:tplc="08090005" w:tentative="1">
      <w:start w:val="1"/>
      <w:numFmt w:val="bullet"/>
      <w:lvlText w:val=""/>
      <w:lvlJc w:val="left"/>
      <w:pPr>
        <w:ind w:left="6842" w:hanging="360"/>
      </w:pPr>
      <w:rPr>
        <w:rFonts w:hint="default" w:ascii="Wingdings" w:hAnsi="Wingdings"/>
      </w:rPr>
    </w:lvl>
  </w:abstractNum>
  <w:abstractNum w:abstractNumId="6" w15:restartNumberingAfterBreak="0">
    <w:nsid w:val="3BBC68C7"/>
    <w:multiLevelType w:val="hybridMultilevel"/>
    <w:tmpl w:val="EE641A1A"/>
    <w:lvl w:ilvl="0" w:tplc="F212491C">
      <w:start w:val="1"/>
      <w:numFmt w:val="decimal"/>
      <w:lvlText w:val="%1."/>
      <w:lvlJc w:val="left"/>
      <w:pPr>
        <w:ind w:left="722"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E1E443D"/>
    <w:multiLevelType w:val="hybridMultilevel"/>
    <w:tmpl w:val="40241C3E"/>
    <w:lvl w:ilvl="0" w:tplc="F212491C">
      <w:start w:val="1"/>
      <w:numFmt w:val="decimal"/>
      <w:lvlText w:val="%1."/>
      <w:lvlJc w:val="left"/>
      <w:pPr>
        <w:ind w:left="722"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F567EC8"/>
    <w:multiLevelType w:val="hybridMultilevel"/>
    <w:tmpl w:val="285A777C"/>
    <w:lvl w:ilvl="0" w:tplc="F212491C">
      <w:start w:val="1"/>
      <w:numFmt w:val="decimal"/>
      <w:lvlText w:val="%1."/>
      <w:lvlJc w:val="left"/>
      <w:pPr>
        <w:ind w:left="722" w:hanging="360"/>
      </w:pPr>
      <w:rPr>
        <w:rFonts w:hint="default"/>
        <w:b/>
      </w:rPr>
    </w:lvl>
    <w:lvl w:ilvl="1" w:tplc="08090019" w:tentative="1">
      <w:start w:val="1"/>
      <w:numFmt w:val="lowerLetter"/>
      <w:lvlText w:val="%2."/>
      <w:lvlJc w:val="left"/>
      <w:pPr>
        <w:ind w:left="1442" w:hanging="360"/>
      </w:pPr>
    </w:lvl>
    <w:lvl w:ilvl="2" w:tplc="0809001B" w:tentative="1">
      <w:start w:val="1"/>
      <w:numFmt w:val="lowerRoman"/>
      <w:lvlText w:val="%3."/>
      <w:lvlJc w:val="right"/>
      <w:pPr>
        <w:ind w:left="2162" w:hanging="180"/>
      </w:pPr>
    </w:lvl>
    <w:lvl w:ilvl="3" w:tplc="0809000F" w:tentative="1">
      <w:start w:val="1"/>
      <w:numFmt w:val="decimal"/>
      <w:lvlText w:val="%4."/>
      <w:lvlJc w:val="left"/>
      <w:pPr>
        <w:ind w:left="2882" w:hanging="360"/>
      </w:pPr>
    </w:lvl>
    <w:lvl w:ilvl="4" w:tplc="08090019" w:tentative="1">
      <w:start w:val="1"/>
      <w:numFmt w:val="lowerLetter"/>
      <w:lvlText w:val="%5."/>
      <w:lvlJc w:val="left"/>
      <w:pPr>
        <w:ind w:left="3602" w:hanging="360"/>
      </w:pPr>
    </w:lvl>
    <w:lvl w:ilvl="5" w:tplc="0809001B" w:tentative="1">
      <w:start w:val="1"/>
      <w:numFmt w:val="lowerRoman"/>
      <w:lvlText w:val="%6."/>
      <w:lvlJc w:val="right"/>
      <w:pPr>
        <w:ind w:left="4322" w:hanging="180"/>
      </w:pPr>
    </w:lvl>
    <w:lvl w:ilvl="6" w:tplc="0809000F" w:tentative="1">
      <w:start w:val="1"/>
      <w:numFmt w:val="decimal"/>
      <w:lvlText w:val="%7."/>
      <w:lvlJc w:val="left"/>
      <w:pPr>
        <w:ind w:left="5042" w:hanging="360"/>
      </w:pPr>
    </w:lvl>
    <w:lvl w:ilvl="7" w:tplc="08090019" w:tentative="1">
      <w:start w:val="1"/>
      <w:numFmt w:val="lowerLetter"/>
      <w:lvlText w:val="%8."/>
      <w:lvlJc w:val="left"/>
      <w:pPr>
        <w:ind w:left="5762" w:hanging="360"/>
      </w:pPr>
    </w:lvl>
    <w:lvl w:ilvl="8" w:tplc="0809001B" w:tentative="1">
      <w:start w:val="1"/>
      <w:numFmt w:val="lowerRoman"/>
      <w:lvlText w:val="%9."/>
      <w:lvlJc w:val="right"/>
      <w:pPr>
        <w:ind w:left="6482" w:hanging="180"/>
      </w:pPr>
    </w:lvl>
  </w:abstractNum>
  <w:abstractNum w:abstractNumId="9" w15:restartNumberingAfterBreak="0">
    <w:nsid w:val="45480D89"/>
    <w:multiLevelType w:val="hybridMultilevel"/>
    <w:tmpl w:val="0714CE50"/>
    <w:lvl w:ilvl="0" w:tplc="562AF748">
      <w:start w:val="1"/>
      <w:numFmt w:val="bullet"/>
      <w:lvlText w:val="•"/>
      <w:lvlJc w:val="left"/>
      <w:pPr>
        <w:ind w:left="705"/>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2086F714">
      <w:start w:val="1"/>
      <w:numFmt w:val="bullet"/>
      <w:lvlText w:val="o"/>
      <w:lvlJc w:val="left"/>
      <w:pPr>
        <w:ind w:left="144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2" w:tplc="458ED9DA">
      <w:start w:val="1"/>
      <w:numFmt w:val="bullet"/>
      <w:lvlText w:val="▪"/>
      <w:lvlJc w:val="left"/>
      <w:pPr>
        <w:ind w:left="21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3" w:tplc="199CFE74">
      <w:start w:val="1"/>
      <w:numFmt w:val="bullet"/>
      <w:lvlText w:val="•"/>
      <w:lvlJc w:val="left"/>
      <w:pPr>
        <w:ind w:left="288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2CF4F35A">
      <w:start w:val="1"/>
      <w:numFmt w:val="bullet"/>
      <w:lvlText w:val="o"/>
      <w:lvlJc w:val="left"/>
      <w:pPr>
        <w:ind w:left="360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5" w:tplc="7F706BB6">
      <w:start w:val="1"/>
      <w:numFmt w:val="bullet"/>
      <w:lvlText w:val="▪"/>
      <w:lvlJc w:val="left"/>
      <w:pPr>
        <w:ind w:left="432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6" w:tplc="B73E55C4">
      <w:start w:val="1"/>
      <w:numFmt w:val="bullet"/>
      <w:lvlText w:val="•"/>
      <w:lvlJc w:val="left"/>
      <w:pPr>
        <w:ind w:left="504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ACDC24E4">
      <w:start w:val="1"/>
      <w:numFmt w:val="bullet"/>
      <w:lvlText w:val="o"/>
      <w:lvlJc w:val="left"/>
      <w:pPr>
        <w:ind w:left="57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8" w:tplc="A2D8D640">
      <w:start w:val="1"/>
      <w:numFmt w:val="bullet"/>
      <w:lvlText w:val="▪"/>
      <w:lvlJc w:val="left"/>
      <w:pPr>
        <w:ind w:left="648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abstractNum>
  <w:abstractNum w:abstractNumId="10" w15:restartNumberingAfterBreak="0">
    <w:nsid w:val="45516F32"/>
    <w:multiLevelType w:val="hybridMultilevel"/>
    <w:tmpl w:val="D9CA9C72"/>
    <w:lvl w:ilvl="0" w:tplc="0809000F">
      <w:start w:val="1"/>
      <w:numFmt w:val="decimal"/>
      <w:lvlText w:val="%1."/>
      <w:lvlJc w:val="left"/>
      <w:pPr>
        <w:ind w:left="720" w:hanging="360"/>
      </w:pPr>
    </w:lvl>
    <w:lvl w:ilvl="1" w:tplc="69B6FCA4">
      <w:start w:val="42"/>
      <w:numFmt w:val="bullet"/>
      <w:lvlText w:val=""/>
      <w:lvlJc w:val="left"/>
      <w:pPr>
        <w:ind w:left="1440" w:hanging="360"/>
      </w:pPr>
      <w:rPr>
        <w:rFonts w:hint="default" w:ascii="Symbol" w:hAnsi="Symbol" w:eastAsia="Times New Roman" w:cs="Times New Roman"/>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A03C8F"/>
    <w:multiLevelType w:val="hybridMultilevel"/>
    <w:tmpl w:val="E87A3684"/>
    <w:lvl w:ilvl="0" w:tplc="C6C27F2E">
      <w:start w:val="1"/>
      <w:numFmt w:val="bullet"/>
      <w:lvlText w:val="•"/>
      <w:lvlJc w:val="left"/>
      <w:pPr>
        <w:ind w:left="705"/>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72AE1CBA">
      <w:start w:val="1"/>
      <w:numFmt w:val="bullet"/>
      <w:lvlText w:val="o"/>
      <w:lvlJc w:val="left"/>
      <w:pPr>
        <w:ind w:left="144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2" w:tplc="4F920914">
      <w:start w:val="1"/>
      <w:numFmt w:val="bullet"/>
      <w:lvlText w:val="▪"/>
      <w:lvlJc w:val="left"/>
      <w:pPr>
        <w:ind w:left="21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3" w:tplc="85FA3FC6">
      <w:start w:val="1"/>
      <w:numFmt w:val="bullet"/>
      <w:lvlText w:val="•"/>
      <w:lvlJc w:val="left"/>
      <w:pPr>
        <w:ind w:left="288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EF68F4CC">
      <w:start w:val="1"/>
      <w:numFmt w:val="bullet"/>
      <w:lvlText w:val="o"/>
      <w:lvlJc w:val="left"/>
      <w:pPr>
        <w:ind w:left="360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5" w:tplc="FC8C1AA2">
      <w:start w:val="1"/>
      <w:numFmt w:val="bullet"/>
      <w:lvlText w:val="▪"/>
      <w:lvlJc w:val="left"/>
      <w:pPr>
        <w:ind w:left="432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6" w:tplc="018E01E0">
      <w:start w:val="1"/>
      <w:numFmt w:val="bullet"/>
      <w:lvlText w:val="•"/>
      <w:lvlJc w:val="left"/>
      <w:pPr>
        <w:ind w:left="504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554CCB08">
      <w:start w:val="1"/>
      <w:numFmt w:val="bullet"/>
      <w:lvlText w:val="o"/>
      <w:lvlJc w:val="left"/>
      <w:pPr>
        <w:ind w:left="57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8" w:tplc="900A7214">
      <w:start w:val="1"/>
      <w:numFmt w:val="bullet"/>
      <w:lvlText w:val="▪"/>
      <w:lvlJc w:val="left"/>
      <w:pPr>
        <w:ind w:left="648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abstractNum>
  <w:abstractNum w:abstractNumId="12" w15:restartNumberingAfterBreak="0">
    <w:nsid w:val="55EE4E70"/>
    <w:multiLevelType w:val="hybridMultilevel"/>
    <w:tmpl w:val="CCFEBE8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59444A22"/>
    <w:multiLevelType w:val="hybridMultilevel"/>
    <w:tmpl w:val="6B401198"/>
    <w:lvl w:ilvl="0" w:tplc="452AEF3A">
      <w:start w:val="1"/>
      <w:numFmt w:val="bullet"/>
      <w:lvlText w:val="•"/>
      <w:lvlJc w:val="left"/>
      <w:pPr>
        <w:ind w:left="705"/>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2D8A4F5C">
      <w:start w:val="1"/>
      <w:numFmt w:val="bullet"/>
      <w:lvlText w:val="o"/>
      <w:lvlJc w:val="left"/>
      <w:pPr>
        <w:ind w:left="144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2" w:tplc="E6E0E562">
      <w:start w:val="1"/>
      <w:numFmt w:val="bullet"/>
      <w:lvlText w:val="▪"/>
      <w:lvlJc w:val="left"/>
      <w:pPr>
        <w:ind w:left="21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3" w:tplc="A51478F4">
      <w:start w:val="1"/>
      <w:numFmt w:val="bullet"/>
      <w:lvlText w:val="•"/>
      <w:lvlJc w:val="left"/>
      <w:pPr>
        <w:ind w:left="288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BC12A900">
      <w:start w:val="1"/>
      <w:numFmt w:val="bullet"/>
      <w:lvlText w:val="o"/>
      <w:lvlJc w:val="left"/>
      <w:pPr>
        <w:ind w:left="360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5" w:tplc="04FC9484">
      <w:start w:val="1"/>
      <w:numFmt w:val="bullet"/>
      <w:lvlText w:val="▪"/>
      <w:lvlJc w:val="left"/>
      <w:pPr>
        <w:ind w:left="432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6" w:tplc="1E088604">
      <w:start w:val="1"/>
      <w:numFmt w:val="bullet"/>
      <w:lvlText w:val="•"/>
      <w:lvlJc w:val="left"/>
      <w:pPr>
        <w:ind w:left="504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C63A5172">
      <w:start w:val="1"/>
      <w:numFmt w:val="bullet"/>
      <w:lvlText w:val="o"/>
      <w:lvlJc w:val="left"/>
      <w:pPr>
        <w:ind w:left="57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8" w:tplc="0D943CD8">
      <w:start w:val="1"/>
      <w:numFmt w:val="bullet"/>
      <w:lvlText w:val="▪"/>
      <w:lvlJc w:val="left"/>
      <w:pPr>
        <w:ind w:left="648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abstractNum>
  <w:abstractNum w:abstractNumId="14" w15:restartNumberingAfterBreak="0">
    <w:nsid w:val="596365BA"/>
    <w:multiLevelType w:val="multilevel"/>
    <w:tmpl w:val="A72E2A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CCD69C3"/>
    <w:multiLevelType w:val="hybridMultilevel"/>
    <w:tmpl w:val="4A8C6D60"/>
    <w:lvl w:ilvl="0" w:tplc="8DA8F106">
      <w:start w:val="1"/>
      <w:numFmt w:val="bullet"/>
      <w:lvlText w:val="•"/>
      <w:lvlJc w:val="left"/>
      <w:pPr>
        <w:ind w:left="705"/>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0AF268C8">
      <w:start w:val="1"/>
      <w:numFmt w:val="bullet"/>
      <w:lvlText w:val="o"/>
      <w:lvlJc w:val="left"/>
      <w:pPr>
        <w:ind w:left="144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2" w:tplc="4AA4FFBE">
      <w:start w:val="1"/>
      <w:numFmt w:val="bullet"/>
      <w:lvlText w:val="▪"/>
      <w:lvlJc w:val="left"/>
      <w:pPr>
        <w:ind w:left="21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3" w:tplc="B88A23C0">
      <w:start w:val="1"/>
      <w:numFmt w:val="bullet"/>
      <w:lvlText w:val="•"/>
      <w:lvlJc w:val="left"/>
      <w:pPr>
        <w:ind w:left="288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DFD81720">
      <w:start w:val="1"/>
      <w:numFmt w:val="bullet"/>
      <w:lvlText w:val="o"/>
      <w:lvlJc w:val="left"/>
      <w:pPr>
        <w:ind w:left="360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5" w:tplc="9ECECB92">
      <w:start w:val="1"/>
      <w:numFmt w:val="bullet"/>
      <w:lvlText w:val="▪"/>
      <w:lvlJc w:val="left"/>
      <w:pPr>
        <w:ind w:left="432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6" w:tplc="2908A458">
      <w:start w:val="1"/>
      <w:numFmt w:val="bullet"/>
      <w:lvlText w:val="•"/>
      <w:lvlJc w:val="left"/>
      <w:pPr>
        <w:ind w:left="504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626E6BF8">
      <w:start w:val="1"/>
      <w:numFmt w:val="bullet"/>
      <w:lvlText w:val="o"/>
      <w:lvlJc w:val="left"/>
      <w:pPr>
        <w:ind w:left="57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8" w:tplc="A2E49D24">
      <w:start w:val="1"/>
      <w:numFmt w:val="bullet"/>
      <w:lvlText w:val="▪"/>
      <w:lvlJc w:val="left"/>
      <w:pPr>
        <w:ind w:left="648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abstractNum>
  <w:abstractNum w:abstractNumId="16" w15:restartNumberingAfterBreak="0">
    <w:nsid w:val="5EB7663F"/>
    <w:multiLevelType w:val="hybridMultilevel"/>
    <w:tmpl w:val="9B7C9184"/>
    <w:lvl w:ilvl="0" w:tplc="F212491C">
      <w:start w:val="1"/>
      <w:numFmt w:val="decimal"/>
      <w:lvlText w:val="%1."/>
      <w:lvlJc w:val="left"/>
      <w:pPr>
        <w:ind w:left="722"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11B17B4"/>
    <w:multiLevelType w:val="multilevel"/>
    <w:tmpl w:val="08CE10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674C232F"/>
    <w:multiLevelType w:val="hybridMultilevel"/>
    <w:tmpl w:val="A64094AA"/>
    <w:lvl w:ilvl="0" w:tplc="7578F506">
      <w:start w:val="1"/>
      <w:numFmt w:val="decimal"/>
      <w:lvlText w:val="%1."/>
      <w:lvlJc w:val="left"/>
      <w:pPr>
        <w:ind w:left="722" w:hanging="360"/>
      </w:pPr>
      <w:rPr>
        <w:rFonts w:hint="default"/>
        <w:b/>
      </w:rPr>
    </w:lvl>
    <w:lvl w:ilvl="1" w:tplc="08090019" w:tentative="1">
      <w:start w:val="1"/>
      <w:numFmt w:val="lowerLetter"/>
      <w:lvlText w:val="%2."/>
      <w:lvlJc w:val="left"/>
      <w:pPr>
        <w:ind w:left="1442" w:hanging="360"/>
      </w:pPr>
    </w:lvl>
    <w:lvl w:ilvl="2" w:tplc="0809001B" w:tentative="1">
      <w:start w:val="1"/>
      <w:numFmt w:val="lowerRoman"/>
      <w:lvlText w:val="%3."/>
      <w:lvlJc w:val="right"/>
      <w:pPr>
        <w:ind w:left="2162" w:hanging="180"/>
      </w:pPr>
    </w:lvl>
    <w:lvl w:ilvl="3" w:tplc="0809000F" w:tentative="1">
      <w:start w:val="1"/>
      <w:numFmt w:val="decimal"/>
      <w:lvlText w:val="%4."/>
      <w:lvlJc w:val="left"/>
      <w:pPr>
        <w:ind w:left="2882" w:hanging="360"/>
      </w:pPr>
    </w:lvl>
    <w:lvl w:ilvl="4" w:tplc="08090019" w:tentative="1">
      <w:start w:val="1"/>
      <w:numFmt w:val="lowerLetter"/>
      <w:lvlText w:val="%5."/>
      <w:lvlJc w:val="left"/>
      <w:pPr>
        <w:ind w:left="3602" w:hanging="360"/>
      </w:pPr>
    </w:lvl>
    <w:lvl w:ilvl="5" w:tplc="0809001B" w:tentative="1">
      <w:start w:val="1"/>
      <w:numFmt w:val="lowerRoman"/>
      <w:lvlText w:val="%6."/>
      <w:lvlJc w:val="right"/>
      <w:pPr>
        <w:ind w:left="4322" w:hanging="180"/>
      </w:pPr>
    </w:lvl>
    <w:lvl w:ilvl="6" w:tplc="0809000F" w:tentative="1">
      <w:start w:val="1"/>
      <w:numFmt w:val="decimal"/>
      <w:lvlText w:val="%7."/>
      <w:lvlJc w:val="left"/>
      <w:pPr>
        <w:ind w:left="5042" w:hanging="360"/>
      </w:pPr>
    </w:lvl>
    <w:lvl w:ilvl="7" w:tplc="08090019" w:tentative="1">
      <w:start w:val="1"/>
      <w:numFmt w:val="lowerLetter"/>
      <w:lvlText w:val="%8."/>
      <w:lvlJc w:val="left"/>
      <w:pPr>
        <w:ind w:left="5762" w:hanging="360"/>
      </w:pPr>
    </w:lvl>
    <w:lvl w:ilvl="8" w:tplc="0809001B" w:tentative="1">
      <w:start w:val="1"/>
      <w:numFmt w:val="lowerRoman"/>
      <w:lvlText w:val="%9."/>
      <w:lvlJc w:val="right"/>
      <w:pPr>
        <w:ind w:left="6482" w:hanging="180"/>
      </w:pPr>
    </w:lvl>
  </w:abstractNum>
  <w:abstractNum w:abstractNumId="19" w15:restartNumberingAfterBreak="0">
    <w:nsid w:val="680D7578"/>
    <w:multiLevelType w:val="hybridMultilevel"/>
    <w:tmpl w:val="A10E3BA0"/>
    <w:lvl w:ilvl="0" w:tplc="BEDED198">
      <w:start w:val="1"/>
      <w:numFmt w:val="bullet"/>
      <w:lvlText w:val="•"/>
      <w:lvlJc w:val="left"/>
      <w:pPr>
        <w:ind w:left="705"/>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2E749978">
      <w:start w:val="1"/>
      <w:numFmt w:val="bullet"/>
      <w:lvlText w:val="o"/>
      <w:lvlJc w:val="left"/>
      <w:pPr>
        <w:ind w:left="144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2" w:tplc="F7D2C184">
      <w:start w:val="1"/>
      <w:numFmt w:val="bullet"/>
      <w:lvlText w:val="▪"/>
      <w:lvlJc w:val="left"/>
      <w:pPr>
        <w:ind w:left="21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3" w:tplc="8A0C68AA">
      <w:start w:val="1"/>
      <w:numFmt w:val="bullet"/>
      <w:lvlText w:val="•"/>
      <w:lvlJc w:val="left"/>
      <w:pPr>
        <w:ind w:left="288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E06C344E">
      <w:start w:val="1"/>
      <w:numFmt w:val="bullet"/>
      <w:lvlText w:val="o"/>
      <w:lvlJc w:val="left"/>
      <w:pPr>
        <w:ind w:left="360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5" w:tplc="FBEE7620">
      <w:start w:val="1"/>
      <w:numFmt w:val="bullet"/>
      <w:lvlText w:val="▪"/>
      <w:lvlJc w:val="left"/>
      <w:pPr>
        <w:ind w:left="432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6" w:tplc="360E0E2C">
      <w:start w:val="1"/>
      <w:numFmt w:val="bullet"/>
      <w:lvlText w:val="•"/>
      <w:lvlJc w:val="left"/>
      <w:pPr>
        <w:ind w:left="504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ED7C4D90">
      <w:start w:val="1"/>
      <w:numFmt w:val="bullet"/>
      <w:lvlText w:val="o"/>
      <w:lvlJc w:val="left"/>
      <w:pPr>
        <w:ind w:left="57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8" w:tplc="1944B1A2">
      <w:start w:val="1"/>
      <w:numFmt w:val="bullet"/>
      <w:lvlText w:val="▪"/>
      <w:lvlJc w:val="left"/>
      <w:pPr>
        <w:ind w:left="648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abstractNum>
  <w:abstractNum w:abstractNumId="20" w15:restartNumberingAfterBreak="0">
    <w:nsid w:val="685E367E"/>
    <w:multiLevelType w:val="hybridMultilevel"/>
    <w:tmpl w:val="6F30189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D884BC1"/>
    <w:multiLevelType w:val="hybridMultilevel"/>
    <w:tmpl w:val="34B0A2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8082B3C"/>
    <w:multiLevelType w:val="hybridMultilevel"/>
    <w:tmpl w:val="ABCA15EC"/>
    <w:lvl w:ilvl="0" w:tplc="59AA3948">
      <w:start w:val="1"/>
      <w:numFmt w:val="bullet"/>
      <w:lvlText w:val="•"/>
      <w:lvlJc w:val="left"/>
      <w:pPr>
        <w:ind w:left="705"/>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F5D2044E">
      <w:start w:val="1"/>
      <w:numFmt w:val="bullet"/>
      <w:lvlText w:val="o"/>
      <w:lvlJc w:val="left"/>
      <w:pPr>
        <w:ind w:left="144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2" w:tplc="86BA08A4">
      <w:start w:val="1"/>
      <w:numFmt w:val="bullet"/>
      <w:lvlText w:val="▪"/>
      <w:lvlJc w:val="left"/>
      <w:pPr>
        <w:ind w:left="21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3" w:tplc="CFE40BB6">
      <w:start w:val="1"/>
      <w:numFmt w:val="bullet"/>
      <w:lvlText w:val="•"/>
      <w:lvlJc w:val="left"/>
      <w:pPr>
        <w:ind w:left="288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BDE82226">
      <w:start w:val="1"/>
      <w:numFmt w:val="bullet"/>
      <w:lvlText w:val="o"/>
      <w:lvlJc w:val="left"/>
      <w:pPr>
        <w:ind w:left="360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5" w:tplc="7E863714">
      <w:start w:val="1"/>
      <w:numFmt w:val="bullet"/>
      <w:lvlText w:val="▪"/>
      <w:lvlJc w:val="left"/>
      <w:pPr>
        <w:ind w:left="432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6" w:tplc="609812F0">
      <w:start w:val="1"/>
      <w:numFmt w:val="bullet"/>
      <w:lvlText w:val="•"/>
      <w:lvlJc w:val="left"/>
      <w:pPr>
        <w:ind w:left="504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DAC66540">
      <w:start w:val="1"/>
      <w:numFmt w:val="bullet"/>
      <w:lvlText w:val="o"/>
      <w:lvlJc w:val="left"/>
      <w:pPr>
        <w:ind w:left="57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8" w:tplc="B348786A">
      <w:start w:val="1"/>
      <w:numFmt w:val="bullet"/>
      <w:lvlText w:val="▪"/>
      <w:lvlJc w:val="left"/>
      <w:pPr>
        <w:ind w:left="648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abstractNum>
  <w:num w:numId="1" w16cid:durableId="52774614">
    <w:abstractNumId w:val="22"/>
  </w:num>
  <w:num w:numId="2" w16cid:durableId="941229834">
    <w:abstractNumId w:val="0"/>
  </w:num>
  <w:num w:numId="3" w16cid:durableId="1012418139">
    <w:abstractNumId w:val="13"/>
  </w:num>
  <w:num w:numId="4" w16cid:durableId="1373456878">
    <w:abstractNumId w:val="4"/>
  </w:num>
  <w:num w:numId="5" w16cid:durableId="1904363585">
    <w:abstractNumId w:val="9"/>
  </w:num>
  <w:num w:numId="6" w16cid:durableId="550387977">
    <w:abstractNumId w:val="15"/>
  </w:num>
  <w:num w:numId="7" w16cid:durableId="1167091014">
    <w:abstractNumId w:val="19"/>
  </w:num>
  <w:num w:numId="8" w16cid:durableId="2031225886">
    <w:abstractNumId w:val="11"/>
  </w:num>
  <w:num w:numId="9" w16cid:durableId="696543001">
    <w:abstractNumId w:val="14"/>
  </w:num>
  <w:num w:numId="10" w16cid:durableId="1715033440">
    <w:abstractNumId w:val="1"/>
  </w:num>
  <w:num w:numId="11" w16cid:durableId="140464986">
    <w:abstractNumId w:val="20"/>
  </w:num>
  <w:num w:numId="12" w16cid:durableId="1450591444">
    <w:abstractNumId w:val="10"/>
  </w:num>
  <w:num w:numId="13" w16cid:durableId="399400971">
    <w:abstractNumId w:val="12"/>
  </w:num>
  <w:num w:numId="14" w16cid:durableId="2019426636">
    <w:abstractNumId w:val="21"/>
  </w:num>
  <w:num w:numId="15" w16cid:durableId="1558936088">
    <w:abstractNumId w:val="5"/>
  </w:num>
  <w:num w:numId="16" w16cid:durableId="1779984188">
    <w:abstractNumId w:val="18"/>
  </w:num>
  <w:num w:numId="17" w16cid:durableId="124470446">
    <w:abstractNumId w:val="8"/>
  </w:num>
  <w:num w:numId="18" w16cid:durableId="1331131017">
    <w:abstractNumId w:val="7"/>
  </w:num>
  <w:num w:numId="19" w16cid:durableId="848788352">
    <w:abstractNumId w:val="2"/>
  </w:num>
  <w:num w:numId="20" w16cid:durableId="1446267911">
    <w:abstractNumId w:val="16"/>
  </w:num>
  <w:num w:numId="21" w16cid:durableId="1910767656">
    <w:abstractNumId w:val="6"/>
  </w:num>
  <w:num w:numId="22" w16cid:durableId="246891294">
    <w:abstractNumId w:val="3"/>
  </w:num>
  <w:num w:numId="23" w16cid:durableId="1977492212">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34"/>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4C5"/>
    <w:rsid w:val="00002B4E"/>
    <w:rsid w:val="000164D5"/>
    <w:rsid w:val="00032CDD"/>
    <w:rsid w:val="000410AF"/>
    <w:rsid w:val="00041AB2"/>
    <w:rsid w:val="0004372A"/>
    <w:rsid w:val="000555DE"/>
    <w:rsid w:val="0006086D"/>
    <w:rsid w:val="00066999"/>
    <w:rsid w:val="00071897"/>
    <w:rsid w:val="00072FD1"/>
    <w:rsid w:val="00075348"/>
    <w:rsid w:val="0008249E"/>
    <w:rsid w:val="00090869"/>
    <w:rsid w:val="00096ED2"/>
    <w:rsid w:val="000A547F"/>
    <w:rsid w:val="000B53EE"/>
    <w:rsid w:val="000C39D5"/>
    <w:rsid w:val="000D784D"/>
    <w:rsid w:val="000E2A1E"/>
    <w:rsid w:val="000E70B0"/>
    <w:rsid w:val="000E77C7"/>
    <w:rsid w:val="000F1FEB"/>
    <w:rsid w:val="00113366"/>
    <w:rsid w:val="00113913"/>
    <w:rsid w:val="0011656B"/>
    <w:rsid w:val="0011704D"/>
    <w:rsid w:val="001261B6"/>
    <w:rsid w:val="00130E88"/>
    <w:rsid w:val="001349E2"/>
    <w:rsid w:val="00135D93"/>
    <w:rsid w:val="00143F94"/>
    <w:rsid w:val="001505AD"/>
    <w:rsid w:val="00150623"/>
    <w:rsid w:val="001531FF"/>
    <w:rsid w:val="00160789"/>
    <w:rsid w:val="00160D01"/>
    <w:rsid w:val="00162C53"/>
    <w:rsid w:val="00186AD5"/>
    <w:rsid w:val="001932F7"/>
    <w:rsid w:val="001972F6"/>
    <w:rsid w:val="001A1317"/>
    <w:rsid w:val="001A42D1"/>
    <w:rsid w:val="001B3B12"/>
    <w:rsid w:val="001B44F9"/>
    <w:rsid w:val="001B5EA7"/>
    <w:rsid w:val="001B6191"/>
    <w:rsid w:val="001B6A6C"/>
    <w:rsid w:val="001B7630"/>
    <w:rsid w:val="001C5965"/>
    <w:rsid w:val="001D00C3"/>
    <w:rsid w:val="001D3D1D"/>
    <w:rsid w:val="001D5478"/>
    <w:rsid w:val="001E0BFB"/>
    <w:rsid w:val="001E2E6D"/>
    <w:rsid w:val="001E4EE1"/>
    <w:rsid w:val="001E5BB1"/>
    <w:rsid w:val="001F2F50"/>
    <w:rsid w:val="001F6441"/>
    <w:rsid w:val="00201141"/>
    <w:rsid w:val="00201BF6"/>
    <w:rsid w:val="0020306F"/>
    <w:rsid w:val="00206B4A"/>
    <w:rsid w:val="002077DD"/>
    <w:rsid w:val="00216609"/>
    <w:rsid w:val="00223D08"/>
    <w:rsid w:val="002270B3"/>
    <w:rsid w:val="0023325A"/>
    <w:rsid w:val="00233E09"/>
    <w:rsid w:val="002452A1"/>
    <w:rsid w:val="002473A1"/>
    <w:rsid w:val="00251CB3"/>
    <w:rsid w:val="00251EC8"/>
    <w:rsid w:val="00260118"/>
    <w:rsid w:val="00260B40"/>
    <w:rsid w:val="00266141"/>
    <w:rsid w:val="00273D42"/>
    <w:rsid w:val="00276AE7"/>
    <w:rsid w:val="00286AC3"/>
    <w:rsid w:val="00287E3E"/>
    <w:rsid w:val="00290B29"/>
    <w:rsid w:val="0029469E"/>
    <w:rsid w:val="00296EF3"/>
    <w:rsid w:val="002B04A6"/>
    <w:rsid w:val="002B2BB5"/>
    <w:rsid w:val="002B523E"/>
    <w:rsid w:val="002C6F8B"/>
    <w:rsid w:val="002D159A"/>
    <w:rsid w:val="002D2F8B"/>
    <w:rsid w:val="002D4A12"/>
    <w:rsid w:val="002E007C"/>
    <w:rsid w:val="002E4349"/>
    <w:rsid w:val="002E54EA"/>
    <w:rsid w:val="00305669"/>
    <w:rsid w:val="0031006D"/>
    <w:rsid w:val="00315913"/>
    <w:rsid w:val="00316247"/>
    <w:rsid w:val="00323D00"/>
    <w:rsid w:val="00332140"/>
    <w:rsid w:val="00333D84"/>
    <w:rsid w:val="0034352E"/>
    <w:rsid w:val="00347BE5"/>
    <w:rsid w:val="0035017F"/>
    <w:rsid w:val="00353285"/>
    <w:rsid w:val="0036375F"/>
    <w:rsid w:val="00371101"/>
    <w:rsid w:val="00380F42"/>
    <w:rsid w:val="003819C2"/>
    <w:rsid w:val="003A4E09"/>
    <w:rsid w:val="003A547C"/>
    <w:rsid w:val="003B4AE9"/>
    <w:rsid w:val="003B5E06"/>
    <w:rsid w:val="003C0B71"/>
    <w:rsid w:val="003C22F2"/>
    <w:rsid w:val="003C35D2"/>
    <w:rsid w:val="003C6D05"/>
    <w:rsid w:val="003D207D"/>
    <w:rsid w:val="003E327D"/>
    <w:rsid w:val="003E67B4"/>
    <w:rsid w:val="003F578B"/>
    <w:rsid w:val="00401792"/>
    <w:rsid w:val="00405FB8"/>
    <w:rsid w:val="004101E1"/>
    <w:rsid w:val="00424EF3"/>
    <w:rsid w:val="00426745"/>
    <w:rsid w:val="004273F4"/>
    <w:rsid w:val="00435105"/>
    <w:rsid w:val="0044093E"/>
    <w:rsid w:val="004419E6"/>
    <w:rsid w:val="004528E6"/>
    <w:rsid w:val="00466477"/>
    <w:rsid w:val="004710CC"/>
    <w:rsid w:val="004715B5"/>
    <w:rsid w:val="0047448E"/>
    <w:rsid w:val="00486F48"/>
    <w:rsid w:val="00494CCF"/>
    <w:rsid w:val="00496577"/>
    <w:rsid w:val="004965C3"/>
    <w:rsid w:val="004A3CB6"/>
    <w:rsid w:val="004A4729"/>
    <w:rsid w:val="004A4942"/>
    <w:rsid w:val="004B1279"/>
    <w:rsid w:val="004B21B6"/>
    <w:rsid w:val="004B29C0"/>
    <w:rsid w:val="004C2A10"/>
    <w:rsid w:val="004C5531"/>
    <w:rsid w:val="004D26BB"/>
    <w:rsid w:val="004D4A7E"/>
    <w:rsid w:val="004D6273"/>
    <w:rsid w:val="004E0D30"/>
    <w:rsid w:val="004F3899"/>
    <w:rsid w:val="004F3B3E"/>
    <w:rsid w:val="004F4C18"/>
    <w:rsid w:val="004F5DDA"/>
    <w:rsid w:val="00521760"/>
    <w:rsid w:val="00522BBC"/>
    <w:rsid w:val="005256F1"/>
    <w:rsid w:val="00527499"/>
    <w:rsid w:val="0052771A"/>
    <w:rsid w:val="0054524C"/>
    <w:rsid w:val="005472EF"/>
    <w:rsid w:val="00565357"/>
    <w:rsid w:val="00574083"/>
    <w:rsid w:val="00575180"/>
    <w:rsid w:val="00582C80"/>
    <w:rsid w:val="005834B2"/>
    <w:rsid w:val="00587517"/>
    <w:rsid w:val="0059096C"/>
    <w:rsid w:val="00595ED8"/>
    <w:rsid w:val="005A4884"/>
    <w:rsid w:val="005C4EFC"/>
    <w:rsid w:val="005D770D"/>
    <w:rsid w:val="005D7E5C"/>
    <w:rsid w:val="005E0F71"/>
    <w:rsid w:val="005E5982"/>
    <w:rsid w:val="005F5436"/>
    <w:rsid w:val="00601709"/>
    <w:rsid w:val="0061139B"/>
    <w:rsid w:val="00613854"/>
    <w:rsid w:val="00622B31"/>
    <w:rsid w:val="00622B58"/>
    <w:rsid w:val="00622EEC"/>
    <w:rsid w:val="00623C0E"/>
    <w:rsid w:val="00626353"/>
    <w:rsid w:val="00632150"/>
    <w:rsid w:val="00633B3D"/>
    <w:rsid w:val="006345AD"/>
    <w:rsid w:val="00635D49"/>
    <w:rsid w:val="006550C5"/>
    <w:rsid w:val="00656F81"/>
    <w:rsid w:val="0066264A"/>
    <w:rsid w:val="006727EB"/>
    <w:rsid w:val="00675AC0"/>
    <w:rsid w:val="0067798E"/>
    <w:rsid w:val="0068147C"/>
    <w:rsid w:val="00687E06"/>
    <w:rsid w:val="00690C66"/>
    <w:rsid w:val="00693D4D"/>
    <w:rsid w:val="00696A6A"/>
    <w:rsid w:val="006A3D46"/>
    <w:rsid w:val="006B1C0E"/>
    <w:rsid w:val="006B6DCA"/>
    <w:rsid w:val="006D5072"/>
    <w:rsid w:val="006E3D60"/>
    <w:rsid w:val="006F5427"/>
    <w:rsid w:val="006F7DC5"/>
    <w:rsid w:val="007010DA"/>
    <w:rsid w:val="00701DFA"/>
    <w:rsid w:val="0070279F"/>
    <w:rsid w:val="00706724"/>
    <w:rsid w:val="00714A41"/>
    <w:rsid w:val="00722AFC"/>
    <w:rsid w:val="00722DEF"/>
    <w:rsid w:val="007233B2"/>
    <w:rsid w:val="00726ED9"/>
    <w:rsid w:val="00733F5A"/>
    <w:rsid w:val="007350CA"/>
    <w:rsid w:val="00736FFE"/>
    <w:rsid w:val="0074162C"/>
    <w:rsid w:val="007428DD"/>
    <w:rsid w:val="007446D0"/>
    <w:rsid w:val="00744F09"/>
    <w:rsid w:val="0075442E"/>
    <w:rsid w:val="007614C5"/>
    <w:rsid w:val="00762F5A"/>
    <w:rsid w:val="00774583"/>
    <w:rsid w:val="007843AD"/>
    <w:rsid w:val="0079449C"/>
    <w:rsid w:val="007C143F"/>
    <w:rsid w:val="007C248D"/>
    <w:rsid w:val="007C718F"/>
    <w:rsid w:val="007E2182"/>
    <w:rsid w:val="007E7195"/>
    <w:rsid w:val="007F1C8A"/>
    <w:rsid w:val="007F20AC"/>
    <w:rsid w:val="007F3292"/>
    <w:rsid w:val="007F7586"/>
    <w:rsid w:val="008001BC"/>
    <w:rsid w:val="00805E86"/>
    <w:rsid w:val="008104E8"/>
    <w:rsid w:val="00812725"/>
    <w:rsid w:val="00831109"/>
    <w:rsid w:val="00835A2B"/>
    <w:rsid w:val="00837588"/>
    <w:rsid w:val="00842AF5"/>
    <w:rsid w:val="00851D37"/>
    <w:rsid w:val="0086044F"/>
    <w:rsid w:val="00862754"/>
    <w:rsid w:val="00867657"/>
    <w:rsid w:val="00867D0B"/>
    <w:rsid w:val="008721DA"/>
    <w:rsid w:val="00872FD8"/>
    <w:rsid w:val="00885751"/>
    <w:rsid w:val="00896D12"/>
    <w:rsid w:val="008A19D3"/>
    <w:rsid w:val="008A32A7"/>
    <w:rsid w:val="008A6494"/>
    <w:rsid w:val="008A73BC"/>
    <w:rsid w:val="008A7A49"/>
    <w:rsid w:val="008B4F6C"/>
    <w:rsid w:val="008C59B3"/>
    <w:rsid w:val="008D6BF7"/>
    <w:rsid w:val="0090559E"/>
    <w:rsid w:val="00907452"/>
    <w:rsid w:val="009119F8"/>
    <w:rsid w:val="0091365B"/>
    <w:rsid w:val="00915161"/>
    <w:rsid w:val="00915583"/>
    <w:rsid w:val="00920C16"/>
    <w:rsid w:val="0092286F"/>
    <w:rsid w:val="00926493"/>
    <w:rsid w:val="00927FF7"/>
    <w:rsid w:val="00931069"/>
    <w:rsid w:val="0093182C"/>
    <w:rsid w:val="00931D04"/>
    <w:rsid w:val="00934B30"/>
    <w:rsid w:val="00951396"/>
    <w:rsid w:val="00954E4C"/>
    <w:rsid w:val="00964A20"/>
    <w:rsid w:val="009706D0"/>
    <w:rsid w:val="009715BD"/>
    <w:rsid w:val="0098066B"/>
    <w:rsid w:val="0098136C"/>
    <w:rsid w:val="00986A40"/>
    <w:rsid w:val="00986CD7"/>
    <w:rsid w:val="009A1B64"/>
    <w:rsid w:val="009A6D1B"/>
    <w:rsid w:val="009A6E72"/>
    <w:rsid w:val="009B0FED"/>
    <w:rsid w:val="009B326D"/>
    <w:rsid w:val="009C04EA"/>
    <w:rsid w:val="009C4528"/>
    <w:rsid w:val="009C5AD6"/>
    <w:rsid w:val="009D6E54"/>
    <w:rsid w:val="009E2B03"/>
    <w:rsid w:val="009E6E58"/>
    <w:rsid w:val="009F64C5"/>
    <w:rsid w:val="009F715C"/>
    <w:rsid w:val="00A23842"/>
    <w:rsid w:val="00A23A84"/>
    <w:rsid w:val="00A23AA5"/>
    <w:rsid w:val="00A24B77"/>
    <w:rsid w:val="00A27C4C"/>
    <w:rsid w:val="00A31CE9"/>
    <w:rsid w:val="00A35C89"/>
    <w:rsid w:val="00A4702F"/>
    <w:rsid w:val="00A47F3D"/>
    <w:rsid w:val="00A5118A"/>
    <w:rsid w:val="00A5249D"/>
    <w:rsid w:val="00A54CD4"/>
    <w:rsid w:val="00A70BBB"/>
    <w:rsid w:val="00A75A3D"/>
    <w:rsid w:val="00A75C99"/>
    <w:rsid w:val="00A849DC"/>
    <w:rsid w:val="00A906ED"/>
    <w:rsid w:val="00A91627"/>
    <w:rsid w:val="00A9635A"/>
    <w:rsid w:val="00AA5CB3"/>
    <w:rsid w:val="00AA6610"/>
    <w:rsid w:val="00AA6E3D"/>
    <w:rsid w:val="00AB45DA"/>
    <w:rsid w:val="00AB524B"/>
    <w:rsid w:val="00AB7D2C"/>
    <w:rsid w:val="00AC0816"/>
    <w:rsid w:val="00AC6DF6"/>
    <w:rsid w:val="00AC7807"/>
    <w:rsid w:val="00AE35F5"/>
    <w:rsid w:val="00AE6EA7"/>
    <w:rsid w:val="00AF2147"/>
    <w:rsid w:val="00B0062E"/>
    <w:rsid w:val="00B016DF"/>
    <w:rsid w:val="00B049F6"/>
    <w:rsid w:val="00B05D86"/>
    <w:rsid w:val="00B104E9"/>
    <w:rsid w:val="00B10FA7"/>
    <w:rsid w:val="00B17E09"/>
    <w:rsid w:val="00B50B59"/>
    <w:rsid w:val="00B5154A"/>
    <w:rsid w:val="00B51E00"/>
    <w:rsid w:val="00B5265F"/>
    <w:rsid w:val="00B61414"/>
    <w:rsid w:val="00B617C1"/>
    <w:rsid w:val="00B65CD9"/>
    <w:rsid w:val="00B71CD9"/>
    <w:rsid w:val="00B74624"/>
    <w:rsid w:val="00B95B7E"/>
    <w:rsid w:val="00B96D9F"/>
    <w:rsid w:val="00B9789A"/>
    <w:rsid w:val="00BA1224"/>
    <w:rsid w:val="00BA198D"/>
    <w:rsid w:val="00BA37FF"/>
    <w:rsid w:val="00BB197B"/>
    <w:rsid w:val="00BB506D"/>
    <w:rsid w:val="00BB527A"/>
    <w:rsid w:val="00BC67C0"/>
    <w:rsid w:val="00BC71C9"/>
    <w:rsid w:val="00BD1ECB"/>
    <w:rsid w:val="00BD753B"/>
    <w:rsid w:val="00BF21D0"/>
    <w:rsid w:val="00BF57FF"/>
    <w:rsid w:val="00C0054D"/>
    <w:rsid w:val="00C044A1"/>
    <w:rsid w:val="00C262D0"/>
    <w:rsid w:val="00C31B94"/>
    <w:rsid w:val="00C33C31"/>
    <w:rsid w:val="00C35D6E"/>
    <w:rsid w:val="00C366A5"/>
    <w:rsid w:val="00C40628"/>
    <w:rsid w:val="00C428D0"/>
    <w:rsid w:val="00C45AA7"/>
    <w:rsid w:val="00C54C25"/>
    <w:rsid w:val="00C65C9D"/>
    <w:rsid w:val="00C856BA"/>
    <w:rsid w:val="00C8658A"/>
    <w:rsid w:val="00C879C8"/>
    <w:rsid w:val="00C9576B"/>
    <w:rsid w:val="00C9726C"/>
    <w:rsid w:val="00CA1678"/>
    <w:rsid w:val="00CA3148"/>
    <w:rsid w:val="00CA5E04"/>
    <w:rsid w:val="00CC56BA"/>
    <w:rsid w:val="00CD728F"/>
    <w:rsid w:val="00CF1DC5"/>
    <w:rsid w:val="00D16CFF"/>
    <w:rsid w:val="00D371C9"/>
    <w:rsid w:val="00D53305"/>
    <w:rsid w:val="00D55BD8"/>
    <w:rsid w:val="00D56E7E"/>
    <w:rsid w:val="00D573F5"/>
    <w:rsid w:val="00D63224"/>
    <w:rsid w:val="00D6486B"/>
    <w:rsid w:val="00D729A4"/>
    <w:rsid w:val="00D75476"/>
    <w:rsid w:val="00D77789"/>
    <w:rsid w:val="00D86B91"/>
    <w:rsid w:val="00D9027F"/>
    <w:rsid w:val="00DA38D2"/>
    <w:rsid w:val="00DB3792"/>
    <w:rsid w:val="00DB5214"/>
    <w:rsid w:val="00DB795E"/>
    <w:rsid w:val="00DC1948"/>
    <w:rsid w:val="00DC6177"/>
    <w:rsid w:val="00DD762A"/>
    <w:rsid w:val="00DD7AA5"/>
    <w:rsid w:val="00DE2D57"/>
    <w:rsid w:val="00DE5E04"/>
    <w:rsid w:val="00DE6AAA"/>
    <w:rsid w:val="00DE78FC"/>
    <w:rsid w:val="00DF07F2"/>
    <w:rsid w:val="00DF3240"/>
    <w:rsid w:val="00DF4F29"/>
    <w:rsid w:val="00DF6556"/>
    <w:rsid w:val="00E04855"/>
    <w:rsid w:val="00E0515A"/>
    <w:rsid w:val="00E057A9"/>
    <w:rsid w:val="00E12922"/>
    <w:rsid w:val="00E15E02"/>
    <w:rsid w:val="00E23085"/>
    <w:rsid w:val="00E2450C"/>
    <w:rsid w:val="00E25964"/>
    <w:rsid w:val="00E26B59"/>
    <w:rsid w:val="00E303E5"/>
    <w:rsid w:val="00E33F9D"/>
    <w:rsid w:val="00E36EB8"/>
    <w:rsid w:val="00E41448"/>
    <w:rsid w:val="00E5098B"/>
    <w:rsid w:val="00E56264"/>
    <w:rsid w:val="00E64701"/>
    <w:rsid w:val="00E7161B"/>
    <w:rsid w:val="00E71EAE"/>
    <w:rsid w:val="00E815CF"/>
    <w:rsid w:val="00E9789E"/>
    <w:rsid w:val="00EA0D94"/>
    <w:rsid w:val="00EB16DF"/>
    <w:rsid w:val="00EC4C20"/>
    <w:rsid w:val="00ED5E57"/>
    <w:rsid w:val="00ED69AB"/>
    <w:rsid w:val="00EF4A2F"/>
    <w:rsid w:val="00EF7BC1"/>
    <w:rsid w:val="00EF7D67"/>
    <w:rsid w:val="00F00AEE"/>
    <w:rsid w:val="00F010EE"/>
    <w:rsid w:val="00F02398"/>
    <w:rsid w:val="00F113CC"/>
    <w:rsid w:val="00F163DF"/>
    <w:rsid w:val="00F163E2"/>
    <w:rsid w:val="00F22537"/>
    <w:rsid w:val="00F23BF8"/>
    <w:rsid w:val="00F24400"/>
    <w:rsid w:val="00F25EBD"/>
    <w:rsid w:val="00F31309"/>
    <w:rsid w:val="00F34335"/>
    <w:rsid w:val="00F622C0"/>
    <w:rsid w:val="00F743EA"/>
    <w:rsid w:val="00F962E8"/>
    <w:rsid w:val="00FA17BE"/>
    <w:rsid w:val="00FA1FCD"/>
    <w:rsid w:val="00FA3D67"/>
    <w:rsid w:val="00FB18D6"/>
    <w:rsid w:val="00FB66D9"/>
    <w:rsid w:val="00FC3989"/>
    <w:rsid w:val="00FD0BDD"/>
    <w:rsid w:val="00FD1260"/>
    <w:rsid w:val="00FD7714"/>
    <w:rsid w:val="00FE55E6"/>
    <w:rsid w:val="00FE5C28"/>
    <w:rsid w:val="00FE7389"/>
    <w:rsid w:val="00FF0E6A"/>
    <w:rsid w:val="00FF7167"/>
    <w:rsid w:val="34630932"/>
    <w:rsid w:val="4EFAA9D8"/>
    <w:rsid w:val="61294C0D"/>
    <w:rsid w:val="63EEFD47"/>
    <w:rsid w:val="6CDCC464"/>
    <w:rsid w:val="758DDE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486057"/>
  <w15:chartTrackingRefBased/>
  <w15:docId w15:val="{7940F0C8-585D-4578-A6A2-F6737D97B3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next w:val="Normal"/>
    <w:link w:val="Heading1Char"/>
    <w:uiPriority w:val="9"/>
    <w:qFormat/>
    <w:rsid w:val="009F64C5"/>
    <w:pPr>
      <w:keepNext/>
      <w:keepLines/>
      <w:spacing w:after="152" w:line="265" w:lineRule="auto"/>
      <w:ind w:left="10" w:right="2" w:hanging="10"/>
      <w:jc w:val="center"/>
      <w:outlineLvl w:val="0"/>
    </w:pPr>
    <w:rPr>
      <w:rFonts w:ascii="Times New Roman" w:hAnsi="Times New Roman" w:eastAsia="Times New Roman" w:cs="Times New Roman"/>
      <w:b/>
      <w:color w:val="000000"/>
      <w:sz w:val="24"/>
    </w:rPr>
  </w:style>
  <w:style w:type="paragraph" w:styleId="Heading2">
    <w:name w:val="heading 2"/>
    <w:next w:val="Normal"/>
    <w:link w:val="Heading2Char"/>
    <w:uiPriority w:val="9"/>
    <w:unhideWhenUsed/>
    <w:qFormat/>
    <w:rsid w:val="009F64C5"/>
    <w:pPr>
      <w:keepNext/>
      <w:keepLines/>
      <w:spacing w:after="152" w:line="265" w:lineRule="auto"/>
      <w:ind w:left="10" w:right="2" w:hanging="10"/>
      <w:jc w:val="center"/>
      <w:outlineLvl w:val="1"/>
    </w:pPr>
    <w:rPr>
      <w:rFonts w:ascii="Times New Roman" w:hAnsi="Times New Roman" w:eastAsia="Times New Roman" w:cs="Times New Roman"/>
      <w:b/>
      <w:color w:val="000000"/>
      <w:sz w:val="24"/>
    </w:rPr>
  </w:style>
  <w:style w:type="paragraph" w:styleId="Heading3">
    <w:name w:val="heading 3"/>
    <w:next w:val="Normal"/>
    <w:link w:val="Heading3Char"/>
    <w:uiPriority w:val="9"/>
    <w:unhideWhenUsed/>
    <w:qFormat/>
    <w:rsid w:val="009F64C5"/>
    <w:pPr>
      <w:keepNext/>
      <w:keepLines/>
      <w:spacing w:after="181"/>
      <w:outlineLvl w:val="2"/>
    </w:pPr>
    <w:rPr>
      <w:rFonts w:ascii="Times New Roman" w:hAnsi="Times New Roman" w:eastAsia="Times New Roman" w:cs="Times New Roman"/>
      <w:color w:val="000000"/>
      <w:sz w:val="24"/>
      <w:u w:val="single" w:color="000000"/>
    </w:rPr>
  </w:style>
  <w:style w:type="paragraph" w:styleId="Heading4">
    <w:name w:val="heading 4"/>
    <w:basedOn w:val="Normal"/>
    <w:next w:val="Normal"/>
    <w:link w:val="Heading4Char"/>
    <w:uiPriority w:val="9"/>
    <w:semiHidden/>
    <w:unhideWhenUsed/>
    <w:qFormat/>
    <w:rsid w:val="00B10FA7"/>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F64C5"/>
    <w:rPr>
      <w:rFonts w:ascii="Times New Roman" w:hAnsi="Times New Roman" w:eastAsia="Times New Roman" w:cs="Times New Roman"/>
      <w:b/>
      <w:color w:val="000000"/>
      <w:sz w:val="24"/>
    </w:rPr>
  </w:style>
  <w:style w:type="character" w:styleId="Heading2Char" w:customStyle="1">
    <w:name w:val="Heading 2 Char"/>
    <w:basedOn w:val="DefaultParagraphFont"/>
    <w:link w:val="Heading2"/>
    <w:uiPriority w:val="9"/>
    <w:rsid w:val="009F64C5"/>
    <w:rPr>
      <w:rFonts w:ascii="Times New Roman" w:hAnsi="Times New Roman" w:eastAsia="Times New Roman" w:cs="Times New Roman"/>
      <w:b/>
      <w:color w:val="000000"/>
      <w:sz w:val="24"/>
    </w:rPr>
  </w:style>
  <w:style w:type="character" w:styleId="Heading3Char" w:customStyle="1">
    <w:name w:val="Heading 3 Char"/>
    <w:basedOn w:val="DefaultParagraphFont"/>
    <w:link w:val="Heading3"/>
    <w:uiPriority w:val="9"/>
    <w:rsid w:val="009F64C5"/>
    <w:rPr>
      <w:rFonts w:ascii="Times New Roman" w:hAnsi="Times New Roman" w:eastAsia="Times New Roman" w:cs="Times New Roman"/>
      <w:color w:val="000000"/>
      <w:sz w:val="24"/>
      <w:u w:val="single" w:color="000000"/>
    </w:rPr>
  </w:style>
  <w:style w:type="paragraph" w:styleId="TOC1">
    <w:name w:val="toc 1"/>
    <w:hidden/>
    <w:uiPriority w:val="39"/>
    <w:rsid w:val="009F64C5"/>
    <w:pPr>
      <w:spacing w:after="109" w:line="249" w:lineRule="auto"/>
      <w:ind w:left="25" w:right="19" w:hanging="10"/>
    </w:pPr>
    <w:rPr>
      <w:rFonts w:ascii="Times New Roman" w:hAnsi="Times New Roman" w:eastAsia="Times New Roman" w:cs="Times New Roman"/>
      <w:color w:val="000000"/>
      <w:sz w:val="24"/>
    </w:rPr>
  </w:style>
  <w:style w:type="paragraph" w:styleId="Title">
    <w:name w:val="Title"/>
    <w:basedOn w:val="Normal"/>
    <w:next w:val="Normal"/>
    <w:link w:val="TitleChar"/>
    <w:uiPriority w:val="10"/>
    <w:qFormat/>
    <w:rsid w:val="00466477"/>
    <w:pPr>
      <w:spacing w:after="80" w:line="240" w:lineRule="auto"/>
      <w:contextualSpacing/>
    </w:pPr>
    <w:rPr>
      <w:rFonts w:asciiTheme="majorHAnsi" w:hAnsiTheme="majorHAnsi" w:eastAsiaTheme="majorEastAsia" w:cstheme="majorBidi"/>
      <w:spacing w:val="-10"/>
      <w:kern w:val="28"/>
      <w:sz w:val="56"/>
      <w:szCs w:val="56"/>
      <w:lang w:eastAsia="en-US"/>
      <w14:ligatures w14:val="none"/>
    </w:rPr>
  </w:style>
  <w:style w:type="character" w:styleId="TitleChar" w:customStyle="1">
    <w:name w:val="Title Char"/>
    <w:basedOn w:val="DefaultParagraphFont"/>
    <w:link w:val="Title"/>
    <w:uiPriority w:val="10"/>
    <w:rsid w:val="00466477"/>
    <w:rPr>
      <w:rFonts w:asciiTheme="majorHAnsi" w:hAnsiTheme="majorHAnsi" w:eastAsiaTheme="majorEastAsia" w:cstheme="majorBidi"/>
      <w:spacing w:val="-10"/>
      <w:kern w:val="28"/>
      <w:sz w:val="56"/>
      <w:szCs w:val="56"/>
      <w:lang w:eastAsia="en-US"/>
      <w14:ligatures w14:val="none"/>
    </w:rPr>
  </w:style>
  <w:style w:type="paragraph" w:styleId="p1" w:customStyle="1">
    <w:name w:val="p1"/>
    <w:basedOn w:val="Normal"/>
    <w:rsid w:val="00466477"/>
    <w:pPr>
      <w:spacing w:after="0" w:line="240" w:lineRule="auto"/>
    </w:pPr>
    <w:rPr>
      <w:rFonts w:ascii="Helvetica" w:hAnsi="Helvetica" w:eastAsia="Times New Roman" w:cs="Times New Roman"/>
      <w:color w:val="000000"/>
      <w:kern w:val="0"/>
      <w:sz w:val="60"/>
      <w:szCs w:val="60"/>
      <w:lang w:eastAsia="en-GB"/>
      <w14:ligatures w14:val="none"/>
    </w:rPr>
  </w:style>
  <w:style w:type="paragraph" w:styleId="font-claude-response-body" w:customStyle="1">
    <w:name w:val="font-claude-response-body"/>
    <w:basedOn w:val="Normal"/>
    <w:rsid w:val="004F5DDA"/>
    <w:pPr>
      <w:spacing w:before="100" w:beforeAutospacing="1" w:after="100" w:afterAutospacing="1" w:line="240" w:lineRule="auto"/>
    </w:pPr>
    <w:rPr>
      <w:rFonts w:ascii="Times New Roman" w:hAnsi="Times New Roman" w:eastAsia="Times New Roman" w:cs="Times New Roman"/>
      <w:kern w:val="0"/>
      <w:sz w:val="24"/>
      <w:szCs w:val="24"/>
      <w:lang w:val="en-US" w:eastAsia="en-US"/>
      <w14:ligatures w14:val="none"/>
    </w:rPr>
  </w:style>
  <w:style w:type="character" w:styleId="Strong">
    <w:name w:val="Strong"/>
    <w:basedOn w:val="DefaultParagraphFont"/>
    <w:uiPriority w:val="22"/>
    <w:qFormat/>
    <w:rsid w:val="004F5DDA"/>
    <w:rPr>
      <w:b/>
      <w:bCs/>
    </w:rPr>
  </w:style>
  <w:style w:type="character" w:styleId="Emphasis">
    <w:name w:val="Emphasis"/>
    <w:basedOn w:val="DefaultParagraphFont"/>
    <w:uiPriority w:val="20"/>
    <w:qFormat/>
    <w:rsid w:val="004F5DDA"/>
    <w:rPr>
      <w:i/>
      <w:iCs/>
    </w:rPr>
  </w:style>
  <w:style w:type="character" w:styleId="Heading4Char" w:customStyle="1">
    <w:name w:val="Heading 4 Char"/>
    <w:basedOn w:val="DefaultParagraphFont"/>
    <w:link w:val="Heading4"/>
    <w:uiPriority w:val="9"/>
    <w:semiHidden/>
    <w:rsid w:val="00B10FA7"/>
    <w:rPr>
      <w:rFonts w:asciiTheme="majorHAnsi" w:hAnsiTheme="majorHAnsi" w:eastAsiaTheme="majorEastAsia" w:cstheme="majorBidi"/>
      <w:i/>
      <w:iCs/>
      <w:color w:val="2F5496" w:themeColor="accent1" w:themeShade="BF"/>
    </w:rPr>
  </w:style>
  <w:style w:type="character" w:styleId="Hyperlink">
    <w:name w:val="Hyperlink"/>
    <w:basedOn w:val="DefaultParagraphFont"/>
    <w:uiPriority w:val="99"/>
    <w:unhideWhenUsed/>
    <w:rsid w:val="00B10FA7"/>
    <w:rPr>
      <w:color w:val="0563C1" w:themeColor="hyperlink"/>
      <w:u w:val="single"/>
    </w:rPr>
  </w:style>
  <w:style w:type="character" w:styleId="UnresolvedMention">
    <w:name w:val="Unresolved Mention"/>
    <w:basedOn w:val="DefaultParagraphFont"/>
    <w:uiPriority w:val="99"/>
    <w:semiHidden/>
    <w:unhideWhenUsed/>
    <w:rsid w:val="00B10FA7"/>
    <w:rPr>
      <w:color w:val="605E5C"/>
      <w:shd w:val="clear" w:color="auto" w:fill="E1DFDD"/>
    </w:rPr>
  </w:style>
  <w:style w:type="character" w:styleId="HTMLCode">
    <w:name w:val="HTML Code"/>
    <w:basedOn w:val="DefaultParagraphFont"/>
    <w:uiPriority w:val="99"/>
    <w:semiHidden/>
    <w:unhideWhenUsed/>
    <w:rsid w:val="00C33C31"/>
    <w:rPr>
      <w:rFonts w:ascii="Courier New" w:hAnsi="Courier New" w:eastAsia="Times New Roman" w:cs="Courier New"/>
      <w:sz w:val="20"/>
      <w:szCs w:val="20"/>
    </w:rPr>
  </w:style>
  <w:style w:type="paragraph" w:styleId="ListParagraph">
    <w:name w:val="List Paragraph"/>
    <w:basedOn w:val="Normal"/>
    <w:uiPriority w:val="34"/>
    <w:qFormat/>
    <w:rsid w:val="007C143F"/>
    <w:pPr>
      <w:ind w:left="720"/>
      <w:contextualSpacing/>
    </w:pPr>
  </w:style>
  <w:style w:type="paragraph" w:styleId="TOCHeading">
    <w:name w:val="TOC Heading"/>
    <w:basedOn w:val="Heading1"/>
    <w:next w:val="Normal"/>
    <w:uiPriority w:val="39"/>
    <w:unhideWhenUsed/>
    <w:qFormat/>
    <w:rsid w:val="00C428D0"/>
    <w:pPr>
      <w:spacing w:before="240" w:after="0" w:line="259" w:lineRule="auto"/>
      <w:ind w:left="0" w:right="0" w:firstLine="0"/>
      <w:jc w:val="left"/>
      <w:outlineLvl w:val="9"/>
    </w:pPr>
    <w:rPr>
      <w:rFonts w:asciiTheme="majorHAnsi" w:hAnsiTheme="majorHAnsi" w:eastAsiaTheme="majorEastAsia" w:cstheme="majorBidi"/>
      <w:b w:val="0"/>
      <w:color w:val="2F5496" w:themeColor="accent1" w:themeShade="BF"/>
      <w:kern w:val="0"/>
      <w:sz w:val="32"/>
      <w:szCs w:val="32"/>
      <w:lang w:val="en-US" w:eastAsia="en-US"/>
      <w14:ligatures w14:val="none"/>
    </w:rPr>
  </w:style>
  <w:style w:type="paragraph" w:styleId="TOC2">
    <w:name w:val="toc 2"/>
    <w:basedOn w:val="Normal"/>
    <w:next w:val="Normal"/>
    <w:autoRedefine/>
    <w:uiPriority w:val="39"/>
    <w:unhideWhenUsed/>
    <w:rsid w:val="00C428D0"/>
    <w:pPr>
      <w:spacing w:after="100"/>
      <w:ind w:left="220"/>
    </w:pPr>
  </w:style>
  <w:style w:type="paragraph" w:styleId="TOC3">
    <w:name w:val="toc 3"/>
    <w:basedOn w:val="Normal"/>
    <w:next w:val="Normal"/>
    <w:autoRedefine/>
    <w:uiPriority w:val="39"/>
    <w:unhideWhenUsed/>
    <w:rsid w:val="00C428D0"/>
    <w:pPr>
      <w:spacing w:after="100"/>
      <w:ind w:left="440"/>
    </w:pPr>
  </w:style>
  <w:style w:type="paragraph" w:styleId="Header">
    <w:name w:val="header"/>
    <w:basedOn w:val="Normal"/>
    <w:link w:val="HeaderChar"/>
    <w:uiPriority w:val="99"/>
    <w:unhideWhenUsed/>
    <w:rsid w:val="003C0B71"/>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0B71"/>
  </w:style>
  <w:style w:type="paragraph" w:styleId="Footer">
    <w:name w:val="footer"/>
    <w:basedOn w:val="Normal"/>
    <w:link w:val="FooterChar"/>
    <w:uiPriority w:val="99"/>
    <w:unhideWhenUsed/>
    <w:rsid w:val="003C0B71"/>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0B71"/>
  </w:style>
  <w:style w:type="paragraph" w:styleId="Caption">
    <w:name w:val="caption"/>
    <w:basedOn w:val="Normal"/>
    <w:next w:val="Normal"/>
    <w:uiPriority w:val="35"/>
    <w:unhideWhenUsed/>
    <w:qFormat/>
    <w:rsid w:val="005A488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A4884"/>
    <w:pPr>
      <w:spacing w:after="0"/>
    </w:pPr>
  </w:style>
  <w:style w:type="character" w:styleId="FollowedHyperlink">
    <w:name w:val="FollowedHyperlink"/>
    <w:basedOn w:val="DefaultParagraphFont"/>
    <w:uiPriority w:val="99"/>
    <w:semiHidden/>
    <w:unhideWhenUsed/>
    <w:rsid w:val="004273F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customXml" Target="ink/ink4.xml" Id="rId13" /><Relationship Type="http://schemas.openxmlformats.org/officeDocument/2006/relationships/hyperlink" Target="https://casp-uk.net/casp-tools-checklists/" TargetMode="External" Id="rId18" /><Relationship Type="http://schemas.openxmlformats.org/officeDocument/2006/relationships/footer" Target="footer3.xml" Id="rId26" /><Relationship Type="http://schemas.openxmlformats.org/officeDocument/2006/relationships/styles" Target="styles.xml" Id="rId3" /><Relationship Type="http://schemas.openxmlformats.org/officeDocument/2006/relationships/hyperlink" Target="https://www.who.int/publications/i/item/9789241513838" TargetMode="External" Id="rId21" /><Relationship Type="http://schemas.openxmlformats.org/officeDocument/2006/relationships/endnotes" Target="endnotes.xml" Id="rId7" /><Relationship Type="http://schemas.openxmlformats.org/officeDocument/2006/relationships/customXml" Target="ink/ink3.xml" Id="rId12" /><Relationship Type="http://schemas.openxmlformats.org/officeDocument/2006/relationships/hyperlink" Target="https://www.who.int/publications/i/item/WHO-IER-CSDH-08.1" TargetMode="External" Id="rId17" /><Relationship Type="http://schemas.openxmlformats.org/officeDocument/2006/relationships/footer" Target="footer2.xml" Id="rId25" /><Relationship Type="http://schemas.openxmlformats.org/officeDocument/2006/relationships/numbering" Target="numbering.xml" Id="rId2" /><Relationship Type="http://schemas.openxmlformats.org/officeDocument/2006/relationships/image" Target="media/image5.png" Id="rId16" /><Relationship Type="http://schemas.openxmlformats.org/officeDocument/2006/relationships/hyperlink" Target="https://www.ippr.in/index.php/ippr/article/view/485" TargetMode="External" Id="rId20" /><Relationship Type="http://schemas.openxmlformats.org/officeDocument/2006/relationships/theme" Target="theme/theme1.xm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customXml" Target="ink/ink2.xml" Id="rId11" /><Relationship Type="http://schemas.openxmlformats.org/officeDocument/2006/relationships/footer" Target="footer1.xml" Id="rId24" /><Relationship Type="http://schemas.openxmlformats.org/officeDocument/2006/relationships/webSettings" Target="webSettings.xml" Id="rId5" /><Relationship Type="http://schemas.openxmlformats.org/officeDocument/2006/relationships/image" Target="media/image4.png" Id="rId15" /><Relationship Type="http://schemas.openxmlformats.org/officeDocument/2006/relationships/hyperlink" Target="https://www.who.int/publications/i/item/who-wer9316" TargetMode="External" Id="rId23" /><Relationship Type="http://schemas.openxmlformats.org/officeDocument/2006/relationships/fontTable" Target="fontTable.xml" Id="rId28" /><Relationship Type="http://schemas.openxmlformats.org/officeDocument/2006/relationships/image" Target="media/image2.png" Id="rId10" /><Relationship Type="http://schemas.openxmlformats.org/officeDocument/2006/relationships/hyperlink" Target="https://www.who.int/publications/i/item/9789240059139" TargetMode="External" Id="rId19" /><Relationship Type="http://schemas.openxmlformats.org/officeDocument/2006/relationships/settings" Target="settings.xml" Id="rId4" /><Relationship Type="http://schemas.openxmlformats.org/officeDocument/2006/relationships/customXml" Target="ink/ink1.xml" Id="rId9" /><Relationship Type="http://schemas.openxmlformats.org/officeDocument/2006/relationships/image" Target="media/image3.png" Id="rId14" /><Relationship Type="http://schemas.openxmlformats.org/officeDocument/2006/relationships/hyperlink" Target="https://www.who.int/publications/i/item/WHO-TRS-1012" TargetMode="External" Id="rId22" /><Relationship Type="http://schemas.openxmlformats.org/officeDocument/2006/relationships/footer" Target="footer4.xml" Id="rId27" /></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 65 24575,'0'-65'0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743DE1-26CC-459C-97E2-5573196AD64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Muhammad Hussain Al Huzaibi Hashmi (2429364)</lastModifiedBy>
  <revision>2</revision>
  <dcterms:created xsi:type="dcterms:W3CDTF">2026-06-02T12:19:00.0000000Z</dcterms:created>
  <dcterms:modified xsi:type="dcterms:W3CDTF">2026-06-02T12:24:20.4380659Z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d62f6409-1be7-4f08-a71f-7da2ba072e48</vt:lpwstr>
  </property>
</Properties>
</file>