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drawings/drawing1.xml" ContentType="application/vnd.openxmlformats-officedocument.drawingml.chartshapes+xml"/>
  <Override PartName="/word/charts/chart2.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3.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4.xml" ContentType="application/vnd.openxmlformats-officedocument.drawingml.chart+xml"/>
  <Override PartName="/word/charts/style3.xml" ContentType="application/vnd.ms-office.chartstyle+xml"/>
  <Override PartName="/word/charts/colors3.xml" ContentType="application/vnd.ms-office.chartcolorstyle+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798DAAC" w14:textId="753218C0" w:rsidR="00A0448F" w:rsidRDefault="00A0448F">
      <w:pPr>
        <w:rPr>
          <w:b/>
        </w:rPr>
      </w:pPr>
    </w:p>
    <w:p w14:paraId="1DEC7869" w14:textId="77777777" w:rsidR="0083655A" w:rsidRDefault="0083655A">
      <w:pPr>
        <w:rPr>
          <w:b/>
        </w:rPr>
      </w:pPr>
    </w:p>
    <w:p w14:paraId="0EB0D1B3" w14:textId="2BD3B4DC" w:rsidR="00A0448F" w:rsidRPr="00057DFE" w:rsidRDefault="00057DFE" w:rsidP="00057DFE">
      <w:pPr>
        <w:jc w:val="center"/>
        <w:rPr>
          <w:b/>
          <w:sz w:val="32"/>
          <w:szCs w:val="32"/>
        </w:rPr>
      </w:pPr>
      <w:r w:rsidRPr="00057DFE">
        <w:rPr>
          <w:b/>
          <w:sz w:val="32"/>
          <w:szCs w:val="32"/>
        </w:rPr>
        <w:t>MSc in Applied Computing</w:t>
      </w:r>
    </w:p>
    <w:p w14:paraId="73CE13E4" w14:textId="3E4D865E" w:rsidR="00057DFE" w:rsidRDefault="00057DFE" w:rsidP="00057DFE">
      <w:pPr>
        <w:jc w:val="center"/>
        <w:rPr>
          <w:b/>
        </w:rPr>
      </w:pPr>
      <w:r w:rsidRPr="00057DFE">
        <w:rPr>
          <w:b/>
          <w:sz w:val="32"/>
          <w:szCs w:val="32"/>
        </w:rPr>
        <w:t>University of Wales Trinity Saint David</w:t>
      </w:r>
    </w:p>
    <w:p w14:paraId="5C1E83E4" w14:textId="77777777" w:rsidR="00A0448F" w:rsidRDefault="00A0448F">
      <w:pPr>
        <w:rPr>
          <w:b/>
        </w:rPr>
      </w:pPr>
    </w:p>
    <w:p w14:paraId="0FC9266A" w14:textId="77777777" w:rsidR="00A0448F" w:rsidRPr="00A0448F" w:rsidRDefault="00A0448F">
      <w:pPr>
        <w:rPr>
          <w:b/>
          <w:sz w:val="56"/>
          <w:szCs w:val="56"/>
        </w:rPr>
      </w:pPr>
    </w:p>
    <w:p w14:paraId="13E934B3" w14:textId="62601AC3" w:rsidR="001C5D0F" w:rsidRPr="00A0448F" w:rsidRDefault="001C5D0F" w:rsidP="00A0448F">
      <w:pPr>
        <w:jc w:val="center"/>
        <w:rPr>
          <w:b/>
          <w:sz w:val="56"/>
          <w:szCs w:val="56"/>
        </w:rPr>
      </w:pPr>
      <w:r w:rsidRPr="00A0448F">
        <w:rPr>
          <w:b/>
          <w:sz w:val="56"/>
          <w:szCs w:val="56"/>
        </w:rPr>
        <w:t>Module: Research Methods and Data Analysis</w:t>
      </w:r>
      <w:r w:rsidR="00057DFE">
        <w:rPr>
          <w:b/>
          <w:sz w:val="56"/>
          <w:szCs w:val="56"/>
        </w:rPr>
        <w:t xml:space="preserve"> (M7X01702)</w:t>
      </w:r>
    </w:p>
    <w:p w14:paraId="6B2CC16F" w14:textId="1A470DFD" w:rsidR="001C5D0F" w:rsidRPr="00A0448F" w:rsidRDefault="001C5D0F" w:rsidP="00A0448F">
      <w:pPr>
        <w:jc w:val="center"/>
        <w:rPr>
          <w:b/>
          <w:sz w:val="56"/>
          <w:szCs w:val="56"/>
        </w:rPr>
      </w:pPr>
      <w:r w:rsidRPr="00A0448F">
        <w:rPr>
          <w:b/>
          <w:sz w:val="56"/>
          <w:szCs w:val="56"/>
        </w:rPr>
        <w:t>Assignment 1: Data Analysis</w:t>
      </w:r>
    </w:p>
    <w:p w14:paraId="6FD508EC" w14:textId="77777777" w:rsidR="001C5D0F" w:rsidRDefault="001C5D0F">
      <w:pPr>
        <w:rPr>
          <w:b/>
        </w:rPr>
      </w:pPr>
    </w:p>
    <w:p w14:paraId="3B4D6375" w14:textId="77777777" w:rsidR="00A0448F" w:rsidRDefault="00A0448F">
      <w:pPr>
        <w:rPr>
          <w:b/>
        </w:rPr>
      </w:pPr>
    </w:p>
    <w:p w14:paraId="06B75493" w14:textId="77777777" w:rsidR="00A0448F" w:rsidRDefault="00A0448F">
      <w:pPr>
        <w:rPr>
          <w:b/>
        </w:rPr>
      </w:pPr>
    </w:p>
    <w:p w14:paraId="6AE9BD90" w14:textId="77777777" w:rsidR="00A0448F" w:rsidRDefault="00A0448F">
      <w:pPr>
        <w:rPr>
          <w:b/>
        </w:rPr>
      </w:pPr>
    </w:p>
    <w:p w14:paraId="18E87A0E" w14:textId="77777777" w:rsidR="00A0448F" w:rsidRDefault="00A0448F">
      <w:pPr>
        <w:rPr>
          <w:b/>
        </w:rPr>
      </w:pPr>
    </w:p>
    <w:p w14:paraId="593BE249" w14:textId="77777777" w:rsidR="00A0448F" w:rsidRDefault="00A0448F">
      <w:pPr>
        <w:rPr>
          <w:b/>
        </w:rPr>
      </w:pPr>
    </w:p>
    <w:p w14:paraId="5E34D39E" w14:textId="77777777" w:rsidR="00A0448F" w:rsidRDefault="00A0448F">
      <w:pPr>
        <w:rPr>
          <w:b/>
        </w:rPr>
      </w:pPr>
    </w:p>
    <w:p w14:paraId="4BF29A4D" w14:textId="77777777" w:rsidR="00A0448F" w:rsidRDefault="00A0448F">
      <w:pPr>
        <w:rPr>
          <w:b/>
        </w:rPr>
      </w:pPr>
    </w:p>
    <w:p w14:paraId="3403C874" w14:textId="77777777" w:rsidR="00A0448F" w:rsidRDefault="00A0448F">
      <w:pPr>
        <w:rPr>
          <w:b/>
        </w:rPr>
      </w:pPr>
    </w:p>
    <w:p w14:paraId="488AA8A5" w14:textId="77777777" w:rsidR="00A0448F" w:rsidRDefault="00A0448F">
      <w:pPr>
        <w:rPr>
          <w:b/>
        </w:rPr>
      </w:pPr>
    </w:p>
    <w:p w14:paraId="35DF80F6" w14:textId="77777777" w:rsidR="00A0448F" w:rsidRDefault="00A0448F">
      <w:pPr>
        <w:rPr>
          <w:b/>
        </w:rPr>
      </w:pPr>
    </w:p>
    <w:p w14:paraId="276A0A8C" w14:textId="77777777" w:rsidR="00A0448F" w:rsidRDefault="00A0448F">
      <w:pPr>
        <w:rPr>
          <w:b/>
        </w:rPr>
      </w:pPr>
    </w:p>
    <w:p w14:paraId="2815A1AF" w14:textId="77777777" w:rsidR="00A0448F" w:rsidRDefault="00A0448F">
      <w:pPr>
        <w:rPr>
          <w:b/>
        </w:rPr>
      </w:pPr>
    </w:p>
    <w:p w14:paraId="50F6D259" w14:textId="77777777" w:rsidR="00A0448F" w:rsidRDefault="00A0448F">
      <w:pPr>
        <w:rPr>
          <w:b/>
        </w:rPr>
      </w:pPr>
    </w:p>
    <w:p w14:paraId="517D0548" w14:textId="77777777" w:rsidR="00A0448F" w:rsidRDefault="00A0448F">
      <w:pPr>
        <w:rPr>
          <w:b/>
        </w:rPr>
      </w:pPr>
    </w:p>
    <w:p w14:paraId="7A283189" w14:textId="77777777" w:rsidR="00A0448F" w:rsidRDefault="00A0448F">
      <w:pPr>
        <w:rPr>
          <w:b/>
        </w:rPr>
      </w:pPr>
    </w:p>
    <w:p w14:paraId="13B8968E" w14:textId="77777777" w:rsidR="00A0448F" w:rsidRDefault="00A0448F">
      <w:pPr>
        <w:rPr>
          <w:b/>
        </w:rPr>
      </w:pPr>
    </w:p>
    <w:p w14:paraId="18695D28" w14:textId="3313AA04" w:rsidR="00A0448F" w:rsidRDefault="00057DFE">
      <w:pPr>
        <w:rPr>
          <w:b/>
        </w:rPr>
      </w:pPr>
      <w:r>
        <w:rPr>
          <w:b/>
        </w:rPr>
        <w:tab/>
      </w:r>
      <w:r>
        <w:rPr>
          <w:b/>
        </w:rPr>
        <w:tab/>
      </w:r>
      <w:r>
        <w:rPr>
          <w:b/>
        </w:rPr>
        <w:tab/>
      </w:r>
      <w:r>
        <w:rPr>
          <w:b/>
        </w:rPr>
        <w:tab/>
      </w:r>
      <w:r>
        <w:rPr>
          <w:b/>
        </w:rPr>
        <w:tab/>
      </w:r>
      <w:r>
        <w:rPr>
          <w:b/>
        </w:rPr>
        <w:tab/>
      </w:r>
      <w:r>
        <w:rPr>
          <w:b/>
        </w:rPr>
        <w:tab/>
      </w:r>
      <w:r>
        <w:rPr>
          <w:b/>
        </w:rPr>
        <w:tab/>
      </w:r>
      <w:r>
        <w:rPr>
          <w:b/>
        </w:rPr>
        <w:tab/>
      </w:r>
      <w:r>
        <w:rPr>
          <w:b/>
        </w:rPr>
        <w:tab/>
        <w:t>Word Count</w:t>
      </w:r>
      <w:r w:rsidR="00FA5D3C">
        <w:rPr>
          <w:b/>
        </w:rPr>
        <w:t>: 2067</w:t>
      </w:r>
    </w:p>
    <w:p w14:paraId="0FFCE983" w14:textId="77777777" w:rsidR="00A0448F" w:rsidRDefault="00A0448F">
      <w:pPr>
        <w:rPr>
          <w:b/>
        </w:rPr>
      </w:pPr>
    </w:p>
    <w:p w14:paraId="0FDC30B5" w14:textId="3703208C" w:rsidR="00515808" w:rsidRPr="00515808" w:rsidRDefault="00515808" w:rsidP="00515808">
      <w:pPr>
        <w:ind w:left="3600" w:firstLine="720"/>
        <w:rPr>
          <w:b/>
          <w:u w:val="single"/>
        </w:rPr>
      </w:pPr>
      <w:r w:rsidRPr="00515808">
        <w:rPr>
          <w:b/>
          <w:sz w:val="34"/>
          <w:u w:val="single"/>
        </w:rPr>
        <w:t>Index</w:t>
      </w:r>
    </w:p>
    <w:p w14:paraId="6263F8FC" w14:textId="5EECA1AC" w:rsidR="00A0448F" w:rsidRPr="00515808" w:rsidRDefault="006161B3">
      <w:pPr>
        <w:rPr>
          <w:u w:val="single"/>
        </w:rPr>
      </w:pPr>
      <w:r>
        <w:rPr>
          <w:b/>
        </w:rPr>
        <w:tab/>
      </w:r>
      <w:r>
        <w:rPr>
          <w:b/>
        </w:rPr>
        <w:tab/>
      </w:r>
      <w:r>
        <w:rPr>
          <w:b/>
        </w:rPr>
        <w:tab/>
      </w:r>
      <w:r>
        <w:rPr>
          <w:b/>
        </w:rPr>
        <w:tab/>
      </w:r>
      <w:r>
        <w:rPr>
          <w:b/>
        </w:rPr>
        <w:tab/>
      </w:r>
      <w:r>
        <w:rPr>
          <w:b/>
        </w:rPr>
        <w:tab/>
      </w:r>
      <w:r>
        <w:rPr>
          <w:b/>
        </w:rPr>
        <w:tab/>
      </w:r>
      <w:r>
        <w:rPr>
          <w:b/>
        </w:rPr>
        <w:tab/>
        <w:t xml:space="preserve">      </w:t>
      </w:r>
      <w:r w:rsidR="004810CC">
        <w:rPr>
          <w:b/>
        </w:rPr>
        <w:tab/>
      </w:r>
      <w:r w:rsidR="004810CC">
        <w:rPr>
          <w:b/>
        </w:rPr>
        <w:tab/>
        <w:t xml:space="preserve">       </w:t>
      </w:r>
      <w:r w:rsidRPr="00515808">
        <w:rPr>
          <w:b/>
          <w:u w:val="single"/>
        </w:rPr>
        <w:t>Page No</w:t>
      </w:r>
    </w:p>
    <w:p w14:paraId="11E92875" w14:textId="7C364108" w:rsidR="00A0448F" w:rsidRPr="004810CC" w:rsidRDefault="006161B3" w:rsidP="006161B3">
      <w:pPr>
        <w:pStyle w:val="ListParagraph"/>
        <w:numPr>
          <w:ilvl w:val="0"/>
          <w:numId w:val="2"/>
        </w:numPr>
        <w:rPr>
          <w:b/>
        </w:rPr>
      </w:pPr>
      <w:r w:rsidRPr="004810CC">
        <w:rPr>
          <w:b/>
        </w:rPr>
        <w:t>Introduction</w:t>
      </w:r>
      <w:r w:rsidRPr="004810CC">
        <w:rPr>
          <w:b/>
        </w:rPr>
        <w:tab/>
      </w:r>
      <w:r w:rsidRPr="004810CC">
        <w:rPr>
          <w:b/>
        </w:rPr>
        <w:tab/>
      </w:r>
      <w:r w:rsidRPr="004810CC">
        <w:rPr>
          <w:b/>
        </w:rPr>
        <w:tab/>
      </w:r>
      <w:r w:rsidRPr="004810CC">
        <w:rPr>
          <w:b/>
        </w:rPr>
        <w:tab/>
      </w:r>
      <w:r w:rsidRPr="004810CC">
        <w:rPr>
          <w:b/>
        </w:rPr>
        <w:tab/>
      </w:r>
      <w:r w:rsidRPr="004810CC">
        <w:rPr>
          <w:b/>
        </w:rPr>
        <w:tab/>
      </w:r>
      <w:r w:rsidRPr="004810CC">
        <w:rPr>
          <w:b/>
        </w:rPr>
        <w:tab/>
      </w:r>
      <w:r w:rsidR="004810CC">
        <w:rPr>
          <w:b/>
        </w:rPr>
        <w:tab/>
      </w:r>
      <w:r w:rsidR="004810CC">
        <w:rPr>
          <w:b/>
        </w:rPr>
        <w:tab/>
      </w:r>
      <w:r w:rsidRPr="004810CC">
        <w:rPr>
          <w:b/>
        </w:rPr>
        <w:t>3</w:t>
      </w:r>
    </w:p>
    <w:p w14:paraId="5544CD4C" w14:textId="1DCB1146" w:rsidR="006161B3" w:rsidRPr="004810CC" w:rsidRDefault="006161B3" w:rsidP="006161B3">
      <w:pPr>
        <w:pStyle w:val="ListParagraph"/>
        <w:numPr>
          <w:ilvl w:val="0"/>
          <w:numId w:val="2"/>
        </w:numPr>
        <w:rPr>
          <w:b/>
        </w:rPr>
      </w:pPr>
      <w:r w:rsidRPr="004810CC">
        <w:rPr>
          <w:b/>
        </w:rPr>
        <w:t>Hypothesis</w:t>
      </w:r>
      <w:r w:rsidRPr="004810CC">
        <w:rPr>
          <w:b/>
        </w:rPr>
        <w:tab/>
      </w:r>
      <w:r w:rsidRPr="004810CC">
        <w:rPr>
          <w:b/>
        </w:rPr>
        <w:tab/>
      </w:r>
      <w:r w:rsidRPr="004810CC">
        <w:rPr>
          <w:b/>
        </w:rPr>
        <w:tab/>
      </w:r>
      <w:r w:rsidRPr="004810CC">
        <w:rPr>
          <w:b/>
        </w:rPr>
        <w:tab/>
      </w:r>
      <w:r w:rsidRPr="004810CC">
        <w:rPr>
          <w:b/>
        </w:rPr>
        <w:tab/>
      </w:r>
      <w:r w:rsidR="004810CC" w:rsidRPr="004810CC">
        <w:rPr>
          <w:b/>
        </w:rPr>
        <w:tab/>
      </w:r>
      <w:r w:rsidR="004810CC" w:rsidRPr="004810CC">
        <w:rPr>
          <w:b/>
        </w:rPr>
        <w:tab/>
      </w:r>
      <w:r w:rsidR="004810CC">
        <w:rPr>
          <w:b/>
        </w:rPr>
        <w:tab/>
      </w:r>
      <w:r w:rsidR="004810CC">
        <w:rPr>
          <w:b/>
        </w:rPr>
        <w:tab/>
      </w:r>
      <w:r w:rsidR="004810CC" w:rsidRPr="004810CC">
        <w:rPr>
          <w:b/>
        </w:rPr>
        <w:t>3</w:t>
      </w:r>
    </w:p>
    <w:p w14:paraId="1F929601" w14:textId="64F56537" w:rsidR="006161B3" w:rsidRDefault="006161B3" w:rsidP="006161B3">
      <w:pPr>
        <w:pStyle w:val="ListParagraph"/>
        <w:numPr>
          <w:ilvl w:val="0"/>
          <w:numId w:val="2"/>
        </w:numPr>
        <w:rPr>
          <w:b/>
        </w:rPr>
      </w:pPr>
      <w:r w:rsidRPr="004810CC">
        <w:rPr>
          <w:b/>
        </w:rPr>
        <w:t>Data visualisation – Bell Curve</w:t>
      </w:r>
      <w:r w:rsidRPr="004810CC">
        <w:rPr>
          <w:b/>
        </w:rPr>
        <w:tab/>
      </w:r>
      <w:r w:rsidRPr="004810CC">
        <w:rPr>
          <w:b/>
        </w:rPr>
        <w:tab/>
      </w:r>
      <w:r w:rsidRPr="004810CC">
        <w:rPr>
          <w:b/>
        </w:rPr>
        <w:tab/>
      </w:r>
      <w:r w:rsidRPr="004810CC">
        <w:rPr>
          <w:b/>
        </w:rPr>
        <w:tab/>
        <w:t xml:space="preserve">       </w:t>
      </w:r>
      <w:r w:rsidRPr="004810CC">
        <w:rPr>
          <w:b/>
        </w:rPr>
        <w:tab/>
      </w:r>
      <w:r w:rsidR="004810CC">
        <w:rPr>
          <w:b/>
        </w:rPr>
        <w:tab/>
      </w:r>
      <w:r w:rsidR="004810CC">
        <w:rPr>
          <w:b/>
        </w:rPr>
        <w:tab/>
      </w:r>
      <w:r w:rsidRPr="004810CC">
        <w:rPr>
          <w:b/>
        </w:rPr>
        <w:t>3-</w:t>
      </w:r>
      <w:r w:rsidR="004810CC">
        <w:rPr>
          <w:b/>
        </w:rPr>
        <w:t>4</w:t>
      </w:r>
    </w:p>
    <w:p w14:paraId="0F461379" w14:textId="4B3175E8" w:rsidR="004810CC" w:rsidRDefault="004810CC" w:rsidP="006161B3">
      <w:pPr>
        <w:pStyle w:val="ListParagraph"/>
        <w:numPr>
          <w:ilvl w:val="0"/>
          <w:numId w:val="2"/>
        </w:numPr>
        <w:rPr>
          <w:b/>
        </w:rPr>
      </w:pPr>
      <w:r w:rsidRPr="00A158FC">
        <w:rPr>
          <w:b/>
        </w:rPr>
        <w:t>Measure</w:t>
      </w:r>
      <w:r>
        <w:rPr>
          <w:b/>
        </w:rPr>
        <w:t>s</w:t>
      </w:r>
      <w:r w:rsidRPr="00A158FC">
        <w:rPr>
          <w:b/>
        </w:rPr>
        <w:t xml:space="preserve"> of central tendency</w:t>
      </w:r>
      <w:r>
        <w:rPr>
          <w:b/>
        </w:rPr>
        <w:tab/>
      </w:r>
      <w:r>
        <w:rPr>
          <w:b/>
        </w:rPr>
        <w:tab/>
      </w:r>
      <w:r>
        <w:rPr>
          <w:b/>
        </w:rPr>
        <w:tab/>
      </w:r>
      <w:r>
        <w:rPr>
          <w:b/>
        </w:rPr>
        <w:tab/>
      </w:r>
      <w:r>
        <w:rPr>
          <w:b/>
        </w:rPr>
        <w:tab/>
      </w:r>
      <w:r>
        <w:rPr>
          <w:b/>
        </w:rPr>
        <w:tab/>
      </w:r>
      <w:r>
        <w:rPr>
          <w:b/>
        </w:rPr>
        <w:tab/>
      </w:r>
      <w:r w:rsidR="00282E6E">
        <w:rPr>
          <w:b/>
        </w:rPr>
        <w:t>4-5</w:t>
      </w:r>
    </w:p>
    <w:p w14:paraId="6A89B1FA" w14:textId="33F4FC02" w:rsidR="004810CC" w:rsidRDefault="004810CC" w:rsidP="006161B3">
      <w:pPr>
        <w:pStyle w:val="ListParagraph"/>
        <w:numPr>
          <w:ilvl w:val="0"/>
          <w:numId w:val="2"/>
        </w:numPr>
        <w:rPr>
          <w:b/>
        </w:rPr>
      </w:pPr>
      <w:r w:rsidRPr="00AD261D">
        <w:rPr>
          <w:b/>
        </w:rPr>
        <w:t xml:space="preserve">Testing of the hypothesis to significance level </w:t>
      </w:r>
      <w:r>
        <w:rPr>
          <w:b/>
        </w:rPr>
        <w:t>in section B, to</w:t>
      </w:r>
      <w:r w:rsidRPr="00AD261D">
        <w:rPr>
          <w:b/>
        </w:rPr>
        <w:t xml:space="preserve"> p=0.01</w:t>
      </w:r>
      <w:r>
        <w:rPr>
          <w:b/>
        </w:rPr>
        <w:tab/>
      </w:r>
      <w:r>
        <w:rPr>
          <w:b/>
        </w:rPr>
        <w:tab/>
        <w:t>5-6</w:t>
      </w:r>
    </w:p>
    <w:p w14:paraId="5874ACF2" w14:textId="4F5BABC9" w:rsidR="004810CC" w:rsidRDefault="004810CC" w:rsidP="006161B3">
      <w:pPr>
        <w:pStyle w:val="ListParagraph"/>
        <w:numPr>
          <w:ilvl w:val="0"/>
          <w:numId w:val="2"/>
        </w:numPr>
        <w:rPr>
          <w:b/>
        </w:rPr>
      </w:pPr>
      <w:r w:rsidRPr="00EA1396">
        <w:rPr>
          <w:b/>
        </w:rPr>
        <w:t>O</w:t>
      </w:r>
      <w:r w:rsidR="0072332B">
        <w:rPr>
          <w:b/>
        </w:rPr>
        <w:t>utlier</w:t>
      </w:r>
    </w:p>
    <w:p w14:paraId="2B02351A" w14:textId="1E1796D0" w:rsidR="004810CC" w:rsidRDefault="00F2029A" w:rsidP="00F2029A">
      <w:pPr>
        <w:pStyle w:val="ListParagraph"/>
        <w:numPr>
          <w:ilvl w:val="0"/>
          <w:numId w:val="3"/>
        </w:numPr>
        <w:rPr>
          <w:b/>
        </w:rPr>
      </w:pPr>
      <w:r w:rsidRPr="0045103C">
        <w:rPr>
          <w:b/>
        </w:rPr>
        <w:t>Identifying outliers</w:t>
      </w:r>
      <w:r>
        <w:rPr>
          <w:b/>
        </w:rPr>
        <w:tab/>
      </w:r>
      <w:r>
        <w:rPr>
          <w:b/>
        </w:rPr>
        <w:tab/>
      </w:r>
      <w:r>
        <w:rPr>
          <w:b/>
        </w:rPr>
        <w:tab/>
      </w:r>
      <w:r>
        <w:rPr>
          <w:b/>
        </w:rPr>
        <w:tab/>
      </w:r>
      <w:r>
        <w:rPr>
          <w:b/>
        </w:rPr>
        <w:tab/>
      </w:r>
      <w:r>
        <w:rPr>
          <w:b/>
        </w:rPr>
        <w:tab/>
      </w:r>
      <w:r>
        <w:rPr>
          <w:b/>
        </w:rPr>
        <w:tab/>
      </w:r>
      <w:r w:rsidR="006E6E65">
        <w:rPr>
          <w:b/>
        </w:rPr>
        <w:t>6-7</w:t>
      </w:r>
    </w:p>
    <w:p w14:paraId="11B462E3" w14:textId="30194B1A" w:rsidR="00F2029A" w:rsidRDefault="00F2029A" w:rsidP="00F2029A">
      <w:pPr>
        <w:pStyle w:val="ListParagraph"/>
        <w:numPr>
          <w:ilvl w:val="0"/>
          <w:numId w:val="3"/>
        </w:numPr>
        <w:rPr>
          <w:b/>
        </w:rPr>
      </w:pPr>
      <w:r w:rsidRPr="0045103C">
        <w:rPr>
          <w:b/>
        </w:rPr>
        <w:t>Effect of identified outlier(s) on outcome</w:t>
      </w:r>
      <w:r>
        <w:rPr>
          <w:b/>
        </w:rPr>
        <w:tab/>
      </w:r>
      <w:r>
        <w:rPr>
          <w:b/>
        </w:rPr>
        <w:tab/>
      </w:r>
      <w:r>
        <w:rPr>
          <w:b/>
        </w:rPr>
        <w:tab/>
      </w:r>
      <w:r>
        <w:rPr>
          <w:b/>
        </w:rPr>
        <w:tab/>
      </w:r>
      <w:r w:rsidR="006E6E65">
        <w:rPr>
          <w:b/>
        </w:rPr>
        <w:t>7-8</w:t>
      </w:r>
    </w:p>
    <w:p w14:paraId="645224CB" w14:textId="794ACED9" w:rsidR="00F2029A" w:rsidRPr="00F2029A" w:rsidRDefault="00F2029A" w:rsidP="00F2029A">
      <w:pPr>
        <w:pStyle w:val="ListParagraph"/>
        <w:numPr>
          <w:ilvl w:val="0"/>
          <w:numId w:val="2"/>
        </w:numPr>
        <w:rPr>
          <w:b/>
        </w:rPr>
      </w:pPr>
      <w:r w:rsidRPr="00F2029A">
        <w:rPr>
          <w:b/>
        </w:rPr>
        <w:t>Any other features of data</w:t>
      </w:r>
      <w:r>
        <w:rPr>
          <w:b/>
        </w:rPr>
        <w:tab/>
      </w:r>
      <w:r>
        <w:rPr>
          <w:b/>
        </w:rPr>
        <w:tab/>
      </w:r>
      <w:r>
        <w:rPr>
          <w:b/>
        </w:rPr>
        <w:tab/>
      </w:r>
      <w:r>
        <w:rPr>
          <w:b/>
        </w:rPr>
        <w:tab/>
      </w:r>
      <w:r>
        <w:rPr>
          <w:b/>
        </w:rPr>
        <w:tab/>
      </w:r>
      <w:r>
        <w:rPr>
          <w:b/>
        </w:rPr>
        <w:tab/>
      </w:r>
      <w:r>
        <w:rPr>
          <w:b/>
        </w:rPr>
        <w:tab/>
        <w:t>8</w:t>
      </w:r>
    </w:p>
    <w:p w14:paraId="4AF830DF" w14:textId="75393719" w:rsidR="00F2029A" w:rsidRDefault="00F2029A" w:rsidP="00F2029A">
      <w:pPr>
        <w:pStyle w:val="ListParagraph"/>
        <w:numPr>
          <w:ilvl w:val="0"/>
          <w:numId w:val="2"/>
        </w:numPr>
        <w:rPr>
          <w:b/>
        </w:rPr>
      </w:pPr>
      <w:r w:rsidRPr="002274B2">
        <w:rPr>
          <w:b/>
        </w:rPr>
        <w:t>Any other factors</w:t>
      </w:r>
      <w:r>
        <w:rPr>
          <w:b/>
        </w:rPr>
        <w:tab/>
      </w:r>
      <w:r>
        <w:rPr>
          <w:b/>
        </w:rPr>
        <w:tab/>
      </w:r>
      <w:r>
        <w:rPr>
          <w:b/>
        </w:rPr>
        <w:tab/>
      </w:r>
      <w:r>
        <w:rPr>
          <w:b/>
        </w:rPr>
        <w:tab/>
      </w:r>
      <w:r>
        <w:rPr>
          <w:b/>
        </w:rPr>
        <w:tab/>
      </w:r>
      <w:r>
        <w:rPr>
          <w:b/>
        </w:rPr>
        <w:tab/>
      </w:r>
      <w:r>
        <w:rPr>
          <w:b/>
        </w:rPr>
        <w:tab/>
      </w:r>
      <w:r>
        <w:rPr>
          <w:b/>
        </w:rPr>
        <w:tab/>
      </w:r>
      <w:r w:rsidR="006912BC">
        <w:rPr>
          <w:b/>
        </w:rPr>
        <w:t>8-9</w:t>
      </w:r>
      <w:r>
        <w:rPr>
          <w:b/>
        </w:rPr>
        <w:tab/>
      </w:r>
    </w:p>
    <w:p w14:paraId="5CEC3BA4" w14:textId="418A3F79" w:rsidR="00F2029A" w:rsidRPr="00F2029A" w:rsidRDefault="00F2029A" w:rsidP="00F2029A">
      <w:pPr>
        <w:pStyle w:val="ListParagraph"/>
        <w:numPr>
          <w:ilvl w:val="0"/>
          <w:numId w:val="2"/>
        </w:numPr>
        <w:rPr>
          <w:b/>
        </w:rPr>
      </w:pPr>
      <w:r w:rsidRPr="009E7A3B">
        <w:rPr>
          <w:b/>
        </w:rPr>
        <w:t>Conclusion</w:t>
      </w:r>
      <w:r>
        <w:rPr>
          <w:b/>
        </w:rPr>
        <w:tab/>
      </w:r>
      <w:r>
        <w:rPr>
          <w:b/>
        </w:rPr>
        <w:tab/>
      </w:r>
      <w:r>
        <w:rPr>
          <w:b/>
        </w:rPr>
        <w:tab/>
      </w:r>
      <w:r>
        <w:rPr>
          <w:b/>
        </w:rPr>
        <w:tab/>
      </w:r>
      <w:r>
        <w:rPr>
          <w:b/>
        </w:rPr>
        <w:tab/>
      </w:r>
      <w:r>
        <w:rPr>
          <w:b/>
        </w:rPr>
        <w:tab/>
      </w:r>
      <w:r>
        <w:rPr>
          <w:b/>
        </w:rPr>
        <w:tab/>
      </w:r>
      <w:r>
        <w:rPr>
          <w:b/>
        </w:rPr>
        <w:tab/>
      </w:r>
      <w:r>
        <w:rPr>
          <w:b/>
        </w:rPr>
        <w:tab/>
        <w:t>9</w:t>
      </w:r>
    </w:p>
    <w:p w14:paraId="1853558F" w14:textId="50060007" w:rsidR="00057DFE" w:rsidRDefault="00057DFE"/>
    <w:p w14:paraId="113BE569" w14:textId="41DCB0F4" w:rsidR="00057DFE" w:rsidRDefault="00057DFE"/>
    <w:p w14:paraId="4A7D693D" w14:textId="75601EF0" w:rsidR="00057DFE" w:rsidRPr="00515808" w:rsidRDefault="00057DFE">
      <w:pPr>
        <w:rPr>
          <w:b/>
          <w:u w:val="single"/>
        </w:rPr>
      </w:pPr>
      <w:r w:rsidRPr="00515808">
        <w:rPr>
          <w:b/>
          <w:u w:val="single"/>
        </w:rPr>
        <w:t xml:space="preserve">Tables </w:t>
      </w:r>
    </w:p>
    <w:p w14:paraId="62AEE5EA" w14:textId="3F35EBD3" w:rsidR="00515808" w:rsidRDefault="00793D0A" w:rsidP="00515808">
      <w:pPr>
        <w:pStyle w:val="ListParagraph"/>
        <w:numPr>
          <w:ilvl w:val="0"/>
          <w:numId w:val="4"/>
        </w:numPr>
        <w:rPr>
          <w:b/>
        </w:rPr>
      </w:pPr>
      <w:r w:rsidRPr="00515808">
        <w:rPr>
          <w:b/>
        </w:rPr>
        <w:t>Measures of central tendency for the two groups and for the total sample</w:t>
      </w:r>
      <w:r w:rsidR="0005186E">
        <w:rPr>
          <w:b/>
        </w:rPr>
        <w:tab/>
      </w:r>
      <w:r w:rsidR="0005186E">
        <w:rPr>
          <w:b/>
        </w:rPr>
        <w:tab/>
        <w:t>5</w:t>
      </w:r>
    </w:p>
    <w:p w14:paraId="5511CED5" w14:textId="67C9F67D" w:rsidR="00515808" w:rsidRPr="00515808" w:rsidRDefault="00515808" w:rsidP="00515808">
      <w:pPr>
        <w:pStyle w:val="ListParagraph"/>
        <w:numPr>
          <w:ilvl w:val="0"/>
          <w:numId w:val="4"/>
        </w:numPr>
        <w:rPr>
          <w:b/>
        </w:rPr>
      </w:pPr>
      <w:r w:rsidRPr="00B6708E">
        <w:rPr>
          <w:rFonts w:ascii="Calibri" w:hAnsi="Calibri" w:cs="Calibri"/>
          <w:b/>
          <w:color w:val="000000"/>
        </w:rPr>
        <w:t>t-Test: Two-Sample Assuming Unequal Variances</w:t>
      </w:r>
      <w:r w:rsidR="0005186E">
        <w:rPr>
          <w:rFonts w:ascii="Calibri" w:hAnsi="Calibri" w:cs="Calibri"/>
          <w:b/>
          <w:color w:val="000000"/>
        </w:rPr>
        <w:tab/>
      </w:r>
      <w:r w:rsidR="0005186E">
        <w:rPr>
          <w:rFonts w:ascii="Calibri" w:hAnsi="Calibri" w:cs="Calibri"/>
          <w:b/>
          <w:color w:val="000000"/>
        </w:rPr>
        <w:tab/>
      </w:r>
      <w:r w:rsidR="0005186E">
        <w:rPr>
          <w:rFonts w:ascii="Calibri" w:hAnsi="Calibri" w:cs="Calibri"/>
          <w:b/>
          <w:color w:val="000000"/>
        </w:rPr>
        <w:tab/>
      </w:r>
      <w:r w:rsidR="0005186E">
        <w:rPr>
          <w:rFonts w:ascii="Calibri" w:hAnsi="Calibri" w:cs="Calibri"/>
          <w:b/>
          <w:color w:val="000000"/>
        </w:rPr>
        <w:tab/>
      </w:r>
      <w:r w:rsidR="0005186E">
        <w:rPr>
          <w:rFonts w:ascii="Calibri" w:hAnsi="Calibri" w:cs="Calibri"/>
          <w:b/>
          <w:color w:val="000000"/>
        </w:rPr>
        <w:tab/>
        <w:t>6</w:t>
      </w:r>
    </w:p>
    <w:p w14:paraId="4CFF4983" w14:textId="51F43DCE" w:rsidR="00515808" w:rsidRPr="00515808" w:rsidRDefault="00515808" w:rsidP="00515808">
      <w:pPr>
        <w:pStyle w:val="ListParagraph"/>
        <w:numPr>
          <w:ilvl w:val="0"/>
          <w:numId w:val="4"/>
        </w:numPr>
        <w:rPr>
          <w:b/>
        </w:rPr>
      </w:pPr>
      <w:r w:rsidRPr="000E24CE">
        <w:rPr>
          <w:b/>
        </w:rPr>
        <w:t>Measure of Interquartile Range for the two groups</w:t>
      </w:r>
      <w:r w:rsidR="0005186E">
        <w:rPr>
          <w:b/>
        </w:rPr>
        <w:tab/>
      </w:r>
      <w:r w:rsidR="0005186E">
        <w:rPr>
          <w:b/>
        </w:rPr>
        <w:tab/>
      </w:r>
      <w:r w:rsidR="0005186E">
        <w:rPr>
          <w:b/>
        </w:rPr>
        <w:tab/>
      </w:r>
      <w:r w:rsidR="0005186E">
        <w:rPr>
          <w:b/>
        </w:rPr>
        <w:tab/>
      </w:r>
      <w:r w:rsidR="0005186E">
        <w:rPr>
          <w:b/>
        </w:rPr>
        <w:tab/>
        <w:t>7</w:t>
      </w:r>
    </w:p>
    <w:p w14:paraId="2F133A94" w14:textId="04CC7757" w:rsidR="00793D0A" w:rsidRDefault="00515808">
      <w:r w:rsidRPr="00515808">
        <w:rPr>
          <w:b/>
          <w:u w:val="single"/>
        </w:rPr>
        <w:t>Figures</w:t>
      </w:r>
    </w:p>
    <w:p w14:paraId="219DD1D5" w14:textId="3D255238" w:rsidR="00057DFE" w:rsidRDefault="00594C44" w:rsidP="00515808">
      <w:pPr>
        <w:pStyle w:val="ListParagraph"/>
        <w:numPr>
          <w:ilvl w:val="0"/>
          <w:numId w:val="5"/>
        </w:numPr>
        <w:rPr>
          <w:b/>
        </w:rPr>
      </w:pPr>
      <w:r w:rsidRPr="00515808">
        <w:rPr>
          <w:b/>
        </w:rPr>
        <w:t>Bell curve for Mature Students</w:t>
      </w:r>
      <w:r w:rsidR="0005186E">
        <w:rPr>
          <w:b/>
        </w:rPr>
        <w:tab/>
      </w:r>
      <w:r w:rsidR="0005186E">
        <w:rPr>
          <w:b/>
        </w:rPr>
        <w:tab/>
      </w:r>
      <w:r w:rsidR="0005186E">
        <w:rPr>
          <w:b/>
        </w:rPr>
        <w:tab/>
      </w:r>
      <w:r w:rsidR="0005186E">
        <w:rPr>
          <w:b/>
        </w:rPr>
        <w:tab/>
      </w:r>
      <w:r w:rsidR="0005186E">
        <w:rPr>
          <w:b/>
        </w:rPr>
        <w:tab/>
      </w:r>
      <w:r w:rsidR="0005186E">
        <w:rPr>
          <w:b/>
        </w:rPr>
        <w:tab/>
      </w:r>
      <w:r w:rsidR="0005186E">
        <w:rPr>
          <w:b/>
        </w:rPr>
        <w:tab/>
        <w:t>4</w:t>
      </w:r>
    </w:p>
    <w:p w14:paraId="0BBBFED3" w14:textId="6B269AE0" w:rsidR="00515808" w:rsidRDefault="00515808" w:rsidP="00515808">
      <w:pPr>
        <w:pStyle w:val="ListParagraph"/>
        <w:numPr>
          <w:ilvl w:val="0"/>
          <w:numId w:val="5"/>
        </w:numPr>
        <w:rPr>
          <w:b/>
        </w:rPr>
      </w:pPr>
      <w:r>
        <w:rPr>
          <w:b/>
        </w:rPr>
        <w:t>Bell curve for Young Students</w:t>
      </w:r>
      <w:r w:rsidR="0005186E">
        <w:rPr>
          <w:b/>
        </w:rPr>
        <w:tab/>
      </w:r>
      <w:r w:rsidR="0005186E">
        <w:rPr>
          <w:b/>
        </w:rPr>
        <w:tab/>
      </w:r>
      <w:r w:rsidR="0005186E">
        <w:rPr>
          <w:b/>
        </w:rPr>
        <w:tab/>
      </w:r>
      <w:r w:rsidR="0005186E">
        <w:rPr>
          <w:b/>
        </w:rPr>
        <w:tab/>
      </w:r>
      <w:r w:rsidR="0005186E">
        <w:rPr>
          <w:b/>
        </w:rPr>
        <w:tab/>
      </w:r>
      <w:r w:rsidR="0005186E">
        <w:rPr>
          <w:b/>
        </w:rPr>
        <w:tab/>
      </w:r>
      <w:r w:rsidR="0005186E">
        <w:rPr>
          <w:b/>
        </w:rPr>
        <w:tab/>
        <w:t>4</w:t>
      </w:r>
    </w:p>
    <w:p w14:paraId="254EAA16" w14:textId="65E461C1" w:rsidR="00515808" w:rsidRDefault="00515808" w:rsidP="00515808">
      <w:pPr>
        <w:pStyle w:val="ListParagraph"/>
        <w:numPr>
          <w:ilvl w:val="0"/>
          <w:numId w:val="5"/>
        </w:numPr>
        <w:rPr>
          <w:b/>
        </w:rPr>
      </w:pPr>
      <w:r>
        <w:rPr>
          <w:b/>
        </w:rPr>
        <w:t xml:space="preserve">a) </w:t>
      </w:r>
      <w:r w:rsidRPr="00B570D7">
        <w:rPr>
          <w:b/>
        </w:rPr>
        <w:t>Scatter plot showing one outlie</w:t>
      </w:r>
      <w:r>
        <w:rPr>
          <w:b/>
        </w:rPr>
        <w:t>r</w:t>
      </w:r>
      <w:r w:rsidRPr="00B570D7">
        <w:rPr>
          <w:b/>
        </w:rPr>
        <w:t xml:space="preserve"> in mature students</w:t>
      </w:r>
      <w:r w:rsidR="0005186E">
        <w:rPr>
          <w:b/>
        </w:rPr>
        <w:tab/>
      </w:r>
      <w:r w:rsidR="0005186E">
        <w:rPr>
          <w:b/>
        </w:rPr>
        <w:tab/>
      </w:r>
      <w:r w:rsidR="0005186E">
        <w:rPr>
          <w:b/>
        </w:rPr>
        <w:tab/>
      </w:r>
      <w:r w:rsidR="0005186E">
        <w:rPr>
          <w:b/>
        </w:rPr>
        <w:tab/>
        <w:t>7</w:t>
      </w:r>
    </w:p>
    <w:p w14:paraId="782938ED" w14:textId="5FB9574B" w:rsidR="00515808" w:rsidRPr="00515808" w:rsidRDefault="00515808" w:rsidP="00515808">
      <w:pPr>
        <w:pStyle w:val="ListParagraph"/>
        <w:rPr>
          <w:b/>
        </w:rPr>
      </w:pPr>
      <w:r>
        <w:rPr>
          <w:b/>
        </w:rPr>
        <w:t xml:space="preserve">b) </w:t>
      </w:r>
      <w:r w:rsidRPr="00EA7998">
        <w:rPr>
          <w:b/>
        </w:rPr>
        <w:t>Scatter plot showing no outliers in young students</w:t>
      </w:r>
      <w:r w:rsidR="0005186E">
        <w:rPr>
          <w:b/>
        </w:rPr>
        <w:tab/>
      </w:r>
      <w:r w:rsidR="0005186E">
        <w:rPr>
          <w:b/>
        </w:rPr>
        <w:tab/>
      </w:r>
      <w:r w:rsidR="0005186E">
        <w:rPr>
          <w:b/>
        </w:rPr>
        <w:tab/>
      </w:r>
      <w:r w:rsidR="0005186E">
        <w:rPr>
          <w:b/>
        </w:rPr>
        <w:tab/>
        <w:t>7</w:t>
      </w:r>
      <w:bookmarkStart w:id="0" w:name="_GoBack"/>
      <w:bookmarkEnd w:id="0"/>
    </w:p>
    <w:p w14:paraId="63ADB223" w14:textId="77777777" w:rsidR="00594C44" w:rsidRPr="00A0448F" w:rsidRDefault="00594C44"/>
    <w:p w14:paraId="0B7DCF8E" w14:textId="77777777" w:rsidR="00A0448F" w:rsidRDefault="00A0448F">
      <w:pPr>
        <w:rPr>
          <w:b/>
        </w:rPr>
      </w:pPr>
    </w:p>
    <w:p w14:paraId="5CE48F38" w14:textId="77777777" w:rsidR="00A0448F" w:rsidRDefault="00A0448F">
      <w:pPr>
        <w:rPr>
          <w:b/>
        </w:rPr>
      </w:pPr>
    </w:p>
    <w:p w14:paraId="7BEBF15B" w14:textId="77777777" w:rsidR="00A0448F" w:rsidRDefault="00A0448F">
      <w:pPr>
        <w:rPr>
          <w:b/>
        </w:rPr>
      </w:pPr>
    </w:p>
    <w:p w14:paraId="35038200" w14:textId="77777777" w:rsidR="00A0448F" w:rsidRDefault="00A0448F">
      <w:pPr>
        <w:rPr>
          <w:b/>
        </w:rPr>
      </w:pPr>
    </w:p>
    <w:p w14:paraId="0A955E9E" w14:textId="77777777" w:rsidR="00A0448F" w:rsidRDefault="00A0448F">
      <w:pPr>
        <w:rPr>
          <w:b/>
        </w:rPr>
      </w:pPr>
    </w:p>
    <w:p w14:paraId="1818111B" w14:textId="77777777" w:rsidR="00A0448F" w:rsidRDefault="00A0448F">
      <w:pPr>
        <w:rPr>
          <w:b/>
        </w:rPr>
      </w:pPr>
    </w:p>
    <w:p w14:paraId="4D97400F" w14:textId="77777777" w:rsidR="00A0448F" w:rsidRDefault="00A0448F">
      <w:pPr>
        <w:rPr>
          <w:b/>
        </w:rPr>
      </w:pPr>
    </w:p>
    <w:p w14:paraId="0311C025" w14:textId="77777777" w:rsidR="00A0448F" w:rsidRDefault="00A0448F">
      <w:pPr>
        <w:rPr>
          <w:b/>
        </w:rPr>
      </w:pPr>
    </w:p>
    <w:p w14:paraId="6A7D85FD" w14:textId="77777777" w:rsidR="00A0448F" w:rsidRDefault="00A0448F">
      <w:pPr>
        <w:rPr>
          <w:b/>
        </w:rPr>
      </w:pPr>
    </w:p>
    <w:p w14:paraId="2B364E10" w14:textId="77777777" w:rsidR="00A8198E" w:rsidRDefault="00A8198E">
      <w:pPr>
        <w:rPr>
          <w:b/>
        </w:rPr>
      </w:pPr>
    </w:p>
    <w:p w14:paraId="32F77BC7" w14:textId="7BB0082B" w:rsidR="00041C7B" w:rsidRPr="003100BD" w:rsidRDefault="00AD261D">
      <w:bookmarkStart w:id="1" w:name="_Hlk534663684"/>
      <w:r>
        <w:rPr>
          <w:b/>
        </w:rPr>
        <w:lastRenderedPageBreak/>
        <w:t xml:space="preserve">A. </w:t>
      </w:r>
      <w:r w:rsidR="00D22EAF" w:rsidRPr="00F54882">
        <w:rPr>
          <w:b/>
          <w:u w:val="single"/>
        </w:rPr>
        <w:t>Introduction</w:t>
      </w:r>
    </w:p>
    <w:p w14:paraId="0CE4815D" w14:textId="213E8788" w:rsidR="0007712B" w:rsidRDefault="00D22EAF">
      <w:r>
        <w:t>Statistics is a method o</w:t>
      </w:r>
      <w:r w:rsidR="005F6D8A">
        <w:t>f</w:t>
      </w:r>
      <w:r>
        <w:t xml:space="preserve"> collecting, analysing, interpreting and presenting data. </w:t>
      </w:r>
      <w:r w:rsidR="0007712B">
        <w:t>Statistical tests and analysis are carried out</w:t>
      </w:r>
      <w:r w:rsidR="00D04939">
        <w:t xml:space="preserve"> on</w:t>
      </w:r>
      <w:r w:rsidR="0007712B">
        <w:t xml:space="preserve"> datasets of different levels of complexity, with the aim of presenting data in a manner that is visually clear and easy to understand. U</w:t>
      </w:r>
      <w:r w:rsidR="00155FD6">
        <w:t xml:space="preserve">ncertainty </w:t>
      </w:r>
      <w:r w:rsidR="00221C18">
        <w:t xml:space="preserve">and variance are the two </w:t>
      </w:r>
      <w:r w:rsidR="009C725D">
        <w:t>key</w:t>
      </w:r>
      <w:r w:rsidR="00221C18">
        <w:t xml:space="preserve"> concepts in statistics</w:t>
      </w:r>
      <w:r w:rsidR="00A02C62">
        <w:t xml:space="preserve"> [1]</w:t>
      </w:r>
      <w:r w:rsidR="00221C18">
        <w:t xml:space="preserve">. Generally, uncertainty means unpredictability. In some situations, such as in exam </w:t>
      </w:r>
      <w:r w:rsidR="008D58EA">
        <w:t>results, the outcome may have been determined already, but may be still be unknown and unpredictable</w:t>
      </w:r>
      <w:r w:rsidR="00A71C4C">
        <w:t xml:space="preserve">. </w:t>
      </w:r>
      <w:r w:rsidR="0090251E">
        <w:t xml:space="preserve">The variance measures how far each number in the </w:t>
      </w:r>
      <w:r w:rsidR="00E262AC">
        <w:t>set is from the mean. Variance is a measurement of the spread between numbers in a data set.</w:t>
      </w:r>
    </w:p>
    <w:p w14:paraId="23CB1D72" w14:textId="69F7351D" w:rsidR="00D22EAF" w:rsidRDefault="00E262AC">
      <w:r>
        <w:t>P</w:t>
      </w:r>
      <w:r w:rsidR="00003DC6">
        <w:t xml:space="preserve">robability is </w:t>
      </w:r>
      <w:r>
        <w:t xml:space="preserve">a </w:t>
      </w:r>
      <w:r w:rsidR="00003DC6">
        <w:t>mathematical language</w:t>
      </w:r>
      <w:r w:rsidR="006B2872">
        <w:t xml:space="preserve">, which </w:t>
      </w:r>
      <w:r w:rsidR="00003DC6">
        <w:t>plays</w:t>
      </w:r>
      <w:r w:rsidR="006B2872">
        <w:t xml:space="preserve"> a</w:t>
      </w:r>
      <w:r w:rsidR="00003DC6">
        <w:t xml:space="preserve"> </w:t>
      </w:r>
      <w:r w:rsidR="00711B3B">
        <w:t>vital</w:t>
      </w:r>
      <w:r w:rsidR="00003DC6">
        <w:t xml:space="preserve"> role in statistics. </w:t>
      </w:r>
      <w:r w:rsidR="00135649">
        <w:t>Any measurement or data collection is subject to a source of variance</w:t>
      </w:r>
      <w:r w:rsidR="004C56AA">
        <w:t xml:space="preserve"> </w:t>
      </w:r>
      <w:r w:rsidR="004C56AA" w:rsidRPr="00F310FB">
        <w:t>[2]</w:t>
      </w:r>
      <w:r w:rsidR="00135649">
        <w:t>.</w:t>
      </w:r>
      <w:r w:rsidR="00A94637">
        <w:t xml:space="preserve"> </w:t>
      </w:r>
    </w:p>
    <w:p w14:paraId="6A2DC4AF" w14:textId="03D44139" w:rsidR="00556D5B" w:rsidRDefault="00D5031B">
      <w:r>
        <w:t xml:space="preserve">The </w:t>
      </w:r>
      <w:r w:rsidR="000124C3">
        <w:t>main aim of stati</w:t>
      </w:r>
      <w:r w:rsidR="000A2766">
        <w:t>stics is to convert raw data into something meaningful and readable</w:t>
      </w:r>
      <w:r w:rsidR="004C56AA">
        <w:t xml:space="preserve"> </w:t>
      </w:r>
      <w:r w:rsidR="004C56AA" w:rsidRPr="002015CD">
        <w:t>[3]</w:t>
      </w:r>
      <w:r w:rsidR="000A2766">
        <w:t>.</w:t>
      </w:r>
      <w:r w:rsidR="00A94637">
        <w:t xml:space="preserve"> </w:t>
      </w:r>
      <w:r w:rsidR="00410BFE">
        <w:t>For instance</w:t>
      </w:r>
      <w:r w:rsidR="00EC7ED1">
        <w:t xml:space="preserve">, based on </w:t>
      </w:r>
      <w:r w:rsidR="00410BFE">
        <w:t>an</w:t>
      </w:r>
      <w:r w:rsidR="00EC7ED1">
        <w:t xml:space="preserve"> individual</w:t>
      </w:r>
      <w:r w:rsidR="00A96792">
        <w:t>’s</w:t>
      </w:r>
      <w:r w:rsidR="00EC7ED1">
        <w:t xml:space="preserve"> </w:t>
      </w:r>
      <w:r w:rsidR="00A96792">
        <w:t xml:space="preserve">requirements and risk profile, </w:t>
      </w:r>
      <w:r w:rsidR="00EC7ED1">
        <w:t>statistical models</w:t>
      </w:r>
      <w:r w:rsidR="00A5000C">
        <w:t xml:space="preserve"> are used</w:t>
      </w:r>
      <w:r w:rsidR="00EC7ED1">
        <w:t xml:space="preserve"> to calculate </w:t>
      </w:r>
      <w:r w:rsidR="00A96792">
        <w:t xml:space="preserve">the </w:t>
      </w:r>
      <w:r w:rsidR="00EC7ED1">
        <w:t>risk of giving insurance</w:t>
      </w:r>
      <w:r w:rsidR="00A96792">
        <w:t xml:space="preserve"> to that </w:t>
      </w:r>
      <w:r w:rsidR="00F525CC">
        <w:t>person</w:t>
      </w:r>
      <w:r w:rsidR="00A5000C">
        <w:t xml:space="preserve"> by some business</w:t>
      </w:r>
      <w:r w:rsidR="00EC7ED1">
        <w:t>.</w:t>
      </w:r>
      <w:r w:rsidR="00F525CC">
        <w:t xml:space="preserve"> Statistical models have similar applications across various disciplines and fields. </w:t>
      </w:r>
    </w:p>
    <w:p w14:paraId="5F1928E0" w14:textId="76D124DE" w:rsidR="0005397B" w:rsidRDefault="000E5E52">
      <w:r>
        <w:t>Below is the detailed analysis of the given data</w:t>
      </w:r>
      <w:r w:rsidR="006E379B">
        <w:t xml:space="preserve"> in relation to the satisfaction levels of mature and young students</w:t>
      </w:r>
      <w:r>
        <w:t>. Th</w:t>
      </w:r>
      <w:r w:rsidR="006E379B">
        <w:t xml:space="preserve">e report </w:t>
      </w:r>
      <w:r>
        <w:t xml:space="preserve">includes </w:t>
      </w:r>
      <w:r w:rsidR="006E379B">
        <w:t xml:space="preserve">the development of hypotheses for testing, </w:t>
      </w:r>
      <w:r>
        <w:t xml:space="preserve">the measures of centre and distribution (mean, median, and mode), formulation of hypothesis, calculation of statistical significance, testing the hypothesis and thereby rejecting or accepting the null hypothesis. Where there are any problems with the available data or issues detected during data analysis, these </w:t>
      </w:r>
      <w:r w:rsidR="0058396F">
        <w:t>have been</w:t>
      </w:r>
      <w:r>
        <w:t xml:space="preserve"> highlighted. </w:t>
      </w:r>
    </w:p>
    <w:p w14:paraId="5A8216E1" w14:textId="77777777" w:rsidR="00F54882" w:rsidRDefault="00AD261D">
      <w:pPr>
        <w:rPr>
          <w:b/>
          <w:u w:val="single"/>
        </w:rPr>
      </w:pPr>
      <w:r w:rsidRPr="00F54882">
        <w:rPr>
          <w:b/>
        </w:rPr>
        <w:t xml:space="preserve">B. </w:t>
      </w:r>
      <w:r w:rsidR="0005397B" w:rsidRPr="0005397B">
        <w:rPr>
          <w:b/>
          <w:u w:val="single"/>
        </w:rPr>
        <w:t>Hypothes</w:t>
      </w:r>
      <w:r w:rsidR="006E379B">
        <w:rPr>
          <w:b/>
          <w:u w:val="single"/>
        </w:rPr>
        <w:t>e</w:t>
      </w:r>
      <w:r w:rsidR="0005397B" w:rsidRPr="0005397B">
        <w:rPr>
          <w:b/>
          <w:u w:val="single"/>
        </w:rPr>
        <w:t>s</w:t>
      </w:r>
      <w:r w:rsidR="00EC0855">
        <w:rPr>
          <w:b/>
          <w:u w:val="single"/>
        </w:rPr>
        <w:t>:</w:t>
      </w:r>
    </w:p>
    <w:p w14:paraId="4DAEF42E" w14:textId="59EBA841" w:rsidR="0005397B" w:rsidRDefault="00EC0855">
      <w:r>
        <w:t>This report will test two sets of alternate and null hypotheses</w:t>
      </w:r>
      <w:r w:rsidR="004C56AA">
        <w:t xml:space="preserve"> </w:t>
      </w:r>
      <w:r w:rsidR="004C56AA" w:rsidRPr="00F312FF">
        <w:t>[4]</w:t>
      </w:r>
      <w:r w:rsidR="004B1D80">
        <w:t>.</w:t>
      </w:r>
      <w:r w:rsidR="00A94637">
        <w:t xml:space="preserve"> </w:t>
      </w:r>
      <w:r w:rsidR="004B1D80">
        <w:t>Set 1 is presented below and Set 2 is used in section G to answer the task question on what other features of the data appear during the investigation of the dataset.</w:t>
      </w:r>
    </w:p>
    <w:p w14:paraId="71753414" w14:textId="763C62A7" w:rsidR="00EC0855" w:rsidRDefault="004B1D80">
      <w:r>
        <w:rPr>
          <w:b/>
        </w:rPr>
        <w:t xml:space="preserve">Hypothesis </w:t>
      </w:r>
      <w:r w:rsidR="00EC0855" w:rsidRPr="00EC0855">
        <w:rPr>
          <w:b/>
        </w:rPr>
        <w:t>Set 1</w:t>
      </w:r>
      <w:r w:rsidR="00EC0855">
        <w:rPr>
          <w:b/>
        </w:rPr>
        <w:t xml:space="preserve">: </w:t>
      </w:r>
      <w:r w:rsidR="00EC0855">
        <w:t>Initially</w:t>
      </w:r>
      <w:r w:rsidR="006E379B">
        <w:t>, this report will aim to</w:t>
      </w:r>
      <w:r w:rsidR="00EC0855">
        <w:t xml:space="preserve"> </w:t>
      </w:r>
      <w:r w:rsidR="00AF0BAF">
        <w:t xml:space="preserve">answer the given task </w:t>
      </w:r>
      <w:r w:rsidR="001C5D0F">
        <w:t xml:space="preserve">for Assignment 1: Data Analysis.  This is </w:t>
      </w:r>
      <w:r w:rsidR="00AF0BAF">
        <w:t xml:space="preserve">to identify if </w:t>
      </w:r>
      <w:r w:rsidR="00EC0855">
        <w:t xml:space="preserve">there is </w:t>
      </w:r>
      <w:r w:rsidR="00AF0BAF">
        <w:t xml:space="preserve">a significant </w:t>
      </w:r>
      <w:r w:rsidR="00EC0855">
        <w:t>difference between the two groups</w:t>
      </w:r>
      <w:r w:rsidR="006E379B">
        <w:t>, through a</w:t>
      </w:r>
      <w:r w:rsidR="00EC0855">
        <w:t xml:space="preserve"> two-tailed test.  </w:t>
      </w:r>
    </w:p>
    <w:p w14:paraId="67D184EF" w14:textId="2944DE3F" w:rsidR="00AF0BAF" w:rsidRDefault="00AF0BAF" w:rsidP="00AF0BAF">
      <w:r>
        <w:t>H</w:t>
      </w:r>
      <w:r>
        <w:rPr>
          <w:vertAlign w:val="subscript"/>
        </w:rPr>
        <w:t>a</w:t>
      </w:r>
      <w:r>
        <w:t>: There is a statistically significant difference between the university experience satisfaction of Mature students (MS) and the Young students (YS).</w:t>
      </w:r>
    </w:p>
    <w:p w14:paraId="0C42555D" w14:textId="443F765C" w:rsidR="00AF0BAF" w:rsidRDefault="00AF0BAF" w:rsidP="005D7521">
      <w:r>
        <w:tab/>
      </w:r>
      <w:r>
        <w:tab/>
        <w:t>H</w:t>
      </w:r>
      <w:r w:rsidR="00B44D6C">
        <w:rPr>
          <w:vertAlign w:val="subscript"/>
        </w:rPr>
        <w:t>a</w:t>
      </w:r>
      <w:r>
        <w:t xml:space="preserve">: </w:t>
      </w:r>
      <w:r>
        <w:rPr>
          <w:rFonts w:cstheme="minorHAnsi"/>
        </w:rPr>
        <w:t>µ</w:t>
      </w:r>
      <w:r>
        <w:rPr>
          <w:rFonts w:cstheme="minorHAnsi"/>
          <w:vertAlign w:val="subscript"/>
        </w:rPr>
        <w:t>MS</w:t>
      </w:r>
      <w:r>
        <w:rPr>
          <w:rFonts w:cstheme="minorHAnsi"/>
        </w:rPr>
        <w:t xml:space="preserve"> ≠ µ</w:t>
      </w:r>
      <w:r>
        <w:rPr>
          <w:rFonts w:cstheme="minorHAnsi"/>
          <w:vertAlign w:val="subscript"/>
        </w:rPr>
        <w:t>YS</w:t>
      </w:r>
      <w:r>
        <w:t xml:space="preserve"> </w:t>
      </w:r>
    </w:p>
    <w:p w14:paraId="07C5EA69" w14:textId="4EBE7ECF" w:rsidR="004E2FF4" w:rsidRDefault="004E2FF4" w:rsidP="005D7521">
      <w:r>
        <w:t>Null hypothesis, which is opposite to the alternate hypothesis is:</w:t>
      </w:r>
    </w:p>
    <w:p w14:paraId="36A4586F" w14:textId="088C41D3" w:rsidR="005D7521" w:rsidRDefault="005D7521" w:rsidP="005D7521">
      <w:r>
        <w:t>H</w:t>
      </w:r>
      <w:r w:rsidR="00AF0BAF">
        <w:rPr>
          <w:vertAlign w:val="subscript"/>
        </w:rPr>
        <w:t>0</w:t>
      </w:r>
      <w:r>
        <w:t xml:space="preserve">: </w:t>
      </w:r>
      <w:r w:rsidR="00AF0BAF">
        <w:t xml:space="preserve">There is no statistically significant difference in the university experience satisfaction of </w:t>
      </w:r>
      <w:r>
        <w:t>Mature students (MS)</w:t>
      </w:r>
      <w:r w:rsidR="00F36FD2">
        <w:t xml:space="preserve"> and Young students (YS)</w:t>
      </w:r>
      <w:r w:rsidR="00AF0BAF">
        <w:t>.</w:t>
      </w:r>
    </w:p>
    <w:p w14:paraId="59E17549" w14:textId="5F1ED915" w:rsidR="005D7521" w:rsidRPr="00DE20CF" w:rsidRDefault="005D7521" w:rsidP="005D7521">
      <w:pPr>
        <w:rPr>
          <w:vertAlign w:val="subscript"/>
        </w:rPr>
      </w:pPr>
      <w:r>
        <w:tab/>
      </w:r>
      <w:r>
        <w:tab/>
        <w:t>H</w:t>
      </w:r>
      <w:r w:rsidR="00B44D6C">
        <w:rPr>
          <w:vertAlign w:val="subscript"/>
        </w:rPr>
        <w:t>o</w:t>
      </w:r>
      <w:r>
        <w:t xml:space="preserve">: </w:t>
      </w:r>
      <w:r>
        <w:rPr>
          <w:rFonts w:cstheme="minorHAnsi"/>
        </w:rPr>
        <w:t>µ</w:t>
      </w:r>
      <w:r>
        <w:rPr>
          <w:rFonts w:cstheme="minorHAnsi"/>
          <w:vertAlign w:val="subscript"/>
        </w:rPr>
        <w:t>MS</w:t>
      </w:r>
      <w:r>
        <w:rPr>
          <w:rFonts w:cstheme="minorHAnsi"/>
        </w:rPr>
        <w:t xml:space="preserve"> = µ</w:t>
      </w:r>
      <w:r>
        <w:rPr>
          <w:rFonts w:cstheme="minorHAnsi"/>
          <w:vertAlign w:val="subscript"/>
        </w:rPr>
        <w:t>YS</w:t>
      </w:r>
    </w:p>
    <w:p w14:paraId="6A0C121B" w14:textId="73DD57FB" w:rsidR="00EA1396" w:rsidRDefault="00AD261D">
      <w:pPr>
        <w:rPr>
          <w:b/>
        </w:rPr>
      </w:pPr>
      <w:r>
        <w:rPr>
          <w:b/>
        </w:rPr>
        <w:t>C.</w:t>
      </w:r>
      <w:r w:rsidR="00EA1396">
        <w:rPr>
          <w:b/>
        </w:rPr>
        <w:t xml:space="preserve"> </w:t>
      </w:r>
      <w:r w:rsidR="00EA1396" w:rsidRPr="00D61DAE">
        <w:rPr>
          <w:b/>
          <w:u w:val="single"/>
        </w:rPr>
        <w:t>Data visualisation</w:t>
      </w:r>
      <w:r w:rsidR="00197453" w:rsidRPr="00D61DAE">
        <w:rPr>
          <w:b/>
          <w:u w:val="single"/>
        </w:rPr>
        <w:t xml:space="preserve"> – Bell Curve</w:t>
      </w:r>
    </w:p>
    <w:p w14:paraId="6FD01BD7" w14:textId="47E24E45" w:rsidR="00EE221F" w:rsidRDefault="00EE221F">
      <w:r>
        <w:t xml:space="preserve">Bell curves </w:t>
      </w:r>
      <w:r w:rsidR="00A94637" w:rsidRPr="00B40931">
        <w:t>[</w:t>
      </w:r>
      <w:r w:rsidR="00B40931">
        <w:t>2</w:t>
      </w:r>
      <w:r w:rsidR="00A94637" w:rsidRPr="00B40931">
        <w:t>]</w:t>
      </w:r>
      <w:r w:rsidR="00A94637">
        <w:t xml:space="preserve"> </w:t>
      </w:r>
      <w:r>
        <w:t xml:space="preserve">for mature students (Figure 1) and younger students (Figure 2) were prepared as below. Both show that the data is normally distributed because </w:t>
      </w:r>
      <w:proofErr w:type="gramStart"/>
      <w:r>
        <w:t>the majority of</w:t>
      </w:r>
      <w:proofErr w:type="gramEnd"/>
      <w:r>
        <w:t xml:space="preserve"> the data 68% fall </w:t>
      </w:r>
      <w:r w:rsidR="00146068">
        <w:t>within</w:t>
      </w:r>
      <w:r>
        <w:t xml:space="preserve"> one standard deviation on both sides. For mature students 68% of scores fall </w:t>
      </w:r>
      <w:r w:rsidR="00146068">
        <w:t>within</w:t>
      </w:r>
      <w:r>
        <w:t xml:space="preserve"> 35.82 to 53.18 which is Mean </w:t>
      </w:r>
      <w:r>
        <w:rPr>
          <w:rFonts w:cstheme="minorHAnsi"/>
        </w:rPr>
        <w:t xml:space="preserve">± </w:t>
      </w:r>
      <w:r>
        <w:t>1*SD</w:t>
      </w:r>
      <w:r w:rsidR="00146068">
        <w:t xml:space="preserve">. </w:t>
      </w:r>
    </w:p>
    <w:p w14:paraId="686624F8" w14:textId="41EB6FD6" w:rsidR="00C44184" w:rsidRDefault="00C44184">
      <w:pPr>
        <w:rPr>
          <w:b/>
        </w:rPr>
      </w:pPr>
      <w:r>
        <w:rPr>
          <w:b/>
        </w:rPr>
        <w:lastRenderedPageBreak/>
        <w:t xml:space="preserve">Figure 1: </w:t>
      </w:r>
      <w:r w:rsidR="00913595">
        <w:rPr>
          <w:b/>
        </w:rPr>
        <w:t>Bell curve for Mature Students</w:t>
      </w:r>
    </w:p>
    <w:p w14:paraId="31255AD3" w14:textId="504A278C" w:rsidR="00913595" w:rsidRDefault="001C73A1" w:rsidP="005066E9">
      <w:pPr>
        <w:rPr>
          <w:b/>
        </w:rPr>
      </w:pPr>
      <w:r>
        <w:rPr>
          <w:noProof/>
          <w:lang w:eastAsia="en-GB"/>
        </w:rPr>
        <w:drawing>
          <wp:inline distT="0" distB="0" distL="0" distR="0" wp14:anchorId="796CD4F3" wp14:editId="6B9E8CD2">
            <wp:extent cx="5731510" cy="3566795"/>
            <wp:effectExtent l="0" t="0" r="2540" b="14605"/>
            <wp:docPr id="1" name="Chart 1">
              <a:extLst xmlns:a="http://schemas.openxmlformats.org/drawingml/2006/main">
                <a:ext uri="{FF2B5EF4-FFF2-40B4-BE49-F238E27FC236}">
                  <a16:creationId xmlns:a16="http://schemas.microsoft.com/office/drawing/2014/main" id="{9439650C-3FB4-4034-A360-68B3B37EDC92}"/>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8"/>
              </a:graphicData>
            </a:graphic>
          </wp:inline>
        </w:drawing>
      </w:r>
      <w:r w:rsidR="00AD261D">
        <w:rPr>
          <w:b/>
        </w:rPr>
        <w:t xml:space="preserve"> </w:t>
      </w:r>
    </w:p>
    <w:p w14:paraId="6064336D" w14:textId="44CD5888" w:rsidR="00913595" w:rsidRDefault="00913595">
      <w:pPr>
        <w:rPr>
          <w:b/>
        </w:rPr>
      </w:pPr>
      <w:r>
        <w:rPr>
          <w:b/>
        </w:rPr>
        <w:t>Figure 2: Bell curve for Young Students</w:t>
      </w:r>
    </w:p>
    <w:p w14:paraId="15C96C5C" w14:textId="1584F1D7" w:rsidR="00857857" w:rsidRDefault="005066E9">
      <w:r>
        <w:rPr>
          <w:noProof/>
          <w:lang w:eastAsia="en-GB"/>
        </w:rPr>
        <mc:AlternateContent>
          <mc:Choice Requires="wps">
            <w:drawing>
              <wp:anchor distT="0" distB="0" distL="114300" distR="114300" simplePos="0" relativeHeight="251660288" behindDoc="0" locked="0" layoutInCell="1" allowOverlap="1" wp14:anchorId="14F83A57" wp14:editId="54E959EA">
                <wp:simplePos x="0" y="0"/>
                <wp:positionH relativeFrom="column">
                  <wp:posOffset>2103120</wp:posOffset>
                </wp:positionH>
                <wp:positionV relativeFrom="paragraph">
                  <wp:posOffset>1356359</wp:posOffset>
                </wp:positionV>
                <wp:extent cx="0" cy="1021715"/>
                <wp:effectExtent l="0" t="0" r="38100" b="26035"/>
                <wp:wrapNone/>
                <wp:docPr id="8" name="Straight Connector 7">
                  <a:extLst xmlns:a="http://schemas.openxmlformats.org/drawingml/2006/main">
                    <a:ext uri="{FF2B5EF4-FFF2-40B4-BE49-F238E27FC236}">
                      <a16:creationId xmlns:a16="http://schemas.microsoft.com/office/drawing/2014/main" id="{053DCD60-7093-4B12-8808-9F73F9B2AAA0}"/>
                    </a:ext>
                  </a:extLst>
                </wp:docPr>
                <wp:cNvGraphicFramePr/>
                <a:graphic xmlns:a="http://schemas.openxmlformats.org/drawingml/2006/main">
                  <a:graphicData uri="http://schemas.microsoft.com/office/word/2010/wordprocessingShape">
                    <wps:wsp>
                      <wps:cNvCnPr/>
                      <wps:spPr>
                        <a:xfrm flipV="1">
                          <a:off x="0" y="0"/>
                          <a:ext cx="0" cy="1021715"/>
                        </a:xfrm>
                        <a:prstGeom prst="line">
                          <a:avLst/>
                        </a:prstGeom>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7D769190" id="Straight Connector 7" o:spid="_x0000_s1026" style="position:absolute;flip:y;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165.6pt,106.8pt" to="165.6pt,187.2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" strokecolor="black [3200]" strokeweight=".5pt">
                <v:stroke joinstyle="miter"/>
              </v:line>
            </w:pict>
          </mc:Fallback>
        </mc:AlternateContent>
      </w:r>
      <w:r>
        <w:rPr>
          <w:noProof/>
          <w:lang w:eastAsia="en-GB"/>
        </w:rPr>
        <mc:AlternateContent>
          <mc:Choice Requires="wps">
            <w:drawing>
              <wp:anchor distT="0" distB="0" distL="114300" distR="114300" simplePos="0" relativeHeight="251661312" behindDoc="0" locked="0" layoutInCell="1" allowOverlap="1" wp14:anchorId="43D07A14" wp14:editId="172B3F40">
                <wp:simplePos x="0" y="0"/>
                <wp:positionH relativeFrom="column">
                  <wp:posOffset>2948940</wp:posOffset>
                </wp:positionH>
                <wp:positionV relativeFrom="paragraph">
                  <wp:posOffset>632460</wp:posOffset>
                </wp:positionV>
                <wp:extent cx="22860" cy="1771015"/>
                <wp:effectExtent l="0" t="0" r="34290" b="19685"/>
                <wp:wrapNone/>
                <wp:docPr id="10" name="Straight Connector 9">
                  <a:extLst xmlns:a="http://schemas.openxmlformats.org/drawingml/2006/main">
                    <a:ext uri="{FF2B5EF4-FFF2-40B4-BE49-F238E27FC236}">
                      <a16:creationId xmlns:a16="http://schemas.microsoft.com/office/drawing/2014/main" id="{F75D2F90-FFBF-4D51-8DE5-54F9CEE3F082}"/>
                    </a:ext>
                  </a:extLst>
                </wp:docPr>
                <wp:cNvGraphicFramePr/>
                <a:graphic xmlns:a="http://schemas.openxmlformats.org/drawingml/2006/main">
                  <a:graphicData uri="http://schemas.microsoft.com/office/word/2010/wordprocessingShape">
                    <wps:wsp>
                      <wps:cNvCnPr/>
                      <wps:spPr>
                        <a:xfrm flipH="1" flipV="1">
                          <a:off x="0" y="0"/>
                          <a:ext cx="22860" cy="1771015"/>
                        </a:xfrm>
                        <a:prstGeom prst="line">
                          <a:avLst/>
                        </a:prstGeom>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6827834E" id="Straight Connector 9" o:spid="_x0000_s1026" style="position:absolute;flip:x y;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232.2pt,49.8pt" to="234pt,189.2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" strokecolor="black [3200]" strokeweight=".5pt">
                <v:stroke joinstyle="miter"/>
              </v:line>
            </w:pict>
          </mc:Fallback>
        </mc:AlternateContent>
      </w:r>
      <w:r>
        <w:rPr>
          <w:noProof/>
          <w:lang w:eastAsia="en-GB"/>
        </w:rPr>
        <mc:AlternateContent>
          <mc:Choice Requires="wps">
            <w:drawing>
              <wp:anchor distT="0" distB="0" distL="114300" distR="114300" simplePos="0" relativeHeight="251659264" behindDoc="0" locked="0" layoutInCell="1" allowOverlap="1" wp14:anchorId="38970104" wp14:editId="53D60778">
                <wp:simplePos x="0" y="0"/>
                <wp:positionH relativeFrom="column">
                  <wp:posOffset>3802380</wp:posOffset>
                </wp:positionH>
                <wp:positionV relativeFrom="paragraph">
                  <wp:posOffset>1325880</wp:posOffset>
                </wp:positionV>
                <wp:extent cx="33655" cy="1059815"/>
                <wp:effectExtent l="0" t="0" r="23495" b="26035"/>
                <wp:wrapNone/>
                <wp:docPr id="3" name="Straight Connector 2">
                  <a:extLst xmlns:a="http://schemas.openxmlformats.org/drawingml/2006/main">
                    <a:ext uri="{FF2B5EF4-FFF2-40B4-BE49-F238E27FC236}">
                      <a16:creationId xmlns:a16="http://schemas.microsoft.com/office/drawing/2014/main" id="{F035D92D-F8D1-431D-BA95-3F0733557910}"/>
                    </a:ext>
                  </a:extLst>
                </wp:docPr>
                <wp:cNvGraphicFramePr/>
                <a:graphic xmlns:a="http://schemas.openxmlformats.org/drawingml/2006/main">
                  <a:graphicData uri="http://schemas.microsoft.com/office/word/2010/wordprocessingShape">
                    <wps:wsp>
                      <wps:cNvCnPr/>
                      <wps:spPr>
                        <a:xfrm flipH="1" flipV="1">
                          <a:off x="0" y="0"/>
                          <a:ext cx="33655" cy="1059815"/>
                        </a:xfrm>
                        <a:prstGeom prst="line">
                          <a:avLst/>
                        </a:prstGeom>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4D902583" id="Straight Connector 2" o:spid="_x0000_s1026" style="position:absolute;flip:x y;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299.4pt,104.4pt" to="302.05pt,187.8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" strokecolor="black [3200]" strokeweight=".5pt">
                <v:stroke joinstyle="miter"/>
              </v:line>
            </w:pict>
          </mc:Fallback>
        </mc:AlternateContent>
      </w:r>
      <w:r w:rsidR="00857857">
        <w:rPr>
          <w:noProof/>
          <w:lang w:eastAsia="en-GB"/>
        </w:rPr>
        <w:drawing>
          <wp:inline distT="0" distB="0" distL="0" distR="0" wp14:anchorId="4A7795B0" wp14:editId="65F6FDC6">
            <wp:extent cx="5654040" cy="2827020"/>
            <wp:effectExtent l="0" t="0" r="3810" b="11430"/>
            <wp:docPr id="7" name="Chart 7">
              <a:extLst xmlns:a="http://schemas.openxmlformats.org/drawingml/2006/main">
                <a:ext uri="{FF2B5EF4-FFF2-40B4-BE49-F238E27FC236}">
                  <a16:creationId xmlns:a16="http://schemas.microsoft.com/office/drawing/2014/main" id="{69FC42C7-0047-45E5-9419-CEEE445A2CAF}"/>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9"/>
              </a:graphicData>
            </a:graphic>
          </wp:inline>
        </w:drawing>
      </w:r>
    </w:p>
    <w:p w14:paraId="165E2AA8" w14:textId="62010621" w:rsidR="00146068" w:rsidRDefault="00146068">
      <w:r>
        <w:t xml:space="preserve">For mature students 68% of scores fall within </w:t>
      </w:r>
      <w:r w:rsidR="00D315CA">
        <w:t xml:space="preserve">19.56 to 36.64 </w:t>
      </w:r>
      <w:r>
        <w:t xml:space="preserve">which is Mean </w:t>
      </w:r>
      <w:r>
        <w:rPr>
          <w:rFonts w:cstheme="minorHAnsi"/>
        </w:rPr>
        <w:t xml:space="preserve">± </w:t>
      </w:r>
      <w:r>
        <w:t>1*SD.</w:t>
      </w:r>
    </w:p>
    <w:p w14:paraId="46CF8B67" w14:textId="6E578063" w:rsidR="00690F43" w:rsidRDefault="00EA1396">
      <w:r>
        <w:rPr>
          <w:b/>
        </w:rPr>
        <w:t xml:space="preserve">D. </w:t>
      </w:r>
      <w:r w:rsidR="00690F43" w:rsidRPr="00D61DAE">
        <w:rPr>
          <w:b/>
          <w:u w:val="single"/>
        </w:rPr>
        <w:t>Measure</w:t>
      </w:r>
      <w:r w:rsidR="005D7521" w:rsidRPr="00D61DAE">
        <w:rPr>
          <w:b/>
          <w:u w:val="single"/>
        </w:rPr>
        <w:t>s</w:t>
      </w:r>
      <w:r w:rsidR="00690F43" w:rsidRPr="00D61DAE">
        <w:rPr>
          <w:b/>
          <w:u w:val="single"/>
        </w:rPr>
        <w:t xml:space="preserve"> of central tendency</w:t>
      </w:r>
    </w:p>
    <w:p w14:paraId="75C07B07" w14:textId="7D098EA3" w:rsidR="00B93AEC" w:rsidRDefault="00690F43">
      <w:r>
        <w:t>Mean</w:t>
      </w:r>
      <w:r w:rsidR="0094184E">
        <w:t xml:space="preserve">, median and mode </w:t>
      </w:r>
      <w:r w:rsidR="004869E3">
        <w:t>are</w:t>
      </w:r>
      <w:r>
        <w:t xml:space="preserve"> </w:t>
      </w:r>
      <w:r w:rsidR="00A17B79">
        <w:t>the most commonly used measure</w:t>
      </w:r>
      <w:r w:rsidR="00205A61">
        <w:t>s</w:t>
      </w:r>
      <w:r w:rsidR="00A17B79">
        <w:t xml:space="preserve"> </w:t>
      </w:r>
      <w:r w:rsidR="00646022">
        <w:t>of</w:t>
      </w:r>
      <w:r w:rsidR="00A17B79">
        <w:t xml:space="preserve"> Centre Tendency</w:t>
      </w:r>
      <w:r w:rsidR="00646022">
        <w:t xml:space="preserve"> and are considered basic descriptive statistics that are a good starting point to understand the data</w:t>
      </w:r>
      <w:r w:rsidR="00A17B79">
        <w:t xml:space="preserve">. </w:t>
      </w:r>
      <w:r w:rsidR="002D0AC8">
        <w:t>Calculation</w:t>
      </w:r>
      <w:r w:rsidR="00646022">
        <w:t>s</w:t>
      </w:r>
      <w:r w:rsidR="002D0AC8">
        <w:t xml:space="preserve"> w</w:t>
      </w:r>
      <w:r w:rsidR="00646022">
        <w:t>ere</w:t>
      </w:r>
      <w:r w:rsidR="002D0AC8">
        <w:t xml:space="preserve"> done in </w:t>
      </w:r>
      <w:r w:rsidR="00646022">
        <w:t>MS E</w:t>
      </w:r>
      <w:r w:rsidR="002D0AC8">
        <w:t>xcel</w:t>
      </w:r>
      <w:r w:rsidR="004869E3">
        <w:t xml:space="preserve"> for these measure</w:t>
      </w:r>
      <w:r w:rsidR="004F1D05">
        <w:t>s</w:t>
      </w:r>
      <w:r w:rsidR="004869E3">
        <w:t xml:space="preserve"> of central tendency</w:t>
      </w:r>
      <w:r w:rsidR="00646022">
        <w:t>, alongside some additional measures as below.</w:t>
      </w:r>
    </w:p>
    <w:p w14:paraId="18C5122F" w14:textId="77777777" w:rsidR="008B094F" w:rsidRDefault="008B094F">
      <w:pPr>
        <w:rPr>
          <w:b/>
        </w:rPr>
      </w:pPr>
    </w:p>
    <w:p w14:paraId="7F711EBC" w14:textId="4FE17EAA" w:rsidR="004869E3" w:rsidRPr="00AD261D" w:rsidRDefault="004869E3">
      <w:pPr>
        <w:rPr>
          <w:b/>
        </w:rPr>
      </w:pPr>
      <w:r w:rsidRPr="00AD261D">
        <w:rPr>
          <w:b/>
        </w:rPr>
        <w:lastRenderedPageBreak/>
        <w:t>Table 1: Measures of central tendency for the two groups and for the total sample</w:t>
      </w:r>
    </w:p>
    <w:tbl>
      <w:tblPr>
        <w:tblStyle w:val="TableGrid"/>
        <w:tblW w:w="0" w:type="auto"/>
        <w:tblLook w:val="04A0" w:firstRow="1" w:lastRow="0" w:firstColumn="1" w:lastColumn="0" w:noHBand="0" w:noVBand="1"/>
      </w:tblPr>
      <w:tblGrid>
        <w:gridCol w:w="2254"/>
        <w:gridCol w:w="2254"/>
        <w:gridCol w:w="2254"/>
        <w:gridCol w:w="2254"/>
      </w:tblGrid>
      <w:tr w:rsidR="0055001F" w14:paraId="4C5AC60E" w14:textId="77777777" w:rsidTr="0077427B">
        <w:tc>
          <w:tcPr>
            <w:tcW w:w="2254" w:type="dxa"/>
          </w:tcPr>
          <w:p w14:paraId="7DC0785A" w14:textId="77777777" w:rsidR="0055001F" w:rsidRPr="008F1812" w:rsidRDefault="0055001F" w:rsidP="0077427B">
            <w:pPr>
              <w:rPr>
                <w:b/>
              </w:rPr>
            </w:pPr>
            <w:r w:rsidRPr="008F1812">
              <w:rPr>
                <w:b/>
              </w:rPr>
              <w:t>Measures</w:t>
            </w:r>
          </w:p>
        </w:tc>
        <w:tc>
          <w:tcPr>
            <w:tcW w:w="2254" w:type="dxa"/>
          </w:tcPr>
          <w:p w14:paraId="5BD60C0E" w14:textId="77777777" w:rsidR="0055001F" w:rsidRPr="008F1812" w:rsidRDefault="0055001F" w:rsidP="0077427B">
            <w:pPr>
              <w:rPr>
                <w:b/>
              </w:rPr>
            </w:pPr>
            <w:r>
              <w:rPr>
                <w:b/>
              </w:rPr>
              <w:t>Mature Students</w:t>
            </w:r>
          </w:p>
        </w:tc>
        <w:tc>
          <w:tcPr>
            <w:tcW w:w="2254" w:type="dxa"/>
          </w:tcPr>
          <w:p w14:paraId="3D995C90" w14:textId="77777777" w:rsidR="0055001F" w:rsidRPr="008F1812" w:rsidRDefault="0055001F" w:rsidP="0077427B">
            <w:pPr>
              <w:rPr>
                <w:b/>
              </w:rPr>
            </w:pPr>
            <w:r>
              <w:rPr>
                <w:b/>
              </w:rPr>
              <w:t>Young Students</w:t>
            </w:r>
          </w:p>
        </w:tc>
        <w:tc>
          <w:tcPr>
            <w:tcW w:w="2254" w:type="dxa"/>
          </w:tcPr>
          <w:p w14:paraId="3F80D43C" w14:textId="77777777" w:rsidR="0055001F" w:rsidRPr="008F1812" w:rsidRDefault="0055001F" w:rsidP="0077427B">
            <w:pPr>
              <w:rPr>
                <w:b/>
              </w:rPr>
            </w:pPr>
            <w:r>
              <w:rPr>
                <w:b/>
              </w:rPr>
              <w:t>Total Sample</w:t>
            </w:r>
          </w:p>
        </w:tc>
      </w:tr>
      <w:tr w:rsidR="0055001F" w14:paraId="7F83B9D9" w14:textId="77777777" w:rsidTr="0077427B">
        <w:tc>
          <w:tcPr>
            <w:tcW w:w="2254" w:type="dxa"/>
            <w:vAlign w:val="bottom"/>
          </w:tcPr>
          <w:p w14:paraId="516CF322" w14:textId="77777777" w:rsidR="0055001F" w:rsidRDefault="0055001F" w:rsidP="0077427B">
            <w:r w:rsidRPr="00543543">
              <w:rPr>
                <w:rFonts w:ascii="Calibri" w:eastAsia="Times New Roman" w:hAnsi="Calibri" w:cs="Calibri"/>
                <w:color w:val="000000"/>
                <w:lang w:eastAsia="en-GB"/>
              </w:rPr>
              <w:t>Mean</w:t>
            </w:r>
          </w:p>
        </w:tc>
        <w:tc>
          <w:tcPr>
            <w:tcW w:w="2254" w:type="dxa"/>
            <w:vAlign w:val="bottom"/>
          </w:tcPr>
          <w:p w14:paraId="5BB83658" w14:textId="77777777" w:rsidR="0055001F" w:rsidRDefault="0055001F" w:rsidP="0077427B">
            <w:r w:rsidRPr="00543543">
              <w:rPr>
                <w:rFonts w:ascii="Calibri" w:eastAsia="Times New Roman" w:hAnsi="Calibri" w:cs="Calibri"/>
                <w:color w:val="000000"/>
                <w:lang w:eastAsia="en-GB"/>
              </w:rPr>
              <w:t>44.5</w:t>
            </w:r>
          </w:p>
        </w:tc>
        <w:tc>
          <w:tcPr>
            <w:tcW w:w="2254" w:type="dxa"/>
            <w:vAlign w:val="bottom"/>
          </w:tcPr>
          <w:p w14:paraId="4509A363" w14:textId="77777777" w:rsidR="0055001F" w:rsidRDefault="0055001F" w:rsidP="0077427B">
            <w:r w:rsidRPr="00543543">
              <w:rPr>
                <w:rFonts w:ascii="Calibri" w:eastAsia="Times New Roman" w:hAnsi="Calibri" w:cs="Calibri"/>
                <w:color w:val="000000"/>
                <w:lang w:eastAsia="en-GB"/>
              </w:rPr>
              <w:t>28.1</w:t>
            </w:r>
          </w:p>
        </w:tc>
        <w:tc>
          <w:tcPr>
            <w:tcW w:w="2254" w:type="dxa"/>
          </w:tcPr>
          <w:p w14:paraId="1DCDE981" w14:textId="77777777" w:rsidR="0055001F" w:rsidRPr="008F1812" w:rsidRDefault="0055001F" w:rsidP="0077427B">
            <w:pPr>
              <w:rPr>
                <w:rFonts w:ascii="Calibri" w:hAnsi="Calibri" w:cs="Calibri"/>
                <w:color w:val="000000"/>
              </w:rPr>
            </w:pPr>
            <w:r>
              <w:rPr>
                <w:rFonts w:ascii="Calibri" w:hAnsi="Calibri" w:cs="Calibri"/>
                <w:color w:val="000000"/>
              </w:rPr>
              <w:t>36.3</w:t>
            </w:r>
          </w:p>
        </w:tc>
      </w:tr>
      <w:tr w:rsidR="0055001F" w14:paraId="31F9B205" w14:textId="77777777" w:rsidTr="0077427B">
        <w:tc>
          <w:tcPr>
            <w:tcW w:w="2254" w:type="dxa"/>
            <w:vAlign w:val="bottom"/>
          </w:tcPr>
          <w:p w14:paraId="7B7DBEAD" w14:textId="77777777" w:rsidR="0055001F" w:rsidRDefault="0055001F" w:rsidP="0077427B">
            <w:r w:rsidRPr="00543543">
              <w:rPr>
                <w:rFonts w:ascii="Calibri" w:eastAsia="Times New Roman" w:hAnsi="Calibri" w:cs="Calibri"/>
                <w:color w:val="000000"/>
                <w:lang w:eastAsia="en-GB"/>
              </w:rPr>
              <w:t>Median</w:t>
            </w:r>
          </w:p>
        </w:tc>
        <w:tc>
          <w:tcPr>
            <w:tcW w:w="2254" w:type="dxa"/>
            <w:vAlign w:val="bottom"/>
          </w:tcPr>
          <w:p w14:paraId="2208F500" w14:textId="77777777" w:rsidR="0055001F" w:rsidRDefault="0055001F" w:rsidP="0077427B">
            <w:r w:rsidRPr="00543543">
              <w:rPr>
                <w:rFonts w:ascii="Calibri" w:eastAsia="Times New Roman" w:hAnsi="Calibri" w:cs="Calibri"/>
                <w:color w:val="000000"/>
                <w:lang w:eastAsia="en-GB"/>
              </w:rPr>
              <w:t>46</w:t>
            </w:r>
          </w:p>
        </w:tc>
        <w:tc>
          <w:tcPr>
            <w:tcW w:w="2254" w:type="dxa"/>
            <w:vAlign w:val="bottom"/>
          </w:tcPr>
          <w:p w14:paraId="4CABC81B" w14:textId="77777777" w:rsidR="0055001F" w:rsidRDefault="0055001F" w:rsidP="0077427B">
            <w:r w:rsidRPr="00543543">
              <w:rPr>
                <w:rFonts w:ascii="Calibri" w:eastAsia="Times New Roman" w:hAnsi="Calibri" w:cs="Calibri"/>
                <w:color w:val="000000"/>
                <w:lang w:eastAsia="en-GB"/>
              </w:rPr>
              <w:t>26.5</w:t>
            </w:r>
          </w:p>
        </w:tc>
        <w:tc>
          <w:tcPr>
            <w:tcW w:w="2254" w:type="dxa"/>
          </w:tcPr>
          <w:p w14:paraId="75289C1B" w14:textId="77777777" w:rsidR="0055001F" w:rsidRDefault="0055001F" w:rsidP="0077427B">
            <w:r>
              <w:t>37.5</w:t>
            </w:r>
          </w:p>
        </w:tc>
      </w:tr>
      <w:tr w:rsidR="0055001F" w14:paraId="406372A3" w14:textId="77777777" w:rsidTr="0077427B">
        <w:tc>
          <w:tcPr>
            <w:tcW w:w="2254" w:type="dxa"/>
            <w:vAlign w:val="bottom"/>
          </w:tcPr>
          <w:p w14:paraId="532F272F" w14:textId="77777777" w:rsidR="0055001F" w:rsidRDefault="0055001F" w:rsidP="0077427B">
            <w:r w:rsidRPr="00543543">
              <w:rPr>
                <w:rFonts w:ascii="Calibri" w:eastAsia="Times New Roman" w:hAnsi="Calibri" w:cs="Calibri"/>
                <w:color w:val="000000"/>
                <w:lang w:eastAsia="en-GB"/>
              </w:rPr>
              <w:t>Mode</w:t>
            </w:r>
          </w:p>
        </w:tc>
        <w:tc>
          <w:tcPr>
            <w:tcW w:w="2254" w:type="dxa"/>
            <w:vAlign w:val="bottom"/>
          </w:tcPr>
          <w:p w14:paraId="52FF06D9" w14:textId="77777777" w:rsidR="0055001F" w:rsidRDefault="0055001F" w:rsidP="0077427B">
            <w:r w:rsidRPr="00543543">
              <w:rPr>
                <w:rFonts w:ascii="Calibri" w:eastAsia="Times New Roman" w:hAnsi="Calibri" w:cs="Calibri"/>
                <w:color w:val="000000"/>
                <w:lang w:eastAsia="en-GB"/>
              </w:rPr>
              <w:t>46</w:t>
            </w:r>
          </w:p>
        </w:tc>
        <w:tc>
          <w:tcPr>
            <w:tcW w:w="2254" w:type="dxa"/>
            <w:vAlign w:val="bottom"/>
          </w:tcPr>
          <w:p w14:paraId="1CB68555" w14:textId="77777777" w:rsidR="0055001F" w:rsidRDefault="0055001F" w:rsidP="0077427B">
            <w:r w:rsidRPr="00543543">
              <w:rPr>
                <w:rFonts w:ascii="Calibri" w:eastAsia="Times New Roman" w:hAnsi="Calibri" w:cs="Calibri"/>
                <w:color w:val="000000"/>
                <w:lang w:eastAsia="en-GB"/>
              </w:rPr>
              <w:t>23.3</w:t>
            </w:r>
          </w:p>
        </w:tc>
        <w:tc>
          <w:tcPr>
            <w:tcW w:w="2254" w:type="dxa"/>
          </w:tcPr>
          <w:p w14:paraId="2125C0D5" w14:textId="77777777" w:rsidR="0055001F" w:rsidRDefault="0055001F" w:rsidP="0077427B">
            <w:r>
              <w:t>46</w:t>
            </w:r>
          </w:p>
        </w:tc>
      </w:tr>
      <w:tr w:rsidR="0055001F" w14:paraId="3052990D" w14:textId="77777777" w:rsidTr="0077427B">
        <w:tc>
          <w:tcPr>
            <w:tcW w:w="2254" w:type="dxa"/>
            <w:vAlign w:val="bottom"/>
          </w:tcPr>
          <w:p w14:paraId="4231A717" w14:textId="77777777" w:rsidR="0055001F" w:rsidRDefault="0055001F" w:rsidP="0077427B">
            <w:r w:rsidRPr="00543543">
              <w:rPr>
                <w:rFonts w:ascii="Calibri" w:eastAsia="Times New Roman" w:hAnsi="Calibri" w:cs="Calibri"/>
                <w:color w:val="000000"/>
                <w:lang w:eastAsia="en-GB"/>
              </w:rPr>
              <w:t>Standard Deviation</w:t>
            </w:r>
          </w:p>
        </w:tc>
        <w:tc>
          <w:tcPr>
            <w:tcW w:w="2254" w:type="dxa"/>
            <w:vAlign w:val="bottom"/>
          </w:tcPr>
          <w:p w14:paraId="05E3E8F6" w14:textId="77777777" w:rsidR="0055001F" w:rsidRDefault="0055001F" w:rsidP="0077427B">
            <w:r w:rsidRPr="00543543">
              <w:rPr>
                <w:rFonts w:ascii="Calibri" w:eastAsia="Times New Roman" w:hAnsi="Calibri" w:cs="Calibri"/>
                <w:color w:val="000000"/>
                <w:lang w:eastAsia="en-GB"/>
              </w:rPr>
              <w:t>8.682677518</w:t>
            </w:r>
          </w:p>
        </w:tc>
        <w:tc>
          <w:tcPr>
            <w:tcW w:w="2254" w:type="dxa"/>
            <w:vAlign w:val="bottom"/>
          </w:tcPr>
          <w:p w14:paraId="136CE369" w14:textId="77777777" w:rsidR="0055001F" w:rsidRDefault="0055001F" w:rsidP="0077427B">
            <w:r w:rsidRPr="00543543">
              <w:rPr>
                <w:rFonts w:ascii="Calibri" w:eastAsia="Times New Roman" w:hAnsi="Calibri" w:cs="Calibri"/>
                <w:color w:val="000000"/>
                <w:lang w:eastAsia="en-GB"/>
              </w:rPr>
              <w:t>8.543353492</w:t>
            </w:r>
          </w:p>
        </w:tc>
        <w:tc>
          <w:tcPr>
            <w:tcW w:w="2254" w:type="dxa"/>
          </w:tcPr>
          <w:p w14:paraId="535CF5E8" w14:textId="77777777" w:rsidR="0055001F" w:rsidRPr="008F1812" w:rsidRDefault="0055001F" w:rsidP="0077427B">
            <w:pPr>
              <w:rPr>
                <w:rFonts w:ascii="Calibri" w:hAnsi="Calibri" w:cs="Calibri"/>
                <w:color w:val="000000"/>
              </w:rPr>
            </w:pPr>
            <w:r>
              <w:rPr>
                <w:rFonts w:ascii="Calibri" w:hAnsi="Calibri" w:cs="Calibri"/>
                <w:color w:val="000000"/>
              </w:rPr>
              <w:t>11.57626883</w:t>
            </w:r>
          </w:p>
        </w:tc>
      </w:tr>
      <w:tr w:rsidR="0055001F" w14:paraId="646ADD48" w14:textId="77777777" w:rsidTr="0077427B">
        <w:tc>
          <w:tcPr>
            <w:tcW w:w="2254" w:type="dxa"/>
            <w:vAlign w:val="bottom"/>
          </w:tcPr>
          <w:p w14:paraId="6BC66468" w14:textId="77777777" w:rsidR="0055001F" w:rsidRDefault="0055001F" w:rsidP="0077427B">
            <w:r w:rsidRPr="00543543">
              <w:rPr>
                <w:rFonts w:ascii="Calibri" w:eastAsia="Times New Roman" w:hAnsi="Calibri" w:cs="Calibri"/>
                <w:color w:val="000000"/>
                <w:lang w:eastAsia="en-GB"/>
              </w:rPr>
              <w:t>Sample Variance</w:t>
            </w:r>
          </w:p>
        </w:tc>
        <w:tc>
          <w:tcPr>
            <w:tcW w:w="2254" w:type="dxa"/>
            <w:vAlign w:val="bottom"/>
          </w:tcPr>
          <w:p w14:paraId="3506DE12" w14:textId="77777777" w:rsidR="0055001F" w:rsidRDefault="0055001F" w:rsidP="0077427B">
            <w:r w:rsidRPr="00543543">
              <w:rPr>
                <w:rFonts w:ascii="Calibri" w:eastAsia="Times New Roman" w:hAnsi="Calibri" w:cs="Calibri"/>
                <w:color w:val="000000"/>
                <w:lang w:eastAsia="en-GB"/>
              </w:rPr>
              <w:t>75.38888889</w:t>
            </w:r>
          </w:p>
        </w:tc>
        <w:tc>
          <w:tcPr>
            <w:tcW w:w="2254" w:type="dxa"/>
            <w:vAlign w:val="bottom"/>
          </w:tcPr>
          <w:p w14:paraId="63822EC8" w14:textId="77777777" w:rsidR="0055001F" w:rsidRDefault="0055001F" w:rsidP="0077427B">
            <w:r w:rsidRPr="00543543">
              <w:rPr>
                <w:rFonts w:ascii="Calibri" w:eastAsia="Times New Roman" w:hAnsi="Calibri" w:cs="Calibri"/>
                <w:color w:val="000000"/>
                <w:lang w:eastAsia="en-GB"/>
              </w:rPr>
              <w:t>72.98888889</w:t>
            </w:r>
          </w:p>
        </w:tc>
        <w:tc>
          <w:tcPr>
            <w:tcW w:w="2254" w:type="dxa"/>
          </w:tcPr>
          <w:p w14:paraId="14498B1F" w14:textId="77777777" w:rsidR="0055001F" w:rsidRDefault="0055001F" w:rsidP="0077427B">
            <w:r>
              <w:t>134.01</w:t>
            </w:r>
          </w:p>
        </w:tc>
      </w:tr>
      <w:tr w:rsidR="0055001F" w14:paraId="46003BF2" w14:textId="77777777" w:rsidTr="0077427B">
        <w:tc>
          <w:tcPr>
            <w:tcW w:w="2254" w:type="dxa"/>
            <w:vAlign w:val="bottom"/>
          </w:tcPr>
          <w:p w14:paraId="72B7F5C2" w14:textId="77777777" w:rsidR="0055001F" w:rsidRDefault="0055001F" w:rsidP="0077427B">
            <w:r w:rsidRPr="00543543">
              <w:rPr>
                <w:rFonts w:ascii="Calibri" w:eastAsia="Times New Roman" w:hAnsi="Calibri" w:cs="Calibri"/>
                <w:color w:val="000000"/>
                <w:lang w:eastAsia="en-GB"/>
              </w:rPr>
              <w:t>Range</w:t>
            </w:r>
          </w:p>
        </w:tc>
        <w:tc>
          <w:tcPr>
            <w:tcW w:w="2254" w:type="dxa"/>
            <w:vAlign w:val="bottom"/>
          </w:tcPr>
          <w:p w14:paraId="165C152E" w14:textId="77777777" w:rsidR="0055001F" w:rsidRDefault="0055001F" w:rsidP="0077427B">
            <w:r w:rsidRPr="00543543">
              <w:rPr>
                <w:rFonts w:ascii="Calibri" w:eastAsia="Times New Roman" w:hAnsi="Calibri" w:cs="Calibri"/>
                <w:color w:val="000000"/>
                <w:lang w:eastAsia="en-GB"/>
              </w:rPr>
              <w:t>30</w:t>
            </w:r>
          </w:p>
        </w:tc>
        <w:tc>
          <w:tcPr>
            <w:tcW w:w="2254" w:type="dxa"/>
            <w:vAlign w:val="bottom"/>
          </w:tcPr>
          <w:p w14:paraId="65A5495F" w14:textId="77777777" w:rsidR="0055001F" w:rsidRDefault="0055001F" w:rsidP="0077427B">
            <w:r w:rsidRPr="00543543">
              <w:rPr>
                <w:rFonts w:ascii="Calibri" w:eastAsia="Times New Roman" w:hAnsi="Calibri" w:cs="Calibri"/>
                <w:color w:val="000000"/>
                <w:lang w:eastAsia="en-GB"/>
              </w:rPr>
              <w:t>26</w:t>
            </w:r>
          </w:p>
        </w:tc>
        <w:tc>
          <w:tcPr>
            <w:tcW w:w="2254" w:type="dxa"/>
          </w:tcPr>
          <w:p w14:paraId="10FC9C2E" w14:textId="77777777" w:rsidR="0055001F" w:rsidRDefault="0055001F" w:rsidP="0077427B">
            <w:r>
              <w:t>40</w:t>
            </w:r>
          </w:p>
        </w:tc>
      </w:tr>
      <w:tr w:rsidR="0055001F" w14:paraId="4A63558D" w14:textId="77777777" w:rsidTr="0077427B">
        <w:tc>
          <w:tcPr>
            <w:tcW w:w="2254" w:type="dxa"/>
            <w:vAlign w:val="bottom"/>
          </w:tcPr>
          <w:p w14:paraId="12088557" w14:textId="77777777" w:rsidR="0055001F" w:rsidRDefault="0055001F" w:rsidP="0077427B">
            <w:r w:rsidRPr="00543543">
              <w:rPr>
                <w:rFonts w:ascii="Calibri" w:eastAsia="Times New Roman" w:hAnsi="Calibri" w:cs="Calibri"/>
                <w:color w:val="000000"/>
                <w:lang w:eastAsia="en-GB"/>
              </w:rPr>
              <w:t>Minimum</w:t>
            </w:r>
          </w:p>
        </w:tc>
        <w:tc>
          <w:tcPr>
            <w:tcW w:w="2254" w:type="dxa"/>
            <w:vAlign w:val="bottom"/>
          </w:tcPr>
          <w:p w14:paraId="6BF00696" w14:textId="77777777" w:rsidR="0055001F" w:rsidRDefault="0055001F" w:rsidP="0077427B">
            <w:r w:rsidRPr="00543543">
              <w:rPr>
                <w:rFonts w:ascii="Calibri" w:eastAsia="Times New Roman" w:hAnsi="Calibri" w:cs="Calibri"/>
                <w:color w:val="000000"/>
                <w:lang w:eastAsia="en-GB"/>
              </w:rPr>
              <w:t>25</w:t>
            </w:r>
          </w:p>
        </w:tc>
        <w:tc>
          <w:tcPr>
            <w:tcW w:w="2254" w:type="dxa"/>
            <w:vAlign w:val="bottom"/>
          </w:tcPr>
          <w:p w14:paraId="72399A3B" w14:textId="77777777" w:rsidR="0055001F" w:rsidRDefault="0055001F" w:rsidP="0077427B">
            <w:r w:rsidRPr="00543543">
              <w:rPr>
                <w:rFonts w:ascii="Calibri" w:eastAsia="Times New Roman" w:hAnsi="Calibri" w:cs="Calibri"/>
                <w:color w:val="000000"/>
                <w:lang w:eastAsia="en-GB"/>
              </w:rPr>
              <w:t>15</w:t>
            </w:r>
          </w:p>
        </w:tc>
        <w:tc>
          <w:tcPr>
            <w:tcW w:w="2254" w:type="dxa"/>
          </w:tcPr>
          <w:p w14:paraId="26DEBF73" w14:textId="77777777" w:rsidR="0055001F" w:rsidRDefault="0055001F" w:rsidP="0077427B">
            <w:r>
              <w:t>15</w:t>
            </w:r>
          </w:p>
        </w:tc>
      </w:tr>
      <w:tr w:rsidR="0055001F" w14:paraId="06785711" w14:textId="77777777" w:rsidTr="0077427B">
        <w:tc>
          <w:tcPr>
            <w:tcW w:w="2254" w:type="dxa"/>
            <w:vAlign w:val="bottom"/>
          </w:tcPr>
          <w:p w14:paraId="5FD5D398" w14:textId="77777777" w:rsidR="0055001F" w:rsidRDefault="0055001F" w:rsidP="0077427B">
            <w:r w:rsidRPr="00543543">
              <w:rPr>
                <w:rFonts w:ascii="Calibri" w:eastAsia="Times New Roman" w:hAnsi="Calibri" w:cs="Calibri"/>
                <w:color w:val="000000"/>
                <w:lang w:eastAsia="en-GB"/>
              </w:rPr>
              <w:t>Maximum</w:t>
            </w:r>
          </w:p>
        </w:tc>
        <w:tc>
          <w:tcPr>
            <w:tcW w:w="2254" w:type="dxa"/>
            <w:vAlign w:val="bottom"/>
          </w:tcPr>
          <w:p w14:paraId="2923521A" w14:textId="77777777" w:rsidR="0055001F" w:rsidRDefault="0055001F" w:rsidP="0077427B">
            <w:r w:rsidRPr="00543543">
              <w:rPr>
                <w:rFonts w:ascii="Calibri" w:eastAsia="Times New Roman" w:hAnsi="Calibri" w:cs="Calibri"/>
                <w:color w:val="000000"/>
                <w:lang w:eastAsia="en-GB"/>
              </w:rPr>
              <w:t>55</w:t>
            </w:r>
          </w:p>
        </w:tc>
        <w:tc>
          <w:tcPr>
            <w:tcW w:w="2254" w:type="dxa"/>
            <w:vAlign w:val="bottom"/>
          </w:tcPr>
          <w:p w14:paraId="4B1167CB" w14:textId="77777777" w:rsidR="0055001F" w:rsidRDefault="0055001F" w:rsidP="0077427B">
            <w:r w:rsidRPr="00543543">
              <w:rPr>
                <w:rFonts w:ascii="Calibri" w:eastAsia="Times New Roman" w:hAnsi="Calibri" w:cs="Calibri"/>
                <w:color w:val="000000"/>
                <w:lang w:eastAsia="en-GB"/>
              </w:rPr>
              <w:t>41</w:t>
            </w:r>
          </w:p>
        </w:tc>
        <w:tc>
          <w:tcPr>
            <w:tcW w:w="2254" w:type="dxa"/>
          </w:tcPr>
          <w:p w14:paraId="75C7A0FF" w14:textId="77777777" w:rsidR="0055001F" w:rsidRDefault="0055001F" w:rsidP="0077427B">
            <w:r>
              <w:t>55</w:t>
            </w:r>
          </w:p>
        </w:tc>
      </w:tr>
      <w:tr w:rsidR="0055001F" w14:paraId="3E20B581" w14:textId="77777777" w:rsidTr="0077427B">
        <w:tc>
          <w:tcPr>
            <w:tcW w:w="2254" w:type="dxa"/>
            <w:vAlign w:val="bottom"/>
          </w:tcPr>
          <w:p w14:paraId="51B0E78A" w14:textId="77777777" w:rsidR="0055001F" w:rsidRDefault="0055001F" w:rsidP="0077427B">
            <w:r w:rsidRPr="00543543">
              <w:rPr>
                <w:rFonts w:ascii="Calibri" w:eastAsia="Times New Roman" w:hAnsi="Calibri" w:cs="Calibri"/>
                <w:color w:val="000000"/>
                <w:lang w:eastAsia="en-GB"/>
              </w:rPr>
              <w:t>Sum</w:t>
            </w:r>
          </w:p>
        </w:tc>
        <w:tc>
          <w:tcPr>
            <w:tcW w:w="2254" w:type="dxa"/>
            <w:vAlign w:val="bottom"/>
          </w:tcPr>
          <w:p w14:paraId="0AAF7419" w14:textId="77777777" w:rsidR="0055001F" w:rsidRDefault="0055001F" w:rsidP="0077427B">
            <w:r w:rsidRPr="00543543">
              <w:rPr>
                <w:rFonts w:ascii="Calibri" w:eastAsia="Times New Roman" w:hAnsi="Calibri" w:cs="Calibri"/>
                <w:color w:val="000000"/>
                <w:lang w:eastAsia="en-GB"/>
              </w:rPr>
              <w:t>445</w:t>
            </w:r>
          </w:p>
        </w:tc>
        <w:tc>
          <w:tcPr>
            <w:tcW w:w="2254" w:type="dxa"/>
            <w:vAlign w:val="bottom"/>
          </w:tcPr>
          <w:p w14:paraId="0805AA31" w14:textId="77777777" w:rsidR="0055001F" w:rsidRDefault="0055001F" w:rsidP="0077427B">
            <w:r w:rsidRPr="00543543">
              <w:rPr>
                <w:rFonts w:ascii="Calibri" w:eastAsia="Times New Roman" w:hAnsi="Calibri" w:cs="Calibri"/>
                <w:color w:val="000000"/>
                <w:lang w:eastAsia="en-GB"/>
              </w:rPr>
              <w:t>281</w:t>
            </w:r>
          </w:p>
        </w:tc>
        <w:tc>
          <w:tcPr>
            <w:tcW w:w="2254" w:type="dxa"/>
          </w:tcPr>
          <w:p w14:paraId="5C5EDBBC" w14:textId="77777777" w:rsidR="0055001F" w:rsidRDefault="0055001F" w:rsidP="0077427B">
            <w:r>
              <w:t>726</w:t>
            </w:r>
          </w:p>
        </w:tc>
      </w:tr>
      <w:tr w:rsidR="0055001F" w14:paraId="3C66A1FD" w14:textId="77777777" w:rsidTr="0077427B">
        <w:tc>
          <w:tcPr>
            <w:tcW w:w="2254" w:type="dxa"/>
            <w:vAlign w:val="bottom"/>
          </w:tcPr>
          <w:p w14:paraId="07DFF986" w14:textId="77777777" w:rsidR="0055001F" w:rsidRDefault="0055001F" w:rsidP="0077427B">
            <w:r w:rsidRPr="00543543">
              <w:rPr>
                <w:rFonts w:ascii="Calibri" w:eastAsia="Times New Roman" w:hAnsi="Calibri" w:cs="Calibri"/>
                <w:color w:val="000000"/>
                <w:lang w:eastAsia="en-GB"/>
              </w:rPr>
              <w:t>Count</w:t>
            </w:r>
          </w:p>
        </w:tc>
        <w:tc>
          <w:tcPr>
            <w:tcW w:w="2254" w:type="dxa"/>
            <w:vAlign w:val="bottom"/>
          </w:tcPr>
          <w:p w14:paraId="36742D1F" w14:textId="77777777" w:rsidR="0055001F" w:rsidRDefault="0055001F" w:rsidP="0077427B">
            <w:r w:rsidRPr="00543543">
              <w:rPr>
                <w:rFonts w:ascii="Calibri" w:eastAsia="Times New Roman" w:hAnsi="Calibri" w:cs="Calibri"/>
                <w:color w:val="000000"/>
                <w:lang w:eastAsia="en-GB"/>
              </w:rPr>
              <w:t>10</w:t>
            </w:r>
          </w:p>
        </w:tc>
        <w:tc>
          <w:tcPr>
            <w:tcW w:w="2254" w:type="dxa"/>
            <w:vAlign w:val="bottom"/>
          </w:tcPr>
          <w:p w14:paraId="21F3D4E2" w14:textId="77777777" w:rsidR="0055001F" w:rsidRDefault="0055001F" w:rsidP="0077427B">
            <w:r w:rsidRPr="00543543">
              <w:rPr>
                <w:rFonts w:ascii="Calibri" w:eastAsia="Times New Roman" w:hAnsi="Calibri" w:cs="Calibri"/>
                <w:color w:val="000000"/>
                <w:lang w:eastAsia="en-GB"/>
              </w:rPr>
              <w:t>10</w:t>
            </w:r>
          </w:p>
        </w:tc>
        <w:tc>
          <w:tcPr>
            <w:tcW w:w="2254" w:type="dxa"/>
          </w:tcPr>
          <w:p w14:paraId="223A94AE" w14:textId="77777777" w:rsidR="0055001F" w:rsidRDefault="0055001F" w:rsidP="0077427B">
            <w:r>
              <w:t>20</w:t>
            </w:r>
          </w:p>
        </w:tc>
      </w:tr>
    </w:tbl>
    <w:p w14:paraId="5322DD1B" w14:textId="32673916" w:rsidR="00543543" w:rsidRDefault="00543543"/>
    <w:p w14:paraId="7DD894D9" w14:textId="6C059C31" w:rsidR="004801EB" w:rsidRDefault="004869E3">
      <w:r>
        <w:t xml:space="preserve">Table 1 shows that the mean for the mature students </w:t>
      </w:r>
      <m:oMath>
        <m:acc>
          <m:accPr>
            <m:chr m:val="̅"/>
            <m:ctrlPr>
              <w:rPr>
                <w:rFonts w:ascii="Cambria Math" w:hAnsi="Cambria Math"/>
                <w:i/>
              </w:rPr>
            </m:ctrlPr>
          </m:accPr>
          <m:e>
            <m:r>
              <m:rPr>
                <m:sty m:val="p"/>
              </m:rPr>
              <w:rPr>
                <w:rFonts w:ascii="Cambria Math" w:hAnsi="Cambria Math"/>
              </w:rPr>
              <m:t>X</m:t>
            </m:r>
          </m:e>
        </m:acc>
      </m:oMath>
      <w:r>
        <w:t xml:space="preserve"> = 44.5 is greater than for the young students </w:t>
      </w:r>
      <m:oMath>
        <m:acc>
          <m:accPr>
            <m:chr m:val="̅"/>
            <m:ctrlPr>
              <w:rPr>
                <w:rFonts w:ascii="Cambria Math" w:hAnsi="Cambria Math"/>
                <w:i/>
              </w:rPr>
            </m:ctrlPr>
          </m:accPr>
          <m:e>
            <m:r>
              <m:rPr>
                <m:sty m:val="p"/>
              </m:rPr>
              <w:rPr>
                <w:rFonts w:ascii="Cambria Math" w:hAnsi="Cambria Math"/>
              </w:rPr>
              <m:t>X</m:t>
            </m:r>
          </m:e>
        </m:acc>
      </m:oMath>
      <w:r w:rsidR="00B208BF">
        <w:t xml:space="preserve"> =</w:t>
      </w:r>
      <w:r w:rsidR="00010514">
        <w:t>28.1</w:t>
      </w:r>
      <w:r>
        <w:t xml:space="preserve">. However, we do not yet know if there is a statistically significant difference in the means across these two groups. This can be answered through inferential statistical tests, but this would be </w:t>
      </w:r>
      <w:r w:rsidR="00080C48">
        <w:t>subject to error because</w:t>
      </w:r>
      <w:r w:rsidR="00B0085C">
        <w:t xml:space="preserve"> the</w:t>
      </w:r>
      <w:r w:rsidR="00080C48">
        <w:t xml:space="preserve"> </w:t>
      </w:r>
      <w:r w:rsidR="00D31900">
        <w:t>test</w:t>
      </w:r>
      <w:r w:rsidR="00B0085C">
        <w:t>s</w:t>
      </w:r>
      <w:r w:rsidR="00D31900">
        <w:t xml:space="preserve"> </w:t>
      </w:r>
      <w:r w:rsidR="00B0085C">
        <w:t>would be</w:t>
      </w:r>
      <w:r w:rsidR="00D31900">
        <w:t xml:space="preserve"> conducted on </w:t>
      </w:r>
      <w:r>
        <w:t xml:space="preserve">a small </w:t>
      </w:r>
      <w:r w:rsidR="00D31900">
        <w:t xml:space="preserve">sample instead of the whole </w:t>
      </w:r>
      <w:r>
        <w:t>population</w:t>
      </w:r>
      <w:r w:rsidR="004F1D05">
        <w:t xml:space="preserve"> </w:t>
      </w:r>
      <w:r w:rsidR="00A8198E">
        <w:t>[</w:t>
      </w:r>
      <w:r w:rsidR="00F310FB">
        <w:t>5</w:t>
      </w:r>
      <w:r w:rsidR="00A8198E">
        <w:t>]</w:t>
      </w:r>
      <w:r w:rsidR="00D31900">
        <w:t>.</w:t>
      </w:r>
    </w:p>
    <w:p w14:paraId="76BF9514" w14:textId="43DD2073" w:rsidR="00D31900" w:rsidRDefault="00D31900">
      <w:r>
        <w:t>There are two types of error</w:t>
      </w:r>
      <w:r w:rsidR="001F6F9B">
        <w:t>s</w:t>
      </w:r>
      <w:r>
        <w:t xml:space="preserve"> </w:t>
      </w:r>
      <w:r w:rsidR="001F6F9B">
        <w:t xml:space="preserve">- </w:t>
      </w:r>
      <w:r>
        <w:t xml:space="preserve">they are Type I and Type II. </w:t>
      </w:r>
      <w:r w:rsidR="00B0085C">
        <w:t xml:space="preserve"> Type 1 error is the rejection of a true </w:t>
      </w:r>
      <w:r>
        <w:t>null hypothesis</w:t>
      </w:r>
      <w:r w:rsidR="00B0085C">
        <w:t xml:space="preserve"> and can be avoided by choosing a smaller level of significance, </w:t>
      </w:r>
      <w:r w:rsidR="00A73D4F">
        <w:rPr>
          <w:rFonts w:cstheme="minorHAnsi"/>
        </w:rPr>
        <w:t>α</w:t>
      </w:r>
      <w:r w:rsidR="00B0085C">
        <w:t xml:space="preserve">, while doing the </w:t>
      </w:r>
      <w:r w:rsidR="0085724C">
        <w:t xml:space="preserve">statistical </w:t>
      </w:r>
      <w:r w:rsidR="00B0085C">
        <w:t>test</w:t>
      </w:r>
      <w:r w:rsidR="00B7330B">
        <w:t xml:space="preserve"> </w:t>
      </w:r>
      <w:r w:rsidR="005114F3">
        <w:t>[</w:t>
      </w:r>
      <w:r w:rsidR="00F310FB">
        <w:t>6</w:t>
      </w:r>
      <w:r w:rsidR="005114F3">
        <w:t>]</w:t>
      </w:r>
      <w:r w:rsidR="00B0085C">
        <w:t xml:space="preserve">. </w:t>
      </w:r>
      <w:r w:rsidR="0085724C">
        <w:t xml:space="preserve"> Therefore, </w:t>
      </w:r>
      <w:r w:rsidR="00A73D4F">
        <w:rPr>
          <w:rFonts w:cstheme="minorHAnsi"/>
        </w:rPr>
        <w:t>α</w:t>
      </w:r>
      <w:r w:rsidR="0085724C">
        <w:t xml:space="preserve"> = 0.01 has been chosen for the test below. </w:t>
      </w:r>
      <w:r w:rsidR="00B0085C">
        <w:t xml:space="preserve"> Type 2 error, on the other hand, is the acceptance of a false null hypothesis and can be avoided by ensuring the sample size is large</w:t>
      </w:r>
      <w:r w:rsidR="00B7330B">
        <w:t xml:space="preserve"> </w:t>
      </w:r>
      <w:r w:rsidR="003A12BC">
        <w:t>[</w:t>
      </w:r>
      <w:r w:rsidR="00F310FB">
        <w:t>7</w:t>
      </w:r>
      <w:r w:rsidR="003A12BC">
        <w:t>]</w:t>
      </w:r>
      <w:r w:rsidR="00B0085C">
        <w:t xml:space="preserve">.  </w:t>
      </w:r>
      <w:r w:rsidR="0085724C">
        <w:t>This, however, cannot be addressed as we have been given a fixed, small dataset.  Therefore, there is a greater chance for Type 2 error in the test below.</w:t>
      </w:r>
    </w:p>
    <w:p w14:paraId="68FFBF67" w14:textId="362F76E4" w:rsidR="00D37924" w:rsidRDefault="00EA1396">
      <w:pPr>
        <w:rPr>
          <w:b/>
        </w:rPr>
      </w:pPr>
      <w:r w:rsidRPr="00EA1396">
        <w:rPr>
          <w:b/>
        </w:rPr>
        <w:t>E</w:t>
      </w:r>
      <w:r w:rsidR="00AD261D" w:rsidRPr="00AD261D">
        <w:rPr>
          <w:b/>
        </w:rPr>
        <w:t xml:space="preserve">. </w:t>
      </w:r>
      <w:r w:rsidR="00AD261D" w:rsidRPr="005B333E">
        <w:rPr>
          <w:b/>
          <w:u w:val="single"/>
        </w:rPr>
        <w:t xml:space="preserve">Testing of the hypothesis to significance level </w:t>
      </w:r>
      <w:r w:rsidR="00121FA9" w:rsidRPr="005B333E">
        <w:rPr>
          <w:b/>
          <w:u w:val="single"/>
        </w:rPr>
        <w:t>in section B, to</w:t>
      </w:r>
      <w:r w:rsidR="00AD261D" w:rsidRPr="005B333E">
        <w:rPr>
          <w:b/>
          <w:u w:val="single"/>
        </w:rPr>
        <w:t xml:space="preserve"> p=0.01</w:t>
      </w:r>
    </w:p>
    <w:p w14:paraId="7AA42C70" w14:textId="77777777" w:rsidR="00B92CFF" w:rsidRDefault="00B92CFF" w:rsidP="00B92CFF">
      <w:r>
        <w:t>H</w:t>
      </w:r>
      <w:r>
        <w:rPr>
          <w:vertAlign w:val="subscript"/>
        </w:rPr>
        <w:t>0</w:t>
      </w:r>
      <w:r>
        <w:t>: There is no statistically significant difference in the university experience satisfaction of Mature students (MS) and Young students (YS).</w:t>
      </w:r>
    </w:p>
    <w:p w14:paraId="744E4B1A" w14:textId="09012E03" w:rsidR="00B92CFF" w:rsidRDefault="00B92CFF" w:rsidP="00B92CFF">
      <w:pPr>
        <w:rPr>
          <w:rFonts w:cstheme="minorHAnsi"/>
          <w:vertAlign w:val="subscript"/>
        </w:rPr>
      </w:pPr>
      <w:r>
        <w:tab/>
      </w:r>
      <w:r>
        <w:tab/>
        <w:t>H</w:t>
      </w:r>
      <w:r>
        <w:rPr>
          <w:vertAlign w:val="subscript"/>
        </w:rPr>
        <w:t>o</w:t>
      </w:r>
      <w:r>
        <w:t xml:space="preserve">: </w:t>
      </w:r>
      <w:r>
        <w:rPr>
          <w:rFonts w:cstheme="minorHAnsi"/>
        </w:rPr>
        <w:t>µ</w:t>
      </w:r>
      <w:r>
        <w:rPr>
          <w:rFonts w:cstheme="minorHAnsi"/>
          <w:vertAlign w:val="subscript"/>
        </w:rPr>
        <w:t>MS</w:t>
      </w:r>
      <w:r>
        <w:rPr>
          <w:rFonts w:cstheme="minorHAnsi"/>
        </w:rPr>
        <w:t xml:space="preserve"> = µ</w:t>
      </w:r>
      <w:r>
        <w:rPr>
          <w:rFonts w:cstheme="minorHAnsi"/>
          <w:vertAlign w:val="subscript"/>
        </w:rPr>
        <w:t>YS</w:t>
      </w:r>
    </w:p>
    <w:p w14:paraId="0D4EDFDE" w14:textId="235B4CC8" w:rsidR="007A1659" w:rsidRDefault="007A1659" w:rsidP="00B92CFF">
      <w:r w:rsidRPr="007A1659">
        <w:t xml:space="preserve">In order to </w:t>
      </w:r>
      <w:r>
        <w:t xml:space="preserve">test the null hypothesis, </w:t>
      </w:r>
      <w:r w:rsidR="005A084D">
        <w:t xml:space="preserve">different statistical tests are available based on criteria such as whether the data is continuous or discrete and the number of groups </w:t>
      </w:r>
      <w:r w:rsidR="003A12BC">
        <w:t>[</w:t>
      </w:r>
      <w:r w:rsidR="00C0451C">
        <w:t>8</w:t>
      </w:r>
      <w:r w:rsidR="003A12BC">
        <w:t>].</w:t>
      </w:r>
      <w:r w:rsidR="005A084D" w:rsidRPr="005A084D">
        <w:t xml:space="preserve"> As </w:t>
      </w:r>
      <w:r w:rsidR="005A084D">
        <w:t>satisfaction scores are considered continuous data and because there are only two groups, the t test has been chosen to test the null hypothesis for this dataset. The analysis of variance (ANOVA) is used when there are greater than two groups, which is not the case here – therefore this has not been used.</w:t>
      </w:r>
    </w:p>
    <w:p w14:paraId="24D855E5" w14:textId="0E301D41" w:rsidR="00907C5A" w:rsidRDefault="00907C5A" w:rsidP="00B92CFF"/>
    <w:p w14:paraId="66DEFE95" w14:textId="2EB15CCE" w:rsidR="003A12BC" w:rsidRDefault="003A12BC" w:rsidP="00B92CFF"/>
    <w:p w14:paraId="6542134A" w14:textId="09C02628" w:rsidR="003A12BC" w:rsidRDefault="003A12BC" w:rsidP="00B92CFF"/>
    <w:p w14:paraId="2B849583" w14:textId="18689949" w:rsidR="00515808" w:rsidRDefault="00515808" w:rsidP="00B92CFF"/>
    <w:p w14:paraId="7FCD3F10" w14:textId="77777777" w:rsidR="00515808" w:rsidRDefault="00515808" w:rsidP="00B92CFF"/>
    <w:p w14:paraId="4E479DFB" w14:textId="609FAB79" w:rsidR="003A12BC" w:rsidRDefault="003A12BC" w:rsidP="00B92CFF"/>
    <w:p w14:paraId="68823565" w14:textId="77777777" w:rsidR="00515808" w:rsidRPr="007A1659" w:rsidRDefault="00515808" w:rsidP="00B92CFF"/>
    <w:tbl>
      <w:tblPr>
        <w:tblW w:w="7273" w:type="dxa"/>
        <w:tblLook w:val="04A0" w:firstRow="1" w:lastRow="0" w:firstColumn="1" w:lastColumn="0" w:noHBand="0" w:noVBand="1"/>
      </w:tblPr>
      <w:tblGrid>
        <w:gridCol w:w="5529"/>
        <w:gridCol w:w="1387"/>
        <w:gridCol w:w="1053"/>
      </w:tblGrid>
      <w:tr w:rsidR="00FE03C4" w14:paraId="72586DC8" w14:textId="77777777" w:rsidTr="00515808">
        <w:trPr>
          <w:trHeight w:val="288"/>
        </w:trPr>
        <w:tc>
          <w:tcPr>
            <w:tcW w:w="5529" w:type="dxa"/>
            <w:tcBorders>
              <w:top w:val="nil"/>
              <w:left w:val="nil"/>
              <w:bottom w:val="nil"/>
              <w:right w:val="nil"/>
            </w:tcBorders>
            <w:shd w:val="clear" w:color="auto" w:fill="auto"/>
            <w:noWrap/>
            <w:vAlign w:val="bottom"/>
            <w:hideMark/>
          </w:tcPr>
          <w:p w14:paraId="25A3EEDA" w14:textId="0D119E54" w:rsidR="00FE03C4" w:rsidRPr="00B6708E" w:rsidRDefault="00AD261D">
            <w:pPr>
              <w:rPr>
                <w:rFonts w:ascii="Calibri" w:hAnsi="Calibri" w:cs="Calibri"/>
                <w:b/>
                <w:color w:val="000000"/>
              </w:rPr>
            </w:pPr>
            <w:bookmarkStart w:id="2" w:name="_Hlk534548732"/>
            <w:r w:rsidRPr="00B6708E">
              <w:rPr>
                <w:rFonts w:ascii="Calibri" w:hAnsi="Calibri" w:cs="Calibri"/>
                <w:b/>
                <w:color w:val="000000"/>
              </w:rPr>
              <w:lastRenderedPageBreak/>
              <w:t xml:space="preserve">Table 2: </w:t>
            </w:r>
            <w:r w:rsidR="00FE03C4" w:rsidRPr="00B6708E">
              <w:rPr>
                <w:rFonts w:ascii="Calibri" w:hAnsi="Calibri" w:cs="Calibri"/>
                <w:b/>
                <w:color w:val="000000"/>
              </w:rPr>
              <w:t>t-Test: Two-Sample Assuming Unequal</w:t>
            </w:r>
            <w:r w:rsidRPr="00B6708E">
              <w:rPr>
                <w:rFonts w:ascii="Calibri" w:hAnsi="Calibri" w:cs="Calibri"/>
                <w:b/>
                <w:color w:val="000000"/>
              </w:rPr>
              <w:t xml:space="preserve"> </w:t>
            </w:r>
            <w:r w:rsidR="00FE03C4" w:rsidRPr="00B6708E">
              <w:rPr>
                <w:rFonts w:ascii="Calibri" w:hAnsi="Calibri" w:cs="Calibri"/>
                <w:b/>
                <w:color w:val="000000"/>
              </w:rPr>
              <w:t>Variances</w:t>
            </w:r>
          </w:p>
        </w:tc>
        <w:tc>
          <w:tcPr>
            <w:tcW w:w="691" w:type="dxa"/>
            <w:tcBorders>
              <w:top w:val="nil"/>
              <w:left w:val="nil"/>
              <w:bottom w:val="nil"/>
              <w:right w:val="nil"/>
            </w:tcBorders>
            <w:shd w:val="clear" w:color="auto" w:fill="auto"/>
            <w:noWrap/>
            <w:vAlign w:val="bottom"/>
            <w:hideMark/>
          </w:tcPr>
          <w:p w14:paraId="1D0EDCFE" w14:textId="79D17A7F" w:rsidR="00FE03C4" w:rsidRDefault="00FE03C4">
            <w:pPr>
              <w:jc w:val="right"/>
              <w:rPr>
                <w:rFonts w:ascii="Calibri" w:hAnsi="Calibri" w:cs="Calibri"/>
                <w:color w:val="000000"/>
              </w:rPr>
            </w:pPr>
          </w:p>
        </w:tc>
        <w:tc>
          <w:tcPr>
            <w:tcW w:w="1053" w:type="dxa"/>
            <w:tcBorders>
              <w:top w:val="nil"/>
              <w:left w:val="nil"/>
              <w:bottom w:val="nil"/>
              <w:right w:val="nil"/>
            </w:tcBorders>
            <w:shd w:val="clear" w:color="auto" w:fill="auto"/>
            <w:noWrap/>
            <w:vAlign w:val="bottom"/>
            <w:hideMark/>
          </w:tcPr>
          <w:p w14:paraId="5E40ADCD" w14:textId="77777777" w:rsidR="00FE03C4" w:rsidRDefault="00FE03C4">
            <w:pPr>
              <w:jc w:val="right"/>
              <w:rPr>
                <w:rFonts w:ascii="Calibri" w:hAnsi="Calibri" w:cs="Calibri"/>
                <w:color w:val="000000"/>
              </w:rPr>
            </w:pPr>
          </w:p>
        </w:tc>
      </w:tr>
      <w:tr w:rsidR="00FE03C4" w14:paraId="68B34813" w14:textId="77777777" w:rsidTr="00515808">
        <w:trPr>
          <w:trHeight w:val="300"/>
        </w:trPr>
        <w:tc>
          <w:tcPr>
            <w:tcW w:w="5529" w:type="dxa"/>
            <w:tcBorders>
              <w:top w:val="nil"/>
              <w:left w:val="nil"/>
              <w:bottom w:val="nil"/>
              <w:right w:val="nil"/>
            </w:tcBorders>
            <w:shd w:val="clear" w:color="auto" w:fill="auto"/>
            <w:noWrap/>
            <w:vAlign w:val="bottom"/>
            <w:hideMark/>
          </w:tcPr>
          <w:p w14:paraId="45788977" w14:textId="77777777" w:rsidR="00FE03C4" w:rsidRPr="00B6708E" w:rsidRDefault="00FE03C4">
            <w:pPr>
              <w:rPr>
                <w:b/>
                <w:sz w:val="20"/>
                <w:szCs w:val="20"/>
              </w:rPr>
            </w:pPr>
          </w:p>
        </w:tc>
        <w:tc>
          <w:tcPr>
            <w:tcW w:w="691" w:type="dxa"/>
            <w:tcBorders>
              <w:top w:val="nil"/>
              <w:left w:val="nil"/>
              <w:bottom w:val="nil"/>
              <w:right w:val="nil"/>
            </w:tcBorders>
            <w:shd w:val="clear" w:color="auto" w:fill="auto"/>
            <w:noWrap/>
            <w:vAlign w:val="bottom"/>
            <w:hideMark/>
          </w:tcPr>
          <w:p w14:paraId="3C3E8527" w14:textId="77777777" w:rsidR="00FE03C4" w:rsidRDefault="00FE03C4">
            <w:pPr>
              <w:rPr>
                <w:sz w:val="20"/>
                <w:szCs w:val="20"/>
              </w:rPr>
            </w:pPr>
          </w:p>
        </w:tc>
        <w:tc>
          <w:tcPr>
            <w:tcW w:w="1053" w:type="dxa"/>
            <w:tcBorders>
              <w:top w:val="nil"/>
              <w:left w:val="nil"/>
              <w:bottom w:val="nil"/>
              <w:right w:val="nil"/>
            </w:tcBorders>
            <w:shd w:val="clear" w:color="auto" w:fill="auto"/>
            <w:noWrap/>
            <w:vAlign w:val="bottom"/>
            <w:hideMark/>
          </w:tcPr>
          <w:p w14:paraId="45870AB9" w14:textId="77777777" w:rsidR="00FE03C4" w:rsidRDefault="00FE03C4">
            <w:pPr>
              <w:rPr>
                <w:sz w:val="20"/>
                <w:szCs w:val="20"/>
              </w:rPr>
            </w:pPr>
          </w:p>
        </w:tc>
      </w:tr>
      <w:tr w:rsidR="00FE03C4" w14:paraId="10102139" w14:textId="77777777" w:rsidTr="00515808">
        <w:trPr>
          <w:trHeight w:val="288"/>
        </w:trPr>
        <w:tc>
          <w:tcPr>
            <w:tcW w:w="5529" w:type="dxa"/>
            <w:tcBorders>
              <w:top w:val="single" w:sz="8" w:space="0" w:color="auto"/>
              <w:left w:val="nil"/>
              <w:bottom w:val="single" w:sz="4" w:space="0" w:color="auto"/>
              <w:right w:val="nil"/>
            </w:tcBorders>
            <w:shd w:val="clear" w:color="auto" w:fill="auto"/>
            <w:noWrap/>
            <w:vAlign w:val="bottom"/>
            <w:hideMark/>
          </w:tcPr>
          <w:p w14:paraId="40E0FE2F" w14:textId="77777777" w:rsidR="00FE03C4" w:rsidRDefault="00FE03C4">
            <w:pPr>
              <w:jc w:val="center"/>
              <w:rPr>
                <w:rFonts w:ascii="Calibri" w:hAnsi="Calibri" w:cs="Calibri"/>
                <w:i/>
                <w:iCs/>
                <w:color w:val="000000"/>
              </w:rPr>
            </w:pPr>
            <w:r>
              <w:rPr>
                <w:rFonts w:ascii="Calibri" w:hAnsi="Calibri" w:cs="Calibri"/>
                <w:i/>
                <w:iCs/>
                <w:color w:val="000000"/>
              </w:rPr>
              <w:t> </w:t>
            </w:r>
          </w:p>
        </w:tc>
        <w:tc>
          <w:tcPr>
            <w:tcW w:w="691" w:type="dxa"/>
            <w:tcBorders>
              <w:top w:val="single" w:sz="8" w:space="0" w:color="auto"/>
              <w:left w:val="nil"/>
              <w:bottom w:val="single" w:sz="4" w:space="0" w:color="auto"/>
              <w:right w:val="nil"/>
            </w:tcBorders>
            <w:shd w:val="clear" w:color="auto" w:fill="auto"/>
            <w:noWrap/>
            <w:vAlign w:val="bottom"/>
            <w:hideMark/>
          </w:tcPr>
          <w:p w14:paraId="12841F87" w14:textId="64FF80CC" w:rsidR="00FE03C4" w:rsidRDefault="00FE03C4">
            <w:pPr>
              <w:jc w:val="center"/>
              <w:rPr>
                <w:rFonts w:ascii="Calibri" w:hAnsi="Calibri" w:cs="Calibri"/>
                <w:i/>
                <w:iCs/>
                <w:color w:val="000000"/>
              </w:rPr>
            </w:pPr>
            <w:r>
              <w:rPr>
                <w:rFonts w:ascii="Calibri" w:hAnsi="Calibri" w:cs="Calibri"/>
                <w:i/>
                <w:iCs/>
                <w:color w:val="000000"/>
              </w:rPr>
              <w:t>Mature Students</w:t>
            </w:r>
          </w:p>
        </w:tc>
        <w:tc>
          <w:tcPr>
            <w:tcW w:w="1053" w:type="dxa"/>
            <w:tcBorders>
              <w:top w:val="single" w:sz="8" w:space="0" w:color="auto"/>
              <w:left w:val="nil"/>
              <w:bottom w:val="single" w:sz="4" w:space="0" w:color="auto"/>
              <w:right w:val="nil"/>
            </w:tcBorders>
            <w:shd w:val="clear" w:color="auto" w:fill="auto"/>
            <w:noWrap/>
            <w:vAlign w:val="bottom"/>
            <w:hideMark/>
          </w:tcPr>
          <w:p w14:paraId="71BA3856" w14:textId="77777777" w:rsidR="00FE03C4" w:rsidRDefault="00FE03C4">
            <w:pPr>
              <w:jc w:val="center"/>
              <w:rPr>
                <w:rFonts w:ascii="Calibri" w:hAnsi="Calibri" w:cs="Calibri"/>
                <w:i/>
                <w:iCs/>
                <w:color w:val="000000"/>
              </w:rPr>
            </w:pPr>
            <w:r>
              <w:rPr>
                <w:rFonts w:ascii="Calibri" w:hAnsi="Calibri" w:cs="Calibri"/>
                <w:i/>
                <w:iCs/>
                <w:color w:val="000000"/>
              </w:rPr>
              <w:t>Young Students</w:t>
            </w:r>
          </w:p>
        </w:tc>
      </w:tr>
      <w:tr w:rsidR="00FE03C4" w14:paraId="102591D3" w14:textId="77777777" w:rsidTr="00515808">
        <w:trPr>
          <w:trHeight w:val="288"/>
        </w:trPr>
        <w:tc>
          <w:tcPr>
            <w:tcW w:w="5529" w:type="dxa"/>
            <w:tcBorders>
              <w:top w:val="nil"/>
              <w:left w:val="nil"/>
              <w:bottom w:val="nil"/>
              <w:right w:val="nil"/>
            </w:tcBorders>
            <w:shd w:val="clear" w:color="auto" w:fill="auto"/>
            <w:noWrap/>
            <w:vAlign w:val="bottom"/>
            <w:hideMark/>
          </w:tcPr>
          <w:p w14:paraId="55D7436D" w14:textId="77777777" w:rsidR="00FE03C4" w:rsidRDefault="00FE03C4">
            <w:pPr>
              <w:rPr>
                <w:rFonts w:ascii="Calibri" w:hAnsi="Calibri" w:cs="Calibri"/>
                <w:color w:val="000000"/>
              </w:rPr>
            </w:pPr>
            <w:r>
              <w:rPr>
                <w:rFonts w:ascii="Calibri" w:hAnsi="Calibri" w:cs="Calibri"/>
                <w:color w:val="000000"/>
              </w:rPr>
              <w:t>Mean</w:t>
            </w:r>
          </w:p>
        </w:tc>
        <w:tc>
          <w:tcPr>
            <w:tcW w:w="691" w:type="dxa"/>
            <w:tcBorders>
              <w:top w:val="nil"/>
              <w:left w:val="nil"/>
              <w:bottom w:val="nil"/>
              <w:right w:val="nil"/>
            </w:tcBorders>
            <w:shd w:val="clear" w:color="auto" w:fill="auto"/>
            <w:noWrap/>
            <w:vAlign w:val="bottom"/>
            <w:hideMark/>
          </w:tcPr>
          <w:p w14:paraId="3E427D85" w14:textId="77777777" w:rsidR="00FE03C4" w:rsidRDefault="00FE03C4">
            <w:pPr>
              <w:jc w:val="right"/>
              <w:rPr>
                <w:rFonts w:ascii="Calibri" w:hAnsi="Calibri" w:cs="Calibri"/>
                <w:color w:val="000000"/>
              </w:rPr>
            </w:pPr>
            <w:r>
              <w:rPr>
                <w:rFonts w:ascii="Calibri" w:hAnsi="Calibri" w:cs="Calibri"/>
                <w:color w:val="000000"/>
              </w:rPr>
              <w:t>44.5</w:t>
            </w:r>
          </w:p>
        </w:tc>
        <w:tc>
          <w:tcPr>
            <w:tcW w:w="1053" w:type="dxa"/>
            <w:tcBorders>
              <w:top w:val="nil"/>
              <w:left w:val="nil"/>
              <w:bottom w:val="nil"/>
              <w:right w:val="nil"/>
            </w:tcBorders>
            <w:shd w:val="clear" w:color="auto" w:fill="auto"/>
            <w:noWrap/>
            <w:vAlign w:val="bottom"/>
            <w:hideMark/>
          </w:tcPr>
          <w:p w14:paraId="17D637C0" w14:textId="77777777" w:rsidR="00FE03C4" w:rsidRDefault="00FE03C4">
            <w:pPr>
              <w:jc w:val="right"/>
              <w:rPr>
                <w:rFonts w:ascii="Calibri" w:hAnsi="Calibri" w:cs="Calibri"/>
                <w:color w:val="000000"/>
              </w:rPr>
            </w:pPr>
            <w:r>
              <w:rPr>
                <w:rFonts w:ascii="Calibri" w:hAnsi="Calibri" w:cs="Calibri"/>
                <w:color w:val="000000"/>
              </w:rPr>
              <w:t>28.1</w:t>
            </w:r>
          </w:p>
        </w:tc>
      </w:tr>
      <w:tr w:rsidR="00FE03C4" w14:paraId="2F17D6CE" w14:textId="77777777" w:rsidTr="00515808">
        <w:trPr>
          <w:trHeight w:val="288"/>
        </w:trPr>
        <w:tc>
          <w:tcPr>
            <w:tcW w:w="5529" w:type="dxa"/>
            <w:tcBorders>
              <w:top w:val="nil"/>
              <w:left w:val="nil"/>
              <w:bottom w:val="nil"/>
              <w:right w:val="nil"/>
            </w:tcBorders>
            <w:shd w:val="clear" w:color="auto" w:fill="auto"/>
            <w:noWrap/>
            <w:vAlign w:val="bottom"/>
            <w:hideMark/>
          </w:tcPr>
          <w:p w14:paraId="0C5813A9" w14:textId="77777777" w:rsidR="00FE03C4" w:rsidRDefault="00FE03C4">
            <w:pPr>
              <w:rPr>
                <w:rFonts w:ascii="Calibri" w:hAnsi="Calibri" w:cs="Calibri"/>
                <w:color w:val="000000"/>
              </w:rPr>
            </w:pPr>
            <w:r>
              <w:rPr>
                <w:rFonts w:ascii="Calibri" w:hAnsi="Calibri" w:cs="Calibri"/>
                <w:color w:val="000000"/>
              </w:rPr>
              <w:t>Variance</w:t>
            </w:r>
          </w:p>
        </w:tc>
        <w:tc>
          <w:tcPr>
            <w:tcW w:w="691" w:type="dxa"/>
            <w:tcBorders>
              <w:top w:val="nil"/>
              <w:left w:val="nil"/>
              <w:bottom w:val="nil"/>
              <w:right w:val="nil"/>
            </w:tcBorders>
            <w:shd w:val="clear" w:color="auto" w:fill="auto"/>
            <w:noWrap/>
            <w:vAlign w:val="bottom"/>
            <w:hideMark/>
          </w:tcPr>
          <w:p w14:paraId="29F7033A" w14:textId="77777777" w:rsidR="00FE03C4" w:rsidRDefault="00FE03C4">
            <w:pPr>
              <w:jc w:val="right"/>
              <w:rPr>
                <w:rFonts w:ascii="Calibri" w:hAnsi="Calibri" w:cs="Calibri"/>
                <w:color w:val="000000"/>
              </w:rPr>
            </w:pPr>
            <w:r>
              <w:rPr>
                <w:rFonts w:ascii="Calibri" w:hAnsi="Calibri" w:cs="Calibri"/>
                <w:color w:val="000000"/>
              </w:rPr>
              <w:t>75.38888889</w:t>
            </w:r>
          </w:p>
        </w:tc>
        <w:tc>
          <w:tcPr>
            <w:tcW w:w="1053" w:type="dxa"/>
            <w:tcBorders>
              <w:top w:val="nil"/>
              <w:left w:val="nil"/>
              <w:bottom w:val="nil"/>
              <w:right w:val="nil"/>
            </w:tcBorders>
            <w:shd w:val="clear" w:color="auto" w:fill="auto"/>
            <w:noWrap/>
            <w:vAlign w:val="bottom"/>
            <w:hideMark/>
          </w:tcPr>
          <w:p w14:paraId="044390D4" w14:textId="77777777" w:rsidR="00FE03C4" w:rsidRDefault="00FE03C4">
            <w:pPr>
              <w:jc w:val="right"/>
              <w:rPr>
                <w:rFonts w:ascii="Calibri" w:hAnsi="Calibri" w:cs="Calibri"/>
                <w:color w:val="000000"/>
              </w:rPr>
            </w:pPr>
            <w:r>
              <w:rPr>
                <w:rFonts w:ascii="Calibri" w:hAnsi="Calibri" w:cs="Calibri"/>
                <w:color w:val="000000"/>
              </w:rPr>
              <w:t>72.98889</w:t>
            </w:r>
          </w:p>
        </w:tc>
      </w:tr>
      <w:tr w:rsidR="00FE03C4" w14:paraId="352A5F0B" w14:textId="77777777" w:rsidTr="00515808">
        <w:trPr>
          <w:trHeight w:val="288"/>
        </w:trPr>
        <w:tc>
          <w:tcPr>
            <w:tcW w:w="5529" w:type="dxa"/>
            <w:tcBorders>
              <w:top w:val="nil"/>
              <w:left w:val="nil"/>
              <w:bottom w:val="nil"/>
              <w:right w:val="nil"/>
            </w:tcBorders>
            <w:shd w:val="clear" w:color="auto" w:fill="auto"/>
            <w:noWrap/>
            <w:vAlign w:val="bottom"/>
            <w:hideMark/>
          </w:tcPr>
          <w:p w14:paraId="409862BF" w14:textId="77777777" w:rsidR="00FE03C4" w:rsidRDefault="00FE03C4">
            <w:pPr>
              <w:rPr>
                <w:rFonts w:ascii="Calibri" w:hAnsi="Calibri" w:cs="Calibri"/>
                <w:color w:val="000000"/>
              </w:rPr>
            </w:pPr>
            <w:r>
              <w:rPr>
                <w:rFonts w:ascii="Calibri" w:hAnsi="Calibri" w:cs="Calibri"/>
                <w:color w:val="000000"/>
              </w:rPr>
              <w:t>Observations</w:t>
            </w:r>
          </w:p>
        </w:tc>
        <w:tc>
          <w:tcPr>
            <w:tcW w:w="691" w:type="dxa"/>
            <w:tcBorders>
              <w:top w:val="nil"/>
              <w:left w:val="nil"/>
              <w:bottom w:val="nil"/>
              <w:right w:val="nil"/>
            </w:tcBorders>
            <w:shd w:val="clear" w:color="auto" w:fill="auto"/>
            <w:noWrap/>
            <w:vAlign w:val="bottom"/>
            <w:hideMark/>
          </w:tcPr>
          <w:p w14:paraId="3110FEEC" w14:textId="77777777" w:rsidR="00FE03C4" w:rsidRDefault="00FE03C4">
            <w:pPr>
              <w:jc w:val="right"/>
              <w:rPr>
                <w:rFonts w:ascii="Calibri" w:hAnsi="Calibri" w:cs="Calibri"/>
                <w:color w:val="000000"/>
              </w:rPr>
            </w:pPr>
            <w:r>
              <w:rPr>
                <w:rFonts w:ascii="Calibri" w:hAnsi="Calibri" w:cs="Calibri"/>
                <w:color w:val="000000"/>
              </w:rPr>
              <w:t>10</w:t>
            </w:r>
          </w:p>
        </w:tc>
        <w:tc>
          <w:tcPr>
            <w:tcW w:w="1053" w:type="dxa"/>
            <w:tcBorders>
              <w:top w:val="nil"/>
              <w:left w:val="nil"/>
              <w:bottom w:val="nil"/>
              <w:right w:val="nil"/>
            </w:tcBorders>
            <w:shd w:val="clear" w:color="auto" w:fill="auto"/>
            <w:noWrap/>
            <w:vAlign w:val="bottom"/>
            <w:hideMark/>
          </w:tcPr>
          <w:p w14:paraId="74106CC9" w14:textId="77777777" w:rsidR="00FE03C4" w:rsidRDefault="00FE03C4">
            <w:pPr>
              <w:jc w:val="right"/>
              <w:rPr>
                <w:rFonts w:ascii="Calibri" w:hAnsi="Calibri" w:cs="Calibri"/>
                <w:color w:val="000000"/>
              </w:rPr>
            </w:pPr>
            <w:r>
              <w:rPr>
                <w:rFonts w:ascii="Calibri" w:hAnsi="Calibri" w:cs="Calibri"/>
                <w:color w:val="000000"/>
              </w:rPr>
              <w:t>10</w:t>
            </w:r>
          </w:p>
        </w:tc>
      </w:tr>
      <w:tr w:rsidR="003A6CC4" w14:paraId="03FEF9AD" w14:textId="77777777" w:rsidTr="00515808">
        <w:trPr>
          <w:trHeight w:val="288"/>
        </w:trPr>
        <w:tc>
          <w:tcPr>
            <w:tcW w:w="5529" w:type="dxa"/>
            <w:tcBorders>
              <w:top w:val="nil"/>
              <w:left w:val="nil"/>
              <w:bottom w:val="nil"/>
              <w:right w:val="nil"/>
            </w:tcBorders>
            <w:shd w:val="clear" w:color="auto" w:fill="auto"/>
            <w:noWrap/>
            <w:vAlign w:val="bottom"/>
          </w:tcPr>
          <w:p w14:paraId="6C5A4541" w14:textId="0B07B33F" w:rsidR="003A6CC4" w:rsidRDefault="003A6CC4" w:rsidP="003A6CC4">
            <w:pPr>
              <w:rPr>
                <w:rFonts w:ascii="Calibri" w:hAnsi="Calibri" w:cs="Calibri"/>
                <w:color w:val="000000"/>
              </w:rPr>
            </w:pPr>
            <w:r>
              <w:rPr>
                <w:rFonts w:ascii="Calibri" w:hAnsi="Calibri" w:cs="Calibri"/>
                <w:color w:val="000000"/>
              </w:rPr>
              <w:t>Hypothesized Mean Difference</w:t>
            </w:r>
          </w:p>
        </w:tc>
        <w:tc>
          <w:tcPr>
            <w:tcW w:w="691" w:type="dxa"/>
            <w:tcBorders>
              <w:top w:val="nil"/>
              <w:left w:val="nil"/>
              <w:bottom w:val="nil"/>
              <w:right w:val="nil"/>
            </w:tcBorders>
            <w:shd w:val="clear" w:color="auto" w:fill="auto"/>
            <w:noWrap/>
            <w:vAlign w:val="bottom"/>
          </w:tcPr>
          <w:p w14:paraId="5E1FC6CC" w14:textId="3E8BAA75" w:rsidR="003A6CC4" w:rsidRDefault="003A6CC4" w:rsidP="003A6CC4">
            <w:pPr>
              <w:jc w:val="right"/>
              <w:rPr>
                <w:rFonts w:ascii="Calibri" w:hAnsi="Calibri" w:cs="Calibri"/>
                <w:color w:val="000000"/>
              </w:rPr>
            </w:pPr>
            <w:r>
              <w:rPr>
                <w:rFonts w:ascii="Calibri" w:hAnsi="Calibri" w:cs="Calibri"/>
                <w:color w:val="000000"/>
              </w:rPr>
              <w:t>0</w:t>
            </w:r>
          </w:p>
        </w:tc>
        <w:tc>
          <w:tcPr>
            <w:tcW w:w="1053" w:type="dxa"/>
            <w:tcBorders>
              <w:top w:val="nil"/>
              <w:left w:val="nil"/>
              <w:bottom w:val="nil"/>
              <w:right w:val="nil"/>
            </w:tcBorders>
            <w:shd w:val="clear" w:color="auto" w:fill="auto"/>
            <w:noWrap/>
            <w:vAlign w:val="bottom"/>
          </w:tcPr>
          <w:p w14:paraId="041A6771" w14:textId="77777777" w:rsidR="003A6CC4" w:rsidRDefault="003A6CC4" w:rsidP="003A6CC4">
            <w:pPr>
              <w:jc w:val="right"/>
              <w:rPr>
                <w:rFonts w:ascii="Calibri" w:hAnsi="Calibri" w:cs="Calibri"/>
                <w:color w:val="000000"/>
              </w:rPr>
            </w:pPr>
          </w:p>
        </w:tc>
      </w:tr>
      <w:tr w:rsidR="003A6CC4" w14:paraId="1205B8A4" w14:textId="77777777" w:rsidTr="00515808">
        <w:trPr>
          <w:trHeight w:val="288"/>
        </w:trPr>
        <w:tc>
          <w:tcPr>
            <w:tcW w:w="5529" w:type="dxa"/>
            <w:tcBorders>
              <w:top w:val="nil"/>
              <w:left w:val="nil"/>
              <w:bottom w:val="nil"/>
              <w:right w:val="nil"/>
            </w:tcBorders>
            <w:shd w:val="clear" w:color="auto" w:fill="auto"/>
            <w:noWrap/>
            <w:vAlign w:val="bottom"/>
          </w:tcPr>
          <w:p w14:paraId="7D5E439E" w14:textId="0089195D" w:rsidR="003A6CC4" w:rsidRDefault="003A6CC4" w:rsidP="003A6CC4">
            <w:pPr>
              <w:rPr>
                <w:rFonts w:ascii="Calibri" w:hAnsi="Calibri" w:cs="Calibri"/>
                <w:color w:val="000000"/>
              </w:rPr>
            </w:pPr>
            <w:r>
              <w:rPr>
                <w:rFonts w:ascii="Calibri" w:hAnsi="Calibri" w:cs="Calibri"/>
                <w:color w:val="000000"/>
              </w:rPr>
              <w:t>Df</w:t>
            </w:r>
          </w:p>
        </w:tc>
        <w:tc>
          <w:tcPr>
            <w:tcW w:w="691" w:type="dxa"/>
            <w:tcBorders>
              <w:top w:val="nil"/>
              <w:left w:val="nil"/>
              <w:bottom w:val="nil"/>
              <w:right w:val="nil"/>
            </w:tcBorders>
            <w:shd w:val="clear" w:color="auto" w:fill="auto"/>
            <w:noWrap/>
            <w:vAlign w:val="bottom"/>
          </w:tcPr>
          <w:p w14:paraId="2454FFBC" w14:textId="269EB797" w:rsidR="003A6CC4" w:rsidRDefault="003A6CC4" w:rsidP="003A6CC4">
            <w:pPr>
              <w:jc w:val="right"/>
              <w:rPr>
                <w:rFonts w:ascii="Calibri" w:hAnsi="Calibri" w:cs="Calibri"/>
                <w:color w:val="000000"/>
              </w:rPr>
            </w:pPr>
            <w:r>
              <w:rPr>
                <w:rFonts w:ascii="Calibri" w:hAnsi="Calibri" w:cs="Calibri"/>
                <w:color w:val="000000"/>
              </w:rPr>
              <w:t>18</w:t>
            </w:r>
          </w:p>
        </w:tc>
        <w:tc>
          <w:tcPr>
            <w:tcW w:w="1053" w:type="dxa"/>
            <w:tcBorders>
              <w:top w:val="nil"/>
              <w:left w:val="nil"/>
              <w:bottom w:val="nil"/>
              <w:right w:val="nil"/>
            </w:tcBorders>
            <w:shd w:val="clear" w:color="auto" w:fill="auto"/>
            <w:noWrap/>
            <w:vAlign w:val="bottom"/>
          </w:tcPr>
          <w:p w14:paraId="6BE3822C" w14:textId="77777777" w:rsidR="003A6CC4" w:rsidRDefault="003A6CC4" w:rsidP="003A6CC4">
            <w:pPr>
              <w:jc w:val="right"/>
              <w:rPr>
                <w:rFonts w:ascii="Calibri" w:hAnsi="Calibri" w:cs="Calibri"/>
                <w:color w:val="000000"/>
              </w:rPr>
            </w:pPr>
          </w:p>
        </w:tc>
      </w:tr>
      <w:tr w:rsidR="003A6CC4" w14:paraId="63BC29D5" w14:textId="77777777" w:rsidTr="00515808">
        <w:trPr>
          <w:trHeight w:val="288"/>
        </w:trPr>
        <w:tc>
          <w:tcPr>
            <w:tcW w:w="5529" w:type="dxa"/>
            <w:tcBorders>
              <w:top w:val="nil"/>
              <w:left w:val="nil"/>
              <w:bottom w:val="nil"/>
              <w:right w:val="nil"/>
            </w:tcBorders>
            <w:shd w:val="clear" w:color="auto" w:fill="auto"/>
            <w:noWrap/>
            <w:vAlign w:val="bottom"/>
          </w:tcPr>
          <w:p w14:paraId="597C9E54" w14:textId="449DBDC6" w:rsidR="003A6CC4" w:rsidRDefault="003A6CC4" w:rsidP="003A6CC4">
            <w:pPr>
              <w:rPr>
                <w:rFonts w:ascii="Calibri" w:hAnsi="Calibri" w:cs="Calibri"/>
                <w:color w:val="000000"/>
              </w:rPr>
            </w:pPr>
            <w:r>
              <w:rPr>
                <w:rFonts w:ascii="Calibri" w:hAnsi="Calibri" w:cs="Calibri"/>
                <w:color w:val="000000"/>
              </w:rPr>
              <w:t>t Stat</w:t>
            </w:r>
          </w:p>
        </w:tc>
        <w:tc>
          <w:tcPr>
            <w:tcW w:w="691" w:type="dxa"/>
            <w:tcBorders>
              <w:top w:val="nil"/>
              <w:left w:val="nil"/>
              <w:bottom w:val="nil"/>
              <w:right w:val="nil"/>
            </w:tcBorders>
            <w:shd w:val="clear" w:color="auto" w:fill="auto"/>
            <w:noWrap/>
            <w:vAlign w:val="bottom"/>
          </w:tcPr>
          <w:p w14:paraId="1CD2EBF0" w14:textId="72863642" w:rsidR="003A6CC4" w:rsidRDefault="003A6CC4" w:rsidP="003A6CC4">
            <w:pPr>
              <w:jc w:val="right"/>
              <w:rPr>
                <w:rFonts w:ascii="Calibri" w:hAnsi="Calibri" w:cs="Calibri"/>
                <w:color w:val="000000"/>
              </w:rPr>
            </w:pPr>
            <w:r>
              <w:rPr>
                <w:rFonts w:ascii="Calibri" w:hAnsi="Calibri" w:cs="Calibri"/>
                <w:color w:val="000000"/>
              </w:rPr>
              <w:t>4.257546666</w:t>
            </w:r>
          </w:p>
        </w:tc>
        <w:tc>
          <w:tcPr>
            <w:tcW w:w="1053" w:type="dxa"/>
            <w:tcBorders>
              <w:top w:val="nil"/>
              <w:left w:val="nil"/>
              <w:bottom w:val="nil"/>
              <w:right w:val="nil"/>
            </w:tcBorders>
            <w:shd w:val="clear" w:color="auto" w:fill="auto"/>
            <w:noWrap/>
            <w:vAlign w:val="bottom"/>
          </w:tcPr>
          <w:p w14:paraId="62B20D7C" w14:textId="77777777" w:rsidR="003A6CC4" w:rsidRDefault="003A6CC4" w:rsidP="003A6CC4">
            <w:pPr>
              <w:jc w:val="right"/>
              <w:rPr>
                <w:rFonts w:ascii="Calibri" w:hAnsi="Calibri" w:cs="Calibri"/>
                <w:color w:val="000000"/>
              </w:rPr>
            </w:pPr>
          </w:p>
        </w:tc>
      </w:tr>
      <w:tr w:rsidR="003A6CC4" w14:paraId="68134A94" w14:textId="77777777" w:rsidTr="00515808">
        <w:trPr>
          <w:trHeight w:val="288"/>
        </w:trPr>
        <w:tc>
          <w:tcPr>
            <w:tcW w:w="5529" w:type="dxa"/>
            <w:tcBorders>
              <w:top w:val="nil"/>
              <w:left w:val="nil"/>
              <w:bottom w:val="nil"/>
              <w:right w:val="nil"/>
            </w:tcBorders>
            <w:shd w:val="clear" w:color="auto" w:fill="auto"/>
            <w:noWrap/>
            <w:vAlign w:val="bottom"/>
          </w:tcPr>
          <w:p w14:paraId="4332B536" w14:textId="4720FA9D" w:rsidR="003A6CC4" w:rsidRDefault="003A6CC4" w:rsidP="003A6CC4">
            <w:pPr>
              <w:rPr>
                <w:rFonts w:ascii="Calibri" w:hAnsi="Calibri" w:cs="Calibri"/>
                <w:color w:val="000000"/>
              </w:rPr>
            </w:pPr>
            <w:r>
              <w:rPr>
                <w:rFonts w:ascii="Calibri" w:hAnsi="Calibri" w:cs="Calibri"/>
                <w:color w:val="000000"/>
              </w:rPr>
              <w:t>P(T&lt;=t) one-tail</w:t>
            </w:r>
          </w:p>
        </w:tc>
        <w:tc>
          <w:tcPr>
            <w:tcW w:w="691" w:type="dxa"/>
            <w:tcBorders>
              <w:top w:val="nil"/>
              <w:left w:val="nil"/>
              <w:bottom w:val="nil"/>
              <w:right w:val="nil"/>
            </w:tcBorders>
            <w:shd w:val="clear" w:color="auto" w:fill="auto"/>
            <w:noWrap/>
            <w:vAlign w:val="bottom"/>
          </w:tcPr>
          <w:p w14:paraId="0B5EB083" w14:textId="573B339F" w:rsidR="003A6CC4" w:rsidRDefault="003A6CC4" w:rsidP="003A6CC4">
            <w:pPr>
              <w:jc w:val="right"/>
              <w:rPr>
                <w:rFonts w:ascii="Calibri" w:hAnsi="Calibri" w:cs="Calibri"/>
                <w:color w:val="000000"/>
              </w:rPr>
            </w:pPr>
            <w:r>
              <w:rPr>
                <w:rFonts w:ascii="Calibri" w:hAnsi="Calibri" w:cs="Calibri"/>
                <w:color w:val="000000"/>
              </w:rPr>
              <w:t>0.000236832</w:t>
            </w:r>
          </w:p>
        </w:tc>
        <w:tc>
          <w:tcPr>
            <w:tcW w:w="1053" w:type="dxa"/>
            <w:tcBorders>
              <w:top w:val="nil"/>
              <w:left w:val="nil"/>
              <w:bottom w:val="nil"/>
              <w:right w:val="nil"/>
            </w:tcBorders>
            <w:shd w:val="clear" w:color="auto" w:fill="auto"/>
            <w:noWrap/>
            <w:vAlign w:val="bottom"/>
          </w:tcPr>
          <w:p w14:paraId="4AA6478A" w14:textId="77777777" w:rsidR="003A6CC4" w:rsidRDefault="003A6CC4" w:rsidP="003A6CC4">
            <w:pPr>
              <w:jc w:val="right"/>
              <w:rPr>
                <w:rFonts w:ascii="Calibri" w:hAnsi="Calibri" w:cs="Calibri"/>
                <w:color w:val="000000"/>
              </w:rPr>
            </w:pPr>
          </w:p>
        </w:tc>
      </w:tr>
      <w:tr w:rsidR="003A6CC4" w14:paraId="051B3B04" w14:textId="77777777" w:rsidTr="00515808">
        <w:trPr>
          <w:trHeight w:val="288"/>
        </w:trPr>
        <w:tc>
          <w:tcPr>
            <w:tcW w:w="5529" w:type="dxa"/>
            <w:tcBorders>
              <w:top w:val="nil"/>
              <w:left w:val="nil"/>
              <w:bottom w:val="nil"/>
              <w:right w:val="nil"/>
            </w:tcBorders>
            <w:shd w:val="clear" w:color="auto" w:fill="auto"/>
            <w:noWrap/>
            <w:vAlign w:val="bottom"/>
          </w:tcPr>
          <w:p w14:paraId="37696143" w14:textId="00B3BD48" w:rsidR="003A6CC4" w:rsidRDefault="003A6CC4" w:rsidP="003A6CC4">
            <w:pPr>
              <w:rPr>
                <w:rFonts w:ascii="Calibri" w:hAnsi="Calibri" w:cs="Calibri"/>
                <w:color w:val="000000"/>
              </w:rPr>
            </w:pPr>
            <w:r>
              <w:rPr>
                <w:rFonts w:ascii="Calibri" w:hAnsi="Calibri" w:cs="Calibri"/>
                <w:color w:val="000000"/>
              </w:rPr>
              <w:t>t Critical one-tail</w:t>
            </w:r>
          </w:p>
        </w:tc>
        <w:tc>
          <w:tcPr>
            <w:tcW w:w="691" w:type="dxa"/>
            <w:tcBorders>
              <w:top w:val="nil"/>
              <w:left w:val="nil"/>
              <w:bottom w:val="nil"/>
              <w:right w:val="nil"/>
            </w:tcBorders>
            <w:shd w:val="clear" w:color="auto" w:fill="auto"/>
            <w:noWrap/>
            <w:vAlign w:val="bottom"/>
          </w:tcPr>
          <w:p w14:paraId="60C52B71" w14:textId="0A7128CF" w:rsidR="003A6CC4" w:rsidRDefault="003A6CC4" w:rsidP="003A6CC4">
            <w:pPr>
              <w:jc w:val="right"/>
              <w:rPr>
                <w:rFonts w:ascii="Calibri" w:hAnsi="Calibri" w:cs="Calibri"/>
                <w:color w:val="000000"/>
              </w:rPr>
            </w:pPr>
            <w:r>
              <w:rPr>
                <w:rFonts w:ascii="Calibri" w:hAnsi="Calibri" w:cs="Calibri"/>
                <w:color w:val="000000"/>
              </w:rPr>
              <w:t>2.55237963</w:t>
            </w:r>
          </w:p>
        </w:tc>
        <w:tc>
          <w:tcPr>
            <w:tcW w:w="1053" w:type="dxa"/>
            <w:tcBorders>
              <w:top w:val="nil"/>
              <w:left w:val="nil"/>
              <w:bottom w:val="nil"/>
              <w:right w:val="nil"/>
            </w:tcBorders>
            <w:shd w:val="clear" w:color="auto" w:fill="auto"/>
            <w:noWrap/>
            <w:vAlign w:val="bottom"/>
          </w:tcPr>
          <w:p w14:paraId="072081AB" w14:textId="77777777" w:rsidR="003A6CC4" w:rsidRDefault="003A6CC4" w:rsidP="003A6CC4">
            <w:pPr>
              <w:jc w:val="right"/>
              <w:rPr>
                <w:rFonts w:ascii="Calibri" w:hAnsi="Calibri" w:cs="Calibri"/>
                <w:color w:val="000000"/>
              </w:rPr>
            </w:pPr>
          </w:p>
        </w:tc>
      </w:tr>
      <w:tr w:rsidR="003A6CC4" w14:paraId="1618D6BC" w14:textId="77777777" w:rsidTr="00515808">
        <w:trPr>
          <w:trHeight w:val="288"/>
        </w:trPr>
        <w:tc>
          <w:tcPr>
            <w:tcW w:w="5529" w:type="dxa"/>
            <w:tcBorders>
              <w:top w:val="nil"/>
              <w:left w:val="nil"/>
              <w:bottom w:val="nil"/>
              <w:right w:val="nil"/>
            </w:tcBorders>
            <w:shd w:val="clear" w:color="auto" w:fill="auto"/>
            <w:noWrap/>
            <w:vAlign w:val="bottom"/>
          </w:tcPr>
          <w:p w14:paraId="61F0EADF" w14:textId="51F2B7EC" w:rsidR="003A6CC4" w:rsidRDefault="003A6CC4" w:rsidP="003A6CC4">
            <w:pPr>
              <w:rPr>
                <w:rFonts w:ascii="Calibri" w:hAnsi="Calibri" w:cs="Calibri"/>
                <w:color w:val="000000"/>
              </w:rPr>
            </w:pPr>
            <w:r>
              <w:rPr>
                <w:rFonts w:ascii="Calibri" w:hAnsi="Calibri" w:cs="Calibri"/>
                <w:color w:val="000000"/>
              </w:rPr>
              <w:t>P(T&lt;=t) two-tail</w:t>
            </w:r>
          </w:p>
        </w:tc>
        <w:tc>
          <w:tcPr>
            <w:tcW w:w="691" w:type="dxa"/>
            <w:tcBorders>
              <w:top w:val="nil"/>
              <w:left w:val="nil"/>
              <w:bottom w:val="nil"/>
              <w:right w:val="nil"/>
            </w:tcBorders>
            <w:shd w:val="clear" w:color="auto" w:fill="auto"/>
            <w:noWrap/>
            <w:vAlign w:val="bottom"/>
          </w:tcPr>
          <w:p w14:paraId="726F5C5A" w14:textId="6786B977" w:rsidR="003A6CC4" w:rsidRDefault="003A6CC4" w:rsidP="003A6CC4">
            <w:pPr>
              <w:jc w:val="right"/>
              <w:rPr>
                <w:rFonts w:ascii="Calibri" w:hAnsi="Calibri" w:cs="Calibri"/>
                <w:color w:val="000000"/>
              </w:rPr>
            </w:pPr>
            <w:r>
              <w:rPr>
                <w:rFonts w:ascii="Calibri" w:hAnsi="Calibri" w:cs="Calibri"/>
                <w:color w:val="000000"/>
              </w:rPr>
              <w:t>0.000473663</w:t>
            </w:r>
          </w:p>
        </w:tc>
        <w:tc>
          <w:tcPr>
            <w:tcW w:w="1053" w:type="dxa"/>
            <w:tcBorders>
              <w:top w:val="nil"/>
              <w:left w:val="nil"/>
              <w:bottom w:val="nil"/>
              <w:right w:val="nil"/>
            </w:tcBorders>
            <w:shd w:val="clear" w:color="auto" w:fill="auto"/>
            <w:noWrap/>
            <w:vAlign w:val="bottom"/>
          </w:tcPr>
          <w:p w14:paraId="3536E5C0" w14:textId="77777777" w:rsidR="003A6CC4" w:rsidRDefault="003A6CC4" w:rsidP="003A6CC4">
            <w:pPr>
              <w:jc w:val="right"/>
              <w:rPr>
                <w:rFonts w:ascii="Calibri" w:hAnsi="Calibri" w:cs="Calibri"/>
                <w:color w:val="000000"/>
              </w:rPr>
            </w:pPr>
          </w:p>
        </w:tc>
      </w:tr>
      <w:tr w:rsidR="003A6CC4" w14:paraId="373A5564" w14:textId="77777777" w:rsidTr="00515808">
        <w:trPr>
          <w:trHeight w:val="288"/>
        </w:trPr>
        <w:tc>
          <w:tcPr>
            <w:tcW w:w="5529" w:type="dxa"/>
            <w:tcBorders>
              <w:top w:val="nil"/>
              <w:left w:val="nil"/>
              <w:bottom w:val="nil"/>
              <w:right w:val="nil"/>
            </w:tcBorders>
            <w:shd w:val="clear" w:color="auto" w:fill="auto"/>
            <w:noWrap/>
            <w:vAlign w:val="bottom"/>
          </w:tcPr>
          <w:p w14:paraId="1CD2A3A9" w14:textId="53EAB046" w:rsidR="003A6CC4" w:rsidRDefault="003A6CC4" w:rsidP="003A6CC4">
            <w:pPr>
              <w:rPr>
                <w:rFonts w:ascii="Calibri" w:hAnsi="Calibri" w:cs="Calibri"/>
                <w:color w:val="000000"/>
              </w:rPr>
            </w:pPr>
            <w:r>
              <w:rPr>
                <w:rFonts w:ascii="Calibri" w:hAnsi="Calibri" w:cs="Calibri"/>
                <w:color w:val="000000"/>
              </w:rPr>
              <w:t>t Critical two-tail</w:t>
            </w:r>
          </w:p>
        </w:tc>
        <w:tc>
          <w:tcPr>
            <w:tcW w:w="691" w:type="dxa"/>
            <w:tcBorders>
              <w:top w:val="nil"/>
              <w:left w:val="nil"/>
              <w:bottom w:val="nil"/>
              <w:right w:val="nil"/>
            </w:tcBorders>
            <w:shd w:val="clear" w:color="auto" w:fill="auto"/>
            <w:noWrap/>
            <w:vAlign w:val="bottom"/>
          </w:tcPr>
          <w:p w14:paraId="57DD467C" w14:textId="6D794A30" w:rsidR="003A6CC4" w:rsidRDefault="003A6CC4" w:rsidP="003A6CC4">
            <w:pPr>
              <w:jc w:val="right"/>
              <w:rPr>
                <w:rFonts w:ascii="Calibri" w:hAnsi="Calibri" w:cs="Calibri"/>
                <w:color w:val="000000"/>
              </w:rPr>
            </w:pPr>
            <w:r>
              <w:rPr>
                <w:rFonts w:ascii="Calibri" w:hAnsi="Calibri" w:cs="Calibri"/>
                <w:color w:val="000000"/>
              </w:rPr>
              <w:t>2.878440473</w:t>
            </w:r>
          </w:p>
        </w:tc>
        <w:tc>
          <w:tcPr>
            <w:tcW w:w="1053" w:type="dxa"/>
            <w:tcBorders>
              <w:top w:val="nil"/>
              <w:left w:val="nil"/>
              <w:bottom w:val="nil"/>
              <w:right w:val="nil"/>
            </w:tcBorders>
            <w:shd w:val="clear" w:color="auto" w:fill="auto"/>
            <w:noWrap/>
            <w:vAlign w:val="bottom"/>
          </w:tcPr>
          <w:p w14:paraId="5EE5F6CF" w14:textId="61200EB1" w:rsidR="003A6CC4" w:rsidRDefault="003A6CC4" w:rsidP="003A6CC4">
            <w:pPr>
              <w:jc w:val="right"/>
              <w:rPr>
                <w:rFonts w:ascii="Calibri" w:hAnsi="Calibri" w:cs="Calibri"/>
                <w:color w:val="000000"/>
              </w:rPr>
            </w:pPr>
            <w:r>
              <w:rPr>
                <w:rFonts w:ascii="Calibri" w:hAnsi="Calibri" w:cs="Calibri"/>
                <w:color w:val="000000"/>
              </w:rPr>
              <w:t> </w:t>
            </w:r>
          </w:p>
        </w:tc>
      </w:tr>
      <w:bookmarkEnd w:id="2"/>
    </w:tbl>
    <w:p w14:paraId="020FC969" w14:textId="45A3246B" w:rsidR="00866F8E" w:rsidRDefault="00866F8E"/>
    <w:p w14:paraId="6C687678" w14:textId="04B2016E" w:rsidR="00B052CD" w:rsidRDefault="00692877">
      <w:r>
        <w:t>S</w:t>
      </w:r>
      <w:r w:rsidR="00EF2BB7">
        <w:t>ince it is a two-tailed test</w:t>
      </w:r>
      <w:r w:rsidR="003C20D3">
        <w:t xml:space="preserve"> </w:t>
      </w:r>
      <w:r w:rsidR="00D66C4B">
        <w:t>[</w:t>
      </w:r>
      <w:r w:rsidR="0033405A">
        <w:t>9</w:t>
      </w:r>
      <w:r w:rsidR="00D66C4B">
        <w:t>]</w:t>
      </w:r>
      <w:r>
        <w:t>,</w:t>
      </w:r>
      <w:r w:rsidR="00EF2BB7">
        <w:t xml:space="preserve"> </w:t>
      </w:r>
      <w:r w:rsidR="00E8547B">
        <w:t xml:space="preserve">at p=0.01 and degrees of freedom (df) at 18, </w:t>
      </w:r>
      <w:r w:rsidR="00EF2BB7">
        <w:t xml:space="preserve">the corresponding </w:t>
      </w:r>
      <w:r w:rsidR="00B052CD">
        <w:t xml:space="preserve">critical value is 2.88 </w:t>
      </w:r>
      <w:r w:rsidR="00E8547B">
        <w:t>in the t-table log.  This matches the obtained t critical two-tailed value in Table 2 above</w:t>
      </w:r>
      <w:r w:rsidR="007E3E48">
        <w:t>, providing further validation</w:t>
      </w:r>
      <w:r w:rsidR="00C464F4">
        <w:t xml:space="preserve"> that the test above is correct</w:t>
      </w:r>
      <w:r w:rsidR="00E8547B">
        <w:t xml:space="preserve">.  </w:t>
      </w:r>
      <w:r w:rsidR="00425F48">
        <w:t xml:space="preserve">In Table 2, the </w:t>
      </w:r>
      <w:r w:rsidR="00B052CD">
        <w:t xml:space="preserve">t Stat value </w:t>
      </w:r>
      <w:r w:rsidR="00003912">
        <w:t xml:space="preserve">is </w:t>
      </w:r>
      <w:r w:rsidR="00B052CD">
        <w:t>4.25</w:t>
      </w:r>
      <w:r w:rsidR="00425F48">
        <w:t>, which is greater than t critical value 2</w:t>
      </w:r>
      <w:r w:rsidR="00003912">
        <w:t>.88</w:t>
      </w:r>
      <w:r w:rsidR="00425F48">
        <w:t>.  A</w:t>
      </w:r>
      <w:r w:rsidR="00003912">
        <w:t>s a result</w:t>
      </w:r>
      <w:r w:rsidR="00425F48">
        <w:t>,</w:t>
      </w:r>
      <w:r w:rsidR="00003912">
        <w:t xml:space="preserve"> </w:t>
      </w:r>
      <w:r w:rsidR="00425F48">
        <w:t xml:space="preserve">the </w:t>
      </w:r>
      <w:r w:rsidR="00003912">
        <w:t>null hypothesis</w:t>
      </w:r>
      <w:r w:rsidR="00425F48">
        <w:t xml:space="preserve"> can be rejected</w:t>
      </w:r>
      <w:r w:rsidR="00003912">
        <w:t xml:space="preserve">. </w:t>
      </w:r>
      <w:r w:rsidR="00425F48">
        <w:t xml:space="preserve"> Also, the </w:t>
      </w:r>
      <w:r w:rsidR="00A73D4F">
        <w:rPr>
          <w:rFonts w:cstheme="minorHAnsi"/>
        </w:rPr>
        <w:t>α</w:t>
      </w:r>
      <w:r w:rsidR="00425F48" w:rsidRPr="00A73D4F">
        <w:t xml:space="preserve"> s</w:t>
      </w:r>
      <w:r w:rsidR="00425F48">
        <w:t xml:space="preserve">et at </w:t>
      </w:r>
      <w:r w:rsidR="00003912">
        <w:t>0.01</w:t>
      </w:r>
      <w:r w:rsidR="00425F48">
        <w:t xml:space="preserve"> for the t test above</w:t>
      </w:r>
      <w:r w:rsidR="00003912">
        <w:t xml:space="preserve"> is greater that the P two-tailed </w:t>
      </w:r>
      <w:r w:rsidR="00425F48">
        <w:t xml:space="preserve">value </w:t>
      </w:r>
      <w:r w:rsidR="00003912">
        <w:t>0.000</w:t>
      </w:r>
      <w:r w:rsidR="004869E3">
        <w:t>4</w:t>
      </w:r>
      <w:r w:rsidR="00425F48">
        <w:t xml:space="preserve"> in Table 2 above</w:t>
      </w:r>
      <w:r w:rsidR="004869E3">
        <w:t xml:space="preserve">, again </w:t>
      </w:r>
      <w:r w:rsidR="00425F48">
        <w:t xml:space="preserve">proving that the </w:t>
      </w:r>
      <w:r w:rsidR="004869E3">
        <w:t>null hypothesis</w:t>
      </w:r>
      <w:r w:rsidR="00425F48">
        <w:t xml:space="preserve"> can be rejected</w:t>
      </w:r>
      <w:r w:rsidR="004869E3">
        <w:t>.</w:t>
      </w:r>
    </w:p>
    <w:p w14:paraId="105D847C" w14:textId="15A5E040" w:rsidR="00995F88" w:rsidRDefault="00EA1396">
      <w:r>
        <w:t>This means that the alternative hypothesis below (from section B) can be accepted.</w:t>
      </w:r>
    </w:p>
    <w:p w14:paraId="5850226E" w14:textId="77777777" w:rsidR="00EA1396" w:rsidRDefault="00EA1396" w:rsidP="00EA1396">
      <w:r>
        <w:t>H</w:t>
      </w:r>
      <w:r>
        <w:rPr>
          <w:vertAlign w:val="subscript"/>
        </w:rPr>
        <w:t>a</w:t>
      </w:r>
      <w:r>
        <w:t>: There is a statistically significant difference between the university experience satisfaction of Mature students (MS) and the Young students (YS).</w:t>
      </w:r>
    </w:p>
    <w:p w14:paraId="1798B478" w14:textId="2D989B98" w:rsidR="00EA1396" w:rsidRDefault="00EA1396" w:rsidP="00EA1396">
      <w:pPr>
        <w:rPr>
          <w:rFonts w:cstheme="minorHAnsi"/>
          <w:vertAlign w:val="subscript"/>
        </w:rPr>
      </w:pPr>
      <w:r>
        <w:tab/>
      </w:r>
      <w:r>
        <w:tab/>
        <w:t>H</w:t>
      </w:r>
      <w:r>
        <w:rPr>
          <w:vertAlign w:val="subscript"/>
        </w:rPr>
        <w:t>a</w:t>
      </w:r>
      <w:r>
        <w:t xml:space="preserve">: </w:t>
      </w:r>
      <w:r>
        <w:rPr>
          <w:rFonts w:cstheme="minorHAnsi"/>
        </w:rPr>
        <w:t>µ</w:t>
      </w:r>
      <w:r>
        <w:rPr>
          <w:rFonts w:cstheme="minorHAnsi"/>
          <w:vertAlign w:val="subscript"/>
        </w:rPr>
        <w:t>MS</w:t>
      </w:r>
      <w:r>
        <w:rPr>
          <w:rFonts w:cstheme="minorHAnsi"/>
        </w:rPr>
        <w:t xml:space="preserve"> ≠ µ</w:t>
      </w:r>
      <w:r>
        <w:rPr>
          <w:rFonts w:cstheme="minorHAnsi"/>
          <w:vertAlign w:val="subscript"/>
        </w:rPr>
        <w:t>YS</w:t>
      </w:r>
    </w:p>
    <w:p w14:paraId="3185C1B2" w14:textId="0248088A" w:rsidR="00E07D39" w:rsidRPr="00EA1396" w:rsidRDefault="00EA1396" w:rsidP="00765787">
      <w:pPr>
        <w:rPr>
          <w:b/>
        </w:rPr>
      </w:pPr>
      <w:r w:rsidRPr="00EA1396">
        <w:rPr>
          <w:b/>
        </w:rPr>
        <w:t xml:space="preserve">F. </w:t>
      </w:r>
      <w:r w:rsidR="00E07D39" w:rsidRPr="005B333E">
        <w:rPr>
          <w:b/>
          <w:u w:val="single"/>
        </w:rPr>
        <w:t>O</w:t>
      </w:r>
      <w:r w:rsidR="0072332B">
        <w:rPr>
          <w:b/>
          <w:u w:val="single"/>
        </w:rPr>
        <w:t>utlier</w:t>
      </w:r>
    </w:p>
    <w:p w14:paraId="23A2A338" w14:textId="067A6FF3" w:rsidR="00283A77" w:rsidRDefault="0045103C" w:rsidP="00765787">
      <w:proofErr w:type="spellStart"/>
      <w:r w:rsidRPr="0045103C">
        <w:rPr>
          <w:b/>
        </w:rPr>
        <w:t>i</w:t>
      </w:r>
      <w:proofErr w:type="spellEnd"/>
      <w:r w:rsidRPr="0045103C">
        <w:rPr>
          <w:b/>
        </w:rPr>
        <w:t xml:space="preserve">. Identifying outliers: </w:t>
      </w:r>
      <w:r w:rsidR="00E07D39">
        <w:t>Outlier means having either extreme high value or extreme low value</w:t>
      </w:r>
      <w:r w:rsidR="00BC425A">
        <w:t xml:space="preserve"> </w:t>
      </w:r>
      <w:r w:rsidR="00A94637" w:rsidRPr="00BC425A">
        <w:t>[</w:t>
      </w:r>
      <w:r w:rsidR="0033405A">
        <w:t>10</w:t>
      </w:r>
      <w:r w:rsidR="00A94637" w:rsidRPr="00BC425A">
        <w:t>]</w:t>
      </w:r>
      <w:r w:rsidR="00E07D39">
        <w:t>.</w:t>
      </w:r>
      <w:r w:rsidR="00772454">
        <w:t xml:space="preserve"> </w:t>
      </w:r>
      <w:r w:rsidR="008459FA">
        <w:t xml:space="preserve"> It is important to check for outliers to ensure that the </w:t>
      </w:r>
      <w:r w:rsidR="00283A77">
        <w:t xml:space="preserve">mean, median and mode are accurate reflections of </w:t>
      </w:r>
      <w:r w:rsidR="008459FA">
        <w:t>central tendency</w:t>
      </w:r>
      <w:r w:rsidR="00283A77">
        <w:t>.  As the provided dataset appears to be a normal distribution</w:t>
      </w:r>
      <w:r w:rsidR="00C44184">
        <w:t xml:space="preserve"> (Figure 1)</w:t>
      </w:r>
      <w:r w:rsidR="00283A77">
        <w:t xml:space="preserve">, it is likely that there are no major outliers.  However, in order to confirm this and ensure the distribution is not skewed by an outlier, it is still good to check for the same. </w:t>
      </w:r>
    </w:p>
    <w:p w14:paraId="47AC9AE9" w14:textId="2D5B776C" w:rsidR="00660173" w:rsidRDefault="00772454" w:rsidP="00765787">
      <w:r>
        <w:t>The presence of the outlier in the data was checked individually for each group</w:t>
      </w:r>
      <w:r w:rsidR="000A3D1C">
        <w:t xml:space="preserve"> using </w:t>
      </w:r>
      <w:r w:rsidR="005114F3">
        <w:t>Interquartile</w:t>
      </w:r>
      <w:r w:rsidR="008D2C25">
        <w:t xml:space="preserve"> </w:t>
      </w:r>
      <w:r w:rsidR="001F33FD">
        <w:t>R</w:t>
      </w:r>
      <w:r w:rsidR="008D2C25">
        <w:t>anges (</w:t>
      </w:r>
      <w:r w:rsidR="000A3D1C">
        <w:t>IQR</w:t>
      </w:r>
      <w:r w:rsidR="008D2C25">
        <w:t>)</w:t>
      </w:r>
      <w:r w:rsidR="000A3D1C">
        <w:t xml:space="preserve">. </w:t>
      </w:r>
      <w:r w:rsidR="001F33FD">
        <w:t xml:space="preserve">IQR </w:t>
      </w:r>
      <w:r w:rsidR="000A3D1C">
        <w:t>is a way of measuring va</w:t>
      </w:r>
      <w:r w:rsidR="00174F57">
        <w:t>riability in data by divi</w:t>
      </w:r>
      <w:r w:rsidR="001F33FD">
        <w:t>di</w:t>
      </w:r>
      <w:r w:rsidR="00174F57">
        <w:t>ng the dataset into</w:t>
      </w:r>
      <w:r w:rsidR="001F33FD">
        <w:t xml:space="preserve"> four</w:t>
      </w:r>
      <w:r w:rsidR="00174F57">
        <w:t xml:space="preserve"> </w:t>
      </w:r>
      <w:r w:rsidR="001F33FD">
        <w:t xml:space="preserve">parts or </w:t>
      </w:r>
      <w:r w:rsidR="00174F57">
        <w:t>quartiles</w:t>
      </w:r>
      <w:r w:rsidR="001F33FD">
        <w:t xml:space="preserve">, with the values that separate the quartiles called </w:t>
      </w:r>
      <w:r w:rsidR="00AF4B6F">
        <w:t>Quartile 1</w:t>
      </w:r>
      <w:r w:rsidR="00174F57">
        <w:t>,</w:t>
      </w:r>
      <w:r w:rsidR="00174F57" w:rsidRPr="00174F57">
        <w:t xml:space="preserve"> </w:t>
      </w:r>
      <w:r w:rsidR="00174F57">
        <w:t>Quartile 2</w:t>
      </w:r>
      <w:r w:rsidR="00AF4B6F">
        <w:t xml:space="preserve"> and Quartile </w:t>
      </w:r>
      <w:r w:rsidR="00174F57">
        <w:t>3</w:t>
      </w:r>
      <w:r w:rsidR="001F33FD">
        <w:t xml:space="preserve"> (Q1, Q2, Q3</w:t>
      </w:r>
      <w:r w:rsidR="00AF4B6F">
        <w:t>)</w:t>
      </w:r>
      <w:r w:rsidR="001F33FD">
        <w:t>.</w:t>
      </w:r>
      <w:r w:rsidR="00AF4B6F">
        <w:t xml:space="preserve"> </w:t>
      </w:r>
      <w:r w:rsidR="00174F57">
        <w:t xml:space="preserve"> </w:t>
      </w:r>
      <w:r w:rsidR="00DB558B">
        <w:t xml:space="preserve">Q1 is the median of the upper half of the data, Q2 is the median of the entire dataset and Q3 is the median of the lower half of the data. IQR </w:t>
      </w:r>
      <w:r w:rsidR="003D54BC">
        <w:t>=</w:t>
      </w:r>
      <w:r w:rsidR="00DB558B">
        <w:t xml:space="preserve"> Q3-Q1 and </w:t>
      </w:r>
      <w:r w:rsidR="00C44184">
        <w:t>an</w:t>
      </w:r>
      <w:r w:rsidR="007F3FDA">
        <w:t xml:space="preserve"> outlier is </w:t>
      </w:r>
      <w:r w:rsidR="00660173">
        <w:t>a value in the dataset that falls outside the lower and upper bounds of the data, which is calculated as below:</w:t>
      </w:r>
    </w:p>
    <w:p w14:paraId="29370AD3" w14:textId="277F899A" w:rsidR="00660173" w:rsidRDefault="00660173" w:rsidP="00660173">
      <w:pPr>
        <w:pStyle w:val="ListParagraph"/>
        <w:numPr>
          <w:ilvl w:val="0"/>
          <w:numId w:val="1"/>
        </w:numPr>
      </w:pPr>
      <w:r>
        <w:lastRenderedPageBreak/>
        <w:t>Lower Bound = Q1-(1.5*IQR)</w:t>
      </w:r>
    </w:p>
    <w:p w14:paraId="5FFE7C16" w14:textId="77777777" w:rsidR="00DB558B" w:rsidRDefault="00660173" w:rsidP="00660173">
      <w:pPr>
        <w:pStyle w:val="ListParagraph"/>
        <w:numPr>
          <w:ilvl w:val="0"/>
          <w:numId w:val="1"/>
        </w:numPr>
      </w:pPr>
      <w:r>
        <w:t>Upper Bound = Q3+(1.5*IQR)</w:t>
      </w:r>
    </w:p>
    <w:p w14:paraId="6E6913BD" w14:textId="07527AC8" w:rsidR="00174F57" w:rsidRPr="000E24CE" w:rsidRDefault="00660173" w:rsidP="00765787">
      <w:pPr>
        <w:rPr>
          <w:b/>
        </w:rPr>
      </w:pPr>
      <w:r>
        <w:t xml:space="preserve"> </w:t>
      </w:r>
      <w:r w:rsidR="000E24CE" w:rsidRPr="000E24CE">
        <w:rPr>
          <w:b/>
        </w:rPr>
        <w:t xml:space="preserve">Table </w:t>
      </w:r>
      <w:r w:rsidR="00B6708E">
        <w:rPr>
          <w:b/>
        </w:rPr>
        <w:t>3</w:t>
      </w:r>
      <w:r w:rsidR="000E24CE" w:rsidRPr="000E24CE">
        <w:rPr>
          <w:b/>
        </w:rPr>
        <w:t>: Measure of Interquartile Range for the two groups</w:t>
      </w:r>
    </w:p>
    <w:tbl>
      <w:tblPr>
        <w:tblStyle w:val="TableGrid"/>
        <w:tblW w:w="0" w:type="auto"/>
        <w:tblLook w:val="04A0" w:firstRow="1" w:lastRow="0" w:firstColumn="1" w:lastColumn="0" w:noHBand="0" w:noVBand="1"/>
      </w:tblPr>
      <w:tblGrid>
        <w:gridCol w:w="2254"/>
        <w:gridCol w:w="2254"/>
        <w:gridCol w:w="2254"/>
      </w:tblGrid>
      <w:tr w:rsidR="000E24CE" w14:paraId="2F9B3986" w14:textId="77777777" w:rsidTr="00174F57">
        <w:tc>
          <w:tcPr>
            <w:tcW w:w="2254" w:type="dxa"/>
          </w:tcPr>
          <w:p w14:paraId="1C9862C0" w14:textId="4148F00A" w:rsidR="000E24CE" w:rsidRPr="000E24CE" w:rsidRDefault="000E24CE" w:rsidP="00765787">
            <w:pPr>
              <w:rPr>
                <w:b/>
              </w:rPr>
            </w:pPr>
            <w:r w:rsidRPr="000E24CE">
              <w:rPr>
                <w:b/>
              </w:rPr>
              <w:t>Measurement</w:t>
            </w:r>
          </w:p>
        </w:tc>
        <w:tc>
          <w:tcPr>
            <w:tcW w:w="2254" w:type="dxa"/>
          </w:tcPr>
          <w:p w14:paraId="1D111853" w14:textId="7C8DD70B" w:rsidR="000E24CE" w:rsidRPr="000E24CE" w:rsidRDefault="000E24CE" w:rsidP="00765787">
            <w:pPr>
              <w:rPr>
                <w:b/>
              </w:rPr>
            </w:pPr>
            <w:r w:rsidRPr="000E24CE">
              <w:rPr>
                <w:b/>
              </w:rPr>
              <w:t>Mature Student</w:t>
            </w:r>
          </w:p>
        </w:tc>
        <w:tc>
          <w:tcPr>
            <w:tcW w:w="2254" w:type="dxa"/>
          </w:tcPr>
          <w:p w14:paraId="33DEE0F3" w14:textId="4F5F2242" w:rsidR="000E24CE" w:rsidRPr="000E24CE" w:rsidRDefault="000E24CE" w:rsidP="00765787">
            <w:pPr>
              <w:rPr>
                <w:b/>
              </w:rPr>
            </w:pPr>
            <w:r w:rsidRPr="000E24CE">
              <w:rPr>
                <w:b/>
              </w:rPr>
              <w:t>Young Students</w:t>
            </w:r>
          </w:p>
        </w:tc>
      </w:tr>
      <w:tr w:rsidR="000E24CE" w14:paraId="2864A9F0" w14:textId="77777777" w:rsidTr="00174F57">
        <w:tc>
          <w:tcPr>
            <w:tcW w:w="2254" w:type="dxa"/>
          </w:tcPr>
          <w:p w14:paraId="70FA8C23" w14:textId="67BF2BF4" w:rsidR="000E24CE" w:rsidRDefault="000E24CE" w:rsidP="00765787">
            <w:r>
              <w:t>Q1</w:t>
            </w:r>
          </w:p>
        </w:tc>
        <w:tc>
          <w:tcPr>
            <w:tcW w:w="2254" w:type="dxa"/>
          </w:tcPr>
          <w:p w14:paraId="56DF1F56" w14:textId="7E7E0D4D" w:rsidR="000E24CE" w:rsidRDefault="000E24CE" w:rsidP="00765787">
            <w:r>
              <w:t>40.5</w:t>
            </w:r>
          </w:p>
        </w:tc>
        <w:tc>
          <w:tcPr>
            <w:tcW w:w="2254" w:type="dxa"/>
          </w:tcPr>
          <w:p w14:paraId="48C21390" w14:textId="72306AAC" w:rsidR="000E24CE" w:rsidRDefault="000E24CE" w:rsidP="00765787">
            <w:r>
              <w:t>22.5</w:t>
            </w:r>
          </w:p>
        </w:tc>
      </w:tr>
      <w:tr w:rsidR="000E24CE" w14:paraId="534C4A22" w14:textId="77777777" w:rsidTr="00174F57">
        <w:tc>
          <w:tcPr>
            <w:tcW w:w="2254" w:type="dxa"/>
          </w:tcPr>
          <w:p w14:paraId="38D818BB" w14:textId="005891D5" w:rsidR="000E24CE" w:rsidRDefault="000E24CE" w:rsidP="00765787">
            <w:r>
              <w:t>Q3</w:t>
            </w:r>
          </w:p>
        </w:tc>
        <w:tc>
          <w:tcPr>
            <w:tcW w:w="2254" w:type="dxa"/>
          </w:tcPr>
          <w:p w14:paraId="55398EC8" w14:textId="30BA3718" w:rsidR="000E24CE" w:rsidRDefault="000E24CE" w:rsidP="00765787">
            <w:r>
              <w:t>50.25</w:t>
            </w:r>
          </w:p>
        </w:tc>
        <w:tc>
          <w:tcPr>
            <w:tcW w:w="2254" w:type="dxa"/>
          </w:tcPr>
          <w:p w14:paraId="1C276820" w14:textId="2FD1EB9F" w:rsidR="000E24CE" w:rsidRDefault="000E24CE" w:rsidP="00765787">
            <w:r>
              <w:t>35.5</w:t>
            </w:r>
          </w:p>
        </w:tc>
      </w:tr>
      <w:tr w:rsidR="000E24CE" w14:paraId="719C9035" w14:textId="77777777" w:rsidTr="00174F57">
        <w:tc>
          <w:tcPr>
            <w:tcW w:w="2254" w:type="dxa"/>
          </w:tcPr>
          <w:p w14:paraId="30C4ED11" w14:textId="5CD1A038" w:rsidR="000E24CE" w:rsidRDefault="000E24CE" w:rsidP="00765787">
            <w:r>
              <w:t>IQR</w:t>
            </w:r>
          </w:p>
        </w:tc>
        <w:tc>
          <w:tcPr>
            <w:tcW w:w="2254" w:type="dxa"/>
          </w:tcPr>
          <w:p w14:paraId="0DC7828A" w14:textId="2A7F3B8F" w:rsidR="000E24CE" w:rsidRDefault="000E24CE" w:rsidP="00765787">
            <w:r>
              <w:t>9.75</w:t>
            </w:r>
          </w:p>
        </w:tc>
        <w:tc>
          <w:tcPr>
            <w:tcW w:w="2254" w:type="dxa"/>
          </w:tcPr>
          <w:p w14:paraId="39E7A80C" w14:textId="41C64087" w:rsidR="000E24CE" w:rsidRDefault="000E24CE" w:rsidP="00765787">
            <w:r>
              <w:t>15</w:t>
            </w:r>
          </w:p>
        </w:tc>
      </w:tr>
      <w:tr w:rsidR="000E24CE" w14:paraId="0FB7D6D9" w14:textId="77777777" w:rsidTr="00174F57">
        <w:tc>
          <w:tcPr>
            <w:tcW w:w="2254" w:type="dxa"/>
          </w:tcPr>
          <w:p w14:paraId="1E55274F" w14:textId="6A09017B" w:rsidR="000E24CE" w:rsidRDefault="000E24CE" w:rsidP="00765787">
            <w:r>
              <w:t>Upper Bo</w:t>
            </w:r>
            <w:r w:rsidR="00B6708E">
              <w:t>u</w:t>
            </w:r>
            <w:r>
              <w:t>nd</w:t>
            </w:r>
          </w:p>
        </w:tc>
        <w:tc>
          <w:tcPr>
            <w:tcW w:w="2254" w:type="dxa"/>
          </w:tcPr>
          <w:p w14:paraId="43D1C476" w14:textId="7626BF29" w:rsidR="000E24CE" w:rsidRDefault="000E24CE" w:rsidP="00765787">
            <w:r>
              <w:t>64.87</w:t>
            </w:r>
          </w:p>
        </w:tc>
        <w:tc>
          <w:tcPr>
            <w:tcW w:w="2254" w:type="dxa"/>
          </w:tcPr>
          <w:p w14:paraId="616AB6A3" w14:textId="1F21EA26" w:rsidR="000E24CE" w:rsidRDefault="000E24CE" w:rsidP="00765787">
            <w:r>
              <w:t>55</w:t>
            </w:r>
          </w:p>
        </w:tc>
      </w:tr>
      <w:tr w:rsidR="000E24CE" w14:paraId="5F77CC7B" w14:textId="77777777" w:rsidTr="00174F57">
        <w:tc>
          <w:tcPr>
            <w:tcW w:w="2254" w:type="dxa"/>
          </w:tcPr>
          <w:p w14:paraId="1AB9F2B7" w14:textId="768AAA77" w:rsidR="000E24CE" w:rsidRDefault="000E24CE" w:rsidP="00765787">
            <w:r>
              <w:t>Lower Bo</w:t>
            </w:r>
            <w:r w:rsidR="00B6708E">
              <w:t>u</w:t>
            </w:r>
            <w:r>
              <w:t>nd</w:t>
            </w:r>
          </w:p>
        </w:tc>
        <w:tc>
          <w:tcPr>
            <w:tcW w:w="2254" w:type="dxa"/>
          </w:tcPr>
          <w:p w14:paraId="6AA10C94" w14:textId="30F33AAF" w:rsidR="000E24CE" w:rsidRDefault="000E24CE" w:rsidP="00765787">
            <w:r>
              <w:t>25.87</w:t>
            </w:r>
          </w:p>
        </w:tc>
        <w:tc>
          <w:tcPr>
            <w:tcW w:w="2254" w:type="dxa"/>
          </w:tcPr>
          <w:p w14:paraId="3F6C6926" w14:textId="73207D4E" w:rsidR="000E24CE" w:rsidRDefault="000E24CE" w:rsidP="00765787">
            <w:r>
              <w:t>3</w:t>
            </w:r>
          </w:p>
        </w:tc>
      </w:tr>
    </w:tbl>
    <w:p w14:paraId="2DED9785" w14:textId="77777777" w:rsidR="00900B69" w:rsidRDefault="00900B69" w:rsidP="00765787"/>
    <w:p w14:paraId="0EDA8749" w14:textId="19C33E92" w:rsidR="00900B69" w:rsidRDefault="00900B69" w:rsidP="00900B69">
      <w:r>
        <w:t>Based on above, for mature students, the only score that does not fall between the lower bound and upper bound (i.e. value</w:t>
      </w:r>
      <w:r w:rsidR="0045103C">
        <w:t xml:space="preserve">s </w:t>
      </w:r>
      <w:r>
        <w:t xml:space="preserve">that </w:t>
      </w:r>
      <w:r w:rsidR="0045103C">
        <w:t>are</w:t>
      </w:r>
      <w:r>
        <w:t xml:space="preserve"> &lt; 25.87 or &gt; 64.87) is 25. This is near to the lower bound value </w:t>
      </w:r>
      <w:r w:rsidR="0045103C">
        <w:t xml:space="preserve">and </w:t>
      </w:r>
      <w:r>
        <w:t xml:space="preserve">can be considered as </w:t>
      </w:r>
      <w:r w:rsidR="0045103C">
        <w:t xml:space="preserve">a </w:t>
      </w:r>
      <w:r>
        <w:t xml:space="preserve">minor outliner. </w:t>
      </w:r>
      <w:r w:rsidR="0045103C">
        <w:t xml:space="preserve"> The </w:t>
      </w:r>
      <w:r>
        <w:t xml:space="preserve">young student </w:t>
      </w:r>
      <w:r w:rsidR="0045103C">
        <w:t xml:space="preserve">group </w:t>
      </w:r>
      <w:r>
        <w:t>does not have any score that fall</w:t>
      </w:r>
      <w:r w:rsidR="0045103C">
        <w:t>s</w:t>
      </w:r>
      <w:r>
        <w:t xml:space="preserve"> outside the upper bo</w:t>
      </w:r>
      <w:r w:rsidR="0045103C">
        <w:t>u</w:t>
      </w:r>
      <w:r>
        <w:t>nd and lower bo</w:t>
      </w:r>
      <w:r w:rsidR="0045103C">
        <w:t>u</w:t>
      </w:r>
      <w:r>
        <w:t>nd</w:t>
      </w:r>
      <w:r w:rsidR="0045103C">
        <w:t>;</w:t>
      </w:r>
      <w:r>
        <w:t xml:space="preserve"> therefore</w:t>
      </w:r>
      <w:r w:rsidR="0045103C">
        <w:t>,</w:t>
      </w:r>
      <w:r>
        <w:t xml:space="preserve"> no outlier was found in this </w:t>
      </w:r>
      <w:r w:rsidR="0045103C">
        <w:t>group</w:t>
      </w:r>
      <w:r>
        <w:t>.</w:t>
      </w:r>
    </w:p>
    <w:p w14:paraId="724427ED" w14:textId="5DECFA86" w:rsidR="00B570D7" w:rsidRPr="002B54C8" w:rsidRDefault="00B570D7" w:rsidP="00900B69">
      <w:r>
        <w:t xml:space="preserve">A scatter plot representation </w:t>
      </w:r>
      <w:r w:rsidR="002B54C8" w:rsidRPr="002B54C8">
        <w:t>showing one outlier (25) in mature students and no outliers in young students</w:t>
      </w:r>
      <w:r w:rsidR="002B54C8">
        <w:t xml:space="preserve"> is below.</w:t>
      </w:r>
    </w:p>
    <w:p w14:paraId="33F8800A" w14:textId="1E9E9456" w:rsidR="00292C33" w:rsidRPr="005B333E" w:rsidRDefault="00B570D7" w:rsidP="00EA7998">
      <w:r w:rsidRPr="00B570D7">
        <w:rPr>
          <w:b/>
        </w:rPr>
        <w:t>Figure</w:t>
      </w:r>
      <w:r>
        <w:rPr>
          <w:b/>
        </w:rPr>
        <w:t>s</w:t>
      </w:r>
      <w:r w:rsidRPr="00B570D7">
        <w:rPr>
          <w:b/>
        </w:rPr>
        <w:t xml:space="preserve"> </w:t>
      </w:r>
      <w:r w:rsidR="00913595">
        <w:rPr>
          <w:b/>
        </w:rPr>
        <w:t>3</w:t>
      </w:r>
      <w:r>
        <w:rPr>
          <w:b/>
        </w:rPr>
        <w:t>a</w:t>
      </w:r>
      <w:r w:rsidRPr="00B570D7">
        <w:rPr>
          <w:b/>
        </w:rPr>
        <w:t>: Scatter plot showing one outlier (25) in mature students</w:t>
      </w:r>
      <w:r w:rsidR="002B54C8">
        <w:rPr>
          <w:noProof/>
          <w:lang w:eastAsia="en-GB"/>
        </w:rPr>
        <w:drawing>
          <wp:inline distT="0" distB="0" distL="0" distR="0" wp14:anchorId="0EC34B85" wp14:editId="21031E79">
            <wp:extent cx="4433455" cy="2362200"/>
            <wp:effectExtent l="0" t="0" r="5715" b="0"/>
            <wp:docPr id="5" name="Chart 5">
              <a:extLst xmlns:a="http://schemas.openxmlformats.org/drawingml/2006/main">
                <a:ext uri="{FF2B5EF4-FFF2-40B4-BE49-F238E27FC236}">
                  <a16:creationId xmlns:a16="http://schemas.microsoft.com/office/drawing/2014/main" id="{BFD046AD-5D50-48FA-A27F-92EF5F028FCF}"/>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0"/>
              </a:graphicData>
            </a:graphic>
          </wp:inline>
        </w:drawing>
      </w:r>
    </w:p>
    <w:p w14:paraId="74368873" w14:textId="455F814B" w:rsidR="00EA7998" w:rsidRPr="00EA7998" w:rsidRDefault="002B54C8" w:rsidP="00EA7998">
      <w:pPr>
        <w:rPr>
          <w:b/>
        </w:rPr>
      </w:pPr>
      <w:r w:rsidRPr="00EA7998">
        <w:rPr>
          <w:b/>
        </w:rPr>
        <w:t xml:space="preserve">Figure </w:t>
      </w:r>
      <w:r w:rsidR="00913595">
        <w:rPr>
          <w:b/>
        </w:rPr>
        <w:t>3</w:t>
      </w:r>
      <w:r w:rsidRPr="00EA7998">
        <w:rPr>
          <w:b/>
        </w:rPr>
        <w:t>b</w:t>
      </w:r>
      <w:r w:rsidR="00EA7998" w:rsidRPr="00EA7998">
        <w:rPr>
          <w:b/>
        </w:rPr>
        <w:t>: Scatter plot showing no outliers in young students</w:t>
      </w:r>
    </w:p>
    <w:p w14:paraId="0B7E1AB8" w14:textId="1F793D09" w:rsidR="002B54C8" w:rsidRDefault="002B54C8" w:rsidP="00900B69">
      <w:r>
        <w:rPr>
          <w:noProof/>
          <w:lang w:eastAsia="en-GB"/>
        </w:rPr>
        <w:drawing>
          <wp:inline distT="0" distB="0" distL="0" distR="0" wp14:anchorId="092750B9" wp14:editId="5C81B514">
            <wp:extent cx="4641273" cy="2445327"/>
            <wp:effectExtent l="0" t="0" r="6985" b="12700"/>
            <wp:docPr id="6" name="Chart 6">
              <a:extLst xmlns:a="http://schemas.openxmlformats.org/drawingml/2006/main">
                <a:ext uri="{FF2B5EF4-FFF2-40B4-BE49-F238E27FC236}">
                  <a16:creationId xmlns:a16="http://schemas.microsoft.com/office/drawing/2014/main" id="{783427B3-AFF3-477D-8654-375D03655664}"/>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1"/>
              </a:graphicData>
            </a:graphic>
          </wp:inline>
        </w:drawing>
      </w:r>
    </w:p>
    <w:p w14:paraId="7084B74F" w14:textId="4812BA7D" w:rsidR="00900B69" w:rsidRDefault="0045103C" w:rsidP="00900B69">
      <w:r w:rsidRPr="0045103C">
        <w:rPr>
          <w:b/>
        </w:rPr>
        <w:lastRenderedPageBreak/>
        <w:t>ii. Effect of identified outlier(s) on outcome:</w:t>
      </w:r>
      <w:r>
        <w:t xml:space="preserve"> </w:t>
      </w:r>
      <w:r w:rsidR="00900B69">
        <w:t xml:space="preserve">There is no major outlier value </w:t>
      </w:r>
      <w:r>
        <w:t>identified above</w:t>
      </w:r>
      <w:r w:rsidR="00900B69">
        <w:t xml:space="preserve">. 25 is the value </w:t>
      </w:r>
      <w:r>
        <w:t xml:space="preserve">in the mature student group </w:t>
      </w:r>
      <w:r w:rsidR="00900B69">
        <w:t xml:space="preserve">that </w:t>
      </w:r>
      <w:r>
        <w:t>has been</w:t>
      </w:r>
      <w:r w:rsidR="00900B69">
        <w:t xml:space="preserve"> identified as </w:t>
      </w:r>
      <w:r>
        <w:t xml:space="preserve">a </w:t>
      </w:r>
      <w:r w:rsidR="00900B69">
        <w:t>minor outlie</w:t>
      </w:r>
      <w:r w:rsidR="00455B46">
        <w:t>r</w:t>
      </w:r>
      <w:r>
        <w:t>; this</w:t>
      </w:r>
      <w:r w:rsidR="00900B69">
        <w:t xml:space="preserve"> does not appear to </w:t>
      </w:r>
      <w:r w:rsidR="00472A41">
        <w:t>influence</w:t>
      </w:r>
      <w:r w:rsidR="00900B69">
        <w:t xml:space="preserve"> the outcome as the median and mode are close to the mean.</w:t>
      </w:r>
    </w:p>
    <w:p w14:paraId="46B5B492" w14:textId="05A18D05" w:rsidR="004B1D80" w:rsidRDefault="004B1D80" w:rsidP="00765787">
      <w:pPr>
        <w:rPr>
          <w:b/>
        </w:rPr>
      </w:pPr>
      <w:r>
        <w:rPr>
          <w:b/>
        </w:rPr>
        <w:t xml:space="preserve">G. </w:t>
      </w:r>
      <w:r w:rsidRPr="00627A5E">
        <w:rPr>
          <w:b/>
          <w:u w:val="single"/>
        </w:rPr>
        <w:t>Any other features of data that appear during investigation of the dataset</w:t>
      </w:r>
    </w:p>
    <w:p w14:paraId="21AB9F1B" w14:textId="13C0A862" w:rsidR="004B1D80" w:rsidRPr="004B1D80" w:rsidRDefault="0008320A" w:rsidP="00765787">
      <w:r>
        <w:rPr>
          <w:b/>
        </w:rPr>
        <w:t xml:space="preserve">Hypothesis </w:t>
      </w:r>
      <w:r w:rsidRPr="00766A08">
        <w:rPr>
          <w:b/>
        </w:rPr>
        <w:t>Set 2</w:t>
      </w:r>
      <w:r>
        <w:t xml:space="preserve">:  </w:t>
      </w:r>
      <w:r w:rsidR="004B1D80" w:rsidRPr="004B1D80">
        <w:t>In the t</w:t>
      </w:r>
      <w:r w:rsidR="004B1D80">
        <w:t xml:space="preserve">esting of hypothesis Set 1 in section B earlier, the report found that there was a statistically significant difference between the means of the two groups.  However, </w:t>
      </w:r>
      <w:r w:rsidR="009E1D4F">
        <w:t>that does not indicate what direction the difference is in.  Therefore, this report has undertaken an additional set of analysis as below to find out the direction of that difference.</w:t>
      </w:r>
    </w:p>
    <w:p w14:paraId="66FFA960" w14:textId="2990CEF6" w:rsidR="004B1D80" w:rsidRDefault="004B1D80" w:rsidP="004B1D80">
      <w:r>
        <w:t>H</w:t>
      </w:r>
      <w:r>
        <w:rPr>
          <w:vertAlign w:val="subscript"/>
        </w:rPr>
        <w:t>a</w:t>
      </w:r>
      <w:r>
        <w:t xml:space="preserve">: The university experience satisfaction of mature students (MS) is greater than </w:t>
      </w:r>
      <w:r w:rsidR="00340FE6">
        <w:t xml:space="preserve">that of </w:t>
      </w:r>
      <w:r>
        <w:t>young students</w:t>
      </w:r>
      <w:r w:rsidR="00695319">
        <w:t>.</w:t>
      </w:r>
    </w:p>
    <w:p w14:paraId="3627C7A0" w14:textId="77777777" w:rsidR="004B1D80" w:rsidRPr="00DE20CF" w:rsidRDefault="004B1D80" w:rsidP="004B1D80">
      <w:pPr>
        <w:rPr>
          <w:vertAlign w:val="subscript"/>
        </w:rPr>
      </w:pPr>
      <w:r>
        <w:tab/>
      </w:r>
      <w:r>
        <w:tab/>
        <w:t>H</w:t>
      </w:r>
      <w:r>
        <w:rPr>
          <w:vertAlign w:val="subscript"/>
        </w:rPr>
        <w:t>a</w:t>
      </w:r>
      <w:r>
        <w:t xml:space="preserve"> = </w:t>
      </w:r>
      <w:r>
        <w:rPr>
          <w:rFonts w:cstheme="minorHAnsi"/>
        </w:rPr>
        <w:t>µ</w:t>
      </w:r>
      <w:r>
        <w:rPr>
          <w:rFonts w:cstheme="minorHAnsi"/>
          <w:vertAlign w:val="subscript"/>
        </w:rPr>
        <w:t>MS</w:t>
      </w:r>
      <w:r>
        <w:rPr>
          <w:rFonts w:cstheme="minorHAnsi"/>
        </w:rPr>
        <w:t xml:space="preserve"> ˃ µ</w:t>
      </w:r>
      <w:r>
        <w:rPr>
          <w:rFonts w:cstheme="minorHAnsi"/>
          <w:vertAlign w:val="subscript"/>
        </w:rPr>
        <w:t>YS</w:t>
      </w:r>
    </w:p>
    <w:p w14:paraId="2F221620" w14:textId="77777777" w:rsidR="004B1D80" w:rsidRDefault="004B1D80" w:rsidP="004B1D80">
      <w:r>
        <w:t xml:space="preserve">Null hypothesis, which is opposite to the alternate hypothesis is: </w:t>
      </w:r>
    </w:p>
    <w:p w14:paraId="49B78AAA" w14:textId="20B1848F" w:rsidR="004B1D80" w:rsidRDefault="004B1D80" w:rsidP="004B1D80">
      <w:r>
        <w:t>H</w:t>
      </w:r>
      <w:r>
        <w:rPr>
          <w:vertAlign w:val="subscript"/>
        </w:rPr>
        <w:t>o</w:t>
      </w:r>
      <w:r>
        <w:t xml:space="preserve">: The </w:t>
      </w:r>
      <w:r w:rsidR="006A7C86">
        <w:t xml:space="preserve">university </w:t>
      </w:r>
      <w:r>
        <w:t>satisfaction</w:t>
      </w:r>
      <w:r w:rsidR="006A7C86">
        <w:t xml:space="preserve"> experience </w:t>
      </w:r>
      <w:r>
        <w:t>of mature</w:t>
      </w:r>
      <w:r w:rsidR="00340FE6">
        <w:t xml:space="preserve"> students </w:t>
      </w:r>
      <w:r>
        <w:t xml:space="preserve">is less than or equal to </w:t>
      </w:r>
      <w:r w:rsidR="00340FE6">
        <w:t xml:space="preserve">that of </w:t>
      </w:r>
      <w:r>
        <w:t>young students.</w:t>
      </w:r>
    </w:p>
    <w:p w14:paraId="214F68B6" w14:textId="77777777" w:rsidR="004B1D80" w:rsidRDefault="004B1D80" w:rsidP="004B1D80">
      <w:r>
        <w:tab/>
      </w:r>
      <w:r>
        <w:tab/>
        <w:t>H</w:t>
      </w:r>
      <w:r>
        <w:rPr>
          <w:vertAlign w:val="subscript"/>
        </w:rPr>
        <w:t>o</w:t>
      </w:r>
      <w:r>
        <w:t xml:space="preserve">= </w:t>
      </w:r>
      <w:r>
        <w:rPr>
          <w:rFonts w:cstheme="minorHAnsi"/>
        </w:rPr>
        <w:t>µ</w:t>
      </w:r>
      <w:r>
        <w:rPr>
          <w:rFonts w:cstheme="minorHAnsi"/>
          <w:vertAlign w:val="subscript"/>
        </w:rPr>
        <w:t>MS</w:t>
      </w:r>
      <w:r>
        <w:rPr>
          <w:rFonts w:cstheme="minorHAnsi"/>
        </w:rPr>
        <w:t xml:space="preserve"> ≤ µ</w:t>
      </w:r>
      <w:r>
        <w:rPr>
          <w:rFonts w:cstheme="minorHAnsi"/>
          <w:vertAlign w:val="subscript"/>
        </w:rPr>
        <w:t>YS</w:t>
      </w:r>
      <w:r>
        <w:t xml:space="preserve"> </w:t>
      </w:r>
    </w:p>
    <w:p w14:paraId="7DC85D08" w14:textId="254A1BB7" w:rsidR="00DF37BD" w:rsidRPr="00552019" w:rsidRDefault="00552019" w:rsidP="00765787">
      <w:r w:rsidRPr="00552019">
        <w:t xml:space="preserve">We can </w:t>
      </w:r>
      <w:r>
        <w:t>test the above with the help of the one-tailed test results available in Table 2 above.</w:t>
      </w:r>
    </w:p>
    <w:p w14:paraId="47AC35C5" w14:textId="13A6B708" w:rsidR="00A550C9" w:rsidRPr="00627A5E" w:rsidRDefault="00A550C9" w:rsidP="00765787">
      <w:pPr>
        <w:rPr>
          <w:u w:val="single"/>
        </w:rPr>
      </w:pPr>
      <w:r w:rsidRPr="00627A5E">
        <w:rPr>
          <w:b/>
          <w:u w:val="single"/>
        </w:rPr>
        <w:t>One tail hypothesis testing</w:t>
      </w:r>
    </w:p>
    <w:p w14:paraId="731E6DE3" w14:textId="4CF6D50A" w:rsidR="00BF771E" w:rsidRDefault="00BF771E" w:rsidP="00BF771E">
      <w:r>
        <w:t>Since it is a one-tailed test, at p=0.01 and degrees of freedom (df) at 18, the corresponding critical value is 2.55 in the t-table log.  This matches the obtained t critical one-tailed value in Table 2 above</w:t>
      </w:r>
      <w:r w:rsidR="00AF1D8C">
        <w:t xml:space="preserve"> (2.55)</w:t>
      </w:r>
      <w:r>
        <w:t xml:space="preserve">, providing further validation that the test above is correct.  In Table 2, the t Stat value is 4.25, which is greater than t critical value 2.55.  As a result, the null hypothesis can be rejected.  Also, the </w:t>
      </w:r>
      <w:r>
        <w:rPr>
          <w:rFonts w:cstheme="minorHAnsi"/>
        </w:rPr>
        <w:t>α</w:t>
      </w:r>
      <w:r w:rsidRPr="00A73D4F">
        <w:t xml:space="preserve"> s</w:t>
      </w:r>
      <w:r>
        <w:t>et at 0.01 for the t test above is greater that the P one-tailed value 0.0002 in Table 2 above, again proving that the null hypothesis can be rejected.</w:t>
      </w:r>
    </w:p>
    <w:p w14:paraId="53777DF3" w14:textId="6215C8CC" w:rsidR="00AF1D8C" w:rsidRDefault="00AF1D8C" w:rsidP="00AF1D8C">
      <w:r>
        <w:t>This means that the alternative hypothesis in Set 2 can be accepted.</w:t>
      </w:r>
    </w:p>
    <w:p w14:paraId="48BA8B5D" w14:textId="77777777" w:rsidR="00AF1D8C" w:rsidRDefault="00AF1D8C" w:rsidP="00AF1D8C">
      <w:r>
        <w:t>H</w:t>
      </w:r>
      <w:r>
        <w:rPr>
          <w:vertAlign w:val="subscript"/>
        </w:rPr>
        <w:t>a</w:t>
      </w:r>
      <w:r>
        <w:t>: The university experience satisfaction of mature students (MS) is greater than that of young students.</w:t>
      </w:r>
    </w:p>
    <w:p w14:paraId="378151C4" w14:textId="77777777" w:rsidR="00AF1D8C" w:rsidRPr="00DE20CF" w:rsidRDefault="00AF1D8C" w:rsidP="00AF1D8C">
      <w:pPr>
        <w:rPr>
          <w:vertAlign w:val="subscript"/>
        </w:rPr>
      </w:pPr>
      <w:r>
        <w:tab/>
      </w:r>
      <w:r>
        <w:tab/>
        <w:t>H</w:t>
      </w:r>
      <w:r>
        <w:rPr>
          <w:vertAlign w:val="subscript"/>
        </w:rPr>
        <w:t>a</w:t>
      </w:r>
      <w:r>
        <w:t xml:space="preserve"> = </w:t>
      </w:r>
      <w:r>
        <w:rPr>
          <w:rFonts w:cstheme="minorHAnsi"/>
        </w:rPr>
        <w:t>µ</w:t>
      </w:r>
      <w:r>
        <w:rPr>
          <w:rFonts w:cstheme="minorHAnsi"/>
          <w:vertAlign w:val="subscript"/>
        </w:rPr>
        <w:t>MS</w:t>
      </w:r>
      <w:r>
        <w:rPr>
          <w:rFonts w:cstheme="minorHAnsi"/>
        </w:rPr>
        <w:t xml:space="preserve"> ˃ µ</w:t>
      </w:r>
      <w:r>
        <w:rPr>
          <w:rFonts w:cstheme="minorHAnsi"/>
          <w:vertAlign w:val="subscript"/>
        </w:rPr>
        <w:t>YS</w:t>
      </w:r>
    </w:p>
    <w:p w14:paraId="0055091A" w14:textId="45D251CB" w:rsidR="002274B2" w:rsidRPr="002274B2" w:rsidRDefault="002274B2" w:rsidP="00765787">
      <w:pPr>
        <w:rPr>
          <w:b/>
        </w:rPr>
      </w:pPr>
      <w:r w:rsidRPr="002274B2">
        <w:rPr>
          <w:b/>
        </w:rPr>
        <w:t xml:space="preserve">H. </w:t>
      </w:r>
      <w:r w:rsidRPr="00627A5E">
        <w:rPr>
          <w:b/>
          <w:u w:val="single"/>
        </w:rPr>
        <w:t>Any other factors that might affect the results and how to control for them</w:t>
      </w:r>
    </w:p>
    <w:p w14:paraId="5F6C35D4" w14:textId="0546F9E4" w:rsidR="00D53FD2" w:rsidRDefault="00765787" w:rsidP="00792042">
      <w:r>
        <w:t>The dataset currently does not provide information on the course details, the socio-economic background</w:t>
      </w:r>
      <w:r w:rsidR="00A75AD9">
        <w:t>, demographic information like gender</w:t>
      </w:r>
      <w:r>
        <w:t xml:space="preserve"> or the </w:t>
      </w:r>
      <w:r w:rsidR="00A75AD9">
        <w:t xml:space="preserve">prior </w:t>
      </w:r>
      <w:r>
        <w:t xml:space="preserve">professional experience of the students.  </w:t>
      </w:r>
      <w:r w:rsidR="00792042">
        <w:t>For instance, if the mature students ha</w:t>
      </w:r>
      <w:r w:rsidR="00A75AD9">
        <w:t>d prior</w:t>
      </w:r>
      <w:r w:rsidR="00792042">
        <w:t xml:space="preserve"> work experience </w:t>
      </w:r>
      <w:r w:rsidR="00A75AD9">
        <w:t>and did well on the courses overall, then tha</w:t>
      </w:r>
      <w:r w:rsidR="00792042">
        <w:t xml:space="preserve">t may have influenced how they feel about the </w:t>
      </w:r>
      <w:r w:rsidR="002D71CD">
        <w:t>university</w:t>
      </w:r>
      <w:r w:rsidR="00A75AD9">
        <w:t xml:space="preserve">.  Also, we do not know what courses the two groups took and how those courses were evaluated by students.  If the mature students generally went on a course that happened to be better taught and young students went on a course that was not popular, that may again influence how they felt about the university overall.  Similarly, socio-economic status may influence satisfaction of university experience.  </w:t>
      </w:r>
      <w:r w:rsidR="00D53FD2">
        <w:t xml:space="preserve">Also, the age range for young students in narrow (17-20) compared to mature students (45-62). </w:t>
      </w:r>
      <w:r w:rsidR="00792042">
        <w:t>These are the few factors that can be considered which might affect the results.</w:t>
      </w:r>
    </w:p>
    <w:p w14:paraId="7460A10E" w14:textId="0FD274C3" w:rsidR="00D53FD2" w:rsidRDefault="00D53FD2" w:rsidP="00792042">
      <w:r>
        <w:lastRenderedPageBreak/>
        <w:t xml:space="preserve">In order to take these into account, firstly this additional information needs to be gathered and </w:t>
      </w:r>
      <w:r w:rsidR="00443B67">
        <w:t>these confounding variables should be controlled for using regression analysis.</w:t>
      </w:r>
    </w:p>
    <w:p w14:paraId="0BC7E02E" w14:textId="350A220C" w:rsidR="00F2029A" w:rsidRPr="00FA5D3C" w:rsidRDefault="009E7A3B" w:rsidP="00FA5D3C">
      <w:pPr>
        <w:rPr>
          <w:b/>
        </w:rPr>
      </w:pPr>
      <w:r w:rsidRPr="009E7A3B">
        <w:rPr>
          <w:b/>
        </w:rPr>
        <w:t xml:space="preserve">I. </w:t>
      </w:r>
      <w:r w:rsidRPr="00627A5E">
        <w:rPr>
          <w:b/>
          <w:u w:val="single"/>
        </w:rPr>
        <w:t>Conclusion</w:t>
      </w:r>
      <w:bookmarkStart w:id="3" w:name="_Hlk534659391"/>
    </w:p>
    <w:p w14:paraId="4A30B9B0" w14:textId="3C791EDD" w:rsidR="00F2029A" w:rsidRDefault="00FA5D3C" w:rsidP="00FA5D3C">
      <w:r>
        <w:rPr>
          <w:rFonts w:ascii="Calibri" w:hAnsi="Calibri" w:cs="Calibri"/>
          <w:color w:val="000000"/>
          <w:shd w:val="clear" w:color="auto" w:fill="FFFFFF"/>
        </w:rPr>
        <w:t>Report has considered the given data and carried out the necessary tests.  The t-test showed that there was a statistically significant difference between the university experience satisfaction of Mature students and the Young students. However, it did not show the direction of difference. So, a further one-tailed t test was carried out and it showed that university experience satisfaction of mature students was greater than that of young students, but it is difficult to say what the influence of other confounding variables are.  More information is needed to fully confirm the hypothesis.</w:t>
      </w:r>
    </w:p>
    <w:bookmarkEnd w:id="1"/>
    <w:p w14:paraId="554FE37A" w14:textId="60C8FD20" w:rsidR="005066E9" w:rsidRDefault="005066E9" w:rsidP="00FA5D3C"/>
    <w:p w14:paraId="19A39B81" w14:textId="34916667" w:rsidR="00FA5D3C" w:rsidRDefault="00FA5D3C" w:rsidP="00FA5D3C"/>
    <w:p w14:paraId="49123C48" w14:textId="5B9F7F34" w:rsidR="00FA5D3C" w:rsidRDefault="00FA5D3C" w:rsidP="00FA5D3C"/>
    <w:p w14:paraId="10DFE10F" w14:textId="58C5083A" w:rsidR="00FA5D3C" w:rsidRDefault="00FA5D3C" w:rsidP="00FA5D3C"/>
    <w:p w14:paraId="19D98964" w14:textId="38AB7EFB" w:rsidR="00117A29" w:rsidRDefault="00117A29" w:rsidP="00FA5D3C"/>
    <w:p w14:paraId="2633409F" w14:textId="1742DAA6" w:rsidR="00117A29" w:rsidRDefault="00117A29" w:rsidP="00FA5D3C"/>
    <w:p w14:paraId="7ACABF55" w14:textId="4F1B2673" w:rsidR="00117A29" w:rsidRDefault="00117A29" w:rsidP="00FA5D3C"/>
    <w:p w14:paraId="5F9EEC4E" w14:textId="6EDC6711" w:rsidR="00117A29" w:rsidRDefault="00117A29" w:rsidP="00FA5D3C"/>
    <w:p w14:paraId="186AE540" w14:textId="57E97548" w:rsidR="00117A29" w:rsidRDefault="00117A29" w:rsidP="00FA5D3C"/>
    <w:p w14:paraId="32452B5E" w14:textId="229D7151" w:rsidR="00117A29" w:rsidRDefault="00117A29" w:rsidP="00FA5D3C"/>
    <w:p w14:paraId="0D1104CC" w14:textId="60F1CDD0" w:rsidR="00117A29" w:rsidRDefault="00117A29" w:rsidP="00FA5D3C"/>
    <w:p w14:paraId="37719E3F" w14:textId="1CD0B021" w:rsidR="00117A29" w:rsidRDefault="00117A29" w:rsidP="00FA5D3C"/>
    <w:p w14:paraId="0D01A248" w14:textId="12BB51CA" w:rsidR="00117A29" w:rsidRDefault="00117A29" w:rsidP="00FA5D3C"/>
    <w:p w14:paraId="373D7D9D" w14:textId="77777777" w:rsidR="00117A29" w:rsidRDefault="00117A29" w:rsidP="00FA5D3C"/>
    <w:p w14:paraId="6B53824F" w14:textId="77777777" w:rsidR="005066E9" w:rsidRDefault="005066E9" w:rsidP="00F2029A">
      <w:pPr>
        <w:jc w:val="center"/>
      </w:pPr>
    </w:p>
    <w:p w14:paraId="0AEC1208" w14:textId="77777777" w:rsidR="005066E9" w:rsidRDefault="005066E9" w:rsidP="00F2029A">
      <w:pPr>
        <w:jc w:val="center"/>
      </w:pPr>
    </w:p>
    <w:p w14:paraId="4C62D514" w14:textId="77777777" w:rsidR="005066E9" w:rsidRDefault="005066E9" w:rsidP="00F2029A">
      <w:pPr>
        <w:jc w:val="center"/>
      </w:pPr>
    </w:p>
    <w:p w14:paraId="292A49B8" w14:textId="77777777" w:rsidR="005066E9" w:rsidRDefault="005066E9" w:rsidP="00F2029A">
      <w:pPr>
        <w:jc w:val="center"/>
      </w:pPr>
    </w:p>
    <w:p w14:paraId="77C8F155" w14:textId="77777777" w:rsidR="005066E9" w:rsidRDefault="005066E9" w:rsidP="00F2029A">
      <w:pPr>
        <w:jc w:val="center"/>
      </w:pPr>
    </w:p>
    <w:p w14:paraId="7A2CE4C1" w14:textId="77777777" w:rsidR="005066E9" w:rsidRDefault="005066E9" w:rsidP="00F2029A">
      <w:pPr>
        <w:jc w:val="center"/>
      </w:pPr>
    </w:p>
    <w:p w14:paraId="5DC6CE00" w14:textId="77777777" w:rsidR="005066E9" w:rsidRDefault="005066E9" w:rsidP="00F2029A">
      <w:pPr>
        <w:jc w:val="center"/>
      </w:pPr>
    </w:p>
    <w:p w14:paraId="74CD8824" w14:textId="77777777" w:rsidR="005066E9" w:rsidRDefault="005066E9" w:rsidP="00F2029A">
      <w:pPr>
        <w:jc w:val="center"/>
      </w:pPr>
    </w:p>
    <w:p w14:paraId="12562554" w14:textId="77777777" w:rsidR="005066E9" w:rsidRDefault="005066E9" w:rsidP="00F2029A">
      <w:pPr>
        <w:jc w:val="center"/>
      </w:pPr>
    </w:p>
    <w:p w14:paraId="2A36EDE6" w14:textId="77777777" w:rsidR="005066E9" w:rsidRDefault="005066E9" w:rsidP="00F2029A">
      <w:pPr>
        <w:jc w:val="center"/>
      </w:pPr>
    </w:p>
    <w:p w14:paraId="733BEE9A" w14:textId="04137911" w:rsidR="00F2029A" w:rsidRPr="00292C33" w:rsidRDefault="00F2029A" w:rsidP="00F2029A">
      <w:pPr>
        <w:jc w:val="center"/>
        <w:rPr>
          <w:b/>
          <w:u w:val="single"/>
        </w:rPr>
      </w:pPr>
      <w:r w:rsidRPr="00292C33">
        <w:rPr>
          <w:b/>
          <w:sz w:val="26"/>
          <w:u w:val="single"/>
        </w:rPr>
        <w:lastRenderedPageBreak/>
        <w:t>Reference</w:t>
      </w:r>
      <w:r w:rsidR="00841B96">
        <w:rPr>
          <w:b/>
          <w:sz w:val="26"/>
          <w:u w:val="single"/>
        </w:rPr>
        <w:t>s</w:t>
      </w:r>
    </w:p>
    <w:p w14:paraId="5D3D8188" w14:textId="668CD103" w:rsidR="00F2029A" w:rsidRDefault="00F2029A" w:rsidP="00F2029A">
      <w:pPr>
        <w:rPr>
          <w:lang w:val="en-US"/>
        </w:rPr>
      </w:pPr>
      <w:r>
        <w:rPr>
          <w:lang w:val="en-US"/>
        </w:rPr>
        <w:t xml:space="preserve">[1] SH </w:t>
      </w:r>
      <w:proofErr w:type="spellStart"/>
      <w:r>
        <w:rPr>
          <w:lang w:val="en-US"/>
        </w:rPr>
        <w:t>Begg</w:t>
      </w:r>
      <w:proofErr w:type="spellEnd"/>
      <w:r>
        <w:rPr>
          <w:lang w:val="en-US"/>
        </w:rPr>
        <w:t xml:space="preserve">, RB </w:t>
      </w:r>
      <w:proofErr w:type="spellStart"/>
      <w:r>
        <w:rPr>
          <w:lang w:val="en-US"/>
        </w:rPr>
        <w:t>Bratvold</w:t>
      </w:r>
      <w:proofErr w:type="spellEnd"/>
      <w:r>
        <w:rPr>
          <w:lang w:val="en-US"/>
        </w:rPr>
        <w:t>, MB Welsh, “Uncertainty Vs Variability: What’s the difference and why is it important?” SPE Hydrocarbon economics and evaluation symposium, 19-20 May 2014.</w:t>
      </w:r>
    </w:p>
    <w:p w14:paraId="2B49B220" w14:textId="0ABB3330" w:rsidR="001232DA" w:rsidRDefault="001232DA" w:rsidP="00F2029A">
      <w:pPr>
        <w:rPr>
          <w:lang w:val="en-US"/>
        </w:rPr>
      </w:pPr>
      <w:r>
        <w:rPr>
          <w:lang w:val="en-US"/>
        </w:rPr>
        <w:t xml:space="preserve">[2] </w:t>
      </w:r>
      <w:r w:rsidR="007A3632">
        <w:rPr>
          <w:lang w:val="en-US"/>
        </w:rPr>
        <w:t xml:space="preserve">Robert B. Burns, </w:t>
      </w:r>
      <w:r w:rsidR="00CD72E6">
        <w:rPr>
          <w:lang w:val="en-US"/>
        </w:rPr>
        <w:t>“</w:t>
      </w:r>
      <w:r w:rsidR="007A3632">
        <w:rPr>
          <w:lang w:val="en-US"/>
        </w:rPr>
        <w:t>Normal Distribution and Statistical Significance</w:t>
      </w:r>
      <w:r w:rsidR="00CD72E6">
        <w:rPr>
          <w:lang w:val="en-US"/>
        </w:rPr>
        <w:t xml:space="preserve">” in </w:t>
      </w:r>
      <w:r w:rsidR="00CD72E6" w:rsidRPr="00CD72E6">
        <w:rPr>
          <w:i/>
          <w:lang w:val="en-US"/>
        </w:rPr>
        <w:t>Introduction to Research Methods</w:t>
      </w:r>
      <w:r w:rsidR="00EE6770">
        <w:rPr>
          <w:lang w:val="en-US"/>
        </w:rPr>
        <w:t xml:space="preserve">, </w:t>
      </w:r>
      <w:r w:rsidR="00CD72E6">
        <w:rPr>
          <w:lang w:val="en-US"/>
        </w:rPr>
        <w:t xml:space="preserve">Saga, London, </w:t>
      </w:r>
      <w:r w:rsidR="00EE6770">
        <w:rPr>
          <w:lang w:val="en-US"/>
        </w:rPr>
        <w:t>2000</w:t>
      </w:r>
      <w:r w:rsidR="00CD72E6">
        <w:rPr>
          <w:lang w:val="en-US"/>
        </w:rPr>
        <w:t>.</w:t>
      </w:r>
    </w:p>
    <w:p w14:paraId="775CEA4B" w14:textId="0646A09C" w:rsidR="00E70545" w:rsidRDefault="00E70545" w:rsidP="00F2029A">
      <w:pPr>
        <w:rPr>
          <w:lang w:val="en-US"/>
        </w:rPr>
      </w:pPr>
      <w:r>
        <w:rPr>
          <w:lang w:val="en-US"/>
        </w:rPr>
        <w:t>[3]</w:t>
      </w:r>
      <w:r w:rsidR="00EA38A2">
        <w:rPr>
          <w:lang w:val="en-US"/>
        </w:rPr>
        <w:t xml:space="preserve"> John </w:t>
      </w:r>
      <w:r w:rsidR="002015CD">
        <w:rPr>
          <w:lang w:val="en-US"/>
        </w:rPr>
        <w:t>Marsh, “Awesome Reasons Why Statistics Are Important”, 4 September 2014.</w:t>
      </w:r>
      <w:r w:rsidR="00942018">
        <w:rPr>
          <w:lang w:val="en-US"/>
        </w:rPr>
        <w:t xml:space="preserve"> [Online] Available : </w:t>
      </w:r>
      <w:hyperlink r:id="rId12" w:history="1">
        <w:r w:rsidR="00942018" w:rsidRPr="003741B0">
          <w:rPr>
            <w:rStyle w:val="Hyperlink"/>
            <w:lang w:val="en-US"/>
          </w:rPr>
          <w:t>https://medium.com/@john_marsh7/10-awesome-reasons-why-statistics-are-important-96b87e283640</w:t>
        </w:r>
      </w:hyperlink>
    </w:p>
    <w:p w14:paraId="0E5CB7EF" w14:textId="4EF1CDFF" w:rsidR="00F312FF" w:rsidRPr="00E80181" w:rsidRDefault="00F312FF" w:rsidP="00F2029A">
      <w:pPr>
        <w:rPr>
          <w:lang w:val="en-US"/>
        </w:rPr>
      </w:pPr>
      <w:r>
        <w:rPr>
          <w:lang w:val="en-US"/>
        </w:rPr>
        <w:t>[4] James Hiebert, Dawn Berk, Emily Miller, Heather Gallivan, Erin Meikle, “Relationship between Opportunity to Learn Mathematics in Teacher Preparation and Graduate’s Knowledge for Teaching Mathematics</w:t>
      </w:r>
      <w:r w:rsidR="0076583E">
        <w:rPr>
          <w:lang w:val="en-US"/>
        </w:rPr>
        <w:t>”</w:t>
      </w:r>
      <w:r w:rsidR="00CD72E6">
        <w:rPr>
          <w:lang w:val="en-US"/>
        </w:rPr>
        <w:t>,</w:t>
      </w:r>
      <w:r w:rsidR="0076583E" w:rsidRPr="0076583E">
        <w:rPr>
          <w:lang w:val="en-US"/>
        </w:rPr>
        <w:t xml:space="preserve"> </w:t>
      </w:r>
      <w:r w:rsidR="0076583E" w:rsidRPr="00CD72E6">
        <w:rPr>
          <w:i/>
          <w:lang w:val="en-US"/>
        </w:rPr>
        <w:t>Journal for Research in Mathematics Education</w:t>
      </w:r>
      <w:r w:rsidR="001232DA">
        <w:rPr>
          <w:lang w:val="en-US"/>
        </w:rPr>
        <w:t>, Volume 50,</w:t>
      </w:r>
      <w:r w:rsidR="00CD72E6">
        <w:rPr>
          <w:lang w:val="en-US"/>
        </w:rPr>
        <w:t xml:space="preserve"> pp. 23-50, </w:t>
      </w:r>
      <w:r w:rsidR="001232DA">
        <w:rPr>
          <w:lang w:val="en-US"/>
        </w:rPr>
        <w:t>January 2019</w:t>
      </w:r>
    </w:p>
    <w:p w14:paraId="1B9F2B6E" w14:textId="376E0E04" w:rsidR="00F2029A" w:rsidRDefault="00F2029A" w:rsidP="00F2029A">
      <w:r>
        <w:t>[</w:t>
      </w:r>
      <w:r w:rsidR="00F310FB">
        <w:t>5</w:t>
      </w:r>
      <w:r>
        <w:t xml:space="preserve">] Jim Frost,” Measure of central tendency: Mean, Median, and Mode”, Available : </w:t>
      </w:r>
      <w:hyperlink r:id="rId13" w:history="1">
        <w:r w:rsidRPr="000E3B45">
          <w:rPr>
            <w:rStyle w:val="Hyperlink"/>
          </w:rPr>
          <w:t>http://statisticsbyjim.com/basics/measures-central-tendency-mean-median-mode</w:t>
        </w:r>
      </w:hyperlink>
    </w:p>
    <w:p w14:paraId="4451D974" w14:textId="2B4D106C" w:rsidR="00F2029A" w:rsidRDefault="00F2029A" w:rsidP="00F2029A">
      <w:r>
        <w:t>[</w:t>
      </w:r>
      <w:r w:rsidR="00F310FB">
        <w:t>6</w:t>
      </w:r>
      <w:r>
        <w:t xml:space="preserve">] </w:t>
      </w:r>
      <w:proofErr w:type="spellStart"/>
      <w:r>
        <w:t>Minttab</w:t>
      </w:r>
      <w:proofErr w:type="spellEnd"/>
      <w:r>
        <w:t xml:space="preserve">, “Type I and Type II errors”, Available: </w:t>
      </w:r>
      <w:hyperlink r:id="rId14" w:history="1">
        <w:r w:rsidRPr="000E3B45">
          <w:rPr>
            <w:rStyle w:val="Hyperlink"/>
          </w:rPr>
          <w:t>https://support.minitab.com/en-us/minitab/18/help-and-how-to/statistics/basic-statistics/supporting-topics/basics/type-i-and-type-ii-error</w:t>
        </w:r>
      </w:hyperlink>
    </w:p>
    <w:p w14:paraId="3DC2966A" w14:textId="2EE2F9F5" w:rsidR="00F310FB" w:rsidRDefault="00F2029A" w:rsidP="00F2029A">
      <w:r>
        <w:t>[</w:t>
      </w:r>
      <w:r w:rsidR="00F310FB">
        <w:t>7</w:t>
      </w:r>
      <w:r>
        <w:t>]</w:t>
      </w:r>
      <w:r w:rsidR="00F310FB">
        <w:t xml:space="preserve"> </w:t>
      </w:r>
      <w:r>
        <w:t xml:space="preserve">Regina Nuzzo, “Scientific method: Statistical errors: </w:t>
      </w:r>
      <w:r w:rsidRPr="000B7C37">
        <w:t>P values, the 'gold standard' of statistical validity</w:t>
      </w:r>
      <w:r>
        <w:t>” 12 February 2014</w:t>
      </w:r>
      <w:r w:rsidR="00F310FB">
        <w:t xml:space="preserve"> [online] Available : </w:t>
      </w:r>
      <w:hyperlink r:id="rId15" w:history="1">
        <w:r w:rsidR="00F310FB" w:rsidRPr="003741B0">
          <w:rPr>
            <w:rStyle w:val="Hyperlink"/>
          </w:rPr>
          <w:t>https://www.nature.com/news/scientific-method-statistical-errors-1.14700</w:t>
        </w:r>
      </w:hyperlink>
    </w:p>
    <w:p w14:paraId="677720BD" w14:textId="2D8D4EE5" w:rsidR="00F2029A" w:rsidRDefault="00F2029A" w:rsidP="00F2029A">
      <w:pPr>
        <w:rPr>
          <w:color w:val="000000"/>
        </w:rPr>
      </w:pPr>
      <w:r>
        <w:t>[</w:t>
      </w:r>
      <w:r w:rsidR="00F310FB">
        <w:t>8</w:t>
      </w:r>
      <w:r>
        <w:t xml:space="preserve">] </w:t>
      </w:r>
      <w:r>
        <w:rPr>
          <w:color w:val="000000"/>
        </w:rPr>
        <w:t xml:space="preserve">Gerard </w:t>
      </w:r>
      <w:proofErr w:type="spellStart"/>
      <w:proofErr w:type="gramStart"/>
      <w:r>
        <w:rPr>
          <w:color w:val="000000"/>
        </w:rPr>
        <w:t>E.Dalla</w:t>
      </w:r>
      <w:proofErr w:type="spellEnd"/>
      <w:proofErr w:type="gramEnd"/>
      <w:r>
        <w:rPr>
          <w:color w:val="000000"/>
        </w:rPr>
        <w:t xml:space="preserve"> ,</w:t>
      </w:r>
      <w:r w:rsidR="00EB752E">
        <w:rPr>
          <w:color w:val="000000"/>
        </w:rPr>
        <w:t>”</w:t>
      </w:r>
      <w:r w:rsidRPr="00EB752E">
        <w:rPr>
          <w:i/>
          <w:color w:val="000000"/>
        </w:rPr>
        <w:t>Critical Levels, Statistical Language and Scientific Inference</w:t>
      </w:r>
      <w:r w:rsidR="00EB752E">
        <w:rPr>
          <w:i/>
          <w:color w:val="000000"/>
        </w:rPr>
        <w:t>”</w:t>
      </w:r>
      <w:r>
        <w:rPr>
          <w:color w:val="000000"/>
        </w:rPr>
        <w:t>,</w:t>
      </w:r>
      <w:r w:rsidR="00EB752E">
        <w:rPr>
          <w:color w:val="000000"/>
        </w:rPr>
        <w:t xml:space="preserve"> </w:t>
      </w:r>
      <w:r w:rsidR="00320496">
        <w:rPr>
          <w:color w:val="000000"/>
        </w:rPr>
        <w:t xml:space="preserve">19 November </w:t>
      </w:r>
      <w:r>
        <w:rPr>
          <w:color w:val="000000"/>
        </w:rPr>
        <w:t>20</w:t>
      </w:r>
      <w:r w:rsidR="00320496">
        <w:rPr>
          <w:color w:val="000000"/>
        </w:rPr>
        <w:t>03</w:t>
      </w:r>
      <w:r>
        <w:rPr>
          <w:color w:val="000000"/>
        </w:rPr>
        <w:t>.</w:t>
      </w:r>
    </w:p>
    <w:p w14:paraId="36A72040" w14:textId="1F9E6275" w:rsidR="0033405A" w:rsidRDefault="0033405A" w:rsidP="00C65207">
      <w:pPr>
        <w:rPr>
          <w:color w:val="000000"/>
        </w:rPr>
      </w:pPr>
      <w:r>
        <w:rPr>
          <w:color w:val="000000"/>
        </w:rPr>
        <w:t>[9]</w:t>
      </w:r>
      <w:r w:rsidR="00C65207" w:rsidRPr="00C65207">
        <w:t xml:space="preserve"> </w:t>
      </w:r>
      <w:r w:rsidR="00C65207" w:rsidRPr="00C65207">
        <w:rPr>
          <w:color w:val="000000"/>
        </w:rPr>
        <w:t>Bruin, J. command to compute new test.  UCLA:  Statistical Consulting Group.</w:t>
      </w:r>
      <w:r w:rsidR="000A0C30">
        <w:rPr>
          <w:color w:val="000000"/>
        </w:rPr>
        <w:t xml:space="preserve"> 2006</w:t>
      </w:r>
      <w:r w:rsidR="00C65207" w:rsidRPr="00C65207">
        <w:rPr>
          <w:color w:val="000000"/>
        </w:rPr>
        <w:t xml:space="preserve"> </w:t>
      </w:r>
      <w:r w:rsidR="000A0C30">
        <w:rPr>
          <w:color w:val="000000"/>
        </w:rPr>
        <w:t>[Online] Available:</w:t>
      </w:r>
      <w:r w:rsidR="00C65207" w:rsidRPr="00C65207">
        <w:rPr>
          <w:color w:val="000000"/>
        </w:rPr>
        <w:t xml:space="preserve"> </w:t>
      </w:r>
      <w:hyperlink r:id="rId16" w:history="1">
        <w:r w:rsidR="000A0C30" w:rsidRPr="003741B0">
          <w:rPr>
            <w:rStyle w:val="Hyperlink"/>
          </w:rPr>
          <w:t>https://stats.idre.ucla.edu/stata/ado/analysis/</w:t>
        </w:r>
      </w:hyperlink>
    </w:p>
    <w:bookmarkEnd w:id="3"/>
    <w:p w14:paraId="1EED9EC3" w14:textId="7132CA65" w:rsidR="006B2B71" w:rsidRDefault="00E70545">
      <w:r>
        <w:t>[</w:t>
      </w:r>
      <w:r w:rsidR="0033405A">
        <w:t>10</w:t>
      </w:r>
      <w:r>
        <w:t xml:space="preserve">] </w:t>
      </w:r>
      <w:r w:rsidR="00267BD6">
        <w:t>Alex Birkett, “How to Deal with Outliners in your Data</w:t>
      </w:r>
      <w:r w:rsidR="008A7DB7">
        <w:t>” Conversion Optimization Blog</w:t>
      </w:r>
      <w:r w:rsidR="006B2B71">
        <w:t>,</w:t>
      </w:r>
      <w:r w:rsidR="00882B9E">
        <w:t xml:space="preserve"> February 7, 2017. [Online] </w:t>
      </w:r>
      <w:r w:rsidR="006B2B71">
        <w:t xml:space="preserve">Available: </w:t>
      </w:r>
      <w:hyperlink r:id="rId17" w:history="1">
        <w:r w:rsidR="006B2B71" w:rsidRPr="003741B0">
          <w:rPr>
            <w:rStyle w:val="Hyperlink"/>
          </w:rPr>
          <w:t>https://conversionxl.com/blog/outliers/</w:t>
        </w:r>
      </w:hyperlink>
    </w:p>
    <w:p w14:paraId="47B3FB36" w14:textId="77777777" w:rsidR="006B2B71" w:rsidRDefault="006B2B71"/>
    <w:sectPr w:rsidR="006B2B71">
      <w:footerReference w:type="default" r:id="rId18"/>
      <w:endnotePr>
        <w:numFmt w:val="decimal"/>
      </w:endnotePr>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3313F13B" w14:textId="77777777" w:rsidR="00E321CD" w:rsidRDefault="00E321CD" w:rsidP="00247908">
      <w:pPr>
        <w:spacing w:after="0" w:line="240" w:lineRule="auto"/>
      </w:pPr>
      <w:r>
        <w:separator/>
      </w:r>
    </w:p>
  </w:endnote>
  <w:endnote w:type="continuationSeparator" w:id="0">
    <w:p w14:paraId="4A2A93C0" w14:textId="77777777" w:rsidR="00E321CD" w:rsidRDefault="00E321CD" w:rsidP="0024790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0002AFF" w:usb1="C000247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796022001"/>
      <w:docPartObj>
        <w:docPartGallery w:val="Page Numbers (Bottom of Page)"/>
        <w:docPartUnique/>
      </w:docPartObj>
    </w:sdtPr>
    <w:sdtEndPr>
      <w:rPr>
        <w:noProof/>
      </w:rPr>
    </w:sdtEndPr>
    <w:sdtContent>
      <w:p w14:paraId="6163066F" w14:textId="1F2D75C5" w:rsidR="00057DFE" w:rsidRDefault="00057DFE">
        <w:pPr>
          <w:pStyle w:val="Footer"/>
          <w:jc w:val="center"/>
        </w:pPr>
        <w:r>
          <w:fldChar w:fldCharType="begin"/>
        </w:r>
        <w:r>
          <w:instrText xml:space="preserve"> PAGE   \* MERGEFORMAT </w:instrText>
        </w:r>
        <w:r>
          <w:fldChar w:fldCharType="separate"/>
        </w:r>
        <w:r w:rsidR="00516F28">
          <w:rPr>
            <w:noProof/>
          </w:rPr>
          <w:t>7</w:t>
        </w:r>
        <w:r>
          <w:rPr>
            <w:noProof/>
          </w:rPr>
          <w:fldChar w:fldCharType="end"/>
        </w:r>
        <w:r>
          <w:rPr>
            <w:noProof/>
          </w:rPr>
          <w:t xml:space="preserve"> of </w:t>
        </w:r>
        <w:r w:rsidR="00F2029A">
          <w:rPr>
            <w:noProof/>
          </w:rPr>
          <w:t>10</w:t>
        </w:r>
      </w:p>
    </w:sdtContent>
  </w:sdt>
  <w:p w14:paraId="20F4C7D7" w14:textId="77777777" w:rsidR="00057DFE" w:rsidRDefault="00057DF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B6EDCD9" w14:textId="77777777" w:rsidR="00E321CD" w:rsidRDefault="00E321CD" w:rsidP="00247908">
      <w:pPr>
        <w:spacing w:after="0" w:line="240" w:lineRule="auto"/>
      </w:pPr>
      <w:r>
        <w:separator/>
      </w:r>
    </w:p>
  </w:footnote>
  <w:footnote w:type="continuationSeparator" w:id="0">
    <w:p w14:paraId="21D50324" w14:textId="77777777" w:rsidR="00E321CD" w:rsidRDefault="00E321CD" w:rsidP="0024790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3C874691"/>
    <w:multiLevelType w:val="hybridMultilevel"/>
    <w:tmpl w:val="500E9348"/>
    <w:lvl w:ilvl="0" w:tplc="9356C8DC">
      <w:start w:val="1"/>
      <w:numFmt w:val="lowerRoman"/>
      <w:lvlText w:val="%1)"/>
      <w:lvlJc w:val="left"/>
      <w:pPr>
        <w:ind w:left="1440" w:hanging="72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 w15:restartNumberingAfterBreak="0">
    <w:nsid w:val="3F1D09FC"/>
    <w:multiLevelType w:val="hybridMultilevel"/>
    <w:tmpl w:val="42F88926"/>
    <w:lvl w:ilvl="0" w:tplc="08090015">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5D763A06"/>
    <w:multiLevelType w:val="hybridMultilevel"/>
    <w:tmpl w:val="B4D601E2"/>
    <w:lvl w:ilvl="0" w:tplc="69D6A724">
      <w:start w:val="6"/>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6DB162A6"/>
    <w:multiLevelType w:val="hybridMultilevel"/>
    <w:tmpl w:val="8D92AC38"/>
    <w:lvl w:ilvl="0" w:tplc="19C615CC">
      <w:start w:val="1"/>
      <w:numFmt w:val="decimal"/>
      <w:lvlText w:val="%1)"/>
      <w:lvlJc w:val="left"/>
      <w:pPr>
        <w:ind w:left="408" w:hanging="360"/>
      </w:pPr>
      <w:rPr>
        <w:rFonts w:hint="default"/>
      </w:rPr>
    </w:lvl>
    <w:lvl w:ilvl="1" w:tplc="08090019" w:tentative="1">
      <w:start w:val="1"/>
      <w:numFmt w:val="lowerLetter"/>
      <w:lvlText w:val="%2."/>
      <w:lvlJc w:val="left"/>
      <w:pPr>
        <w:ind w:left="1128" w:hanging="360"/>
      </w:pPr>
    </w:lvl>
    <w:lvl w:ilvl="2" w:tplc="0809001B" w:tentative="1">
      <w:start w:val="1"/>
      <w:numFmt w:val="lowerRoman"/>
      <w:lvlText w:val="%3."/>
      <w:lvlJc w:val="right"/>
      <w:pPr>
        <w:ind w:left="1848" w:hanging="180"/>
      </w:pPr>
    </w:lvl>
    <w:lvl w:ilvl="3" w:tplc="0809000F" w:tentative="1">
      <w:start w:val="1"/>
      <w:numFmt w:val="decimal"/>
      <w:lvlText w:val="%4."/>
      <w:lvlJc w:val="left"/>
      <w:pPr>
        <w:ind w:left="2568" w:hanging="360"/>
      </w:pPr>
    </w:lvl>
    <w:lvl w:ilvl="4" w:tplc="08090019" w:tentative="1">
      <w:start w:val="1"/>
      <w:numFmt w:val="lowerLetter"/>
      <w:lvlText w:val="%5."/>
      <w:lvlJc w:val="left"/>
      <w:pPr>
        <w:ind w:left="3288" w:hanging="360"/>
      </w:pPr>
    </w:lvl>
    <w:lvl w:ilvl="5" w:tplc="0809001B" w:tentative="1">
      <w:start w:val="1"/>
      <w:numFmt w:val="lowerRoman"/>
      <w:lvlText w:val="%6."/>
      <w:lvlJc w:val="right"/>
      <w:pPr>
        <w:ind w:left="4008" w:hanging="180"/>
      </w:pPr>
    </w:lvl>
    <w:lvl w:ilvl="6" w:tplc="0809000F" w:tentative="1">
      <w:start w:val="1"/>
      <w:numFmt w:val="decimal"/>
      <w:lvlText w:val="%7."/>
      <w:lvlJc w:val="left"/>
      <w:pPr>
        <w:ind w:left="4728" w:hanging="360"/>
      </w:pPr>
    </w:lvl>
    <w:lvl w:ilvl="7" w:tplc="08090019" w:tentative="1">
      <w:start w:val="1"/>
      <w:numFmt w:val="lowerLetter"/>
      <w:lvlText w:val="%8."/>
      <w:lvlJc w:val="left"/>
      <w:pPr>
        <w:ind w:left="5448" w:hanging="360"/>
      </w:pPr>
    </w:lvl>
    <w:lvl w:ilvl="8" w:tplc="0809001B" w:tentative="1">
      <w:start w:val="1"/>
      <w:numFmt w:val="lowerRoman"/>
      <w:lvlText w:val="%9."/>
      <w:lvlJc w:val="right"/>
      <w:pPr>
        <w:ind w:left="6168" w:hanging="180"/>
      </w:pPr>
    </w:lvl>
  </w:abstractNum>
  <w:abstractNum w:abstractNumId="4" w15:restartNumberingAfterBreak="0">
    <w:nsid w:val="782F640D"/>
    <w:multiLevelType w:val="hybridMultilevel"/>
    <w:tmpl w:val="5A46C910"/>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2"/>
  </w:num>
  <w:num w:numId="2">
    <w:abstractNumId w:val="1"/>
  </w:num>
  <w:num w:numId="3">
    <w:abstractNumId w:val="0"/>
  </w:num>
  <w:num w:numId="4">
    <w:abstractNumId w:val="3"/>
  </w:num>
  <w:num w:numId="5">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10"/>
  <w:activeWritingStyle w:appName="MSWord" w:lang="en-GB" w:vendorID="64" w:dllVersion="6" w:nlCheck="1" w:checkStyle="0"/>
  <w:activeWritingStyle w:appName="MSWord" w:lang="en-GB" w:vendorID="64" w:dllVersion="0" w:nlCheck="1" w:checkStyle="0"/>
  <w:activeWritingStyle w:appName="MSWord" w:lang="en-US" w:vendorID="64" w:dllVersion="0" w:nlCheck="1" w:checkStyle="0"/>
  <w:proofState w:spelling="clean" w:grammar="clean"/>
  <w:defaultTabStop w:val="720"/>
  <w:characterSpacingControl w:val="doNotCompress"/>
  <w:hdrShapeDefaults>
    <o:shapedefaults v:ext="edit" spidmax="2049"/>
  </w:hdrShapeDefaults>
  <w:footnotePr>
    <w:footnote w:id="-1"/>
    <w:footnote w:id="0"/>
  </w:footnotePr>
  <w:endnotePr>
    <w:numFmt w:val="decimal"/>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D22EAF"/>
    <w:rsid w:val="00003912"/>
    <w:rsid w:val="00003DC6"/>
    <w:rsid w:val="00010514"/>
    <w:rsid w:val="000124C3"/>
    <w:rsid w:val="00013D83"/>
    <w:rsid w:val="00024154"/>
    <w:rsid w:val="00024D01"/>
    <w:rsid w:val="00032B9E"/>
    <w:rsid w:val="00041C7B"/>
    <w:rsid w:val="0005186E"/>
    <w:rsid w:val="0005397B"/>
    <w:rsid w:val="00057DFE"/>
    <w:rsid w:val="0007712B"/>
    <w:rsid w:val="00080C48"/>
    <w:rsid w:val="0008320A"/>
    <w:rsid w:val="00084A02"/>
    <w:rsid w:val="000851FA"/>
    <w:rsid w:val="00087943"/>
    <w:rsid w:val="0009047C"/>
    <w:rsid w:val="000A0C30"/>
    <w:rsid w:val="000A2766"/>
    <w:rsid w:val="000A3D1C"/>
    <w:rsid w:val="000C3333"/>
    <w:rsid w:val="000E24CE"/>
    <w:rsid w:val="000E5584"/>
    <w:rsid w:val="000E5E52"/>
    <w:rsid w:val="00102C78"/>
    <w:rsid w:val="00112E36"/>
    <w:rsid w:val="00117A29"/>
    <w:rsid w:val="00121FA9"/>
    <w:rsid w:val="001232DA"/>
    <w:rsid w:val="00135649"/>
    <w:rsid w:val="00142866"/>
    <w:rsid w:val="00146068"/>
    <w:rsid w:val="00153E2E"/>
    <w:rsid w:val="00155FD6"/>
    <w:rsid w:val="001566A8"/>
    <w:rsid w:val="00162C39"/>
    <w:rsid w:val="00174F57"/>
    <w:rsid w:val="00190311"/>
    <w:rsid w:val="0019253F"/>
    <w:rsid w:val="00197453"/>
    <w:rsid w:val="001A21E0"/>
    <w:rsid w:val="001B1877"/>
    <w:rsid w:val="001C5D0F"/>
    <w:rsid w:val="001C73A1"/>
    <w:rsid w:val="001D744C"/>
    <w:rsid w:val="001D75EE"/>
    <w:rsid w:val="001E2615"/>
    <w:rsid w:val="001F0717"/>
    <w:rsid w:val="001F33FD"/>
    <w:rsid w:val="001F3D23"/>
    <w:rsid w:val="001F6F9B"/>
    <w:rsid w:val="002015CD"/>
    <w:rsid w:val="00202666"/>
    <w:rsid w:val="00205A61"/>
    <w:rsid w:val="00211501"/>
    <w:rsid w:val="002211C7"/>
    <w:rsid w:val="00221C18"/>
    <w:rsid w:val="002274B2"/>
    <w:rsid w:val="002376E3"/>
    <w:rsid w:val="00245B06"/>
    <w:rsid w:val="00247908"/>
    <w:rsid w:val="00251E00"/>
    <w:rsid w:val="00267BD6"/>
    <w:rsid w:val="00282E6E"/>
    <w:rsid w:val="00283A77"/>
    <w:rsid w:val="00284A0F"/>
    <w:rsid w:val="00287BA6"/>
    <w:rsid w:val="00292C33"/>
    <w:rsid w:val="0029335E"/>
    <w:rsid w:val="002978F2"/>
    <w:rsid w:val="002A10A2"/>
    <w:rsid w:val="002B54C8"/>
    <w:rsid w:val="002D0AC8"/>
    <w:rsid w:val="002D0BB4"/>
    <w:rsid w:val="002D2975"/>
    <w:rsid w:val="002D71CD"/>
    <w:rsid w:val="00302D59"/>
    <w:rsid w:val="003100BD"/>
    <w:rsid w:val="00320496"/>
    <w:rsid w:val="00331F44"/>
    <w:rsid w:val="0033405A"/>
    <w:rsid w:val="00337B08"/>
    <w:rsid w:val="00340025"/>
    <w:rsid w:val="00340FE6"/>
    <w:rsid w:val="00345A31"/>
    <w:rsid w:val="00361C5F"/>
    <w:rsid w:val="0039680C"/>
    <w:rsid w:val="003A12BC"/>
    <w:rsid w:val="003A6CC4"/>
    <w:rsid w:val="003C20D3"/>
    <w:rsid w:val="003C565F"/>
    <w:rsid w:val="003D54BC"/>
    <w:rsid w:val="003E4424"/>
    <w:rsid w:val="003F4A97"/>
    <w:rsid w:val="003F53F1"/>
    <w:rsid w:val="004054C6"/>
    <w:rsid w:val="00405616"/>
    <w:rsid w:val="00410BFE"/>
    <w:rsid w:val="00425112"/>
    <w:rsid w:val="00425F48"/>
    <w:rsid w:val="00440B03"/>
    <w:rsid w:val="004416E1"/>
    <w:rsid w:val="00443B67"/>
    <w:rsid w:val="0045103C"/>
    <w:rsid w:val="00455B46"/>
    <w:rsid w:val="00472A41"/>
    <w:rsid w:val="004801EB"/>
    <w:rsid w:val="004810CC"/>
    <w:rsid w:val="00484B26"/>
    <w:rsid w:val="004869E3"/>
    <w:rsid w:val="004A6AD5"/>
    <w:rsid w:val="004A7B6B"/>
    <w:rsid w:val="004B1D80"/>
    <w:rsid w:val="004B41F8"/>
    <w:rsid w:val="004C56AA"/>
    <w:rsid w:val="004D181B"/>
    <w:rsid w:val="004D1D9E"/>
    <w:rsid w:val="004D7867"/>
    <w:rsid w:val="004E2FF4"/>
    <w:rsid w:val="004F1D05"/>
    <w:rsid w:val="005066E9"/>
    <w:rsid w:val="005114F3"/>
    <w:rsid w:val="00514813"/>
    <w:rsid w:val="00515808"/>
    <w:rsid w:val="00516F28"/>
    <w:rsid w:val="00543543"/>
    <w:rsid w:val="0055001F"/>
    <w:rsid w:val="00552019"/>
    <w:rsid w:val="00556D5B"/>
    <w:rsid w:val="0057303F"/>
    <w:rsid w:val="00574EF5"/>
    <w:rsid w:val="0058396F"/>
    <w:rsid w:val="00594C44"/>
    <w:rsid w:val="005972AB"/>
    <w:rsid w:val="005A084D"/>
    <w:rsid w:val="005A303E"/>
    <w:rsid w:val="005A3741"/>
    <w:rsid w:val="005B333E"/>
    <w:rsid w:val="005B3CF2"/>
    <w:rsid w:val="005C6568"/>
    <w:rsid w:val="005D7521"/>
    <w:rsid w:val="005F20B6"/>
    <w:rsid w:val="005F4982"/>
    <w:rsid w:val="005F6D8A"/>
    <w:rsid w:val="00614434"/>
    <w:rsid w:val="006161B3"/>
    <w:rsid w:val="00627A5E"/>
    <w:rsid w:val="006352A7"/>
    <w:rsid w:val="00646022"/>
    <w:rsid w:val="00660173"/>
    <w:rsid w:val="0066042A"/>
    <w:rsid w:val="00690CA7"/>
    <w:rsid w:val="00690F43"/>
    <w:rsid w:val="006912BC"/>
    <w:rsid w:val="00692877"/>
    <w:rsid w:val="00695319"/>
    <w:rsid w:val="006A7C86"/>
    <w:rsid w:val="006B2872"/>
    <w:rsid w:val="006B2B71"/>
    <w:rsid w:val="006B500B"/>
    <w:rsid w:val="006C0FCF"/>
    <w:rsid w:val="006D2360"/>
    <w:rsid w:val="006E379B"/>
    <w:rsid w:val="006E6E65"/>
    <w:rsid w:val="006F0E92"/>
    <w:rsid w:val="00701056"/>
    <w:rsid w:val="00706742"/>
    <w:rsid w:val="00711B3B"/>
    <w:rsid w:val="00720F3D"/>
    <w:rsid w:val="0072332B"/>
    <w:rsid w:val="00732410"/>
    <w:rsid w:val="00751658"/>
    <w:rsid w:val="00765275"/>
    <w:rsid w:val="00765787"/>
    <w:rsid w:val="007657AD"/>
    <w:rsid w:val="0076583E"/>
    <w:rsid w:val="00766A08"/>
    <w:rsid w:val="00772454"/>
    <w:rsid w:val="00792042"/>
    <w:rsid w:val="00793D0A"/>
    <w:rsid w:val="00794CB1"/>
    <w:rsid w:val="00797A50"/>
    <w:rsid w:val="007A1659"/>
    <w:rsid w:val="007A1AB6"/>
    <w:rsid w:val="007A3632"/>
    <w:rsid w:val="007C21B0"/>
    <w:rsid w:val="007D603B"/>
    <w:rsid w:val="007D62E5"/>
    <w:rsid w:val="007E3E48"/>
    <w:rsid w:val="007E5BFD"/>
    <w:rsid w:val="007F3FDA"/>
    <w:rsid w:val="00806111"/>
    <w:rsid w:val="008201BE"/>
    <w:rsid w:val="00820705"/>
    <w:rsid w:val="0083655A"/>
    <w:rsid w:val="00841B96"/>
    <w:rsid w:val="00843260"/>
    <w:rsid w:val="00843652"/>
    <w:rsid w:val="008436F6"/>
    <w:rsid w:val="008459FA"/>
    <w:rsid w:val="008479ED"/>
    <w:rsid w:val="008562CF"/>
    <w:rsid w:val="0085724C"/>
    <w:rsid w:val="00857857"/>
    <w:rsid w:val="00862837"/>
    <w:rsid w:val="008637C6"/>
    <w:rsid w:val="00866F8E"/>
    <w:rsid w:val="00867F49"/>
    <w:rsid w:val="00882B9E"/>
    <w:rsid w:val="008A2E6E"/>
    <w:rsid w:val="008A6251"/>
    <w:rsid w:val="008A7DB7"/>
    <w:rsid w:val="008B094F"/>
    <w:rsid w:val="008B5DBB"/>
    <w:rsid w:val="008C576B"/>
    <w:rsid w:val="008D2C25"/>
    <w:rsid w:val="008D58EA"/>
    <w:rsid w:val="008F1A1B"/>
    <w:rsid w:val="008F5344"/>
    <w:rsid w:val="00900B69"/>
    <w:rsid w:val="009020E3"/>
    <w:rsid w:val="0090251E"/>
    <w:rsid w:val="009028C2"/>
    <w:rsid w:val="00907C5A"/>
    <w:rsid w:val="00913051"/>
    <w:rsid w:val="00913595"/>
    <w:rsid w:val="00915EDF"/>
    <w:rsid w:val="00917284"/>
    <w:rsid w:val="00924DA4"/>
    <w:rsid w:val="009271F2"/>
    <w:rsid w:val="00932C32"/>
    <w:rsid w:val="009370A0"/>
    <w:rsid w:val="0094184E"/>
    <w:rsid w:val="00942018"/>
    <w:rsid w:val="00963EEB"/>
    <w:rsid w:val="00974795"/>
    <w:rsid w:val="00984D83"/>
    <w:rsid w:val="00995F88"/>
    <w:rsid w:val="009B1CD6"/>
    <w:rsid w:val="009B6CBA"/>
    <w:rsid w:val="009C725D"/>
    <w:rsid w:val="009E1D4F"/>
    <w:rsid w:val="009E7A3B"/>
    <w:rsid w:val="00A02C62"/>
    <w:rsid w:val="00A0448F"/>
    <w:rsid w:val="00A158FC"/>
    <w:rsid w:val="00A17B79"/>
    <w:rsid w:val="00A21E2D"/>
    <w:rsid w:val="00A34F18"/>
    <w:rsid w:val="00A5000C"/>
    <w:rsid w:val="00A550C9"/>
    <w:rsid w:val="00A551BE"/>
    <w:rsid w:val="00A71C4C"/>
    <w:rsid w:val="00A73D4F"/>
    <w:rsid w:val="00A75AD9"/>
    <w:rsid w:val="00A8198E"/>
    <w:rsid w:val="00A85619"/>
    <w:rsid w:val="00A94637"/>
    <w:rsid w:val="00A96792"/>
    <w:rsid w:val="00AB42A2"/>
    <w:rsid w:val="00AD261D"/>
    <w:rsid w:val="00AF0BAF"/>
    <w:rsid w:val="00AF1D8C"/>
    <w:rsid w:val="00AF4B6F"/>
    <w:rsid w:val="00B0085C"/>
    <w:rsid w:val="00B052CD"/>
    <w:rsid w:val="00B10C5B"/>
    <w:rsid w:val="00B208BF"/>
    <w:rsid w:val="00B30468"/>
    <w:rsid w:val="00B40931"/>
    <w:rsid w:val="00B44D6C"/>
    <w:rsid w:val="00B570D7"/>
    <w:rsid w:val="00B63291"/>
    <w:rsid w:val="00B6708E"/>
    <w:rsid w:val="00B7330B"/>
    <w:rsid w:val="00B85801"/>
    <w:rsid w:val="00B92CFF"/>
    <w:rsid w:val="00B93AEC"/>
    <w:rsid w:val="00BA5C20"/>
    <w:rsid w:val="00BC0470"/>
    <w:rsid w:val="00BC425A"/>
    <w:rsid w:val="00BD53EF"/>
    <w:rsid w:val="00BF771E"/>
    <w:rsid w:val="00C0451C"/>
    <w:rsid w:val="00C4156A"/>
    <w:rsid w:val="00C44184"/>
    <w:rsid w:val="00C464F4"/>
    <w:rsid w:val="00C65207"/>
    <w:rsid w:val="00C66D0C"/>
    <w:rsid w:val="00C67A42"/>
    <w:rsid w:val="00C86365"/>
    <w:rsid w:val="00C945E2"/>
    <w:rsid w:val="00CA5CF5"/>
    <w:rsid w:val="00CC57D7"/>
    <w:rsid w:val="00CD3F8C"/>
    <w:rsid w:val="00CD7258"/>
    <w:rsid w:val="00CD72E6"/>
    <w:rsid w:val="00CE573B"/>
    <w:rsid w:val="00CF320F"/>
    <w:rsid w:val="00CF45ED"/>
    <w:rsid w:val="00D03BF1"/>
    <w:rsid w:val="00D04939"/>
    <w:rsid w:val="00D0680B"/>
    <w:rsid w:val="00D077C1"/>
    <w:rsid w:val="00D131D6"/>
    <w:rsid w:val="00D22EAF"/>
    <w:rsid w:val="00D315CA"/>
    <w:rsid w:val="00D31900"/>
    <w:rsid w:val="00D373BA"/>
    <w:rsid w:val="00D3768E"/>
    <w:rsid w:val="00D37924"/>
    <w:rsid w:val="00D37DAC"/>
    <w:rsid w:val="00D37E74"/>
    <w:rsid w:val="00D5031B"/>
    <w:rsid w:val="00D5106B"/>
    <w:rsid w:val="00D531E3"/>
    <w:rsid w:val="00D53FD2"/>
    <w:rsid w:val="00D61DAE"/>
    <w:rsid w:val="00D648C2"/>
    <w:rsid w:val="00D6652E"/>
    <w:rsid w:val="00D66C4B"/>
    <w:rsid w:val="00D73117"/>
    <w:rsid w:val="00D75603"/>
    <w:rsid w:val="00D77A99"/>
    <w:rsid w:val="00DA5F0D"/>
    <w:rsid w:val="00DA7A74"/>
    <w:rsid w:val="00DA7B1F"/>
    <w:rsid w:val="00DB558B"/>
    <w:rsid w:val="00DC1CA0"/>
    <w:rsid w:val="00DC3535"/>
    <w:rsid w:val="00DE20CF"/>
    <w:rsid w:val="00DE2E75"/>
    <w:rsid w:val="00DF22CD"/>
    <w:rsid w:val="00DF37BD"/>
    <w:rsid w:val="00E03D80"/>
    <w:rsid w:val="00E07D39"/>
    <w:rsid w:val="00E11DD3"/>
    <w:rsid w:val="00E262AC"/>
    <w:rsid w:val="00E321CD"/>
    <w:rsid w:val="00E47B2B"/>
    <w:rsid w:val="00E60138"/>
    <w:rsid w:val="00E6023A"/>
    <w:rsid w:val="00E70545"/>
    <w:rsid w:val="00E707ED"/>
    <w:rsid w:val="00E8547B"/>
    <w:rsid w:val="00E92ABC"/>
    <w:rsid w:val="00EA1396"/>
    <w:rsid w:val="00EA18F5"/>
    <w:rsid w:val="00EA20A5"/>
    <w:rsid w:val="00EA38A2"/>
    <w:rsid w:val="00EA3AE7"/>
    <w:rsid w:val="00EA4AE9"/>
    <w:rsid w:val="00EA4C94"/>
    <w:rsid w:val="00EA7998"/>
    <w:rsid w:val="00EB752E"/>
    <w:rsid w:val="00EC0855"/>
    <w:rsid w:val="00EC7ED1"/>
    <w:rsid w:val="00ED2EBE"/>
    <w:rsid w:val="00EE221F"/>
    <w:rsid w:val="00EE4BD6"/>
    <w:rsid w:val="00EE6770"/>
    <w:rsid w:val="00EE7CC7"/>
    <w:rsid w:val="00EF0BEC"/>
    <w:rsid w:val="00EF2BB7"/>
    <w:rsid w:val="00F00421"/>
    <w:rsid w:val="00F2029A"/>
    <w:rsid w:val="00F310FB"/>
    <w:rsid w:val="00F312FF"/>
    <w:rsid w:val="00F3210C"/>
    <w:rsid w:val="00F32436"/>
    <w:rsid w:val="00F33CE0"/>
    <w:rsid w:val="00F36FD2"/>
    <w:rsid w:val="00F4180F"/>
    <w:rsid w:val="00F525CC"/>
    <w:rsid w:val="00F54882"/>
    <w:rsid w:val="00F644A9"/>
    <w:rsid w:val="00F763EF"/>
    <w:rsid w:val="00FA5D3C"/>
    <w:rsid w:val="00FA5D76"/>
    <w:rsid w:val="00FD1254"/>
    <w:rsid w:val="00FE03C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4C1111DB"/>
  <w15:chartTrackingRefBased/>
  <w15:docId w15:val="{14063871-CAE7-4C50-BD8F-7F864F5CBFD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913595"/>
  </w:style>
  <w:style w:type="paragraph" w:styleId="Heading1">
    <w:name w:val="heading 1"/>
    <w:basedOn w:val="Normal"/>
    <w:next w:val="Normal"/>
    <w:link w:val="Heading1Char"/>
    <w:uiPriority w:val="9"/>
    <w:qFormat/>
    <w:rsid w:val="00247908"/>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47908"/>
    <w:rPr>
      <w:rFonts w:asciiTheme="majorHAnsi" w:eastAsiaTheme="majorEastAsia" w:hAnsiTheme="majorHAnsi" w:cstheme="majorBidi"/>
      <w:color w:val="2F5496" w:themeColor="accent1" w:themeShade="BF"/>
      <w:sz w:val="32"/>
      <w:szCs w:val="32"/>
    </w:rPr>
  </w:style>
  <w:style w:type="paragraph" w:styleId="FootnoteText">
    <w:name w:val="footnote text"/>
    <w:basedOn w:val="Normal"/>
    <w:link w:val="FootnoteTextChar"/>
    <w:uiPriority w:val="99"/>
    <w:semiHidden/>
    <w:unhideWhenUsed/>
    <w:rsid w:val="00247908"/>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247908"/>
    <w:rPr>
      <w:sz w:val="20"/>
      <w:szCs w:val="20"/>
    </w:rPr>
  </w:style>
  <w:style w:type="character" w:styleId="FootnoteReference">
    <w:name w:val="footnote reference"/>
    <w:basedOn w:val="DefaultParagraphFont"/>
    <w:uiPriority w:val="99"/>
    <w:semiHidden/>
    <w:unhideWhenUsed/>
    <w:rsid w:val="00247908"/>
    <w:rPr>
      <w:vertAlign w:val="superscript"/>
    </w:rPr>
  </w:style>
  <w:style w:type="character" w:styleId="PlaceholderText">
    <w:name w:val="Placeholder Text"/>
    <w:basedOn w:val="DefaultParagraphFont"/>
    <w:uiPriority w:val="99"/>
    <w:semiHidden/>
    <w:rsid w:val="00FA5D76"/>
    <w:rPr>
      <w:color w:val="808080"/>
    </w:rPr>
  </w:style>
  <w:style w:type="paragraph" w:styleId="EndnoteText">
    <w:name w:val="endnote text"/>
    <w:basedOn w:val="Normal"/>
    <w:link w:val="EndnoteTextChar"/>
    <w:uiPriority w:val="99"/>
    <w:semiHidden/>
    <w:unhideWhenUsed/>
    <w:rsid w:val="004416E1"/>
    <w:pPr>
      <w:spacing w:after="0" w:line="240" w:lineRule="auto"/>
    </w:pPr>
    <w:rPr>
      <w:sz w:val="20"/>
      <w:szCs w:val="20"/>
    </w:rPr>
  </w:style>
  <w:style w:type="character" w:customStyle="1" w:styleId="EndnoteTextChar">
    <w:name w:val="Endnote Text Char"/>
    <w:basedOn w:val="DefaultParagraphFont"/>
    <w:link w:val="EndnoteText"/>
    <w:uiPriority w:val="99"/>
    <w:semiHidden/>
    <w:rsid w:val="004416E1"/>
    <w:rPr>
      <w:sz w:val="20"/>
      <w:szCs w:val="20"/>
    </w:rPr>
  </w:style>
  <w:style w:type="character" w:styleId="EndnoteReference">
    <w:name w:val="endnote reference"/>
    <w:basedOn w:val="DefaultParagraphFont"/>
    <w:uiPriority w:val="99"/>
    <w:semiHidden/>
    <w:unhideWhenUsed/>
    <w:rsid w:val="004416E1"/>
    <w:rPr>
      <w:vertAlign w:val="superscript"/>
    </w:rPr>
  </w:style>
  <w:style w:type="paragraph" w:styleId="Header">
    <w:name w:val="header"/>
    <w:basedOn w:val="Normal"/>
    <w:link w:val="HeaderChar"/>
    <w:uiPriority w:val="99"/>
    <w:unhideWhenUsed/>
    <w:rsid w:val="00EE7CC7"/>
    <w:pPr>
      <w:tabs>
        <w:tab w:val="center" w:pos="4513"/>
        <w:tab w:val="right" w:pos="9026"/>
      </w:tabs>
      <w:spacing w:after="0" w:line="240" w:lineRule="auto"/>
    </w:pPr>
  </w:style>
  <w:style w:type="character" w:customStyle="1" w:styleId="HeaderChar">
    <w:name w:val="Header Char"/>
    <w:basedOn w:val="DefaultParagraphFont"/>
    <w:link w:val="Header"/>
    <w:uiPriority w:val="99"/>
    <w:rsid w:val="00EE7CC7"/>
  </w:style>
  <w:style w:type="paragraph" w:styleId="Footer">
    <w:name w:val="footer"/>
    <w:basedOn w:val="Normal"/>
    <w:link w:val="FooterChar"/>
    <w:uiPriority w:val="99"/>
    <w:unhideWhenUsed/>
    <w:rsid w:val="00EE7CC7"/>
    <w:pPr>
      <w:tabs>
        <w:tab w:val="center" w:pos="4513"/>
        <w:tab w:val="right" w:pos="9026"/>
      </w:tabs>
      <w:spacing w:after="0" w:line="240" w:lineRule="auto"/>
    </w:pPr>
  </w:style>
  <w:style w:type="character" w:customStyle="1" w:styleId="FooterChar">
    <w:name w:val="Footer Char"/>
    <w:basedOn w:val="DefaultParagraphFont"/>
    <w:link w:val="Footer"/>
    <w:uiPriority w:val="99"/>
    <w:rsid w:val="00EE7CC7"/>
  </w:style>
  <w:style w:type="table" w:styleId="TableGrid">
    <w:name w:val="Table Grid"/>
    <w:basedOn w:val="TableNormal"/>
    <w:uiPriority w:val="39"/>
    <w:rsid w:val="0055001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AD261D"/>
    <w:pPr>
      <w:ind w:left="720"/>
      <w:contextualSpacing/>
    </w:pPr>
  </w:style>
  <w:style w:type="character" w:styleId="Hyperlink">
    <w:name w:val="Hyperlink"/>
    <w:basedOn w:val="DefaultParagraphFont"/>
    <w:uiPriority w:val="99"/>
    <w:unhideWhenUsed/>
    <w:rsid w:val="00F2029A"/>
    <w:rPr>
      <w:color w:val="0563C1" w:themeColor="hyperlink"/>
      <w:u w:val="single"/>
    </w:rPr>
  </w:style>
  <w:style w:type="character" w:styleId="UnresolvedMention">
    <w:name w:val="Unresolved Mention"/>
    <w:basedOn w:val="DefaultParagraphFont"/>
    <w:uiPriority w:val="99"/>
    <w:semiHidden/>
    <w:unhideWhenUsed/>
    <w:rsid w:val="00F310FB"/>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93598265">
      <w:bodyDiv w:val="1"/>
      <w:marLeft w:val="0"/>
      <w:marRight w:val="0"/>
      <w:marTop w:val="0"/>
      <w:marBottom w:val="0"/>
      <w:divBdr>
        <w:top w:val="none" w:sz="0" w:space="0" w:color="auto"/>
        <w:left w:val="none" w:sz="0" w:space="0" w:color="auto"/>
        <w:bottom w:val="none" w:sz="0" w:space="0" w:color="auto"/>
        <w:right w:val="none" w:sz="0" w:space="0" w:color="auto"/>
      </w:divBdr>
    </w:div>
    <w:div w:id="238635164">
      <w:bodyDiv w:val="1"/>
      <w:marLeft w:val="0"/>
      <w:marRight w:val="0"/>
      <w:marTop w:val="0"/>
      <w:marBottom w:val="0"/>
      <w:divBdr>
        <w:top w:val="none" w:sz="0" w:space="0" w:color="auto"/>
        <w:left w:val="none" w:sz="0" w:space="0" w:color="auto"/>
        <w:bottom w:val="none" w:sz="0" w:space="0" w:color="auto"/>
        <w:right w:val="none" w:sz="0" w:space="0" w:color="auto"/>
      </w:divBdr>
    </w:div>
    <w:div w:id="239293064">
      <w:bodyDiv w:val="1"/>
      <w:marLeft w:val="0"/>
      <w:marRight w:val="0"/>
      <w:marTop w:val="0"/>
      <w:marBottom w:val="0"/>
      <w:divBdr>
        <w:top w:val="none" w:sz="0" w:space="0" w:color="auto"/>
        <w:left w:val="none" w:sz="0" w:space="0" w:color="auto"/>
        <w:bottom w:val="none" w:sz="0" w:space="0" w:color="auto"/>
        <w:right w:val="none" w:sz="0" w:space="0" w:color="auto"/>
      </w:divBdr>
    </w:div>
    <w:div w:id="732773867">
      <w:bodyDiv w:val="1"/>
      <w:marLeft w:val="0"/>
      <w:marRight w:val="0"/>
      <w:marTop w:val="0"/>
      <w:marBottom w:val="0"/>
      <w:divBdr>
        <w:top w:val="none" w:sz="0" w:space="0" w:color="auto"/>
        <w:left w:val="none" w:sz="0" w:space="0" w:color="auto"/>
        <w:bottom w:val="none" w:sz="0" w:space="0" w:color="auto"/>
        <w:right w:val="none" w:sz="0" w:space="0" w:color="auto"/>
      </w:divBdr>
    </w:div>
    <w:div w:id="1043600149">
      <w:bodyDiv w:val="1"/>
      <w:marLeft w:val="0"/>
      <w:marRight w:val="0"/>
      <w:marTop w:val="0"/>
      <w:marBottom w:val="0"/>
      <w:divBdr>
        <w:top w:val="none" w:sz="0" w:space="0" w:color="auto"/>
        <w:left w:val="none" w:sz="0" w:space="0" w:color="auto"/>
        <w:bottom w:val="none" w:sz="0" w:space="0" w:color="auto"/>
        <w:right w:val="none" w:sz="0" w:space="0" w:color="auto"/>
      </w:divBdr>
    </w:div>
    <w:div w:id="1385175316">
      <w:bodyDiv w:val="1"/>
      <w:marLeft w:val="0"/>
      <w:marRight w:val="0"/>
      <w:marTop w:val="0"/>
      <w:marBottom w:val="0"/>
      <w:divBdr>
        <w:top w:val="none" w:sz="0" w:space="0" w:color="auto"/>
        <w:left w:val="none" w:sz="0" w:space="0" w:color="auto"/>
        <w:bottom w:val="none" w:sz="0" w:space="0" w:color="auto"/>
        <w:right w:val="none" w:sz="0" w:space="0" w:color="auto"/>
      </w:divBdr>
    </w:div>
    <w:div w:id="1424034632">
      <w:bodyDiv w:val="1"/>
      <w:marLeft w:val="0"/>
      <w:marRight w:val="0"/>
      <w:marTop w:val="0"/>
      <w:marBottom w:val="0"/>
      <w:divBdr>
        <w:top w:val="none" w:sz="0" w:space="0" w:color="auto"/>
        <w:left w:val="none" w:sz="0" w:space="0" w:color="auto"/>
        <w:bottom w:val="none" w:sz="0" w:space="0" w:color="auto"/>
        <w:right w:val="none" w:sz="0" w:space="0" w:color="auto"/>
      </w:divBdr>
    </w:div>
    <w:div w:id="1446345580">
      <w:bodyDiv w:val="1"/>
      <w:marLeft w:val="0"/>
      <w:marRight w:val="0"/>
      <w:marTop w:val="0"/>
      <w:marBottom w:val="0"/>
      <w:divBdr>
        <w:top w:val="none" w:sz="0" w:space="0" w:color="auto"/>
        <w:left w:val="none" w:sz="0" w:space="0" w:color="auto"/>
        <w:bottom w:val="none" w:sz="0" w:space="0" w:color="auto"/>
        <w:right w:val="none" w:sz="0" w:space="0" w:color="auto"/>
      </w:divBdr>
    </w:div>
    <w:div w:id="1532838829">
      <w:bodyDiv w:val="1"/>
      <w:marLeft w:val="0"/>
      <w:marRight w:val="0"/>
      <w:marTop w:val="0"/>
      <w:marBottom w:val="0"/>
      <w:divBdr>
        <w:top w:val="none" w:sz="0" w:space="0" w:color="auto"/>
        <w:left w:val="none" w:sz="0" w:space="0" w:color="auto"/>
        <w:bottom w:val="none" w:sz="0" w:space="0" w:color="auto"/>
        <w:right w:val="none" w:sz="0" w:space="0" w:color="auto"/>
      </w:divBdr>
    </w:div>
    <w:div w:id="1648968814">
      <w:bodyDiv w:val="1"/>
      <w:marLeft w:val="0"/>
      <w:marRight w:val="0"/>
      <w:marTop w:val="0"/>
      <w:marBottom w:val="0"/>
      <w:divBdr>
        <w:top w:val="none" w:sz="0" w:space="0" w:color="auto"/>
        <w:left w:val="none" w:sz="0" w:space="0" w:color="auto"/>
        <w:bottom w:val="none" w:sz="0" w:space="0" w:color="auto"/>
        <w:right w:val="none" w:sz="0" w:space="0" w:color="auto"/>
      </w:divBdr>
    </w:div>
    <w:div w:id="1658219399">
      <w:bodyDiv w:val="1"/>
      <w:marLeft w:val="0"/>
      <w:marRight w:val="0"/>
      <w:marTop w:val="0"/>
      <w:marBottom w:val="0"/>
      <w:divBdr>
        <w:top w:val="none" w:sz="0" w:space="0" w:color="auto"/>
        <w:left w:val="none" w:sz="0" w:space="0" w:color="auto"/>
        <w:bottom w:val="none" w:sz="0" w:space="0" w:color="auto"/>
        <w:right w:val="none" w:sz="0" w:space="0" w:color="auto"/>
      </w:divBdr>
    </w:div>
    <w:div w:id="1686714928">
      <w:bodyDiv w:val="1"/>
      <w:marLeft w:val="0"/>
      <w:marRight w:val="0"/>
      <w:marTop w:val="0"/>
      <w:marBottom w:val="0"/>
      <w:divBdr>
        <w:top w:val="none" w:sz="0" w:space="0" w:color="auto"/>
        <w:left w:val="none" w:sz="0" w:space="0" w:color="auto"/>
        <w:bottom w:val="none" w:sz="0" w:space="0" w:color="auto"/>
        <w:right w:val="none" w:sz="0" w:space="0" w:color="auto"/>
      </w:divBdr>
    </w:div>
    <w:div w:id="1709598086">
      <w:bodyDiv w:val="1"/>
      <w:marLeft w:val="0"/>
      <w:marRight w:val="0"/>
      <w:marTop w:val="0"/>
      <w:marBottom w:val="0"/>
      <w:divBdr>
        <w:top w:val="none" w:sz="0" w:space="0" w:color="auto"/>
        <w:left w:val="none" w:sz="0" w:space="0" w:color="auto"/>
        <w:bottom w:val="none" w:sz="0" w:space="0" w:color="auto"/>
        <w:right w:val="none" w:sz="0" w:space="0" w:color="auto"/>
      </w:divBdr>
    </w:div>
    <w:div w:id="1918052439">
      <w:bodyDiv w:val="1"/>
      <w:marLeft w:val="0"/>
      <w:marRight w:val="0"/>
      <w:marTop w:val="0"/>
      <w:marBottom w:val="0"/>
      <w:divBdr>
        <w:top w:val="none" w:sz="0" w:space="0" w:color="auto"/>
        <w:left w:val="none" w:sz="0" w:space="0" w:color="auto"/>
        <w:bottom w:val="none" w:sz="0" w:space="0" w:color="auto"/>
        <w:right w:val="none" w:sz="0" w:space="0" w:color="auto"/>
      </w:divBdr>
    </w:div>
    <w:div w:id="1951625089">
      <w:bodyDiv w:val="1"/>
      <w:marLeft w:val="0"/>
      <w:marRight w:val="0"/>
      <w:marTop w:val="0"/>
      <w:marBottom w:val="0"/>
      <w:divBdr>
        <w:top w:val="none" w:sz="0" w:space="0" w:color="auto"/>
        <w:left w:val="none" w:sz="0" w:space="0" w:color="auto"/>
        <w:bottom w:val="none" w:sz="0" w:space="0" w:color="auto"/>
        <w:right w:val="none" w:sz="0" w:space="0" w:color="auto"/>
      </w:divBdr>
    </w:div>
    <w:div w:id="197146913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chart" Target="charts/chart1.xml"/><Relationship Id="rId13" Type="http://schemas.openxmlformats.org/officeDocument/2006/relationships/hyperlink" Target="http://statisticsbyjim.com/basics/measures-central-tendency-mean-median-mode" TargetMode="External"/><Relationship Id="rId1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medium.com/@john_marsh7/10-awesome-reasons-why-statistics-are-important-96b87e283640" TargetMode="External"/><Relationship Id="rId17" Type="http://schemas.openxmlformats.org/officeDocument/2006/relationships/hyperlink" Target="https://conversionxl.com/blog/outliers/" TargetMode="External"/><Relationship Id="rId2" Type="http://schemas.openxmlformats.org/officeDocument/2006/relationships/numbering" Target="numbering.xml"/><Relationship Id="rId16" Type="http://schemas.openxmlformats.org/officeDocument/2006/relationships/hyperlink" Target="https://stats.idre.ucla.edu/stata/ado/analysis/" TargetMode="Externa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chart" Target="charts/chart4.xml"/><Relationship Id="rId5" Type="http://schemas.openxmlformats.org/officeDocument/2006/relationships/webSettings" Target="webSettings.xml"/><Relationship Id="rId15" Type="http://schemas.openxmlformats.org/officeDocument/2006/relationships/hyperlink" Target="https://www.nature.com/news/scientific-method-statistical-errors-1.14700" TargetMode="External"/><Relationship Id="rId10" Type="http://schemas.openxmlformats.org/officeDocument/2006/relationships/chart" Target="charts/chart3.xml"/><Relationship Id="rId19"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chart" Target="charts/chart2.xml"/><Relationship Id="rId14" Type="http://schemas.openxmlformats.org/officeDocument/2006/relationships/hyperlink" Target="https://support.minitab.com/en-us/minitab/18/help-and-how-to/statistics/basic-statistics/supporting-topics/basics/type-i-and-type-ii-error" TargetMode="External"/></Relationships>
</file>

<file path=word/charts/_rels/chart1.xml.rels><?xml version="1.0" encoding="UTF-8" standalone="yes"?>
<Relationships xmlns="http://schemas.openxmlformats.org/package/2006/relationships"><Relationship Id="rId2" Type="http://schemas.openxmlformats.org/officeDocument/2006/relationships/chartUserShapes" Target="../drawings/drawing1.xml"/><Relationship Id="rId1" Type="http://schemas.openxmlformats.org/officeDocument/2006/relationships/oleObject" Target="file:///C:\Users\User\Downloads\Research%20Methods\Work%20sheet.xlsx" TargetMode="External"/></Relationships>
</file>

<file path=word/charts/_rels/chart2.xml.rels><?xml version="1.0" encoding="UTF-8" standalone="yes"?>
<Relationships xmlns="http://schemas.openxmlformats.org/package/2006/relationships"><Relationship Id="rId3" Type="http://schemas.openxmlformats.org/officeDocument/2006/relationships/oleObject" Target="file:///C:\Users\User\Downloads\Research%20Methods\Work%20sheet.xlsx" TargetMode="External"/><Relationship Id="rId2" Type="http://schemas.microsoft.com/office/2011/relationships/chartColorStyle" Target="colors1.xml"/><Relationship Id="rId1" Type="http://schemas.microsoft.com/office/2011/relationships/chartStyle" Target="style1.xml"/></Relationships>
</file>

<file path=word/charts/_rels/chart3.xml.rels><?xml version="1.0" encoding="UTF-8" standalone="yes"?>
<Relationships xmlns="http://schemas.openxmlformats.org/package/2006/relationships"><Relationship Id="rId3" Type="http://schemas.openxmlformats.org/officeDocument/2006/relationships/oleObject" Target="file:///C:\Users\User\Downloads\Research%20Methods\Work%20sheet.xlsx" TargetMode="External"/><Relationship Id="rId2" Type="http://schemas.microsoft.com/office/2011/relationships/chartColorStyle" Target="colors2.xml"/><Relationship Id="rId1" Type="http://schemas.microsoft.com/office/2011/relationships/chartStyle" Target="style2.xml"/></Relationships>
</file>

<file path=word/charts/_rels/chart4.xml.rels><?xml version="1.0" encoding="UTF-8" standalone="yes"?>
<Relationships xmlns="http://schemas.openxmlformats.org/package/2006/relationships"><Relationship Id="rId3" Type="http://schemas.openxmlformats.org/officeDocument/2006/relationships/oleObject" Target="file:///C:\Users\User\Downloads\Research%20Methods\Work%20sheet.xlsx" TargetMode="External"/><Relationship Id="rId2" Type="http://schemas.microsoft.com/office/2011/relationships/chartColorStyle" Target="colors3.xml"/><Relationship Id="rId1" Type="http://schemas.microsoft.com/office/2011/relationships/chartStyle" Target="style3.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cap="none" spc="20" baseline="0">
                <a:solidFill>
                  <a:schemeClr val="dk1">
                    <a:lumMod val="50000"/>
                    <a:lumOff val="50000"/>
                  </a:schemeClr>
                </a:solidFill>
                <a:latin typeface="+mn-lt"/>
                <a:ea typeface="+mn-ea"/>
                <a:cs typeface="+mn-cs"/>
              </a:defRPr>
            </a:pPr>
            <a:r>
              <a:rPr lang="en-GB"/>
              <a:t>Mature Students</a:t>
            </a:r>
          </a:p>
        </c:rich>
      </c:tx>
      <c:overlay val="0"/>
      <c:spPr>
        <a:noFill/>
        <a:ln>
          <a:noFill/>
        </a:ln>
        <a:effectLst/>
      </c:spPr>
    </c:title>
    <c:autoTitleDeleted val="0"/>
    <c:plotArea>
      <c:layout>
        <c:manualLayout>
          <c:layoutTarget val="inner"/>
          <c:xMode val="edge"/>
          <c:yMode val="edge"/>
          <c:x val="0.12385501193843118"/>
          <c:y val="9.7056809785940307E-2"/>
          <c:w val="0.85152803108397435"/>
          <c:h val="0.73353900787049275"/>
        </c:manualLayout>
      </c:layout>
      <c:areaChart>
        <c:grouping val="standard"/>
        <c:varyColors val="0"/>
        <c:ser>
          <c:idx val="2"/>
          <c:order val="0"/>
          <c:cat>
            <c:numRef>
              <c:f>'Bell Mature (2)'!$A$7:$A$67</c:f>
              <c:numCache>
                <c:formatCode>General</c:formatCode>
                <c:ptCount val="61"/>
                <c:pt idx="0">
                  <c:v>18.46</c:v>
                </c:pt>
                <c:pt idx="1">
                  <c:v>19.327999999999999</c:v>
                </c:pt>
                <c:pt idx="2">
                  <c:v>20.195999999999998</c:v>
                </c:pt>
                <c:pt idx="3">
                  <c:v>21.063999999999997</c:v>
                </c:pt>
                <c:pt idx="4">
                  <c:v>21.931999999999995</c:v>
                </c:pt>
                <c:pt idx="5">
                  <c:v>22.799999999999994</c:v>
                </c:pt>
                <c:pt idx="6">
                  <c:v>23.667999999999992</c:v>
                </c:pt>
                <c:pt idx="7">
                  <c:v>24.535999999999991</c:v>
                </c:pt>
                <c:pt idx="8">
                  <c:v>25.403999999999989</c:v>
                </c:pt>
                <c:pt idx="9">
                  <c:v>26.271999999999988</c:v>
                </c:pt>
                <c:pt idx="10">
                  <c:v>27.139999999999986</c:v>
                </c:pt>
                <c:pt idx="11">
                  <c:v>28.007999999999985</c:v>
                </c:pt>
                <c:pt idx="12">
                  <c:v>28.875999999999983</c:v>
                </c:pt>
                <c:pt idx="13">
                  <c:v>29.743999999999982</c:v>
                </c:pt>
                <c:pt idx="14">
                  <c:v>30.611999999999981</c:v>
                </c:pt>
                <c:pt idx="15">
                  <c:v>31.479999999999979</c:v>
                </c:pt>
                <c:pt idx="16">
                  <c:v>32.347999999999978</c:v>
                </c:pt>
                <c:pt idx="17">
                  <c:v>33.21599999999998</c:v>
                </c:pt>
                <c:pt idx="18">
                  <c:v>34.083999999999982</c:v>
                </c:pt>
                <c:pt idx="19">
                  <c:v>34.951999999999984</c:v>
                </c:pt>
                <c:pt idx="20">
                  <c:v>35.819999999999986</c:v>
                </c:pt>
                <c:pt idx="21">
                  <c:v>36.687999999999988</c:v>
                </c:pt>
                <c:pt idx="22">
                  <c:v>37.55599999999999</c:v>
                </c:pt>
                <c:pt idx="23">
                  <c:v>38.423999999999992</c:v>
                </c:pt>
                <c:pt idx="24">
                  <c:v>39.291999999999994</c:v>
                </c:pt>
                <c:pt idx="25">
                  <c:v>40.159999999999997</c:v>
                </c:pt>
                <c:pt idx="26">
                  <c:v>41.027999999999999</c:v>
                </c:pt>
                <c:pt idx="27">
                  <c:v>41.896000000000001</c:v>
                </c:pt>
                <c:pt idx="28">
                  <c:v>42.764000000000003</c:v>
                </c:pt>
                <c:pt idx="29">
                  <c:v>43.632000000000005</c:v>
                </c:pt>
                <c:pt idx="30">
                  <c:v>44.500000000000007</c:v>
                </c:pt>
                <c:pt idx="31">
                  <c:v>45.368000000000009</c:v>
                </c:pt>
                <c:pt idx="32">
                  <c:v>46.236000000000011</c:v>
                </c:pt>
                <c:pt idx="33">
                  <c:v>47.104000000000013</c:v>
                </c:pt>
                <c:pt idx="34">
                  <c:v>47.972000000000016</c:v>
                </c:pt>
                <c:pt idx="35">
                  <c:v>48.840000000000018</c:v>
                </c:pt>
                <c:pt idx="36">
                  <c:v>49.70800000000002</c:v>
                </c:pt>
                <c:pt idx="37">
                  <c:v>50.576000000000022</c:v>
                </c:pt>
                <c:pt idx="38">
                  <c:v>51.444000000000024</c:v>
                </c:pt>
                <c:pt idx="39">
                  <c:v>52.312000000000026</c:v>
                </c:pt>
                <c:pt idx="40">
                  <c:v>53.180000000000028</c:v>
                </c:pt>
                <c:pt idx="41">
                  <c:v>54.04800000000003</c:v>
                </c:pt>
                <c:pt idx="42">
                  <c:v>54.916000000000032</c:v>
                </c:pt>
                <c:pt idx="43">
                  <c:v>55.784000000000034</c:v>
                </c:pt>
                <c:pt idx="44">
                  <c:v>56.652000000000037</c:v>
                </c:pt>
                <c:pt idx="45">
                  <c:v>57.520000000000039</c:v>
                </c:pt>
                <c:pt idx="46">
                  <c:v>58.388000000000041</c:v>
                </c:pt>
                <c:pt idx="47">
                  <c:v>59.256000000000043</c:v>
                </c:pt>
                <c:pt idx="48">
                  <c:v>60.124000000000045</c:v>
                </c:pt>
                <c:pt idx="49">
                  <c:v>60.992000000000047</c:v>
                </c:pt>
                <c:pt idx="50">
                  <c:v>61.860000000000049</c:v>
                </c:pt>
                <c:pt idx="51">
                  <c:v>62.728000000000051</c:v>
                </c:pt>
                <c:pt idx="52">
                  <c:v>63.596000000000053</c:v>
                </c:pt>
                <c:pt idx="53">
                  <c:v>64.464000000000055</c:v>
                </c:pt>
                <c:pt idx="54">
                  <c:v>65.33200000000005</c:v>
                </c:pt>
                <c:pt idx="55">
                  <c:v>66.200000000000045</c:v>
                </c:pt>
                <c:pt idx="56">
                  <c:v>67.06800000000004</c:v>
                </c:pt>
                <c:pt idx="57">
                  <c:v>67.936000000000035</c:v>
                </c:pt>
                <c:pt idx="58">
                  <c:v>68.80400000000003</c:v>
                </c:pt>
                <c:pt idx="59">
                  <c:v>69.672000000000025</c:v>
                </c:pt>
                <c:pt idx="60">
                  <c:v>70.54000000000002</c:v>
                </c:pt>
              </c:numCache>
            </c:numRef>
          </c:cat>
          <c:val>
            <c:numRef>
              <c:f>'Bell Mature (2)'!$B$7:$B$67</c:f>
              <c:numCache>
                <c:formatCode>General</c:formatCode>
                <c:ptCount val="61"/>
                <c:pt idx="0">
                  <c:v>5.1058161427857231E-4</c:v>
                </c:pt>
                <c:pt idx="1">
                  <c:v>6.8577562439813922E-4</c:v>
                </c:pt>
                <c:pt idx="2">
                  <c:v>9.119183851359398E-4</c:v>
                </c:pt>
                <c:pt idx="3">
                  <c:v>1.2005685270072093E-3</c:v>
                </c:pt>
                <c:pt idx="4">
                  <c:v>1.5648582066458067E-3</c:v>
                </c:pt>
                <c:pt idx="5">
                  <c:v>2.0193894577843897E-3</c:v>
                </c:pt>
                <c:pt idx="6">
                  <c:v>2.5800150109265957E-3</c:v>
                </c:pt>
                <c:pt idx="7">
                  <c:v>3.2634836107835372E-3</c:v>
                </c:pt>
                <c:pt idx="8">
                  <c:v>4.0869346597040687E-3</c:v>
                </c:pt>
                <c:pt idx="9">
                  <c:v>5.0672345599570342E-3</c:v>
                </c:pt>
                <c:pt idx="10">
                  <c:v>6.2201574323949155E-3</c:v>
                </c:pt>
                <c:pt idx="11">
                  <c:v>7.5594256652852946E-3</c:v>
                </c:pt>
                <c:pt idx="12">
                  <c:v>9.0956403572458391E-3</c:v>
                </c:pt>
                <c:pt idx="13">
                  <c:v>1.0835147163235782E-2</c:v>
                </c:pt>
                <c:pt idx="14">
                  <c:v>1.2778898004545522E-2</c:v>
                </c:pt>
                <c:pt idx="15">
                  <c:v>1.492138198915798E-2</c:v>
                </c:pt>
                <c:pt idx="16">
                  <c:v>1.7249708022551189E-2</c:v>
                </c:pt>
                <c:pt idx="17">
                  <c:v>1.9742925351129821E-2</c:v>
                </c:pt>
                <c:pt idx="18">
                  <c:v>2.2371665320646595E-2</c:v>
                </c:pt>
                <c:pt idx="19">
                  <c:v>2.5098177077482731E-2</c:v>
                </c:pt>
                <c:pt idx="20">
                  <c:v>2.7876811580546432E-2</c:v>
                </c:pt>
                <c:pt idx="21">
                  <c:v>3.0654982707229786E-2</c:v>
                </c:pt>
                <c:pt idx="22">
                  <c:v>3.3374602852705361E-2</c:v>
                </c:pt>
                <c:pt idx="23">
                  <c:v>3.5973955457000127E-2</c:v>
                </c:pt>
                <c:pt idx="24">
                  <c:v>3.8389931208732665E-2</c:v>
                </c:pt>
                <c:pt idx="25">
                  <c:v>4.0560521516624357E-2</c:v>
                </c:pt>
                <c:pt idx="26">
                  <c:v>4.2427435518816052E-2</c:v>
                </c:pt>
                <c:pt idx="27">
                  <c:v>4.3938688417111078E-2</c:v>
                </c:pt>
                <c:pt idx="28">
                  <c:v>4.5051001610075574E-2</c:v>
                </c:pt>
                <c:pt idx="29">
                  <c:v>4.5731860308411497E-2</c:v>
                </c:pt>
                <c:pt idx="30">
                  <c:v>4.5961092212146622E-2</c:v>
                </c:pt>
                <c:pt idx="31">
                  <c:v>4.5731860308411497E-2</c:v>
                </c:pt>
                <c:pt idx="32">
                  <c:v>4.5051001610075553E-2</c:v>
                </c:pt>
                <c:pt idx="33">
                  <c:v>4.3938688417111058E-2</c:v>
                </c:pt>
                <c:pt idx="34">
                  <c:v>4.2427435518816017E-2</c:v>
                </c:pt>
                <c:pt idx="35">
                  <c:v>4.0560521516624329E-2</c:v>
                </c:pt>
                <c:pt idx="36">
                  <c:v>3.8389931208732624E-2</c:v>
                </c:pt>
                <c:pt idx="37">
                  <c:v>3.5973955457000086E-2</c:v>
                </c:pt>
                <c:pt idx="38">
                  <c:v>3.3374602852705312E-2</c:v>
                </c:pt>
                <c:pt idx="39">
                  <c:v>3.0654982707229737E-2</c:v>
                </c:pt>
                <c:pt idx="40">
                  <c:v>2.7876811580546383E-2</c:v>
                </c:pt>
                <c:pt idx="41">
                  <c:v>2.5098177077482686E-2</c:v>
                </c:pt>
                <c:pt idx="42">
                  <c:v>2.2371665320646553E-2</c:v>
                </c:pt>
                <c:pt idx="43">
                  <c:v>1.9742925351129776E-2</c:v>
                </c:pt>
                <c:pt idx="44">
                  <c:v>1.7249708022551144E-2</c:v>
                </c:pt>
                <c:pt idx="45">
                  <c:v>1.4921381989157937E-2</c:v>
                </c:pt>
                <c:pt idx="46">
                  <c:v>1.2778898004545475E-2</c:v>
                </c:pt>
                <c:pt idx="47">
                  <c:v>1.0835147163235729E-2</c:v>
                </c:pt>
                <c:pt idx="48">
                  <c:v>9.0956403572457871E-3</c:v>
                </c:pt>
                <c:pt idx="49">
                  <c:v>7.5594256652852434E-3</c:v>
                </c:pt>
                <c:pt idx="50">
                  <c:v>6.2201574323948652E-3</c:v>
                </c:pt>
                <c:pt idx="51">
                  <c:v>5.0672345599569873E-3</c:v>
                </c:pt>
                <c:pt idx="52">
                  <c:v>4.0869346597040253E-3</c:v>
                </c:pt>
                <c:pt idx="53">
                  <c:v>3.2634836107834964E-3</c:v>
                </c:pt>
                <c:pt idx="54">
                  <c:v>2.5800150109265658E-3</c:v>
                </c:pt>
                <c:pt idx="55">
                  <c:v>2.0193894577843667E-3</c:v>
                </c:pt>
                <c:pt idx="56">
                  <c:v>1.5648582066457898E-3</c:v>
                </c:pt>
                <c:pt idx="57">
                  <c:v>1.2005685270071982E-3</c:v>
                </c:pt>
                <c:pt idx="58">
                  <c:v>9.119183851359308E-4</c:v>
                </c:pt>
                <c:pt idx="59">
                  <c:v>6.857756243981338E-4</c:v>
                </c:pt>
                <c:pt idx="60">
                  <c:v>5.1058161427856819E-4</c:v>
                </c:pt>
              </c:numCache>
            </c:numRef>
          </c:val>
          <c:extLst>
            <c:ext xmlns:c16="http://schemas.microsoft.com/office/drawing/2014/chart" uri="{C3380CC4-5D6E-409C-BE32-E72D297353CC}">
              <c16:uniqueId val="{00000000-08EE-43CB-9CD8-281F1EB2CE8A}"/>
            </c:ext>
          </c:extLst>
        </c:ser>
        <c:ser>
          <c:idx val="3"/>
          <c:order val="1"/>
          <c:spPr>
            <a:gradFill rotWithShape="1">
              <a:gsLst>
                <a:gs pos="0">
                  <a:schemeClr val="accent1">
                    <a:lumMod val="110000"/>
                    <a:satMod val="105000"/>
                    <a:tint val="67000"/>
                  </a:schemeClr>
                </a:gs>
                <a:gs pos="50000">
                  <a:schemeClr val="accent1">
                    <a:lumMod val="105000"/>
                    <a:satMod val="103000"/>
                    <a:tint val="73000"/>
                  </a:schemeClr>
                </a:gs>
                <a:gs pos="100000">
                  <a:schemeClr val="accent1">
                    <a:lumMod val="105000"/>
                    <a:satMod val="109000"/>
                    <a:tint val="81000"/>
                  </a:schemeClr>
                </a:gs>
              </a:gsLst>
              <a:lin ang="5400000" scaled="0"/>
            </a:gradFill>
            <a:ln w="9525" cap="flat" cmpd="sng" algn="ctr">
              <a:solidFill>
                <a:schemeClr val="accent1">
                  <a:shade val="95000"/>
                </a:schemeClr>
              </a:solidFill>
              <a:round/>
            </a:ln>
            <a:effectLst/>
          </c:spPr>
          <c:cat>
            <c:numRef>
              <c:f>'Bell Mature (2)'!$A$7:$A$67</c:f>
              <c:numCache>
                <c:formatCode>General</c:formatCode>
                <c:ptCount val="61"/>
                <c:pt idx="0">
                  <c:v>18.46</c:v>
                </c:pt>
                <c:pt idx="1">
                  <c:v>19.327999999999999</c:v>
                </c:pt>
                <c:pt idx="2">
                  <c:v>20.195999999999998</c:v>
                </c:pt>
                <c:pt idx="3">
                  <c:v>21.063999999999997</c:v>
                </c:pt>
                <c:pt idx="4">
                  <c:v>21.931999999999995</c:v>
                </c:pt>
                <c:pt idx="5">
                  <c:v>22.799999999999994</c:v>
                </c:pt>
                <c:pt idx="6">
                  <c:v>23.667999999999992</c:v>
                </c:pt>
                <c:pt idx="7">
                  <c:v>24.535999999999991</c:v>
                </c:pt>
                <c:pt idx="8">
                  <c:v>25.403999999999989</c:v>
                </c:pt>
                <c:pt idx="9">
                  <c:v>26.271999999999988</c:v>
                </c:pt>
                <c:pt idx="10">
                  <c:v>27.139999999999986</c:v>
                </c:pt>
                <c:pt idx="11">
                  <c:v>28.007999999999985</c:v>
                </c:pt>
                <c:pt idx="12">
                  <c:v>28.875999999999983</c:v>
                </c:pt>
                <c:pt idx="13">
                  <c:v>29.743999999999982</c:v>
                </c:pt>
                <c:pt idx="14">
                  <c:v>30.611999999999981</c:v>
                </c:pt>
                <c:pt idx="15">
                  <c:v>31.479999999999979</c:v>
                </c:pt>
                <c:pt idx="16">
                  <c:v>32.347999999999978</c:v>
                </c:pt>
                <c:pt idx="17">
                  <c:v>33.21599999999998</c:v>
                </c:pt>
                <c:pt idx="18">
                  <c:v>34.083999999999982</c:v>
                </c:pt>
                <c:pt idx="19">
                  <c:v>34.951999999999984</c:v>
                </c:pt>
                <c:pt idx="20">
                  <c:v>35.819999999999986</c:v>
                </c:pt>
                <c:pt idx="21">
                  <c:v>36.687999999999988</c:v>
                </c:pt>
                <c:pt idx="22">
                  <c:v>37.55599999999999</c:v>
                </c:pt>
                <c:pt idx="23">
                  <c:v>38.423999999999992</c:v>
                </c:pt>
                <c:pt idx="24">
                  <c:v>39.291999999999994</c:v>
                </c:pt>
                <c:pt idx="25">
                  <c:v>40.159999999999997</c:v>
                </c:pt>
                <c:pt idx="26">
                  <c:v>41.027999999999999</c:v>
                </c:pt>
                <c:pt idx="27">
                  <c:v>41.896000000000001</c:v>
                </c:pt>
                <c:pt idx="28">
                  <c:v>42.764000000000003</c:v>
                </c:pt>
                <c:pt idx="29">
                  <c:v>43.632000000000005</c:v>
                </c:pt>
                <c:pt idx="30">
                  <c:v>44.500000000000007</c:v>
                </c:pt>
                <c:pt idx="31">
                  <c:v>45.368000000000009</c:v>
                </c:pt>
                <c:pt idx="32">
                  <c:v>46.236000000000011</c:v>
                </c:pt>
                <c:pt idx="33">
                  <c:v>47.104000000000013</c:v>
                </c:pt>
                <c:pt idx="34">
                  <c:v>47.972000000000016</c:v>
                </c:pt>
                <c:pt idx="35">
                  <c:v>48.840000000000018</c:v>
                </c:pt>
                <c:pt idx="36">
                  <c:v>49.70800000000002</c:v>
                </c:pt>
                <c:pt idx="37">
                  <c:v>50.576000000000022</c:v>
                </c:pt>
                <c:pt idx="38">
                  <c:v>51.444000000000024</c:v>
                </c:pt>
                <c:pt idx="39">
                  <c:v>52.312000000000026</c:v>
                </c:pt>
                <c:pt idx="40">
                  <c:v>53.180000000000028</c:v>
                </c:pt>
                <c:pt idx="41">
                  <c:v>54.04800000000003</c:v>
                </c:pt>
                <c:pt idx="42">
                  <c:v>54.916000000000032</c:v>
                </c:pt>
                <c:pt idx="43">
                  <c:v>55.784000000000034</c:v>
                </c:pt>
                <c:pt idx="44">
                  <c:v>56.652000000000037</c:v>
                </c:pt>
                <c:pt idx="45">
                  <c:v>57.520000000000039</c:v>
                </c:pt>
                <c:pt idx="46">
                  <c:v>58.388000000000041</c:v>
                </c:pt>
                <c:pt idx="47">
                  <c:v>59.256000000000043</c:v>
                </c:pt>
                <c:pt idx="48">
                  <c:v>60.124000000000045</c:v>
                </c:pt>
                <c:pt idx="49">
                  <c:v>60.992000000000047</c:v>
                </c:pt>
                <c:pt idx="50">
                  <c:v>61.860000000000049</c:v>
                </c:pt>
                <c:pt idx="51">
                  <c:v>62.728000000000051</c:v>
                </c:pt>
                <c:pt idx="52">
                  <c:v>63.596000000000053</c:v>
                </c:pt>
                <c:pt idx="53">
                  <c:v>64.464000000000055</c:v>
                </c:pt>
                <c:pt idx="54">
                  <c:v>65.33200000000005</c:v>
                </c:pt>
                <c:pt idx="55">
                  <c:v>66.200000000000045</c:v>
                </c:pt>
                <c:pt idx="56">
                  <c:v>67.06800000000004</c:v>
                </c:pt>
                <c:pt idx="57">
                  <c:v>67.936000000000035</c:v>
                </c:pt>
                <c:pt idx="58">
                  <c:v>68.80400000000003</c:v>
                </c:pt>
                <c:pt idx="59">
                  <c:v>69.672000000000025</c:v>
                </c:pt>
                <c:pt idx="60">
                  <c:v>70.54000000000002</c:v>
                </c:pt>
              </c:numCache>
            </c:numRef>
          </c:cat>
          <c:val>
            <c:numRef>
              <c:f>'Bell Mature (2)'!$B$7:$B$67</c:f>
              <c:numCache>
                <c:formatCode>General</c:formatCode>
                <c:ptCount val="61"/>
                <c:pt idx="0">
                  <c:v>5.1058161427857231E-4</c:v>
                </c:pt>
                <c:pt idx="1">
                  <c:v>6.8577562439813922E-4</c:v>
                </c:pt>
                <c:pt idx="2">
                  <c:v>9.119183851359398E-4</c:v>
                </c:pt>
                <c:pt idx="3">
                  <c:v>1.2005685270072093E-3</c:v>
                </c:pt>
                <c:pt idx="4">
                  <c:v>1.5648582066458067E-3</c:v>
                </c:pt>
                <c:pt idx="5">
                  <c:v>2.0193894577843897E-3</c:v>
                </c:pt>
                <c:pt idx="6">
                  <c:v>2.5800150109265957E-3</c:v>
                </c:pt>
                <c:pt idx="7">
                  <c:v>3.2634836107835372E-3</c:v>
                </c:pt>
                <c:pt idx="8">
                  <c:v>4.0869346597040687E-3</c:v>
                </c:pt>
                <c:pt idx="9">
                  <c:v>5.0672345599570342E-3</c:v>
                </c:pt>
                <c:pt idx="10">
                  <c:v>6.2201574323949155E-3</c:v>
                </c:pt>
                <c:pt idx="11">
                  <c:v>7.5594256652852946E-3</c:v>
                </c:pt>
                <c:pt idx="12">
                  <c:v>9.0956403572458391E-3</c:v>
                </c:pt>
                <c:pt idx="13">
                  <c:v>1.0835147163235782E-2</c:v>
                </c:pt>
                <c:pt idx="14">
                  <c:v>1.2778898004545522E-2</c:v>
                </c:pt>
                <c:pt idx="15">
                  <c:v>1.492138198915798E-2</c:v>
                </c:pt>
                <c:pt idx="16">
                  <c:v>1.7249708022551189E-2</c:v>
                </c:pt>
                <c:pt idx="17">
                  <c:v>1.9742925351129821E-2</c:v>
                </c:pt>
                <c:pt idx="18">
                  <c:v>2.2371665320646595E-2</c:v>
                </c:pt>
                <c:pt idx="19">
                  <c:v>2.5098177077482731E-2</c:v>
                </c:pt>
                <c:pt idx="20">
                  <c:v>2.7876811580546432E-2</c:v>
                </c:pt>
                <c:pt idx="21">
                  <c:v>3.0654982707229786E-2</c:v>
                </c:pt>
                <c:pt idx="22">
                  <c:v>3.3374602852705361E-2</c:v>
                </c:pt>
                <c:pt idx="23">
                  <c:v>3.5973955457000127E-2</c:v>
                </c:pt>
                <c:pt idx="24">
                  <c:v>3.8389931208732665E-2</c:v>
                </c:pt>
                <c:pt idx="25">
                  <c:v>4.0560521516624357E-2</c:v>
                </c:pt>
                <c:pt idx="26">
                  <c:v>4.2427435518816052E-2</c:v>
                </c:pt>
                <c:pt idx="27">
                  <c:v>4.3938688417111078E-2</c:v>
                </c:pt>
                <c:pt idx="28">
                  <c:v>4.5051001610075574E-2</c:v>
                </c:pt>
                <c:pt idx="29">
                  <c:v>4.5731860308411497E-2</c:v>
                </c:pt>
                <c:pt idx="30">
                  <c:v>4.5961092212146622E-2</c:v>
                </c:pt>
                <c:pt idx="31">
                  <c:v>4.5731860308411497E-2</c:v>
                </c:pt>
                <c:pt idx="32">
                  <c:v>4.5051001610075553E-2</c:v>
                </c:pt>
                <c:pt idx="33">
                  <c:v>4.3938688417111058E-2</c:v>
                </c:pt>
                <c:pt idx="34">
                  <c:v>4.2427435518816017E-2</c:v>
                </c:pt>
                <c:pt idx="35">
                  <c:v>4.0560521516624329E-2</c:v>
                </c:pt>
                <c:pt idx="36">
                  <c:v>3.8389931208732624E-2</c:v>
                </c:pt>
                <c:pt idx="37">
                  <c:v>3.5973955457000086E-2</c:v>
                </c:pt>
                <c:pt idx="38">
                  <c:v>3.3374602852705312E-2</c:v>
                </c:pt>
                <c:pt idx="39">
                  <c:v>3.0654982707229737E-2</c:v>
                </c:pt>
                <c:pt idx="40">
                  <c:v>2.7876811580546383E-2</c:v>
                </c:pt>
                <c:pt idx="41">
                  <c:v>2.5098177077482686E-2</c:v>
                </c:pt>
                <c:pt idx="42">
                  <c:v>2.2371665320646553E-2</c:v>
                </c:pt>
                <c:pt idx="43">
                  <c:v>1.9742925351129776E-2</c:v>
                </c:pt>
                <c:pt idx="44">
                  <c:v>1.7249708022551144E-2</c:v>
                </c:pt>
                <c:pt idx="45">
                  <c:v>1.4921381989157937E-2</c:v>
                </c:pt>
                <c:pt idx="46">
                  <c:v>1.2778898004545475E-2</c:v>
                </c:pt>
                <c:pt idx="47">
                  <c:v>1.0835147163235729E-2</c:v>
                </c:pt>
                <c:pt idx="48">
                  <c:v>9.0956403572457871E-3</c:v>
                </c:pt>
                <c:pt idx="49">
                  <c:v>7.5594256652852434E-3</c:v>
                </c:pt>
                <c:pt idx="50">
                  <c:v>6.2201574323948652E-3</c:v>
                </c:pt>
                <c:pt idx="51">
                  <c:v>5.0672345599569873E-3</c:v>
                </c:pt>
                <c:pt idx="52">
                  <c:v>4.0869346597040253E-3</c:v>
                </c:pt>
                <c:pt idx="53">
                  <c:v>3.2634836107834964E-3</c:v>
                </c:pt>
                <c:pt idx="54">
                  <c:v>2.5800150109265658E-3</c:v>
                </c:pt>
                <c:pt idx="55">
                  <c:v>2.0193894577843667E-3</c:v>
                </c:pt>
                <c:pt idx="56">
                  <c:v>1.5648582066457898E-3</c:v>
                </c:pt>
                <c:pt idx="57">
                  <c:v>1.2005685270071982E-3</c:v>
                </c:pt>
                <c:pt idx="58">
                  <c:v>9.119183851359308E-4</c:v>
                </c:pt>
                <c:pt idx="59">
                  <c:v>6.857756243981338E-4</c:v>
                </c:pt>
                <c:pt idx="60">
                  <c:v>5.1058161427856819E-4</c:v>
                </c:pt>
              </c:numCache>
            </c:numRef>
          </c:val>
          <c:extLst>
            <c:ext xmlns:c16="http://schemas.microsoft.com/office/drawing/2014/chart" uri="{C3380CC4-5D6E-409C-BE32-E72D297353CC}">
              <c16:uniqueId val="{00000001-08EE-43CB-9CD8-281F1EB2CE8A}"/>
            </c:ext>
          </c:extLst>
        </c:ser>
        <c:ser>
          <c:idx val="1"/>
          <c:order val="2"/>
          <c:cat>
            <c:numRef>
              <c:f>'Bell Mature (2)'!$A$7:$A$67</c:f>
              <c:numCache>
                <c:formatCode>General</c:formatCode>
                <c:ptCount val="61"/>
                <c:pt idx="0">
                  <c:v>18.46</c:v>
                </c:pt>
                <c:pt idx="1">
                  <c:v>19.327999999999999</c:v>
                </c:pt>
                <c:pt idx="2">
                  <c:v>20.195999999999998</c:v>
                </c:pt>
                <c:pt idx="3">
                  <c:v>21.063999999999997</c:v>
                </c:pt>
                <c:pt idx="4">
                  <c:v>21.931999999999995</c:v>
                </c:pt>
                <c:pt idx="5">
                  <c:v>22.799999999999994</c:v>
                </c:pt>
                <c:pt idx="6">
                  <c:v>23.667999999999992</c:v>
                </c:pt>
                <c:pt idx="7">
                  <c:v>24.535999999999991</c:v>
                </c:pt>
                <c:pt idx="8">
                  <c:v>25.403999999999989</c:v>
                </c:pt>
                <c:pt idx="9">
                  <c:v>26.271999999999988</c:v>
                </c:pt>
                <c:pt idx="10">
                  <c:v>27.139999999999986</c:v>
                </c:pt>
                <c:pt idx="11">
                  <c:v>28.007999999999985</c:v>
                </c:pt>
                <c:pt idx="12">
                  <c:v>28.875999999999983</c:v>
                </c:pt>
                <c:pt idx="13">
                  <c:v>29.743999999999982</c:v>
                </c:pt>
                <c:pt idx="14">
                  <c:v>30.611999999999981</c:v>
                </c:pt>
                <c:pt idx="15">
                  <c:v>31.479999999999979</c:v>
                </c:pt>
                <c:pt idx="16">
                  <c:v>32.347999999999978</c:v>
                </c:pt>
                <c:pt idx="17">
                  <c:v>33.21599999999998</c:v>
                </c:pt>
                <c:pt idx="18">
                  <c:v>34.083999999999982</c:v>
                </c:pt>
                <c:pt idx="19">
                  <c:v>34.951999999999984</c:v>
                </c:pt>
                <c:pt idx="20">
                  <c:v>35.819999999999986</c:v>
                </c:pt>
                <c:pt idx="21">
                  <c:v>36.687999999999988</c:v>
                </c:pt>
                <c:pt idx="22">
                  <c:v>37.55599999999999</c:v>
                </c:pt>
                <c:pt idx="23">
                  <c:v>38.423999999999992</c:v>
                </c:pt>
                <c:pt idx="24">
                  <c:v>39.291999999999994</c:v>
                </c:pt>
                <c:pt idx="25">
                  <c:v>40.159999999999997</c:v>
                </c:pt>
                <c:pt idx="26">
                  <c:v>41.027999999999999</c:v>
                </c:pt>
                <c:pt idx="27">
                  <c:v>41.896000000000001</c:v>
                </c:pt>
                <c:pt idx="28">
                  <c:v>42.764000000000003</c:v>
                </c:pt>
                <c:pt idx="29">
                  <c:v>43.632000000000005</c:v>
                </c:pt>
                <c:pt idx="30">
                  <c:v>44.500000000000007</c:v>
                </c:pt>
                <c:pt idx="31">
                  <c:v>45.368000000000009</c:v>
                </c:pt>
                <c:pt idx="32">
                  <c:v>46.236000000000011</c:v>
                </c:pt>
                <c:pt idx="33">
                  <c:v>47.104000000000013</c:v>
                </c:pt>
                <c:pt idx="34">
                  <c:v>47.972000000000016</c:v>
                </c:pt>
                <c:pt idx="35">
                  <c:v>48.840000000000018</c:v>
                </c:pt>
                <c:pt idx="36">
                  <c:v>49.70800000000002</c:v>
                </c:pt>
                <c:pt idx="37">
                  <c:v>50.576000000000022</c:v>
                </c:pt>
                <c:pt idx="38">
                  <c:v>51.444000000000024</c:v>
                </c:pt>
                <c:pt idx="39">
                  <c:v>52.312000000000026</c:v>
                </c:pt>
                <c:pt idx="40">
                  <c:v>53.180000000000028</c:v>
                </c:pt>
                <c:pt idx="41">
                  <c:v>54.04800000000003</c:v>
                </c:pt>
                <c:pt idx="42">
                  <c:v>54.916000000000032</c:v>
                </c:pt>
                <c:pt idx="43">
                  <c:v>55.784000000000034</c:v>
                </c:pt>
                <c:pt idx="44">
                  <c:v>56.652000000000037</c:v>
                </c:pt>
                <c:pt idx="45">
                  <c:v>57.520000000000039</c:v>
                </c:pt>
                <c:pt idx="46">
                  <c:v>58.388000000000041</c:v>
                </c:pt>
                <c:pt idx="47">
                  <c:v>59.256000000000043</c:v>
                </c:pt>
                <c:pt idx="48">
                  <c:v>60.124000000000045</c:v>
                </c:pt>
                <c:pt idx="49">
                  <c:v>60.992000000000047</c:v>
                </c:pt>
                <c:pt idx="50">
                  <c:v>61.860000000000049</c:v>
                </c:pt>
                <c:pt idx="51">
                  <c:v>62.728000000000051</c:v>
                </c:pt>
                <c:pt idx="52">
                  <c:v>63.596000000000053</c:v>
                </c:pt>
                <c:pt idx="53">
                  <c:v>64.464000000000055</c:v>
                </c:pt>
                <c:pt idx="54">
                  <c:v>65.33200000000005</c:v>
                </c:pt>
                <c:pt idx="55">
                  <c:v>66.200000000000045</c:v>
                </c:pt>
                <c:pt idx="56">
                  <c:v>67.06800000000004</c:v>
                </c:pt>
                <c:pt idx="57">
                  <c:v>67.936000000000035</c:v>
                </c:pt>
                <c:pt idx="58">
                  <c:v>68.80400000000003</c:v>
                </c:pt>
                <c:pt idx="59">
                  <c:v>69.672000000000025</c:v>
                </c:pt>
                <c:pt idx="60">
                  <c:v>70.54000000000002</c:v>
                </c:pt>
              </c:numCache>
            </c:numRef>
          </c:cat>
          <c:val>
            <c:numRef>
              <c:f>'Bell Mature (2)'!$B$7:$B$67</c:f>
              <c:numCache>
                <c:formatCode>General</c:formatCode>
                <c:ptCount val="61"/>
                <c:pt idx="0">
                  <c:v>5.1058161427857231E-4</c:v>
                </c:pt>
                <c:pt idx="1">
                  <c:v>6.8577562439813922E-4</c:v>
                </c:pt>
                <c:pt idx="2">
                  <c:v>9.119183851359398E-4</c:v>
                </c:pt>
                <c:pt idx="3">
                  <c:v>1.2005685270072093E-3</c:v>
                </c:pt>
                <c:pt idx="4">
                  <c:v>1.5648582066458067E-3</c:v>
                </c:pt>
                <c:pt idx="5">
                  <c:v>2.0193894577843897E-3</c:v>
                </c:pt>
                <c:pt idx="6">
                  <c:v>2.5800150109265957E-3</c:v>
                </c:pt>
                <c:pt idx="7">
                  <c:v>3.2634836107835372E-3</c:v>
                </c:pt>
                <c:pt idx="8">
                  <c:v>4.0869346597040687E-3</c:v>
                </c:pt>
                <c:pt idx="9">
                  <c:v>5.0672345599570342E-3</c:v>
                </c:pt>
                <c:pt idx="10">
                  <c:v>6.2201574323949155E-3</c:v>
                </c:pt>
                <c:pt idx="11">
                  <c:v>7.5594256652852946E-3</c:v>
                </c:pt>
                <c:pt idx="12">
                  <c:v>9.0956403572458391E-3</c:v>
                </c:pt>
                <c:pt idx="13">
                  <c:v>1.0835147163235782E-2</c:v>
                </c:pt>
                <c:pt idx="14">
                  <c:v>1.2778898004545522E-2</c:v>
                </c:pt>
                <c:pt idx="15">
                  <c:v>1.492138198915798E-2</c:v>
                </c:pt>
                <c:pt idx="16">
                  <c:v>1.7249708022551189E-2</c:v>
                </c:pt>
                <c:pt idx="17">
                  <c:v>1.9742925351129821E-2</c:v>
                </c:pt>
                <c:pt idx="18">
                  <c:v>2.2371665320646595E-2</c:v>
                </c:pt>
                <c:pt idx="19">
                  <c:v>2.5098177077482731E-2</c:v>
                </c:pt>
                <c:pt idx="20">
                  <c:v>2.7876811580546432E-2</c:v>
                </c:pt>
                <c:pt idx="21">
                  <c:v>3.0654982707229786E-2</c:v>
                </c:pt>
                <c:pt idx="22">
                  <c:v>3.3374602852705361E-2</c:v>
                </c:pt>
                <c:pt idx="23">
                  <c:v>3.5973955457000127E-2</c:v>
                </c:pt>
                <c:pt idx="24">
                  <c:v>3.8389931208732665E-2</c:v>
                </c:pt>
                <c:pt idx="25">
                  <c:v>4.0560521516624357E-2</c:v>
                </c:pt>
                <c:pt idx="26">
                  <c:v>4.2427435518816052E-2</c:v>
                </c:pt>
                <c:pt idx="27">
                  <c:v>4.3938688417111078E-2</c:v>
                </c:pt>
                <c:pt idx="28">
                  <c:v>4.5051001610075574E-2</c:v>
                </c:pt>
                <c:pt idx="29">
                  <c:v>4.5731860308411497E-2</c:v>
                </c:pt>
                <c:pt idx="30">
                  <c:v>4.5961092212146622E-2</c:v>
                </c:pt>
                <c:pt idx="31">
                  <c:v>4.5731860308411497E-2</c:v>
                </c:pt>
                <c:pt idx="32">
                  <c:v>4.5051001610075553E-2</c:v>
                </c:pt>
                <c:pt idx="33">
                  <c:v>4.3938688417111058E-2</c:v>
                </c:pt>
                <c:pt idx="34">
                  <c:v>4.2427435518816017E-2</c:v>
                </c:pt>
                <c:pt idx="35">
                  <c:v>4.0560521516624329E-2</c:v>
                </c:pt>
                <c:pt idx="36">
                  <c:v>3.8389931208732624E-2</c:v>
                </c:pt>
                <c:pt idx="37">
                  <c:v>3.5973955457000086E-2</c:v>
                </c:pt>
                <c:pt idx="38">
                  <c:v>3.3374602852705312E-2</c:v>
                </c:pt>
                <c:pt idx="39">
                  <c:v>3.0654982707229737E-2</c:v>
                </c:pt>
                <c:pt idx="40">
                  <c:v>2.7876811580546383E-2</c:v>
                </c:pt>
                <c:pt idx="41">
                  <c:v>2.5098177077482686E-2</c:v>
                </c:pt>
                <c:pt idx="42">
                  <c:v>2.2371665320646553E-2</c:v>
                </c:pt>
                <c:pt idx="43">
                  <c:v>1.9742925351129776E-2</c:v>
                </c:pt>
                <c:pt idx="44">
                  <c:v>1.7249708022551144E-2</c:v>
                </c:pt>
                <c:pt idx="45">
                  <c:v>1.4921381989157937E-2</c:v>
                </c:pt>
                <c:pt idx="46">
                  <c:v>1.2778898004545475E-2</c:v>
                </c:pt>
                <c:pt idx="47">
                  <c:v>1.0835147163235729E-2</c:v>
                </c:pt>
                <c:pt idx="48">
                  <c:v>9.0956403572457871E-3</c:v>
                </c:pt>
                <c:pt idx="49">
                  <c:v>7.5594256652852434E-3</c:v>
                </c:pt>
                <c:pt idx="50">
                  <c:v>6.2201574323948652E-3</c:v>
                </c:pt>
                <c:pt idx="51">
                  <c:v>5.0672345599569873E-3</c:v>
                </c:pt>
                <c:pt idx="52">
                  <c:v>4.0869346597040253E-3</c:v>
                </c:pt>
                <c:pt idx="53">
                  <c:v>3.2634836107834964E-3</c:v>
                </c:pt>
                <c:pt idx="54">
                  <c:v>2.5800150109265658E-3</c:v>
                </c:pt>
                <c:pt idx="55">
                  <c:v>2.0193894577843667E-3</c:v>
                </c:pt>
                <c:pt idx="56">
                  <c:v>1.5648582066457898E-3</c:v>
                </c:pt>
                <c:pt idx="57">
                  <c:v>1.2005685270071982E-3</c:v>
                </c:pt>
                <c:pt idx="58">
                  <c:v>9.119183851359308E-4</c:v>
                </c:pt>
                <c:pt idx="59">
                  <c:v>6.857756243981338E-4</c:v>
                </c:pt>
                <c:pt idx="60">
                  <c:v>5.1058161427856819E-4</c:v>
                </c:pt>
              </c:numCache>
            </c:numRef>
          </c:val>
          <c:extLst>
            <c:ext xmlns:c16="http://schemas.microsoft.com/office/drawing/2014/chart" uri="{C3380CC4-5D6E-409C-BE32-E72D297353CC}">
              <c16:uniqueId val="{00000002-08EE-43CB-9CD8-281F1EB2CE8A}"/>
            </c:ext>
          </c:extLst>
        </c:ser>
        <c:ser>
          <c:idx val="0"/>
          <c:order val="3"/>
          <c:spPr>
            <a:gradFill rotWithShape="1">
              <a:gsLst>
                <a:gs pos="0">
                  <a:schemeClr val="accent1">
                    <a:lumMod val="110000"/>
                    <a:satMod val="105000"/>
                    <a:tint val="67000"/>
                  </a:schemeClr>
                </a:gs>
                <a:gs pos="50000">
                  <a:schemeClr val="accent1">
                    <a:lumMod val="105000"/>
                    <a:satMod val="103000"/>
                    <a:tint val="73000"/>
                  </a:schemeClr>
                </a:gs>
                <a:gs pos="100000">
                  <a:schemeClr val="accent1">
                    <a:lumMod val="105000"/>
                    <a:satMod val="109000"/>
                    <a:tint val="81000"/>
                  </a:schemeClr>
                </a:gs>
              </a:gsLst>
              <a:lin ang="5400000" scaled="0"/>
            </a:gradFill>
            <a:ln w="9525" cap="flat" cmpd="sng" algn="ctr">
              <a:solidFill>
                <a:schemeClr val="accent1">
                  <a:shade val="95000"/>
                </a:schemeClr>
              </a:solidFill>
              <a:round/>
            </a:ln>
            <a:effectLst/>
          </c:spPr>
          <c:cat>
            <c:numRef>
              <c:f>'Bell Mature (2)'!$A$7:$A$67</c:f>
              <c:numCache>
                <c:formatCode>General</c:formatCode>
                <c:ptCount val="61"/>
                <c:pt idx="0">
                  <c:v>18.46</c:v>
                </c:pt>
                <c:pt idx="1">
                  <c:v>19.327999999999999</c:v>
                </c:pt>
                <c:pt idx="2">
                  <c:v>20.195999999999998</c:v>
                </c:pt>
                <c:pt idx="3">
                  <c:v>21.063999999999997</c:v>
                </c:pt>
                <c:pt idx="4">
                  <c:v>21.931999999999995</c:v>
                </c:pt>
                <c:pt idx="5">
                  <c:v>22.799999999999994</c:v>
                </c:pt>
                <c:pt idx="6">
                  <c:v>23.667999999999992</c:v>
                </c:pt>
                <c:pt idx="7">
                  <c:v>24.535999999999991</c:v>
                </c:pt>
                <c:pt idx="8">
                  <c:v>25.403999999999989</c:v>
                </c:pt>
                <c:pt idx="9">
                  <c:v>26.271999999999988</c:v>
                </c:pt>
                <c:pt idx="10">
                  <c:v>27.139999999999986</c:v>
                </c:pt>
                <c:pt idx="11">
                  <c:v>28.007999999999985</c:v>
                </c:pt>
                <c:pt idx="12">
                  <c:v>28.875999999999983</c:v>
                </c:pt>
                <c:pt idx="13">
                  <c:v>29.743999999999982</c:v>
                </c:pt>
                <c:pt idx="14">
                  <c:v>30.611999999999981</c:v>
                </c:pt>
                <c:pt idx="15">
                  <c:v>31.479999999999979</c:v>
                </c:pt>
                <c:pt idx="16">
                  <c:v>32.347999999999978</c:v>
                </c:pt>
                <c:pt idx="17">
                  <c:v>33.21599999999998</c:v>
                </c:pt>
                <c:pt idx="18">
                  <c:v>34.083999999999982</c:v>
                </c:pt>
                <c:pt idx="19">
                  <c:v>34.951999999999984</c:v>
                </c:pt>
                <c:pt idx="20">
                  <c:v>35.819999999999986</c:v>
                </c:pt>
                <c:pt idx="21">
                  <c:v>36.687999999999988</c:v>
                </c:pt>
                <c:pt idx="22">
                  <c:v>37.55599999999999</c:v>
                </c:pt>
                <c:pt idx="23">
                  <c:v>38.423999999999992</c:v>
                </c:pt>
                <c:pt idx="24">
                  <c:v>39.291999999999994</c:v>
                </c:pt>
                <c:pt idx="25">
                  <c:v>40.159999999999997</c:v>
                </c:pt>
                <c:pt idx="26">
                  <c:v>41.027999999999999</c:v>
                </c:pt>
                <c:pt idx="27">
                  <c:v>41.896000000000001</c:v>
                </c:pt>
                <c:pt idx="28">
                  <c:v>42.764000000000003</c:v>
                </c:pt>
                <c:pt idx="29">
                  <c:v>43.632000000000005</c:v>
                </c:pt>
                <c:pt idx="30">
                  <c:v>44.500000000000007</c:v>
                </c:pt>
                <c:pt idx="31">
                  <c:v>45.368000000000009</c:v>
                </c:pt>
                <c:pt idx="32">
                  <c:v>46.236000000000011</c:v>
                </c:pt>
                <c:pt idx="33">
                  <c:v>47.104000000000013</c:v>
                </c:pt>
                <c:pt idx="34">
                  <c:v>47.972000000000016</c:v>
                </c:pt>
                <c:pt idx="35">
                  <c:v>48.840000000000018</c:v>
                </c:pt>
                <c:pt idx="36">
                  <c:v>49.70800000000002</c:v>
                </c:pt>
                <c:pt idx="37">
                  <c:v>50.576000000000022</c:v>
                </c:pt>
                <c:pt idx="38">
                  <c:v>51.444000000000024</c:v>
                </c:pt>
                <c:pt idx="39">
                  <c:v>52.312000000000026</c:v>
                </c:pt>
                <c:pt idx="40">
                  <c:v>53.180000000000028</c:v>
                </c:pt>
                <c:pt idx="41">
                  <c:v>54.04800000000003</c:v>
                </c:pt>
                <c:pt idx="42">
                  <c:v>54.916000000000032</c:v>
                </c:pt>
                <c:pt idx="43">
                  <c:v>55.784000000000034</c:v>
                </c:pt>
                <c:pt idx="44">
                  <c:v>56.652000000000037</c:v>
                </c:pt>
                <c:pt idx="45">
                  <c:v>57.520000000000039</c:v>
                </c:pt>
                <c:pt idx="46">
                  <c:v>58.388000000000041</c:v>
                </c:pt>
                <c:pt idx="47">
                  <c:v>59.256000000000043</c:v>
                </c:pt>
                <c:pt idx="48">
                  <c:v>60.124000000000045</c:v>
                </c:pt>
                <c:pt idx="49">
                  <c:v>60.992000000000047</c:v>
                </c:pt>
                <c:pt idx="50">
                  <c:v>61.860000000000049</c:v>
                </c:pt>
                <c:pt idx="51">
                  <c:v>62.728000000000051</c:v>
                </c:pt>
                <c:pt idx="52">
                  <c:v>63.596000000000053</c:v>
                </c:pt>
                <c:pt idx="53">
                  <c:v>64.464000000000055</c:v>
                </c:pt>
                <c:pt idx="54">
                  <c:v>65.33200000000005</c:v>
                </c:pt>
                <c:pt idx="55">
                  <c:v>66.200000000000045</c:v>
                </c:pt>
                <c:pt idx="56">
                  <c:v>67.06800000000004</c:v>
                </c:pt>
                <c:pt idx="57">
                  <c:v>67.936000000000035</c:v>
                </c:pt>
                <c:pt idx="58">
                  <c:v>68.80400000000003</c:v>
                </c:pt>
                <c:pt idx="59">
                  <c:v>69.672000000000025</c:v>
                </c:pt>
                <c:pt idx="60">
                  <c:v>70.54000000000002</c:v>
                </c:pt>
              </c:numCache>
            </c:numRef>
          </c:cat>
          <c:val>
            <c:numRef>
              <c:f>'Bell Mature (2)'!$B$7:$B$67</c:f>
              <c:numCache>
                <c:formatCode>General</c:formatCode>
                <c:ptCount val="61"/>
                <c:pt idx="0">
                  <c:v>5.1058161427857231E-4</c:v>
                </c:pt>
                <c:pt idx="1">
                  <c:v>6.8577562439813922E-4</c:v>
                </c:pt>
                <c:pt idx="2">
                  <c:v>9.119183851359398E-4</c:v>
                </c:pt>
                <c:pt idx="3">
                  <c:v>1.2005685270072093E-3</c:v>
                </c:pt>
                <c:pt idx="4">
                  <c:v>1.5648582066458067E-3</c:v>
                </c:pt>
                <c:pt idx="5">
                  <c:v>2.0193894577843897E-3</c:v>
                </c:pt>
                <c:pt idx="6">
                  <c:v>2.5800150109265957E-3</c:v>
                </c:pt>
                <c:pt idx="7">
                  <c:v>3.2634836107835372E-3</c:v>
                </c:pt>
                <c:pt idx="8">
                  <c:v>4.0869346597040687E-3</c:v>
                </c:pt>
                <c:pt idx="9">
                  <c:v>5.0672345599570342E-3</c:v>
                </c:pt>
                <c:pt idx="10">
                  <c:v>6.2201574323949155E-3</c:v>
                </c:pt>
                <c:pt idx="11">
                  <c:v>7.5594256652852946E-3</c:v>
                </c:pt>
                <c:pt idx="12">
                  <c:v>9.0956403572458391E-3</c:v>
                </c:pt>
                <c:pt idx="13">
                  <c:v>1.0835147163235782E-2</c:v>
                </c:pt>
                <c:pt idx="14">
                  <c:v>1.2778898004545522E-2</c:v>
                </c:pt>
                <c:pt idx="15">
                  <c:v>1.492138198915798E-2</c:v>
                </c:pt>
                <c:pt idx="16">
                  <c:v>1.7249708022551189E-2</c:v>
                </c:pt>
                <c:pt idx="17">
                  <c:v>1.9742925351129821E-2</c:v>
                </c:pt>
                <c:pt idx="18">
                  <c:v>2.2371665320646595E-2</c:v>
                </c:pt>
                <c:pt idx="19">
                  <c:v>2.5098177077482731E-2</c:v>
                </c:pt>
                <c:pt idx="20">
                  <c:v>2.7876811580546432E-2</c:v>
                </c:pt>
                <c:pt idx="21">
                  <c:v>3.0654982707229786E-2</c:v>
                </c:pt>
                <c:pt idx="22">
                  <c:v>3.3374602852705361E-2</c:v>
                </c:pt>
                <c:pt idx="23">
                  <c:v>3.5973955457000127E-2</c:v>
                </c:pt>
                <c:pt idx="24">
                  <c:v>3.8389931208732665E-2</c:v>
                </c:pt>
                <c:pt idx="25">
                  <c:v>4.0560521516624357E-2</c:v>
                </c:pt>
                <c:pt idx="26">
                  <c:v>4.2427435518816052E-2</c:v>
                </c:pt>
                <c:pt idx="27">
                  <c:v>4.3938688417111078E-2</c:v>
                </c:pt>
                <c:pt idx="28">
                  <c:v>4.5051001610075574E-2</c:v>
                </c:pt>
                <c:pt idx="29">
                  <c:v>4.5731860308411497E-2</c:v>
                </c:pt>
                <c:pt idx="30">
                  <c:v>4.5961092212146622E-2</c:v>
                </c:pt>
                <c:pt idx="31">
                  <c:v>4.5731860308411497E-2</c:v>
                </c:pt>
                <c:pt idx="32">
                  <c:v>4.5051001610075553E-2</c:v>
                </c:pt>
                <c:pt idx="33">
                  <c:v>4.3938688417111058E-2</c:v>
                </c:pt>
                <c:pt idx="34">
                  <c:v>4.2427435518816017E-2</c:v>
                </c:pt>
                <c:pt idx="35">
                  <c:v>4.0560521516624329E-2</c:v>
                </c:pt>
                <c:pt idx="36">
                  <c:v>3.8389931208732624E-2</c:v>
                </c:pt>
                <c:pt idx="37">
                  <c:v>3.5973955457000086E-2</c:v>
                </c:pt>
                <c:pt idx="38">
                  <c:v>3.3374602852705312E-2</c:v>
                </c:pt>
                <c:pt idx="39">
                  <c:v>3.0654982707229737E-2</c:v>
                </c:pt>
                <c:pt idx="40">
                  <c:v>2.7876811580546383E-2</c:v>
                </c:pt>
                <c:pt idx="41">
                  <c:v>2.5098177077482686E-2</c:v>
                </c:pt>
                <c:pt idx="42">
                  <c:v>2.2371665320646553E-2</c:v>
                </c:pt>
                <c:pt idx="43">
                  <c:v>1.9742925351129776E-2</c:v>
                </c:pt>
                <c:pt idx="44">
                  <c:v>1.7249708022551144E-2</c:v>
                </c:pt>
                <c:pt idx="45">
                  <c:v>1.4921381989157937E-2</c:v>
                </c:pt>
                <c:pt idx="46">
                  <c:v>1.2778898004545475E-2</c:v>
                </c:pt>
                <c:pt idx="47">
                  <c:v>1.0835147163235729E-2</c:v>
                </c:pt>
                <c:pt idx="48">
                  <c:v>9.0956403572457871E-3</c:v>
                </c:pt>
                <c:pt idx="49">
                  <c:v>7.5594256652852434E-3</c:v>
                </c:pt>
                <c:pt idx="50">
                  <c:v>6.2201574323948652E-3</c:v>
                </c:pt>
                <c:pt idx="51">
                  <c:v>5.0672345599569873E-3</c:v>
                </c:pt>
                <c:pt idx="52">
                  <c:v>4.0869346597040253E-3</c:v>
                </c:pt>
                <c:pt idx="53">
                  <c:v>3.2634836107834964E-3</c:v>
                </c:pt>
                <c:pt idx="54">
                  <c:v>2.5800150109265658E-3</c:v>
                </c:pt>
                <c:pt idx="55">
                  <c:v>2.0193894577843667E-3</c:v>
                </c:pt>
                <c:pt idx="56">
                  <c:v>1.5648582066457898E-3</c:v>
                </c:pt>
                <c:pt idx="57">
                  <c:v>1.2005685270071982E-3</c:v>
                </c:pt>
                <c:pt idx="58">
                  <c:v>9.119183851359308E-4</c:v>
                </c:pt>
                <c:pt idx="59">
                  <c:v>6.857756243981338E-4</c:v>
                </c:pt>
                <c:pt idx="60">
                  <c:v>5.1058161427856819E-4</c:v>
                </c:pt>
              </c:numCache>
            </c:numRef>
          </c:val>
          <c:extLst>
            <c:ext xmlns:c16="http://schemas.microsoft.com/office/drawing/2014/chart" uri="{C3380CC4-5D6E-409C-BE32-E72D297353CC}">
              <c16:uniqueId val="{00000003-08EE-43CB-9CD8-281F1EB2CE8A}"/>
            </c:ext>
          </c:extLst>
        </c:ser>
        <c:dLbls>
          <c:showLegendKey val="0"/>
          <c:showVal val="0"/>
          <c:showCatName val="0"/>
          <c:showSerName val="0"/>
          <c:showPercent val="0"/>
          <c:showBubbleSize val="0"/>
        </c:dLbls>
        <c:axId val="488890960"/>
        <c:axId val="488895120"/>
      </c:areaChart>
      <c:catAx>
        <c:axId val="488890960"/>
        <c:scaling>
          <c:orientation val="minMax"/>
        </c:scaling>
        <c:delete val="0"/>
        <c:axPos val="b"/>
        <c:title>
          <c:tx>
            <c:rich>
              <a:bodyPr/>
              <a:lstStyle/>
              <a:p>
                <a:pPr>
                  <a:defRPr/>
                </a:pPr>
                <a:r>
                  <a:rPr lang="en-GB"/>
                  <a:t>Data</a:t>
                </a:r>
              </a:p>
            </c:rich>
          </c:tx>
          <c:overlay val="0"/>
        </c:title>
        <c:numFmt formatCode="General" sourceLinked="1"/>
        <c:majorTickMark val="none"/>
        <c:minorTickMark val="none"/>
        <c:tickLblPos val="nextTo"/>
        <c:spPr>
          <a:noFill/>
          <a:ln w="9525" cap="rnd">
            <a:solidFill>
              <a:schemeClr val="dk1">
                <a:lumMod val="20000"/>
                <a:lumOff val="80000"/>
              </a:schemeClr>
            </a:solidFill>
            <a:round/>
          </a:ln>
          <a:effectLst/>
        </c:spPr>
        <c:txPr>
          <a:bodyPr rot="-60000000" spcFirstLastPara="1" vertOverflow="ellipsis" vert="horz" wrap="square" anchor="ctr" anchorCtr="1"/>
          <a:lstStyle/>
          <a:p>
            <a:pPr>
              <a:defRPr sz="900" b="0" i="0" u="none" strike="noStrike" kern="1200" baseline="0">
                <a:solidFill>
                  <a:schemeClr val="dk1">
                    <a:lumMod val="65000"/>
                    <a:lumOff val="35000"/>
                  </a:schemeClr>
                </a:solidFill>
                <a:latin typeface="+mn-lt"/>
                <a:ea typeface="+mn-ea"/>
                <a:cs typeface="+mn-cs"/>
              </a:defRPr>
            </a:pPr>
            <a:endParaRPr lang="en-US"/>
          </a:p>
        </c:txPr>
        <c:crossAx val="488895120"/>
        <c:crosses val="autoZero"/>
        <c:auto val="1"/>
        <c:lblAlgn val="ctr"/>
        <c:lblOffset val="100"/>
        <c:noMultiLvlLbl val="0"/>
      </c:catAx>
      <c:valAx>
        <c:axId val="488895120"/>
        <c:scaling>
          <c:orientation val="minMax"/>
        </c:scaling>
        <c:delete val="0"/>
        <c:axPos val="l"/>
        <c:majorGridlines>
          <c:spPr>
            <a:ln w="9525" cap="flat" cmpd="sng" algn="ctr">
              <a:solidFill>
                <a:schemeClr val="dk1">
                  <a:lumMod val="15000"/>
                  <a:lumOff val="85000"/>
                </a:schemeClr>
              </a:solidFill>
              <a:round/>
            </a:ln>
            <a:effectLst/>
          </c:spPr>
        </c:majorGridlines>
        <c:title>
          <c:tx>
            <c:rich>
              <a:bodyPr rot="-5400000" spcFirstLastPara="1" vertOverflow="ellipsis" vert="horz" wrap="square" anchor="ctr" anchorCtr="1"/>
              <a:lstStyle/>
              <a:p>
                <a:pPr>
                  <a:defRPr sz="900" b="0" i="0" u="none" strike="noStrike" kern="1200" baseline="0">
                    <a:solidFill>
                      <a:schemeClr val="dk1">
                        <a:lumMod val="65000"/>
                        <a:lumOff val="35000"/>
                      </a:schemeClr>
                    </a:solidFill>
                    <a:latin typeface="+mn-lt"/>
                    <a:ea typeface="+mn-ea"/>
                    <a:cs typeface="+mn-cs"/>
                  </a:defRPr>
                </a:pPr>
                <a:r>
                  <a:rPr lang="en-GB"/>
                  <a:t>Normalize</a:t>
                </a:r>
              </a:p>
            </c:rich>
          </c:tx>
          <c:layout>
            <c:manualLayout>
              <c:xMode val="edge"/>
              <c:yMode val="edge"/>
              <c:x val="3.3588470722004868E-2"/>
              <c:y val="0.40980484207450296"/>
            </c:manualLayout>
          </c:layout>
          <c:overlay val="0"/>
          <c:spPr>
            <a:noFill/>
            <a:ln>
              <a:noFill/>
            </a:ln>
            <a:effectLst/>
          </c:spPr>
        </c:title>
        <c:numFmt formatCode="General" sourceLinked="1"/>
        <c:majorTickMark val="none"/>
        <c:minorTickMark val="none"/>
        <c:tickLblPos val="nextTo"/>
        <c:spPr>
          <a:noFill/>
          <a:ln w="9525" cap="rnd">
            <a:solidFill>
              <a:schemeClr val="dk1">
                <a:lumMod val="25000"/>
                <a:lumOff val="75000"/>
              </a:schemeClr>
            </a:solidFill>
            <a:round/>
          </a:ln>
          <a:effectLst/>
        </c:spPr>
        <c:txPr>
          <a:bodyPr rot="-60000000" spcFirstLastPara="1" vertOverflow="ellipsis" vert="horz" wrap="square" anchor="ctr" anchorCtr="1"/>
          <a:lstStyle/>
          <a:p>
            <a:pPr>
              <a:defRPr sz="900" b="0" i="0" u="none" strike="noStrike" kern="1200" spc="0" baseline="0">
                <a:solidFill>
                  <a:schemeClr val="dk1">
                    <a:lumMod val="65000"/>
                    <a:lumOff val="35000"/>
                  </a:schemeClr>
                </a:solidFill>
                <a:latin typeface="+mn-lt"/>
                <a:ea typeface="+mn-ea"/>
                <a:cs typeface="+mn-cs"/>
              </a:defRPr>
            </a:pPr>
            <a:endParaRPr lang="en-US"/>
          </a:p>
        </c:txPr>
        <c:crossAx val="488890960"/>
        <c:crosses val="autoZero"/>
        <c:crossBetween val="midCat"/>
      </c:valAx>
      <c:spPr>
        <a:gradFill>
          <a:gsLst>
            <a:gs pos="100000">
              <a:schemeClr val="lt1">
                <a:lumMod val="95000"/>
              </a:schemeClr>
            </a:gs>
            <a:gs pos="0">
              <a:schemeClr val="lt1">
                <a:alpha val="0"/>
              </a:schemeClr>
            </a:gs>
          </a:gsLst>
          <a:lin ang="5400000" scaled="0"/>
        </a:gradFill>
        <a:ln>
          <a:noFill/>
        </a:ln>
        <a:effectLst/>
      </c:spPr>
    </c:plotArea>
    <c:plotVisOnly val="1"/>
    <c:dispBlanksAs val="gap"/>
    <c:showDLblsOverMax val="0"/>
  </c:chart>
  <c:txPr>
    <a:bodyPr/>
    <a:lstStyle/>
    <a:p>
      <a:pPr>
        <a:defRPr/>
      </a:pPr>
      <a:endParaRPr lang="en-US"/>
    </a:p>
  </c:txPr>
  <c:externalData r:id="rId1">
    <c:autoUpdate val="0"/>
  </c:externalData>
  <c:userShapes r:id="rId2"/>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cap="none" spc="20" baseline="0">
                <a:solidFill>
                  <a:schemeClr val="dk1">
                    <a:lumMod val="50000"/>
                    <a:lumOff val="50000"/>
                  </a:schemeClr>
                </a:solidFill>
                <a:latin typeface="+mn-lt"/>
                <a:ea typeface="+mn-ea"/>
                <a:cs typeface="+mn-cs"/>
              </a:defRPr>
            </a:pPr>
            <a:r>
              <a:rPr lang="en-GB"/>
              <a:t>Young Students</a:t>
            </a:r>
          </a:p>
        </c:rich>
      </c:tx>
      <c:overlay val="0"/>
      <c:spPr>
        <a:noFill/>
        <a:ln>
          <a:noFill/>
        </a:ln>
        <a:effectLst/>
      </c:spPr>
      <c:txPr>
        <a:bodyPr rot="0" spcFirstLastPara="1" vertOverflow="ellipsis" vert="horz" wrap="square" anchor="ctr" anchorCtr="1"/>
        <a:lstStyle/>
        <a:p>
          <a:pPr>
            <a:defRPr sz="1400" b="0" i="0" u="none" strike="noStrike" kern="1200" cap="none" spc="20" baseline="0">
              <a:solidFill>
                <a:schemeClr val="dk1">
                  <a:lumMod val="50000"/>
                  <a:lumOff val="50000"/>
                </a:schemeClr>
              </a:solidFill>
              <a:latin typeface="+mn-lt"/>
              <a:ea typeface="+mn-ea"/>
              <a:cs typeface="+mn-cs"/>
            </a:defRPr>
          </a:pPr>
          <a:endParaRPr lang="en-US"/>
        </a:p>
      </c:txPr>
    </c:title>
    <c:autoTitleDeleted val="0"/>
    <c:plotArea>
      <c:layout>
        <c:manualLayout>
          <c:layoutTarget val="inner"/>
          <c:xMode val="edge"/>
          <c:yMode val="edge"/>
          <c:x val="3.3141441295787451E-2"/>
          <c:y val="0.17974218498838762"/>
          <c:w val="0.89706255468066487"/>
          <c:h val="0.74403579760863225"/>
        </c:manualLayout>
      </c:layout>
      <c:areaChart>
        <c:grouping val="standard"/>
        <c:varyColors val="0"/>
        <c:ser>
          <c:idx val="0"/>
          <c:order val="0"/>
          <c:spPr>
            <a:gradFill rotWithShape="1">
              <a:gsLst>
                <a:gs pos="0">
                  <a:schemeClr val="accent1">
                    <a:lumMod val="110000"/>
                    <a:satMod val="105000"/>
                    <a:tint val="67000"/>
                  </a:schemeClr>
                </a:gs>
                <a:gs pos="50000">
                  <a:schemeClr val="accent1">
                    <a:lumMod val="105000"/>
                    <a:satMod val="103000"/>
                    <a:tint val="73000"/>
                  </a:schemeClr>
                </a:gs>
                <a:gs pos="100000">
                  <a:schemeClr val="accent1">
                    <a:lumMod val="105000"/>
                    <a:satMod val="109000"/>
                    <a:tint val="81000"/>
                  </a:schemeClr>
                </a:gs>
              </a:gsLst>
              <a:lin ang="5400000" scaled="0"/>
            </a:gradFill>
            <a:ln w="9525" cap="flat" cmpd="sng" algn="ctr">
              <a:solidFill>
                <a:schemeClr val="accent1">
                  <a:shade val="95000"/>
                </a:schemeClr>
              </a:solidFill>
              <a:round/>
            </a:ln>
            <a:effectLst/>
          </c:spPr>
          <c:cat>
            <c:numRef>
              <c:f>'Bell young'!$A$7:$A$67</c:f>
              <c:numCache>
                <c:formatCode>General</c:formatCode>
                <c:ptCount val="61"/>
                <c:pt idx="0">
                  <c:v>2.480000000000004</c:v>
                </c:pt>
                <c:pt idx="1">
                  <c:v>3.3340000000000041</c:v>
                </c:pt>
                <c:pt idx="2">
                  <c:v>4.1880000000000042</c:v>
                </c:pt>
                <c:pt idx="3">
                  <c:v>5.0420000000000043</c:v>
                </c:pt>
                <c:pt idx="4">
                  <c:v>5.8960000000000043</c:v>
                </c:pt>
                <c:pt idx="5">
                  <c:v>6.7500000000000044</c:v>
                </c:pt>
                <c:pt idx="6">
                  <c:v>7.6040000000000045</c:v>
                </c:pt>
                <c:pt idx="7">
                  <c:v>8.4580000000000037</c:v>
                </c:pt>
                <c:pt idx="8">
                  <c:v>9.3120000000000029</c:v>
                </c:pt>
                <c:pt idx="9">
                  <c:v>10.166000000000002</c:v>
                </c:pt>
                <c:pt idx="10">
                  <c:v>11.020000000000001</c:v>
                </c:pt>
                <c:pt idx="11">
                  <c:v>11.874000000000001</c:v>
                </c:pt>
                <c:pt idx="12">
                  <c:v>12.728</c:v>
                </c:pt>
                <c:pt idx="13">
                  <c:v>13.581999999999999</c:v>
                </c:pt>
                <c:pt idx="14">
                  <c:v>14.435999999999998</c:v>
                </c:pt>
                <c:pt idx="15">
                  <c:v>15.289999999999997</c:v>
                </c:pt>
                <c:pt idx="16">
                  <c:v>16.143999999999998</c:v>
                </c:pt>
                <c:pt idx="17">
                  <c:v>16.997999999999998</c:v>
                </c:pt>
                <c:pt idx="18">
                  <c:v>17.851999999999997</c:v>
                </c:pt>
                <c:pt idx="19">
                  <c:v>18.705999999999996</c:v>
                </c:pt>
                <c:pt idx="20">
                  <c:v>19.559999999999995</c:v>
                </c:pt>
                <c:pt idx="21">
                  <c:v>20.413999999999994</c:v>
                </c:pt>
                <c:pt idx="22">
                  <c:v>21.267999999999994</c:v>
                </c:pt>
                <c:pt idx="23">
                  <c:v>22.121999999999993</c:v>
                </c:pt>
                <c:pt idx="24">
                  <c:v>22.975999999999992</c:v>
                </c:pt>
                <c:pt idx="25">
                  <c:v>23.829999999999991</c:v>
                </c:pt>
                <c:pt idx="26">
                  <c:v>24.68399999999999</c:v>
                </c:pt>
                <c:pt idx="27">
                  <c:v>25.53799999999999</c:v>
                </c:pt>
                <c:pt idx="28">
                  <c:v>26.391999999999989</c:v>
                </c:pt>
                <c:pt idx="29">
                  <c:v>27.245999999999988</c:v>
                </c:pt>
                <c:pt idx="30">
                  <c:v>28.099999999999987</c:v>
                </c:pt>
                <c:pt idx="31">
                  <c:v>28.953999999999986</c:v>
                </c:pt>
                <c:pt idx="32">
                  <c:v>29.807999999999986</c:v>
                </c:pt>
                <c:pt idx="33">
                  <c:v>30.661999999999985</c:v>
                </c:pt>
                <c:pt idx="34">
                  <c:v>31.515999999999984</c:v>
                </c:pt>
                <c:pt idx="35">
                  <c:v>32.369999999999983</c:v>
                </c:pt>
                <c:pt idx="36">
                  <c:v>33.223999999999982</c:v>
                </c:pt>
                <c:pt idx="37">
                  <c:v>34.077999999999982</c:v>
                </c:pt>
                <c:pt idx="38">
                  <c:v>34.931999999999981</c:v>
                </c:pt>
                <c:pt idx="39">
                  <c:v>35.78599999999998</c:v>
                </c:pt>
                <c:pt idx="40">
                  <c:v>36.639999999999979</c:v>
                </c:pt>
                <c:pt idx="41">
                  <c:v>37.493999999999978</c:v>
                </c:pt>
                <c:pt idx="42">
                  <c:v>38.347999999999978</c:v>
                </c:pt>
                <c:pt idx="43">
                  <c:v>39.201999999999977</c:v>
                </c:pt>
                <c:pt idx="44">
                  <c:v>40.055999999999976</c:v>
                </c:pt>
                <c:pt idx="45">
                  <c:v>40.909999999999975</c:v>
                </c:pt>
                <c:pt idx="46">
                  <c:v>41.763999999999974</c:v>
                </c:pt>
                <c:pt idx="47">
                  <c:v>42.617999999999974</c:v>
                </c:pt>
                <c:pt idx="48">
                  <c:v>43.471999999999973</c:v>
                </c:pt>
                <c:pt idx="49">
                  <c:v>44.325999999999972</c:v>
                </c:pt>
                <c:pt idx="50">
                  <c:v>45.179999999999971</c:v>
                </c:pt>
                <c:pt idx="51">
                  <c:v>46.03399999999997</c:v>
                </c:pt>
                <c:pt idx="52">
                  <c:v>46.88799999999997</c:v>
                </c:pt>
                <c:pt idx="53">
                  <c:v>47.741999999999969</c:v>
                </c:pt>
                <c:pt idx="54">
                  <c:v>48.595999999999968</c:v>
                </c:pt>
                <c:pt idx="55">
                  <c:v>49.449999999999967</c:v>
                </c:pt>
                <c:pt idx="56">
                  <c:v>50.303999999999967</c:v>
                </c:pt>
                <c:pt idx="57">
                  <c:v>51.157999999999966</c:v>
                </c:pt>
                <c:pt idx="58">
                  <c:v>52.011999999999965</c:v>
                </c:pt>
                <c:pt idx="59">
                  <c:v>52.865999999999964</c:v>
                </c:pt>
                <c:pt idx="60">
                  <c:v>53.719999999999963</c:v>
                </c:pt>
              </c:numCache>
            </c:numRef>
          </c:cat>
          <c:val>
            <c:numRef>
              <c:f>'Bell young'!$B$7:$B$67</c:f>
              <c:numCache>
                <c:formatCode>General</c:formatCode>
                <c:ptCount val="61"/>
                <c:pt idx="0">
                  <c:v>5.1895180467658169E-4</c:v>
                </c:pt>
                <c:pt idx="1">
                  <c:v>6.9701784774892908E-4</c:v>
                </c:pt>
                <c:pt idx="2">
                  <c:v>9.2686786685947987E-4</c:v>
                </c:pt>
                <c:pt idx="3">
                  <c:v>1.220249978269626E-3</c:v>
                </c:pt>
                <c:pt idx="4">
                  <c:v>1.5905116198695099E-3</c:v>
                </c:pt>
                <c:pt idx="5">
                  <c:v>2.0524942029939743E-3</c:v>
                </c:pt>
                <c:pt idx="6">
                  <c:v>2.6223103389745824E-3</c:v>
                </c:pt>
                <c:pt idx="7">
                  <c:v>3.3169833421078676E-3</c:v>
                </c:pt>
                <c:pt idx="8">
                  <c:v>4.1539335885516929E-3</c:v>
                </c:pt>
                <c:pt idx="9">
                  <c:v>5.1503039789727399E-3</c:v>
                </c:pt>
                <c:pt idx="10">
                  <c:v>6.3221272263686255E-3</c:v>
                </c:pt>
                <c:pt idx="11">
                  <c:v>7.6833506761916385E-3</c:v>
                </c:pt>
                <c:pt idx="12">
                  <c:v>9.2447492155613726E-3</c:v>
                </c:pt>
                <c:pt idx="13">
                  <c:v>1.1012772526567549E-2</c:v>
                </c:pt>
                <c:pt idx="14">
                  <c:v>1.2988388135767619E-2</c:v>
                </c:pt>
                <c:pt idx="15">
                  <c:v>1.5165994808652416E-2</c:v>
                </c:pt>
                <c:pt idx="16">
                  <c:v>1.753249012128159E-2</c:v>
                </c:pt>
                <c:pt idx="17">
                  <c:v>2.0066579865082819E-2</c:v>
                </c:pt>
                <c:pt idx="18">
                  <c:v>2.2738413932460518E-2</c:v>
                </c:pt>
                <c:pt idx="19">
                  <c:v>2.5509622603343138E-2</c:v>
                </c:pt>
                <c:pt idx="20">
                  <c:v>2.8333808491702951E-2</c:v>
                </c:pt>
                <c:pt idx="21">
                  <c:v>3.1157523407348314E-2</c:v>
                </c:pt>
                <c:pt idx="22">
                  <c:v>3.3921727489634956E-2</c:v>
                </c:pt>
                <c:pt idx="23">
                  <c:v>3.6563692431705042E-2</c:v>
                </c:pt>
                <c:pt idx="24">
                  <c:v>3.9019274343302046E-2</c:v>
                </c:pt>
                <c:pt idx="25">
                  <c:v>4.1225448098864088E-2</c:v>
                </c:pt>
                <c:pt idx="26">
                  <c:v>4.3122967248632696E-2</c:v>
                </c:pt>
                <c:pt idx="27">
                  <c:v>4.4658994784604687E-2</c:v>
                </c:pt>
                <c:pt idx="28">
                  <c:v>4.5789542620076791E-2</c:v>
                </c:pt>
                <c:pt idx="29">
                  <c:v>4.6481562936418246E-2</c:v>
                </c:pt>
                <c:pt idx="30">
                  <c:v>4.6714552740214604E-2</c:v>
                </c:pt>
                <c:pt idx="31">
                  <c:v>4.6481562936418253E-2</c:v>
                </c:pt>
                <c:pt idx="32">
                  <c:v>4.5789542620076826E-2</c:v>
                </c:pt>
                <c:pt idx="33">
                  <c:v>4.4658994784604722E-2</c:v>
                </c:pt>
                <c:pt idx="34">
                  <c:v>4.3122967248632751E-2</c:v>
                </c:pt>
                <c:pt idx="35">
                  <c:v>4.1225448098864158E-2</c:v>
                </c:pt>
                <c:pt idx="36">
                  <c:v>3.9019274343302122E-2</c:v>
                </c:pt>
                <c:pt idx="37">
                  <c:v>3.6563692431705125E-2</c:v>
                </c:pt>
                <c:pt idx="38">
                  <c:v>3.3921727489635053E-2</c:v>
                </c:pt>
                <c:pt idx="39">
                  <c:v>3.1157523407348411E-2</c:v>
                </c:pt>
                <c:pt idx="40">
                  <c:v>2.8333808491703038E-2</c:v>
                </c:pt>
                <c:pt idx="41">
                  <c:v>2.5509622603343229E-2</c:v>
                </c:pt>
                <c:pt idx="42">
                  <c:v>2.2738413932460608E-2</c:v>
                </c:pt>
                <c:pt idx="43">
                  <c:v>2.0066579865082906E-2</c:v>
                </c:pt>
                <c:pt idx="44">
                  <c:v>1.7532490121281673E-2</c:v>
                </c:pt>
                <c:pt idx="45">
                  <c:v>1.5165994808652496E-2</c:v>
                </c:pt>
                <c:pt idx="46">
                  <c:v>1.2988388135767694E-2</c:v>
                </c:pt>
                <c:pt idx="47">
                  <c:v>1.1012772526567615E-2</c:v>
                </c:pt>
                <c:pt idx="48">
                  <c:v>9.2447492155614281E-3</c:v>
                </c:pt>
                <c:pt idx="49">
                  <c:v>7.6833506761916862E-3</c:v>
                </c:pt>
                <c:pt idx="50">
                  <c:v>6.3221272263686672E-3</c:v>
                </c:pt>
                <c:pt idx="51">
                  <c:v>5.1503039789727789E-3</c:v>
                </c:pt>
                <c:pt idx="52">
                  <c:v>4.1539335885517224E-3</c:v>
                </c:pt>
                <c:pt idx="53">
                  <c:v>3.316983342107894E-3</c:v>
                </c:pt>
                <c:pt idx="54">
                  <c:v>2.6223103389746011E-3</c:v>
                </c:pt>
                <c:pt idx="55">
                  <c:v>2.0524942029939925E-3</c:v>
                </c:pt>
                <c:pt idx="56">
                  <c:v>1.5905116198695268E-3</c:v>
                </c:pt>
                <c:pt idx="57">
                  <c:v>1.2202499782696372E-3</c:v>
                </c:pt>
                <c:pt idx="58">
                  <c:v>9.2686786685949136E-4</c:v>
                </c:pt>
                <c:pt idx="59">
                  <c:v>6.970178477489371E-4</c:v>
                </c:pt>
                <c:pt idx="60">
                  <c:v>5.1895180467658819E-4</c:v>
                </c:pt>
              </c:numCache>
            </c:numRef>
          </c:val>
          <c:extLst>
            <c:ext xmlns:c16="http://schemas.microsoft.com/office/drawing/2014/chart" uri="{C3380CC4-5D6E-409C-BE32-E72D297353CC}">
              <c16:uniqueId val="{00000000-EBB0-4E45-9933-240D5B7A4100}"/>
            </c:ext>
          </c:extLst>
        </c:ser>
        <c:dLbls>
          <c:showLegendKey val="0"/>
          <c:showVal val="0"/>
          <c:showCatName val="0"/>
          <c:showSerName val="0"/>
          <c:showPercent val="0"/>
          <c:showBubbleSize val="0"/>
        </c:dLbls>
        <c:axId val="488890960"/>
        <c:axId val="488895120"/>
      </c:areaChart>
      <c:catAx>
        <c:axId val="488890960"/>
        <c:scaling>
          <c:orientation val="minMax"/>
        </c:scaling>
        <c:delete val="0"/>
        <c:axPos val="b"/>
        <c:majorGridlines>
          <c:spPr>
            <a:ln w="9525" cap="flat" cmpd="sng" algn="ctr">
              <a:solidFill>
                <a:schemeClr val="dk1">
                  <a:lumMod val="15000"/>
                  <a:lumOff val="85000"/>
                </a:schemeClr>
              </a:solidFill>
              <a:round/>
            </a:ln>
            <a:effectLst/>
          </c:spPr>
        </c:majorGridlines>
        <c:numFmt formatCode="General" sourceLinked="1"/>
        <c:majorTickMark val="none"/>
        <c:minorTickMark val="none"/>
        <c:tickLblPos val="nextTo"/>
        <c:spPr>
          <a:noFill/>
          <a:ln w="9525" cap="rnd">
            <a:solidFill>
              <a:schemeClr val="dk1">
                <a:lumMod val="20000"/>
                <a:lumOff val="80000"/>
              </a:schemeClr>
            </a:solidFill>
            <a:round/>
          </a:ln>
          <a:effectLst/>
        </c:spPr>
        <c:txPr>
          <a:bodyPr rot="-60000000" spcFirstLastPara="1" vertOverflow="ellipsis" vert="horz" wrap="square" anchor="ctr" anchorCtr="1"/>
          <a:lstStyle/>
          <a:p>
            <a:pPr>
              <a:defRPr sz="900" b="0" i="0" u="none" strike="noStrike" kern="1200" baseline="0">
                <a:solidFill>
                  <a:schemeClr val="dk1">
                    <a:lumMod val="65000"/>
                    <a:lumOff val="35000"/>
                  </a:schemeClr>
                </a:solidFill>
                <a:latin typeface="+mn-lt"/>
                <a:ea typeface="+mn-ea"/>
                <a:cs typeface="+mn-cs"/>
              </a:defRPr>
            </a:pPr>
            <a:endParaRPr lang="en-US"/>
          </a:p>
        </c:txPr>
        <c:crossAx val="488895120"/>
        <c:crosses val="autoZero"/>
        <c:auto val="1"/>
        <c:lblAlgn val="ctr"/>
        <c:lblOffset val="100"/>
        <c:noMultiLvlLbl val="0"/>
      </c:catAx>
      <c:valAx>
        <c:axId val="488895120"/>
        <c:scaling>
          <c:orientation val="minMax"/>
        </c:scaling>
        <c:delete val="0"/>
        <c:axPos val="l"/>
        <c:majorGridlines>
          <c:spPr>
            <a:ln w="9525" cap="flat" cmpd="sng" algn="ctr">
              <a:solidFill>
                <a:schemeClr val="dk1">
                  <a:lumMod val="15000"/>
                  <a:lumOff val="85000"/>
                </a:schemeClr>
              </a:solidFill>
              <a:round/>
            </a:ln>
            <a:effectLst/>
          </c:spPr>
        </c:majorGridlines>
        <c:numFmt formatCode="General" sourceLinked="1"/>
        <c:majorTickMark val="none"/>
        <c:minorTickMark val="none"/>
        <c:tickLblPos val="nextTo"/>
        <c:spPr>
          <a:noFill/>
          <a:ln w="9525" cap="rnd">
            <a:solidFill>
              <a:schemeClr val="dk1">
                <a:lumMod val="25000"/>
                <a:lumOff val="75000"/>
              </a:schemeClr>
            </a:solidFill>
            <a:round/>
          </a:ln>
          <a:effectLst/>
        </c:spPr>
        <c:txPr>
          <a:bodyPr rot="-60000000" spcFirstLastPara="1" vertOverflow="ellipsis" vert="horz" wrap="square" anchor="ctr" anchorCtr="1"/>
          <a:lstStyle/>
          <a:p>
            <a:pPr>
              <a:defRPr sz="900" b="0" i="0" u="none" strike="noStrike" kern="1200" spc="0" baseline="0">
                <a:solidFill>
                  <a:schemeClr val="dk1">
                    <a:lumMod val="65000"/>
                    <a:lumOff val="35000"/>
                  </a:schemeClr>
                </a:solidFill>
                <a:latin typeface="+mn-lt"/>
                <a:ea typeface="+mn-ea"/>
                <a:cs typeface="+mn-cs"/>
              </a:defRPr>
            </a:pPr>
            <a:endParaRPr lang="en-US"/>
          </a:p>
        </c:txPr>
        <c:crossAx val="488890960"/>
        <c:crosses val="autoZero"/>
        <c:crossBetween val="midCat"/>
      </c:valAx>
      <c:spPr>
        <a:gradFill>
          <a:gsLst>
            <a:gs pos="100000">
              <a:schemeClr val="lt1">
                <a:lumMod val="95000"/>
              </a:schemeClr>
            </a:gs>
            <a:gs pos="0">
              <a:schemeClr val="lt1">
                <a:alpha val="0"/>
              </a:schemeClr>
            </a:gs>
          </a:gsLst>
          <a:lin ang="5400000" scaled="0"/>
        </a:gradFill>
        <a:ln>
          <a:noFill/>
        </a:ln>
        <a:effectLst/>
      </c:spPr>
    </c:plotArea>
    <c:plotVisOnly val="1"/>
    <c:dispBlanksAs val="gap"/>
    <c:showDLblsOverMax val="0"/>
  </c:chart>
  <c:spPr>
    <a:solidFill>
      <a:schemeClr val="lt1"/>
    </a:solidFill>
    <a:ln w="9525" cap="flat" cmpd="sng" algn="ctr">
      <a:solidFill>
        <a:schemeClr val="dk1">
          <a:lumMod val="15000"/>
          <a:lumOff val="85000"/>
        </a:schemeClr>
      </a:solidFill>
      <a:round/>
    </a:ln>
    <a:effectLst/>
  </c:spPr>
  <c:txPr>
    <a:bodyPr/>
    <a:lstStyle/>
    <a:p>
      <a:pPr>
        <a:defRPr/>
      </a:pPr>
      <a:endParaRPr lang="en-US"/>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600" b="1" i="0" u="none" strike="noStrike" kern="1200" baseline="0">
                <a:solidFill>
                  <a:schemeClr val="tx2"/>
                </a:solidFill>
                <a:latin typeface="+mn-lt"/>
                <a:ea typeface="+mn-ea"/>
                <a:cs typeface="+mn-cs"/>
              </a:defRPr>
            </a:pPr>
            <a:r>
              <a:rPr lang="en-GB"/>
              <a:t>Mature Student outlier</a:t>
            </a:r>
          </a:p>
          <a:p>
            <a:pPr>
              <a:defRPr/>
            </a:pPr>
            <a:endParaRPr lang="en-GB"/>
          </a:p>
        </c:rich>
      </c:tx>
      <c:overlay val="0"/>
      <c:spPr>
        <a:noFill/>
        <a:ln>
          <a:noFill/>
        </a:ln>
        <a:effectLst/>
      </c:spPr>
      <c:txPr>
        <a:bodyPr rot="0" spcFirstLastPara="1" vertOverflow="ellipsis" vert="horz" wrap="square" anchor="ctr" anchorCtr="1"/>
        <a:lstStyle/>
        <a:p>
          <a:pPr>
            <a:defRPr sz="1600" b="1" i="0" u="none" strike="noStrike" kern="1200" baseline="0">
              <a:solidFill>
                <a:schemeClr val="tx2"/>
              </a:solidFill>
              <a:latin typeface="+mn-lt"/>
              <a:ea typeface="+mn-ea"/>
              <a:cs typeface="+mn-cs"/>
            </a:defRPr>
          </a:pPr>
          <a:endParaRPr lang="en-US"/>
        </a:p>
      </c:txPr>
    </c:title>
    <c:autoTitleDeleted val="0"/>
    <c:plotArea>
      <c:layout/>
      <c:scatterChart>
        <c:scatterStyle val="lineMarker"/>
        <c:varyColors val="0"/>
        <c:ser>
          <c:idx val="0"/>
          <c:order val="0"/>
          <c:spPr>
            <a:ln w="9525" cap="rnd">
              <a:noFill/>
              <a:round/>
            </a:ln>
            <a:effectLst/>
          </c:spPr>
          <c:marker>
            <c:symbol val="circle"/>
            <c:size val="5"/>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w="9525">
                <a:solidFill>
                  <a:schemeClr val="accent1"/>
                </a:solidFill>
                <a:round/>
              </a:ln>
              <a:effectLst/>
            </c:spPr>
          </c:marker>
          <c:xVal>
            <c:numRef>
              <c:f>outliers!$A$2:$A$11</c:f>
              <c:numCache>
                <c:formatCode>General</c:formatCode>
                <c:ptCount val="10"/>
                <c:pt idx="0">
                  <c:v>25</c:v>
                </c:pt>
                <c:pt idx="1">
                  <c:v>38</c:v>
                </c:pt>
                <c:pt idx="2">
                  <c:v>39</c:v>
                </c:pt>
                <c:pt idx="3">
                  <c:v>45</c:v>
                </c:pt>
                <c:pt idx="4">
                  <c:v>46</c:v>
                </c:pt>
                <c:pt idx="5">
                  <c:v>46</c:v>
                </c:pt>
                <c:pt idx="6">
                  <c:v>48</c:v>
                </c:pt>
                <c:pt idx="7">
                  <c:v>51</c:v>
                </c:pt>
                <c:pt idx="8">
                  <c:v>52</c:v>
                </c:pt>
                <c:pt idx="9">
                  <c:v>55</c:v>
                </c:pt>
              </c:numCache>
            </c:numRef>
          </c:xVal>
          <c:yVal>
            <c:numRef>
              <c:f>outliers!$B$2:$B$11</c:f>
              <c:numCache>
                <c:formatCode>General</c:formatCode>
                <c:ptCount val="10"/>
                <c:pt idx="0">
                  <c:v>1</c:v>
                </c:pt>
                <c:pt idx="1">
                  <c:v>0</c:v>
                </c:pt>
                <c:pt idx="2">
                  <c:v>0</c:v>
                </c:pt>
                <c:pt idx="3">
                  <c:v>0</c:v>
                </c:pt>
                <c:pt idx="4">
                  <c:v>0</c:v>
                </c:pt>
                <c:pt idx="5">
                  <c:v>0</c:v>
                </c:pt>
                <c:pt idx="6">
                  <c:v>0</c:v>
                </c:pt>
                <c:pt idx="7">
                  <c:v>0</c:v>
                </c:pt>
                <c:pt idx="8">
                  <c:v>0</c:v>
                </c:pt>
                <c:pt idx="9">
                  <c:v>0</c:v>
                </c:pt>
              </c:numCache>
            </c:numRef>
          </c:yVal>
          <c:smooth val="0"/>
          <c:extLst>
            <c:ext xmlns:c16="http://schemas.microsoft.com/office/drawing/2014/chart" uri="{C3380CC4-5D6E-409C-BE32-E72D297353CC}">
              <c16:uniqueId val="{00000000-C2B0-4FAE-B090-396ABDA41E71}"/>
            </c:ext>
          </c:extLst>
        </c:ser>
        <c:dLbls>
          <c:showLegendKey val="0"/>
          <c:showVal val="0"/>
          <c:showCatName val="0"/>
          <c:showSerName val="0"/>
          <c:showPercent val="0"/>
          <c:showBubbleSize val="0"/>
        </c:dLbls>
        <c:axId val="538213776"/>
        <c:axId val="538214416"/>
      </c:scatterChart>
      <c:valAx>
        <c:axId val="538213776"/>
        <c:scaling>
          <c:orientation val="minMax"/>
        </c:scaling>
        <c:delete val="0"/>
        <c:axPos val="b"/>
        <c:title>
          <c:tx>
            <c:rich>
              <a:bodyPr rot="0" spcFirstLastPara="1" vertOverflow="ellipsis" vert="horz" wrap="square" anchor="ctr" anchorCtr="1"/>
              <a:lstStyle/>
              <a:p>
                <a:pPr>
                  <a:defRPr sz="900" b="1" i="0" u="none" strike="noStrike" kern="1200" baseline="0">
                    <a:solidFill>
                      <a:schemeClr val="tx2"/>
                    </a:solidFill>
                    <a:latin typeface="+mn-lt"/>
                    <a:ea typeface="+mn-ea"/>
                    <a:cs typeface="+mn-cs"/>
                  </a:defRPr>
                </a:pPr>
                <a:r>
                  <a:rPr lang="en-GB"/>
                  <a:t>Student</a:t>
                </a:r>
                <a:r>
                  <a:rPr lang="en-GB" baseline="0"/>
                  <a:t> satisfaction scores</a:t>
                </a:r>
                <a:endParaRPr lang="en-GB"/>
              </a:p>
            </c:rich>
          </c:tx>
          <c:overlay val="0"/>
          <c:spPr>
            <a:noFill/>
            <a:ln>
              <a:noFill/>
            </a:ln>
            <a:effectLst/>
          </c:spPr>
          <c:txPr>
            <a:bodyPr rot="0" spcFirstLastPara="1" vertOverflow="ellipsis" vert="horz" wrap="square" anchor="ctr" anchorCtr="1"/>
            <a:lstStyle/>
            <a:p>
              <a:pPr>
                <a:defRPr sz="900" b="1" i="0" u="none" strike="noStrike" kern="1200" baseline="0">
                  <a:solidFill>
                    <a:schemeClr val="tx2"/>
                  </a:solidFill>
                  <a:latin typeface="+mn-lt"/>
                  <a:ea typeface="+mn-ea"/>
                  <a:cs typeface="+mn-cs"/>
                </a:defRPr>
              </a:pPr>
              <a:endParaRPr lang="en-US"/>
            </a:p>
          </c:txPr>
        </c:title>
        <c:numFmt formatCode="General" sourceLinked="1"/>
        <c:majorTickMark val="none"/>
        <c:minorTickMark val="none"/>
        <c:tickLblPos val="nextTo"/>
        <c:spPr>
          <a:noFill/>
          <a:ln>
            <a:solidFill>
              <a:schemeClr val="tx2">
                <a:lumMod val="40000"/>
                <a:lumOff val="60000"/>
              </a:schemeClr>
            </a:solidFill>
          </a:ln>
          <a:effectLst/>
        </c:spPr>
        <c:txPr>
          <a:bodyPr rot="-60000000" spcFirstLastPara="1" vertOverflow="ellipsis" vert="horz" wrap="square" anchor="ctr" anchorCtr="1"/>
          <a:lstStyle/>
          <a:p>
            <a:pPr>
              <a:defRPr sz="900" b="0" i="0" u="none" strike="noStrike" kern="1200" baseline="0">
                <a:solidFill>
                  <a:schemeClr val="tx2"/>
                </a:solidFill>
                <a:latin typeface="+mn-lt"/>
                <a:ea typeface="+mn-ea"/>
                <a:cs typeface="+mn-cs"/>
              </a:defRPr>
            </a:pPr>
            <a:endParaRPr lang="en-US"/>
          </a:p>
        </c:txPr>
        <c:crossAx val="538214416"/>
        <c:crosses val="autoZero"/>
        <c:crossBetween val="midCat"/>
      </c:valAx>
      <c:valAx>
        <c:axId val="538214416"/>
        <c:scaling>
          <c:orientation val="minMax"/>
        </c:scaling>
        <c:delete val="0"/>
        <c:axPos val="l"/>
        <c:majorGridlines>
          <c:spPr>
            <a:ln w="9525" cap="flat" cmpd="sng" algn="ctr">
              <a:solidFill>
                <a:schemeClr val="tx2">
                  <a:lumMod val="15000"/>
                  <a:lumOff val="85000"/>
                </a:schemeClr>
              </a:solidFill>
              <a:round/>
            </a:ln>
            <a:effectLst/>
          </c:spPr>
        </c:majorGridlines>
        <c:title>
          <c:tx>
            <c:rich>
              <a:bodyPr rot="-5400000" spcFirstLastPara="1" vertOverflow="ellipsis" vert="horz" wrap="square" anchor="ctr" anchorCtr="1"/>
              <a:lstStyle/>
              <a:p>
                <a:pPr>
                  <a:defRPr sz="900" b="1" i="0" u="none" strike="noStrike" kern="1200" baseline="0">
                    <a:solidFill>
                      <a:schemeClr val="tx2"/>
                    </a:solidFill>
                    <a:latin typeface="+mn-lt"/>
                    <a:ea typeface="+mn-ea"/>
                    <a:cs typeface="+mn-cs"/>
                  </a:defRPr>
                </a:pPr>
                <a:r>
                  <a:rPr lang="en-GB"/>
                  <a:t>Presence</a:t>
                </a:r>
                <a:r>
                  <a:rPr lang="en-GB" baseline="0"/>
                  <a:t> of outlier</a:t>
                </a:r>
              </a:p>
              <a:p>
                <a:pPr>
                  <a:defRPr/>
                </a:pPr>
                <a:r>
                  <a:rPr lang="en-GB" baseline="0"/>
                  <a:t>0 = false; 1 = true</a:t>
                </a:r>
                <a:endParaRPr lang="en-GB"/>
              </a:p>
            </c:rich>
          </c:tx>
          <c:overlay val="0"/>
          <c:spPr>
            <a:noFill/>
            <a:ln>
              <a:noFill/>
            </a:ln>
            <a:effectLst/>
          </c:spPr>
          <c:txPr>
            <a:bodyPr rot="-5400000" spcFirstLastPara="1" vertOverflow="ellipsis" vert="horz" wrap="square" anchor="ctr" anchorCtr="1"/>
            <a:lstStyle/>
            <a:p>
              <a:pPr>
                <a:defRPr sz="900" b="1" i="0" u="none" strike="noStrike" kern="1200" baseline="0">
                  <a:solidFill>
                    <a:schemeClr val="tx2"/>
                  </a:solidFill>
                  <a:latin typeface="+mn-lt"/>
                  <a:ea typeface="+mn-ea"/>
                  <a:cs typeface="+mn-cs"/>
                </a:defRPr>
              </a:pPr>
              <a:endParaRPr lang="en-US"/>
            </a:p>
          </c:txPr>
        </c:title>
        <c:numFmt formatCode="General" sourceLinked="1"/>
        <c:majorTickMark val="none"/>
        <c:minorTickMark val="none"/>
        <c:tickLblPos val="nextTo"/>
        <c:spPr>
          <a:noFill/>
          <a:ln>
            <a:solidFill>
              <a:schemeClr val="tx2">
                <a:lumMod val="40000"/>
                <a:lumOff val="60000"/>
              </a:schemeClr>
            </a:solidFill>
          </a:ln>
          <a:effectLst/>
        </c:spPr>
        <c:txPr>
          <a:bodyPr rot="-60000000" spcFirstLastPara="1" vertOverflow="ellipsis" vert="horz" wrap="square" anchor="ctr" anchorCtr="1"/>
          <a:lstStyle/>
          <a:p>
            <a:pPr>
              <a:defRPr sz="900" b="0" i="0" u="none" strike="noStrike" kern="1200" baseline="0">
                <a:solidFill>
                  <a:schemeClr val="tx2"/>
                </a:solidFill>
                <a:latin typeface="+mn-lt"/>
                <a:ea typeface="+mn-ea"/>
                <a:cs typeface="+mn-cs"/>
              </a:defRPr>
            </a:pPr>
            <a:endParaRPr lang="en-US"/>
          </a:p>
        </c:txPr>
        <c:crossAx val="538213776"/>
        <c:crosses val="autoZero"/>
        <c:crossBetween val="midCat"/>
        <c:majorUnit val="1"/>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2">
          <a:lumMod val="15000"/>
          <a:lumOff val="85000"/>
        </a:schemeClr>
      </a:solidFill>
      <a:round/>
    </a:ln>
    <a:effectLst/>
  </c:spPr>
  <c:txPr>
    <a:bodyPr/>
    <a:lstStyle/>
    <a:p>
      <a:pPr>
        <a:defRPr/>
      </a:pPr>
      <a:endParaRPr lang="en-US"/>
    </a:p>
  </c:txPr>
  <c:externalData r:id="rId3">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sz="1600" b="1" i="0" baseline="0">
                <a:effectLst/>
              </a:rPr>
              <a:t>Young Student outlier</a:t>
            </a:r>
            <a:endParaRPr lang="en-GB" sz="1600" b="1">
              <a:effectLst/>
            </a:endParaRP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scatterChart>
        <c:scatterStyle val="lineMarker"/>
        <c:varyColors val="0"/>
        <c:ser>
          <c:idx val="0"/>
          <c:order val="0"/>
          <c:spPr>
            <a:ln w="19050" cap="rnd">
              <a:noFill/>
              <a:round/>
            </a:ln>
            <a:effectLst/>
          </c:spPr>
          <c:marker>
            <c:symbol val="circle"/>
            <c:size val="5"/>
            <c:spPr>
              <a:solidFill>
                <a:schemeClr val="accent1"/>
              </a:solidFill>
              <a:ln w="9525">
                <a:solidFill>
                  <a:schemeClr val="accent1"/>
                </a:solidFill>
              </a:ln>
              <a:effectLst/>
            </c:spPr>
          </c:marker>
          <c:xVal>
            <c:numRef>
              <c:f>outliers!$H$3:$H$12</c:f>
              <c:numCache>
                <c:formatCode>General</c:formatCode>
                <c:ptCount val="10"/>
                <c:pt idx="0">
                  <c:v>34</c:v>
                </c:pt>
                <c:pt idx="1">
                  <c:v>22</c:v>
                </c:pt>
                <c:pt idx="2">
                  <c:v>15</c:v>
                </c:pt>
                <c:pt idx="3">
                  <c:v>27</c:v>
                </c:pt>
                <c:pt idx="4">
                  <c:v>37</c:v>
                </c:pt>
                <c:pt idx="5">
                  <c:v>41</c:v>
                </c:pt>
                <c:pt idx="6">
                  <c:v>24</c:v>
                </c:pt>
                <c:pt idx="7">
                  <c:v>19</c:v>
                </c:pt>
                <c:pt idx="8">
                  <c:v>26</c:v>
                </c:pt>
                <c:pt idx="9">
                  <c:v>36</c:v>
                </c:pt>
              </c:numCache>
            </c:numRef>
          </c:xVal>
          <c:yVal>
            <c:numRef>
              <c:f>outliers!$I$3:$I$12</c:f>
              <c:numCache>
                <c:formatCode>General</c:formatCode>
                <c:ptCount val="10"/>
                <c:pt idx="0">
                  <c:v>0</c:v>
                </c:pt>
                <c:pt idx="1">
                  <c:v>0</c:v>
                </c:pt>
                <c:pt idx="2">
                  <c:v>0</c:v>
                </c:pt>
                <c:pt idx="3">
                  <c:v>0</c:v>
                </c:pt>
                <c:pt idx="4">
                  <c:v>0</c:v>
                </c:pt>
                <c:pt idx="5">
                  <c:v>0</c:v>
                </c:pt>
                <c:pt idx="6">
                  <c:v>0</c:v>
                </c:pt>
                <c:pt idx="7">
                  <c:v>0</c:v>
                </c:pt>
                <c:pt idx="8">
                  <c:v>0</c:v>
                </c:pt>
                <c:pt idx="9">
                  <c:v>0</c:v>
                </c:pt>
              </c:numCache>
            </c:numRef>
          </c:yVal>
          <c:smooth val="0"/>
          <c:extLst>
            <c:ext xmlns:c16="http://schemas.microsoft.com/office/drawing/2014/chart" uri="{C3380CC4-5D6E-409C-BE32-E72D297353CC}">
              <c16:uniqueId val="{00000000-561D-4A92-84AE-85C78569B615}"/>
            </c:ext>
          </c:extLst>
        </c:ser>
        <c:dLbls>
          <c:showLegendKey val="0"/>
          <c:showVal val="0"/>
          <c:showCatName val="0"/>
          <c:showSerName val="0"/>
          <c:showPercent val="0"/>
          <c:showBubbleSize val="0"/>
        </c:dLbls>
        <c:axId val="538222416"/>
        <c:axId val="538223056"/>
      </c:scatterChart>
      <c:valAx>
        <c:axId val="538222416"/>
        <c:scaling>
          <c:orientation val="minMax"/>
        </c:scaling>
        <c:delete val="0"/>
        <c:axPos val="b"/>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sz="900" b="1"/>
                  <a:t>Student satisfaction scores</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38223056"/>
        <c:crosses val="autoZero"/>
        <c:crossBetween val="midCat"/>
      </c:valAx>
      <c:valAx>
        <c:axId val="538223056"/>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sz="900" b="1" i="0" baseline="0">
                    <a:effectLst/>
                  </a:rPr>
                  <a:t>Presence of outlier</a:t>
                </a:r>
                <a:endParaRPr lang="en-GB" sz="900">
                  <a:effectLst/>
                </a:endParaRPr>
              </a:p>
              <a:p>
                <a:pPr>
                  <a:defRPr/>
                </a:pPr>
                <a:r>
                  <a:rPr lang="en-GB" sz="900" b="1" i="0" baseline="0">
                    <a:effectLst/>
                  </a:rPr>
                  <a:t>0 = false; 1 = true</a:t>
                </a:r>
                <a:endParaRPr lang="en-GB" sz="900">
                  <a:effectLst/>
                </a:endParaRP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38222416"/>
        <c:crosses val="autoZero"/>
        <c:crossBetween val="midCat"/>
        <c:majorUnit val="1"/>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46">
  <cs:axisTitle>
    <cs:lnRef idx="0"/>
    <cs:fillRef idx="0"/>
    <cs:effectRef idx="0"/>
    <cs:fontRef idx="minor">
      <a:schemeClr val="dk1">
        <a:lumMod val="65000"/>
        <a:lumOff val="35000"/>
      </a:schemeClr>
    </cs:fontRef>
    <cs:defRPr sz="900" kern="1200"/>
  </cs:axisTitle>
  <cs:categoryAxis>
    <cs:lnRef idx="0"/>
    <cs:fillRef idx="0"/>
    <cs:effectRef idx="0"/>
    <cs:fontRef idx="minor">
      <a:schemeClr val="dk1">
        <a:lumMod val="65000"/>
        <a:lumOff val="35000"/>
      </a:schemeClr>
    </cs:fontRef>
    <cs:spPr>
      <a:ln w="9525" cap="rnd">
        <a:solidFill>
          <a:schemeClr val="dk1">
            <a:lumMod val="20000"/>
            <a:lumOff val="80000"/>
          </a:schemeClr>
        </a:solidFill>
        <a:round/>
      </a:ln>
    </cs:spPr>
    <cs:defRPr sz="900" kern="1200"/>
  </cs:categoryAxis>
  <cs:chartArea mods="allowNoLineOverride">
    <cs:lnRef idx="0"/>
    <cs:fillRef idx="0"/>
    <cs:effectRef idx="0"/>
    <cs:fontRef idx="minor">
      <a:schemeClr val="dk1"/>
    </cs:fontRef>
    <cs:spPr>
      <a:solidFill>
        <a:schemeClr val="lt1"/>
      </a:solidFill>
      <a:ln w="9525" cap="flat" cmpd="sng" algn="ctr">
        <a:solidFill>
          <a:schemeClr val="dk1">
            <a:lumMod val="15000"/>
            <a:lumOff val="85000"/>
          </a:schemeClr>
        </a:solidFill>
        <a:round/>
      </a:ln>
    </cs:spPr>
    <cs:defRPr sz="900" kern="1200"/>
  </cs:chartArea>
  <cs:dataLabel>
    <cs:lnRef idx="0"/>
    <cs:fillRef idx="0"/>
    <cs:effectRef idx="0"/>
    <cs:fontRef idx="minor">
      <a:schemeClr val="dk1">
        <a:lumMod val="65000"/>
        <a:lumOff val="3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styleClr val="auto"/>
    </cs:lnRef>
    <cs:fillRef idx="2">
      <cs:styleClr val="auto"/>
    </cs:fillRef>
    <cs:effectRef idx="1"/>
    <cs:fontRef idx="minor">
      <a:schemeClr val="dk1"/>
    </cs:fontRef>
    <cs:spPr>
      <a:ln w="9525" cap="flat" cmpd="sng" algn="ctr">
        <a:solidFill>
          <a:schemeClr val="phClr">
            <a:shade val="95000"/>
          </a:schemeClr>
        </a:solidFill>
        <a:round/>
      </a:ln>
    </cs:spPr>
  </cs:dataPoint>
  <cs:dataPoint3D>
    <cs:lnRef idx="0">
      <cs:styleClr val="auto"/>
    </cs:lnRef>
    <cs:fillRef idx="2">
      <cs:styleClr val="auto"/>
    </cs:fillRef>
    <cs:effectRef idx="1"/>
    <cs:fontRef idx="minor">
      <a:schemeClr val="dk1"/>
    </cs:fontRef>
    <cs:spPr>
      <a:ln w="9525" cap="flat" cmpd="sng" algn="ctr">
        <a:solidFill>
          <a:schemeClr val="phClr">
            <a:shade val="95000"/>
          </a:schemeClr>
        </a:solidFill>
        <a:round/>
      </a:ln>
    </cs:spPr>
  </cs:dataPoint3D>
  <cs:dataPointLine>
    <cs:lnRef idx="0">
      <cs:styleClr val="auto"/>
    </cs:lnRef>
    <cs:fillRef idx="2"/>
    <cs:effectRef idx="1"/>
    <cs:fontRef idx="minor">
      <a:schemeClr val="dk1"/>
    </cs:fontRef>
    <cs:spPr>
      <a:ln w="9525" cap="flat" cmpd="sng" algn="ctr">
        <a:solidFill>
          <a:schemeClr val="phClr">
            <a:alpha val="70000"/>
          </a:schemeClr>
        </a:solidFill>
        <a:prstDash val="sysDot"/>
        <a:round/>
      </a:ln>
    </cs:spPr>
  </cs:dataPointLine>
  <cs:dataPointMarker>
    <cs:lnRef idx="0">
      <cs:styleClr val="auto"/>
    </cs:lnRef>
    <cs:fillRef idx="2">
      <cs:styleClr val="auto"/>
    </cs:fillRef>
    <cs:effectRef idx="1"/>
    <cs:fontRef idx="minor">
      <a:schemeClr val="dk1"/>
    </cs:fontRef>
    <cs:spPr>
      <a:ln w="9525" cap="flat" cmpd="sng" algn="ctr">
        <a:solidFill>
          <a:schemeClr val="phClr">
            <a:shade val="95000"/>
          </a:schemeClr>
        </a:solidFill>
        <a:round/>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65000"/>
        <a:lumOff val="35000"/>
      </a:schemeClr>
    </cs:fontRef>
    <cs:spPr>
      <a:ln w="9525" cap="rnd">
        <a:solidFill>
          <a:schemeClr val="dk1">
            <a:lumMod val="15000"/>
            <a:lumOff val="85000"/>
          </a:schemeClr>
        </a:solidFill>
        <a:round/>
      </a:ln>
    </cs:spPr>
    <cs:defRPr sz="900" kern="1200"/>
  </cs:dataTable>
  <cs:downBar>
    <cs:lnRef idx="0"/>
    <cs:fillRef idx="0"/>
    <cs:effectRef idx="0"/>
    <cs:fontRef idx="minor">
      <a:schemeClr val="dk1"/>
    </cs:fontRef>
    <cs:spPr>
      <a:solidFill>
        <a:schemeClr val="dk1">
          <a:lumMod val="75000"/>
          <a:lumOff val="25000"/>
        </a:schemeClr>
      </a:solidFill>
      <a:ln w="9525" cap="rnd">
        <a:solidFill>
          <a:schemeClr val="dk1">
            <a:lumMod val="65000"/>
            <a:lumOff val="35000"/>
          </a:schemeClr>
        </a:solidFill>
        <a:round/>
      </a:ln>
    </cs:spPr>
  </cs:downBar>
  <cs:dropLine>
    <cs:lnRef idx="0"/>
    <cs:fillRef idx="0"/>
    <cs:effectRef idx="0"/>
    <cs:fontRef idx="minor">
      <a:schemeClr val="dk1"/>
    </cs:fontRef>
    <cs:spPr>
      <a:ln w="9525" cap="rnd">
        <a:solidFill>
          <a:schemeClr val="dk1">
            <a:lumMod val="35000"/>
            <a:lumOff val="65000"/>
          </a:schemeClr>
        </a:solidFill>
        <a:round/>
      </a:ln>
    </cs:spPr>
  </cs:dropLine>
  <cs:errorBar>
    <cs:lnRef idx="0"/>
    <cs:fillRef idx="0"/>
    <cs:effectRef idx="0"/>
    <cs:fontRef idx="minor">
      <a:schemeClr val="dk1"/>
    </cs:fontRef>
    <cs:spPr>
      <a:ln w="9525" cap="rnd">
        <a:solidFill>
          <a:schemeClr val="dk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solidFill>
          <a:schemeClr val="dk1">
            <a:lumMod val="15000"/>
            <a:lumOff val="85000"/>
          </a:schemeClr>
        </a:solidFill>
        <a:round/>
      </a:ln>
    </cs:spPr>
  </cs:gridlineMajor>
  <cs:gridlineMinor>
    <cs:lnRef idx="0"/>
    <cs:fillRef idx="0"/>
    <cs:effectRef idx="0"/>
    <cs:fontRef idx="minor">
      <a:schemeClr val="dk1"/>
    </cs:fontRef>
    <cs:spPr>
      <a:ln w="9525" cap="flat" cmpd="sng" algn="ctr">
        <a:solidFill>
          <a:schemeClr val="dk1">
            <a:lumMod val="5000"/>
            <a:lumOff val="95000"/>
          </a:schemeClr>
        </a:solidFill>
        <a:round/>
      </a:ln>
    </cs:spPr>
  </cs:gridlineMinor>
  <cs:hiLoLine>
    <cs:lnRef idx="0"/>
    <cs:fillRef idx="0"/>
    <cs:effectRef idx="0"/>
    <cs:fontRef idx="minor">
      <a:schemeClr val="dk1"/>
    </cs:fontRef>
    <cs:spPr>
      <a:ln w="9525" cap="rnd">
        <a:solidFill>
          <a:schemeClr val="dk1">
            <a:lumMod val="35000"/>
            <a:lumOff val="65000"/>
          </a:schemeClr>
        </a:solidFill>
        <a:round/>
      </a:ln>
    </cs:spPr>
  </cs:hiLoLine>
  <cs:leaderLine>
    <cs:lnRef idx="0"/>
    <cs:fillRef idx="0"/>
    <cs:effectRef idx="0"/>
    <cs:fontRef idx="minor">
      <a:schemeClr val="dk1"/>
    </cs:fontRef>
    <cs:spPr>
      <a:ln w="9525" cap="rnd">
        <a:solidFill>
          <a:schemeClr val="dk1">
            <a:lumMod val="35000"/>
            <a:lumOff val="65000"/>
          </a:schemeClr>
        </a:solidFill>
        <a:round/>
      </a:ln>
    </cs:spPr>
  </cs:leaderLine>
  <cs:legend>
    <cs:lnRef idx="0"/>
    <cs:fillRef idx="0"/>
    <cs:effectRef idx="0"/>
    <cs:fontRef idx="minor">
      <a:schemeClr val="dk1">
        <a:lumMod val="65000"/>
        <a:lumOff val="35000"/>
      </a:schemeClr>
    </cs:fontRef>
    <cs:defRPr sz="900" kern="1200" spc="0" baseline="0"/>
  </cs:legend>
  <cs:plotArea>
    <cs:lnRef idx="0"/>
    <cs:fillRef idx="0"/>
    <cs:effectRef idx="0"/>
    <cs:fontRef idx="minor">
      <a:schemeClr val="dk1"/>
    </cs:fontRef>
    <cs:spPr>
      <a:gradFill>
        <a:gsLst>
          <a:gs pos="100000">
            <a:schemeClr val="lt1">
              <a:lumMod val="95000"/>
            </a:schemeClr>
          </a:gs>
          <a:gs pos="0">
            <a:schemeClr val="lt1">
              <a:alpha val="0"/>
            </a:schemeClr>
          </a:gs>
        </a:gsLst>
        <a:lin ang="5400000" scaled="0"/>
      </a:gradFill>
    </cs:spPr>
  </cs:plotArea>
  <cs:plotArea3D>
    <cs:lnRef idx="0"/>
    <cs:fillRef idx="0"/>
    <cs:effectRef idx="0"/>
    <cs:fontRef idx="minor">
      <a:schemeClr val="dk1"/>
    </cs:fontRef>
  </cs:plotArea3D>
  <cs:seriesAxis>
    <cs:lnRef idx="0"/>
    <cs:fillRef idx="0"/>
    <cs:effectRef idx="0"/>
    <cs:fontRef idx="minor">
      <a:schemeClr val="dk1">
        <a:lumMod val="65000"/>
        <a:lumOff val="35000"/>
      </a:schemeClr>
    </cs:fontRef>
    <cs:spPr>
      <a:ln w="9525" cap="rnd">
        <a:solidFill>
          <a:schemeClr val="dk1">
            <a:lumMod val="20000"/>
            <a:lumOff val="80000"/>
          </a:schemeClr>
        </a:solidFill>
        <a:round/>
      </a:ln>
    </cs:spPr>
    <cs:defRPr sz="900" kern="1200"/>
  </cs:seriesAxis>
  <cs:seriesLine>
    <cs:lnRef idx="0"/>
    <cs:fillRef idx="0"/>
    <cs:effectRef idx="0"/>
    <cs:fontRef idx="minor">
      <a:schemeClr val="dk1"/>
    </cs:fontRef>
    <cs:spPr>
      <a:ln w="9525" cap="rnd">
        <a:solidFill>
          <a:schemeClr val="dk1">
            <a:lumMod val="35000"/>
            <a:lumOff val="65000"/>
          </a:schemeClr>
        </a:solidFill>
        <a:round/>
      </a:ln>
    </cs:spPr>
  </cs:seriesLine>
  <cs:title>
    <cs:lnRef idx="0"/>
    <cs:fillRef idx="0"/>
    <cs:effectRef idx="0"/>
    <cs:fontRef idx="minor">
      <a:schemeClr val="dk1">
        <a:lumMod val="50000"/>
        <a:lumOff val="50000"/>
      </a:schemeClr>
    </cs:fontRef>
    <cs:defRPr sz="1400" kern="1200" cap="none" spc="20" baseline="0"/>
  </cs:title>
  <cs:trendline>
    <cs:lnRef idx="0">
      <cs:styleClr val="auto"/>
    </cs:lnRef>
    <cs:fillRef idx="0"/>
    <cs:effectRef idx="0"/>
    <cs:fontRef idx="minor">
      <a:schemeClr val="dk1"/>
    </cs:fontRef>
    <cs:spPr>
      <a:ln w="9525" cap="rnd">
        <a:solidFill>
          <a:schemeClr val="phClr"/>
        </a:solidFill>
      </a:ln>
    </cs:spPr>
  </cs:trendline>
  <cs:trendlineLabel>
    <cs:lnRef idx="0"/>
    <cs:fillRef idx="0"/>
    <cs:effectRef idx="0"/>
    <cs:fontRef idx="minor">
      <a:schemeClr val="dk1">
        <a:lumMod val="65000"/>
        <a:lumOff val="35000"/>
      </a:schemeClr>
    </cs:fontRef>
    <cs:defRPr sz="900" kern="1200"/>
  </cs:trendlineLabel>
  <cs:upBar>
    <cs:lnRef idx="0"/>
    <cs:fillRef idx="0"/>
    <cs:effectRef idx="0"/>
    <cs:fontRef idx="minor">
      <a:schemeClr val="dk1"/>
    </cs:fontRef>
    <cs:spPr>
      <a:solidFill>
        <a:schemeClr val="lt1"/>
      </a:solidFill>
    </cs:spPr>
  </cs:upBar>
  <cs:valueAxis>
    <cs:lnRef idx="0"/>
    <cs:fillRef idx="0"/>
    <cs:effectRef idx="0"/>
    <cs:fontRef idx="minor">
      <a:schemeClr val="dk1">
        <a:lumMod val="65000"/>
        <a:lumOff val="35000"/>
      </a:schemeClr>
    </cs:fontRef>
    <cs:spPr>
      <a:ln w="9525" cap="rnd">
        <a:solidFill>
          <a:schemeClr val="dk1">
            <a:lumMod val="25000"/>
            <a:lumOff val="75000"/>
          </a:schemeClr>
        </a:solidFill>
        <a:round/>
      </a:ln>
    </cs:spPr>
    <cs:defRPr sz="900" kern="1200" spc="0" baseline="0"/>
  </cs:valueAxis>
  <cs:wall>
    <cs:lnRef idx="0"/>
    <cs:fillRef idx="0"/>
    <cs:effectRef idx="0"/>
    <cs:fontRef idx="minor">
      <a:schemeClr val="dk1"/>
    </cs:fontRef>
  </cs:wall>
</cs:chartStyle>
</file>

<file path=word/charts/style2.xml><?xml version="1.0" encoding="utf-8"?>
<cs:chartStyle xmlns:cs="http://schemas.microsoft.com/office/drawing/2012/chartStyle" xmlns:a="http://schemas.openxmlformats.org/drawingml/2006/main" id="242">
  <cs:axisTitle>
    <cs:lnRef idx="0"/>
    <cs:fillRef idx="0"/>
    <cs:effectRef idx="0"/>
    <cs:fontRef idx="minor">
      <a:schemeClr val="tx2"/>
    </cs:fontRef>
    <cs:defRPr sz="900" b="1" kern="1200"/>
  </cs:axisTitle>
  <cs:categoryAxis>
    <cs:lnRef idx="0"/>
    <cs:fillRef idx="0"/>
    <cs:effectRef idx="0"/>
    <cs:fontRef idx="minor">
      <a:schemeClr val="tx2"/>
    </cs:fontRef>
    <cs:spPr>
      <a:ln w="9525" cap="flat" cmpd="sng" algn="ctr">
        <a:solidFill>
          <a:schemeClr val="tx2">
            <a:lumMod val="15000"/>
            <a:lumOff val="85000"/>
          </a:schemeClr>
        </a:solidFill>
        <a:round/>
      </a:ln>
    </cs:spPr>
    <cs:defRPr sz="900" kern="1200"/>
  </cs:categoryAxis>
  <cs:chartArea mods="allowNoFillOverride allowNoLineOverride">
    <cs:lnRef idx="0"/>
    <cs:fillRef idx="0"/>
    <cs:effectRef idx="0"/>
    <cs:fontRef idx="minor">
      <a:schemeClr val="tx2"/>
    </cs:fontRef>
    <cs:spPr>
      <a:solidFill>
        <a:schemeClr val="bg1"/>
      </a:solidFill>
      <a:ln w="9525" cap="flat" cmpd="sng" algn="ctr">
        <a:solidFill>
          <a:schemeClr val="tx2">
            <a:lumMod val="15000"/>
            <a:lumOff val="85000"/>
          </a:schemeClr>
        </a:solidFill>
        <a:round/>
      </a:ln>
    </cs:spPr>
    <cs:defRPr sz="900" kern="1200"/>
  </cs:chartArea>
  <cs:dataLabel>
    <cs:lnRef idx="0"/>
    <cs:fillRef idx="0"/>
    <cs:effectRef idx="0"/>
    <cs:fontRef idx="minor">
      <a:schemeClr val="tx2"/>
    </cs:fontRef>
    <cs:defRPr sz="900" kern="1200"/>
  </cs:dataLabel>
  <cs:dataLabelCallout>
    <cs:lnRef idx="0"/>
    <cs:fillRef idx="0"/>
    <cs:effectRef idx="0"/>
    <cs:fontRef idx="minor">
      <a:schemeClr val="dk2">
        <a:lumMod val="7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2"/>
    <cs:fontRef idx="minor">
      <a:schemeClr val="tx2"/>
    </cs:fontRef>
  </cs:dataPoint>
  <cs:dataPoint3D>
    <cs:lnRef idx="0"/>
    <cs:fillRef idx="3">
      <cs:styleClr val="auto"/>
    </cs:fillRef>
    <cs:effectRef idx="2"/>
    <cs:fontRef idx="minor">
      <a:schemeClr val="tx2"/>
    </cs:fontRef>
  </cs:dataPoint3D>
  <cs:dataPointLine>
    <cs:lnRef idx="0">
      <cs:styleClr val="auto"/>
    </cs:lnRef>
    <cs:fillRef idx="3"/>
    <cs:effectRef idx="2"/>
    <cs:fontRef idx="minor">
      <a:schemeClr val="tx2"/>
    </cs:fontRef>
    <cs:spPr>
      <a:ln w="9525" cap="rnd">
        <a:solidFill>
          <a:schemeClr val="phClr"/>
        </a:solidFill>
        <a:round/>
      </a:ln>
    </cs:spPr>
  </cs:dataPointLine>
  <cs:dataPointMarker>
    <cs:lnRef idx="0">
      <cs:styleClr val="auto"/>
    </cs:lnRef>
    <cs:fillRef idx="3">
      <cs:styleClr val="auto"/>
    </cs:fillRef>
    <cs:effectRef idx="2"/>
    <cs:fontRef idx="minor">
      <a:schemeClr val="tx2"/>
    </cs:fontRef>
    <cs:spPr>
      <a:ln w="9525">
        <a:solidFill>
          <a:schemeClr val="phClr"/>
        </a:solidFill>
        <a:round/>
      </a:ln>
    </cs:spPr>
  </cs:dataPointMarker>
  <cs:dataPointMarkerLayout symbol="circle" size="5"/>
  <cs:dataPointWireframe>
    <cs:lnRef idx="0">
      <cs:styleClr val="auto"/>
    </cs:lnRef>
    <cs:fillRef idx="3"/>
    <cs:effectRef idx="2"/>
    <cs:fontRef idx="minor">
      <a:schemeClr val="tx2"/>
    </cs:fontRef>
    <cs:spPr>
      <a:ln w="9525" cap="rnd">
        <a:solidFill>
          <a:schemeClr val="phClr"/>
        </a:solidFill>
        <a:round/>
      </a:ln>
    </cs:spPr>
  </cs:dataPointWireframe>
  <cs:dataTable>
    <cs:lnRef idx="0"/>
    <cs:fillRef idx="0"/>
    <cs:effectRef idx="0"/>
    <cs:fontRef idx="minor">
      <a:schemeClr val="tx2"/>
    </cs:fontRef>
    <cs:spPr>
      <a:ln w="9525">
        <a:solidFill>
          <a:schemeClr val="tx2">
            <a:lumMod val="15000"/>
            <a:lumOff val="85000"/>
          </a:schemeClr>
        </a:solidFill>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2"/>
    </cs:fontRef>
    <cs:spPr>
      <a:ln w="9525">
        <a:solidFill>
          <a:schemeClr val="tx2">
            <a:lumMod val="60000"/>
            <a:lumOff val="40000"/>
          </a:schemeClr>
        </a:solidFill>
        <a:prstDash val="dash"/>
      </a:ln>
    </cs:spPr>
  </cs:dropLine>
  <cs:errorBar>
    <cs:lnRef idx="0"/>
    <cs:fillRef idx="0"/>
    <cs:effectRef idx="0"/>
    <cs:fontRef idx="minor">
      <a:schemeClr val="tx2"/>
    </cs:fontRef>
    <cs:spPr>
      <a:ln w="9525">
        <a:solidFill>
          <a:schemeClr val="tx2">
            <a:lumMod val="75000"/>
          </a:schemeClr>
        </a:solidFill>
        <a:round/>
      </a:ln>
    </cs:spPr>
  </cs:errorBar>
  <cs:floor>
    <cs:lnRef idx="0"/>
    <cs:fillRef idx="0"/>
    <cs:effectRef idx="0"/>
    <cs:fontRef idx="minor">
      <a:schemeClr val="tx2"/>
    </cs:fontRef>
  </cs:floor>
  <cs:gridlineMajor>
    <cs:lnRef idx="0"/>
    <cs:fillRef idx="0"/>
    <cs:effectRef idx="0"/>
    <cs:fontRef idx="minor">
      <a:schemeClr val="tx2"/>
    </cs:fontRef>
    <cs:spPr>
      <a:ln w="9525" cap="flat" cmpd="sng" algn="ctr">
        <a:solidFill>
          <a:schemeClr val="tx2">
            <a:lumMod val="15000"/>
            <a:lumOff val="85000"/>
          </a:schemeClr>
        </a:solidFill>
        <a:round/>
      </a:ln>
    </cs:spPr>
  </cs:gridlineMajor>
  <cs:gridlineMinor>
    <cs:lnRef idx="0"/>
    <cs:fillRef idx="0"/>
    <cs:effectRef idx="0"/>
    <cs:fontRef idx="minor">
      <a:schemeClr val="tx2"/>
    </cs:fontRef>
    <cs:spPr>
      <a:ln>
        <a:solidFill>
          <a:schemeClr val="tx2">
            <a:lumMod val="5000"/>
            <a:lumOff val="95000"/>
          </a:schemeClr>
        </a:solidFill>
      </a:ln>
    </cs:spPr>
  </cs:gridlineMinor>
  <cs:hiLoLine>
    <cs:lnRef idx="0"/>
    <cs:fillRef idx="0"/>
    <cs:effectRef idx="0"/>
    <cs:fontRef idx="minor">
      <a:schemeClr val="tx2"/>
    </cs:fontRef>
    <cs:spPr>
      <a:ln w="9525">
        <a:solidFill>
          <a:schemeClr val="tx2">
            <a:lumMod val="60000"/>
            <a:lumOff val="40000"/>
          </a:schemeClr>
        </a:solidFill>
        <a:prstDash val="dash"/>
      </a:ln>
    </cs:spPr>
  </cs:hiLoLine>
  <cs:leaderLine>
    <cs:lnRef idx="0"/>
    <cs:fillRef idx="0"/>
    <cs:effectRef idx="0"/>
    <cs:fontRef idx="minor">
      <a:schemeClr val="tx2"/>
    </cs:fontRef>
    <cs:spPr>
      <a:ln w="9525">
        <a:solidFill>
          <a:schemeClr val="tx2">
            <a:lumMod val="35000"/>
            <a:lumOff val="65000"/>
          </a:schemeClr>
        </a:solidFill>
      </a:ln>
    </cs:spPr>
  </cs:leaderLine>
  <cs:legend>
    <cs:lnRef idx="0"/>
    <cs:fillRef idx="0"/>
    <cs:effectRef idx="0"/>
    <cs:fontRef idx="minor">
      <a:schemeClr val="tx2"/>
    </cs:fontRef>
    <cs:defRPr sz="900" kern="1200"/>
  </cs:legend>
  <cs:plotArea>
    <cs:lnRef idx="0"/>
    <cs:fillRef idx="0"/>
    <cs:effectRef idx="0"/>
    <cs:fontRef idx="minor">
      <a:schemeClr val="tx2"/>
    </cs:fontRef>
  </cs:plotArea>
  <cs:plotArea3D>
    <cs:lnRef idx="0"/>
    <cs:fillRef idx="0"/>
    <cs:effectRef idx="0"/>
    <cs:fontRef idx="minor">
      <a:schemeClr val="tx2"/>
    </cs:fontRef>
  </cs:plotArea3D>
  <cs:seriesAxis>
    <cs:lnRef idx="0"/>
    <cs:fillRef idx="0"/>
    <cs:effectRef idx="0"/>
    <cs:fontRef idx="minor">
      <a:schemeClr val="tx2"/>
    </cs:fontRef>
    <cs:spPr>
      <a:ln w="9525" cap="flat" cmpd="sng" algn="ctr">
        <a:solidFill>
          <a:schemeClr val="tx2">
            <a:lumMod val="15000"/>
            <a:lumOff val="85000"/>
          </a:schemeClr>
        </a:solidFill>
        <a:round/>
      </a:ln>
    </cs:spPr>
    <cs:defRPr sz="900" kern="1200"/>
  </cs:seriesAxis>
  <cs:seriesLine>
    <cs:lnRef idx="0"/>
    <cs:fillRef idx="0"/>
    <cs:effectRef idx="0"/>
    <cs:fontRef idx="minor">
      <a:schemeClr val="tx2"/>
    </cs:fontRef>
    <cs:spPr>
      <a:ln w="9525">
        <a:solidFill>
          <a:schemeClr val="tx2">
            <a:lumMod val="60000"/>
            <a:lumOff val="40000"/>
          </a:schemeClr>
        </a:solidFill>
        <a:prstDash val="dash"/>
      </a:ln>
    </cs:spPr>
  </cs:seriesLine>
  <cs:title>
    <cs:lnRef idx="0"/>
    <cs:fillRef idx="0"/>
    <cs:effectRef idx="0"/>
    <cs:fontRef idx="minor">
      <a:schemeClr val="tx2"/>
    </cs:fontRef>
    <cs:defRPr sz="1600" b="1" kern="1200"/>
  </cs:title>
  <cs:trendline>
    <cs:lnRef idx="0">
      <cs:styleClr val="auto"/>
    </cs:lnRef>
    <cs:fillRef idx="0"/>
    <cs:effectRef idx="0"/>
    <cs:fontRef idx="minor">
      <a:schemeClr val="tx2"/>
    </cs:fontRef>
    <cs:spPr>
      <a:ln w="9525" cap="rnd">
        <a:solidFill>
          <a:schemeClr val="phClr"/>
        </a:solidFill>
      </a:ln>
    </cs:spPr>
  </cs:trendline>
  <cs:trendlineLabel>
    <cs:lnRef idx="0"/>
    <cs:fillRef idx="0"/>
    <cs:effectRef idx="0"/>
    <cs:fontRef idx="minor">
      <a:schemeClr val="tx2"/>
    </cs:fontRef>
    <cs:defRPr sz="900" kern="1200"/>
  </cs:trendlineLabel>
  <cs:upBar>
    <cs:lnRef idx="0"/>
    <cs:fillRef idx="0"/>
    <cs:effectRef idx="0"/>
    <cs:fontRef idx="minor">
      <a:schemeClr val="tx2"/>
    </cs:fontRef>
    <cs:spPr>
      <a:solidFill>
        <a:schemeClr val="lt1"/>
      </a:solidFill>
      <a:ln w="9525">
        <a:solidFill>
          <a:schemeClr val="tx1">
            <a:lumMod val="15000"/>
            <a:lumOff val="85000"/>
          </a:schemeClr>
        </a:solidFill>
      </a:ln>
    </cs:spPr>
  </cs:upBar>
  <cs:valueAxis>
    <cs:lnRef idx="0"/>
    <cs:fillRef idx="0"/>
    <cs:effectRef idx="0"/>
    <cs:fontRef idx="minor">
      <a:schemeClr val="tx2"/>
    </cs:fontRef>
    <cs:spPr>
      <a:ln>
        <a:solidFill>
          <a:schemeClr val="tx2">
            <a:lumMod val="40000"/>
            <a:lumOff val="60000"/>
          </a:schemeClr>
        </a:solidFill>
      </a:ln>
    </cs:spPr>
    <cs:defRPr sz="900" kern="1200"/>
  </cs:valueAxis>
  <cs:wall>
    <cs:lnRef idx="0"/>
    <cs:fillRef idx="0"/>
    <cs:effectRef idx="0"/>
    <cs:fontRef idx="minor">
      <a:schemeClr val="tx2"/>
    </cs:fontRef>
  </cs:wall>
</cs:chartStyle>
</file>

<file path=word/charts/style3.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drawings/drawing1.xml><?xml version="1.0" encoding="utf-8"?>
<c:userShapes xmlns:c="http://schemas.openxmlformats.org/drawingml/2006/chart">
  <cdr:relSizeAnchor xmlns:cdr="http://schemas.openxmlformats.org/drawingml/2006/chartDrawing">
    <cdr:from>
      <cdr:x>0.40778</cdr:x>
      <cdr:y>0.41847</cdr:y>
    </cdr:from>
    <cdr:to>
      <cdr:x>0.41031</cdr:x>
      <cdr:y>0.83327</cdr:y>
    </cdr:to>
    <cdr:cxnSp macro="">
      <cdr:nvCxnSpPr>
        <cdr:cNvPr id="14" name="Straight Connector 13">
          <a:extLst xmlns:a="http://schemas.openxmlformats.org/drawingml/2006/main">
            <a:ext uri="{FF2B5EF4-FFF2-40B4-BE49-F238E27FC236}">
              <a16:creationId xmlns:a16="http://schemas.microsoft.com/office/drawing/2014/main" id="{7F394320-81BD-421C-BB43-A3160F204304}"/>
            </a:ext>
          </a:extLst>
        </cdr:cNvPr>
        <cdr:cNvCxnSpPr/>
      </cdr:nvCxnSpPr>
      <cdr:spPr>
        <a:xfrm xmlns:a="http://schemas.openxmlformats.org/drawingml/2006/main" flipV="1">
          <a:off x="3031469" y="1936093"/>
          <a:ext cx="18815" cy="1919110"/>
        </a:xfrm>
        <a:prstGeom xmlns:a="http://schemas.openxmlformats.org/drawingml/2006/main" prst="line">
          <a:avLst/>
        </a:prstGeom>
        <a:ln xmlns:a="http://schemas.openxmlformats.org/drawingml/2006/main">
          <a:solidFill>
            <a:srgbClr val="002060"/>
          </a:solidFill>
        </a:ln>
      </cdr:spPr>
      <cdr:style>
        <a:lnRef xmlns:a="http://schemas.openxmlformats.org/drawingml/2006/main" idx="1">
          <a:schemeClr val="accent1"/>
        </a:lnRef>
        <a:fillRef xmlns:a="http://schemas.openxmlformats.org/drawingml/2006/main" idx="0">
          <a:schemeClr val="accent1"/>
        </a:fillRef>
        <a:effectRef xmlns:a="http://schemas.openxmlformats.org/drawingml/2006/main" idx="0">
          <a:schemeClr val="accent1"/>
        </a:effectRef>
        <a:fontRef xmlns:a="http://schemas.openxmlformats.org/drawingml/2006/main" idx="minor">
          <a:schemeClr val="tx1"/>
        </a:fontRef>
      </cdr:style>
    </cdr:cxnSp>
  </cdr:relSizeAnchor>
  <cdr:relSizeAnchor xmlns:cdr="http://schemas.openxmlformats.org/drawingml/2006/chartDrawing">
    <cdr:from>
      <cdr:x>0.54824</cdr:x>
      <cdr:y>0.1582</cdr:y>
    </cdr:from>
    <cdr:to>
      <cdr:x>0.54951</cdr:x>
      <cdr:y>0.8353</cdr:y>
    </cdr:to>
    <cdr:cxnSp macro="">
      <cdr:nvCxnSpPr>
        <cdr:cNvPr id="17" name="Straight Connector 16">
          <a:extLst xmlns:a="http://schemas.openxmlformats.org/drawingml/2006/main">
            <a:ext uri="{FF2B5EF4-FFF2-40B4-BE49-F238E27FC236}">
              <a16:creationId xmlns:a16="http://schemas.microsoft.com/office/drawing/2014/main" id="{F0E5BBF8-6D02-432B-B0CD-71FF18FB2D6B}"/>
            </a:ext>
          </a:extLst>
        </cdr:cNvPr>
        <cdr:cNvCxnSpPr/>
      </cdr:nvCxnSpPr>
      <cdr:spPr>
        <a:xfrm xmlns:a="http://schemas.openxmlformats.org/drawingml/2006/main" flipH="1">
          <a:off x="4075691" y="731945"/>
          <a:ext cx="9408" cy="3132667"/>
        </a:xfrm>
        <a:prstGeom xmlns:a="http://schemas.openxmlformats.org/drawingml/2006/main" prst="line">
          <a:avLst/>
        </a:prstGeom>
        <a:ln xmlns:a="http://schemas.openxmlformats.org/drawingml/2006/main">
          <a:solidFill>
            <a:schemeClr val="tx1"/>
          </a:solidFill>
        </a:ln>
      </cdr:spPr>
      <cdr:style>
        <a:lnRef xmlns:a="http://schemas.openxmlformats.org/drawingml/2006/main" idx="1">
          <a:schemeClr val="accent1"/>
        </a:lnRef>
        <a:fillRef xmlns:a="http://schemas.openxmlformats.org/drawingml/2006/main" idx="0">
          <a:schemeClr val="accent1"/>
        </a:fillRef>
        <a:effectRef xmlns:a="http://schemas.openxmlformats.org/drawingml/2006/main" idx="0">
          <a:schemeClr val="accent1"/>
        </a:effectRef>
        <a:fontRef xmlns:a="http://schemas.openxmlformats.org/drawingml/2006/main" idx="minor">
          <a:schemeClr val="tx1"/>
        </a:fontRef>
      </cdr:style>
    </cdr:cxnSp>
  </cdr:relSizeAnchor>
  <cdr:relSizeAnchor xmlns:cdr="http://schemas.openxmlformats.org/drawingml/2006/chartDrawing">
    <cdr:from>
      <cdr:x>0.69123</cdr:x>
      <cdr:y>0.4327</cdr:y>
    </cdr:from>
    <cdr:to>
      <cdr:x>0.6925</cdr:x>
      <cdr:y>0.83327</cdr:y>
    </cdr:to>
    <cdr:cxnSp macro="">
      <cdr:nvCxnSpPr>
        <cdr:cNvPr id="19" name="Straight Connector 18">
          <a:extLst xmlns:a="http://schemas.openxmlformats.org/drawingml/2006/main">
            <a:ext uri="{FF2B5EF4-FFF2-40B4-BE49-F238E27FC236}">
              <a16:creationId xmlns:a16="http://schemas.microsoft.com/office/drawing/2014/main" id="{41BBB328-D75E-42C1-A4C0-FAC7237EBDC3}"/>
            </a:ext>
          </a:extLst>
        </cdr:cNvPr>
        <cdr:cNvCxnSpPr/>
      </cdr:nvCxnSpPr>
      <cdr:spPr>
        <a:xfrm xmlns:a="http://schemas.openxmlformats.org/drawingml/2006/main" flipV="1">
          <a:off x="5138728" y="2001945"/>
          <a:ext cx="9408" cy="1853259"/>
        </a:xfrm>
        <a:prstGeom xmlns:a="http://schemas.openxmlformats.org/drawingml/2006/main" prst="line">
          <a:avLst/>
        </a:prstGeom>
        <a:ln xmlns:a="http://schemas.openxmlformats.org/drawingml/2006/main">
          <a:solidFill>
            <a:schemeClr val="tx1"/>
          </a:solidFill>
        </a:ln>
      </cdr:spPr>
      <cdr:style>
        <a:lnRef xmlns:a="http://schemas.openxmlformats.org/drawingml/2006/main" idx="1">
          <a:schemeClr val="accent1"/>
        </a:lnRef>
        <a:fillRef xmlns:a="http://schemas.openxmlformats.org/drawingml/2006/main" idx="0">
          <a:schemeClr val="accent1"/>
        </a:fillRef>
        <a:effectRef xmlns:a="http://schemas.openxmlformats.org/drawingml/2006/main" idx="0">
          <a:schemeClr val="accent1"/>
        </a:effectRef>
        <a:fontRef xmlns:a="http://schemas.openxmlformats.org/drawingml/2006/main" idx="minor">
          <a:schemeClr val="tx1"/>
        </a:fontRef>
      </cdr:style>
    </cdr:cxnSp>
  </cdr:relSizeAnchor>
</c:userShape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EDD07C9-C76C-45B7-8C8F-8C3C679BC09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7812</TotalTime>
  <Pages>10</Pages>
  <Words>2370</Words>
  <Characters>13510</Characters>
  <Application>Microsoft Office Word</Application>
  <DocSecurity>0</DocSecurity>
  <Lines>112</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15849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User</cp:lastModifiedBy>
  <cp:revision>191</cp:revision>
  <dcterms:created xsi:type="dcterms:W3CDTF">2018-12-28T08:39:00Z</dcterms:created>
  <dcterms:modified xsi:type="dcterms:W3CDTF">2019-01-08T23:18:00Z</dcterms:modified>
</cp:coreProperties>
</file>